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4A" w:rsidRPr="00123C20" w:rsidRDefault="00315D4A" w:rsidP="00B177A0">
      <w:pPr>
        <w:jc w:val="both"/>
        <w:rPr>
          <w:sz w:val="24"/>
          <w:szCs w:val="24"/>
        </w:rPr>
      </w:pPr>
      <w:bookmarkStart w:id="0" w:name="_GoBack"/>
      <w:bookmarkEnd w:id="0"/>
    </w:p>
    <w:p w:rsidR="00B177A0" w:rsidRPr="00123C20" w:rsidRDefault="00B177A0" w:rsidP="00B177A0">
      <w:pPr>
        <w:jc w:val="both"/>
        <w:rPr>
          <w:sz w:val="24"/>
          <w:szCs w:val="24"/>
        </w:rPr>
      </w:pPr>
    </w:p>
    <w:p w:rsidR="00B177A0" w:rsidRPr="00123C20" w:rsidRDefault="00B177A0" w:rsidP="00B177A0">
      <w:pPr>
        <w:jc w:val="both"/>
        <w:rPr>
          <w:b/>
          <w:sz w:val="24"/>
          <w:szCs w:val="24"/>
        </w:rPr>
      </w:pPr>
      <w:r w:rsidRPr="00123C20">
        <w:rPr>
          <w:b/>
          <w:sz w:val="24"/>
          <w:szCs w:val="24"/>
        </w:rPr>
        <w:t>PLIEGO DE BASES TÉCNICAS PARA APOYAR LA ELABORACIÓN DE</w:t>
      </w:r>
      <w:r w:rsidR="00783841" w:rsidRPr="00123C20">
        <w:rPr>
          <w:b/>
          <w:sz w:val="24"/>
          <w:szCs w:val="24"/>
        </w:rPr>
        <w:t>L</w:t>
      </w:r>
      <w:r w:rsidRPr="00123C20">
        <w:rPr>
          <w:b/>
          <w:sz w:val="24"/>
          <w:szCs w:val="24"/>
        </w:rPr>
        <w:t xml:space="preserve"> II LIBRO BLANCO DE JUEGO, AL OBJETO DE ESTUDIAR LAS NECESIDADES DEL SECTOR DEL JUEGO EN LA COMUNIDAD AUTÓNOMA DE EUSKADI.</w:t>
      </w:r>
    </w:p>
    <w:p w:rsidR="00B177A0" w:rsidRPr="001172D0" w:rsidRDefault="00B177A0" w:rsidP="00B177A0">
      <w:pPr>
        <w:jc w:val="both"/>
        <w:rPr>
          <w:sz w:val="24"/>
          <w:szCs w:val="24"/>
        </w:rPr>
      </w:pPr>
    </w:p>
    <w:p w:rsidR="00C963F0" w:rsidRPr="001172D0" w:rsidRDefault="00C963F0" w:rsidP="00B177A0">
      <w:pPr>
        <w:jc w:val="both"/>
        <w:rPr>
          <w:sz w:val="24"/>
          <w:szCs w:val="24"/>
        </w:rPr>
      </w:pPr>
    </w:p>
    <w:p w:rsidR="00B177A0" w:rsidRPr="00123C20" w:rsidRDefault="00B177A0" w:rsidP="00B177A0">
      <w:pPr>
        <w:jc w:val="both"/>
        <w:rPr>
          <w:b/>
          <w:sz w:val="24"/>
          <w:szCs w:val="24"/>
        </w:rPr>
      </w:pPr>
      <w:r w:rsidRPr="00123C20">
        <w:rPr>
          <w:b/>
          <w:sz w:val="24"/>
          <w:szCs w:val="24"/>
        </w:rPr>
        <w:t>1.- OBJETO:</w:t>
      </w:r>
    </w:p>
    <w:p w:rsidR="001172D0" w:rsidRDefault="001172D0" w:rsidP="005605D4">
      <w:pPr>
        <w:autoSpaceDE w:val="0"/>
        <w:autoSpaceDN w:val="0"/>
        <w:adjustRightInd w:val="0"/>
        <w:jc w:val="both"/>
        <w:rPr>
          <w:sz w:val="24"/>
          <w:szCs w:val="24"/>
        </w:rPr>
      </w:pPr>
    </w:p>
    <w:p w:rsidR="001172D0" w:rsidRDefault="001172D0" w:rsidP="005605D4">
      <w:pPr>
        <w:autoSpaceDE w:val="0"/>
        <w:autoSpaceDN w:val="0"/>
        <w:adjustRightInd w:val="0"/>
        <w:jc w:val="both"/>
        <w:rPr>
          <w:sz w:val="24"/>
          <w:szCs w:val="24"/>
        </w:rPr>
      </w:pPr>
    </w:p>
    <w:p w:rsidR="005605D4" w:rsidRPr="00123C20" w:rsidRDefault="005605D4" w:rsidP="005605D4">
      <w:pPr>
        <w:autoSpaceDE w:val="0"/>
        <w:autoSpaceDN w:val="0"/>
        <w:adjustRightInd w:val="0"/>
        <w:jc w:val="both"/>
        <w:rPr>
          <w:sz w:val="24"/>
          <w:szCs w:val="24"/>
        </w:rPr>
      </w:pPr>
      <w:r w:rsidRPr="00123C20">
        <w:rPr>
          <w:sz w:val="24"/>
          <w:szCs w:val="24"/>
        </w:rPr>
        <w:tab/>
      </w:r>
      <w:smartTag w:uri="urn:schemas-microsoft-com:office:smarttags" w:element="PersonName">
        <w:smartTagPr>
          <w:attr w:name="ProductID" w:val="La Dirección Juego"/>
        </w:smartTagPr>
        <w:r w:rsidRPr="00123C20">
          <w:rPr>
            <w:sz w:val="24"/>
            <w:szCs w:val="24"/>
          </w:rPr>
          <w:t>La Dirección Juego</w:t>
        </w:r>
      </w:smartTag>
      <w:r w:rsidRPr="00123C20">
        <w:rPr>
          <w:sz w:val="24"/>
          <w:szCs w:val="24"/>
        </w:rPr>
        <w:t xml:space="preserve"> y Espectáculos, tiene competencia exclusiva en materia de juego. Plasmación de la misma es la Ley 4/1991, de 8 de noviembre, reguladora del Juego en la Comunidad Autónoma del País Vasco. Hasta la actualidad el desarrollo de esta actividad se ha realizado casi exclusivamente de modo presencial, es decir mediante el ejercicio en locales específicos, tales como casinos, bingos, salones, etc., o mediante herramientas y máquinas especialmente diseñadas para ello, tales como máquinas de juego, terminales de punto de venta, mesas de juego, etc.</w:t>
      </w:r>
    </w:p>
    <w:p w:rsidR="00B177A0" w:rsidRPr="00123C20" w:rsidRDefault="00B177A0" w:rsidP="00B177A0">
      <w:pPr>
        <w:jc w:val="both"/>
        <w:rPr>
          <w:sz w:val="24"/>
          <w:szCs w:val="24"/>
        </w:rPr>
      </w:pPr>
    </w:p>
    <w:p w:rsidR="00B177A0" w:rsidRPr="00123C20" w:rsidRDefault="00B177A0" w:rsidP="00B177A0">
      <w:pPr>
        <w:jc w:val="both"/>
        <w:rPr>
          <w:sz w:val="24"/>
          <w:szCs w:val="24"/>
        </w:rPr>
      </w:pPr>
      <w:r w:rsidRPr="00123C20">
        <w:rPr>
          <w:sz w:val="24"/>
          <w:szCs w:val="24"/>
        </w:rPr>
        <w:tab/>
        <w:t xml:space="preserve">Las nuevas modalidades de juego impulsadas por las nuevas tecnologías, </w:t>
      </w:r>
      <w:r w:rsidR="00537F93" w:rsidRPr="00123C20">
        <w:rPr>
          <w:sz w:val="24"/>
          <w:szCs w:val="24"/>
        </w:rPr>
        <w:t xml:space="preserve">la expansión y generalización del juego denominado on-line, desde ubicaciones remotas, que no exigen la ubicación concreta del potencial jugador, los juegos basados en servidor, etc., así como </w:t>
      </w:r>
      <w:r w:rsidRPr="00123C20">
        <w:rPr>
          <w:sz w:val="24"/>
          <w:szCs w:val="24"/>
        </w:rPr>
        <w:t>las diferencias normativas existentes entre las distintas Comunidades Autónomas y entre los distintos países de la Unión Europea, plantean nuevos retos y oportunidades para el sector del juego en la CAPV.</w:t>
      </w:r>
    </w:p>
    <w:p w:rsidR="00B177A0" w:rsidRPr="00123C20" w:rsidRDefault="00B177A0" w:rsidP="00B177A0">
      <w:pPr>
        <w:jc w:val="both"/>
        <w:rPr>
          <w:sz w:val="24"/>
          <w:szCs w:val="24"/>
        </w:rPr>
      </w:pPr>
    </w:p>
    <w:p w:rsidR="00B177A0" w:rsidRPr="00123C20" w:rsidRDefault="00B177A0" w:rsidP="00B177A0">
      <w:pPr>
        <w:jc w:val="both"/>
        <w:rPr>
          <w:sz w:val="24"/>
          <w:szCs w:val="24"/>
        </w:rPr>
      </w:pPr>
      <w:r w:rsidRPr="00123C20">
        <w:rPr>
          <w:sz w:val="24"/>
          <w:szCs w:val="24"/>
        </w:rPr>
        <w:tab/>
        <w:t xml:space="preserve">Es una realidad que la Ley de juego vigente de 1991 y sus reglamentos de desarrollo, marco regulatorio adecuado en su momento, se ha visto en </w:t>
      </w:r>
      <w:proofErr w:type="gramStart"/>
      <w:r w:rsidRPr="00123C20">
        <w:rPr>
          <w:sz w:val="24"/>
          <w:szCs w:val="24"/>
        </w:rPr>
        <w:t>alguna media superados</w:t>
      </w:r>
      <w:proofErr w:type="gramEnd"/>
      <w:r w:rsidRPr="00123C20">
        <w:rPr>
          <w:sz w:val="24"/>
          <w:szCs w:val="24"/>
        </w:rPr>
        <w:t xml:space="preserve"> por los nuevos retos del sector, los nuevos soportes de juego tecnológicos, en una realidad social cambiante con nuevas tendencias de ocio. Todo ello hace preciso someter a estudio la implementación de nuevas medidas políticas y regulatorias que aborden acabadamente la regulación del juego en Euskadi, con un horizonte de estabilidad en el tiempo.</w:t>
      </w:r>
    </w:p>
    <w:p w:rsidR="00F22DD7" w:rsidRPr="00123C20" w:rsidRDefault="00F22DD7" w:rsidP="00B177A0">
      <w:pPr>
        <w:jc w:val="both"/>
        <w:rPr>
          <w:sz w:val="24"/>
          <w:szCs w:val="24"/>
        </w:rPr>
      </w:pPr>
    </w:p>
    <w:p w:rsidR="00F22DD7" w:rsidRPr="00123C20" w:rsidRDefault="00F22DD7" w:rsidP="00F22DD7">
      <w:pPr>
        <w:jc w:val="both"/>
        <w:rPr>
          <w:sz w:val="24"/>
          <w:szCs w:val="24"/>
        </w:rPr>
      </w:pPr>
      <w:r w:rsidRPr="00123C20">
        <w:rPr>
          <w:sz w:val="24"/>
          <w:szCs w:val="24"/>
        </w:rPr>
        <w:tab/>
        <w:t>También se entiende que es preciso contar con un apartado específico en el trabajo que describa el aspecto sociológico del juego en Euskadi, sus patologías y conductas adictivas, que nos ofrezca un diagnóstico de la tipología de los juegos, al objeto de evitar o reducir las consecuencias negativas en las personas que lo practican, para, de ese modo, determinar las medidas normativas que haya que establecer.</w:t>
      </w:r>
    </w:p>
    <w:p w:rsidR="00F22DD7" w:rsidRPr="00123C20" w:rsidRDefault="00F22DD7" w:rsidP="00B177A0">
      <w:pPr>
        <w:jc w:val="both"/>
        <w:rPr>
          <w:sz w:val="24"/>
          <w:szCs w:val="24"/>
        </w:rPr>
      </w:pPr>
    </w:p>
    <w:p w:rsidR="006F5310" w:rsidRPr="00123C20" w:rsidRDefault="006F5310" w:rsidP="00B177A0">
      <w:pPr>
        <w:jc w:val="both"/>
        <w:rPr>
          <w:sz w:val="24"/>
          <w:szCs w:val="24"/>
        </w:rPr>
      </w:pPr>
      <w:r w:rsidRPr="00123C20">
        <w:rPr>
          <w:sz w:val="24"/>
          <w:szCs w:val="24"/>
        </w:rPr>
        <w:tab/>
        <w:t xml:space="preserve">Ya en 2007, la Dirección de Juego y Espectáculos elaboró el denominado Libro Blanco del Juego. En aquella ocasión se </w:t>
      </w:r>
      <w:r w:rsidR="0007463D" w:rsidRPr="00123C20">
        <w:rPr>
          <w:sz w:val="24"/>
          <w:szCs w:val="24"/>
        </w:rPr>
        <w:t>estudió exhaustivamente la realidad del juego en la CAV, pero la veloz dinámica que el sector posee y, sobre todo la aparición en escena y la previsible importancia que el juego ejecutado en forma remota y on-line hace necesaria la actualización del estudio.</w:t>
      </w:r>
    </w:p>
    <w:p w:rsidR="006F5310" w:rsidRPr="00123C20" w:rsidRDefault="006F5310" w:rsidP="00B177A0">
      <w:pPr>
        <w:jc w:val="both"/>
        <w:rPr>
          <w:sz w:val="24"/>
          <w:szCs w:val="24"/>
        </w:rPr>
      </w:pPr>
    </w:p>
    <w:p w:rsidR="00B177A0" w:rsidRPr="00123C20" w:rsidRDefault="00B177A0" w:rsidP="00B177A0">
      <w:pPr>
        <w:jc w:val="both"/>
        <w:rPr>
          <w:sz w:val="24"/>
          <w:szCs w:val="24"/>
        </w:rPr>
      </w:pPr>
      <w:r w:rsidRPr="00123C20">
        <w:rPr>
          <w:sz w:val="24"/>
          <w:szCs w:val="24"/>
        </w:rPr>
        <w:lastRenderedPageBreak/>
        <w:tab/>
        <w:t xml:space="preserve">Para ello, la Dirección de Juego y Espectáculos del Departamento de Seguridad precisa contar con un estudio sobre el juego en Euskadi, al objeto de redactar un denominado </w:t>
      </w:r>
      <w:r w:rsidR="00F22DD7" w:rsidRPr="00123C20">
        <w:rPr>
          <w:sz w:val="24"/>
          <w:szCs w:val="24"/>
        </w:rPr>
        <w:t xml:space="preserve">II </w:t>
      </w:r>
      <w:r w:rsidRPr="00123C20">
        <w:rPr>
          <w:sz w:val="24"/>
          <w:szCs w:val="24"/>
        </w:rPr>
        <w:t>Libro Blanco que permita aportar una visión de conjunto del sector del juego (agentes, cifras, marco normativo, potencialidades, debilidades, ...); realizar un diagnóstico del sector a nivel de tendencias y mejoras prácticas, y la identificación de retos y preparación para asumir dichos retos identificados como consecuencia del nuevo escenario del sector del juego.</w:t>
      </w:r>
    </w:p>
    <w:p w:rsidR="00B177A0" w:rsidRDefault="00B177A0" w:rsidP="00B177A0">
      <w:pPr>
        <w:jc w:val="both"/>
        <w:rPr>
          <w:sz w:val="24"/>
          <w:szCs w:val="24"/>
        </w:rPr>
      </w:pPr>
    </w:p>
    <w:p w:rsidR="001172D0" w:rsidRPr="00123C20" w:rsidRDefault="001172D0" w:rsidP="00B177A0">
      <w:pPr>
        <w:jc w:val="both"/>
        <w:rPr>
          <w:sz w:val="24"/>
          <w:szCs w:val="24"/>
        </w:rPr>
      </w:pPr>
    </w:p>
    <w:p w:rsidR="00B177A0" w:rsidRPr="00123C20" w:rsidRDefault="00B177A0" w:rsidP="00B177A0">
      <w:pPr>
        <w:jc w:val="both"/>
        <w:rPr>
          <w:b/>
          <w:sz w:val="24"/>
          <w:szCs w:val="24"/>
        </w:rPr>
      </w:pPr>
      <w:r w:rsidRPr="00123C20">
        <w:rPr>
          <w:b/>
          <w:sz w:val="24"/>
          <w:szCs w:val="24"/>
        </w:rPr>
        <w:t>2.- CONTENIDO DEL TRABAJO</w:t>
      </w:r>
    </w:p>
    <w:p w:rsidR="00B177A0" w:rsidRPr="00123C20" w:rsidRDefault="00B177A0" w:rsidP="00B177A0">
      <w:pPr>
        <w:jc w:val="both"/>
        <w:rPr>
          <w:b/>
          <w:sz w:val="24"/>
          <w:szCs w:val="24"/>
        </w:rPr>
      </w:pPr>
    </w:p>
    <w:p w:rsidR="00B177A0" w:rsidRPr="00123C20" w:rsidRDefault="00B177A0" w:rsidP="00B177A0">
      <w:pPr>
        <w:ind w:left="709"/>
        <w:jc w:val="both"/>
        <w:rPr>
          <w:b/>
          <w:sz w:val="24"/>
          <w:szCs w:val="24"/>
        </w:rPr>
      </w:pPr>
      <w:r w:rsidRPr="00123C20">
        <w:rPr>
          <w:b/>
          <w:sz w:val="24"/>
          <w:szCs w:val="24"/>
        </w:rPr>
        <w:t>2.1 Objeto</w:t>
      </w:r>
    </w:p>
    <w:p w:rsidR="00B177A0" w:rsidRPr="00123C20" w:rsidRDefault="00B177A0" w:rsidP="00B177A0">
      <w:pPr>
        <w:ind w:left="709"/>
        <w:jc w:val="both"/>
        <w:rPr>
          <w:sz w:val="24"/>
          <w:szCs w:val="24"/>
        </w:rPr>
      </w:pPr>
    </w:p>
    <w:p w:rsidR="00B177A0" w:rsidRPr="00123C20" w:rsidRDefault="00B177A0" w:rsidP="00B177A0">
      <w:pPr>
        <w:ind w:left="709"/>
        <w:jc w:val="both"/>
        <w:rPr>
          <w:sz w:val="24"/>
          <w:szCs w:val="24"/>
        </w:rPr>
      </w:pPr>
      <w:r w:rsidRPr="00123C20">
        <w:rPr>
          <w:sz w:val="24"/>
          <w:szCs w:val="24"/>
        </w:rPr>
        <w:tab/>
        <w:t xml:space="preserve">El objetivo general del </w:t>
      </w:r>
      <w:r w:rsidR="00FE1CE4">
        <w:rPr>
          <w:sz w:val="24"/>
          <w:szCs w:val="24"/>
        </w:rPr>
        <w:t xml:space="preserve">II </w:t>
      </w:r>
      <w:r w:rsidRPr="00123C20">
        <w:rPr>
          <w:sz w:val="24"/>
          <w:szCs w:val="24"/>
        </w:rPr>
        <w:t>Libro Blanco de Juego es, por lo tanto, profundizar en el análisis del sector identificando los elementos críticos y mejores prácticas que en último término puedan servir de base para una reflexión tanto en torno al desarrollo normativo del juego, como al modelo de gestión del juego en</w:t>
      </w:r>
      <w:r w:rsidR="00C1358B" w:rsidRPr="00123C20">
        <w:rPr>
          <w:sz w:val="24"/>
          <w:szCs w:val="24"/>
        </w:rPr>
        <w:t xml:space="preserve"> la CAPV. Así mismo impulsar la utilización </w:t>
      </w:r>
      <w:r w:rsidR="00A84705" w:rsidRPr="00123C20">
        <w:rPr>
          <w:sz w:val="24"/>
          <w:szCs w:val="24"/>
        </w:rPr>
        <w:t xml:space="preserve">de la responsabilidad en el juego, </w:t>
      </w:r>
      <w:r w:rsidR="00C1358B" w:rsidRPr="00123C20">
        <w:rPr>
          <w:sz w:val="24"/>
          <w:szCs w:val="24"/>
        </w:rPr>
        <w:t>y reduciendo sus efectos negativos</w:t>
      </w:r>
      <w:r w:rsidR="002600D2">
        <w:rPr>
          <w:sz w:val="24"/>
          <w:szCs w:val="24"/>
        </w:rPr>
        <w:t xml:space="preserve">. Análisis que posteriormente deberá ser plasmado en </w:t>
      </w:r>
      <w:proofErr w:type="gramStart"/>
      <w:r w:rsidR="002600D2">
        <w:rPr>
          <w:sz w:val="24"/>
          <w:szCs w:val="24"/>
        </w:rPr>
        <w:t>un</w:t>
      </w:r>
      <w:proofErr w:type="gramEnd"/>
      <w:r w:rsidR="002600D2">
        <w:rPr>
          <w:sz w:val="24"/>
          <w:szCs w:val="24"/>
        </w:rPr>
        <w:t xml:space="preserve"> publicación.</w:t>
      </w:r>
    </w:p>
    <w:p w:rsidR="00B177A0" w:rsidRPr="00123C20" w:rsidRDefault="00B177A0" w:rsidP="00B177A0">
      <w:pPr>
        <w:jc w:val="both"/>
        <w:rPr>
          <w:sz w:val="24"/>
          <w:szCs w:val="24"/>
        </w:rPr>
      </w:pPr>
    </w:p>
    <w:p w:rsidR="00B177A0" w:rsidRPr="00123C20" w:rsidRDefault="00B177A0" w:rsidP="00B177A0">
      <w:pPr>
        <w:ind w:left="709"/>
        <w:jc w:val="both"/>
        <w:rPr>
          <w:b/>
          <w:sz w:val="24"/>
          <w:szCs w:val="24"/>
        </w:rPr>
      </w:pPr>
      <w:r w:rsidRPr="00123C20">
        <w:rPr>
          <w:b/>
          <w:sz w:val="24"/>
          <w:szCs w:val="24"/>
        </w:rPr>
        <w:t>2.2. Objetivos específicos</w:t>
      </w:r>
    </w:p>
    <w:p w:rsidR="003A5771" w:rsidRPr="00123C20" w:rsidRDefault="003A5771" w:rsidP="00B177A0">
      <w:pPr>
        <w:ind w:left="709"/>
        <w:jc w:val="both"/>
        <w:rPr>
          <w:b/>
          <w:sz w:val="24"/>
          <w:szCs w:val="24"/>
        </w:rPr>
      </w:pPr>
    </w:p>
    <w:p w:rsidR="00B177A0" w:rsidRPr="00123C20" w:rsidRDefault="00B177A0" w:rsidP="00B177A0">
      <w:pPr>
        <w:ind w:left="709"/>
        <w:jc w:val="both"/>
        <w:rPr>
          <w:sz w:val="24"/>
          <w:szCs w:val="24"/>
        </w:rPr>
      </w:pPr>
      <w:r w:rsidRPr="00123C20">
        <w:rPr>
          <w:sz w:val="24"/>
          <w:szCs w:val="24"/>
        </w:rPr>
        <w:t>Los objetivos concretos a realizar en este trabajo son los siguientes:</w:t>
      </w:r>
    </w:p>
    <w:p w:rsidR="003A5771" w:rsidRPr="00123C20" w:rsidRDefault="003A5771" w:rsidP="00B177A0">
      <w:pPr>
        <w:ind w:left="709"/>
        <w:jc w:val="both"/>
        <w:rPr>
          <w:sz w:val="24"/>
          <w:szCs w:val="24"/>
        </w:rPr>
      </w:pPr>
    </w:p>
    <w:p w:rsidR="00B177A0" w:rsidRPr="001172D0" w:rsidRDefault="00B177A0" w:rsidP="001172D0">
      <w:pPr>
        <w:pStyle w:val="Prrafodelista"/>
        <w:numPr>
          <w:ilvl w:val="1"/>
          <w:numId w:val="12"/>
        </w:numPr>
        <w:shd w:val="clear" w:color="auto" w:fill="FFFFFF"/>
        <w:spacing w:line="274" w:lineRule="exact"/>
        <w:ind w:right="53"/>
        <w:jc w:val="both"/>
        <w:rPr>
          <w:spacing w:val="-2"/>
          <w:sz w:val="24"/>
          <w:szCs w:val="24"/>
          <w:lang w:val="es-ES_tradnl"/>
        </w:rPr>
      </w:pPr>
      <w:r w:rsidRPr="001172D0">
        <w:rPr>
          <w:spacing w:val="-2"/>
          <w:sz w:val="24"/>
          <w:szCs w:val="24"/>
          <w:lang w:val="es-ES_tradnl"/>
        </w:rPr>
        <w:t>Aportar una visión de conjunto del sector del juego (agentes, cifras,</w:t>
      </w:r>
      <w:r w:rsidR="000A7466" w:rsidRPr="001172D0">
        <w:rPr>
          <w:spacing w:val="-2"/>
          <w:sz w:val="24"/>
          <w:szCs w:val="24"/>
          <w:lang w:val="es-ES_tradnl"/>
        </w:rPr>
        <w:t xml:space="preserve"> </w:t>
      </w:r>
      <w:r w:rsidRPr="001172D0">
        <w:rPr>
          <w:spacing w:val="-2"/>
          <w:sz w:val="24"/>
          <w:szCs w:val="24"/>
          <w:lang w:val="es-ES_tradnl"/>
        </w:rPr>
        <w:t>marco legislativo, ...)</w:t>
      </w:r>
    </w:p>
    <w:p w:rsidR="00B177A0" w:rsidRPr="001172D0" w:rsidRDefault="00B177A0" w:rsidP="001172D0">
      <w:pPr>
        <w:pStyle w:val="Prrafodelista"/>
        <w:numPr>
          <w:ilvl w:val="1"/>
          <w:numId w:val="12"/>
        </w:numPr>
        <w:shd w:val="clear" w:color="auto" w:fill="FFFFFF"/>
        <w:spacing w:line="274" w:lineRule="exact"/>
        <w:ind w:right="53"/>
        <w:jc w:val="both"/>
        <w:rPr>
          <w:spacing w:val="-2"/>
          <w:sz w:val="24"/>
          <w:szCs w:val="24"/>
          <w:lang w:val="es-ES_tradnl"/>
        </w:rPr>
      </w:pPr>
      <w:r w:rsidRPr="001172D0">
        <w:rPr>
          <w:spacing w:val="-2"/>
          <w:sz w:val="24"/>
          <w:szCs w:val="24"/>
          <w:lang w:val="es-ES_tradnl"/>
        </w:rPr>
        <w:t>Realizar un diagnóstico del sector a nivel de tendencias y mejores</w:t>
      </w:r>
      <w:r w:rsidR="000A7466" w:rsidRPr="001172D0">
        <w:rPr>
          <w:spacing w:val="-2"/>
          <w:sz w:val="24"/>
          <w:szCs w:val="24"/>
          <w:lang w:val="es-ES_tradnl"/>
        </w:rPr>
        <w:t xml:space="preserve"> </w:t>
      </w:r>
      <w:r w:rsidRPr="001172D0">
        <w:rPr>
          <w:spacing w:val="-2"/>
          <w:sz w:val="24"/>
          <w:szCs w:val="24"/>
          <w:lang w:val="es-ES_tradnl"/>
        </w:rPr>
        <w:t>prácticas</w:t>
      </w:r>
    </w:p>
    <w:p w:rsidR="003A5771" w:rsidRPr="001172D0" w:rsidRDefault="00B177A0" w:rsidP="003A5771">
      <w:pPr>
        <w:pStyle w:val="Prrafodelista"/>
        <w:numPr>
          <w:ilvl w:val="1"/>
          <w:numId w:val="12"/>
        </w:numPr>
        <w:shd w:val="clear" w:color="auto" w:fill="FFFFFF"/>
        <w:spacing w:line="274" w:lineRule="exact"/>
        <w:ind w:right="53"/>
        <w:jc w:val="both"/>
        <w:rPr>
          <w:spacing w:val="-2"/>
          <w:sz w:val="24"/>
          <w:szCs w:val="24"/>
          <w:lang w:val="es-ES_tradnl"/>
        </w:rPr>
      </w:pPr>
      <w:r w:rsidRPr="001172D0">
        <w:rPr>
          <w:spacing w:val="-2"/>
          <w:sz w:val="24"/>
          <w:szCs w:val="24"/>
          <w:lang w:val="es-ES_tradnl"/>
        </w:rPr>
        <w:t>Identificar retos a afrontar como consecuencia del nuevo escenario del</w:t>
      </w:r>
      <w:r w:rsidR="000A7466" w:rsidRPr="001172D0">
        <w:rPr>
          <w:spacing w:val="-2"/>
          <w:sz w:val="24"/>
          <w:szCs w:val="24"/>
          <w:lang w:val="es-ES_tradnl"/>
        </w:rPr>
        <w:t xml:space="preserve"> </w:t>
      </w:r>
      <w:r w:rsidRPr="001172D0">
        <w:rPr>
          <w:spacing w:val="-2"/>
          <w:sz w:val="24"/>
          <w:szCs w:val="24"/>
          <w:lang w:val="es-ES_tradnl"/>
        </w:rPr>
        <w:t>sector del juego</w:t>
      </w:r>
      <w:r w:rsidR="001172D0" w:rsidRPr="001172D0">
        <w:rPr>
          <w:spacing w:val="-2"/>
          <w:sz w:val="24"/>
          <w:szCs w:val="24"/>
          <w:lang w:val="es-ES_tradnl"/>
        </w:rPr>
        <w:t xml:space="preserve"> (juego online, juego mediante servidor remoto, etc.)</w:t>
      </w:r>
    </w:p>
    <w:p w:rsidR="003A5771" w:rsidRPr="001172D0" w:rsidRDefault="003A5771" w:rsidP="003A5771">
      <w:pPr>
        <w:pStyle w:val="Prrafodelista"/>
        <w:numPr>
          <w:ilvl w:val="1"/>
          <w:numId w:val="12"/>
        </w:numPr>
        <w:shd w:val="clear" w:color="auto" w:fill="FFFFFF"/>
        <w:spacing w:line="274" w:lineRule="exact"/>
        <w:ind w:right="53"/>
        <w:jc w:val="both"/>
        <w:rPr>
          <w:spacing w:val="-2"/>
          <w:sz w:val="24"/>
          <w:szCs w:val="24"/>
          <w:lang w:val="es-ES_tradnl"/>
        </w:rPr>
      </w:pPr>
      <w:r w:rsidRPr="001172D0">
        <w:rPr>
          <w:spacing w:val="-2"/>
          <w:sz w:val="24"/>
          <w:szCs w:val="24"/>
          <w:lang w:val="es-ES_tradnl"/>
        </w:rPr>
        <w:t>Análisis de las repercusiones del juego patológico de los juegos que se desarrollen a través de Internet</w:t>
      </w:r>
      <w:r w:rsidR="00A84705" w:rsidRPr="001172D0">
        <w:rPr>
          <w:spacing w:val="-2"/>
          <w:sz w:val="24"/>
          <w:szCs w:val="24"/>
          <w:lang w:val="es-ES_tradnl"/>
        </w:rPr>
        <w:t>, y también en la modalidad del juego presencial.</w:t>
      </w:r>
    </w:p>
    <w:p w:rsidR="003A5771" w:rsidRPr="001172D0" w:rsidRDefault="003A5771" w:rsidP="003A5771">
      <w:pPr>
        <w:pStyle w:val="Prrafodelista"/>
        <w:numPr>
          <w:ilvl w:val="1"/>
          <w:numId w:val="12"/>
        </w:numPr>
        <w:shd w:val="clear" w:color="auto" w:fill="FFFFFF"/>
        <w:spacing w:line="274" w:lineRule="exact"/>
        <w:ind w:right="53"/>
        <w:jc w:val="both"/>
        <w:rPr>
          <w:spacing w:val="-2"/>
          <w:sz w:val="24"/>
          <w:szCs w:val="24"/>
          <w:lang w:val="es-ES_tradnl"/>
        </w:rPr>
      </w:pPr>
      <w:r w:rsidRPr="001172D0">
        <w:rPr>
          <w:spacing w:val="-2"/>
          <w:sz w:val="24"/>
          <w:szCs w:val="24"/>
          <w:lang w:val="es-ES_tradnl"/>
        </w:rPr>
        <w:t>Analizar si la socialización del juego (más publicidad</w:t>
      </w:r>
      <w:r w:rsidR="001172D0" w:rsidRPr="001172D0">
        <w:rPr>
          <w:spacing w:val="-2"/>
          <w:sz w:val="24"/>
          <w:szCs w:val="24"/>
          <w:lang w:val="es-ES_tradnl"/>
        </w:rPr>
        <w:t>,</w:t>
      </w:r>
      <w:r w:rsidRPr="001172D0">
        <w:rPr>
          <w:spacing w:val="-2"/>
          <w:sz w:val="24"/>
          <w:szCs w:val="24"/>
          <w:lang w:val="es-ES_tradnl"/>
        </w:rPr>
        <w:t xml:space="preserve"> más relevancia social...) pudiera suponer un uso más racional por parte de las personas usuarias.</w:t>
      </w:r>
    </w:p>
    <w:p w:rsidR="003A5771" w:rsidRPr="001172D0" w:rsidRDefault="003A5771" w:rsidP="003A5771">
      <w:pPr>
        <w:pStyle w:val="Prrafodelista"/>
        <w:numPr>
          <w:ilvl w:val="1"/>
          <w:numId w:val="12"/>
        </w:numPr>
        <w:shd w:val="clear" w:color="auto" w:fill="FFFFFF"/>
        <w:spacing w:line="274" w:lineRule="exact"/>
        <w:ind w:right="53"/>
        <w:jc w:val="both"/>
        <w:rPr>
          <w:spacing w:val="-2"/>
          <w:sz w:val="24"/>
          <w:szCs w:val="24"/>
          <w:lang w:val="es-ES_tradnl"/>
        </w:rPr>
      </w:pPr>
      <w:r w:rsidRPr="00123C20">
        <w:rPr>
          <w:spacing w:val="-2"/>
          <w:sz w:val="24"/>
          <w:szCs w:val="24"/>
          <w:lang w:val="es-ES_tradnl"/>
        </w:rPr>
        <w:t xml:space="preserve">Analizar los factores y elementos que inciden sobre la demanda </w:t>
      </w:r>
      <w:r w:rsidRPr="001172D0">
        <w:rPr>
          <w:spacing w:val="-2"/>
          <w:sz w:val="24"/>
          <w:szCs w:val="24"/>
          <w:lang w:val="es-ES_tradnl"/>
        </w:rPr>
        <w:t>potencial y efectiva y provocan el impulso del juego de una manera patológica.</w:t>
      </w:r>
    </w:p>
    <w:p w:rsidR="003A5771" w:rsidRPr="001172D0" w:rsidRDefault="003A5771" w:rsidP="003A5771">
      <w:pPr>
        <w:pStyle w:val="Prrafodelista"/>
        <w:numPr>
          <w:ilvl w:val="1"/>
          <w:numId w:val="12"/>
        </w:numPr>
        <w:shd w:val="clear" w:color="auto" w:fill="FFFFFF"/>
        <w:spacing w:line="274" w:lineRule="exact"/>
        <w:ind w:right="53"/>
        <w:jc w:val="both"/>
        <w:rPr>
          <w:spacing w:val="-2"/>
          <w:sz w:val="24"/>
          <w:szCs w:val="24"/>
          <w:lang w:val="es-ES_tradnl"/>
        </w:rPr>
      </w:pPr>
      <w:r w:rsidRPr="001172D0">
        <w:rPr>
          <w:spacing w:val="-2"/>
          <w:sz w:val="24"/>
          <w:szCs w:val="24"/>
          <w:lang w:val="es-ES_tradnl"/>
        </w:rPr>
        <w:t>Identificar las tipologías sociodemográficas de los usuarios de las diferentes modalidades de juego y ubicación del mismo (casinos, salas de bingo, salones de juego y recreativos, locales .de apuestas, hostelería...), y determinar las afecciones sociológicas del traslado de estas actividades a ámbitos ordinarios como consecuencia de la proliferación del juego on-line (hogar, calle, trabajo, etc.)</w:t>
      </w:r>
    </w:p>
    <w:p w:rsidR="00A84705" w:rsidRPr="001172D0" w:rsidRDefault="00A84705" w:rsidP="00A84705">
      <w:pPr>
        <w:pStyle w:val="Prrafodelista"/>
        <w:numPr>
          <w:ilvl w:val="1"/>
          <w:numId w:val="12"/>
        </w:numPr>
        <w:shd w:val="clear" w:color="auto" w:fill="FFFFFF"/>
        <w:spacing w:line="274" w:lineRule="exact"/>
        <w:ind w:right="53"/>
        <w:jc w:val="both"/>
        <w:rPr>
          <w:spacing w:val="-2"/>
          <w:sz w:val="24"/>
          <w:szCs w:val="24"/>
          <w:lang w:val="es-ES_tradnl"/>
        </w:rPr>
      </w:pPr>
      <w:r w:rsidRPr="001172D0">
        <w:rPr>
          <w:spacing w:val="-2"/>
          <w:sz w:val="24"/>
          <w:szCs w:val="24"/>
          <w:lang w:val="es-ES_tradnl"/>
        </w:rPr>
        <w:lastRenderedPageBreak/>
        <w:t>Analizar l</w:t>
      </w:r>
      <w:r w:rsidR="00F17C94" w:rsidRPr="001172D0">
        <w:rPr>
          <w:spacing w:val="-2"/>
          <w:sz w:val="24"/>
          <w:szCs w:val="24"/>
          <w:lang w:val="es-ES_tradnl"/>
        </w:rPr>
        <w:t>as actuales formas y lugares en que se desarrolla la actividad de juego</w:t>
      </w:r>
      <w:r w:rsidR="005605D4" w:rsidRPr="001172D0">
        <w:rPr>
          <w:spacing w:val="-2"/>
          <w:sz w:val="24"/>
          <w:szCs w:val="24"/>
          <w:lang w:val="es-ES_tradnl"/>
        </w:rPr>
        <w:t xml:space="preserve">, de </w:t>
      </w:r>
      <w:r w:rsidR="00F17C94" w:rsidRPr="001172D0">
        <w:rPr>
          <w:spacing w:val="-2"/>
          <w:sz w:val="24"/>
          <w:szCs w:val="24"/>
          <w:lang w:val="es-ES_tradnl"/>
        </w:rPr>
        <w:t xml:space="preserve">cara a estimar su idoneidad o conveniencia para el correcto desarrollo de la actividad. </w:t>
      </w:r>
    </w:p>
    <w:p w:rsidR="003A5771" w:rsidRPr="00123C20" w:rsidRDefault="003A5771" w:rsidP="003A5771">
      <w:pPr>
        <w:ind w:left="709"/>
        <w:jc w:val="both"/>
        <w:rPr>
          <w:sz w:val="24"/>
          <w:szCs w:val="24"/>
        </w:rPr>
      </w:pPr>
    </w:p>
    <w:p w:rsidR="00B177A0" w:rsidRPr="00123C20" w:rsidRDefault="00B177A0" w:rsidP="00B177A0">
      <w:pPr>
        <w:ind w:left="709"/>
        <w:jc w:val="both"/>
        <w:rPr>
          <w:b/>
          <w:sz w:val="24"/>
          <w:szCs w:val="24"/>
        </w:rPr>
      </w:pPr>
      <w:r w:rsidRPr="00123C20">
        <w:rPr>
          <w:b/>
          <w:sz w:val="24"/>
          <w:szCs w:val="24"/>
        </w:rPr>
        <w:t>2.3.</w:t>
      </w:r>
      <w:r w:rsidRPr="00123C20">
        <w:rPr>
          <w:b/>
          <w:sz w:val="24"/>
          <w:szCs w:val="24"/>
        </w:rPr>
        <w:tab/>
        <w:t>Productos</w:t>
      </w:r>
    </w:p>
    <w:p w:rsidR="00B177A0" w:rsidRPr="00123C20" w:rsidRDefault="00B177A0" w:rsidP="00B177A0">
      <w:pPr>
        <w:ind w:left="709"/>
        <w:jc w:val="both"/>
        <w:rPr>
          <w:b/>
          <w:sz w:val="24"/>
          <w:szCs w:val="24"/>
        </w:rPr>
      </w:pPr>
    </w:p>
    <w:p w:rsidR="00B177A0" w:rsidRPr="00123C20" w:rsidRDefault="00AA192B" w:rsidP="00AA192B">
      <w:pPr>
        <w:ind w:left="709"/>
        <w:jc w:val="both"/>
        <w:rPr>
          <w:sz w:val="24"/>
          <w:szCs w:val="24"/>
        </w:rPr>
      </w:pPr>
      <w:r w:rsidRPr="00123C20">
        <w:rPr>
          <w:sz w:val="24"/>
          <w:szCs w:val="24"/>
        </w:rPr>
        <w:tab/>
      </w:r>
      <w:r w:rsidR="00B177A0" w:rsidRPr="00123C20">
        <w:rPr>
          <w:sz w:val="24"/>
          <w:szCs w:val="24"/>
        </w:rPr>
        <w:t xml:space="preserve">Como resultado del trabajo se deberá presentar el </w:t>
      </w:r>
      <w:r w:rsidR="008E6DB4" w:rsidRPr="00123C20">
        <w:rPr>
          <w:sz w:val="24"/>
          <w:szCs w:val="24"/>
        </w:rPr>
        <w:t xml:space="preserve">II </w:t>
      </w:r>
      <w:r w:rsidR="00B177A0" w:rsidRPr="00123C20">
        <w:rPr>
          <w:sz w:val="24"/>
          <w:szCs w:val="24"/>
        </w:rPr>
        <w:t>Libro Blanco del sector del juego en el que se integren las conclusiones de los siguientes productos intermedios:</w:t>
      </w:r>
    </w:p>
    <w:p w:rsidR="008E6DB4" w:rsidRPr="00123C20" w:rsidRDefault="008E6DB4" w:rsidP="00AA192B">
      <w:pPr>
        <w:ind w:left="709"/>
        <w:jc w:val="both"/>
        <w:rPr>
          <w:sz w:val="24"/>
          <w:szCs w:val="24"/>
        </w:rPr>
      </w:pPr>
    </w:p>
    <w:p w:rsidR="00B177A0" w:rsidRPr="00123C20" w:rsidRDefault="00AA192B" w:rsidP="00AA192B">
      <w:pPr>
        <w:ind w:left="1418"/>
        <w:jc w:val="both"/>
        <w:rPr>
          <w:b/>
          <w:sz w:val="24"/>
          <w:szCs w:val="24"/>
        </w:rPr>
      </w:pPr>
      <w:r w:rsidRPr="00123C20">
        <w:rPr>
          <w:b/>
          <w:sz w:val="24"/>
          <w:szCs w:val="24"/>
        </w:rPr>
        <w:t>-</w:t>
      </w:r>
      <w:r w:rsidR="00B177A0" w:rsidRPr="00123C20">
        <w:rPr>
          <w:b/>
          <w:sz w:val="24"/>
          <w:szCs w:val="24"/>
        </w:rPr>
        <w:t>Documento de diagnóstico de la situación actual:</w:t>
      </w:r>
    </w:p>
    <w:p w:rsidR="00AA192B" w:rsidRPr="00123C20" w:rsidRDefault="00AA192B" w:rsidP="00AA192B">
      <w:pPr>
        <w:ind w:left="1418"/>
        <w:jc w:val="both"/>
        <w:rPr>
          <w:sz w:val="24"/>
          <w:szCs w:val="24"/>
        </w:rPr>
      </w:pPr>
    </w:p>
    <w:p w:rsidR="00B177A0" w:rsidRPr="00123C20" w:rsidRDefault="008E6DB4" w:rsidP="00AA192B">
      <w:pPr>
        <w:ind w:left="709"/>
        <w:jc w:val="both"/>
        <w:rPr>
          <w:sz w:val="24"/>
          <w:szCs w:val="24"/>
        </w:rPr>
      </w:pPr>
      <w:r w:rsidRPr="00123C20">
        <w:rPr>
          <w:sz w:val="24"/>
          <w:szCs w:val="24"/>
        </w:rPr>
        <w:tab/>
      </w:r>
      <w:r w:rsidR="00B177A0" w:rsidRPr="00123C20">
        <w:rPr>
          <w:sz w:val="24"/>
          <w:szCs w:val="24"/>
        </w:rPr>
        <w:t>Una descripción completa de la práctica del juego en la CAPV que incluya</w:t>
      </w:r>
      <w:r w:rsidR="00100C18" w:rsidRPr="00123C20">
        <w:rPr>
          <w:sz w:val="24"/>
          <w:szCs w:val="24"/>
        </w:rPr>
        <w:t>, un análisis de la realidad del juego, y una estimación del futuro basado en la expansión del uso de las nuevas tecnologías,</w:t>
      </w:r>
      <w:r w:rsidR="00B177A0" w:rsidRPr="00123C20">
        <w:rPr>
          <w:sz w:val="24"/>
          <w:szCs w:val="24"/>
        </w:rPr>
        <w:t xml:space="preserve"> un análisis de los organismos intervinientes, un análisis jurídico de la normativa administrativa y fiscal, un análisis sociológico de los hábitos sociales respecto al juego, y un análisis económico del sector.</w:t>
      </w:r>
    </w:p>
    <w:p w:rsidR="00B177A0" w:rsidRPr="00123C20" w:rsidRDefault="008E6DB4" w:rsidP="00AA192B">
      <w:pPr>
        <w:ind w:left="709"/>
        <w:jc w:val="both"/>
        <w:rPr>
          <w:sz w:val="24"/>
          <w:szCs w:val="24"/>
        </w:rPr>
      </w:pPr>
      <w:r w:rsidRPr="00123C20">
        <w:rPr>
          <w:sz w:val="24"/>
          <w:szCs w:val="24"/>
        </w:rPr>
        <w:tab/>
      </w:r>
      <w:r w:rsidR="00B177A0" w:rsidRPr="00123C20">
        <w:rPr>
          <w:sz w:val="24"/>
          <w:szCs w:val="24"/>
        </w:rPr>
        <w:t>Para la elaboración del análisis sociológico se requerirá el desarrollo de una encuesta de hábitos sociales en torno al juego en la CAPV, discriminando la información por territorios históricos, sexo, edad y otras variables socioeconómicas.</w:t>
      </w:r>
    </w:p>
    <w:p w:rsidR="008E6DB4" w:rsidRPr="00123C20" w:rsidRDefault="008E6DB4" w:rsidP="00AA192B">
      <w:pPr>
        <w:ind w:left="709"/>
        <w:jc w:val="both"/>
        <w:rPr>
          <w:sz w:val="24"/>
          <w:szCs w:val="24"/>
        </w:rPr>
      </w:pPr>
    </w:p>
    <w:p w:rsidR="00B177A0" w:rsidRPr="00123C20" w:rsidRDefault="00B64CD6" w:rsidP="00B64CD6">
      <w:pPr>
        <w:ind w:left="1418"/>
        <w:jc w:val="both"/>
        <w:rPr>
          <w:sz w:val="24"/>
          <w:szCs w:val="24"/>
        </w:rPr>
      </w:pPr>
      <w:r w:rsidRPr="00123C20">
        <w:rPr>
          <w:sz w:val="24"/>
          <w:szCs w:val="24"/>
        </w:rPr>
        <w:t>-</w:t>
      </w:r>
      <w:r w:rsidR="00B177A0" w:rsidRPr="00123C20">
        <w:rPr>
          <w:b/>
          <w:sz w:val="24"/>
          <w:szCs w:val="24"/>
        </w:rPr>
        <w:t>Documento que incluya un análisis de prácticas novedosas y practicas</w:t>
      </w:r>
      <w:r w:rsidR="008E6DB4" w:rsidRPr="00123C20">
        <w:rPr>
          <w:b/>
          <w:sz w:val="24"/>
          <w:szCs w:val="24"/>
        </w:rPr>
        <w:t xml:space="preserve"> </w:t>
      </w:r>
      <w:r w:rsidR="00B177A0" w:rsidRPr="00123C20">
        <w:rPr>
          <w:b/>
          <w:sz w:val="24"/>
          <w:szCs w:val="24"/>
        </w:rPr>
        <w:t>responsables,</w:t>
      </w:r>
      <w:r w:rsidR="00B177A0" w:rsidRPr="00123C20">
        <w:rPr>
          <w:sz w:val="24"/>
          <w:szCs w:val="24"/>
        </w:rPr>
        <w:t xml:space="preserve"> así como tendencias del sector del juego (normativa, </w:t>
      </w:r>
      <w:r w:rsidR="00100C18" w:rsidRPr="00123C20">
        <w:rPr>
          <w:sz w:val="24"/>
          <w:szCs w:val="24"/>
        </w:rPr>
        <w:t xml:space="preserve">juego on-line, juegos basados en servidor remoto, </w:t>
      </w:r>
      <w:r w:rsidR="00B177A0" w:rsidRPr="00123C20">
        <w:rPr>
          <w:sz w:val="24"/>
          <w:szCs w:val="24"/>
        </w:rPr>
        <w:t>medidas</w:t>
      </w:r>
      <w:r w:rsidR="008E6DB4" w:rsidRPr="00123C20">
        <w:rPr>
          <w:sz w:val="24"/>
          <w:szCs w:val="24"/>
        </w:rPr>
        <w:t xml:space="preserve"> </w:t>
      </w:r>
      <w:r w:rsidR="00B177A0" w:rsidRPr="00123C20">
        <w:rPr>
          <w:sz w:val="24"/>
          <w:szCs w:val="24"/>
        </w:rPr>
        <w:t>para el control de prácticas ilegales,...).</w:t>
      </w:r>
    </w:p>
    <w:p w:rsidR="008E6DB4" w:rsidRPr="00123C20" w:rsidRDefault="008E6DB4" w:rsidP="00AA192B">
      <w:pPr>
        <w:ind w:left="709"/>
        <w:jc w:val="both"/>
        <w:rPr>
          <w:sz w:val="24"/>
          <w:szCs w:val="24"/>
        </w:rPr>
      </w:pPr>
    </w:p>
    <w:p w:rsidR="00B177A0" w:rsidRPr="00123C20" w:rsidRDefault="00B177A0" w:rsidP="00B64CD6">
      <w:pPr>
        <w:ind w:left="1418"/>
        <w:jc w:val="both"/>
        <w:rPr>
          <w:sz w:val="24"/>
          <w:szCs w:val="24"/>
        </w:rPr>
      </w:pPr>
      <w:r w:rsidRPr="00123C20">
        <w:rPr>
          <w:sz w:val="24"/>
          <w:szCs w:val="24"/>
        </w:rPr>
        <w:t>-</w:t>
      </w:r>
      <w:r w:rsidRPr="00123C20">
        <w:rPr>
          <w:b/>
          <w:sz w:val="24"/>
          <w:szCs w:val="24"/>
        </w:rPr>
        <w:t>Documento de análisis de debilidades, amenazas, fortalezas y</w:t>
      </w:r>
      <w:r w:rsidR="00B64CD6" w:rsidRPr="00123C20">
        <w:rPr>
          <w:b/>
          <w:sz w:val="24"/>
          <w:szCs w:val="24"/>
        </w:rPr>
        <w:t xml:space="preserve"> </w:t>
      </w:r>
      <w:r w:rsidRPr="00123C20">
        <w:rPr>
          <w:b/>
          <w:sz w:val="24"/>
          <w:szCs w:val="24"/>
        </w:rPr>
        <w:t>oportunidades</w:t>
      </w:r>
      <w:r w:rsidRPr="00123C20">
        <w:rPr>
          <w:sz w:val="24"/>
          <w:szCs w:val="24"/>
        </w:rPr>
        <w:t xml:space="preserve"> (DAFO) del sector del juego en la CAPV, en el que se destaquen</w:t>
      </w:r>
      <w:r w:rsidR="00B64CD6" w:rsidRPr="00123C20">
        <w:rPr>
          <w:sz w:val="24"/>
          <w:szCs w:val="24"/>
        </w:rPr>
        <w:t xml:space="preserve"> </w:t>
      </w:r>
      <w:r w:rsidRPr="00123C20">
        <w:rPr>
          <w:sz w:val="24"/>
          <w:szCs w:val="24"/>
        </w:rPr>
        <w:t>los principales retos del sector.</w:t>
      </w:r>
    </w:p>
    <w:p w:rsidR="00B64CD6" w:rsidRPr="00123C20" w:rsidRDefault="00B64CD6" w:rsidP="00AA192B">
      <w:pPr>
        <w:ind w:left="709"/>
        <w:jc w:val="both"/>
        <w:rPr>
          <w:sz w:val="24"/>
          <w:szCs w:val="24"/>
        </w:rPr>
      </w:pPr>
    </w:p>
    <w:p w:rsidR="00B177A0" w:rsidRPr="00123C20" w:rsidRDefault="00B177A0" w:rsidP="00B64CD6">
      <w:pPr>
        <w:ind w:left="1418"/>
        <w:jc w:val="both"/>
        <w:rPr>
          <w:sz w:val="24"/>
          <w:szCs w:val="24"/>
        </w:rPr>
      </w:pPr>
      <w:r w:rsidRPr="00123C20">
        <w:rPr>
          <w:sz w:val="24"/>
          <w:szCs w:val="24"/>
        </w:rPr>
        <w:t>-</w:t>
      </w:r>
      <w:r w:rsidRPr="00123C20">
        <w:rPr>
          <w:b/>
          <w:sz w:val="24"/>
          <w:szCs w:val="24"/>
        </w:rPr>
        <w:t>Reflexión en torno a los retos y posibles líneas estratégicas  a</w:t>
      </w:r>
      <w:r w:rsidR="00B64CD6" w:rsidRPr="00123C20">
        <w:rPr>
          <w:b/>
          <w:sz w:val="24"/>
          <w:szCs w:val="24"/>
        </w:rPr>
        <w:t xml:space="preserve"> </w:t>
      </w:r>
      <w:r w:rsidRPr="00123C20">
        <w:rPr>
          <w:b/>
          <w:sz w:val="24"/>
          <w:szCs w:val="24"/>
        </w:rPr>
        <w:t>desarrollar.</w:t>
      </w:r>
    </w:p>
    <w:p w:rsidR="00B64CD6" w:rsidRPr="00123C20" w:rsidRDefault="00B64CD6" w:rsidP="00AA192B">
      <w:pPr>
        <w:ind w:left="709"/>
        <w:jc w:val="both"/>
        <w:rPr>
          <w:sz w:val="24"/>
          <w:szCs w:val="24"/>
        </w:rPr>
      </w:pPr>
    </w:p>
    <w:p w:rsidR="00B177A0" w:rsidRPr="00123C20" w:rsidRDefault="00B177A0" w:rsidP="00CC0320">
      <w:pPr>
        <w:ind w:left="709"/>
        <w:jc w:val="both"/>
        <w:rPr>
          <w:b/>
          <w:sz w:val="24"/>
          <w:szCs w:val="24"/>
        </w:rPr>
      </w:pPr>
      <w:r w:rsidRPr="00123C20">
        <w:rPr>
          <w:b/>
          <w:sz w:val="24"/>
          <w:szCs w:val="24"/>
        </w:rPr>
        <w:t>2.4.</w:t>
      </w:r>
      <w:r w:rsidRPr="00123C20">
        <w:rPr>
          <w:b/>
          <w:sz w:val="24"/>
          <w:szCs w:val="24"/>
        </w:rPr>
        <w:tab/>
        <w:t>Metodología</w:t>
      </w:r>
    </w:p>
    <w:p w:rsidR="00CC0320" w:rsidRPr="00123C20" w:rsidRDefault="00CC0320" w:rsidP="00CC0320">
      <w:pPr>
        <w:ind w:left="709"/>
        <w:jc w:val="both"/>
        <w:rPr>
          <w:b/>
          <w:sz w:val="24"/>
          <w:szCs w:val="24"/>
        </w:rPr>
      </w:pPr>
    </w:p>
    <w:p w:rsidR="00B177A0" w:rsidRPr="00123C20" w:rsidRDefault="00B177A0" w:rsidP="00C04CE5">
      <w:pPr>
        <w:ind w:left="709"/>
        <w:jc w:val="both"/>
        <w:rPr>
          <w:sz w:val="24"/>
          <w:szCs w:val="24"/>
        </w:rPr>
      </w:pPr>
      <w:r w:rsidRPr="00123C20">
        <w:rPr>
          <w:sz w:val="24"/>
          <w:szCs w:val="24"/>
        </w:rPr>
        <w:t xml:space="preserve">La metodología para la gestión, organización y el control de calidad del proyecto deberá incluir </w:t>
      </w:r>
      <w:r w:rsidR="00B05779" w:rsidRPr="00123C20">
        <w:rPr>
          <w:sz w:val="24"/>
          <w:szCs w:val="24"/>
        </w:rPr>
        <w:t>siete</w:t>
      </w:r>
      <w:r w:rsidRPr="00123C20">
        <w:rPr>
          <w:sz w:val="24"/>
          <w:szCs w:val="24"/>
        </w:rPr>
        <w:t xml:space="preserve"> fases:</w:t>
      </w:r>
    </w:p>
    <w:p w:rsidR="00576FED" w:rsidRPr="00123C20" w:rsidRDefault="00576FED" w:rsidP="00C04CE5">
      <w:pPr>
        <w:ind w:left="709"/>
        <w:jc w:val="both"/>
        <w:rPr>
          <w:sz w:val="24"/>
          <w:szCs w:val="24"/>
        </w:rPr>
      </w:pPr>
    </w:p>
    <w:p w:rsidR="00B177A0" w:rsidRPr="00123C20" w:rsidRDefault="00C04CE5" w:rsidP="00C04CE5">
      <w:pPr>
        <w:ind w:left="1418"/>
        <w:jc w:val="both"/>
        <w:rPr>
          <w:b/>
          <w:sz w:val="24"/>
          <w:szCs w:val="24"/>
        </w:rPr>
      </w:pPr>
      <w:r w:rsidRPr="00123C20">
        <w:rPr>
          <w:b/>
          <w:sz w:val="24"/>
          <w:szCs w:val="24"/>
        </w:rPr>
        <w:t>-</w:t>
      </w:r>
      <w:r w:rsidR="00B177A0" w:rsidRPr="00123C20">
        <w:rPr>
          <w:b/>
          <w:sz w:val="24"/>
          <w:szCs w:val="24"/>
        </w:rPr>
        <w:t>Análisis del marco regulatorio administrativo y económico del sector:</w:t>
      </w:r>
    </w:p>
    <w:p w:rsidR="00B177A0" w:rsidRPr="00123C20" w:rsidRDefault="00C04CE5" w:rsidP="00C04CE5">
      <w:pPr>
        <w:ind w:left="709"/>
        <w:jc w:val="both"/>
        <w:rPr>
          <w:sz w:val="24"/>
          <w:szCs w:val="24"/>
        </w:rPr>
      </w:pPr>
      <w:r w:rsidRPr="00123C20">
        <w:rPr>
          <w:sz w:val="24"/>
          <w:szCs w:val="24"/>
        </w:rPr>
        <w:tab/>
      </w:r>
      <w:r w:rsidR="003A5771" w:rsidRPr="00123C20">
        <w:rPr>
          <w:sz w:val="24"/>
          <w:szCs w:val="24"/>
        </w:rPr>
        <w:tab/>
      </w:r>
      <w:r w:rsidR="00B177A0" w:rsidRPr="00123C20">
        <w:rPr>
          <w:sz w:val="24"/>
          <w:szCs w:val="24"/>
        </w:rPr>
        <w:t>Dicho análisis recogerá, al menos:</w:t>
      </w:r>
    </w:p>
    <w:p w:rsidR="00B177A0" w:rsidRPr="00123C20" w:rsidRDefault="00B177A0" w:rsidP="00C04CE5">
      <w:pPr>
        <w:pStyle w:val="Prrafodelista"/>
        <w:numPr>
          <w:ilvl w:val="0"/>
          <w:numId w:val="2"/>
        </w:numPr>
        <w:ind w:left="2127"/>
        <w:jc w:val="both"/>
        <w:rPr>
          <w:sz w:val="24"/>
          <w:szCs w:val="24"/>
        </w:rPr>
      </w:pPr>
      <w:r w:rsidRPr="00123C20">
        <w:rPr>
          <w:sz w:val="24"/>
          <w:szCs w:val="24"/>
        </w:rPr>
        <w:t>Análisis jurídico: de la normativa administrativa y fiscal</w:t>
      </w:r>
      <w:r w:rsidR="00C04CE5" w:rsidRPr="00123C20">
        <w:rPr>
          <w:sz w:val="24"/>
          <w:szCs w:val="24"/>
        </w:rPr>
        <w:t xml:space="preserve"> </w:t>
      </w:r>
      <w:r w:rsidRPr="00123C20">
        <w:rPr>
          <w:sz w:val="24"/>
          <w:szCs w:val="24"/>
        </w:rPr>
        <w:t>del sector del juego de aplicación en la CAPV, otras</w:t>
      </w:r>
      <w:r w:rsidR="00C04CE5" w:rsidRPr="00123C20">
        <w:rPr>
          <w:sz w:val="24"/>
          <w:szCs w:val="24"/>
        </w:rPr>
        <w:t xml:space="preserve"> </w:t>
      </w:r>
      <w:r w:rsidRPr="00123C20">
        <w:rPr>
          <w:sz w:val="24"/>
          <w:szCs w:val="24"/>
        </w:rPr>
        <w:t>Comunidades Autónomas, el Estado, Unión Europea.</w:t>
      </w:r>
    </w:p>
    <w:p w:rsidR="00B177A0" w:rsidRPr="00123C20" w:rsidRDefault="00B177A0" w:rsidP="00C04CE5">
      <w:pPr>
        <w:pStyle w:val="Prrafodelista"/>
        <w:numPr>
          <w:ilvl w:val="0"/>
          <w:numId w:val="2"/>
        </w:numPr>
        <w:ind w:left="2127"/>
        <w:jc w:val="both"/>
        <w:rPr>
          <w:sz w:val="24"/>
          <w:szCs w:val="24"/>
        </w:rPr>
      </w:pPr>
      <w:r w:rsidRPr="00123C20">
        <w:rPr>
          <w:sz w:val="24"/>
          <w:szCs w:val="24"/>
        </w:rPr>
        <w:lastRenderedPageBreak/>
        <w:t>Análisis económico: que recoja las principales cifras del</w:t>
      </w:r>
      <w:r w:rsidR="00C04CE5" w:rsidRPr="00123C20">
        <w:rPr>
          <w:sz w:val="24"/>
          <w:szCs w:val="24"/>
        </w:rPr>
        <w:t xml:space="preserve"> </w:t>
      </w:r>
      <w:r w:rsidRPr="00123C20">
        <w:rPr>
          <w:sz w:val="24"/>
          <w:szCs w:val="24"/>
        </w:rPr>
        <w:t>sector, (facturación, impacto en el PIB de la actividad del</w:t>
      </w:r>
      <w:r w:rsidR="00C04CE5" w:rsidRPr="00123C20">
        <w:rPr>
          <w:sz w:val="24"/>
          <w:szCs w:val="24"/>
        </w:rPr>
        <w:t xml:space="preserve"> </w:t>
      </w:r>
      <w:r w:rsidRPr="00123C20">
        <w:rPr>
          <w:sz w:val="24"/>
          <w:szCs w:val="24"/>
        </w:rPr>
        <w:t>Juego y de la recaudación tributaria, otros....)</w:t>
      </w:r>
    </w:p>
    <w:p w:rsidR="00B177A0" w:rsidRPr="00123C20" w:rsidRDefault="00B177A0" w:rsidP="00B177A0">
      <w:pPr>
        <w:jc w:val="both"/>
        <w:rPr>
          <w:sz w:val="24"/>
          <w:szCs w:val="24"/>
        </w:rPr>
      </w:pPr>
      <w:r w:rsidRPr="00123C20">
        <w:rPr>
          <w:sz w:val="24"/>
          <w:szCs w:val="24"/>
        </w:rPr>
        <w:t xml:space="preserve"> </w:t>
      </w:r>
    </w:p>
    <w:p w:rsidR="00B177A0" w:rsidRPr="00123C20" w:rsidRDefault="00877568" w:rsidP="00877568">
      <w:pPr>
        <w:ind w:left="1418"/>
        <w:jc w:val="both"/>
        <w:rPr>
          <w:b/>
          <w:sz w:val="24"/>
          <w:szCs w:val="24"/>
        </w:rPr>
      </w:pPr>
      <w:r w:rsidRPr="00123C20">
        <w:rPr>
          <w:b/>
          <w:sz w:val="24"/>
          <w:szCs w:val="24"/>
        </w:rPr>
        <w:t>-</w:t>
      </w:r>
      <w:r w:rsidR="00B177A0" w:rsidRPr="00123C20">
        <w:rPr>
          <w:b/>
          <w:sz w:val="24"/>
          <w:szCs w:val="24"/>
        </w:rPr>
        <w:t>Análisis de normativa fiscal del sector de juego de la CAPV, a nivel de</w:t>
      </w:r>
      <w:r w:rsidRPr="00123C20">
        <w:rPr>
          <w:b/>
          <w:sz w:val="24"/>
          <w:szCs w:val="24"/>
        </w:rPr>
        <w:t xml:space="preserve"> </w:t>
      </w:r>
      <w:r w:rsidR="00B177A0" w:rsidRPr="00123C20">
        <w:rPr>
          <w:b/>
          <w:sz w:val="24"/>
          <w:szCs w:val="24"/>
        </w:rPr>
        <w:t>las  instituciones comunes y órganos competentes de los territorios</w:t>
      </w:r>
      <w:r w:rsidRPr="00123C20">
        <w:rPr>
          <w:b/>
          <w:sz w:val="24"/>
          <w:szCs w:val="24"/>
        </w:rPr>
        <w:t xml:space="preserve"> </w:t>
      </w:r>
      <w:r w:rsidR="00B177A0" w:rsidRPr="00123C20">
        <w:rPr>
          <w:b/>
          <w:sz w:val="24"/>
          <w:szCs w:val="24"/>
        </w:rPr>
        <w:t>históricos, y en relación con otras CCAA, Estado y Unión Europea.</w:t>
      </w:r>
    </w:p>
    <w:p w:rsidR="003601A1" w:rsidRPr="00123C20" w:rsidRDefault="003601A1" w:rsidP="00877568">
      <w:pPr>
        <w:ind w:left="1418"/>
        <w:jc w:val="both"/>
        <w:rPr>
          <w:b/>
          <w:sz w:val="24"/>
          <w:szCs w:val="24"/>
        </w:rPr>
      </w:pPr>
    </w:p>
    <w:p w:rsidR="00B177A0" w:rsidRPr="00123C20" w:rsidRDefault="00B177A0" w:rsidP="003601A1">
      <w:pPr>
        <w:ind w:left="1418"/>
        <w:jc w:val="both"/>
        <w:rPr>
          <w:b/>
          <w:sz w:val="24"/>
          <w:szCs w:val="24"/>
        </w:rPr>
      </w:pPr>
      <w:r w:rsidRPr="00123C20">
        <w:rPr>
          <w:b/>
          <w:sz w:val="24"/>
          <w:szCs w:val="24"/>
        </w:rPr>
        <w:t>-Análisis de medidas normativas de planificación del juego desde la óptica del artículo 4 y concordantes de la Ley de Juego de 1991.</w:t>
      </w:r>
    </w:p>
    <w:p w:rsidR="003601A1" w:rsidRPr="00123C20" w:rsidRDefault="003601A1" w:rsidP="003601A1">
      <w:pPr>
        <w:ind w:left="1418"/>
        <w:jc w:val="both"/>
        <w:rPr>
          <w:b/>
          <w:sz w:val="24"/>
          <w:szCs w:val="24"/>
        </w:rPr>
      </w:pPr>
    </w:p>
    <w:p w:rsidR="00B177A0" w:rsidRPr="00123C20" w:rsidRDefault="00B177A0" w:rsidP="003601A1">
      <w:pPr>
        <w:ind w:left="1418"/>
        <w:jc w:val="both"/>
        <w:rPr>
          <w:b/>
          <w:sz w:val="24"/>
          <w:szCs w:val="24"/>
        </w:rPr>
      </w:pPr>
      <w:r w:rsidRPr="00123C20">
        <w:rPr>
          <w:b/>
          <w:sz w:val="24"/>
          <w:szCs w:val="24"/>
        </w:rPr>
        <w:t>-Análisis de dependencia e interrelación de los diferentes subsectores de juego de la CAPV. Especial análisis de modelos estancos y/o horizontales.</w:t>
      </w:r>
    </w:p>
    <w:p w:rsidR="003A5771" w:rsidRPr="00123C20" w:rsidRDefault="003A5771" w:rsidP="003601A1">
      <w:pPr>
        <w:ind w:left="1418"/>
        <w:jc w:val="both"/>
        <w:rPr>
          <w:b/>
          <w:sz w:val="24"/>
          <w:szCs w:val="24"/>
        </w:rPr>
      </w:pPr>
    </w:p>
    <w:p w:rsidR="005605D4" w:rsidRPr="00123C20" w:rsidRDefault="005605D4" w:rsidP="003601A1">
      <w:pPr>
        <w:ind w:left="1418"/>
        <w:jc w:val="both"/>
        <w:rPr>
          <w:sz w:val="24"/>
          <w:szCs w:val="24"/>
        </w:rPr>
      </w:pPr>
      <w:r w:rsidRPr="00123C20">
        <w:rPr>
          <w:b/>
          <w:sz w:val="24"/>
          <w:szCs w:val="24"/>
        </w:rPr>
        <w:t xml:space="preserve">-Análisis de la oferta de juego existente en la CAV, independientemente de quién es la administración competente. </w:t>
      </w:r>
      <w:r w:rsidRPr="00123C20">
        <w:rPr>
          <w:sz w:val="24"/>
          <w:szCs w:val="24"/>
        </w:rPr>
        <w:t xml:space="preserve">De competencia estatal, tales como loterías, quinielas, boletos, cupones, etc., y de competencia autonómica máquinas, bingos, casinos, apuestas, </w:t>
      </w:r>
      <w:proofErr w:type="gramStart"/>
      <w:r w:rsidRPr="00123C20">
        <w:rPr>
          <w:sz w:val="24"/>
          <w:szCs w:val="24"/>
        </w:rPr>
        <w:t>etc..</w:t>
      </w:r>
      <w:proofErr w:type="gramEnd"/>
    </w:p>
    <w:p w:rsidR="005605D4" w:rsidRPr="00123C20" w:rsidRDefault="005605D4" w:rsidP="003601A1">
      <w:pPr>
        <w:ind w:left="1418"/>
        <w:jc w:val="both"/>
        <w:rPr>
          <w:b/>
          <w:sz w:val="24"/>
          <w:szCs w:val="24"/>
        </w:rPr>
      </w:pPr>
    </w:p>
    <w:p w:rsidR="003A5771" w:rsidRPr="00123C20" w:rsidRDefault="003A5771" w:rsidP="003A5771">
      <w:pPr>
        <w:pStyle w:val="Prrafodelista"/>
        <w:ind w:left="1418"/>
        <w:jc w:val="both"/>
        <w:rPr>
          <w:sz w:val="24"/>
          <w:szCs w:val="24"/>
        </w:rPr>
      </w:pPr>
      <w:r w:rsidRPr="00123C20">
        <w:rPr>
          <w:b/>
          <w:sz w:val="24"/>
          <w:szCs w:val="24"/>
        </w:rPr>
        <w:t xml:space="preserve">-Realizar entrevistas en profundidad y reuniones </w:t>
      </w:r>
      <w:r w:rsidRPr="00123C20">
        <w:rPr>
          <w:sz w:val="24"/>
          <w:szCs w:val="24"/>
        </w:rPr>
        <w:t>de grupo con ludópatas, expertos en este tipo de adicción, fabricantes y operadores de elementos de juego, responsables de la explotación de bares y establecimientos de juego, asociaciones de hostelería y de consumidores.</w:t>
      </w:r>
    </w:p>
    <w:p w:rsidR="003A5771" w:rsidRPr="00123C20" w:rsidRDefault="003A5771" w:rsidP="003601A1">
      <w:pPr>
        <w:ind w:left="1418"/>
        <w:jc w:val="both"/>
        <w:rPr>
          <w:b/>
          <w:sz w:val="24"/>
          <w:szCs w:val="24"/>
        </w:rPr>
      </w:pPr>
    </w:p>
    <w:p w:rsidR="00B177A0" w:rsidRPr="00123C20" w:rsidRDefault="003601A1" w:rsidP="003601A1">
      <w:pPr>
        <w:ind w:left="1418"/>
        <w:jc w:val="both"/>
        <w:rPr>
          <w:b/>
          <w:sz w:val="24"/>
          <w:szCs w:val="24"/>
        </w:rPr>
      </w:pPr>
      <w:r w:rsidRPr="00123C20">
        <w:rPr>
          <w:b/>
          <w:sz w:val="24"/>
          <w:szCs w:val="24"/>
        </w:rPr>
        <w:t>-</w:t>
      </w:r>
      <w:r w:rsidR="00B177A0" w:rsidRPr="00123C20">
        <w:rPr>
          <w:b/>
          <w:sz w:val="24"/>
          <w:szCs w:val="24"/>
        </w:rPr>
        <w:t>Análisis sociológico de los hábitos sociales respecto al juego en la</w:t>
      </w:r>
    </w:p>
    <w:p w:rsidR="00B177A0" w:rsidRPr="00123C20" w:rsidRDefault="00B177A0" w:rsidP="003601A1">
      <w:pPr>
        <w:ind w:left="1418"/>
        <w:jc w:val="both"/>
        <w:rPr>
          <w:sz w:val="24"/>
          <w:szCs w:val="24"/>
        </w:rPr>
      </w:pPr>
      <w:r w:rsidRPr="00123C20">
        <w:rPr>
          <w:b/>
          <w:sz w:val="24"/>
          <w:szCs w:val="24"/>
        </w:rPr>
        <w:t xml:space="preserve">CAPV, </w:t>
      </w:r>
      <w:r w:rsidRPr="00123C20">
        <w:rPr>
          <w:sz w:val="24"/>
          <w:szCs w:val="24"/>
        </w:rPr>
        <w:t>a partir de los datos obtenidos de la encuesta a desarrollar, tal y</w:t>
      </w:r>
      <w:r w:rsidR="003601A1" w:rsidRPr="00123C20">
        <w:rPr>
          <w:sz w:val="24"/>
          <w:szCs w:val="24"/>
        </w:rPr>
        <w:t xml:space="preserve"> </w:t>
      </w:r>
      <w:r w:rsidRPr="00123C20">
        <w:rPr>
          <w:sz w:val="24"/>
          <w:szCs w:val="24"/>
        </w:rPr>
        <w:t>como se explica en el apartado anterior.</w:t>
      </w:r>
    </w:p>
    <w:p w:rsidR="003601A1" w:rsidRPr="00123C20" w:rsidRDefault="003601A1" w:rsidP="003601A1">
      <w:pPr>
        <w:ind w:left="1418"/>
        <w:jc w:val="both"/>
        <w:rPr>
          <w:b/>
          <w:sz w:val="24"/>
          <w:szCs w:val="24"/>
        </w:rPr>
      </w:pPr>
    </w:p>
    <w:p w:rsidR="00B177A0" w:rsidRPr="00123C20" w:rsidRDefault="003601A1" w:rsidP="003601A1">
      <w:pPr>
        <w:ind w:left="1418"/>
        <w:jc w:val="both"/>
        <w:rPr>
          <w:sz w:val="24"/>
          <w:szCs w:val="24"/>
        </w:rPr>
      </w:pPr>
      <w:r w:rsidRPr="00123C20">
        <w:rPr>
          <w:b/>
          <w:sz w:val="24"/>
          <w:szCs w:val="24"/>
        </w:rPr>
        <w:t>-</w:t>
      </w:r>
      <w:r w:rsidR="00B177A0" w:rsidRPr="00123C20">
        <w:rPr>
          <w:b/>
          <w:sz w:val="24"/>
          <w:szCs w:val="24"/>
        </w:rPr>
        <w:t xml:space="preserve">Análisis de las mejores Prácticas del sector. </w:t>
      </w:r>
      <w:r w:rsidR="00B177A0" w:rsidRPr="00123C20">
        <w:rPr>
          <w:sz w:val="24"/>
          <w:szCs w:val="24"/>
        </w:rPr>
        <w:t>Dicho análisis recogerá al</w:t>
      </w:r>
      <w:r w:rsidRPr="00123C20">
        <w:rPr>
          <w:sz w:val="24"/>
          <w:szCs w:val="24"/>
        </w:rPr>
        <w:t xml:space="preserve"> </w:t>
      </w:r>
      <w:r w:rsidR="00B177A0" w:rsidRPr="00123C20">
        <w:rPr>
          <w:sz w:val="24"/>
          <w:szCs w:val="24"/>
        </w:rPr>
        <w:t>menos:</w:t>
      </w:r>
    </w:p>
    <w:p w:rsidR="00B177A0" w:rsidRPr="00123C20" w:rsidRDefault="00B177A0" w:rsidP="003601A1">
      <w:pPr>
        <w:pStyle w:val="Prrafodelista"/>
        <w:numPr>
          <w:ilvl w:val="0"/>
          <w:numId w:val="3"/>
        </w:numPr>
        <w:jc w:val="both"/>
        <w:rPr>
          <w:sz w:val="24"/>
          <w:szCs w:val="24"/>
        </w:rPr>
      </w:pPr>
      <w:r w:rsidRPr="00123C20">
        <w:rPr>
          <w:sz w:val="24"/>
          <w:szCs w:val="24"/>
        </w:rPr>
        <w:t>Elaboración de las prácticas más novedosas y las tendencias a nivel global en el sector del juego.</w:t>
      </w:r>
    </w:p>
    <w:p w:rsidR="00B177A0" w:rsidRPr="00123C20" w:rsidRDefault="00B177A0" w:rsidP="003601A1">
      <w:pPr>
        <w:pStyle w:val="Prrafodelista"/>
        <w:numPr>
          <w:ilvl w:val="0"/>
          <w:numId w:val="3"/>
        </w:numPr>
        <w:jc w:val="both"/>
        <w:rPr>
          <w:sz w:val="24"/>
          <w:szCs w:val="24"/>
        </w:rPr>
      </w:pPr>
      <w:r w:rsidRPr="00123C20">
        <w:rPr>
          <w:sz w:val="24"/>
          <w:szCs w:val="24"/>
        </w:rPr>
        <w:t>Análisis de prácticas responsables que permitan plantear  los aspectos positivos y uso en su justa medida.</w:t>
      </w:r>
    </w:p>
    <w:p w:rsidR="003601A1" w:rsidRPr="00123C20" w:rsidRDefault="003601A1" w:rsidP="003601A1">
      <w:pPr>
        <w:pStyle w:val="Prrafodelista"/>
        <w:ind w:left="2138"/>
        <w:jc w:val="both"/>
        <w:rPr>
          <w:b/>
          <w:sz w:val="24"/>
          <w:szCs w:val="24"/>
        </w:rPr>
      </w:pPr>
    </w:p>
    <w:p w:rsidR="00B177A0" w:rsidRPr="00123C20" w:rsidRDefault="003601A1" w:rsidP="003601A1">
      <w:pPr>
        <w:ind w:left="1418"/>
        <w:jc w:val="both"/>
        <w:rPr>
          <w:sz w:val="24"/>
          <w:szCs w:val="24"/>
        </w:rPr>
      </w:pPr>
      <w:r w:rsidRPr="00123C20">
        <w:rPr>
          <w:b/>
          <w:sz w:val="24"/>
          <w:szCs w:val="24"/>
        </w:rPr>
        <w:t>-</w:t>
      </w:r>
      <w:r w:rsidR="00B177A0" w:rsidRPr="00123C20">
        <w:rPr>
          <w:b/>
          <w:sz w:val="24"/>
          <w:szCs w:val="24"/>
        </w:rPr>
        <w:t xml:space="preserve">Identificación de retos y posibles líneas de actuación. </w:t>
      </w:r>
      <w:r w:rsidR="00B177A0" w:rsidRPr="00123C20">
        <w:rPr>
          <w:sz w:val="24"/>
          <w:szCs w:val="24"/>
        </w:rPr>
        <w:t>En esta fase se</w:t>
      </w:r>
      <w:r w:rsidRPr="00123C20">
        <w:rPr>
          <w:sz w:val="24"/>
          <w:szCs w:val="24"/>
        </w:rPr>
        <w:t xml:space="preserve"> </w:t>
      </w:r>
      <w:r w:rsidR="00B177A0" w:rsidRPr="00123C20">
        <w:rPr>
          <w:sz w:val="24"/>
          <w:szCs w:val="24"/>
        </w:rPr>
        <w:t>deberán establecer una serie de conclusiones sobre los elementos críticos y</w:t>
      </w:r>
      <w:r w:rsidRPr="00123C20">
        <w:rPr>
          <w:sz w:val="24"/>
          <w:szCs w:val="24"/>
        </w:rPr>
        <w:t xml:space="preserve"> </w:t>
      </w:r>
      <w:r w:rsidR="00B177A0" w:rsidRPr="00123C20">
        <w:rPr>
          <w:sz w:val="24"/>
          <w:szCs w:val="24"/>
        </w:rPr>
        <w:t>medidas</w:t>
      </w:r>
      <w:r w:rsidR="00124B7A" w:rsidRPr="00123C20">
        <w:rPr>
          <w:sz w:val="24"/>
          <w:szCs w:val="24"/>
        </w:rPr>
        <w:t xml:space="preserve"> </w:t>
      </w:r>
      <w:r w:rsidR="00B177A0" w:rsidRPr="00123C20">
        <w:rPr>
          <w:sz w:val="24"/>
          <w:szCs w:val="24"/>
        </w:rPr>
        <w:t>a desarrollar en los próximos años que permitan el desarrollo y</w:t>
      </w:r>
      <w:r w:rsidRPr="00123C20">
        <w:rPr>
          <w:sz w:val="24"/>
          <w:szCs w:val="24"/>
        </w:rPr>
        <w:t xml:space="preserve"> </w:t>
      </w:r>
      <w:r w:rsidR="00B177A0" w:rsidRPr="00123C20">
        <w:rPr>
          <w:sz w:val="24"/>
          <w:szCs w:val="24"/>
        </w:rPr>
        <w:t>posicionamiento competitivo de l</w:t>
      </w:r>
      <w:r w:rsidR="00576FED" w:rsidRPr="00123C20">
        <w:rPr>
          <w:sz w:val="24"/>
          <w:szCs w:val="24"/>
        </w:rPr>
        <w:t>as empresas del sector en la CA</w:t>
      </w:r>
      <w:r w:rsidR="00B177A0" w:rsidRPr="00123C20">
        <w:rPr>
          <w:sz w:val="24"/>
          <w:szCs w:val="24"/>
        </w:rPr>
        <w:t>V.</w:t>
      </w:r>
    </w:p>
    <w:p w:rsidR="00576FED" w:rsidRPr="00123C20" w:rsidRDefault="00576FED" w:rsidP="003601A1">
      <w:pPr>
        <w:ind w:left="1418"/>
        <w:jc w:val="both"/>
        <w:rPr>
          <w:sz w:val="24"/>
          <w:szCs w:val="24"/>
        </w:rPr>
      </w:pPr>
    </w:p>
    <w:p w:rsidR="00B177A0" w:rsidRPr="00123C20" w:rsidRDefault="00B177A0" w:rsidP="003601A1">
      <w:pPr>
        <w:pStyle w:val="Prrafodelista"/>
        <w:numPr>
          <w:ilvl w:val="0"/>
          <w:numId w:val="3"/>
        </w:numPr>
        <w:jc w:val="both"/>
        <w:rPr>
          <w:sz w:val="24"/>
          <w:szCs w:val="24"/>
        </w:rPr>
      </w:pPr>
      <w:r w:rsidRPr="00123C20">
        <w:rPr>
          <w:sz w:val="24"/>
          <w:szCs w:val="24"/>
        </w:rPr>
        <w:t>En la propuesta técnica deberá presentarse una descripción detallada</w:t>
      </w:r>
      <w:r w:rsidR="003601A1" w:rsidRPr="00123C20">
        <w:rPr>
          <w:sz w:val="24"/>
          <w:szCs w:val="24"/>
        </w:rPr>
        <w:t xml:space="preserve"> </w:t>
      </w:r>
      <w:r w:rsidRPr="00123C20">
        <w:rPr>
          <w:sz w:val="24"/>
          <w:szCs w:val="24"/>
        </w:rPr>
        <w:t>de la metodología propuesta por la empresa, para que sea evaluada.</w:t>
      </w:r>
    </w:p>
    <w:p w:rsidR="00B177A0" w:rsidRPr="00123C20" w:rsidRDefault="003601A1" w:rsidP="003601A1">
      <w:pPr>
        <w:pStyle w:val="Prrafodelista"/>
        <w:numPr>
          <w:ilvl w:val="0"/>
          <w:numId w:val="3"/>
        </w:numPr>
        <w:jc w:val="both"/>
        <w:rPr>
          <w:sz w:val="24"/>
          <w:szCs w:val="24"/>
        </w:rPr>
      </w:pPr>
      <w:r w:rsidRPr="00123C20">
        <w:rPr>
          <w:sz w:val="24"/>
          <w:szCs w:val="24"/>
        </w:rPr>
        <w:t>Un</w:t>
      </w:r>
      <w:r w:rsidR="00B177A0" w:rsidRPr="00123C20">
        <w:rPr>
          <w:sz w:val="24"/>
          <w:szCs w:val="24"/>
        </w:rPr>
        <w:t>a vez iniciada la ejecución del contrato, por parte del coordinador</w:t>
      </w:r>
      <w:r w:rsidRPr="00123C20">
        <w:rPr>
          <w:sz w:val="24"/>
          <w:szCs w:val="24"/>
        </w:rPr>
        <w:t xml:space="preserve"> </w:t>
      </w:r>
      <w:r w:rsidR="00B177A0" w:rsidRPr="00123C20">
        <w:rPr>
          <w:sz w:val="24"/>
          <w:szCs w:val="24"/>
        </w:rPr>
        <w:t xml:space="preserve">del proyecto y la empresa adjudicataria, se </w:t>
      </w:r>
      <w:r w:rsidR="00B177A0" w:rsidRPr="00123C20">
        <w:rPr>
          <w:sz w:val="24"/>
          <w:szCs w:val="24"/>
        </w:rPr>
        <w:lastRenderedPageBreak/>
        <w:t>formalizará en el plazo</w:t>
      </w:r>
      <w:r w:rsidRPr="00123C20">
        <w:rPr>
          <w:sz w:val="24"/>
          <w:szCs w:val="24"/>
        </w:rPr>
        <w:t xml:space="preserve"> </w:t>
      </w:r>
      <w:r w:rsidR="00B177A0" w:rsidRPr="00123C20">
        <w:rPr>
          <w:sz w:val="24"/>
          <w:szCs w:val="24"/>
        </w:rPr>
        <w:t>máximo de 15 días el documento base de etapas incluidas en los</w:t>
      </w:r>
      <w:r w:rsidRPr="00123C20">
        <w:rPr>
          <w:sz w:val="24"/>
          <w:szCs w:val="24"/>
        </w:rPr>
        <w:t xml:space="preserve"> </w:t>
      </w:r>
      <w:r w:rsidR="00B177A0" w:rsidRPr="00123C20">
        <w:rPr>
          <w:sz w:val="24"/>
          <w:szCs w:val="24"/>
        </w:rPr>
        <w:t>distintos hitos que componen el objeto del contrato.</w:t>
      </w:r>
    </w:p>
    <w:p w:rsidR="003601A1" w:rsidRDefault="003601A1" w:rsidP="003601A1">
      <w:pPr>
        <w:jc w:val="both"/>
        <w:rPr>
          <w:sz w:val="24"/>
          <w:szCs w:val="24"/>
        </w:rPr>
      </w:pPr>
    </w:p>
    <w:p w:rsidR="001172D0" w:rsidRPr="00123C20" w:rsidRDefault="001172D0" w:rsidP="003601A1">
      <w:pPr>
        <w:jc w:val="both"/>
        <w:rPr>
          <w:sz w:val="24"/>
          <w:szCs w:val="24"/>
        </w:rPr>
      </w:pPr>
    </w:p>
    <w:p w:rsidR="00B177A0" w:rsidRPr="00123C20" w:rsidRDefault="00B177A0" w:rsidP="00B177A0">
      <w:pPr>
        <w:jc w:val="both"/>
        <w:rPr>
          <w:b/>
          <w:sz w:val="24"/>
          <w:szCs w:val="24"/>
        </w:rPr>
      </w:pPr>
      <w:r w:rsidRPr="00123C20">
        <w:rPr>
          <w:b/>
          <w:sz w:val="24"/>
          <w:szCs w:val="24"/>
        </w:rPr>
        <w:t>3.- ORGANIZACIÓN DEL TRABAJO</w:t>
      </w:r>
    </w:p>
    <w:p w:rsidR="00C963F0" w:rsidRPr="001172D0" w:rsidRDefault="00C963F0" w:rsidP="00B177A0">
      <w:pPr>
        <w:jc w:val="both"/>
        <w:rPr>
          <w:sz w:val="24"/>
          <w:szCs w:val="24"/>
        </w:rPr>
      </w:pPr>
    </w:p>
    <w:p w:rsidR="00B177A0" w:rsidRPr="00123C20" w:rsidRDefault="00C963F0" w:rsidP="00B177A0">
      <w:pPr>
        <w:jc w:val="both"/>
        <w:rPr>
          <w:sz w:val="24"/>
          <w:szCs w:val="24"/>
        </w:rPr>
      </w:pPr>
      <w:r w:rsidRPr="00123C20">
        <w:rPr>
          <w:sz w:val="24"/>
          <w:szCs w:val="24"/>
        </w:rPr>
        <w:tab/>
      </w:r>
      <w:r w:rsidR="00B177A0" w:rsidRPr="00123C20">
        <w:rPr>
          <w:sz w:val="24"/>
          <w:szCs w:val="24"/>
        </w:rPr>
        <w:t>Tiene una gran trascendencia para la Dirección de Juego y Espectáculos la calidad de los trabajos realizados.</w:t>
      </w:r>
    </w:p>
    <w:p w:rsidR="00C963F0" w:rsidRPr="00123C20" w:rsidRDefault="00C963F0" w:rsidP="00B177A0">
      <w:pPr>
        <w:jc w:val="both"/>
        <w:rPr>
          <w:sz w:val="24"/>
          <w:szCs w:val="24"/>
        </w:rPr>
      </w:pPr>
    </w:p>
    <w:p w:rsidR="00B177A0" w:rsidRPr="00123C20" w:rsidRDefault="00C963F0" w:rsidP="00B177A0">
      <w:pPr>
        <w:jc w:val="both"/>
        <w:rPr>
          <w:sz w:val="24"/>
          <w:szCs w:val="24"/>
        </w:rPr>
      </w:pPr>
      <w:r w:rsidRPr="00123C20">
        <w:rPr>
          <w:sz w:val="24"/>
          <w:szCs w:val="24"/>
        </w:rPr>
        <w:tab/>
      </w:r>
      <w:r w:rsidR="00B177A0" w:rsidRPr="00123C20">
        <w:rPr>
          <w:sz w:val="24"/>
          <w:szCs w:val="24"/>
        </w:rPr>
        <w:t>La organización y gestión del proyecto deben permitir realizar un seguimiento del grado de avance del mismo en todo momento. Se establecen las siguientes figuras como parte de la Dirección del Proyecto.</w:t>
      </w:r>
    </w:p>
    <w:p w:rsidR="00C963F0" w:rsidRPr="00123C20" w:rsidRDefault="00C963F0" w:rsidP="00B177A0">
      <w:pPr>
        <w:jc w:val="both"/>
        <w:rPr>
          <w:sz w:val="24"/>
          <w:szCs w:val="24"/>
        </w:rPr>
      </w:pPr>
    </w:p>
    <w:p w:rsidR="00B177A0" w:rsidRPr="00123C20" w:rsidRDefault="00B177A0" w:rsidP="00C963F0">
      <w:pPr>
        <w:pStyle w:val="Prrafodelista"/>
        <w:numPr>
          <w:ilvl w:val="0"/>
          <w:numId w:val="5"/>
        </w:numPr>
        <w:ind w:left="1414"/>
        <w:jc w:val="both"/>
        <w:rPr>
          <w:sz w:val="24"/>
          <w:szCs w:val="24"/>
        </w:rPr>
      </w:pPr>
      <w:r w:rsidRPr="00123C20">
        <w:rPr>
          <w:b/>
          <w:sz w:val="24"/>
          <w:szCs w:val="24"/>
        </w:rPr>
        <w:t>Comité de Dirección</w:t>
      </w:r>
      <w:r w:rsidRPr="00123C20">
        <w:rPr>
          <w:sz w:val="24"/>
          <w:szCs w:val="24"/>
        </w:rPr>
        <w:t>: constituido por miembros de la Dirección de</w:t>
      </w:r>
      <w:r w:rsidR="00C963F0" w:rsidRPr="00123C20">
        <w:rPr>
          <w:sz w:val="24"/>
          <w:szCs w:val="24"/>
        </w:rPr>
        <w:t xml:space="preserve"> </w:t>
      </w:r>
      <w:r w:rsidRPr="00123C20">
        <w:rPr>
          <w:sz w:val="24"/>
          <w:szCs w:val="24"/>
        </w:rPr>
        <w:t>Juego y Espectáculos involucrados en el proyecto junto con los máximos</w:t>
      </w:r>
      <w:r w:rsidR="00C963F0" w:rsidRPr="00123C20">
        <w:rPr>
          <w:sz w:val="24"/>
          <w:szCs w:val="24"/>
        </w:rPr>
        <w:t xml:space="preserve"> </w:t>
      </w:r>
      <w:r w:rsidRPr="00123C20">
        <w:rPr>
          <w:sz w:val="24"/>
          <w:szCs w:val="24"/>
        </w:rPr>
        <w:t xml:space="preserve">responsables de la empresa adjudicataria. Su responsabilidad es hacer </w:t>
      </w:r>
      <w:proofErr w:type="spellStart"/>
      <w:r w:rsidRPr="00123C20">
        <w:rPr>
          <w:sz w:val="24"/>
          <w:szCs w:val="24"/>
        </w:rPr>
        <w:t>él</w:t>
      </w:r>
      <w:proofErr w:type="spellEnd"/>
      <w:r w:rsidR="00C963F0" w:rsidRPr="00123C20">
        <w:rPr>
          <w:sz w:val="24"/>
          <w:szCs w:val="24"/>
        </w:rPr>
        <w:t xml:space="preserve"> </w:t>
      </w:r>
      <w:r w:rsidRPr="00123C20">
        <w:rPr>
          <w:sz w:val="24"/>
          <w:szCs w:val="24"/>
        </w:rPr>
        <w:t>seguimiento último del proyecto y la interacción con órganos superiores, así como la aprobación formal en cada etapa de los trabajos, a propuesta del Coordinador del Proyecto.</w:t>
      </w:r>
    </w:p>
    <w:p w:rsidR="00C963F0" w:rsidRPr="00123C20" w:rsidRDefault="00C963F0" w:rsidP="00C963F0">
      <w:pPr>
        <w:jc w:val="both"/>
        <w:rPr>
          <w:sz w:val="24"/>
          <w:szCs w:val="24"/>
        </w:rPr>
      </w:pPr>
    </w:p>
    <w:p w:rsidR="00B177A0" w:rsidRPr="00123C20" w:rsidRDefault="00B177A0" w:rsidP="00C963F0">
      <w:pPr>
        <w:pStyle w:val="Prrafodelista"/>
        <w:numPr>
          <w:ilvl w:val="0"/>
          <w:numId w:val="5"/>
        </w:numPr>
        <w:ind w:left="1414"/>
        <w:jc w:val="both"/>
        <w:rPr>
          <w:sz w:val="24"/>
          <w:szCs w:val="24"/>
        </w:rPr>
      </w:pPr>
      <w:r w:rsidRPr="00123C20">
        <w:rPr>
          <w:b/>
          <w:sz w:val="24"/>
          <w:szCs w:val="24"/>
        </w:rPr>
        <w:t>Coordinador del proyecto</w:t>
      </w:r>
      <w:r w:rsidRPr="00123C20">
        <w:rPr>
          <w:sz w:val="24"/>
          <w:szCs w:val="24"/>
        </w:rPr>
        <w:t>: Esta persona será designada por la Dirección</w:t>
      </w:r>
      <w:r w:rsidR="00C963F0" w:rsidRPr="00123C20">
        <w:rPr>
          <w:sz w:val="24"/>
          <w:szCs w:val="24"/>
        </w:rPr>
        <w:t xml:space="preserve"> </w:t>
      </w:r>
      <w:r w:rsidRPr="00123C20">
        <w:rPr>
          <w:sz w:val="24"/>
          <w:szCs w:val="24"/>
        </w:rPr>
        <w:t>de Juego y Espectáculos. Dirigirá, supervisará y coordinará la realización y el</w:t>
      </w:r>
      <w:r w:rsidR="00C963F0" w:rsidRPr="00123C20">
        <w:rPr>
          <w:sz w:val="24"/>
          <w:szCs w:val="24"/>
        </w:rPr>
        <w:t xml:space="preserve"> </w:t>
      </w:r>
      <w:r w:rsidRPr="00123C20">
        <w:rPr>
          <w:sz w:val="24"/>
          <w:szCs w:val="24"/>
        </w:rPr>
        <w:t>desarrollo  de  los  trabajos.  Aprobará los  resultados parciales  y  finales  e</w:t>
      </w:r>
      <w:r w:rsidR="00C963F0" w:rsidRPr="00123C20">
        <w:rPr>
          <w:sz w:val="24"/>
          <w:szCs w:val="24"/>
        </w:rPr>
        <w:t xml:space="preserve"> </w:t>
      </w:r>
      <w:r w:rsidRPr="00123C20">
        <w:rPr>
          <w:sz w:val="24"/>
          <w:szCs w:val="24"/>
        </w:rPr>
        <w:t>informarse del progreso y estado de situación del proyecto mediante la relación</w:t>
      </w:r>
      <w:r w:rsidR="00C963F0" w:rsidRPr="00123C20">
        <w:rPr>
          <w:sz w:val="24"/>
          <w:szCs w:val="24"/>
        </w:rPr>
        <w:t xml:space="preserve"> </w:t>
      </w:r>
      <w:r w:rsidRPr="00123C20">
        <w:rPr>
          <w:sz w:val="24"/>
          <w:szCs w:val="24"/>
        </w:rPr>
        <w:t>directa con el consultor adjudicatario y de los informes periódicos elaborados</w:t>
      </w:r>
      <w:r w:rsidR="00C963F0" w:rsidRPr="00123C20">
        <w:rPr>
          <w:sz w:val="24"/>
          <w:szCs w:val="24"/>
        </w:rPr>
        <w:t xml:space="preserve"> </w:t>
      </w:r>
      <w:r w:rsidRPr="00123C20">
        <w:rPr>
          <w:sz w:val="24"/>
          <w:szCs w:val="24"/>
        </w:rPr>
        <w:t>por el consultor.</w:t>
      </w:r>
    </w:p>
    <w:p w:rsidR="00C963F0" w:rsidRPr="00123C20" w:rsidRDefault="00C963F0" w:rsidP="00C963F0">
      <w:pPr>
        <w:pStyle w:val="Prrafodelista"/>
        <w:ind w:left="1414"/>
        <w:jc w:val="both"/>
        <w:rPr>
          <w:sz w:val="24"/>
          <w:szCs w:val="24"/>
        </w:rPr>
      </w:pPr>
    </w:p>
    <w:p w:rsidR="00C963F0" w:rsidRPr="00123C20" w:rsidRDefault="00B177A0" w:rsidP="00C963F0">
      <w:pPr>
        <w:pStyle w:val="Prrafodelista"/>
        <w:numPr>
          <w:ilvl w:val="0"/>
          <w:numId w:val="5"/>
        </w:numPr>
        <w:ind w:left="1414"/>
        <w:jc w:val="both"/>
        <w:rPr>
          <w:sz w:val="24"/>
          <w:szCs w:val="24"/>
        </w:rPr>
      </w:pPr>
      <w:r w:rsidRPr="00123C20">
        <w:rPr>
          <w:b/>
          <w:sz w:val="24"/>
          <w:szCs w:val="24"/>
        </w:rPr>
        <w:t>Jefe del proyecto</w:t>
      </w:r>
      <w:r w:rsidRPr="00123C20">
        <w:rPr>
          <w:sz w:val="24"/>
          <w:szCs w:val="24"/>
        </w:rPr>
        <w:t>: Será la persona responsable del equipo de trabajo por</w:t>
      </w:r>
      <w:r w:rsidR="00C963F0" w:rsidRPr="00123C20">
        <w:rPr>
          <w:sz w:val="24"/>
          <w:szCs w:val="24"/>
        </w:rPr>
        <w:t xml:space="preserve"> </w:t>
      </w:r>
      <w:r w:rsidRPr="00123C20">
        <w:rPr>
          <w:sz w:val="24"/>
          <w:szCs w:val="24"/>
        </w:rPr>
        <w:t>parte de la empresa adjudicataria. Su responsabilidad es la dirección ejecutiva y</w:t>
      </w:r>
      <w:r w:rsidR="00C963F0" w:rsidRPr="00123C20">
        <w:rPr>
          <w:sz w:val="24"/>
          <w:szCs w:val="24"/>
        </w:rPr>
        <w:t xml:space="preserve"> </w:t>
      </w:r>
      <w:r w:rsidRPr="00123C20">
        <w:rPr>
          <w:sz w:val="24"/>
          <w:szCs w:val="24"/>
        </w:rPr>
        <w:t>efectiva del proyecto. Su dedicación debe ser permanente y debe actuar como</w:t>
      </w:r>
      <w:r w:rsidR="00C963F0" w:rsidRPr="00123C20">
        <w:rPr>
          <w:sz w:val="24"/>
          <w:szCs w:val="24"/>
        </w:rPr>
        <w:t xml:space="preserve"> </w:t>
      </w:r>
      <w:r w:rsidRPr="00123C20">
        <w:rPr>
          <w:sz w:val="24"/>
          <w:szCs w:val="24"/>
        </w:rPr>
        <w:t>principal interlocutor con el Coordinador del Proyecto.</w:t>
      </w:r>
    </w:p>
    <w:p w:rsidR="00C963F0" w:rsidRPr="00123C20" w:rsidRDefault="00C963F0" w:rsidP="00C963F0">
      <w:pPr>
        <w:jc w:val="both"/>
        <w:rPr>
          <w:sz w:val="24"/>
          <w:szCs w:val="24"/>
        </w:rPr>
      </w:pPr>
    </w:p>
    <w:p w:rsidR="00B177A0" w:rsidRPr="00123C20" w:rsidRDefault="00B177A0" w:rsidP="00C963F0">
      <w:pPr>
        <w:pStyle w:val="Prrafodelista"/>
        <w:numPr>
          <w:ilvl w:val="0"/>
          <w:numId w:val="5"/>
        </w:numPr>
        <w:ind w:left="1414"/>
        <w:jc w:val="both"/>
        <w:rPr>
          <w:sz w:val="24"/>
          <w:szCs w:val="24"/>
        </w:rPr>
      </w:pPr>
      <w:r w:rsidRPr="00123C20">
        <w:rPr>
          <w:b/>
          <w:sz w:val="24"/>
          <w:szCs w:val="24"/>
        </w:rPr>
        <w:t>Equipo de trabajo</w:t>
      </w:r>
      <w:r w:rsidRPr="00123C20">
        <w:rPr>
          <w:sz w:val="24"/>
          <w:szCs w:val="24"/>
        </w:rPr>
        <w:t>: constituido por las personas que ejecutan los trabajos, principalmente personal de la empresa colaboradora.</w:t>
      </w:r>
    </w:p>
    <w:p w:rsidR="00C963F0" w:rsidRPr="00123C20" w:rsidRDefault="00C963F0" w:rsidP="00C963F0">
      <w:pPr>
        <w:pStyle w:val="Prrafodelista"/>
        <w:ind w:left="360"/>
        <w:jc w:val="both"/>
        <w:rPr>
          <w:sz w:val="24"/>
          <w:szCs w:val="24"/>
        </w:rPr>
      </w:pPr>
    </w:p>
    <w:p w:rsidR="00B177A0" w:rsidRPr="00123C20" w:rsidRDefault="00C963F0" w:rsidP="00B177A0">
      <w:pPr>
        <w:jc w:val="both"/>
        <w:rPr>
          <w:sz w:val="24"/>
          <w:szCs w:val="24"/>
        </w:rPr>
      </w:pPr>
      <w:r w:rsidRPr="00123C20">
        <w:rPr>
          <w:sz w:val="24"/>
          <w:szCs w:val="24"/>
        </w:rPr>
        <w:tab/>
      </w:r>
      <w:r w:rsidR="00F17C94" w:rsidRPr="00123C20">
        <w:rPr>
          <w:sz w:val="24"/>
          <w:szCs w:val="24"/>
        </w:rPr>
        <w:t>La Dirección de J</w:t>
      </w:r>
      <w:r w:rsidR="00B177A0" w:rsidRPr="00123C20">
        <w:rPr>
          <w:sz w:val="24"/>
          <w:szCs w:val="24"/>
        </w:rPr>
        <w:t>uego y Espectáculos podrá solicitar en cualquier momento los documentos necesarios para comprobar cuantos datos sean ofrecidos por las empresas a concurso, tanto respecto a la propia empresa como al personal propuesto.</w:t>
      </w:r>
    </w:p>
    <w:p w:rsidR="00C963F0" w:rsidRPr="00123C20" w:rsidRDefault="00C963F0" w:rsidP="00B177A0">
      <w:pPr>
        <w:jc w:val="both"/>
        <w:rPr>
          <w:sz w:val="24"/>
          <w:szCs w:val="24"/>
        </w:rPr>
      </w:pPr>
    </w:p>
    <w:p w:rsidR="00B177A0" w:rsidRPr="00123C20" w:rsidRDefault="00C963F0" w:rsidP="00B177A0">
      <w:pPr>
        <w:jc w:val="both"/>
        <w:rPr>
          <w:sz w:val="24"/>
          <w:szCs w:val="24"/>
        </w:rPr>
      </w:pPr>
      <w:r w:rsidRPr="00123C20">
        <w:rPr>
          <w:sz w:val="24"/>
          <w:szCs w:val="24"/>
        </w:rPr>
        <w:tab/>
      </w:r>
      <w:r w:rsidR="00B177A0" w:rsidRPr="00123C20">
        <w:rPr>
          <w:sz w:val="24"/>
          <w:szCs w:val="24"/>
        </w:rPr>
        <w:t>Por otro lado, en caso de estimarlo conveniente, la Dirección de Juego y Espectáculos se reserva el derecho de sustituir a cualquiera de las personas del equipo de trabajo por otra de circunstancias y nivel similar, sin incurrir en gasto adicional alguno.</w:t>
      </w:r>
      <w:r w:rsidR="00B177A0" w:rsidRPr="00123C20">
        <w:rPr>
          <w:sz w:val="24"/>
          <w:szCs w:val="24"/>
        </w:rPr>
        <w:cr/>
      </w:r>
    </w:p>
    <w:p w:rsidR="005274C7" w:rsidRPr="00123C20" w:rsidRDefault="005274C7" w:rsidP="00B177A0">
      <w:pPr>
        <w:jc w:val="both"/>
        <w:rPr>
          <w:sz w:val="24"/>
          <w:szCs w:val="24"/>
        </w:rPr>
      </w:pPr>
    </w:p>
    <w:p w:rsidR="005274C7" w:rsidRPr="00123C20" w:rsidRDefault="00B91608" w:rsidP="005274C7">
      <w:pPr>
        <w:jc w:val="both"/>
        <w:rPr>
          <w:b/>
          <w:sz w:val="24"/>
          <w:szCs w:val="24"/>
        </w:rPr>
      </w:pPr>
      <w:r>
        <w:rPr>
          <w:b/>
          <w:sz w:val="24"/>
          <w:szCs w:val="24"/>
        </w:rPr>
        <w:lastRenderedPageBreak/>
        <w:t>4</w:t>
      </w:r>
      <w:r w:rsidR="005274C7" w:rsidRPr="00123C20">
        <w:rPr>
          <w:b/>
          <w:sz w:val="24"/>
          <w:szCs w:val="24"/>
        </w:rPr>
        <w:t>.- CONTENIDO DE LA OFERTA POR PARTE DE LAS EMPRESAS A CONCURSO</w:t>
      </w:r>
    </w:p>
    <w:p w:rsidR="006A063A" w:rsidRPr="00123C20" w:rsidRDefault="006A063A" w:rsidP="005274C7">
      <w:pPr>
        <w:jc w:val="both"/>
        <w:rPr>
          <w:b/>
          <w:sz w:val="24"/>
          <w:szCs w:val="24"/>
        </w:rPr>
      </w:pPr>
    </w:p>
    <w:p w:rsidR="005274C7" w:rsidRPr="00123C20" w:rsidRDefault="001172D0" w:rsidP="005274C7">
      <w:pPr>
        <w:jc w:val="both"/>
        <w:rPr>
          <w:sz w:val="24"/>
          <w:szCs w:val="24"/>
        </w:rPr>
      </w:pPr>
      <w:r>
        <w:rPr>
          <w:sz w:val="24"/>
          <w:szCs w:val="24"/>
        </w:rPr>
        <w:tab/>
      </w:r>
      <w:r w:rsidR="005274C7" w:rsidRPr="00123C20">
        <w:rPr>
          <w:sz w:val="24"/>
          <w:szCs w:val="24"/>
        </w:rPr>
        <w:t>Al margen del resto de documentación administrativa y acreditativa que sea necesaria, deberá presentarse Plan de Trabajo que contenga los aspectos abajo relacionados en el presente pliego y los aspectos complementarios que considere el licitante, incluyendo al menos los siguientes apartados:</w:t>
      </w:r>
    </w:p>
    <w:p w:rsidR="005274C7" w:rsidRPr="00123C20" w:rsidRDefault="005274C7" w:rsidP="006A063A">
      <w:pPr>
        <w:pStyle w:val="Prrafodelista"/>
        <w:numPr>
          <w:ilvl w:val="0"/>
          <w:numId w:val="11"/>
        </w:numPr>
        <w:jc w:val="both"/>
        <w:rPr>
          <w:sz w:val="24"/>
          <w:szCs w:val="24"/>
        </w:rPr>
      </w:pPr>
      <w:r w:rsidRPr="00123C20">
        <w:rPr>
          <w:sz w:val="24"/>
          <w:szCs w:val="24"/>
        </w:rPr>
        <w:t>Metodología general para el conjunto del proyecto.</w:t>
      </w:r>
    </w:p>
    <w:p w:rsidR="005274C7" w:rsidRPr="00123C20" w:rsidRDefault="005274C7" w:rsidP="006A063A">
      <w:pPr>
        <w:pStyle w:val="Prrafodelista"/>
        <w:numPr>
          <w:ilvl w:val="0"/>
          <w:numId w:val="11"/>
        </w:numPr>
        <w:jc w:val="both"/>
        <w:rPr>
          <w:sz w:val="24"/>
          <w:szCs w:val="24"/>
        </w:rPr>
      </w:pPr>
      <w:r w:rsidRPr="00123C20">
        <w:rPr>
          <w:sz w:val="24"/>
          <w:szCs w:val="24"/>
        </w:rPr>
        <w:t>Planteamiento global de la propuesta.</w:t>
      </w:r>
    </w:p>
    <w:p w:rsidR="005274C7" w:rsidRPr="00123C20" w:rsidRDefault="005274C7" w:rsidP="006A063A">
      <w:pPr>
        <w:pStyle w:val="Prrafodelista"/>
        <w:numPr>
          <w:ilvl w:val="0"/>
          <w:numId w:val="11"/>
        </w:numPr>
        <w:jc w:val="both"/>
        <w:rPr>
          <w:sz w:val="24"/>
          <w:szCs w:val="24"/>
        </w:rPr>
      </w:pPr>
      <w:r w:rsidRPr="00123C20">
        <w:rPr>
          <w:sz w:val="24"/>
          <w:szCs w:val="24"/>
        </w:rPr>
        <w:t>Diagrama temporal de las actividades (cronograma), conforme al</w:t>
      </w:r>
      <w:r w:rsidR="00FF056B" w:rsidRPr="00123C20">
        <w:rPr>
          <w:sz w:val="24"/>
          <w:szCs w:val="24"/>
        </w:rPr>
        <w:t xml:space="preserve"> </w:t>
      </w:r>
      <w:r w:rsidRPr="00123C20">
        <w:rPr>
          <w:sz w:val="24"/>
          <w:szCs w:val="24"/>
        </w:rPr>
        <w:t>siguiente grupo, de actividades:</w:t>
      </w:r>
    </w:p>
    <w:p w:rsidR="005274C7" w:rsidRPr="00123C20" w:rsidRDefault="005274C7" w:rsidP="00FF056B">
      <w:pPr>
        <w:pStyle w:val="Prrafodelista"/>
        <w:numPr>
          <w:ilvl w:val="2"/>
          <w:numId w:val="11"/>
        </w:numPr>
        <w:jc w:val="both"/>
        <w:rPr>
          <w:sz w:val="24"/>
          <w:szCs w:val="24"/>
        </w:rPr>
      </w:pPr>
      <w:r w:rsidRPr="00123C20">
        <w:rPr>
          <w:sz w:val="24"/>
          <w:szCs w:val="24"/>
        </w:rPr>
        <w:t>Diseño y planificación</w:t>
      </w:r>
    </w:p>
    <w:p w:rsidR="005274C7" w:rsidRPr="00123C20" w:rsidRDefault="005274C7" w:rsidP="00FF056B">
      <w:pPr>
        <w:pStyle w:val="Prrafodelista"/>
        <w:numPr>
          <w:ilvl w:val="2"/>
          <w:numId w:val="11"/>
        </w:numPr>
        <w:jc w:val="both"/>
        <w:rPr>
          <w:sz w:val="24"/>
          <w:szCs w:val="24"/>
        </w:rPr>
      </w:pPr>
      <w:r w:rsidRPr="00123C20">
        <w:rPr>
          <w:sz w:val="24"/>
          <w:szCs w:val="24"/>
        </w:rPr>
        <w:t>Documentación y trabajo de gabinete</w:t>
      </w:r>
    </w:p>
    <w:p w:rsidR="006A063A" w:rsidRPr="00123C20" w:rsidRDefault="005274C7" w:rsidP="00FF056B">
      <w:pPr>
        <w:pStyle w:val="Prrafodelista"/>
        <w:numPr>
          <w:ilvl w:val="2"/>
          <w:numId w:val="11"/>
        </w:numPr>
        <w:jc w:val="both"/>
        <w:rPr>
          <w:sz w:val="24"/>
          <w:szCs w:val="24"/>
        </w:rPr>
      </w:pPr>
      <w:r w:rsidRPr="00123C20">
        <w:rPr>
          <w:sz w:val="24"/>
          <w:szCs w:val="24"/>
        </w:rPr>
        <w:t>Trabajo de campo</w:t>
      </w:r>
    </w:p>
    <w:p w:rsidR="005274C7" w:rsidRPr="00123C20" w:rsidRDefault="005274C7" w:rsidP="00FF056B">
      <w:pPr>
        <w:pStyle w:val="Prrafodelista"/>
        <w:numPr>
          <w:ilvl w:val="2"/>
          <w:numId w:val="11"/>
        </w:numPr>
        <w:jc w:val="both"/>
        <w:rPr>
          <w:sz w:val="24"/>
          <w:szCs w:val="24"/>
        </w:rPr>
      </w:pPr>
      <w:r w:rsidRPr="00123C20">
        <w:rPr>
          <w:sz w:val="24"/>
          <w:szCs w:val="24"/>
        </w:rPr>
        <w:t>Grupo de discusión</w:t>
      </w:r>
    </w:p>
    <w:p w:rsidR="005274C7" w:rsidRPr="00123C20" w:rsidRDefault="005274C7" w:rsidP="00FF056B">
      <w:pPr>
        <w:pStyle w:val="Prrafodelista"/>
        <w:numPr>
          <w:ilvl w:val="2"/>
          <w:numId w:val="11"/>
        </w:numPr>
        <w:jc w:val="both"/>
        <w:rPr>
          <w:sz w:val="24"/>
          <w:szCs w:val="24"/>
        </w:rPr>
      </w:pPr>
      <w:r w:rsidRPr="00123C20">
        <w:rPr>
          <w:sz w:val="24"/>
          <w:szCs w:val="24"/>
        </w:rPr>
        <w:t>Entrevistas</w:t>
      </w:r>
    </w:p>
    <w:p w:rsidR="005274C7" w:rsidRPr="00123C20" w:rsidRDefault="005274C7" w:rsidP="00FF056B">
      <w:pPr>
        <w:pStyle w:val="Prrafodelista"/>
        <w:numPr>
          <w:ilvl w:val="2"/>
          <w:numId w:val="11"/>
        </w:numPr>
        <w:jc w:val="both"/>
        <w:rPr>
          <w:sz w:val="24"/>
          <w:szCs w:val="24"/>
        </w:rPr>
      </w:pPr>
      <w:r w:rsidRPr="00123C20">
        <w:rPr>
          <w:sz w:val="24"/>
          <w:szCs w:val="24"/>
        </w:rPr>
        <w:t>Análisis e informe</w:t>
      </w:r>
    </w:p>
    <w:p w:rsidR="005274C7" w:rsidRPr="00123C20" w:rsidRDefault="005274C7" w:rsidP="00FF056B">
      <w:pPr>
        <w:pStyle w:val="Prrafodelista"/>
        <w:numPr>
          <w:ilvl w:val="0"/>
          <w:numId w:val="11"/>
        </w:numPr>
        <w:jc w:val="both"/>
        <w:rPr>
          <w:sz w:val="24"/>
          <w:szCs w:val="24"/>
        </w:rPr>
      </w:pPr>
      <w:r w:rsidRPr="00123C20">
        <w:rPr>
          <w:sz w:val="24"/>
          <w:szCs w:val="24"/>
        </w:rPr>
        <w:t>Organigrama, dedicación y ubicación del equipo de trabajo.</w:t>
      </w:r>
    </w:p>
    <w:p w:rsidR="005274C7" w:rsidRDefault="005274C7" w:rsidP="00FF056B">
      <w:pPr>
        <w:pStyle w:val="Prrafodelista"/>
        <w:numPr>
          <w:ilvl w:val="0"/>
          <w:numId w:val="11"/>
        </w:numPr>
        <w:jc w:val="both"/>
        <w:rPr>
          <w:sz w:val="24"/>
          <w:szCs w:val="24"/>
        </w:rPr>
      </w:pPr>
      <w:r w:rsidRPr="00123C20">
        <w:rPr>
          <w:sz w:val="24"/>
          <w:szCs w:val="24"/>
        </w:rPr>
        <w:t>Relación de personas del equipo de trabajo propuesto que incluirá la</w:t>
      </w:r>
      <w:r w:rsidRPr="00123C20">
        <w:rPr>
          <w:sz w:val="24"/>
          <w:szCs w:val="24"/>
        </w:rPr>
        <w:br/>
        <w:t>dedicación prevista para cada una de las mismas.</w:t>
      </w:r>
    </w:p>
    <w:p w:rsidR="001172D0" w:rsidRDefault="001172D0" w:rsidP="001172D0">
      <w:pPr>
        <w:jc w:val="both"/>
        <w:rPr>
          <w:sz w:val="24"/>
          <w:szCs w:val="24"/>
        </w:rPr>
      </w:pPr>
    </w:p>
    <w:p w:rsidR="001172D0" w:rsidRPr="001172D0" w:rsidRDefault="001172D0" w:rsidP="001172D0">
      <w:pPr>
        <w:jc w:val="both"/>
        <w:rPr>
          <w:sz w:val="24"/>
          <w:szCs w:val="24"/>
        </w:rPr>
      </w:pPr>
    </w:p>
    <w:p w:rsidR="00C963F0" w:rsidRPr="00123C20" w:rsidRDefault="00B177A0" w:rsidP="00B177A0">
      <w:pPr>
        <w:jc w:val="both"/>
        <w:rPr>
          <w:b/>
          <w:sz w:val="24"/>
          <w:szCs w:val="24"/>
        </w:rPr>
      </w:pPr>
      <w:r w:rsidRPr="00123C20">
        <w:rPr>
          <w:b/>
          <w:sz w:val="24"/>
          <w:szCs w:val="24"/>
        </w:rPr>
        <w:t>5- FORMATO DE PRESENTACIÓN DEL TRABAJO</w:t>
      </w:r>
    </w:p>
    <w:p w:rsidR="00C963F0" w:rsidRPr="00123C20" w:rsidRDefault="00C963F0" w:rsidP="00B177A0">
      <w:pPr>
        <w:jc w:val="both"/>
        <w:rPr>
          <w:b/>
          <w:sz w:val="24"/>
          <w:szCs w:val="24"/>
        </w:rPr>
      </w:pPr>
    </w:p>
    <w:p w:rsidR="00C963F0" w:rsidRPr="00123C20" w:rsidRDefault="00C963F0" w:rsidP="00C963F0">
      <w:pPr>
        <w:jc w:val="both"/>
        <w:rPr>
          <w:sz w:val="24"/>
          <w:szCs w:val="24"/>
        </w:rPr>
      </w:pPr>
      <w:r w:rsidRPr="00123C20">
        <w:rPr>
          <w:sz w:val="24"/>
          <w:szCs w:val="24"/>
        </w:rPr>
        <w:tab/>
        <w:t xml:space="preserve">El informe, se realizará </w:t>
      </w:r>
      <w:r w:rsidR="00F17C94" w:rsidRPr="00123C20">
        <w:rPr>
          <w:sz w:val="24"/>
          <w:szCs w:val="24"/>
        </w:rPr>
        <w:t xml:space="preserve">en los dos idiomas oficiales de la CAV (euskera y castellano), y </w:t>
      </w:r>
      <w:r w:rsidRPr="00123C20">
        <w:rPr>
          <w:sz w:val="24"/>
          <w:szCs w:val="24"/>
        </w:rPr>
        <w:t>de acuerdo con la estructura y sistemática indicado en el presente pliego, se presentará en soporte informático, en soporte pen drive y soporte CD o DVD con tres copias de cada uno de ellos.</w:t>
      </w:r>
    </w:p>
    <w:p w:rsidR="00C963F0" w:rsidRPr="00123C20" w:rsidRDefault="00C963F0" w:rsidP="00B177A0">
      <w:pPr>
        <w:jc w:val="both"/>
        <w:rPr>
          <w:b/>
          <w:sz w:val="24"/>
          <w:szCs w:val="24"/>
        </w:rPr>
      </w:pPr>
    </w:p>
    <w:p w:rsidR="00C963F0" w:rsidRPr="00123C20" w:rsidRDefault="00C963F0" w:rsidP="00B177A0">
      <w:pPr>
        <w:jc w:val="both"/>
        <w:rPr>
          <w:sz w:val="24"/>
          <w:szCs w:val="24"/>
        </w:rPr>
      </w:pPr>
      <w:r w:rsidRPr="00123C20">
        <w:rPr>
          <w:sz w:val="24"/>
          <w:szCs w:val="24"/>
        </w:rPr>
        <w:tab/>
        <w:t>El trabajo incluirá, la elaboración del informe en sí, así como su plasmación gráfica. Esto incluirá la elaboración, diseño y maquetación del producto final, de tal manera que, en caso de decidirse su publicación, ésta la pueda realizar el departamento de publicaciones de Gobierno vasco. A estos efectos deberá utilizarse para estas labores software de maquetación de código abierto, tales como INDESIGN® de Acrobat®.</w:t>
      </w:r>
    </w:p>
    <w:p w:rsidR="00C963F0" w:rsidRPr="00123C20" w:rsidRDefault="00C963F0">
      <w:pPr>
        <w:jc w:val="both"/>
        <w:rPr>
          <w:sz w:val="24"/>
          <w:szCs w:val="24"/>
        </w:rPr>
      </w:pPr>
    </w:p>
    <w:sectPr w:rsidR="00C963F0" w:rsidRPr="00123C20" w:rsidSect="00315D4A">
      <w:headerReference w:type="default" r:id="rId9"/>
      <w:footerReference w:type="default" r:id="rId10"/>
      <w:headerReference w:type="first" r:id="rId11"/>
      <w:footerReference w:type="first" r:id="rId12"/>
      <w:pgSz w:w="11907" w:h="16840"/>
      <w:pgMar w:top="2552" w:right="1701" w:bottom="1418" w:left="1701" w:header="720" w:footer="38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FD" w:rsidRDefault="008725FD">
      <w:r>
        <w:separator/>
      </w:r>
    </w:p>
  </w:endnote>
  <w:endnote w:type="continuationSeparator" w:id="0">
    <w:p w:rsidR="008725FD" w:rsidRDefault="0087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777634"/>
      <w:docPartObj>
        <w:docPartGallery w:val="Page Numbers (Bottom of Page)"/>
        <w:docPartUnique/>
      </w:docPartObj>
    </w:sdtPr>
    <w:sdtEndPr/>
    <w:sdtContent>
      <w:sdt>
        <w:sdtPr>
          <w:id w:val="860082579"/>
          <w:docPartObj>
            <w:docPartGallery w:val="Page Numbers (Top of Page)"/>
            <w:docPartUnique/>
          </w:docPartObj>
        </w:sdtPr>
        <w:sdtEndPr/>
        <w:sdtContent>
          <w:p w:rsidR="000E5646" w:rsidRDefault="000E5646">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E1DA2">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E1DA2">
              <w:rPr>
                <w:b/>
                <w:bCs/>
                <w:noProof/>
              </w:rPr>
              <w:t>6</w:t>
            </w:r>
            <w:r>
              <w:rPr>
                <w:b/>
                <w:bCs/>
                <w:sz w:val="24"/>
                <w:szCs w:val="24"/>
              </w:rPr>
              <w:fldChar w:fldCharType="end"/>
            </w:r>
          </w:p>
        </w:sdtContent>
      </w:sdt>
    </w:sdtContent>
  </w:sdt>
  <w:p w:rsidR="003B3DEF" w:rsidRDefault="003B3D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D5" w:rsidRDefault="000662D5">
    <w:pPr>
      <w:pStyle w:val="PP"/>
    </w:pPr>
    <w:r>
      <w:t>Donostia - San Sebastian, 1 –  01010 VITORIA-GASTEIZ</w:t>
    </w:r>
  </w:p>
  <w:p w:rsidR="000662D5" w:rsidRDefault="000662D5">
    <w:pPr>
      <w:pStyle w:val="PP"/>
    </w:pPr>
    <w:r>
      <w:t>Tef. 945 01 88 79 – Fax 945 01 87 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FD" w:rsidRDefault="008725FD">
      <w:r>
        <w:separator/>
      </w:r>
    </w:p>
  </w:footnote>
  <w:footnote w:type="continuationSeparator" w:id="0">
    <w:p w:rsidR="008725FD" w:rsidRDefault="00872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D5" w:rsidRDefault="000662D5">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8pt;height:24.2pt" o:ole="" fillcolor="window">
          <v:imagedata r:id="rId1" o:title=""/>
        </v:shape>
        <o:OLEObject Type="Embed" ProgID="MSPhotoEd.3" ShapeID="_x0000_i1025" DrawAspect="Content" ObjectID="_1463294670" r:id="rId2"/>
      </w:object>
    </w:r>
  </w:p>
  <w:p w:rsidR="000662D5" w:rsidRDefault="000662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D5" w:rsidRDefault="00B177A0">
    <w:pPr>
      <w:pStyle w:val="Encabezado"/>
      <w:tabs>
        <w:tab w:val="right" w:pos="9923"/>
      </w:tabs>
      <w:ind w:right="-142"/>
      <w:jc w:val="center"/>
      <w:rPr>
        <w:rFonts w:ascii="Arial" w:hAnsi="Arial"/>
        <w:sz w:val="16"/>
      </w:rPr>
    </w:pPr>
    <w:r>
      <w:rPr>
        <w:noProof/>
        <w:lang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2005330" cy="6350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1E5" w:rsidRDefault="003131E5" w:rsidP="00EC3DC4">
                          <w:pPr>
                            <w:pStyle w:val="ED"/>
                            <w:spacing w:after="0"/>
                          </w:pPr>
                          <w:r>
                            <w:t xml:space="preserve">DEPARTAMENTO DE </w:t>
                          </w:r>
                          <w:r w:rsidR="00EC3DC4">
                            <w:t>SEGURIDAD</w:t>
                          </w:r>
                        </w:p>
                        <w:p w:rsidR="003131E5" w:rsidRDefault="003131E5" w:rsidP="003131E5">
                          <w:pPr>
                            <w:pStyle w:val="EV"/>
                            <w:spacing w:before="0" w:after="35"/>
                            <w:rPr>
                              <w:b/>
                            </w:rPr>
                          </w:pPr>
                          <w:r w:rsidRPr="00CF59CA">
                            <w:rPr>
                              <w:b/>
                            </w:rPr>
                            <w:t xml:space="preserve">Viceconsejería de </w:t>
                          </w:r>
                          <w:r w:rsidR="00EC3DC4">
                            <w:rPr>
                              <w:b/>
                            </w:rPr>
                            <w:t>Seguridad</w:t>
                          </w:r>
                        </w:p>
                        <w:p w:rsidR="003131E5" w:rsidRDefault="003131E5" w:rsidP="003131E5">
                          <w:pPr>
                            <w:pStyle w:val="EZ"/>
                            <w:spacing w:before="0"/>
                          </w:pPr>
                          <w:r>
                            <w:t>Dirección Juego y Espectáculos</w:t>
                          </w:r>
                        </w:p>
                        <w:p w:rsidR="000662D5" w:rsidRPr="003131E5" w:rsidRDefault="000662D5" w:rsidP="003131E5">
                          <w:pPr>
                            <w:rPr>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57.9pt;height:5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p9tgIAALkFAAAOAAAAZHJzL2Uyb0RvYy54bWysVNuOmzAQfa/Uf7D8znKJSQJastoNoaq0&#10;vUi7/QAHTLAKNrWdkG3Vf+/Y5Lp9qdrygGzP+MzlHM/t3b5r0Y4pzaXIcHgTYMREKSsuNhn+8lx4&#10;c4y0oaKirRQswy9M47vF2ze3Q5+ySDayrZhCACJ0OvQZbozpU9/XZcM6qm9kzwQYa6k6amCrNn6l&#10;6ADoXetHQTD1B6mqXsmSaQ2n+WjEC4df16w0n+paM4PaDENuxv2V+6/t31/c0nSjaN/w8pAG/Yss&#10;OsoFBD1B5dRQtFX8N6iOl0pqWZubUna+rGteMlcDVBMGr6p5amjPXC3QHN2f2qT/H2z5cfdZIV5l&#10;OMJI0A4oemZ7gx7kHkW2O0OvU3B66sHN7OEYWHaV6v5Rll81EnLZULFh90rJoWG0guxCe9O/uDri&#10;aAuyHj7ICsLQrZEOaF+rzrYOmoEAHVh6OTFjUynhEKiOJxMwlWCbTuIgcNT5ND3e7pU275jskF1k&#10;WAHzDp3uHrWx2dD06GKDCVnwtnXst+LqABzHE4gNV63NZuHI/JEEyWq+mhOPRNOVR4I89+6LJfGm&#10;RTiL80m+XObhTxs3JGnDq4oJG+YorJD8GXEHiY+SOElLy5ZXFs6mpNVmvWwV2lEQduE+13OwnN38&#10;6zRcE6CWVyWFEQkeosQrpvOZRwoSe8ksmHtBmDwk04AkJC+uS3rkgv17SWjIcBJH8Simc9KvagOm&#10;z2Rf1EbTjhsYHS3vMjw/OdHUSnAlKketobwd1xetsOmfWwF0H4l2grUaHdVq9us9oFgVr2X1AtJV&#10;EpQFIoR5B4tGqu8YDTA7Mqy/baliGLXvBcg/CQmxw8ZtSDyLYKMuLetLCxUlQGXYYDQul2YcUNte&#10;8U0DkcYHJ+Q9PJmaOzWfszo8NJgPrqjDLLMD6HLvvM4Td/ELAAD//wMAUEsDBBQABgAIAAAAIQCr&#10;/ni+3gAAAAsBAAAPAAAAZHJzL2Rvd25yZXYueG1sTI/BTsMwDIbvSLxDZCRuLGFtJ1qaTgjEFcSA&#10;SbtljddWNE7VZGt5e7wTO9r/p9+fy/XsenHCMXSeNNwvFAik2tuOGg1fn693DyBCNGRN7wk1/GKA&#10;dXV9VZrC+ok+8LSJjeASCoXR0MY4FFKGukVnwsIPSJwd/OhM5HFspB3NxOWul0ulVtKZjvhCawZ8&#10;brH+2Rydhu+3w26bqvfmxWXD5GclyeVS69ub+ekRRMQ5/sNw1md1qNhp749kg+g1rNIkY5SDJE1B&#10;MJFneQJir2F53siqlJc/VH8AAAD//wMAUEsBAi0AFAAGAAgAAAAhALaDOJL+AAAA4QEAABMAAAAA&#10;AAAAAAAAAAAAAAAAAFtDb250ZW50X1R5cGVzXS54bWxQSwECLQAUAAYACAAAACEAOP0h/9YAAACU&#10;AQAACwAAAAAAAAAAAAAAAAAvAQAAX3JlbHMvLnJlbHNQSwECLQAUAAYACAAAACEA50mKfbYCAAC5&#10;BQAADgAAAAAAAAAAAAAAAAAuAgAAZHJzL2Uyb0RvYy54bWxQSwECLQAUAAYACAAAACEAq/54vt4A&#10;AAALAQAADwAAAAAAAAAAAAAAAAAQBQAAZHJzL2Rvd25yZXYueG1sUEsFBgAAAAAEAAQA8wAAABsG&#10;AAAAAA==&#10;" o:allowincell="f" filled="f" stroked="f">
              <v:textbox>
                <w:txbxContent>
                  <w:p w:rsidR="003131E5" w:rsidRDefault="003131E5" w:rsidP="00EC3DC4">
                    <w:pPr>
                      <w:pStyle w:val="ED"/>
                      <w:spacing w:after="0"/>
                    </w:pPr>
                    <w:r>
                      <w:t xml:space="preserve">DEPARTAMENTO DE </w:t>
                    </w:r>
                    <w:r w:rsidR="00EC3DC4">
                      <w:t>SEGURIDAD</w:t>
                    </w:r>
                  </w:p>
                  <w:p w:rsidR="003131E5" w:rsidRDefault="003131E5" w:rsidP="003131E5">
                    <w:pPr>
                      <w:pStyle w:val="EV"/>
                      <w:spacing w:before="0" w:after="35"/>
                      <w:rPr>
                        <w:b/>
                      </w:rPr>
                    </w:pPr>
                    <w:r w:rsidRPr="00CF59CA">
                      <w:rPr>
                        <w:b/>
                      </w:rPr>
                      <w:t xml:space="preserve">Viceconsejería de </w:t>
                    </w:r>
                    <w:r w:rsidR="00EC3DC4">
                      <w:rPr>
                        <w:b/>
                      </w:rPr>
                      <w:t>Seguridad</w:t>
                    </w:r>
                  </w:p>
                  <w:p w:rsidR="003131E5" w:rsidRDefault="003131E5" w:rsidP="003131E5">
                    <w:pPr>
                      <w:pStyle w:val="EZ"/>
                      <w:spacing w:before="0"/>
                    </w:pPr>
                    <w:r>
                      <w:t>Dirección Juego y Espectáculos</w:t>
                    </w:r>
                  </w:p>
                  <w:p w:rsidR="000662D5" w:rsidRPr="003131E5" w:rsidRDefault="000662D5" w:rsidP="003131E5">
                    <w:pPr>
                      <w:rPr>
                        <w:szCs w:val="13"/>
                      </w:rPr>
                    </w:pPr>
                  </w:p>
                </w:txbxContent>
              </v:textbox>
              <w10:wrap type="square" anchorx="page" anchory="page"/>
            </v:shape>
          </w:pict>
        </mc:Fallback>
      </mc:AlternateContent>
    </w:r>
    <w:r>
      <w:rPr>
        <w:noProof/>
        <w:sz w:val="16"/>
        <w:lang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93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1E5" w:rsidRPr="003131E5" w:rsidRDefault="00EC3DC4" w:rsidP="00EC3DC4">
                          <w:pPr>
                            <w:pStyle w:val="ED"/>
                            <w:spacing w:after="0"/>
                            <w:rPr>
                              <w:rFonts w:cs="Arial"/>
                              <w:szCs w:val="14"/>
                            </w:rPr>
                          </w:pPr>
                          <w:r>
                            <w:rPr>
                              <w:rFonts w:cs="Arial"/>
                              <w:szCs w:val="14"/>
                            </w:rPr>
                            <w:t>SEGURTASUN</w:t>
                          </w:r>
                          <w:r w:rsidR="003131E5" w:rsidRPr="003131E5">
                            <w:rPr>
                              <w:rFonts w:cs="Arial"/>
                              <w:szCs w:val="14"/>
                            </w:rPr>
                            <w:t xml:space="preserve"> SAILA </w:t>
                          </w:r>
                        </w:p>
                        <w:p w:rsidR="003131E5" w:rsidRPr="003131E5" w:rsidRDefault="00EC3DC4" w:rsidP="003131E5">
                          <w:pPr>
                            <w:pStyle w:val="ED"/>
                            <w:rPr>
                              <w:rFonts w:cs="Arial"/>
                              <w:szCs w:val="14"/>
                            </w:rPr>
                          </w:pPr>
                          <w:r>
                            <w:rPr>
                              <w:rFonts w:cs="Arial"/>
                              <w:szCs w:val="14"/>
                            </w:rPr>
                            <w:t>Segurtasun</w:t>
                          </w:r>
                          <w:r w:rsidR="003131E5" w:rsidRPr="003131E5">
                            <w:rPr>
                              <w:rFonts w:cs="Arial"/>
                              <w:szCs w:val="14"/>
                            </w:rPr>
                            <w:t xml:space="preserve"> Sailburuordetza</w:t>
                          </w:r>
                        </w:p>
                        <w:p w:rsidR="003131E5" w:rsidRPr="003131E5" w:rsidRDefault="003131E5" w:rsidP="003131E5">
                          <w:pPr>
                            <w:pStyle w:val="EZ"/>
                            <w:spacing w:before="0"/>
                            <w:rPr>
                              <w:rFonts w:cs="Arial"/>
                              <w:szCs w:val="14"/>
                            </w:rPr>
                          </w:pPr>
                          <w:r w:rsidRPr="003131E5">
                            <w:rPr>
                              <w:rFonts w:cs="Arial"/>
                              <w:szCs w:val="14"/>
                            </w:rPr>
                            <w:t>Joko eta Ikuskizunen Zuzendaritza</w:t>
                          </w:r>
                        </w:p>
                        <w:p w:rsidR="000662D5" w:rsidRPr="003131E5" w:rsidRDefault="000662D5" w:rsidP="003131E5">
                          <w:pPr>
                            <w:rPr>
                              <w:rFonts w:ascii="Arial" w:hAnsi="Arial" w:cs="Arial"/>
                              <w:szCs w:val="13"/>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ax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CW52h1yk43ffgZkY4tp6Wqe7vZPlVIyFXDRVbdqOUHBpGK8jO3fTPrk44&#10;2oJshg+ygjB0Z6QDGmvVWUAoBgJ06NLjqTM2ldKGXMxjsphhVIJtQZLLwLXOp+nxdq+0ecdkh+wi&#10;wwo679Dp/k4b4AGuRxcbTMiCt63rfiueHYDjdAKx4aq12SxcM38kQbKO1zHxSDRfeyTIc++mWBFv&#10;XoSLWX6Zr1Z5+NPGDUna8KpiwoY5Ciskf9a4g8QnSZykpWXLKwtnU9Jqu1m1Cu0pCLtwn+0WJH/m&#10;5j9Pw5mBywtKYUSC2yjxinm88EhBZl6yCGIvCJPbZB6QhOTFc0p3XLB/p4SGDCezaDaJ6bfcAve9&#10;5kbTjhsYHS3vMhyfnGhqJbgWlWutobyd1melsOk/lQIqdmy0E6zV6KRWM27Gw8sAMCvmjaweQcFK&#10;gsBApjD2YNFI9R2jAUZIhvW3HVUMo/a9gFeQhITYmeM2ZLaIYKPOLZtzCxUlQGXYYDQtV2aaU7te&#10;8W0DkaZ3J+QNvJyaO1E/ZQWM7AbGhON2GGl2Dp3vndfT4F3+AgAA//8DAFBLAwQUAAYACAAAACEA&#10;bZY3Kt4AAAALAQAADwAAAGRycy9kb3ducmV2LnhtbEyPwU7DMAyG70i8Q2Qkbixp1yJamk4IxBXE&#10;gEm7ZY3XVjRO1WRreXvMCW62/k+/P1ebxQ3ijFPoPWlIVgoEUuNtT62Gj/fnmzsQIRqyZvCEGr4x&#10;wKa+vKhMaf1Mb3jexlZwCYXSaOhiHEspQ9OhM2HlRyTOjn5yJvI6tdJOZuZyN8hUqVvpTE98oTMj&#10;PnbYfG1PTsPny3G/y9Rr++TycfaLkuQKqfX11fJwDyLiEv9g+NVndajZ6eBPZIMYNKyTpGCUg3WW&#10;gWAiLxQPBw1pnmYg60r+/6H+AQAA//8DAFBLAQItABQABgAIAAAAIQC2gziS/gAAAOEBAAATAAAA&#10;AAAAAAAAAAAAAAAAAABbQ29udGVudF9UeXBlc10ueG1sUEsBAi0AFAAGAAgAAAAhADj9If/WAAAA&#10;lAEAAAsAAAAAAAAAAAAAAAAALwEAAF9yZWxzLy5yZWxzUEsBAi0AFAAGAAgAAAAhAANCNrG3AgAA&#10;wAUAAA4AAAAAAAAAAAAAAAAALgIAAGRycy9lMm9Eb2MueG1sUEsBAi0AFAAGAAgAAAAhAG2WNyre&#10;AAAACwEAAA8AAAAAAAAAAAAAAAAAEQUAAGRycy9kb3ducmV2LnhtbFBLBQYAAAAABAAEAPMAAAAc&#10;BgAAAAA=&#10;" o:allowincell="f" filled="f" stroked="f">
              <v:textbox>
                <w:txbxContent>
                  <w:p w:rsidR="003131E5" w:rsidRPr="003131E5" w:rsidRDefault="00EC3DC4" w:rsidP="00EC3DC4">
                    <w:pPr>
                      <w:pStyle w:val="ED"/>
                      <w:spacing w:after="0"/>
                      <w:rPr>
                        <w:rFonts w:cs="Arial"/>
                        <w:szCs w:val="14"/>
                      </w:rPr>
                    </w:pPr>
                    <w:r>
                      <w:rPr>
                        <w:rFonts w:cs="Arial"/>
                        <w:szCs w:val="14"/>
                      </w:rPr>
                      <w:t>SEGURTASUN</w:t>
                    </w:r>
                    <w:r w:rsidR="003131E5" w:rsidRPr="003131E5">
                      <w:rPr>
                        <w:rFonts w:cs="Arial"/>
                        <w:szCs w:val="14"/>
                      </w:rPr>
                      <w:t xml:space="preserve"> SAILA </w:t>
                    </w:r>
                  </w:p>
                  <w:p w:rsidR="003131E5" w:rsidRPr="003131E5" w:rsidRDefault="00EC3DC4" w:rsidP="003131E5">
                    <w:pPr>
                      <w:pStyle w:val="ED"/>
                      <w:rPr>
                        <w:rFonts w:cs="Arial"/>
                        <w:szCs w:val="14"/>
                      </w:rPr>
                    </w:pPr>
                    <w:r>
                      <w:rPr>
                        <w:rFonts w:cs="Arial"/>
                        <w:szCs w:val="14"/>
                      </w:rPr>
                      <w:t>Segurtasun</w:t>
                    </w:r>
                    <w:r w:rsidR="003131E5" w:rsidRPr="003131E5">
                      <w:rPr>
                        <w:rFonts w:cs="Arial"/>
                        <w:szCs w:val="14"/>
                      </w:rPr>
                      <w:t xml:space="preserve"> Sailburuordetza</w:t>
                    </w:r>
                  </w:p>
                  <w:p w:rsidR="003131E5" w:rsidRPr="003131E5" w:rsidRDefault="003131E5" w:rsidP="003131E5">
                    <w:pPr>
                      <w:pStyle w:val="EZ"/>
                      <w:spacing w:before="0"/>
                      <w:rPr>
                        <w:rFonts w:cs="Arial"/>
                        <w:szCs w:val="14"/>
                      </w:rPr>
                    </w:pPr>
                    <w:r w:rsidRPr="003131E5">
                      <w:rPr>
                        <w:rFonts w:cs="Arial"/>
                        <w:szCs w:val="14"/>
                      </w:rPr>
                      <w:t>Joko eta Ikuskizunen Zuzendaritza</w:t>
                    </w:r>
                  </w:p>
                  <w:p w:rsidR="000662D5" w:rsidRPr="003131E5" w:rsidRDefault="000662D5" w:rsidP="003131E5">
                    <w:pPr>
                      <w:rPr>
                        <w:rFonts w:ascii="Arial" w:hAnsi="Arial" w:cs="Arial"/>
                        <w:szCs w:val="13"/>
                        <w:lang w:val="es-ES_tradnl"/>
                      </w:rPr>
                    </w:pPr>
                  </w:p>
                </w:txbxContent>
              </v:textbox>
              <w10:wrap type="square" anchorx="page" anchory="page"/>
            </v:shape>
          </w:pict>
        </mc:Fallback>
      </mc:AlternateContent>
    </w:r>
    <w:r w:rsidR="000662D5">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55pt;height:36.95pt" o:ole="" fillcolor="window">
          <v:imagedata r:id="rId1" o:title=""/>
        </v:shape>
        <o:OLEObject Type="Embed" ProgID="MSPhotoEd.3" ShapeID="_x0000_i1026" DrawAspect="Content" ObjectID="_1463294671" r:id="rId2"/>
      </w:object>
    </w:r>
  </w:p>
  <w:p w:rsidR="000662D5" w:rsidRDefault="000662D5">
    <w:pPr>
      <w:pStyle w:val="Encabezado"/>
      <w:tabs>
        <w:tab w:val="right" w:pos="9923"/>
      </w:tabs>
      <w:ind w:right="-142"/>
      <w:jc w:val="center"/>
      <w:rPr>
        <w:rFonts w:ascii="Arial" w:hAnsi="Arial"/>
        <w:sz w:val="16"/>
      </w:rPr>
    </w:pPr>
  </w:p>
  <w:p w:rsidR="000662D5" w:rsidRDefault="000662D5">
    <w:pPr>
      <w:pStyle w:val="Encabezado"/>
      <w:tabs>
        <w:tab w:val="right" w:pos="9923"/>
      </w:tabs>
      <w:ind w:right="-142"/>
      <w:jc w:val="center"/>
      <w:rPr>
        <w:rFonts w:ascii="Arial" w:hAnsi="Arial"/>
        <w:sz w:val="16"/>
      </w:rPr>
    </w:pPr>
  </w:p>
  <w:p w:rsidR="000662D5" w:rsidRDefault="000662D5">
    <w:pPr>
      <w:pStyle w:val="Encabezado"/>
      <w:tabs>
        <w:tab w:val="right" w:pos="9923"/>
      </w:tabs>
      <w:ind w:right="-142"/>
      <w:jc w:val="center"/>
      <w:rPr>
        <w:rFonts w:ascii="Arial" w:hAnsi="Arial"/>
        <w:sz w:val="16"/>
      </w:rPr>
    </w:pPr>
  </w:p>
  <w:p w:rsidR="000662D5" w:rsidRDefault="000662D5">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C63CE"/>
    <w:lvl w:ilvl="0">
      <w:numFmt w:val="bullet"/>
      <w:lvlText w:val="*"/>
      <w:lvlJc w:val="left"/>
    </w:lvl>
  </w:abstractNum>
  <w:abstractNum w:abstractNumId="1">
    <w:nsid w:val="02C454FC"/>
    <w:multiLevelType w:val="hybridMultilevel"/>
    <w:tmpl w:val="0C406E5E"/>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09BE00B8"/>
    <w:multiLevelType w:val="hybridMultilevel"/>
    <w:tmpl w:val="8F565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985EA6"/>
    <w:multiLevelType w:val="hybridMultilevel"/>
    <w:tmpl w:val="EDC05F4C"/>
    <w:lvl w:ilvl="0" w:tplc="D8642118">
      <w:start w:val="2"/>
      <w:numFmt w:val="bullet"/>
      <w:lvlText w:val="•"/>
      <w:lvlJc w:val="left"/>
      <w:pPr>
        <w:ind w:left="1774" w:hanging="705"/>
      </w:pPr>
      <w:rPr>
        <w:rFonts w:ascii="Times New Roman" w:eastAsia="Times New Roman" w:hAnsi="Times New Roman" w:cs="Times New Roman" w:hint="default"/>
      </w:rPr>
    </w:lvl>
    <w:lvl w:ilvl="1" w:tplc="6480E7AA">
      <w:start w:val="2"/>
      <w:numFmt w:val="bullet"/>
      <w:lvlText w:val="-"/>
      <w:lvlJc w:val="left"/>
      <w:pPr>
        <w:ind w:left="2494" w:hanging="705"/>
      </w:pPr>
      <w:rPr>
        <w:rFonts w:ascii="Times New Roman" w:eastAsia="Times New Roman" w:hAnsi="Times New Roman" w:cs="Times New Roman"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nsid w:val="23F702A0"/>
    <w:multiLevelType w:val="hybridMultilevel"/>
    <w:tmpl w:val="9806833A"/>
    <w:lvl w:ilvl="0" w:tplc="7ED07B7A">
      <w:start w:val="2"/>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652987"/>
    <w:multiLevelType w:val="hybridMultilevel"/>
    <w:tmpl w:val="721063E2"/>
    <w:lvl w:ilvl="0" w:tplc="0C0A0001">
      <w:start w:val="1"/>
      <w:numFmt w:val="bullet"/>
      <w:lvlText w:val=""/>
      <w:lvlJc w:val="left"/>
      <w:pPr>
        <w:ind w:left="720" w:hanging="360"/>
      </w:pPr>
      <w:rPr>
        <w:rFonts w:ascii="Symbol" w:hAnsi="Symbol" w:hint="default"/>
      </w:rPr>
    </w:lvl>
    <w:lvl w:ilvl="1" w:tplc="345AE69C">
      <w:start w:val="1"/>
      <w:numFmt w:val="bullet"/>
      <w:lvlText w:val="o"/>
      <w:lvlJc w:val="left"/>
      <w:pPr>
        <w:ind w:left="1440" w:hanging="360"/>
      </w:pPr>
      <w:rPr>
        <w:rFonts w:ascii="Courier New" w:hAnsi="Courier New" w:cs="Courier New" w:hint="default"/>
        <w:sz w:val="20"/>
        <w:szCs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406A88"/>
    <w:multiLevelType w:val="hybridMultilevel"/>
    <w:tmpl w:val="4094D54E"/>
    <w:lvl w:ilvl="0" w:tplc="D8642118">
      <w:start w:val="2"/>
      <w:numFmt w:val="bullet"/>
      <w:lvlText w:val="•"/>
      <w:lvlJc w:val="left"/>
      <w:pPr>
        <w:ind w:left="1774"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17E6F15"/>
    <w:multiLevelType w:val="hybridMultilevel"/>
    <w:tmpl w:val="C18CC206"/>
    <w:lvl w:ilvl="0" w:tplc="18C2263A">
      <w:start w:val="2"/>
      <w:numFmt w:val="bullet"/>
      <w:lvlText w:val="-"/>
      <w:lvlJc w:val="left"/>
      <w:pPr>
        <w:ind w:left="1778" w:hanging="360"/>
      </w:pPr>
      <w:rPr>
        <w:rFonts w:ascii="Times New Roman" w:eastAsia="Times New Roman" w:hAnsi="Times New Roman" w:cs="Times New Roman"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8">
    <w:nsid w:val="4C3F5340"/>
    <w:multiLevelType w:val="hybridMultilevel"/>
    <w:tmpl w:val="FAB82D0A"/>
    <w:lvl w:ilvl="0" w:tplc="7ED07B7A">
      <w:start w:val="2"/>
      <w:numFmt w:val="bullet"/>
      <w:lvlText w:val="-"/>
      <w:lvlJc w:val="left"/>
      <w:pPr>
        <w:ind w:left="1065" w:hanging="705"/>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82A55A0"/>
    <w:multiLevelType w:val="singleLevel"/>
    <w:tmpl w:val="65F4B9AC"/>
    <w:lvl w:ilvl="0">
      <w:start w:val="1"/>
      <w:numFmt w:val="decimal"/>
      <w:lvlText w:val="%1."/>
      <w:lvlJc w:val="left"/>
      <w:pPr>
        <w:tabs>
          <w:tab w:val="num" w:pos="405"/>
        </w:tabs>
        <w:ind w:left="405" w:hanging="405"/>
      </w:pPr>
      <w:rPr>
        <w:rFonts w:hint="default"/>
      </w:rPr>
    </w:lvl>
  </w:abstractNum>
  <w:abstractNum w:abstractNumId="10">
    <w:nsid w:val="6CEC6FE1"/>
    <w:multiLevelType w:val="hybridMultilevel"/>
    <w:tmpl w:val="B52C0C2C"/>
    <w:lvl w:ilvl="0" w:tplc="0C0A0001">
      <w:start w:val="1"/>
      <w:numFmt w:val="bullet"/>
      <w:lvlText w:val=""/>
      <w:lvlJc w:val="left"/>
      <w:pPr>
        <w:ind w:left="2487" w:hanging="360"/>
      </w:pPr>
      <w:rPr>
        <w:rFonts w:ascii="Symbol" w:hAnsi="Symbol" w:hint="default"/>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11">
    <w:nsid w:val="753B2B04"/>
    <w:multiLevelType w:val="hybridMultilevel"/>
    <w:tmpl w:val="B78AA2FC"/>
    <w:lvl w:ilvl="0" w:tplc="E978695E">
      <w:start w:val="2"/>
      <w:numFmt w:val="bullet"/>
      <w:lvlText w:val="-"/>
      <w:lvlJc w:val="left"/>
      <w:pPr>
        <w:ind w:left="1778" w:hanging="360"/>
      </w:pPr>
      <w:rPr>
        <w:rFonts w:ascii="Times New Roman" w:eastAsia="Times New Roman" w:hAnsi="Times New Roman" w:cs="Times New Roman"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num w:numId="1">
    <w:abstractNumId w:val="9"/>
  </w:num>
  <w:num w:numId="2">
    <w:abstractNumId w:val="10"/>
  </w:num>
  <w:num w:numId="3">
    <w:abstractNumId w:val="1"/>
  </w:num>
  <w:num w:numId="4">
    <w:abstractNumId w:val="2"/>
  </w:num>
  <w:num w:numId="5">
    <w:abstractNumId w:val="3"/>
  </w:num>
  <w:num w:numId="6">
    <w:abstractNumId w:val="6"/>
  </w:num>
  <w:num w:numId="7">
    <w:abstractNumId w:val="4"/>
  </w:num>
  <w:num w:numId="8">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9">
    <w:abstractNumId w:val="0"/>
    <w:lvlOverride w:ilvl="0">
      <w:lvl w:ilvl="0">
        <w:start w:val="65535"/>
        <w:numFmt w:val="bullet"/>
        <w:lvlText w:val="&gt;"/>
        <w:legacy w:legacy="1" w:legacySpace="0" w:legacyIndent="34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1">
    <w:abstractNumId w:val="8"/>
  </w:num>
  <w:num w:numId="12">
    <w:abstractNumId w:val="5"/>
  </w:num>
  <w:num w:numId="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isplayBackgroundShape/>
  <w:printFractionalCharacterWidth/>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7A0"/>
    <w:rsid w:val="000662D5"/>
    <w:rsid w:val="0007463D"/>
    <w:rsid w:val="000A12DE"/>
    <w:rsid w:val="000A7466"/>
    <w:rsid w:val="000C3729"/>
    <w:rsid w:val="000D6E65"/>
    <w:rsid w:val="000E5646"/>
    <w:rsid w:val="00100C18"/>
    <w:rsid w:val="001067FD"/>
    <w:rsid w:val="001172D0"/>
    <w:rsid w:val="00123C20"/>
    <w:rsid w:val="00124B7A"/>
    <w:rsid w:val="00124F81"/>
    <w:rsid w:val="00141314"/>
    <w:rsid w:val="00190BE3"/>
    <w:rsid w:val="002600D2"/>
    <w:rsid w:val="00262BE5"/>
    <w:rsid w:val="002F710A"/>
    <w:rsid w:val="003131E5"/>
    <w:rsid w:val="00315D4A"/>
    <w:rsid w:val="00340BFE"/>
    <w:rsid w:val="003573E3"/>
    <w:rsid w:val="003601A1"/>
    <w:rsid w:val="00366FBE"/>
    <w:rsid w:val="0037372B"/>
    <w:rsid w:val="003A5771"/>
    <w:rsid w:val="003B3DEF"/>
    <w:rsid w:val="003C77AB"/>
    <w:rsid w:val="003E04ED"/>
    <w:rsid w:val="00403DBC"/>
    <w:rsid w:val="00405C34"/>
    <w:rsid w:val="00432F08"/>
    <w:rsid w:val="00471570"/>
    <w:rsid w:val="004D2E1E"/>
    <w:rsid w:val="004D5A8E"/>
    <w:rsid w:val="004E1DA2"/>
    <w:rsid w:val="005274C7"/>
    <w:rsid w:val="00537F93"/>
    <w:rsid w:val="005420FB"/>
    <w:rsid w:val="005605D4"/>
    <w:rsid w:val="005726AB"/>
    <w:rsid w:val="00576FED"/>
    <w:rsid w:val="006005BA"/>
    <w:rsid w:val="00604288"/>
    <w:rsid w:val="006A063A"/>
    <w:rsid w:val="006A6E0C"/>
    <w:rsid w:val="006F5310"/>
    <w:rsid w:val="007410B6"/>
    <w:rsid w:val="0075034A"/>
    <w:rsid w:val="00783841"/>
    <w:rsid w:val="007C139A"/>
    <w:rsid w:val="007E3B9D"/>
    <w:rsid w:val="007E3E76"/>
    <w:rsid w:val="007E6B24"/>
    <w:rsid w:val="008725FD"/>
    <w:rsid w:val="00877568"/>
    <w:rsid w:val="0088094D"/>
    <w:rsid w:val="008B59B2"/>
    <w:rsid w:val="008E6DB4"/>
    <w:rsid w:val="00A55AFD"/>
    <w:rsid w:val="00A73ED7"/>
    <w:rsid w:val="00A84705"/>
    <w:rsid w:val="00A93A9C"/>
    <w:rsid w:val="00AA192B"/>
    <w:rsid w:val="00AF7EAC"/>
    <w:rsid w:val="00B05779"/>
    <w:rsid w:val="00B07B73"/>
    <w:rsid w:val="00B177A0"/>
    <w:rsid w:val="00B236EA"/>
    <w:rsid w:val="00B2779A"/>
    <w:rsid w:val="00B64CD6"/>
    <w:rsid w:val="00B66827"/>
    <w:rsid w:val="00B91608"/>
    <w:rsid w:val="00C04CE5"/>
    <w:rsid w:val="00C1358B"/>
    <w:rsid w:val="00C963F0"/>
    <w:rsid w:val="00CA3CC4"/>
    <w:rsid w:val="00CB7D33"/>
    <w:rsid w:val="00CC0320"/>
    <w:rsid w:val="00CE3219"/>
    <w:rsid w:val="00CF0DE6"/>
    <w:rsid w:val="00D34A68"/>
    <w:rsid w:val="00D800BA"/>
    <w:rsid w:val="00DE49AA"/>
    <w:rsid w:val="00E10B1A"/>
    <w:rsid w:val="00E724B1"/>
    <w:rsid w:val="00E82546"/>
    <w:rsid w:val="00EA12E8"/>
    <w:rsid w:val="00EB4C51"/>
    <w:rsid w:val="00EC3DC4"/>
    <w:rsid w:val="00F17C94"/>
    <w:rsid w:val="00F22DD7"/>
    <w:rsid w:val="00F254D3"/>
    <w:rsid w:val="00F43209"/>
    <w:rsid w:val="00FA6062"/>
    <w:rsid w:val="00FC42D7"/>
    <w:rsid w:val="00FE1CE4"/>
    <w:rsid w:val="00FF05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F81"/>
    <w:rPr>
      <w:lang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6">
    <w:name w:val="heading 6"/>
    <w:basedOn w:val="Normal"/>
    <w:next w:val="Normal"/>
    <w:qFormat/>
    <w:rsid w:val="00124F81"/>
    <w:pPr>
      <w:keepNext/>
      <w:jc w:val="both"/>
      <w:outlineLvl w:val="5"/>
    </w:pPr>
    <w:rPr>
      <w:rFonts w:ascii="Courier New" w:hAnsi="Courier New"/>
      <w:i/>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customStyle="1" w:styleId="ED">
    <w:name w:val="ED"/>
    <w:pPr>
      <w:spacing w:after="35"/>
    </w:pPr>
    <w:rPr>
      <w:rFonts w:ascii="Arial" w:hAnsi="Arial"/>
      <w:b/>
      <w:noProof/>
      <w:sz w:val="14"/>
      <w:lang w:val="es-ES_tradnl" w:eastAsia="es-ES_tradnl"/>
    </w:rPr>
  </w:style>
  <w:style w:type="paragraph" w:customStyle="1" w:styleId="EV">
    <w:name w:val="EV"/>
    <w:pPr>
      <w:spacing w:before="35"/>
    </w:pPr>
    <w:rPr>
      <w:rFonts w:ascii="Arial" w:hAnsi="Arial"/>
      <w:noProof/>
      <w:sz w:val="14"/>
      <w:lang w:val="es-ES_tradnl" w:eastAsia="es-ES_tradnl"/>
    </w:rPr>
  </w:style>
  <w:style w:type="paragraph" w:customStyle="1" w:styleId="EZ">
    <w:name w:val="EZ"/>
    <w:pPr>
      <w:spacing w:before="35"/>
    </w:pPr>
    <w:rPr>
      <w:rFonts w:ascii="Arial" w:hAnsi="Arial"/>
      <w:i/>
      <w:noProof/>
      <w:sz w:val="14"/>
      <w:lang w:val="es-ES_tradnl" w:eastAsia="es-ES_tradnl"/>
    </w:rPr>
  </w:style>
  <w:style w:type="paragraph" w:customStyle="1" w:styleId="PP">
    <w:name w:val="PP"/>
    <w:pPr>
      <w:jc w:val="center"/>
    </w:pPr>
    <w:rPr>
      <w:rFonts w:ascii="Arial" w:hAnsi="Arial"/>
      <w:noProof/>
      <w:sz w:val="13"/>
      <w:lang w:val="es-ES_tradnl" w:eastAsia="es-ES_tradnl"/>
    </w:rPr>
  </w:style>
  <w:style w:type="paragraph" w:styleId="Textoindependiente">
    <w:name w:val="Body Text"/>
    <w:basedOn w:val="Normal"/>
    <w:rsid w:val="00124F81"/>
    <w:pPr>
      <w:jc w:val="both"/>
    </w:pPr>
    <w:rPr>
      <w:b/>
      <w:sz w:val="24"/>
    </w:rPr>
  </w:style>
  <w:style w:type="paragraph" w:styleId="Sangra3detindependiente">
    <w:name w:val="Body Text Indent 3"/>
    <w:basedOn w:val="Normal"/>
    <w:rsid w:val="00124F81"/>
    <w:pPr>
      <w:ind w:firstLine="426"/>
    </w:pPr>
    <w:rPr>
      <w:rFonts w:ascii="Courier New" w:hAnsi="Courier New"/>
      <w:sz w:val="22"/>
    </w:rPr>
  </w:style>
  <w:style w:type="paragraph" w:styleId="Textodeglobo">
    <w:name w:val="Balloon Text"/>
    <w:basedOn w:val="Normal"/>
    <w:semiHidden/>
    <w:rsid w:val="00A93A9C"/>
    <w:rPr>
      <w:rFonts w:ascii="Tahoma" w:hAnsi="Tahoma" w:cs="Tahoma"/>
      <w:sz w:val="16"/>
      <w:szCs w:val="16"/>
    </w:rPr>
  </w:style>
  <w:style w:type="paragraph" w:styleId="Prrafodelista">
    <w:name w:val="List Paragraph"/>
    <w:basedOn w:val="Normal"/>
    <w:uiPriority w:val="34"/>
    <w:qFormat/>
    <w:rsid w:val="00C04CE5"/>
    <w:pPr>
      <w:ind w:left="720"/>
      <w:contextualSpacing/>
    </w:pPr>
  </w:style>
  <w:style w:type="character" w:customStyle="1" w:styleId="PiedepginaCar">
    <w:name w:val="Pie de página Car"/>
    <w:basedOn w:val="Fuentedeprrafopredeter"/>
    <w:link w:val="Piedepgina"/>
    <w:uiPriority w:val="99"/>
    <w:rsid w:val="003B3DEF"/>
    <w:rPr>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F81"/>
    <w:rPr>
      <w:lang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6">
    <w:name w:val="heading 6"/>
    <w:basedOn w:val="Normal"/>
    <w:next w:val="Normal"/>
    <w:qFormat/>
    <w:rsid w:val="00124F81"/>
    <w:pPr>
      <w:keepNext/>
      <w:jc w:val="both"/>
      <w:outlineLvl w:val="5"/>
    </w:pPr>
    <w:rPr>
      <w:rFonts w:ascii="Courier New" w:hAnsi="Courier New"/>
      <w:i/>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customStyle="1" w:styleId="ED">
    <w:name w:val="ED"/>
    <w:pPr>
      <w:spacing w:after="35"/>
    </w:pPr>
    <w:rPr>
      <w:rFonts w:ascii="Arial" w:hAnsi="Arial"/>
      <w:b/>
      <w:noProof/>
      <w:sz w:val="14"/>
      <w:lang w:val="es-ES_tradnl" w:eastAsia="es-ES_tradnl"/>
    </w:rPr>
  </w:style>
  <w:style w:type="paragraph" w:customStyle="1" w:styleId="EV">
    <w:name w:val="EV"/>
    <w:pPr>
      <w:spacing w:before="35"/>
    </w:pPr>
    <w:rPr>
      <w:rFonts w:ascii="Arial" w:hAnsi="Arial"/>
      <w:noProof/>
      <w:sz w:val="14"/>
      <w:lang w:val="es-ES_tradnl" w:eastAsia="es-ES_tradnl"/>
    </w:rPr>
  </w:style>
  <w:style w:type="paragraph" w:customStyle="1" w:styleId="EZ">
    <w:name w:val="EZ"/>
    <w:pPr>
      <w:spacing w:before="35"/>
    </w:pPr>
    <w:rPr>
      <w:rFonts w:ascii="Arial" w:hAnsi="Arial"/>
      <w:i/>
      <w:noProof/>
      <w:sz w:val="14"/>
      <w:lang w:val="es-ES_tradnl" w:eastAsia="es-ES_tradnl"/>
    </w:rPr>
  </w:style>
  <w:style w:type="paragraph" w:customStyle="1" w:styleId="PP">
    <w:name w:val="PP"/>
    <w:pPr>
      <w:jc w:val="center"/>
    </w:pPr>
    <w:rPr>
      <w:rFonts w:ascii="Arial" w:hAnsi="Arial"/>
      <w:noProof/>
      <w:sz w:val="13"/>
      <w:lang w:val="es-ES_tradnl" w:eastAsia="es-ES_tradnl"/>
    </w:rPr>
  </w:style>
  <w:style w:type="paragraph" w:styleId="Textoindependiente">
    <w:name w:val="Body Text"/>
    <w:basedOn w:val="Normal"/>
    <w:rsid w:val="00124F81"/>
    <w:pPr>
      <w:jc w:val="both"/>
    </w:pPr>
    <w:rPr>
      <w:b/>
      <w:sz w:val="24"/>
    </w:rPr>
  </w:style>
  <w:style w:type="paragraph" w:styleId="Sangra3detindependiente">
    <w:name w:val="Body Text Indent 3"/>
    <w:basedOn w:val="Normal"/>
    <w:rsid w:val="00124F81"/>
    <w:pPr>
      <w:ind w:firstLine="426"/>
    </w:pPr>
    <w:rPr>
      <w:rFonts w:ascii="Courier New" w:hAnsi="Courier New"/>
      <w:sz w:val="22"/>
    </w:rPr>
  </w:style>
  <w:style w:type="paragraph" w:styleId="Textodeglobo">
    <w:name w:val="Balloon Text"/>
    <w:basedOn w:val="Normal"/>
    <w:semiHidden/>
    <w:rsid w:val="00A93A9C"/>
    <w:rPr>
      <w:rFonts w:ascii="Tahoma" w:hAnsi="Tahoma" w:cs="Tahoma"/>
      <w:sz w:val="16"/>
      <w:szCs w:val="16"/>
    </w:rPr>
  </w:style>
  <w:style w:type="paragraph" w:styleId="Prrafodelista">
    <w:name w:val="List Paragraph"/>
    <w:basedOn w:val="Normal"/>
    <w:uiPriority w:val="34"/>
    <w:qFormat/>
    <w:rsid w:val="00C04CE5"/>
    <w:pPr>
      <w:ind w:left="720"/>
      <w:contextualSpacing/>
    </w:pPr>
  </w:style>
  <w:style w:type="character" w:customStyle="1" w:styleId="PiedepginaCar">
    <w:name w:val="Pie de página Car"/>
    <w:basedOn w:val="Fuentedeprrafopredeter"/>
    <w:link w:val="Piedepgina"/>
    <w:uiPriority w:val="99"/>
    <w:rsid w:val="003B3DEF"/>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ajurigo\AppData\Roaming\Microsoft\Plantillas\Plantilla%20201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D035E-8CEB-4A2E-A37A-42C2B653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2013</Template>
  <TotalTime>0</TotalTime>
  <Pages>6</Pages>
  <Words>1979</Words>
  <Characters>10862</Characters>
  <Application>Microsoft Office Word</Application>
  <DocSecurity>4</DocSecurity>
  <Lines>90</Lines>
  <Paragraphs>25</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Ajuria Gómez, Andoni</dc:creator>
  <cp:lastModifiedBy>López López, Conchi</cp:lastModifiedBy>
  <cp:revision>2</cp:revision>
  <cp:lastPrinted>2014-06-02T09:17:00Z</cp:lastPrinted>
  <dcterms:created xsi:type="dcterms:W3CDTF">2014-06-03T07:58:00Z</dcterms:created>
  <dcterms:modified xsi:type="dcterms:W3CDTF">2014-06-03T07:58:00Z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-2136883584</vt:i4>
  </property>
  <property fmtid="{D5CDD505-2E9C-101B-9397-08002B2CF9AE}" pid="3" name="_EmailSubject">
    <vt:lpwstr>Orden2 bis.doc</vt:lpwstr>
  </property>
  <property fmtid="{D5CDD505-2E9C-101B-9397-08002B2CF9AE}" pid="4" name="_AuthorEmail">
    <vt:lpwstr>a-ajuria@ej-gv.es</vt:lpwstr>
  </property>
  <property fmtid="{D5CDD505-2E9C-101B-9397-08002B2CF9AE}" pid="5" name="_AuthorEmailDisplayName">
    <vt:lpwstr>Ajuria Gómez, Andoni</vt:lpwstr>
  </property>
  <property fmtid="{D5CDD505-2E9C-101B-9397-08002B2CF9AE}" pid="6" name="_ReviewingToolsShownOnce">
    <vt:lpwstr/>
  </property>
</Properties>
</file>