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A3" w:rsidRPr="00B80537" w:rsidRDefault="00850CD6" w:rsidP="00C45540">
      <w:pPr>
        <w:autoSpaceDE w:val="0"/>
        <w:autoSpaceDN w:val="0"/>
        <w:adjustRightInd w:val="0"/>
        <w:spacing w:after="220" w:line="240" w:lineRule="auto"/>
        <w:ind w:left="425" w:hanging="425"/>
        <w:jc w:val="both"/>
        <w:rPr>
          <w:rFonts w:ascii="Arial" w:hAnsi="Arial" w:cs="Arial"/>
        </w:rPr>
      </w:pPr>
      <w:bookmarkStart w:id="0" w:name="_GoBack"/>
      <w:bookmarkEnd w:id="0"/>
      <w:r w:rsidRPr="00B80537">
        <w:rPr>
          <w:rFonts w:ascii="Arial" w:hAnsi="Arial"/>
          <w:bCs/>
        </w:rPr>
        <w:t>XX/2019 Dekretu-proiektua, XXXaren XX(e)koa, Administrazio Elektronikoaren Dekretua bigarrenez aldatzen duena</w:t>
      </w:r>
      <w:r w:rsidRPr="00B80537">
        <w:rPr>
          <w:rFonts w:ascii="Arial" w:hAnsi="Arial"/>
        </w:rPr>
        <w:t>.</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Administrazio Elektronikoaren otsailaren 21eko 21/2012 Dekretuaren helburua da, lehenengo artikuluan jasota dagoenez, bederatzi eduki arautzea. Lehenengo eta behin, 1. apartatuan adierazita dauden bi eduki orokorrak arautzen dira: batetik, herritarrek Administrazioarekin baliabide elektronikoen bidez jarduteko eskubidea, bai zerbitzu publikoetara iristeko, bai administrazio-prozedurak izapidetzeko, eta, bestetik, Herritarrek Zerbitzu Publikoetan Sarbide Elektronikoa izateari buruzko ekainaren 11/2007 Legearen 6. artikuluan adierazitako gainerako eskubideei zabalbidea ematea. Eta, bi horietaz gain, 2. apartatuan adierazitako beste zazpi eduki zehatzago hauek jorratzen dira: egoitza elektronikoa; iragarki-taula elektronikoa; herritarren eta Administrazioaren identifikazioa eta autentifikazioa; ahalordeen erregistro elektronikoa; erregistro elektronikoa; komunikazio elektronikoak; eta dokumentu elektronikoak eta dokumentuon kontserbazioa.</w:t>
      </w:r>
    </w:p>
    <w:p w:rsidR="00937AA3" w:rsidRPr="00B80537" w:rsidRDefault="00937AA3" w:rsidP="00C45540">
      <w:pPr>
        <w:autoSpaceDE w:val="0"/>
        <w:autoSpaceDN w:val="0"/>
        <w:adjustRightInd w:val="0"/>
        <w:spacing w:after="220" w:line="240" w:lineRule="auto"/>
        <w:ind w:firstLine="425"/>
        <w:jc w:val="both"/>
        <w:rPr>
          <w:rFonts w:ascii="Arial" w:hAnsi="Arial" w:cs="Arial"/>
        </w:rPr>
      </w:pPr>
      <w:r w:rsidRPr="00B80537">
        <w:rPr>
          <w:rFonts w:ascii="Arial" w:hAnsi="Arial"/>
        </w:rPr>
        <w:t>Gai horiek funtsezkoak dira gure Administrazioaren jarduketetarako, zerbitzu publikoak emateko eta izapidetzen dituen administrazio-prozedurak kudeatzeko, eta lotura daukate Internet bidezko informazioaren eta komunikazioaren teknologien garapenarekin, Administrazio Publikoaren eta herritarren arteko harremanetarako modu berria den aldetik; izan ere, lortu nahi da izapidetze elektronikoa gaur egun jarduteko ohiko modua izatea eta orain gutxi arte gure ordenamendu juridikoan ohikoa zen paperezko izapidetzea baztertu ahal izatea.</w:t>
      </w:r>
    </w:p>
    <w:p w:rsidR="00937AA3" w:rsidRPr="00B80537" w:rsidRDefault="007B5FB9" w:rsidP="00C45540">
      <w:pPr>
        <w:spacing w:after="220" w:line="240" w:lineRule="auto"/>
        <w:ind w:firstLine="425"/>
        <w:jc w:val="both"/>
        <w:rPr>
          <w:rFonts w:ascii="Arial" w:hAnsi="Arial" w:cs="Arial"/>
        </w:rPr>
      </w:pPr>
      <w:r w:rsidRPr="00B80537">
        <w:rPr>
          <w:rFonts w:ascii="Arial" w:hAnsi="Arial"/>
        </w:rPr>
        <w:t xml:space="preserve">Dekretua baliagarria izan da indarrean egon den urte hauetan –zazpi baino gehiago–, eta aurrera egin du Administrazio Publikoan bitarteko elektronikoak erabil daitezen sustatzeko helburu horretan. Horren froga da, gaur egun arte, eduki horietan aldez aurretiko aldaketa bakar eta oso zehatz bat egin behar izana; izan ere, egoitza elektronikoaren helbidearen izendapena baino ez da aldatu, 7. artikuluaren 5. paragrafoan, eta Interneteko goi-mailako «euskadi.eus» domeinu berria ezartzen duen ekainaren 9ko 84/2015 Dekretuaren azken xedapenetako bigarrenaren bidez aldatu zen. Gauzak horrela, orain egingo da dekretu horren bigarren aldaketa, aldaketa zabalago bat, ondoren justifikatzen dena. </w:t>
      </w:r>
    </w:p>
    <w:p w:rsidR="00937AA3" w:rsidRPr="00B80537" w:rsidRDefault="007F1B47" w:rsidP="00C45540">
      <w:pPr>
        <w:spacing w:after="220" w:line="240" w:lineRule="auto"/>
        <w:ind w:firstLine="425"/>
        <w:jc w:val="both"/>
        <w:rPr>
          <w:rFonts w:ascii="Arial" w:hAnsi="Arial" w:cs="Arial"/>
        </w:rPr>
      </w:pPr>
      <w:r w:rsidRPr="00B80537">
        <w:rPr>
          <w:rFonts w:ascii="Arial" w:hAnsi="Arial"/>
        </w:rPr>
        <w:t xml:space="preserve">Gure ordenamendu juridikoan, orain dela gutxi, administrazio elektronikoari dagozkion gaiei loturiko legedi-aldaketa garrantzitsu batzuk izan dira, 2016ko urriaren 2an administrazio-zuzenbidearen oinarrizko bi arau berri hauek indarrean jartzeaz batera: Administrazio Publikoen Administrazio Prozedura Erkidearen urriaren 1eko 39/2015 Legea eta Sektore Publikoaren Araubide Juridikoaren urriaren 1eko 40/2015 Legea. Lege bi horiek aldaketa garrantzitsuak ekarri dituzte eduki juridikoetara, 21/2012 Dekretuan ere araututa zeudelako, eta, ondorioz, besteak beste, arau hauek indargabetu dituzte: Herritarrek Zerbitzu Publikoetan Sarbide Elektronikoa Izateari buruzko ekainaren 22ko 11/2007 Legea –erregelamenduan garatu zen araua zen–, eta Herri Administrazioen Araubide Juridikoaren eta Administrazio Prozedura Erkidearen azaroaren 26ko 30/1992 Legea –prozeduren paperezko izapidetzea baino ez zuen xedatzen–. </w:t>
      </w:r>
    </w:p>
    <w:p w:rsidR="00D55210" w:rsidRPr="00B80537" w:rsidRDefault="00C47430" w:rsidP="00C45540">
      <w:pPr>
        <w:pStyle w:val="parrafo"/>
        <w:spacing w:before="0" w:beforeAutospacing="0" w:after="220" w:afterAutospacing="0"/>
        <w:ind w:firstLine="425"/>
        <w:jc w:val="both"/>
        <w:rPr>
          <w:rFonts w:ascii="Arial" w:hAnsi="Arial" w:cs="Arial"/>
          <w:sz w:val="22"/>
          <w:szCs w:val="22"/>
        </w:rPr>
      </w:pPr>
      <w:r w:rsidRPr="00B80537">
        <w:rPr>
          <w:rFonts w:ascii="Arial" w:hAnsi="Arial"/>
          <w:sz w:val="22"/>
          <w:szCs w:val="22"/>
        </w:rPr>
        <w:t xml:space="preserve">Lege horiek indarrean jarri ostean, apurka-apurka administrazio-ordenamendu juridikoa egokitzeko lanari ekin zaio, legeotako edukien helburu handiak eta paradigma berriak lortze aldera, Administrazio publikoetan funtsezko aldaketa bat eragin behar baita harreman elektronikoa izan dadin administrazio-prozedurak izapidetzeko bidea, paperik gabeko administrazio garden, arinago eta irisgarriago batera zuzendua, herritarrentzat eta enpresentzat. </w:t>
      </w:r>
    </w:p>
    <w:p w:rsidR="00C47430" w:rsidRPr="00B80537" w:rsidRDefault="00C47430" w:rsidP="00C45540">
      <w:pPr>
        <w:pStyle w:val="parrafo"/>
        <w:spacing w:before="0" w:beforeAutospacing="0" w:after="220" w:afterAutospacing="0"/>
        <w:ind w:firstLine="425"/>
        <w:jc w:val="both"/>
        <w:rPr>
          <w:rFonts w:ascii="Arial" w:hAnsi="Arial" w:cs="Arial"/>
          <w:sz w:val="22"/>
          <w:szCs w:val="22"/>
        </w:rPr>
      </w:pPr>
      <w:r w:rsidRPr="00B80537">
        <w:rPr>
          <w:rFonts w:ascii="Arial" w:hAnsi="Arial"/>
          <w:sz w:val="22"/>
          <w:szCs w:val="22"/>
        </w:rPr>
        <w:t xml:space="preserve">Horretarako, ezinbestekoa da, batez ere, sistema teknologikoen alderdi teknikoak, prozedurakoak, juridikoak eta antolamendukoak arauz garatzea, eta, horretarako, herritarrak, eragile juridikoak eta Administrazio publikoak kontuan hartuta, bateragarriak izan behar dute, batetik, eskubideen baliatze erabatekoa eta prozeduren balio juridikoa bermatzeak eta, </w:t>
      </w:r>
      <w:r w:rsidRPr="00B80537">
        <w:rPr>
          <w:rFonts w:ascii="Arial" w:hAnsi="Arial"/>
          <w:sz w:val="22"/>
          <w:szCs w:val="22"/>
        </w:rPr>
        <w:lastRenderedPageBreak/>
        <w:t>bestetik, Konstituzio Auzitegiaren maiatzaren 24ko 55/2018 epaiak ezartzen duen eskumen-banaketa errespetatzen duen benetako elkarreragingarritasuna izateak.</w:t>
      </w:r>
    </w:p>
    <w:p w:rsidR="00D55210" w:rsidRPr="00B80537" w:rsidRDefault="00D55210" w:rsidP="00C45540">
      <w:pPr>
        <w:pStyle w:val="articulo"/>
        <w:spacing w:before="0" w:beforeAutospacing="0" w:after="220" w:afterAutospacing="0"/>
        <w:ind w:firstLine="425"/>
        <w:jc w:val="both"/>
        <w:rPr>
          <w:rFonts w:ascii="Arial" w:hAnsi="Arial" w:cs="Arial"/>
          <w:sz w:val="22"/>
          <w:szCs w:val="22"/>
        </w:rPr>
      </w:pPr>
      <w:r w:rsidRPr="00B80537">
        <w:rPr>
          <w:rFonts w:ascii="Arial" w:hAnsi="Arial"/>
          <w:sz w:val="22"/>
          <w:szCs w:val="22"/>
        </w:rPr>
        <w:t>Testuinguru horretan, Administrazio Publikoen Administrazio Prozedura Erkidearen urriaren 1eko 39/2015 Legea eta Sektore Publikoaren Araubide Juridikoaren urriaren 1eko 40/2015 Legea garatzen dituen errege-dekretuaren proiektua izapidetzen ari da, sektore publikoak bitarteko elektronikoen bitartez jarduteari eta funtzionatzeari dagokienez. Egingo den erregulazio horretan, Estatuko oinarrizko legegintzako erregelamendu-garapena jasoko da, Espainiako Konstituzioaren 149.1.18 artikuluan xedatutakoaren babesean eginda; artikulu horrek Estatuari eskumena esleitzen dio Administrazio publikoen araubide juridikoaren oinarriak emateko, eta orobat esleitzen dio eskumena administrazio-prozedura erkidearen eta Administrazio publiko guztien erantzukizun-sistemaren arloan.</w:t>
      </w:r>
    </w:p>
    <w:p w:rsidR="00C47430" w:rsidRPr="00B80537" w:rsidRDefault="00AE587C" w:rsidP="00C45540">
      <w:pPr>
        <w:pStyle w:val="articulo"/>
        <w:spacing w:before="0" w:beforeAutospacing="0" w:after="220" w:afterAutospacing="0"/>
        <w:ind w:firstLine="425"/>
        <w:jc w:val="both"/>
        <w:rPr>
          <w:rFonts w:ascii="Arial" w:hAnsi="Arial" w:cs="Arial"/>
          <w:sz w:val="22"/>
          <w:szCs w:val="22"/>
        </w:rPr>
      </w:pPr>
      <w:r w:rsidRPr="00B80537">
        <w:rPr>
          <w:rFonts w:ascii="Arial" w:hAnsi="Arial"/>
          <w:sz w:val="22"/>
          <w:szCs w:val="22"/>
        </w:rPr>
        <w:t xml:space="preserve">Lan horiek egin bitartean, urriaren 1eko 39/2015 Legeari aldaketa bat egin zaio abuztuaren 31ko 11/2018 Errege Lege Dekretuaren bidez (dekretu horrek langileekiko pentsio-konpromisoak babestearen, kapital-zuriketa prebenitzearen eta hirugarren herrialdeetako nazionalen sarrera- eta bizileku-eskakizunen arloko zuzentarauen transposizioa egiten du, eta Administrazio Publikoen Administrazio Prozedura Erkidearen urriaren 1eko 39/2015 Legea aldatzen du). Hain zuzen ere, haren 6. artikuluan xedatu da ez duela eragin juridikorik izango 2020ko urriaren 2ra arte, hauei dagokienez soilik: ahalordeen erregistro elektronikoa, erregistro elektronikoa, enplegatu publiko gaituen erregistroa, Administrazioaren irispide-puntu elektroniko nagusia eta fitxategi elektroniko bakarra. Hau da, atzeratu egin da arlo horietan izan beharreko eragin juridikoa, hasiera batean, 39/2015 Legearen azken xedapenetako zazpigarrenaren arabera, 2018ko urriaren 2an izan behar zuen eta. Denbora-tarte horretan, arlo horiei dagokienez, 30/1992 Legearen eta 11/2007 Legearen arauek indarrean segituko dute, horrela baitago adierazita 39/2015 Legearen laugarren xedapen iragankorrean eta xedapen indargabetzaile bakarraren 2. paragrafoan. Horrela, berriro baliatu da Kode Zibilaren 2. artikuluaren salbuespena, vacatio legis delakoaren jatorrizko bi urteko epea bikoizteko, bost konponbide informatiko horiek arautzen dituen araudiaren ondorio juridikoetarako. Horretaz gain, lehen urte bat zegoen aurreikusita lege oro indarrean jartzeko, Estatuko Aldizkari Ofizialean argitaratzen denetik aurrera, eta bete egin zen 2016ko urriaren 2an, azken xedapenetako zazpigarrenarekin bat. </w:t>
      </w:r>
    </w:p>
    <w:p w:rsidR="00C04F8C" w:rsidRPr="00B80537" w:rsidRDefault="00710B44" w:rsidP="00C45540">
      <w:pPr>
        <w:pStyle w:val="3izenburua"/>
        <w:spacing w:before="0" w:after="220" w:line="240" w:lineRule="auto"/>
        <w:ind w:firstLine="425"/>
        <w:jc w:val="both"/>
        <w:rPr>
          <w:rFonts w:cs="Arial"/>
          <w:i w:val="0"/>
          <w:sz w:val="22"/>
        </w:rPr>
      </w:pPr>
      <w:r w:rsidRPr="00B80537">
        <w:rPr>
          <w:i w:val="0"/>
          <w:sz w:val="22"/>
        </w:rPr>
        <w:t xml:space="preserve">Justifikazio gisa, 11/2018 Errege Lege Dekretuaren zioen azalpenean dago xedatuta ezen 39/2015 Legearen azken xedapenetako zazpigarrenean ezarritako </w:t>
      </w:r>
      <w:r w:rsidRPr="00B80537">
        <w:rPr>
          <w:rStyle w:val="Enfasia"/>
          <w:sz w:val="22"/>
        </w:rPr>
        <w:t>vacatio legis</w:t>
      </w:r>
      <w:r w:rsidRPr="00B80537">
        <w:rPr>
          <w:i w:val="0"/>
          <w:sz w:val="22"/>
        </w:rPr>
        <w:t xml:space="preserve"> ez zela nahikoa, ezinezkoa zelako epe horretan bai administrazio-prozedurak egokitzeko lana egitea, bai Administrazio publikoen jardunaren garapen-egoera berria zuzen kudeatzeko prozesuak diseinatzea; izan ere, garapen teknologiko eta juridikoek behar besteko heldutasuna izan behar dute errekerimenduak betetzeko, beraz, denbora gehiago behar da eta V. tituluan beste bi urtez luzatzen da. </w:t>
      </w:r>
    </w:p>
    <w:p w:rsidR="00C04F8C" w:rsidRPr="00B80537" w:rsidRDefault="004D2136" w:rsidP="00C45540">
      <w:pPr>
        <w:pStyle w:val="3izenburua"/>
        <w:spacing w:before="0" w:after="220" w:line="240" w:lineRule="auto"/>
        <w:ind w:firstLine="425"/>
        <w:jc w:val="both"/>
        <w:rPr>
          <w:rFonts w:cs="Arial"/>
          <w:i w:val="0"/>
          <w:sz w:val="22"/>
        </w:rPr>
      </w:pPr>
      <w:r w:rsidRPr="00B80537">
        <w:rPr>
          <w:i w:val="0"/>
          <w:sz w:val="22"/>
        </w:rPr>
        <w:t xml:space="preserve">Guztira bost urte daukan vacatio legis honek agerian uzten du zeinen konplexua den administrazio elektronikoaren gaineko arauak aplikatzea, administrazio-prozeduran erabili behar diren bost sistema edo konponbide horiei dagokienez behintzat, ordurako euren edukietan zehaztasun handiagoa izango delakoan. </w:t>
      </w:r>
    </w:p>
    <w:p w:rsidR="00BD0B39" w:rsidRPr="00B80537" w:rsidRDefault="00BD0B39" w:rsidP="00C45540">
      <w:pPr>
        <w:autoSpaceDE w:val="0"/>
        <w:autoSpaceDN w:val="0"/>
        <w:adjustRightInd w:val="0"/>
        <w:spacing w:after="220" w:line="240" w:lineRule="auto"/>
        <w:ind w:firstLine="425"/>
        <w:jc w:val="both"/>
        <w:rPr>
          <w:rFonts w:ascii="Arial" w:hAnsi="Arial" w:cs="Arial"/>
        </w:rPr>
      </w:pPr>
      <w:r w:rsidRPr="00B80537">
        <w:rPr>
          <w:rFonts w:ascii="Arial" w:hAnsi="Arial"/>
        </w:rPr>
        <w:t xml:space="preserve">Legedi-aldaketen esparru honetan, 21/2012 Dekretuaren indarraldian, hauek ere onartu dira: </w:t>
      </w:r>
      <w:r w:rsidRPr="00B80537">
        <w:rPr>
          <w:rStyle w:val="Lodia"/>
          <w:rFonts w:ascii="Arial" w:hAnsi="Arial"/>
          <w:b w:val="0"/>
        </w:rPr>
        <w:t xml:space="preserve"> batetik, Europako Parlamentuaren eta Kontseiluaren 910/2014 (EB) Erregelamendua</w:t>
      </w:r>
      <w:r w:rsidRPr="00B80537">
        <w:rPr>
          <w:rStyle w:val="hscoswrapper"/>
          <w:rFonts w:ascii="Arial" w:hAnsi="Arial"/>
        </w:rPr>
        <w:t>, 2014ko uztailaren 23koa, identifikazio elektronikoari eta barne-merkatuko transakzio elektronikoetarako konfiantzako zerbitzuei buruzkoa dena eta 1999/93/EE Zuzentaraua indargabetzen duena</w:t>
      </w:r>
      <w:r w:rsidRPr="00B80537">
        <w:rPr>
          <w:rFonts w:ascii="Arial" w:hAnsi="Arial"/>
        </w:rPr>
        <w:t xml:space="preserve"> –</w:t>
      </w:r>
      <w:r w:rsidRPr="00B80537">
        <w:rPr>
          <w:rStyle w:val="hscoswrapper"/>
          <w:rFonts w:ascii="Arial" w:hAnsi="Arial"/>
        </w:rPr>
        <w:t xml:space="preserve">eIDAS Erregelamendua esaten zaio–, eta lege-esparru erkidea ezartzen die </w:t>
      </w:r>
      <w:hyperlink r:id="rId8" w:tgtFrame="_blank" w:history="1">
        <w:r w:rsidRPr="00B80537">
          <w:rPr>
            <w:rStyle w:val="Hiperesteka"/>
            <w:rFonts w:ascii="Arial" w:hAnsi="Arial"/>
            <w:bCs/>
            <w:color w:val="auto"/>
            <w:u w:val="none"/>
          </w:rPr>
          <w:t>Europar Batasuneko sinadura elektronikoei</w:t>
        </w:r>
      </w:hyperlink>
      <w:r w:rsidRPr="00B80537">
        <w:rPr>
          <w:rStyle w:val="Lodia"/>
          <w:rFonts w:ascii="Arial" w:hAnsi="Arial"/>
          <w:b w:val="0"/>
        </w:rPr>
        <w:t>;</w:t>
      </w:r>
      <w:r w:rsidRPr="00B80537">
        <w:rPr>
          <w:rFonts w:ascii="Arial" w:hAnsi="Arial"/>
        </w:rPr>
        <w:t xml:space="preserve"> eta, bestetik, berriki eman den abenduaren 5eko 3/2018 Lege Organikoa, datu pertsonalen babesari eta eskubide digitalen bermeari buruzkoa</w:t>
      </w:r>
      <w:r w:rsidRPr="00B80537">
        <w:t>.</w:t>
      </w:r>
    </w:p>
    <w:p w:rsidR="00937AA3" w:rsidRPr="00B80537" w:rsidRDefault="00EC09F5" w:rsidP="00C45540">
      <w:pPr>
        <w:spacing w:after="220" w:line="240" w:lineRule="auto"/>
        <w:ind w:firstLine="425"/>
        <w:jc w:val="both"/>
        <w:rPr>
          <w:rFonts w:ascii="Arial" w:hAnsi="Arial" w:cs="Arial"/>
        </w:rPr>
      </w:pPr>
      <w:r w:rsidRPr="00B80537">
        <w:rPr>
          <w:rFonts w:ascii="Arial" w:hAnsi="Arial"/>
        </w:rPr>
        <w:lastRenderedPageBreak/>
        <w:t xml:space="preserve">Horrenbestez, orain ez da une egokia gure autonomia-erkidegoan gai horren arauzko erregulazio osoa egingo duen eta, ondorioz, 21/2012 Dekretua baliogabetuko duen dekretu bat onartzea planteatzeko. Errealitate horri erreparatuta, hobe da etorriko den errege-dekretua indarrean jarri arte itxarotea, horrela jakingo baita zein diren behin betiko arauzko edukiak, batez ere, sistema, konponbide eta zerbitzu elektronikoei dagozkienak eta Administrazioan aplikatu beharko diren administrazio-elektronikoaren arloko funtsezko aldaketei dagozkienak. Horren ostean, ikuspegi juridiko argiago bat egongo da, eta hasi ahal izango da egiten administrazio elektronikoaren dekretua; zeina ordurako oso beharrezkoa izango baita Euskal Autonomia Erkidegoan administrazio-prozedura gauzatzeko eta, administrazio-organoen eta interesdunen bitarteko elektronikoez baliatuta, Internet bidezko zerbitzu publikoak emateko eredua zehazteko. </w:t>
      </w:r>
    </w:p>
    <w:p w:rsidR="00937AA3" w:rsidRPr="00B80537" w:rsidRDefault="00695D44" w:rsidP="00C45540">
      <w:pPr>
        <w:autoSpaceDE w:val="0"/>
        <w:autoSpaceDN w:val="0"/>
        <w:adjustRightInd w:val="0"/>
        <w:spacing w:after="220" w:line="240" w:lineRule="auto"/>
        <w:ind w:firstLine="425"/>
        <w:jc w:val="both"/>
        <w:rPr>
          <w:rFonts w:ascii="Arial" w:hAnsi="Arial" w:cs="Arial"/>
        </w:rPr>
      </w:pPr>
      <w:r w:rsidRPr="00B80537">
        <w:rPr>
          <w:rFonts w:ascii="Arial" w:hAnsi="Arial"/>
        </w:rPr>
        <w:t xml:space="preserve">Hala ere, gaur egun, komeni da Administrazio Elektronikoari buruzko otsailaren 21eko 21/2012 Dekretuan aldaketa gutxi batzuk egitea; hauek, hain zuzen: lehenik, zuzen funtzionatzeko, Eusko Jaurlaritzaren administrazio-jarduketan orain oso beharrezkoak diren eduki berezi batzuk sartzea, edukiok ezin baitute itxaron dekretua onartu arte; bide batez, bigarrenik, zenbait artikuluren erredakzioa aldatzea arauzko egokitzapenak egiteko –indargabetutako lau legeren erreferentzien eta administrazio elektronikoari buruzko xedapen zaharkitu batzuen ordez oinarrizko legedi berrikoak sartzeko–; eta, hirugarrenik, legedi berriak ustez babesik gabe utziko lituzkeen xedapenak kentzea, arauzko testu argiago bat egiteko xedez. </w:t>
      </w:r>
    </w:p>
    <w:p w:rsidR="00937AA3" w:rsidRPr="00B80537" w:rsidRDefault="00937AA3" w:rsidP="00C45540">
      <w:pPr>
        <w:autoSpaceDE w:val="0"/>
        <w:autoSpaceDN w:val="0"/>
        <w:adjustRightInd w:val="0"/>
        <w:spacing w:after="220" w:line="240" w:lineRule="auto"/>
        <w:ind w:firstLine="425"/>
        <w:jc w:val="both"/>
        <w:rPr>
          <w:rFonts w:ascii="Arial" w:hAnsi="Arial" w:cs="Arial"/>
        </w:rPr>
      </w:pPr>
      <w:r w:rsidRPr="00B80537">
        <w:rPr>
          <w:rFonts w:ascii="Arial" w:hAnsi="Arial"/>
        </w:rPr>
        <w:t xml:space="preserve">Hiru beharrizan horiek betetzeko, nahikoa da orain indarreko araudian aldaketa puntual bat egitea; hiru alderdi zehatz horietan baino ez, aldaketa egiteko erregelamendu-proiektu baten bidez, eta proiektu hori, onartu ostean, osorik txertatuko da aldatzen den erregelamenduaren testuan. </w:t>
      </w:r>
    </w:p>
    <w:p w:rsidR="008F4808" w:rsidRPr="00B80537" w:rsidRDefault="0066017B" w:rsidP="00C45540">
      <w:pPr>
        <w:pStyle w:val="parrafo"/>
        <w:spacing w:before="0" w:beforeAutospacing="0" w:after="220" w:afterAutospacing="0"/>
        <w:ind w:firstLine="425"/>
        <w:jc w:val="both"/>
        <w:rPr>
          <w:rFonts w:ascii="Arial" w:hAnsi="Arial" w:cs="Arial"/>
          <w:sz w:val="22"/>
          <w:szCs w:val="22"/>
        </w:rPr>
      </w:pPr>
      <w:r w:rsidRPr="00B80537">
        <w:rPr>
          <w:rFonts w:ascii="Arial" w:hAnsi="Arial"/>
          <w:sz w:val="22"/>
          <w:szCs w:val="22"/>
        </w:rPr>
        <w:t>39/2015 Legearen 129. artikuluan erregelamenduak egiteko ahala baliatzeko erregulazio onaren printzipioei buruz xedatutakoari dagokionez, orain arte azaldutakoak nahiko justifikatzen du proiektuan honako printzipio hauek betetzen direla:</w:t>
      </w:r>
    </w:p>
    <w:p w:rsidR="008F4808" w:rsidRPr="00B80537" w:rsidRDefault="00C45540" w:rsidP="00C45540">
      <w:pPr>
        <w:pStyle w:val="parrafo"/>
        <w:spacing w:before="0" w:beforeAutospacing="0" w:after="220" w:afterAutospacing="0"/>
        <w:ind w:left="360"/>
        <w:jc w:val="both"/>
        <w:rPr>
          <w:rFonts w:ascii="Arial" w:hAnsi="Arial" w:cs="Arial"/>
          <w:sz w:val="22"/>
          <w:szCs w:val="22"/>
        </w:rPr>
      </w:pPr>
      <w:r w:rsidRPr="00B80537">
        <w:rPr>
          <w:rFonts w:ascii="Arial" w:hAnsi="Arial"/>
          <w:sz w:val="22"/>
          <w:szCs w:val="22"/>
        </w:rPr>
        <w:t xml:space="preserve">- erregelamendu-aldaketa honen beharrizana, argi identifikatu delako zein diren lortu nahi diren helburuak eta oinarritzat hartu baita interes orokorra; </w:t>
      </w:r>
    </w:p>
    <w:p w:rsidR="008F4808" w:rsidRPr="00B80537" w:rsidRDefault="00C45540" w:rsidP="00C45540">
      <w:pPr>
        <w:pStyle w:val="parrafo"/>
        <w:spacing w:before="0" w:beforeAutospacing="0" w:after="220" w:afterAutospacing="0"/>
        <w:ind w:left="360"/>
        <w:jc w:val="both"/>
        <w:rPr>
          <w:rFonts w:ascii="Arial" w:hAnsi="Arial" w:cs="Arial"/>
          <w:sz w:val="22"/>
          <w:szCs w:val="22"/>
        </w:rPr>
      </w:pPr>
      <w:r w:rsidRPr="00B80537">
        <w:rPr>
          <w:rFonts w:ascii="Arial" w:hAnsi="Arial"/>
          <w:sz w:val="22"/>
          <w:szCs w:val="22"/>
        </w:rPr>
        <w:t xml:space="preserve">- proportzionaltasuna, arauak bete behar dituen beharrizanei erantzuteko ezinbesteko erregulazioa daukalako; </w:t>
      </w:r>
    </w:p>
    <w:p w:rsidR="00A63EE7" w:rsidRPr="00B80537" w:rsidRDefault="00C45540" w:rsidP="00C45540">
      <w:pPr>
        <w:pStyle w:val="parrafo"/>
        <w:spacing w:before="0" w:beforeAutospacing="0" w:after="220" w:afterAutospacing="0"/>
        <w:ind w:left="360"/>
        <w:jc w:val="both"/>
        <w:rPr>
          <w:rFonts w:ascii="Arial" w:hAnsi="Arial" w:cs="Arial"/>
          <w:sz w:val="22"/>
          <w:szCs w:val="22"/>
        </w:rPr>
      </w:pPr>
      <w:r w:rsidRPr="00B80537">
        <w:rPr>
          <w:rFonts w:ascii="Arial" w:hAnsi="Arial"/>
          <w:sz w:val="22"/>
          <w:szCs w:val="22"/>
        </w:rPr>
        <w:t xml:space="preserve">- efikazia, lorpena bermatzeko tresnarik egokiena delako; </w:t>
      </w:r>
    </w:p>
    <w:p w:rsidR="00A63EE7" w:rsidRPr="00B80537" w:rsidRDefault="00C45540" w:rsidP="00C45540">
      <w:pPr>
        <w:pStyle w:val="parrafo"/>
        <w:spacing w:before="0" w:beforeAutospacing="0" w:after="220" w:afterAutospacing="0"/>
        <w:ind w:left="360"/>
        <w:jc w:val="both"/>
        <w:rPr>
          <w:rFonts w:ascii="Arial" w:hAnsi="Arial" w:cs="Arial"/>
          <w:sz w:val="22"/>
          <w:szCs w:val="22"/>
        </w:rPr>
      </w:pPr>
      <w:r w:rsidRPr="00B80537">
        <w:rPr>
          <w:rFonts w:ascii="Arial" w:hAnsi="Arial"/>
          <w:sz w:val="22"/>
          <w:szCs w:val="22"/>
        </w:rPr>
        <w:t xml:space="preserve">- efizientzia, onartu ostean desagertuko direlako karga administratibo alferrikakoak edo ezinbesteko ez direnak, eta, aplikazioan, baliabide publikoen kudeaketa arrazionalizatuko delako; </w:t>
      </w:r>
    </w:p>
    <w:p w:rsidR="00A63EE7" w:rsidRPr="00B80537" w:rsidRDefault="00C45540" w:rsidP="00C45540">
      <w:pPr>
        <w:pStyle w:val="parrafo"/>
        <w:spacing w:before="0" w:beforeAutospacing="0" w:after="220" w:afterAutospacing="0"/>
        <w:ind w:left="360"/>
        <w:jc w:val="both"/>
        <w:rPr>
          <w:rFonts w:ascii="Arial" w:hAnsi="Arial" w:cs="Arial"/>
          <w:sz w:val="22"/>
          <w:szCs w:val="22"/>
        </w:rPr>
      </w:pPr>
      <w:r w:rsidRPr="00B80537">
        <w:rPr>
          <w:rFonts w:ascii="Arial" w:hAnsi="Arial"/>
          <w:sz w:val="22"/>
          <w:szCs w:val="22"/>
        </w:rPr>
        <w:t xml:space="preserve">- segurtasun juridikoa, Espainiako eta Europar Batasuneko gainerako ordenamendu juridikoarekiko koherentziari eusten diolako; </w:t>
      </w:r>
    </w:p>
    <w:p w:rsidR="00404E26" w:rsidRPr="00B80537" w:rsidRDefault="00C45540" w:rsidP="00C45540">
      <w:pPr>
        <w:pStyle w:val="parrafo"/>
        <w:spacing w:before="0" w:beforeAutospacing="0" w:after="220" w:afterAutospacing="0"/>
        <w:ind w:left="360"/>
        <w:jc w:val="both"/>
        <w:rPr>
          <w:rFonts w:ascii="Arial" w:hAnsi="Arial" w:cs="Arial"/>
          <w:sz w:val="22"/>
          <w:szCs w:val="22"/>
        </w:rPr>
      </w:pPr>
      <w:r w:rsidRPr="00B80537">
        <w:rPr>
          <w:rFonts w:ascii="Arial" w:hAnsi="Arial"/>
          <w:sz w:val="22"/>
          <w:szCs w:val="22"/>
        </w:rPr>
        <w:t>- eta gardentasuna, indarreko araudirako irispide erraza, unibertsala eta eguneratua ahalbidetzen duelako, bai eta araudia prestatzeko prozesuari dagozkion dokumentuetarako irispidea ere, Gardentasunari, informazio publikoa eskuratzeko bideari eta gobernu onari buruzko abenduaren 9ko 19/2013 Legearen 7. artikuluan ezarritako moduan; izan ere, argi definitu dira helburuak eta justifikazioa, eta aukera emango da hartzaile izan daitezkeenek parte-hartze aktiboa izan dezaten prestakuntzan.</w:t>
      </w:r>
    </w:p>
    <w:p w:rsidR="00937AA3" w:rsidRPr="00B80537" w:rsidRDefault="00937AA3" w:rsidP="00C45540">
      <w:pPr>
        <w:autoSpaceDE w:val="0"/>
        <w:autoSpaceDN w:val="0"/>
        <w:adjustRightInd w:val="0"/>
        <w:spacing w:after="220" w:line="240" w:lineRule="auto"/>
        <w:ind w:firstLine="425"/>
        <w:jc w:val="both"/>
        <w:rPr>
          <w:rFonts w:ascii="Arial" w:hAnsi="Arial" w:cs="Arial"/>
        </w:rPr>
      </w:pPr>
      <w:r w:rsidRPr="00B80537">
        <w:rPr>
          <w:rFonts w:ascii="Arial" w:hAnsi="Arial"/>
        </w:rPr>
        <w:t>Hori guztiori dela eta, dekretu honen xedea da bigarren aldaketa bat egitea Administrazio Elektronikoari buruzko otsailaren 21eko 21/2012 Dekretuari. Aldaketok honela daude zehaztuta:</w:t>
      </w:r>
    </w:p>
    <w:p w:rsidR="00937AA3" w:rsidRPr="00B80537" w:rsidRDefault="00C45540" w:rsidP="00C45540">
      <w:pPr>
        <w:spacing w:after="220" w:line="240" w:lineRule="auto"/>
        <w:ind w:left="425"/>
        <w:jc w:val="both"/>
        <w:rPr>
          <w:rFonts w:ascii="Arial" w:hAnsi="Arial" w:cs="Arial"/>
        </w:rPr>
      </w:pPr>
      <w:r w:rsidRPr="00B80537">
        <w:rPr>
          <w:rFonts w:ascii="Arial" w:hAnsi="Arial"/>
        </w:rPr>
        <w:lastRenderedPageBreak/>
        <w:t xml:space="preserve">- hamabost eduki hauek sartzea: 5. artikuluaren 3. paragrafoa aldatzea, administrazio-prozedurako dokumentaziorako hizkuntza-araubidearen aukerari buruzkoa; 6. artikuluaren 1., 6. eta 7. paragrafoak aldatu eta 9. paragrafo bat gehitzea, interesdunek administrazio-prozedurara ekarri behar dituzten dokumentuei buruzkoak; 7. artikuluaren 3. paragrafoa aldatzea, egoitza elektronikoan sartutako entitateen eremua zabaltzeari buruzkoa; 9. artikuluaren 1. paragrafoaren i) apartatuan zerbitzu batzuk sartzea, egoitza elektronikoaren barruan; 12. artikuluaren 2. paragrafoa aldatzea, ezartzeko ezen gaikuntzarako nahikoa dela interesdunek ordezkaritza ematen duten administrazio-prozedurako organo eskudunaren ebazpena, eta, ondorioz, hitzarmenaren eskakizuna kentzea, oso nekeza delako eta zentzurik ez daukalako 39/2015 eta 40/2015 legeak onartu ondoren; 13. artikuluaren 1. paragrafoa aldatzea, ahalordeen erregistro elektronikoari buruzkoa, legedi berriaren edukien arabera; 28. artikuluaren 1. paragrafoa aldatzea, administrazio-prozeduretan pertsona fisiko batzuen kolektiboek nahitaez bitarteko elektronikoen bidez komunikatu behar izateari buruzkoa; 32 bis artikulua gehitzea, 39/2015 Legeak arautzen duena praktikan betetzeko behar diren harreman-datu elektronikoei buruzkoa; 50. artikuluari 4. paragrafo bat gehitzea, eredu elektronikoei buruzkoa; 53. artikuluaren 3. paragrafoa aldatzea, </w:t>
      </w:r>
      <w:r w:rsidRPr="00B80537">
        <w:rPr>
          <w:rFonts w:ascii="Arial" w:hAnsi="Arial"/>
          <w:iCs/>
        </w:rPr>
        <w:t>interesdunak prozeduraren izapidetze-egoerara iristeko bete beharreko baldintza bakarrari buruzkoa, hau da, identifikazioari buruzkoa;</w:t>
      </w:r>
      <w:r w:rsidRPr="00B80537">
        <w:rPr>
          <w:rFonts w:ascii="Arial" w:hAnsi="Arial"/>
        </w:rPr>
        <w:t xml:space="preserve"> eta 55. artikuluaren 2. eta 4. paragrafoak aldatzea, xedapen gehiago sartzeko, administrazio elektronikoaren zerbitzu erkideei buruzkoak. </w:t>
      </w:r>
    </w:p>
    <w:p w:rsidR="00937AA3" w:rsidRPr="00B80537" w:rsidRDefault="00C45540" w:rsidP="00C45540">
      <w:pPr>
        <w:spacing w:after="220" w:line="240" w:lineRule="auto"/>
        <w:ind w:left="425"/>
        <w:jc w:val="both"/>
        <w:rPr>
          <w:rFonts w:ascii="Arial" w:hAnsi="Arial" w:cs="Arial"/>
        </w:rPr>
      </w:pPr>
      <w:r w:rsidRPr="00B80537">
        <w:rPr>
          <w:rFonts w:ascii="Arial" w:hAnsi="Arial"/>
        </w:rPr>
        <w:t>- artikuluetako hamalau zatiren erredakzioa aldatzea, behar diren arauzko egokitzapen hauek egiteko: indargabetu diren lau legeren aipamenak kentzea eta, haien ordez, kasuan kasuko araudiaren aipamen generikoak jartzea (1. artikuluaren 1. paragrafoan, 3. artikuluan, 6. artikuluaren 1. paragrafoan, 42. artikuluaren 3. paragrafoan, 43. artikuluaren 1. paragrafoan, 50. artikuluaren 2. paragrafoaren b) apartatuan, eta lehenengo xedapen gehigarriaren 1. paragrafoan); «ordezkarien erregistro elektronikoa» aipamenaren ordez, indarrean dagoen «ahalordeen erregistro elektronikoa» jartzea (1. artikuluaren 2. paragrafoan, 13. artikuluaren 1. paragrafoan eta 55. artikuluaren 2. paragrafoan); lankidetza-hitzarmena kentzea dekretuaren aplikazio-eremuan dauden erakundeak egoitza elektronikora biltzeko (7. artikuluaren 4. paragrafoan); egoitza elektronikoaren helbidearen izendapena bigarrenez aldatu eta “egoitza” hitza txertatzea, beharrezkoa baita irispidea izateko (7. artikuluaren 5. paragrafoan, Interneteko goi-mailako «euskadi.eus» domeinu berria ezartzen duen ekainaren 9ko 84/2015 Dekretuaren azken xedapenetako bigarrenean ezartzen duen bertsioan); eta ezartzea prozedurek izapidetze elektronikoa baino ezin izango dutela izan, 21/2012 Dekretuaren 53. artikuluko 1. eta 2. paragrafoetan adierazitako bestelako izapidetze-aukerak eman gabe.</w:t>
      </w:r>
    </w:p>
    <w:p w:rsidR="00937AA3" w:rsidRPr="00B80537" w:rsidRDefault="00C45540" w:rsidP="00C45540">
      <w:pPr>
        <w:spacing w:after="220" w:line="240" w:lineRule="auto"/>
        <w:ind w:left="425"/>
        <w:jc w:val="both"/>
        <w:rPr>
          <w:rFonts w:ascii="Arial" w:hAnsi="Arial" w:cs="Arial"/>
        </w:rPr>
      </w:pPr>
      <w:r w:rsidRPr="00B80537">
        <w:rPr>
          <w:rFonts w:ascii="Arial" w:hAnsi="Arial"/>
        </w:rPr>
        <w:t xml:space="preserve">- hamar eduki hauek kentzea: 6. artikuluaren 2., 3., 4. eta 8. paragrafoak, herritarrek administrazio-prozeduran behar den dokumentazioa ez aurkezteko daukaten eskubidea baliatzeari buruzkoak, oinarri berriekin bat; 9. artikuluaren 1. paragrafoko o) apartatua, hitzarmen batzuk egoitza elektronikoan argitaratzeari buruzkoa; 12. artikuluaren 3. paragrafoa, gaikuntza-hitzarmena ez betetzeari buruzkoa; 14. artikuluaren 3. paragrafoko bigarren esaldia, hitzarmen bidez gaitutako funtzionarioen erregistroaren esparruari buruzkoa; 29. artikuluaren 2. paragrafoa, administrazio-organoen arteko komunikazio elektronikoei buruzkoa; 49. artikulua, konpultsatze-ondorioetarako kopia elektronikoak lortzeari buruzkoa; eta bigarren xedapen gehigarria, prozedurak eta zerbitzuak egokitzeari buruzkoa. Eduki horietako batek ere ez dauka babesik oinarrizko lege berrietan araututakoaren arabera. </w:t>
      </w:r>
    </w:p>
    <w:p w:rsidR="002F77CE" w:rsidRPr="00B80537" w:rsidRDefault="002F77CE" w:rsidP="00C45540">
      <w:pPr>
        <w:spacing w:after="220" w:line="240" w:lineRule="auto"/>
        <w:ind w:firstLine="425"/>
        <w:jc w:val="both"/>
        <w:rPr>
          <w:rFonts w:ascii="Arial" w:hAnsi="Arial" w:cs="Arial"/>
        </w:rPr>
      </w:pPr>
      <w:r w:rsidRPr="00B80537">
        <w:rPr>
          <w:rFonts w:ascii="Arial" w:hAnsi="Arial"/>
        </w:rPr>
        <w:t xml:space="preserve">Xedapen orokorrak egiteko prozedura honetan, 39/2015 Legearen VI. tituluan ezarritako baldintzak beteko dira, erregelamenduak eta bestelako xedapenak emateko legegintza-ekimenari eta ahalari dagokienez, eta, batez, ere 131. artikuluan xedatutakoa, arauak </w:t>
      </w:r>
      <w:r w:rsidRPr="00B80537">
        <w:rPr>
          <w:rFonts w:ascii="Arial" w:hAnsi="Arial"/>
        </w:rPr>
        <w:lastRenderedPageBreak/>
        <w:t>publiko egiteari dagokionez, eta 133. artikuluan xedatutakoa, herritarrek lege-mailako arauak eta erregelamenduak egiteko prozeduran parte hartzeari dagokionez.</w:t>
      </w:r>
    </w:p>
    <w:p w:rsidR="00937AA3" w:rsidRPr="00B80537" w:rsidRDefault="00937AA3" w:rsidP="00C45540">
      <w:pPr>
        <w:spacing w:after="220" w:line="240" w:lineRule="auto"/>
        <w:ind w:firstLine="425"/>
        <w:jc w:val="both"/>
        <w:textAlignment w:val="baseline"/>
        <w:rPr>
          <w:rFonts w:ascii="Arial" w:eastAsia="Times New Roman" w:hAnsi="Arial" w:cs="Arial"/>
        </w:rPr>
      </w:pPr>
      <w:r w:rsidRPr="00B80537">
        <w:rPr>
          <w:rFonts w:ascii="Arial" w:hAnsi="Arial"/>
        </w:rPr>
        <w:t>Horiek horrela, Gobernantza Publiko eta Autogobernuko sailburuaren proposamenez, eta Gobernu Kontseiluak 2019ko …………….aren ………..…(e)(a)n egindako bilkuran proposamena aztertu eta onartu ondoren, honako hau</w:t>
      </w:r>
    </w:p>
    <w:p w:rsidR="00937AA3" w:rsidRPr="00B80537" w:rsidRDefault="00937AA3" w:rsidP="00C45540">
      <w:pPr>
        <w:spacing w:after="220" w:line="240" w:lineRule="auto"/>
        <w:ind w:firstLine="425"/>
        <w:jc w:val="center"/>
        <w:textAlignment w:val="baseline"/>
        <w:rPr>
          <w:rFonts w:ascii="Arial" w:eastAsia="Times New Roman" w:hAnsi="Arial" w:cs="Arial"/>
        </w:rPr>
      </w:pPr>
      <w:r w:rsidRPr="00B80537">
        <w:rPr>
          <w:rFonts w:ascii="Arial" w:hAnsi="Arial"/>
        </w:rPr>
        <w:t>XEDATZEN DUT:</w:t>
      </w:r>
    </w:p>
    <w:p w:rsidR="00937AA3" w:rsidRPr="00B80537" w:rsidRDefault="00937AA3"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Artikulu bakarra.</w:t>
      </w:r>
      <w:r w:rsidRPr="00B80537">
        <w:rPr>
          <w:rFonts w:ascii="Arial" w:hAnsi="Arial"/>
          <w:sz w:val="22"/>
          <w:szCs w:val="22"/>
        </w:rPr>
        <w:t xml:space="preserve"> Administrazio Elektronikoari buruzko otsailaren 21eko 21/2012 Dekretua aldatzea, honela:</w:t>
      </w:r>
    </w:p>
    <w:p w:rsidR="00937AA3" w:rsidRPr="00B80537" w:rsidRDefault="00937AA3" w:rsidP="00C45540">
      <w:pPr>
        <w:pStyle w:val="parrafo2"/>
        <w:spacing w:before="0" w:beforeAutospacing="0" w:after="220" w:afterAutospacing="0"/>
        <w:ind w:firstLine="425"/>
        <w:jc w:val="both"/>
        <w:rPr>
          <w:rFonts w:ascii="Arial" w:hAnsi="Arial" w:cs="Arial"/>
          <w:sz w:val="22"/>
          <w:szCs w:val="22"/>
        </w:rPr>
      </w:pPr>
      <w:r w:rsidRPr="00B80537">
        <w:rPr>
          <w:rFonts w:ascii="Arial" w:hAnsi="Arial"/>
          <w:sz w:val="22"/>
          <w:szCs w:val="22"/>
        </w:rPr>
        <w:t>Lehenengoa.– 1. artikulua, xedeari buruzkoa, honela geratuko da idatzita:</w:t>
      </w:r>
    </w:p>
    <w:p w:rsidR="00937AA3" w:rsidRPr="00B80537" w:rsidRDefault="00816DC1" w:rsidP="00C45540">
      <w:pPr>
        <w:pStyle w:val="Normalaweb"/>
        <w:spacing w:before="0" w:beforeAutospacing="0" w:after="220" w:afterAutospacing="0"/>
        <w:ind w:firstLine="425"/>
        <w:jc w:val="both"/>
        <w:rPr>
          <w:rFonts w:ascii="Arial" w:hAnsi="Arial" w:cs="Arial"/>
          <w:sz w:val="22"/>
          <w:szCs w:val="22"/>
        </w:rPr>
      </w:pPr>
      <w:r w:rsidRPr="00B80537">
        <w:rPr>
          <w:rFonts w:ascii="Arial" w:hAnsi="Arial"/>
          <w:sz w:val="22"/>
          <w:szCs w:val="22"/>
        </w:rPr>
        <w:t>«1. artikulua.– Xedea.</w:t>
      </w:r>
    </w:p>
    <w:p w:rsidR="00937AA3" w:rsidRPr="00B80537" w:rsidRDefault="00937AA3" w:rsidP="00C45540">
      <w:pPr>
        <w:pStyle w:val="Normalaweb"/>
        <w:spacing w:before="0" w:beforeAutospacing="0" w:after="220" w:afterAutospacing="0"/>
        <w:ind w:firstLine="425"/>
        <w:jc w:val="both"/>
        <w:rPr>
          <w:rFonts w:ascii="Arial" w:hAnsi="Arial" w:cs="Arial"/>
          <w:sz w:val="22"/>
          <w:szCs w:val="22"/>
        </w:rPr>
      </w:pPr>
      <w:r w:rsidRPr="00B80537">
        <w:rPr>
          <w:rFonts w:ascii="Arial" w:hAnsi="Arial"/>
          <w:bCs/>
          <w:sz w:val="22"/>
          <w:szCs w:val="22"/>
        </w:rPr>
        <w:t xml:space="preserve">1.– </w:t>
      </w:r>
      <w:r w:rsidRPr="00B80537">
        <w:rPr>
          <w:rFonts w:ascii="Arial" w:hAnsi="Arial"/>
          <w:sz w:val="22"/>
          <w:szCs w:val="22"/>
        </w:rPr>
        <w:t>Dekretu honen xedea da herritarrek Administrazioarekiko harremanak bitarteko elektronikoen bidez izateko eskubidea garatzea, zerbitzu publikoetara iritsi daitezen eta administrazio-prozedurak izapidetu ditzaten, eta, horretaz gain, administrazio-prozeduraren legeek aitortzen dituzten gainerako eskubideak zabaltzea.</w:t>
      </w:r>
    </w:p>
    <w:p w:rsidR="00937AA3" w:rsidRPr="00B80537" w:rsidRDefault="00937AA3" w:rsidP="00C45540">
      <w:pPr>
        <w:spacing w:after="220" w:line="240" w:lineRule="auto"/>
        <w:ind w:firstLine="425"/>
        <w:jc w:val="both"/>
        <w:textAlignment w:val="baseline"/>
        <w:rPr>
          <w:rFonts w:ascii="Arial" w:hAnsi="Arial" w:cs="Arial"/>
        </w:rPr>
      </w:pPr>
      <w:r w:rsidRPr="00B80537">
        <w:rPr>
          <w:rFonts w:ascii="Arial" w:hAnsi="Arial"/>
          <w:bCs/>
        </w:rPr>
        <w:t xml:space="preserve">2.– </w:t>
      </w:r>
      <w:r w:rsidRPr="00B80537">
        <w:rPr>
          <w:rFonts w:ascii="Arial" w:hAnsi="Arial"/>
        </w:rPr>
        <w:t>Halaber, gai hauek arautzen ditu: egoitza elektronikoa, iragarki-taula elektronikoa, herritarren eta Administrazioaren identifikazioa eta autentifikazioa, ahalordeen erregistro elektronikoa, erregistro elektronikoa, komunikazio eta dokumentu elektronikoak eta dokumentuon kontserbazioa.»</w:t>
      </w:r>
    </w:p>
    <w:p w:rsidR="00937AA3" w:rsidRPr="00B80537" w:rsidRDefault="00937AA3" w:rsidP="00C45540">
      <w:pPr>
        <w:pStyle w:val="articulo"/>
        <w:spacing w:before="0" w:beforeAutospacing="0" w:after="220" w:afterAutospacing="0"/>
        <w:ind w:firstLine="425"/>
        <w:jc w:val="both"/>
        <w:rPr>
          <w:rFonts w:ascii="Arial" w:hAnsi="Arial" w:cs="Arial"/>
          <w:sz w:val="22"/>
          <w:szCs w:val="22"/>
        </w:rPr>
      </w:pPr>
      <w:bookmarkStart w:id="1" w:name="_Toc368482997"/>
      <w:bookmarkStart w:id="2" w:name="_Toc391478017"/>
      <w:r w:rsidRPr="00B80537">
        <w:rPr>
          <w:rFonts w:ascii="Arial" w:hAnsi="Arial"/>
          <w:sz w:val="22"/>
          <w:szCs w:val="22"/>
        </w:rPr>
        <w:t>Bigarrena.– 3. artikulua, printzipio orokorrei buruzkoa, honela geratuko da idatzita:</w:t>
      </w:r>
    </w:p>
    <w:p w:rsidR="00937AA3" w:rsidRPr="00B80537" w:rsidRDefault="00937AA3" w:rsidP="00C45540">
      <w:pPr>
        <w:pStyle w:val="Normalaweb"/>
        <w:spacing w:before="0" w:beforeAutospacing="0" w:after="220" w:afterAutospacing="0"/>
        <w:ind w:firstLine="425"/>
        <w:jc w:val="both"/>
        <w:rPr>
          <w:rFonts w:ascii="Arial" w:hAnsi="Arial" w:cs="Arial"/>
          <w:sz w:val="22"/>
          <w:szCs w:val="22"/>
        </w:rPr>
      </w:pPr>
      <w:r w:rsidRPr="00B80537">
        <w:rPr>
          <w:rFonts w:ascii="Arial" w:hAnsi="Arial"/>
          <w:sz w:val="22"/>
          <w:szCs w:val="22"/>
        </w:rPr>
        <w:t>«3. artikulua.– Printzipio orokorrak.</w:t>
      </w:r>
    </w:p>
    <w:p w:rsidR="00937AA3" w:rsidRPr="00B80537" w:rsidRDefault="00937AA3" w:rsidP="00C45540">
      <w:pPr>
        <w:pStyle w:val="Normalaweb"/>
        <w:spacing w:before="0" w:beforeAutospacing="0" w:after="220" w:afterAutospacing="0"/>
        <w:ind w:firstLine="425"/>
        <w:jc w:val="both"/>
        <w:rPr>
          <w:rFonts w:ascii="Arial" w:hAnsi="Arial" w:cs="Arial"/>
          <w:sz w:val="22"/>
          <w:szCs w:val="22"/>
        </w:rPr>
      </w:pPr>
      <w:r w:rsidRPr="00B80537">
        <w:rPr>
          <w:rFonts w:ascii="Arial" w:hAnsi="Arial"/>
          <w:sz w:val="22"/>
          <w:szCs w:val="22"/>
        </w:rPr>
        <w:t>Administrazioak bitarteko elektronikoak erabiliko ditu eta, horretarako, datu pertsonalak babesteko eskubidea errespetatu behar du eskubide horren araudian eta administrazio-prozeduraren legedian xedatutakoarekin bat etorriz.»</w:t>
      </w:r>
    </w:p>
    <w:p w:rsidR="00B36B8C" w:rsidRPr="00B80537" w:rsidRDefault="00B36B8C"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Hirugarrena.– </w:t>
      </w:r>
      <w:r w:rsidRPr="00B80537">
        <w:rPr>
          <w:rFonts w:ascii="Arial" w:hAnsi="Arial"/>
          <w:sz w:val="22"/>
          <w:szCs w:val="22"/>
        </w:rPr>
        <w:t>5. artikuluaren 3. paragrafoa, hizkuntza-araubideari buruzkoa, honela geratuko da idatzita:</w:t>
      </w:r>
    </w:p>
    <w:p w:rsidR="00B36B8C" w:rsidRPr="00B80537" w:rsidRDefault="00070393" w:rsidP="00C45540">
      <w:pPr>
        <w:pStyle w:val="articulo"/>
        <w:spacing w:before="0" w:beforeAutospacing="0" w:after="220" w:afterAutospacing="0"/>
        <w:ind w:firstLine="425"/>
        <w:jc w:val="both"/>
        <w:rPr>
          <w:rFonts w:ascii="Arial" w:hAnsi="Arial" w:cs="Arial"/>
          <w:sz w:val="22"/>
          <w:szCs w:val="22"/>
        </w:rPr>
      </w:pPr>
      <w:r w:rsidRPr="00B80537">
        <w:rPr>
          <w:rFonts w:ascii="Arial" w:hAnsi="Arial"/>
          <w:sz w:val="22"/>
          <w:szCs w:val="22"/>
        </w:rPr>
        <w:t>«</w:t>
      </w:r>
      <w:r w:rsidRPr="00B80537">
        <w:rPr>
          <w:rFonts w:ascii="Arial" w:hAnsi="Arial"/>
          <w:bCs/>
          <w:sz w:val="22"/>
          <w:szCs w:val="22"/>
        </w:rPr>
        <w:t xml:space="preserve">3.– </w:t>
      </w:r>
      <w:r w:rsidRPr="00B80537">
        <w:rPr>
          <w:rFonts w:ascii="Arial" w:hAnsi="Arial"/>
          <w:sz w:val="22"/>
          <w:szCs w:val="22"/>
        </w:rPr>
        <w:t>Izapideen edozein unetan aldatu ahal izango da aukeratutako hizkuntza. Aldatuz gero, lehenagotik dauden dokumentuak hasieran aukeratutako hizkuntzan geratuko dira. Halaber, idatzita dauden hizkuntzan geratuko dira Administrazio publikoek euren esku dauzkaten, egin dituzten edo interesdunak lehenagotik eman dizkien dokumentuak ere. »</w:t>
      </w:r>
    </w:p>
    <w:p w:rsidR="00937AA3" w:rsidRPr="00B80537" w:rsidRDefault="00AE299F"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Laugarrena.– </w:t>
      </w:r>
      <w:r w:rsidRPr="00B80537">
        <w:rPr>
          <w:rFonts w:ascii="Arial" w:hAnsi="Arial"/>
          <w:sz w:val="22"/>
          <w:szCs w:val="22"/>
        </w:rPr>
        <w:t>6. artikuluaren 1. paragrafoa, datuak eta dokumentuak ez ekartzeari buruzkoa, honela geratuko da idatzita:</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w:t>
      </w:r>
      <w:r w:rsidRPr="00B80537">
        <w:rPr>
          <w:rFonts w:ascii="Arial" w:hAnsi="Arial"/>
          <w:bCs/>
        </w:rPr>
        <w:t xml:space="preserve">1.– </w:t>
      </w:r>
      <w:r w:rsidRPr="00B80537">
        <w:rPr>
          <w:rFonts w:ascii="Arial" w:hAnsi="Arial"/>
        </w:rPr>
        <w:t>Interesdunek eskubidea daukate administrazio-prozeduretan ez aurkezteko edozein Administrazioaren esku dauden edo edozein Administraziok prestatutako jatorrizko dokumentuak, datuak eta dokumentuak, aplikatzekoa den araudian eskatzen ez badira, edo interesdunak berak aldez aurretik edozein Administraziori eman dizkionak, eta Administrazio jarduleak gauzatuko du eskubide hori, administrazio-prozeduraren legedian aitortutakoarekin bat etorriz.»</w:t>
      </w:r>
    </w:p>
    <w:p w:rsidR="002A32AA" w:rsidRPr="00B80537" w:rsidRDefault="002A32AA"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Bosgarrena.– </w:t>
      </w:r>
      <w:r w:rsidRPr="00B80537">
        <w:rPr>
          <w:rFonts w:ascii="Arial" w:hAnsi="Arial"/>
          <w:sz w:val="22"/>
          <w:szCs w:val="22"/>
        </w:rPr>
        <w:t xml:space="preserve">Kendu egiten dira datuak eta dokumentuak ez ekartzeari buruzko 6. artikuluaren 2., 3., 4. eta 8. paragrafoak. </w:t>
      </w:r>
    </w:p>
    <w:p w:rsidR="005353C8" w:rsidRPr="00B80537" w:rsidRDefault="002A32AA"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Seigarrena.– </w:t>
      </w:r>
      <w:r w:rsidRPr="00B80537">
        <w:rPr>
          <w:rFonts w:ascii="Arial" w:hAnsi="Arial"/>
          <w:sz w:val="22"/>
          <w:szCs w:val="22"/>
        </w:rPr>
        <w:t>6. artikuluaren 6. paragrafoa, datuak eta dokumentuak ez ekartzeari buruzkoa, honela geratuko da idatzita:</w:t>
      </w:r>
    </w:p>
    <w:p w:rsidR="002F77CE" w:rsidRPr="00B80537" w:rsidRDefault="00816DC1" w:rsidP="00C45540">
      <w:pPr>
        <w:pStyle w:val="Default"/>
        <w:spacing w:after="220"/>
        <w:ind w:firstLine="425"/>
        <w:jc w:val="both"/>
        <w:rPr>
          <w:rStyle w:val="Lodia"/>
          <w:b w:val="0"/>
          <w:color w:val="auto"/>
          <w:sz w:val="22"/>
          <w:szCs w:val="22"/>
        </w:rPr>
      </w:pPr>
      <w:r w:rsidRPr="00B80537">
        <w:rPr>
          <w:color w:val="auto"/>
          <w:sz w:val="22"/>
          <w:szCs w:val="22"/>
        </w:rPr>
        <w:lastRenderedPageBreak/>
        <w:t>«6.– Prozedura izapidetzen duen administrazio-organoak datuak edo dokumentuak eduki ezean, badauzkan organoari eskatuko dizkio, eta elektronikoki eskuratu behako ditu sare korporatiboaren bitartez edo datu-bitartekaritzarako plataformetako edo horretarako gaitutako beste sistema elektroniko batzuetako kontsulten bitartez.»</w:t>
      </w:r>
    </w:p>
    <w:p w:rsidR="00765AAE" w:rsidRPr="00B80537" w:rsidRDefault="001E3A06"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Zazpigarrena.– </w:t>
      </w:r>
      <w:r w:rsidRPr="00B80537">
        <w:rPr>
          <w:rFonts w:ascii="Arial" w:hAnsi="Arial"/>
          <w:sz w:val="22"/>
          <w:szCs w:val="22"/>
        </w:rPr>
        <w:t>6. artikuluaren 7. paragrafoa, datuak eta dokumentuak ez ekartzeari buruzkoa, honela geratuko da idatzita:</w:t>
      </w:r>
    </w:p>
    <w:p w:rsidR="00765AAE" w:rsidRPr="00B80537" w:rsidRDefault="00816DC1" w:rsidP="00C45540">
      <w:pPr>
        <w:pStyle w:val="Default"/>
        <w:spacing w:after="220"/>
        <w:ind w:firstLine="425"/>
        <w:jc w:val="both"/>
        <w:rPr>
          <w:color w:val="auto"/>
          <w:sz w:val="22"/>
          <w:szCs w:val="22"/>
        </w:rPr>
      </w:pPr>
      <w:r w:rsidRPr="00B80537">
        <w:rPr>
          <w:color w:val="auto"/>
          <w:sz w:val="22"/>
          <w:szCs w:val="22"/>
        </w:rPr>
        <w:t>«7.– Salbuespen gisa, prozedura izapidetzen duen administrazio-organoak ezin baditu datuak edo dokumentuak lortu, interesdunari jakinarazi eta arrazoia azalduko dio, berak aurkez ditzan, kasuan kasuko prozeduraren arau erregulatzailean adierazitako epean eta ondorioekin. Salbuespen gisa, interesdunari eskatu ahal izango zaio jatorrizko agiria aurkezteko ere, edo aurkeztutako kopiak erkatzeko, jatorrizko dokumentua erakutsita, administrazio-prozeduraren legedian xedatutakoarekin bat etorriz.»</w:t>
      </w:r>
    </w:p>
    <w:p w:rsidR="005353C8" w:rsidRPr="00B80537" w:rsidRDefault="001E3A06"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Zortzigarrena.–</w:t>
      </w:r>
      <w:r w:rsidRPr="00B80537">
        <w:rPr>
          <w:rFonts w:ascii="Arial" w:hAnsi="Arial"/>
          <w:sz w:val="22"/>
          <w:szCs w:val="22"/>
        </w:rPr>
        <w:t xml:space="preserve"> 6. artikuluari 9. paragrafo bat gehitzen zaio, honela idatzita:</w:t>
      </w:r>
    </w:p>
    <w:p w:rsidR="002F77CE" w:rsidRPr="00B80537" w:rsidRDefault="005353C8" w:rsidP="00C45540">
      <w:pPr>
        <w:pStyle w:val="articulo"/>
        <w:spacing w:before="0" w:beforeAutospacing="0" w:after="220" w:afterAutospacing="0"/>
        <w:ind w:firstLine="425"/>
        <w:jc w:val="both"/>
        <w:rPr>
          <w:rStyle w:val="Lodia"/>
          <w:rFonts w:ascii="Arial" w:hAnsi="Arial" w:cs="Arial"/>
          <w:b w:val="0"/>
          <w:sz w:val="22"/>
          <w:szCs w:val="22"/>
        </w:rPr>
      </w:pPr>
      <w:r w:rsidRPr="00B80537">
        <w:rPr>
          <w:rFonts w:ascii="Arial" w:hAnsi="Arial"/>
          <w:sz w:val="22"/>
          <w:szCs w:val="22"/>
        </w:rPr>
        <w:t>«9.– Lege berezi aplikagarriak badauka interesdunaren baimen espresua eskatzea Administrazioak dokumentuak lor ditzan. Horretaz gain, interesdunak espresuki uko egin ahal izango dio horri, salbu eta zehatzeko edo ikuskatzeko ahalen erabileran eskatzen badira dokumentuak.»</w:t>
      </w:r>
    </w:p>
    <w:p w:rsidR="006A0F53" w:rsidRPr="00B80537" w:rsidRDefault="006A0F53"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Bederatzigarrena.– </w:t>
      </w:r>
      <w:r w:rsidRPr="00B80537">
        <w:rPr>
          <w:rFonts w:ascii="Arial" w:hAnsi="Arial"/>
          <w:sz w:val="22"/>
          <w:szCs w:val="22"/>
        </w:rPr>
        <w:t>7. artikuluaren 3. paragrafoa, egoitza elektronikoari buruzkoa, honela geratuko da idatzita:</w:t>
      </w:r>
    </w:p>
    <w:p w:rsidR="006A0F53" w:rsidRPr="00B80537" w:rsidRDefault="006A0F53" w:rsidP="00C45540">
      <w:pPr>
        <w:pStyle w:val="parrafo"/>
        <w:spacing w:before="0" w:beforeAutospacing="0" w:after="220" w:afterAutospacing="0"/>
        <w:ind w:firstLine="425"/>
        <w:jc w:val="both"/>
        <w:rPr>
          <w:rFonts w:ascii="Arial" w:hAnsi="Arial" w:cs="Arial"/>
          <w:sz w:val="22"/>
          <w:szCs w:val="22"/>
        </w:rPr>
      </w:pPr>
      <w:r w:rsidRPr="00B80537">
        <w:rPr>
          <w:rFonts w:ascii="Arial" w:hAnsi="Arial"/>
          <w:sz w:val="22"/>
          <w:szCs w:val="22"/>
        </w:rPr>
        <w:t>«3.– Euskal Autonomia Erkidegoko sektore publikoko organo guztiak egongo dira egoitza elektronikoaren barruan.»</w:t>
      </w:r>
    </w:p>
    <w:p w:rsidR="00B46D93" w:rsidRPr="00B80537" w:rsidRDefault="005841E7"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Hamargarrena.– </w:t>
      </w:r>
      <w:r w:rsidRPr="00B80537">
        <w:rPr>
          <w:rFonts w:ascii="Arial" w:hAnsi="Arial"/>
          <w:sz w:val="22"/>
          <w:szCs w:val="22"/>
        </w:rPr>
        <w:t>7. artikuluaren 4. paragrafoa, egoitza elektronikoari buruzkoa, honela geratuko da idatzita:</w:t>
      </w:r>
    </w:p>
    <w:p w:rsidR="00B46D93" w:rsidRPr="00B80537" w:rsidRDefault="00816DC1" w:rsidP="00C45540">
      <w:pPr>
        <w:pStyle w:val="parrafo"/>
        <w:spacing w:before="0" w:beforeAutospacing="0" w:after="220" w:afterAutospacing="0"/>
        <w:ind w:firstLine="425"/>
        <w:jc w:val="both"/>
        <w:rPr>
          <w:rFonts w:ascii="Arial" w:hAnsi="Arial" w:cs="Arial"/>
          <w:sz w:val="22"/>
          <w:szCs w:val="22"/>
        </w:rPr>
      </w:pPr>
      <w:r w:rsidRPr="00B80537">
        <w:rPr>
          <w:rFonts w:ascii="Arial" w:hAnsi="Arial"/>
          <w:sz w:val="22"/>
          <w:szCs w:val="22"/>
        </w:rPr>
        <w:t xml:space="preserve">«4.– Lankidetza-hitzarmenen bidez sortu ahal izango dira beste Administrazio publiko batzuekin partekatutako egoitzak.» </w:t>
      </w:r>
    </w:p>
    <w:p w:rsidR="00937AA3" w:rsidRPr="00B80537" w:rsidRDefault="005841E7"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Hamaikagarrena.–</w:t>
      </w:r>
      <w:r w:rsidRPr="00B80537">
        <w:rPr>
          <w:rFonts w:ascii="Arial" w:hAnsi="Arial"/>
          <w:sz w:val="22"/>
          <w:szCs w:val="22"/>
        </w:rPr>
        <w:t xml:space="preserve"> 7. artikuluaren 5. paragrafoa, egoitza elektronikoari buruzkoa, Interneteko goi-mailako «euskadi.eus» domeinu berria ezartzen duen ekainaren 9ko 84/2015 Dekretuaren azken xedapenetako bigarrenean idatzitakoari dagokionez, honela geratuko da idatzita:</w:t>
      </w:r>
    </w:p>
    <w:p w:rsidR="00937AA3" w:rsidRPr="00B80537" w:rsidRDefault="00937AA3" w:rsidP="00C45540">
      <w:pPr>
        <w:pStyle w:val="parrafo"/>
        <w:spacing w:before="0" w:beforeAutospacing="0" w:after="220" w:afterAutospacing="0"/>
        <w:ind w:firstLine="425"/>
        <w:jc w:val="both"/>
        <w:rPr>
          <w:rFonts w:ascii="Arial" w:hAnsi="Arial" w:cs="Arial"/>
          <w:sz w:val="22"/>
          <w:szCs w:val="22"/>
        </w:rPr>
      </w:pPr>
      <w:r w:rsidRPr="00B80537">
        <w:rPr>
          <w:rFonts w:ascii="Arial" w:hAnsi="Arial"/>
          <w:sz w:val="22"/>
          <w:szCs w:val="22"/>
        </w:rPr>
        <w:t xml:space="preserve">«5.– Egoitza elektronikoaren helbide elektronikoa hau da: </w:t>
      </w:r>
      <w:hyperlink r:id="rId9" w:history="1">
        <w:r w:rsidRPr="00B80537">
          <w:rPr>
            <w:rStyle w:val="Hiperesteka"/>
            <w:rFonts w:ascii="Arial" w:hAnsi="Arial"/>
            <w:bCs/>
            <w:color w:val="auto"/>
            <w:sz w:val="22"/>
            <w:szCs w:val="22"/>
            <w:u w:val="none"/>
          </w:rPr>
          <w:t>https://www.euskadi.eus/egoitza-elektronikoa/</w:t>
        </w:r>
      </w:hyperlink>
      <w:r w:rsidRPr="00B80537">
        <w:rPr>
          <w:rFonts w:ascii="Arial" w:hAnsi="Arial"/>
          <w:sz w:val="22"/>
          <w:szCs w:val="22"/>
        </w:rPr>
        <w:t>».</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Hamabigarrena.– </w:t>
      </w:r>
      <w:r w:rsidRPr="00B80537">
        <w:rPr>
          <w:rFonts w:ascii="Arial" w:hAnsi="Arial"/>
          <w:sz w:val="22"/>
          <w:szCs w:val="22"/>
        </w:rPr>
        <w:t>9. artikuluaren 1. paragrafoko i) apartatua, egoitza elektronikoaren edukiari buruzkoa, honela geratuko da idatzita:</w:t>
      </w:r>
    </w:p>
    <w:p w:rsidR="00937AA3" w:rsidRPr="00B80537" w:rsidRDefault="00816DC1" w:rsidP="00C45540">
      <w:pPr>
        <w:pStyle w:val="articulo"/>
        <w:spacing w:before="0" w:beforeAutospacing="0" w:after="220" w:afterAutospacing="0"/>
        <w:ind w:firstLine="425"/>
        <w:jc w:val="both"/>
        <w:rPr>
          <w:rFonts w:ascii="Arial" w:hAnsi="Arial" w:cs="Arial"/>
          <w:sz w:val="22"/>
          <w:szCs w:val="22"/>
        </w:rPr>
      </w:pPr>
      <w:r w:rsidRPr="00B80537">
        <w:rPr>
          <w:rFonts w:ascii="Arial" w:hAnsi="Arial"/>
          <w:sz w:val="22"/>
          <w:szCs w:val="22"/>
        </w:rPr>
        <w:t xml:space="preserve">«i) Euskal Autonomia Erkidegoko Administrazio Orokorreko administrazio elektronikoaren egoitzako zerbitzu erkide erabilgarriak; besteak beste, hauek behintzat izango dira: prozeduren fitxak, erregistro orokorra, ahalordeen erregistro orokorra, izapidetze elektronikorako eta kopia autentikoak egiteko gaitutako funtzionarioen erregistroa, izapideen kudeatzailea, eredu espezifikoen kudeatzailea, prozedurak hasteko eskabideen aurkezpen masiboetarako sistemak eta sistema normalizatuak, jakinarazpenak, fitxategi bakarra, ordainketa-pasabidea, harremanetarako datu-basea, datu-bitartekaritzarako plataforma, eta herritarren karpeta.» </w:t>
      </w:r>
    </w:p>
    <w:p w:rsidR="004C1457"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Hamahirugarrena.– </w:t>
      </w:r>
      <w:r w:rsidRPr="00B80537">
        <w:rPr>
          <w:rFonts w:ascii="Arial" w:hAnsi="Arial"/>
          <w:sz w:val="22"/>
          <w:szCs w:val="22"/>
        </w:rPr>
        <w:t xml:space="preserve"> Kendu egiten da egoitza elektronikoaren edukiari buruzko 9. artikuluaren 1. paragrafoko o) apartatua. </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lastRenderedPageBreak/>
        <w:t xml:space="preserve">Hamalaugarrena.– </w:t>
      </w:r>
      <w:r w:rsidRPr="00B80537">
        <w:rPr>
          <w:rFonts w:ascii="Arial" w:hAnsi="Arial"/>
          <w:sz w:val="22"/>
          <w:szCs w:val="22"/>
        </w:rPr>
        <w:t>12. artikuluaren 2. paragrafoa, ordezkatzeko gaikuntzari buruzkoa, honela geratuko da idatzita:</w:t>
      </w:r>
    </w:p>
    <w:p w:rsidR="00937AA3" w:rsidRPr="00B80537" w:rsidRDefault="00816DC1" w:rsidP="00C45540">
      <w:pPr>
        <w:spacing w:after="220" w:line="240" w:lineRule="auto"/>
        <w:ind w:firstLine="425"/>
        <w:jc w:val="both"/>
        <w:rPr>
          <w:rFonts w:ascii="Arial" w:eastAsia="Times New Roman" w:hAnsi="Arial" w:cs="Arial"/>
        </w:rPr>
      </w:pPr>
      <w:r w:rsidRPr="00B80537">
        <w:rPr>
          <w:rFonts w:ascii="Arial" w:hAnsi="Arial"/>
        </w:rPr>
        <w:t>«2.– Gaikuntza ebazpen bidez emango da; interesdunek ordezkaritza emateko baliatzen dituzten administrazio-prozedurak ebazteko eskumena daukan organoak emango du ebazpen hori. Gaikuntzan, zehaztu beharko da zein diren gaitutako ordezkaria izendatzeko baldintzak, eta barnean sartu beharko dira gaikuntzaren xede diren prozedurak eta izapideak.»</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Hamabosgarrena.– </w:t>
      </w:r>
      <w:r w:rsidRPr="00B80537">
        <w:rPr>
          <w:rFonts w:ascii="Arial" w:hAnsi="Arial"/>
          <w:sz w:val="22"/>
          <w:szCs w:val="22"/>
        </w:rPr>
        <w:t>Kendu egiten da ordezkatzeko gaikuntzari buruzko 12. artikuluaren 3. paragrafoa.</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Hamaseigarrena.– </w:t>
      </w:r>
      <w:r w:rsidRPr="00B80537">
        <w:rPr>
          <w:rFonts w:ascii="Arial" w:hAnsi="Arial"/>
          <w:sz w:val="22"/>
          <w:szCs w:val="22"/>
        </w:rPr>
        <w:t>13. artikuluaren 1. paragrafoa, ordezkarien erregistro elektronikoari buruzkoa, honela geratuko da idatzita:</w:t>
      </w:r>
    </w:p>
    <w:p w:rsidR="00937AA3" w:rsidRPr="00B80537" w:rsidRDefault="00937AA3" w:rsidP="00C45540">
      <w:pPr>
        <w:pStyle w:val="a"/>
        <w:spacing w:before="0" w:beforeAutospacing="0" w:after="220" w:afterAutospacing="0"/>
        <w:ind w:firstLine="425"/>
        <w:jc w:val="both"/>
        <w:rPr>
          <w:rFonts w:ascii="Arial" w:hAnsi="Arial" w:cs="Arial"/>
          <w:sz w:val="22"/>
          <w:szCs w:val="22"/>
        </w:rPr>
      </w:pPr>
      <w:r w:rsidRPr="00B80537">
        <w:rPr>
          <w:rFonts w:ascii="Arial" w:hAnsi="Arial"/>
          <w:sz w:val="22"/>
          <w:szCs w:val="22"/>
        </w:rPr>
        <w:t>«</w:t>
      </w:r>
      <w:r w:rsidRPr="00B80537">
        <w:rPr>
          <w:rStyle w:val="Enfasia"/>
          <w:rFonts w:ascii="Arial" w:hAnsi="Arial"/>
          <w:i w:val="0"/>
          <w:sz w:val="22"/>
          <w:szCs w:val="22"/>
        </w:rPr>
        <w:t>13. artikulua.–</w:t>
      </w:r>
      <w:r w:rsidRPr="00B80537">
        <w:rPr>
          <w:rFonts w:ascii="Arial" w:hAnsi="Arial"/>
          <w:sz w:val="22"/>
          <w:szCs w:val="22"/>
        </w:rPr>
        <w:t xml:space="preserve"> Ahalordeen erregistro elektronikoa.</w:t>
      </w:r>
    </w:p>
    <w:p w:rsidR="00937AA3" w:rsidRPr="00B80537" w:rsidRDefault="00937AA3" w:rsidP="00C45540">
      <w:pPr>
        <w:pStyle w:val="Normalaweb"/>
        <w:spacing w:before="0" w:beforeAutospacing="0" w:after="220" w:afterAutospacing="0"/>
        <w:ind w:firstLine="425"/>
        <w:jc w:val="both"/>
        <w:rPr>
          <w:rFonts w:ascii="Arial" w:hAnsi="Arial" w:cs="Arial"/>
          <w:sz w:val="22"/>
          <w:szCs w:val="22"/>
        </w:rPr>
      </w:pPr>
      <w:r w:rsidRPr="00B80537">
        <w:rPr>
          <w:rFonts w:ascii="Arial" w:hAnsi="Arial"/>
          <w:bCs/>
          <w:sz w:val="22"/>
          <w:szCs w:val="22"/>
        </w:rPr>
        <w:t xml:space="preserve">1.– </w:t>
      </w:r>
      <w:r w:rsidRPr="00B80537">
        <w:rPr>
          <w:rFonts w:ascii="Arial" w:hAnsi="Arial"/>
          <w:sz w:val="22"/>
          <w:szCs w:val="22"/>
        </w:rPr>
        <w:t>Euskal Autonomia Erkidegoko Administrazio Publikoko ahalordeen erregistro orokorra sortzen da; erregistro horretan, nahitaez hauek behintzat jasoko dira: apud acta, presentzialki edo elektronikoki emandako ahalorde orokorrak, interesdunek administrazio-prozeduretan hirugarrenei ematen dizkietenak euren izenean Administrazio publikoetan jarduteko. Horrekin batera, ahal bakoitzaren askiestea ere adierazi beharko da. Erregistro hau ez da erregistro publikoa.»</w:t>
      </w:r>
    </w:p>
    <w:p w:rsidR="009970D8"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Hamazazpigarrena.–</w:t>
      </w:r>
      <w:r w:rsidRPr="00B80537">
        <w:rPr>
          <w:rFonts w:ascii="Arial" w:hAnsi="Arial"/>
          <w:sz w:val="22"/>
          <w:szCs w:val="22"/>
        </w:rPr>
        <w:t xml:space="preserve"> Kendu egiten da </w:t>
      </w:r>
      <w:bookmarkStart w:id="3" w:name="ARTICULOde7dfaf0"/>
      <w:r w:rsidRPr="00B80537">
        <w:rPr>
          <w:rFonts w:ascii="Arial" w:hAnsi="Arial"/>
          <w:sz w:val="22"/>
          <w:szCs w:val="22"/>
        </w:rPr>
        <w:t>herritarren jarduketak identifikatzeko eta autentifikatzeko gaitutako funtzionarioen erregistroa</w:t>
      </w:r>
      <w:bookmarkEnd w:id="3"/>
      <w:r w:rsidRPr="00B80537">
        <w:rPr>
          <w:rFonts w:ascii="Arial" w:hAnsi="Arial"/>
          <w:sz w:val="22"/>
          <w:szCs w:val="22"/>
        </w:rPr>
        <w:t>ri buruzko 14. artikuluaren 3. paragrafoko bigarren esaldia, eta honela geratuko da idatzita:</w:t>
      </w:r>
    </w:p>
    <w:p w:rsidR="009970D8" w:rsidRPr="00B80537" w:rsidRDefault="009970D8" w:rsidP="00C45540">
      <w:pPr>
        <w:pStyle w:val="articulo"/>
        <w:spacing w:before="0" w:beforeAutospacing="0" w:after="220" w:afterAutospacing="0"/>
        <w:ind w:firstLine="425"/>
        <w:jc w:val="both"/>
        <w:rPr>
          <w:rFonts w:ascii="Arial" w:hAnsi="Arial" w:cs="Arial"/>
          <w:sz w:val="22"/>
          <w:szCs w:val="22"/>
        </w:rPr>
      </w:pPr>
      <w:r w:rsidRPr="00B80537">
        <w:rPr>
          <w:rFonts w:ascii="Arial" w:hAnsi="Arial"/>
          <w:sz w:val="22"/>
          <w:szCs w:val="22"/>
        </w:rPr>
        <w:t>«3.– Administrazio elektronikoaren eskumena daukan sailaren ardura da artikulu honetan araututako identifikazio eta autentifikaziorako Euskal Autonomia Erkidegoko Administrazio Publikoan gaitzen diren funtzionarioen erregistroa eguneratuta izatea.»</w:t>
      </w:r>
    </w:p>
    <w:p w:rsidR="00A078E8"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Hemezortzigarrena.– </w:t>
      </w:r>
      <w:r w:rsidRPr="00B80537">
        <w:rPr>
          <w:rFonts w:ascii="Arial" w:hAnsi="Arial"/>
          <w:sz w:val="22"/>
          <w:szCs w:val="22"/>
        </w:rPr>
        <w:t xml:space="preserve">28. artikuluaren 1. paragrafoa, </w:t>
      </w:r>
      <w:bookmarkStart w:id="4" w:name="ARTICULO71206925"/>
      <w:r w:rsidRPr="00B80537">
        <w:rPr>
          <w:rFonts w:ascii="Arial" w:hAnsi="Arial"/>
          <w:sz w:val="22"/>
          <w:szCs w:val="22"/>
        </w:rPr>
        <w:t>bitarteko elektronikoen bidez komunikatzeko nahitaezkotasuna</w:t>
      </w:r>
      <w:bookmarkEnd w:id="4"/>
      <w:r w:rsidRPr="00B80537">
        <w:rPr>
          <w:rFonts w:ascii="Arial" w:hAnsi="Arial"/>
          <w:sz w:val="22"/>
          <w:szCs w:val="22"/>
        </w:rPr>
        <w:t>ri buruzkoa, honela geratuko da idatzita:</w:t>
      </w:r>
    </w:p>
    <w:p w:rsidR="00A078E8" w:rsidRPr="00B80537" w:rsidRDefault="00A078E8" w:rsidP="00C45540">
      <w:pPr>
        <w:pStyle w:val="articulo"/>
        <w:spacing w:before="0" w:beforeAutospacing="0" w:after="220" w:afterAutospacing="0"/>
        <w:ind w:firstLine="425"/>
        <w:jc w:val="both"/>
        <w:rPr>
          <w:rStyle w:val="Lodia"/>
          <w:rFonts w:ascii="Arial" w:hAnsi="Arial" w:cs="Arial"/>
          <w:b w:val="0"/>
          <w:sz w:val="22"/>
          <w:szCs w:val="22"/>
        </w:rPr>
      </w:pPr>
      <w:r w:rsidRPr="00B80537">
        <w:rPr>
          <w:rFonts w:ascii="Arial" w:hAnsi="Arial"/>
          <w:sz w:val="22"/>
          <w:szCs w:val="22"/>
        </w:rPr>
        <w:t>«1.– Administrazioak, erregelamenduz, behartu ahal izango du berekiko komunikazioa bitarteko elektroniko hutsez izatea zenbait prozeduratan, baldin eta egiaztaturik badago interesdunek (pertsona fisikoak) gaitasun ekonomikoagatik, gaitasun teknikoagatik, ardura profesionalagatik edo bestelako arrazoiengatik badutela  bitarteko elektronikoetarako irispidea eta bitarteko horiek erabiltzeko modua.»</w:t>
      </w:r>
    </w:p>
    <w:p w:rsidR="00B126A0" w:rsidRPr="00B80537" w:rsidRDefault="00BF4991" w:rsidP="00C45540">
      <w:pPr>
        <w:pStyle w:val="articulo"/>
        <w:spacing w:before="0" w:beforeAutospacing="0" w:after="220" w:afterAutospacing="0"/>
        <w:ind w:firstLine="425"/>
        <w:jc w:val="both"/>
        <w:rPr>
          <w:rFonts w:ascii="Arial" w:hAnsi="Arial" w:cs="Arial"/>
          <w:sz w:val="22"/>
          <w:szCs w:val="22"/>
        </w:rPr>
      </w:pPr>
      <w:bookmarkStart w:id="5" w:name="ARTICULObcb75f4f"/>
      <w:r w:rsidRPr="00B80537">
        <w:rPr>
          <w:rStyle w:val="Lodia"/>
          <w:rFonts w:ascii="Arial" w:hAnsi="Arial"/>
          <w:b w:val="0"/>
          <w:sz w:val="22"/>
          <w:szCs w:val="22"/>
        </w:rPr>
        <w:t xml:space="preserve">Hemeretzigarrena.– </w:t>
      </w:r>
      <w:r w:rsidRPr="00B80537">
        <w:rPr>
          <w:rFonts w:ascii="Arial" w:hAnsi="Arial"/>
          <w:sz w:val="22"/>
          <w:szCs w:val="22"/>
        </w:rPr>
        <w:t xml:space="preserve">Kendu egiten da Administrazioko organoen arteko komunikazioei buruzko 29. artikuluaren 2. paragrafoa. </w:t>
      </w:r>
      <w:bookmarkEnd w:id="5"/>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Hogeigarrena.– </w:t>
      </w:r>
      <w:r w:rsidRPr="00B80537">
        <w:rPr>
          <w:rFonts w:ascii="Arial" w:hAnsi="Arial"/>
          <w:sz w:val="22"/>
          <w:szCs w:val="22"/>
        </w:rPr>
        <w:t>Harreman elektronikoetarako datuei buruzko 32 bis artikulua gehitzen da, honela idatzita:</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«32 bis artikulua. Harremanetarako datuak:</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 xml:space="preserve">1.– Euskal Autonomia Erkidegoko sektore publikoak harreman elektronikoetarako datu-base bat izango du; horretarako datuak interesdunek emango dituzte, eurek adierazitako gailu elektronikoan edo helbide elektronikoan abisuak jaso ahal izateko xedez, jakinarazpenen bidalketak egiteko edo jakinarazpenak eskura jartzeko, egoitza elektronikoan egingo baitira agerraldi bidez. Beharrezkoa izango da pertsona fisikoek aldez aurretik baimena ematea, datuen babesari buruzko legediak eskatutakoaren ondorioetarako. </w:t>
      </w:r>
    </w:p>
    <w:p w:rsidR="00937AA3" w:rsidRPr="00B80537" w:rsidRDefault="00937AA3" w:rsidP="00C45540">
      <w:pPr>
        <w:spacing w:after="220" w:line="240" w:lineRule="auto"/>
        <w:ind w:firstLine="425"/>
        <w:jc w:val="both"/>
        <w:rPr>
          <w:rFonts w:ascii="Arial" w:hAnsi="Arial" w:cs="Arial"/>
        </w:rPr>
      </w:pPr>
      <w:r w:rsidRPr="00B80537">
        <w:rPr>
          <w:rFonts w:ascii="Arial" w:hAnsi="Arial"/>
        </w:rPr>
        <w:lastRenderedPageBreak/>
        <w:t xml:space="preserve">2.– Fitxategi horretan, harremanetarako gutxienez datu hauek sartuko dira: pertsona fisikoen kasuan, izena, abizenak, nortasun-agiri nazionala edo identifikazio-agiri baliokidea; pertsona juridikoen kasuan, izen soziala edo sozietatearen izena eta identifikazio fiskaleko zenbakia, eta, kasu guztietan, komunikazio-hizkuntza, eta sakelako telefonoaren zenbakia edo helbide elektronikoa, harremanetan jartzeko erabiltzeko bitarteko gisa. </w:t>
      </w:r>
    </w:p>
    <w:p w:rsidR="00937AA3" w:rsidRPr="00B80537" w:rsidRDefault="00937AA3" w:rsidP="00C45540">
      <w:pPr>
        <w:pStyle w:val="Zerrenda-paragrafoa"/>
        <w:spacing w:after="220" w:line="240" w:lineRule="auto"/>
        <w:ind w:left="0" w:firstLine="425"/>
        <w:contextualSpacing w:val="0"/>
        <w:jc w:val="both"/>
        <w:rPr>
          <w:rFonts w:ascii="Arial" w:hAnsi="Arial" w:cs="Arial"/>
        </w:rPr>
      </w:pPr>
      <w:r w:rsidRPr="00B80537">
        <w:rPr>
          <w:rFonts w:ascii="Arial" w:hAnsi="Arial"/>
        </w:rPr>
        <w:t>3.– Interesdunak, identifikatu ostean, egoitza elektronikotik euren titulartasuneko datuetara iritsi ahal izango dira, eta edozein unetan eguneratu ahal izango dituzte.</w:t>
      </w:r>
    </w:p>
    <w:p w:rsidR="00937AA3" w:rsidRPr="00B80537" w:rsidRDefault="00937AA3" w:rsidP="00C45540">
      <w:pPr>
        <w:pStyle w:val="Zerrenda-paragrafoa"/>
        <w:spacing w:after="220" w:line="240" w:lineRule="auto"/>
        <w:ind w:left="0" w:firstLine="425"/>
        <w:jc w:val="both"/>
        <w:rPr>
          <w:rFonts w:ascii="Arial" w:hAnsi="Arial" w:cs="Arial"/>
        </w:rPr>
      </w:pPr>
      <w:r w:rsidRPr="00B80537">
        <w:rPr>
          <w:rFonts w:ascii="Arial" w:hAnsi="Arial"/>
        </w:rPr>
        <w:t>4.– Administrazio elektronikoaren eskumena duen zuzendaritza da harremanetarako datu-basea ezartzeko eta kudeatzeko arduraduna.»</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batgarrena.– </w:t>
      </w:r>
      <w:r w:rsidRPr="00B80537">
        <w:rPr>
          <w:rFonts w:ascii="Arial" w:hAnsi="Arial"/>
          <w:sz w:val="22"/>
          <w:szCs w:val="22"/>
        </w:rPr>
        <w:t>42. artikuluaren 3. paragrafoa, dokumentu elektronikoak kudeatzeari buruzkoa, honela geratuko da idatzita:</w:t>
      </w:r>
    </w:p>
    <w:p w:rsidR="00937AA3" w:rsidRPr="00B80537" w:rsidRDefault="00937AA3" w:rsidP="00C45540">
      <w:pPr>
        <w:pStyle w:val="5izenburua"/>
        <w:spacing w:before="0" w:after="220" w:line="240" w:lineRule="auto"/>
        <w:ind w:firstLine="425"/>
        <w:jc w:val="both"/>
        <w:rPr>
          <w:rFonts w:ascii="Arial" w:hAnsi="Arial" w:cs="Arial"/>
          <w:color w:val="auto"/>
        </w:rPr>
      </w:pPr>
      <w:r w:rsidRPr="00B80537">
        <w:rPr>
          <w:rFonts w:ascii="Arial" w:hAnsi="Arial"/>
          <w:color w:val="auto"/>
        </w:rPr>
        <w:t>«3.– Dokumentu elektronikoetan datu pertsonalik baldin badago, datuen babesari buruzko legedian eta bera garatzeko araudian xedatutakoa aplikatuko zaie.»</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bigarrena.– </w:t>
      </w:r>
      <w:r w:rsidRPr="00B80537">
        <w:rPr>
          <w:rFonts w:ascii="Arial" w:hAnsi="Arial"/>
          <w:sz w:val="22"/>
          <w:szCs w:val="22"/>
        </w:rPr>
        <w:t>43. artikuluaren 1. paragrafoa, kopia autentikoak egiteari buruzkoa, honela geratuko da idatzita:</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«1.– Horretarako eskumena daukaten administrazio-organoek edo organismo publikoek egingo dituzte kopia autentikoak, eskumenei eta prozedurei buruzko arauekin bat. Arauok administrazio-prozeduraren legedian eta Administrazio publikoen araubide juridikoaren legedian daude ezarrita.»</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Hogeita hirugarrena.–</w:t>
      </w:r>
      <w:r w:rsidRPr="00B80537">
        <w:rPr>
          <w:rFonts w:ascii="Arial" w:hAnsi="Arial"/>
          <w:sz w:val="22"/>
          <w:szCs w:val="22"/>
        </w:rPr>
        <w:t xml:space="preserve"> Kendu egiten da konpultsarako kopia elektronikoak lortzeari buruzko 49. artikulua.</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laugarrena.– </w:t>
      </w:r>
      <w:r w:rsidRPr="00B80537">
        <w:rPr>
          <w:rFonts w:ascii="Arial" w:hAnsi="Arial"/>
          <w:sz w:val="22"/>
          <w:szCs w:val="22"/>
        </w:rPr>
        <w:t>50. artikuluaren 2. paragrafoko b) apartatua, eredu elektronikoei buruzkoa, honela geratuko da idatzita:</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«b) Interesdunaren datu pertsonalak lortu eta tratatzeko baimena lortzea, kontsultatu nahi diren datuetarako, alegia; administrazio-prozeduraren legedian eta datuen babesari buruzko legedian eta bera garatzeko araudian xedatutakoarekin bat etorriz»</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bosgarrena.– </w:t>
      </w:r>
      <w:r w:rsidRPr="00B80537">
        <w:rPr>
          <w:rFonts w:ascii="Arial" w:hAnsi="Arial"/>
          <w:sz w:val="22"/>
          <w:szCs w:val="22"/>
        </w:rPr>
        <w:t>50. artikuluari 4. paragrafo bat gehitzen zaio, eredu elektronikoei buruzkoa, honela idatzita:</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«4.– Prozedurak hasteko eskatzeko eredu espezifikoak eta sistema normalizatuak administrazio-prozeduraren legedian daude aurreikusita, eta honako hau ahalbidetuko dute:</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a) zati elektroniko dinamikoak sartzea; zatiok osorik zabalduko dira interesdunek betetzen dituzten unean, eta, bete gabe daudela, ezin izango dute irudi estatikorik izan. Horretarako, prozeduren arau erregulatzaileek helbide elektronikoa baino ez dute emango, non lokaliza daitezkeen jakiteko.</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b) emandako informazioa automatikoki egiaztatzea, sistema propioetan edo beste Administrazio batzuen sistemetan biltegiratutako datuekin alderatuta; edo hasiera emateko eskabidea eskain dezakete, guztiz edo partez beteta, interesdunek informazioa egiazta dezaten eta, hala badagokio, alda eta osa dezaten.»</w:t>
      </w:r>
    </w:p>
    <w:p w:rsidR="000413AE"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seigarrena.– </w:t>
      </w:r>
      <w:r w:rsidRPr="00B80537">
        <w:rPr>
          <w:rFonts w:ascii="Arial" w:hAnsi="Arial"/>
          <w:sz w:val="22"/>
          <w:szCs w:val="22"/>
        </w:rPr>
        <w:t>53. artikuluaren 1. paragrafoa, interesdunek prozeduraren izapideak zertan diren jakiteko irispideari buruzkoa, honela geratuko da idatzita:</w:t>
      </w:r>
    </w:p>
    <w:p w:rsidR="000413AE" w:rsidRPr="00B80537" w:rsidRDefault="000413AE" w:rsidP="00C45540">
      <w:pPr>
        <w:pStyle w:val="Normalaweb"/>
        <w:spacing w:before="0" w:beforeAutospacing="0" w:after="220" w:afterAutospacing="0"/>
        <w:ind w:firstLine="425"/>
        <w:jc w:val="both"/>
        <w:rPr>
          <w:rFonts w:ascii="Arial" w:hAnsi="Arial" w:cs="Arial"/>
          <w:sz w:val="22"/>
          <w:szCs w:val="22"/>
        </w:rPr>
      </w:pPr>
      <w:r w:rsidRPr="00B80537">
        <w:rPr>
          <w:rFonts w:ascii="Arial" w:hAnsi="Arial"/>
          <w:sz w:val="22"/>
          <w:szCs w:val="22"/>
        </w:rPr>
        <w:lastRenderedPageBreak/>
        <w:t>«</w:t>
      </w:r>
      <w:r w:rsidRPr="00B80537">
        <w:rPr>
          <w:rFonts w:ascii="Arial" w:hAnsi="Arial"/>
          <w:bCs/>
          <w:sz w:val="22"/>
          <w:szCs w:val="22"/>
        </w:rPr>
        <w:t xml:space="preserve">1.– </w:t>
      </w:r>
      <w:r w:rsidRPr="00B80537">
        <w:rPr>
          <w:rFonts w:ascii="Arial" w:hAnsi="Arial"/>
          <w:sz w:val="22"/>
          <w:szCs w:val="22"/>
        </w:rPr>
        <w:t>Administrazioak informazio-zerbitzu elektroniko bat jarriko du interesdunen eskura, egoitza elektronikoan, prozeduren izapideen egoerari buruzko informazioa kontsultatu ahal izateko.»</w:t>
      </w:r>
    </w:p>
    <w:p w:rsidR="000413AE"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zazpigarrena.– </w:t>
      </w:r>
      <w:r w:rsidRPr="00B80537">
        <w:rPr>
          <w:rFonts w:ascii="Arial" w:hAnsi="Arial"/>
          <w:sz w:val="22"/>
          <w:szCs w:val="22"/>
        </w:rPr>
        <w:t>53. artikuluaren 2. paragrafoa, interesdunek prozeduraren izapideak zertan diren jakiteko irispideari buruzkoa, honela geratuko da idatzita:</w:t>
      </w:r>
    </w:p>
    <w:p w:rsidR="000413AE" w:rsidRPr="00B80537" w:rsidRDefault="00816DC1" w:rsidP="00C45540">
      <w:pPr>
        <w:pStyle w:val="Normalaweb"/>
        <w:spacing w:before="0" w:beforeAutospacing="0" w:after="220" w:afterAutospacing="0"/>
        <w:ind w:firstLine="425"/>
        <w:jc w:val="both"/>
        <w:rPr>
          <w:rFonts w:ascii="Arial" w:hAnsi="Arial" w:cs="Arial"/>
          <w:sz w:val="22"/>
          <w:szCs w:val="22"/>
        </w:rPr>
      </w:pPr>
      <w:r w:rsidRPr="00B80537">
        <w:rPr>
          <w:rFonts w:ascii="Arial" w:hAnsi="Arial"/>
          <w:sz w:val="22"/>
          <w:szCs w:val="22"/>
        </w:rPr>
        <w:t>«</w:t>
      </w:r>
      <w:r w:rsidRPr="00B80537">
        <w:rPr>
          <w:rFonts w:ascii="Arial" w:hAnsi="Arial"/>
          <w:bCs/>
          <w:sz w:val="22"/>
          <w:szCs w:val="22"/>
        </w:rPr>
        <w:t xml:space="preserve">2.– </w:t>
      </w:r>
      <w:r w:rsidRPr="00B80537">
        <w:rPr>
          <w:rFonts w:ascii="Arial" w:hAnsi="Arial"/>
          <w:sz w:val="22"/>
          <w:szCs w:val="22"/>
        </w:rPr>
        <w:t>Prozeduraren izapideen egoerari buruzko informazioan, egindako izapideen eta izapideon daten berri emango da. Halaber, dokumentu elektronikoetarako irispidea izango dute interesdunek.»</w:t>
      </w:r>
    </w:p>
    <w:p w:rsidR="000E6279" w:rsidRPr="00B80537" w:rsidRDefault="00BF4991" w:rsidP="00C45540">
      <w:pPr>
        <w:pStyle w:val="articulo"/>
        <w:spacing w:before="0" w:beforeAutospacing="0" w:after="220" w:afterAutospacing="0"/>
        <w:ind w:firstLine="425"/>
        <w:jc w:val="both"/>
        <w:rPr>
          <w:rFonts w:ascii="Arial" w:hAnsi="Arial" w:cs="Arial"/>
          <w:sz w:val="22"/>
          <w:szCs w:val="22"/>
        </w:rPr>
      </w:pPr>
      <w:bookmarkStart w:id="6" w:name="ARTICULO39ca29e0"/>
      <w:r w:rsidRPr="00B80537">
        <w:rPr>
          <w:rStyle w:val="Lodia"/>
          <w:rFonts w:ascii="Arial" w:hAnsi="Arial"/>
          <w:b w:val="0"/>
          <w:sz w:val="22"/>
          <w:szCs w:val="22"/>
        </w:rPr>
        <w:t xml:space="preserve">Hogeita zortzigarrena.– </w:t>
      </w:r>
      <w:r w:rsidRPr="00B80537">
        <w:rPr>
          <w:rFonts w:ascii="Arial" w:hAnsi="Arial"/>
          <w:sz w:val="22"/>
          <w:szCs w:val="22"/>
        </w:rPr>
        <w:t>53. artikuluaren 3. paragrafoa, interesdunek prozeduraren izapideak zertan diren jakiteko irispideari buruzkoa, honela geratuko da idatzita:</w:t>
      </w:r>
    </w:p>
    <w:p w:rsidR="000E6279" w:rsidRPr="00B80537" w:rsidRDefault="00816DC1" w:rsidP="00C45540">
      <w:pPr>
        <w:spacing w:after="220" w:line="240" w:lineRule="auto"/>
        <w:ind w:firstLine="425"/>
        <w:jc w:val="both"/>
        <w:rPr>
          <w:rFonts w:ascii="Arial" w:hAnsi="Arial" w:cs="Arial"/>
        </w:rPr>
      </w:pPr>
      <w:r w:rsidRPr="00B80537">
        <w:rPr>
          <w:rFonts w:ascii="Arial" w:hAnsi="Arial"/>
        </w:rPr>
        <w:t>«</w:t>
      </w:r>
      <w:r w:rsidRPr="00B80537">
        <w:rPr>
          <w:rFonts w:ascii="Arial" w:hAnsi="Arial"/>
          <w:bCs/>
        </w:rPr>
        <w:t>3.–</w:t>
      </w:r>
      <w:bookmarkEnd w:id="6"/>
      <w:r w:rsidRPr="00B80537">
        <w:rPr>
          <w:rFonts w:ascii="Arial" w:hAnsi="Arial"/>
          <w:bCs/>
        </w:rPr>
        <w:t xml:space="preserve"> </w:t>
      </w:r>
      <w:r w:rsidRPr="00B80537">
        <w:rPr>
          <w:rFonts w:ascii="Arial" w:hAnsi="Arial"/>
        </w:rPr>
        <w:t>Prozeduraren izapideen gaineko informazioa izateko, interesdunak aldez aurretik identifikatu behar du bere burua, administrazio-prozeduraren legedian adierazitako edozein identifikazio-bideren bidez.»</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bederatzigarrena.– </w:t>
      </w:r>
      <w:r w:rsidRPr="00B80537">
        <w:rPr>
          <w:rFonts w:ascii="Arial" w:hAnsi="Arial"/>
          <w:sz w:val="22"/>
          <w:szCs w:val="22"/>
        </w:rPr>
        <w:t>55. artikuluaren 2. paragrafoa, administrazio elektronikoaren arloko zerbitzu erkideei buruzkoa, honela geratuko da idatzita:</w:t>
      </w:r>
    </w:p>
    <w:p w:rsidR="00937AA3" w:rsidRPr="00B80537" w:rsidRDefault="00816DC1" w:rsidP="00C45540">
      <w:pPr>
        <w:pStyle w:val="Zerrenda-paragrafoa"/>
        <w:spacing w:after="220" w:line="240" w:lineRule="auto"/>
        <w:ind w:left="0" w:firstLine="425"/>
        <w:jc w:val="both"/>
        <w:rPr>
          <w:rFonts w:ascii="Arial" w:hAnsi="Arial" w:cs="Arial"/>
        </w:rPr>
      </w:pPr>
      <w:r w:rsidRPr="00B80537">
        <w:rPr>
          <w:rFonts w:ascii="Arial" w:hAnsi="Arial"/>
        </w:rPr>
        <w:t>«2.– Euskal Autonomia Erkidegoko Administrazio Orokorraren administrazio elektronikoaren arloko zerbitzu erkideak, herritarrek eskueran izango dituzten sistema edo konponbide informatikoak, hauek behintzat izango dira: erregistro orokorra, ahalordeen erregistro orokorra, izapidetze elektronikorako eta kopia autentikoak egiteko gaitutako funtzionarioen erregistroa, egoitza elektronikoko prozeduren fitxak, identifikaziorako eta sinadurarako sistema, izapideen kudeatzailea, eredu espezifikoen kudeatzailea, prozedurak hasteko eskabideen aurkezpen masiboetarako sistemak, jakinarazpenak, fitxategi bakarra, ordainketa-pasabidea, datuak eta dokumentuak egiaztatzeko zerbitzuak, harremanetarako datu-basea, datu-bitartekaritzarako plataforma, iragarki-taula, zerbitzu-katalogoa, eta kexa eta iradokizunen postontzia. Informazio, zerbitzu eta transakzioetarako zerbitzu erkide gehiago sortu ahala, erabiltzaileei eskainiko zaizkie egoitza elektronikoan argitaratuta.»</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hamargarrena.– </w:t>
      </w:r>
      <w:r w:rsidRPr="00B80537">
        <w:rPr>
          <w:rFonts w:ascii="Arial" w:hAnsi="Arial"/>
          <w:sz w:val="22"/>
          <w:szCs w:val="22"/>
        </w:rPr>
        <w:t>55. artikuluaren 4. paragrafoa, administrazio elektronikoaren arloko zerbitzu erkideei buruzkoa, honela geratuko da idatzita:</w:t>
      </w:r>
    </w:p>
    <w:p w:rsidR="00937AA3" w:rsidRPr="00B80537" w:rsidRDefault="00937AA3" w:rsidP="00C45540">
      <w:pPr>
        <w:spacing w:after="220" w:line="240" w:lineRule="auto"/>
        <w:ind w:firstLine="425"/>
        <w:jc w:val="both"/>
        <w:rPr>
          <w:rFonts w:ascii="Arial" w:hAnsi="Arial" w:cs="Arial"/>
        </w:rPr>
      </w:pPr>
      <w:r w:rsidRPr="00B80537">
        <w:rPr>
          <w:rFonts w:ascii="Arial" w:hAnsi="Arial"/>
        </w:rPr>
        <w:t>«4.– Euskal Autonomia Erkidegoko Administrazio Orokorreko organo guztiek eta Administrazio instituzionaleko organismo autonomo guztiek nahitaez erabili beharko dituzte administrazio elektronikoaren zerbitzu erkide hauek, administrazio-prozedurak izapidetzeko kudeatzen duten informatika-sarean. Euskal Autonomia Erkidegoko sektore publikoa osatzen duten beste entitate batzuek ere erabili ahal izango dituzte administrazio elektronikoaren zerbitzu erkide horiek, aukeran, zuzenbide publikoari loturiko prozeduretan. Beste Administrazio publiko batzuek ere erabili ahal izango dituzte administrazio elektronikoaren zerbitzu erkideak, gai horretaz izenpetutako administrazioarteko hitzarmenen bidez.»</w:t>
      </w:r>
    </w:p>
    <w:p w:rsidR="00937AA3" w:rsidRPr="00B80537" w:rsidRDefault="00BF4991"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 xml:space="preserve">Hogeita hamaikagarrena.– </w:t>
      </w:r>
      <w:r w:rsidRPr="00B80537">
        <w:rPr>
          <w:rFonts w:ascii="Arial" w:hAnsi="Arial"/>
          <w:sz w:val="22"/>
          <w:szCs w:val="22"/>
        </w:rPr>
        <w:t>Lehenengo xedapen gehigarriaren 1. paragrafoa, prozedura bereziei buruzkoa, honela idatzita geratuko da:</w:t>
      </w:r>
    </w:p>
    <w:p w:rsidR="00937AA3" w:rsidRPr="00B80537" w:rsidRDefault="00937AA3" w:rsidP="00C45540">
      <w:pPr>
        <w:pStyle w:val="5izenburua"/>
        <w:spacing w:before="0" w:after="220" w:line="240" w:lineRule="auto"/>
        <w:ind w:firstLine="425"/>
        <w:jc w:val="both"/>
        <w:rPr>
          <w:rFonts w:ascii="Arial" w:eastAsia="Times New Roman" w:hAnsi="Arial" w:cs="Arial"/>
          <w:color w:val="auto"/>
        </w:rPr>
      </w:pPr>
      <w:r w:rsidRPr="00B80537">
        <w:rPr>
          <w:rFonts w:ascii="Arial" w:hAnsi="Arial"/>
          <w:color w:val="auto"/>
        </w:rPr>
        <w:t>«1.– Dekretu honetan xedatutakoak ez du eragotziko kontratuen legediaren erregulazio berezia».</w:t>
      </w:r>
    </w:p>
    <w:p w:rsidR="00937AA3" w:rsidRPr="00B80537" w:rsidRDefault="00D103F2" w:rsidP="00C45540">
      <w:pPr>
        <w:pStyle w:val="articulo"/>
        <w:spacing w:before="0" w:beforeAutospacing="0" w:after="220" w:afterAutospacing="0"/>
        <w:ind w:firstLine="425"/>
        <w:jc w:val="both"/>
        <w:rPr>
          <w:rFonts w:ascii="Arial" w:hAnsi="Arial" w:cs="Arial"/>
          <w:sz w:val="22"/>
          <w:szCs w:val="22"/>
        </w:rPr>
      </w:pPr>
      <w:r w:rsidRPr="00B80537">
        <w:rPr>
          <w:rStyle w:val="Lodia"/>
          <w:rFonts w:ascii="Arial" w:hAnsi="Arial"/>
          <w:b w:val="0"/>
          <w:sz w:val="22"/>
          <w:szCs w:val="22"/>
        </w:rPr>
        <w:t>Hogeita hamabigarrena.– Kendu egiten da</w:t>
      </w:r>
      <w:r w:rsidRPr="00B80537">
        <w:rPr>
          <w:rFonts w:ascii="Arial" w:hAnsi="Arial"/>
          <w:sz w:val="22"/>
          <w:szCs w:val="22"/>
        </w:rPr>
        <w:t xml:space="preserve"> prozedurak eta zerbitzuak egokitzeari buruzko bigarren xedapen gehigarria.</w:t>
      </w:r>
    </w:p>
    <w:p w:rsidR="00937AA3" w:rsidRPr="00B80537" w:rsidRDefault="00937AA3" w:rsidP="00C45540">
      <w:pPr>
        <w:pStyle w:val="5izenburua"/>
        <w:spacing w:before="0" w:after="220" w:line="240" w:lineRule="auto"/>
        <w:ind w:firstLine="425"/>
        <w:jc w:val="both"/>
        <w:rPr>
          <w:rFonts w:ascii="Arial" w:hAnsi="Arial" w:cs="Arial"/>
          <w:color w:val="auto"/>
        </w:rPr>
      </w:pPr>
      <w:r w:rsidRPr="00B80537">
        <w:rPr>
          <w:rStyle w:val="Lodia"/>
          <w:rFonts w:ascii="Arial" w:hAnsi="Arial"/>
          <w:b w:val="0"/>
          <w:color w:val="auto"/>
        </w:rPr>
        <w:lastRenderedPageBreak/>
        <w:t>Azken xedapena.–</w:t>
      </w:r>
      <w:r w:rsidRPr="00B80537">
        <w:rPr>
          <w:rFonts w:ascii="Arial" w:hAnsi="Arial"/>
          <w:color w:val="auto"/>
        </w:rPr>
        <w:t xml:space="preserve">  Indarrean jartzea.</w:t>
      </w:r>
    </w:p>
    <w:p w:rsidR="00937AA3" w:rsidRPr="00B80537" w:rsidRDefault="00937AA3" w:rsidP="00C45540">
      <w:pPr>
        <w:pStyle w:val="parrafo"/>
        <w:spacing w:before="0" w:beforeAutospacing="0" w:after="220" w:afterAutospacing="0"/>
        <w:ind w:firstLine="425"/>
        <w:jc w:val="both"/>
        <w:rPr>
          <w:rFonts w:ascii="Arial" w:hAnsi="Arial" w:cs="Arial"/>
          <w:sz w:val="22"/>
          <w:szCs w:val="22"/>
        </w:rPr>
      </w:pPr>
      <w:r w:rsidRPr="00B80537">
        <w:rPr>
          <w:rFonts w:ascii="Arial" w:hAnsi="Arial"/>
          <w:sz w:val="22"/>
          <w:szCs w:val="22"/>
        </w:rPr>
        <w:t>Euskal Herriko Agintaritzaren Aldizkarian argitaratu eta hurrengo egunean jarriko da indarrean dekretu hau.</w:t>
      </w:r>
    </w:p>
    <w:bookmarkEnd w:id="1"/>
    <w:bookmarkEnd w:id="2"/>
    <w:p w:rsidR="00937AA3" w:rsidRPr="00B80537" w:rsidRDefault="00937AA3" w:rsidP="00C45540">
      <w:pPr>
        <w:spacing w:after="220" w:line="240" w:lineRule="auto"/>
        <w:ind w:firstLine="425"/>
        <w:jc w:val="center"/>
        <w:rPr>
          <w:rFonts w:ascii="Arial" w:hAnsi="Arial" w:cs="Arial"/>
        </w:rPr>
      </w:pPr>
      <w:r w:rsidRPr="00B80537">
        <w:rPr>
          <w:rFonts w:ascii="Arial" w:hAnsi="Arial"/>
        </w:rPr>
        <w:t>Vitoria-Gasteizen, 2019ko ...aren ...(e)(a)n.</w:t>
      </w:r>
    </w:p>
    <w:p w:rsidR="00937AA3" w:rsidRPr="00B80537" w:rsidRDefault="00937AA3" w:rsidP="00AD2FBC">
      <w:pPr>
        <w:tabs>
          <w:tab w:val="left" w:pos="5954"/>
        </w:tabs>
        <w:spacing w:after="220" w:line="240" w:lineRule="auto"/>
        <w:ind w:firstLine="425"/>
        <w:jc w:val="both"/>
        <w:rPr>
          <w:rFonts w:ascii="Arial" w:hAnsi="Arial" w:cs="Arial"/>
        </w:rPr>
      </w:pPr>
      <w:r w:rsidRPr="00B80537">
        <w:rPr>
          <w:rFonts w:ascii="Arial" w:hAnsi="Arial"/>
        </w:rPr>
        <w:t>Gobernantza Publiko eta Autogobernuko sailburua,</w:t>
      </w:r>
      <w:r w:rsidRPr="00B80537">
        <w:rPr>
          <w:rFonts w:ascii="Arial" w:hAnsi="Arial"/>
        </w:rPr>
        <w:tab/>
        <w:t>Lehendakaria,</w:t>
      </w:r>
    </w:p>
    <w:p w:rsidR="00D90C7C" w:rsidRPr="00B80537" w:rsidRDefault="00937AA3" w:rsidP="00AD2FBC">
      <w:pPr>
        <w:tabs>
          <w:tab w:val="left" w:pos="5954"/>
        </w:tabs>
        <w:spacing w:after="220" w:line="240" w:lineRule="auto"/>
        <w:ind w:firstLine="425"/>
        <w:jc w:val="both"/>
        <w:rPr>
          <w:rFonts w:ascii="Arial" w:hAnsi="Arial" w:cs="Arial"/>
        </w:rPr>
      </w:pPr>
      <w:r w:rsidRPr="00B80537">
        <w:rPr>
          <w:rFonts w:ascii="Arial" w:hAnsi="Arial"/>
        </w:rPr>
        <w:t>JOSU IÑAKI ERKOREKA GERVASIO</w:t>
      </w:r>
      <w:r w:rsidRPr="00B80537">
        <w:rPr>
          <w:rFonts w:ascii="Arial" w:hAnsi="Arial"/>
        </w:rPr>
        <w:tab/>
        <w:t>IÑIGO URKULLU RENTERIA</w:t>
      </w:r>
    </w:p>
    <w:sectPr w:rsidR="00D90C7C" w:rsidRPr="00B80537" w:rsidSect="00CF24E1">
      <w:footerReference w:type="default" r:id="rId10"/>
      <w:pgSz w:w="11907" w:h="16840"/>
      <w:pgMar w:top="1418" w:right="1418" w:bottom="1418"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E4" w:rsidRDefault="005676E4">
      <w:r>
        <w:separator/>
      </w:r>
    </w:p>
  </w:endnote>
  <w:endnote w:type="continuationSeparator" w:id="0">
    <w:p w:rsidR="005676E4" w:rsidRDefault="0056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61" w:rsidRPr="00147DA6" w:rsidRDefault="00A43661">
    <w:pPr>
      <w:pStyle w:val="Orri-o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E4" w:rsidRDefault="005676E4">
      <w:r>
        <w:separator/>
      </w:r>
    </w:p>
  </w:footnote>
  <w:footnote w:type="continuationSeparator" w:id="0">
    <w:p w:rsidR="005676E4" w:rsidRDefault="0056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0C44"/>
    <w:multiLevelType w:val="hybridMultilevel"/>
    <w:tmpl w:val="93885B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143968"/>
    <w:multiLevelType w:val="hybridMultilevel"/>
    <w:tmpl w:val="F9388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376913"/>
    <w:multiLevelType w:val="hybridMultilevel"/>
    <w:tmpl w:val="A1C6B6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0350C6"/>
    <w:multiLevelType w:val="hybridMultilevel"/>
    <w:tmpl w:val="176E53FA"/>
    <w:lvl w:ilvl="0" w:tplc="EC984530">
      <w:start w:val="1"/>
      <w:numFmt w:val="decimal"/>
      <w:pStyle w:val="1izenburu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BE6A3A"/>
    <w:multiLevelType w:val="multilevel"/>
    <w:tmpl w:val="09D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3"/>
    <w:rsid w:val="00000C99"/>
    <w:rsid w:val="0000757B"/>
    <w:rsid w:val="0002523A"/>
    <w:rsid w:val="000325AF"/>
    <w:rsid w:val="000413AE"/>
    <w:rsid w:val="00041B77"/>
    <w:rsid w:val="000552EB"/>
    <w:rsid w:val="00062D8D"/>
    <w:rsid w:val="00067141"/>
    <w:rsid w:val="00070393"/>
    <w:rsid w:val="00074852"/>
    <w:rsid w:val="00095494"/>
    <w:rsid w:val="00096A3F"/>
    <w:rsid w:val="000A1E61"/>
    <w:rsid w:val="000A4FD4"/>
    <w:rsid w:val="000B3BDA"/>
    <w:rsid w:val="000C22E7"/>
    <w:rsid w:val="000C3F5F"/>
    <w:rsid w:val="000C5568"/>
    <w:rsid w:val="000D09F9"/>
    <w:rsid w:val="000D3048"/>
    <w:rsid w:val="000D40D8"/>
    <w:rsid w:val="000E6279"/>
    <w:rsid w:val="000F0EEE"/>
    <w:rsid w:val="000F38A8"/>
    <w:rsid w:val="000F54EE"/>
    <w:rsid w:val="00113244"/>
    <w:rsid w:val="001358C5"/>
    <w:rsid w:val="00147DA6"/>
    <w:rsid w:val="00151C4F"/>
    <w:rsid w:val="00160245"/>
    <w:rsid w:val="00164067"/>
    <w:rsid w:val="00187C30"/>
    <w:rsid w:val="0019255C"/>
    <w:rsid w:val="001A291E"/>
    <w:rsid w:val="001B063B"/>
    <w:rsid w:val="001C2A0A"/>
    <w:rsid w:val="001D212D"/>
    <w:rsid w:val="001D4C54"/>
    <w:rsid w:val="001E3A06"/>
    <w:rsid w:val="001F7411"/>
    <w:rsid w:val="00204237"/>
    <w:rsid w:val="00204343"/>
    <w:rsid w:val="00213BE0"/>
    <w:rsid w:val="00220D83"/>
    <w:rsid w:val="00222A49"/>
    <w:rsid w:val="0022606F"/>
    <w:rsid w:val="0023107A"/>
    <w:rsid w:val="002348FE"/>
    <w:rsid w:val="00237021"/>
    <w:rsid w:val="002379E8"/>
    <w:rsid w:val="00241E9F"/>
    <w:rsid w:val="002513AB"/>
    <w:rsid w:val="002606BE"/>
    <w:rsid w:val="00264ED6"/>
    <w:rsid w:val="002670F5"/>
    <w:rsid w:val="00272A52"/>
    <w:rsid w:val="00283E57"/>
    <w:rsid w:val="00290CEB"/>
    <w:rsid w:val="002920EF"/>
    <w:rsid w:val="002A016A"/>
    <w:rsid w:val="002A32AA"/>
    <w:rsid w:val="002B4819"/>
    <w:rsid w:val="002C2774"/>
    <w:rsid w:val="002D36FC"/>
    <w:rsid w:val="002F77CE"/>
    <w:rsid w:val="0030279D"/>
    <w:rsid w:val="0030541C"/>
    <w:rsid w:val="00306161"/>
    <w:rsid w:val="00316871"/>
    <w:rsid w:val="00333C2D"/>
    <w:rsid w:val="00337D01"/>
    <w:rsid w:val="00341200"/>
    <w:rsid w:val="00350531"/>
    <w:rsid w:val="00360A72"/>
    <w:rsid w:val="00381430"/>
    <w:rsid w:val="003943F3"/>
    <w:rsid w:val="003A4038"/>
    <w:rsid w:val="003A432E"/>
    <w:rsid w:val="003B775D"/>
    <w:rsid w:val="003C4854"/>
    <w:rsid w:val="003D1379"/>
    <w:rsid w:val="003D5C5C"/>
    <w:rsid w:val="003D715F"/>
    <w:rsid w:val="003E417C"/>
    <w:rsid w:val="00400669"/>
    <w:rsid w:val="00404E26"/>
    <w:rsid w:val="00422BD6"/>
    <w:rsid w:val="00435063"/>
    <w:rsid w:val="004407AA"/>
    <w:rsid w:val="00441E1F"/>
    <w:rsid w:val="0044399E"/>
    <w:rsid w:val="00454942"/>
    <w:rsid w:val="004578C0"/>
    <w:rsid w:val="0046314B"/>
    <w:rsid w:val="00463299"/>
    <w:rsid w:val="00466675"/>
    <w:rsid w:val="00495554"/>
    <w:rsid w:val="00496E36"/>
    <w:rsid w:val="004A769F"/>
    <w:rsid w:val="004B0218"/>
    <w:rsid w:val="004B32C6"/>
    <w:rsid w:val="004B63BA"/>
    <w:rsid w:val="004C1457"/>
    <w:rsid w:val="004C4517"/>
    <w:rsid w:val="004C553E"/>
    <w:rsid w:val="004D2136"/>
    <w:rsid w:val="00501588"/>
    <w:rsid w:val="00503A99"/>
    <w:rsid w:val="005054C3"/>
    <w:rsid w:val="005069D6"/>
    <w:rsid w:val="00510733"/>
    <w:rsid w:val="00526007"/>
    <w:rsid w:val="005353C8"/>
    <w:rsid w:val="0055231B"/>
    <w:rsid w:val="005676E4"/>
    <w:rsid w:val="00581EB3"/>
    <w:rsid w:val="00583C57"/>
    <w:rsid w:val="005841E7"/>
    <w:rsid w:val="00586D7F"/>
    <w:rsid w:val="0059324A"/>
    <w:rsid w:val="00596793"/>
    <w:rsid w:val="005A3642"/>
    <w:rsid w:val="005D5B70"/>
    <w:rsid w:val="005D711C"/>
    <w:rsid w:val="005F2E45"/>
    <w:rsid w:val="0060082E"/>
    <w:rsid w:val="00602127"/>
    <w:rsid w:val="006147E0"/>
    <w:rsid w:val="006149EB"/>
    <w:rsid w:val="00617D81"/>
    <w:rsid w:val="006225DD"/>
    <w:rsid w:val="00634C43"/>
    <w:rsid w:val="00642E7E"/>
    <w:rsid w:val="00644B0A"/>
    <w:rsid w:val="00654FB5"/>
    <w:rsid w:val="0066017B"/>
    <w:rsid w:val="006603CD"/>
    <w:rsid w:val="00670178"/>
    <w:rsid w:val="00687D48"/>
    <w:rsid w:val="00695D44"/>
    <w:rsid w:val="006A0F53"/>
    <w:rsid w:val="006A615A"/>
    <w:rsid w:val="006A68B0"/>
    <w:rsid w:val="006B2B63"/>
    <w:rsid w:val="006B6D73"/>
    <w:rsid w:val="006C30BA"/>
    <w:rsid w:val="00710B44"/>
    <w:rsid w:val="0072532F"/>
    <w:rsid w:val="007362A1"/>
    <w:rsid w:val="0075496E"/>
    <w:rsid w:val="00765AAE"/>
    <w:rsid w:val="00770B5D"/>
    <w:rsid w:val="00776695"/>
    <w:rsid w:val="00783FF5"/>
    <w:rsid w:val="00795179"/>
    <w:rsid w:val="007A1765"/>
    <w:rsid w:val="007A19F7"/>
    <w:rsid w:val="007A488D"/>
    <w:rsid w:val="007B1DF3"/>
    <w:rsid w:val="007B5FB9"/>
    <w:rsid w:val="007C090B"/>
    <w:rsid w:val="007C3C04"/>
    <w:rsid w:val="007C7A1D"/>
    <w:rsid w:val="007E1BEF"/>
    <w:rsid w:val="007E2DDD"/>
    <w:rsid w:val="007F1B47"/>
    <w:rsid w:val="00801EAD"/>
    <w:rsid w:val="00816DC1"/>
    <w:rsid w:val="0082162B"/>
    <w:rsid w:val="00822DFA"/>
    <w:rsid w:val="00827D81"/>
    <w:rsid w:val="0083063A"/>
    <w:rsid w:val="00830DD5"/>
    <w:rsid w:val="00831179"/>
    <w:rsid w:val="00836922"/>
    <w:rsid w:val="008372C9"/>
    <w:rsid w:val="0084036B"/>
    <w:rsid w:val="00841729"/>
    <w:rsid w:val="0085037F"/>
    <w:rsid w:val="00850CD6"/>
    <w:rsid w:val="00851AAA"/>
    <w:rsid w:val="008544C0"/>
    <w:rsid w:val="00855434"/>
    <w:rsid w:val="00857E0C"/>
    <w:rsid w:val="00867BFF"/>
    <w:rsid w:val="008707A1"/>
    <w:rsid w:val="0087319D"/>
    <w:rsid w:val="008736DE"/>
    <w:rsid w:val="00886EB9"/>
    <w:rsid w:val="008A4904"/>
    <w:rsid w:val="008C53CC"/>
    <w:rsid w:val="008D066E"/>
    <w:rsid w:val="008D1B88"/>
    <w:rsid w:val="008E4E75"/>
    <w:rsid w:val="008F4808"/>
    <w:rsid w:val="009005E0"/>
    <w:rsid w:val="009026F4"/>
    <w:rsid w:val="009027E1"/>
    <w:rsid w:val="00904D04"/>
    <w:rsid w:val="009250E9"/>
    <w:rsid w:val="00926FD2"/>
    <w:rsid w:val="0093534F"/>
    <w:rsid w:val="00937AA3"/>
    <w:rsid w:val="00945A38"/>
    <w:rsid w:val="00956A7F"/>
    <w:rsid w:val="00961A45"/>
    <w:rsid w:val="009770E0"/>
    <w:rsid w:val="00990EB6"/>
    <w:rsid w:val="009970D8"/>
    <w:rsid w:val="0099739F"/>
    <w:rsid w:val="009A4E15"/>
    <w:rsid w:val="009B4D71"/>
    <w:rsid w:val="009C43A0"/>
    <w:rsid w:val="009D17E8"/>
    <w:rsid w:val="009D2481"/>
    <w:rsid w:val="009D2935"/>
    <w:rsid w:val="009D6930"/>
    <w:rsid w:val="00A042F6"/>
    <w:rsid w:val="00A078E8"/>
    <w:rsid w:val="00A25234"/>
    <w:rsid w:val="00A43661"/>
    <w:rsid w:val="00A53C2E"/>
    <w:rsid w:val="00A600FE"/>
    <w:rsid w:val="00A63EE7"/>
    <w:rsid w:val="00A66F56"/>
    <w:rsid w:val="00A93F71"/>
    <w:rsid w:val="00A97033"/>
    <w:rsid w:val="00AA085F"/>
    <w:rsid w:val="00AA23F6"/>
    <w:rsid w:val="00AA5AEE"/>
    <w:rsid w:val="00AA7EC9"/>
    <w:rsid w:val="00AB448B"/>
    <w:rsid w:val="00AB5429"/>
    <w:rsid w:val="00AC2E57"/>
    <w:rsid w:val="00AC3C33"/>
    <w:rsid w:val="00AC4603"/>
    <w:rsid w:val="00AD2FBC"/>
    <w:rsid w:val="00AE21FD"/>
    <w:rsid w:val="00AE249A"/>
    <w:rsid w:val="00AE299F"/>
    <w:rsid w:val="00AE587C"/>
    <w:rsid w:val="00B048A2"/>
    <w:rsid w:val="00B110F1"/>
    <w:rsid w:val="00B126A0"/>
    <w:rsid w:val="00B201F3"/>
    <w:rsid w:val="00B24219"/>
    <w:rsid w:val="00B36B8C"/>
    <w:rsid w:val="00B46D93"/>
    <w:rsid w:val="00B46E43"/>
    <w:rsid w:val="00B510CE"/>
    <w:rsid w:val="00B57F3E"/>
    <w:rsid w:val="00B73267"/>
    <w:rsid w:val="00B80537"/>
    <w:rsid w:val="00B91B27"/>
    <w:rsid w:val="00B95328"/>
    <w:rsid w:val="00BB11A0"/>
    <w:rsid w:val="00BB5D81"/>
    <w:rsid w:val="00BD0B39"/>
    <w:rsid w:val="00BF4991"/>
    <w:rsid w:val="00BF6A98"/>
    <w:rsid w:val="00C0009C"/>
    <w:rsid w:val="00C03B74"/>
    <w:rsid w:val="00C03E91"/>
    <w:rsid w:val="00C04F8C"/>
    <w:rsid w:val="00C104A4"/>
    <w:rsid w:val="00C13438"/>
    <w:rsid w:val="00C14E28"/>
    <w:rsid w:val="00C177D6"/>
    <w:rsid w:val="00C272E4"/>
    <w:rsid w:val="00C45540"/>
    <w:rsid w:val="00C46AFB"/>
    <w:rsid w:val="00C47430"/>
    <w:rsid w:val="00C74D0D"/>
    <w:rsid w:val="00C81186"/>
    <w:rsid w:val="00C95AFB"/>
    <w:rsid w:val="00CA440E"/>
    <w:rsid w:val="00CB49A3"/>
    <w:rsid w:val="00CB71C2"/>
    <w:rsid w:val="00CC68EA"/>
    <w:rsid w:val="00CD0D26"/>
    <w:rsid w:val="00CE10DA"/>
    <w:rsid w:val="00CF1C75"/>
    <w:rsid w:val="00CF24E1"/>
    <w:rsid w:val="00D01F28"/>
    <w:rsid w:val="00D103F2"/>
    <w:rsid w:val="00D1246B"/>
    <w:rsid w:val="00D131BE"/>
    <w:rsid w:val="00D21E86"/>
    <w:rsid w:val="00D44243"/>
    <w:rsid w:val="00D46F87"/>
    <w:rsid w:val="00D47C85"/>
    <w:rsid w:val="00D55210"/>
    <w:rsid w:val="00D55B59"/>
    <w:rsid w:val="00D775DE"/>
    <w:rsid w:val="00D90C7C"/>
    <w:rsid w:val="00DB062E"/>
    <w:rsid w:val="00DB1799"/>
    <w:rsid w:val="00DB5DA5"/>
    <w:rsid w:val="00DC0E61"/>
    <w:rsid w:val="00DC50F7"/>
    <w:rsid w:val="00DC5779"/>
    <w:rsid w:val="00DD70D9"/>
    <w:rsid w:val="00DD78C9"/>
    <w:rsid w:val="00DE6F92"/>
    <w:rsid w:val="00DF1F10"/>
    <w:rsid w:val="00DF2D86"/>
    <w:rsid w:val="00DF3C0C"/>
    <w:rsid w:val="00DF74A3"/>
    <w:rsid w:val="00E050DF"/>
    <w:rsid w:val="00E13019"/>
    <w:rsid w:val="00E315B6"/>
    <w:rsid w:val="00E4246A"/>
    <w:rsid w:val="00E455F2"/>
    <w:rsid w:val="00E55CB6"/>
    <w:rsid w:val="00E679FC"/>
    <w:rsid w:val="00E7191A"/>
    <w:rsid w:val="00E84445"/>
    <w:rsid w:val="00E90849"/>
    <w:rsid w:val="00E97A18"/>
    <w:rsid w:val="00EA2C98"/>
    <w:rsid w:val="00EA68F2"/>
    <w:rsid w:val="00EC008D"/>
    <w:rsid w:val="00EC09F5"/>
    <w:rsid w:val="00EC6E63"/>
    <w:rsid w:val="00ED072A"/>
    <w:rsid w:val="00ED7BCF"/>
    <w:rsid w:val="00EE7131"/>
    <w:rsid w:val="00EF1D6C"/>
    <w:rsid w:val="00F3005F"/>
    <w:rsid w:val="00F337FF"/>
    <w:rsid w:val="00F3730D"/>
    <w:rsid w:val="00F4450B"/>
    <w:rsid w:val="00F463A7"/>
    <w:rsid w:val="00F62478"/>
    <w:rsid w:val="00F77AA6"/>
    <w:rsid w:val="00F81BF2"/>
    <w:rsid w:val="00F92B20"/>
    <w:rsid w:val="00F941C3"/>
    <w:rsid w:val="00FA2BD6"/>
    <w:rsid w:val="00FA79BB"/>
    <w:rsid w:val="00FB3ECD"/>
    <w:rsid w:val="00FD0F0C"/>
    <w:rsid w:val="00FE2310"/>
    <w:rsid w:val="00FE6ED0"/>
    <w:rsid w:val="00FF672B"/>
    <w:rsid w:val="00FF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0FCD6C-B848-47C8-B752-E8213DC8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937AA3"/>
    <w:pPr>
      <w:spacing w:after="200" w:line="276" w:lineRule="auto"/>
    </w:pPr>
    <w:rPr>
      <w:rFonts w:asciiTheme="minorHAnsi" w:eastAsiaTheme="minorHAnsi" w:hAnsiTheme="minorHAnsi" w:cstheme="minorBidi"/>
      <w:sz w:val="22"/>
      <w:szCs w:val="22"/>
      <w:lang w:eastAsia="en-US"/>
    </w:rPr>
  </w:style>
  <w:style w:type="paragraph" w:styleId="1izenburua">
    <w:name w:val="heading 1"/>
    <w:basedOn w:val="Normala"/>
    <w:next w:val="Normala"/>
    <w:qFormat/>
    <w:rsid w:val="002C2774"/>
    <w:pPr>
      <w:numPr>
        <w:numId w:val="1"/>
      </w:numPr>
      <w:spacing w:before="240"/>
      <w:outlineLvl w:val="0"/>
    </w:pPr>
    <w:rPr>
      <w:b/>
      <w:color w:val="4F81BD" w:themeColor="accent1"/>
      <w:sz w:val="36"/>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paragraph" w:styleId="5izenburua">
    <w:name w:val="heading 5"/>
    <w:basedOn w:val="Normala"/>
    <w:next w:val="Normala"/>
    <w:link w:val="5izenburuaKar"/>
    <w:uiPriority w:val="9"/>
    <w:unhideWhenUsed/>
    <w:qFormat/>
    <w:rsid w:val="00937A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spacing w:line="240" w:lineRule="auto"/>
    </w:pPr>
  </w:style>
  <w:style w:type="paragraph" w:styleId="Goiburua">
    <w:name w:val="header"/>
    <w:basedOn w:val="Normala"/>
    <w:pPr>
      <w:tabs>
        <w:tab w:val="center" w:pos="4819"/>
        <w:tab w:val="right" w:pos="9071"/>
      </w:tabs>
      <w:spacing w:line="240" w:lineRule="auto"/>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Bunbuiloarentestua">
    <w:name w:val="Balloon Text"/>
    <w:basedOn w:val="Normala"/>
    <w:semiHidden/>
    <w:rsid w:val="00463299"/>
    <w:rPr>
      <w:rFonts w:ascii="Tahoma" w:hAnsi="Tahoma" w:cs="Tahoma"/>
      <w:sz w:val="16"/>
      <w:szCs w:val="16"/>
    </w:rPr>
  </w:style>
  <w:style w:type="table" w:styleId="Saretaduntaula">
    <w:name w:val="Table Grid"/>
    <w:basedOn w:val="Taulanormala"/>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A1">
    <w:name w:val="toc 1"/>
    <w:basedOn w:val="Normala"/>
    <w:next w:val="Normala"/>
    <w:autoRedefine/>
    <w:uiPriority w:val="39"/>
    <w:rsid w:val="002C2774"/>
    <w:pPr>
      <w:spacing w:after="100"/>
      <w:ind w:left="1843" w:hanging="709"/>
    </w:pPr>
    <w:rPr>
      <w:rFonts w:ascii="Calibri" w:hAnsi="Calibri"/>
    </w:rPr>
  </w:style>
  <w:style w:type="character" w:customStyle="1" w:styleId="5izenburuaKar">
    <w:name w:val="5. izenburua Kar"/>
    <w:basedOn w:val="Paragrafoarenletra-tipolehenetsia"/>
    <w:link w:val="5izenburua"/>
    <w:uiPriority w:val="9"/>
    <w:rsid w:val="00937AA3"/>
    <w:rPr>
      <w:rFonts w:asciiTheme="majorHAnsi" w:eastAsiaTheme="majorEastAsia" w:hAnsiTheme="majorHAnsi" w:cstheme="majorBidi"/>
      <w:color w:val="243F60" w:themeColor="accent1" w:themeShade="7F"/>
      <w:sz w:val="22"/>
      <w:szCs w:val="22"/>
      <w:lang w:val="eu-ES" w:eastAsia="en-US"/>
    </w:rPr>
  </w:style>
  <w:style w:type="character" w:styleId="Enfasia">
    <w:name w:val="Emphasis"/>
    <w:basedOn w:val="Paragrafoarenletra-tipolehenetsia"/>
    <w:uiPriority w:val="20"/>
    <w:qFormat/>
    <w:rsid w:val="00937AA3"/>
    <w:rPr>
      <w:i/>
      <w:iCs/>
    </w:rPr>
  </w:style>
  <w:style w:type="paragraph" w:styleId="Normalaweb">
    <w:name w:val="Normal (Web)"/>
    <w:basedOn w:val="Normala"/>
    <w:uiPriority w:val="99"/>
    <w:unhideWhenUsed/>
    <w:rsid w:val="00937AA3"/>
    <w:pPr>
      <w:spacing w:before="100" w:beforeAutospacing="1" w:after="100" w:afterAutospacing="1" w:line="240" w:lineRule="auto"/>
    </w:pPr>
    <w:rPr>
      <w:rFonts w:ascii="Times New Roman" w:eastAsia="Times New Roman" w:hAnsi="Times New Roman" w:cs="Times New Roman"/>
      <w:sz w:val="24"/>
      <w:szCs w:val="24"/>
      <w:lang w:eastAsia="eu-ES"/>
    </w:rPr>
  </w:style>
  <w:style w:type="paragraph" w:customStyle="1" w:styleId="a">
    <w:name w:val="a"/>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styleId="Hiperesteka">
    <w:name w:val="Hyperlink"/>
    <w:basedOn w:val="Paragrafoarenletra-tipolehenetsia"/>
    <w:uiPriority w:val="99"/>
    <w:unhideWhenUsed/>
    <w:rsid w:val="00937AA3"/>
    <w:rPr>
      <w:color w:val="0000FF" w:themeColor="hyperlink"/>
      <w:u w:val="single"/>
    </w:rPr>
  </w:style>
  <w:style w:type="paragraph" w:styleId="Zerrenda-paragrafoa">
    <w:name w:val="List Paragraph"/>
    <w:basedOn w:val="Normala"/>
    <w:uiPriority w:val="34"/>
    <w:qFormat/>
    <w:rsid w:val="00937AA3"/>
    <w:pPr>
      <w:ind w:left="720"/>
      <w:contextualSpacing/>
    </w:pPr>
    <w:rPr>
      <w:rFonts w:ascii="Calibri" w:eastAsia="Times New Roman" w:hAnsi="Calibri" w:cs="Times New Roman"/>
    </w:rPr>
  </w:style>
  <w:style w:type="character" w:styleId="Lodia">
    <w:name w:val="Strong"/>
    <w:basedOn w:val="Paragrafoarenletra-tipolehenetsia"/>
    <w:uiPriority w:val="22"/>
    <w:qFormat/>
    <w:rsid w:val="00937AA3"/>
    <w:rPr>
      <w:b/>
      <w:bCs/>
    </w:rPr>
  </w:style>
  <w:style w:type="paragraph" w:customStyle="1" w:styleId="parrafo">
    <w:name w:val="parrafo"/>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scoswrapper">
    <w:name w:val="hs_cos_wrapper"/>
    <w:basedOn w:val="Paragrafoarenletra-tipolehenetsia"/>
    <w:rsid w:val="00937AA3"/>
  </w:style>
  <w:style w:type="paragraph" w:customStyle="1" w:styleId="articulo">
    <w:name w:val="articulo"/>
    <w:basedOn w:val="Normala"/>
    <w:rsid w:val="00937AA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num">
    <w:name w:val="titulo_num"/>
    <w:basedOn w:val="Normala"/>
    <w:rsid w:val="002F77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a"/>
    <w:rsid w:val="002F77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353C8"/>
    <w:pPr>
      <w:autoSpaceDE w:val="0"/>
      <w:autoSpaceDN w:val="0"/>
      <w:adjustRightInd w:val="0"/>
    </w:pPr>
    <w:rPr>
      <w:rFonts w:ascii="Arial" w:hAnsi="Arial" w:cs="Arial"/>
      <w:color w:val="000000"/>
      <w:sz w:val="24"/>
      <w:szCs w:val="24"/>
    </w:rPr>
  </w:style>
  <w:style w:type="character" w:customStyle="1" w:styleId="Orri-oinaKar">
    <w:name w:val="Orri-oina Kar"/>
    <w:basedOn w:val="Paragrafoarenletra-tipolehenetsia"/>
    <w:link w:val="Orri-oina"/>
    <w:uiPriority w:val="99"/>
    <w:rsid w:val="00A43661"/>
    <w:rPr>
      <w:rFonts w:asciiTheme="minorHAnsi" w:eastAsiaTheme="minorHAnsi" w:hAnsiTheme="minorHAnsi" w:cstheme="minorBidi"/>
      <w:sz w:val="22"/>
      <w:szCs w:val="22"/>
      <w:lang w:eastAsia="en-US"/>
    </w:rPr>
  </w:style>
  <w:style w:type="character" w:customStyle="1" w:styleId="x42theaderid">
    <w:name w:val="x42theaderid"/>
    <w:basedOn w:val="Paragrafoarenletra-tipolehenetsia"/>
    <w:rsid w:val="00B126A0"/>
  </w:style>
  <w:style w:type="character" w:styleId="BisitatutakoHiperesteka">
    <w:name w:val="FollowedHyperlink"/>
    <w:basedOn w:val="Paragrafoarenletra-tipolehenetsia"/>
    <w:semiHidden/>
    <w:unhideWhenUsed/>
    <w:rsid w:val="00581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5456">
      <w:bodyDiv w:val="1"/>
      <w:marLeft w:val="0"/>
      <w:marRight w:val="0"/>
      <w:marTop w:val="0"/>
      <w:marBottom w:val="0"/>
      <w:divBdr>
        <w:top w:val="none" w:sz="0" w:space="0" w:color="auto"/>
        <w:left w:val="none" w:sz="0" w:space="0" w:color="auto"/>
        <w:bottom w:val="none" w:sz="0" w:space="0" w:color="auto"/>
        <w:right w:val="none" w:sz="0" w:space="0" w:color="auto"/>
      </w:divBdr>
    </w:div>
    <w:div w:id="677659358">
      <w:bodyDiv w:val="1"/>
      <w:marLeft w:val="0"/>
      <w:marRight w:val="0"/>
      <w:marTop w:val="0"/>
      <w:marBottom w:val="0"/>
      <w:divBdr>
        <w:top w:val="none" w:sz="0" w:space="0" w:color="auto"/>
        <w:left w:val="none" w:sz="0" w:space="0" w:color="auto"/>
        <w:bottom w:val="none" w:sz="0" w:space="0" w:color="auto"/>
        <w:right w:val="none" w:sz="0" w:space="0" w:color="auto"/>
      </w:divBdr>
      <w:divsChild>
        <w:div w:id="1068841108">
          <w:marLeft w:val="0"/>
          <w:marRight w:val="0"/>
          <w:marTop w:val="0"/>
          <w:marBottom w:val="0"/>
          <w:divBdr>
            <w:top w:val="none" w:sz="0" w:space="0" w:color="auto"/>
            <w:left w:val="none" w:sz="0" w:space="0" w:color="auto"/>
            <w:bottom w:val="none" w:sz="0" w:space="0" w:color="auto"/>
            <w:right w:val="none" w:sz="0" w:space="0" w:color="auto"/>
          </w:divBdr>
          <w:divsChild>
            <w:div w:id="1984038932">
              <w:marLeft w:val="0"/>
              <w:marRight w:val="0"/>
              <w:marTop w:val="0"/>
              <w:marBottom w:val="0"/>
              <w:divBdr>
                <w:top w:val="none" w:sz="0" w:space="0" w:color="auto"/>
                <w:left w:val="none" w:sz="0" w:space="0" w:color="auto"/>
                <w:bottom w:val="none" w:sz="0" w:space="0" w:color="auto"/>
                <w:right w:val="none" w:sz="0" w:space="0" w:color="auto"/>
              </w:divBdr>
            </w:div>
            <w:div w:id="3687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313219667">
      <w:bodyDiv w:val="1"/>
      <w:marLeft w:val="0"/>
      <w:marRight w:val="0"/>
      <w:marTop w:val="0"/>
      <w:marBottom w:val="0"/>
      <w:divBdr>
        <w:top w:val="none" w:sz="0" w:space="0" w:color="auto"/>
        <w:left w:val="none" w:sz="0" w:space="0" w:color="auto"/>
        <w:bottom w:val="none" w:sz="0" w:space="0" w:color="auto"/>
        <w:right w:val="none" w:sz="0" w:space="0" w:color="auto"/>
      </w:divBdr>
    </w:div>
    <w:div w:id="1340081039">
      <w:bodyDiv w:val="1"/>
      <w:marLeft w:val="0"/>
      <w:marRight w:val="0"/>
      <w:marTop w:val="0"/>
      <w:marBottom w:val="0"/>
      <w:divBdr>
        <w:top w:val="none" w:sz="0" w:space="0" w:color="auto"/>
        <w:left w:val="none" w:sz="0" w:space="0" w:color="auto"/>
        <w:bottom w:val="none" w:sz="0" w:space="0" w:color="auto"/>
        <w:right w:val="none" w:sz="0" w:space="0" w:color="auto"/>
      </w:divBdr>
    </w:div>
    <w:div w:id="1738629373">
      <w:bodyDiv w:val="1"/>
      <w:marLeft w:val="0"/>
      <w:marRight w:val="0"/>
      <w:marTop w:val="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 w:id="1847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gnaturit.com/es/legalidad-validez-juridica-de-la-firma-electron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skadi.eus/egoitza-elektroniko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elorrla\AppData\Roaming\Microsoft\Plantillas\DACI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691A-8B7E-48D7-983C-414CE697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DACIMA.dotx</Template>
  <TotalTime>1</TotalTime>
  <Pages>10</Pages>
  <Words>4653</Words>
  <Characters>26523</Characters>
  <Application>Microsoft Office Word</Application>
  <DocSecurity>0</DocSecurity>
  <Lines>221</Lines>
  <Paragraphs>62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MEMORIA EXPLICATIVA</vt:lpstr>
      <vt:lpstr>MEMORIA EXPLICATIVA</vt:lpstr>
    </vt:vector>
  </TitlesOfParts>
  <Company>EJIE</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dc:title>
  <dc:creator>Ortíz Sánchez, Iñaki</dc:creator>
  <cp:lastModifiedBy>Ortíz Sánchez, Iñaki</cp:lastModifiedBy>
  <cp:revision>2</cp:revision>
  <cp:lastPrinted>2019-02-11T13:17:00Z</cp:lastPrinted>
  <dcterms:created xsi:type="dcterms:W3CDTF">2019-05-08T13:24:00Z</dcterms:created>
  <dcterms:modified xsi:type="dcterms:W3CDTF">2019-05-08T13:24:00Z</dcterms:modified>
</cp:coreProperties>
</file>