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7F57F" w14:textId="274CFD5D" w:rsidR="00B959A0" w:rsidRPr="00343CCF" w:rsidRDefault="00B959A0" w:rsidP="00A3041B">
      <w:pPr>
        <w:pStyle w:val="Default"/>
        <w:rPr>
          <w:color w:val="auto"/>
          <w:sz w:val="22"/>
          <w:szCs w:val="22"/>
        </w:rPr>
      </w:pPr>
    </w:p>
    <w:tbl>
      <w:tblPr>
        <w:tblStyle w:val="Saretaduntaula"/>
        <w:tblW w:w="0" w:type="auto"/>
        <w:tblLook w:val="04A0" w:firstRow="1" w:lastRow="0" w:firstColumn="1" w:lastColumn="0" w:noHBand="0" w:noVBand="1"/>
      </w:tblPr>
      <w:tblGrid>
        <w:gridCol w:w="8494"/>
      </w:tblGrid>
      <w:tr w:rsidR="00C46484" w:rsidRPr="00343CCF" w14:paraId="3762C745" w14:textId="77777777" w:rsidTr="00343CCF">
        <w:tc>
          <w:tcPr>
            <w:tcW w:w="8494" w:type="dxa"/>
            <w:shd w:val="clear" w:color="auto" w:fill="DAEEF3" w:themeFill="accent5" w:themeFillTint="33"/>
          </w:tcPr>
          <w:p w14:paraId="069E4A5D" w14:textId="77777777" w:rsidR="00C46484" w:rsidRPr="00343CCF" w:rsidRDefault="00C46484" w:rsidP="0026519F">
            <w:pPr>
              <w:pStyle w:val="Default"/>
              <w:jc w:val="center"/>
              <w:rPr>
                <w:b/>
                <w:color w:val="auto"/>
                <w:sz w:val="22"/>
                <w:szCs w:val="22"/>
              </w:rPr>
            </w:pPr>
          </w:p>
          <w:p w14:paraId="73A9E8CB" w14:textId="35EFB7A2" w:rsidR="00646574" w:rsidRPr="00343CCF" w:rsidRDefault="00847D3E" w:rsidP="00847D3E">
            <w:pPr>
              <w:pStyle w:val="Default"/>
              <w:jc w:val="both"/>
              <w:rPr>
                <w:rFonts w:ascii="Arial" w:hAnsi="Arial" w:cs="Arial"/>
                <w:b/>
                <w:sz w:val="22"/>
                <w:szCs w:val="22"/>
              </w:rPr>
            </w:pPr>
            <w:r w:rsidRPr="00847D3E">
              <w:rPr>
                <w:rFonts w:ascii="Arial" w:hAnsi="Arial" w:cs="Arial"/>
                <w:b/>
                <w:sz w:val="22"/>
                <w:szCs w:val="22"/>
              </w:rPr>
              <w:t>DEKRETU-PROIEKTUA, EUSKAL AUTONOMIA ERKIDEGOKO ESKU-HARTZE SOZIALAREN EREMUAN HIRUGARREN SEKTOREKO JARDUERAK SUSTATZEKO DIRULAGUNTZAK ARAUTZEN DITUEN ABENDUAREN 4KO 271/2012 DEKRETUA INDARGABETZEN DUENA. AURRETIAZKO KONTSULTA PUBLIKOA</w:t>
            </w:r>
          </w:p>
          <w:p w14:paraId="2AD7E46C" w14:textId="6CB4A23F" w:rsidR="00646574" w:rsidRPr="00343CCF" w:rsidRDefault="00646574" w:rsidP="0026519F">
            <w:pPr>
              <w:pStyle w:val="Default"/>
              <w:rPr>
                <w:color w:val="auto"/>
                <w:sz w:val="22"/>
                <w:szCs w:val="22"/>
              </w:rPr>
            </w:pPr>
          </w:p>
        </w:tc>
      </w:tr>
    </w:tbl>
    <w:p w14:paraId="5558F34B" w14:textId="253967F7" w:rsidR="00646574" w:rsidRPr="00343CCF" w:rsidRDefault="00646574" w:rsidP="00A77244">
      <w:pPr>
        <w:pStyle w:val="Default"/>
        <w:spacing w:before="120" w:after="120"/>
        <w:rPr>
          <w:rFonts w:ascii="Arial" w:eastAsia="Times New Roman" w:hAnsi="Arial" w:cs="Arial"/>
          <w:color w:val="auto"/>
          <w:sz w:val="22"/>
          <w:szCs w:val="22"/>
          <w:lang w:eastAsia="es-ES"/>
        </w:rPr>
      </w:pPr>
    </w:p>
    <w:p w14:paraId="388416B0" w14:textId="2351202C" w:rsidR="00A77244" w:rsidRDefault="00A77244" w:rsidP="00A77244">
      <w:pPr>
        <w:pStyle w:val="Default"/>
        <w:spacing w:before="120" w:after="120"/>
        <w:rPr>
          <w:rFonts w:ascii="Arial" w:eastAsia="Times New Roman" w:hAnsi="Arial" w:cs="Arial"/>
          <w:color w:val="auto"/>
          <w:sz w:val="22"/>
          <w:szCs w:val="22"/>
          <w:lang w:eastAsia="es-ES"/>
        </w:rPr>
      </w:pPr>
      <w:r w:rsidRPr="00343CCF">
        <w:rPr>
          <w:rFonts w:ascii="Arial" w:eastAsia="Times New Roman" w:hAnsi="Arial" w:cs="Arial"/>
          <w:color w:val="auto"/>
          <w:sz w:val="22"/>
          <w:szCs w:val="22"/>
          <w:lang w:eastAsia="es-ES"/>
        </w:rPr>
        <w:t>Administrazio Publikoen Administrazio Prozedura Erkidearen urriaren 1eko 39/2015 Legearen 133.1 artikuluan eta Xedapen Orokorrak Egiteko Prozeduraren ekainaren 30eko 6/2022 Legearen 11. artikuluan ezarritakoaren arabera, aurretiazko kontsulta honen helburua da etorkizuneko arauak uki ditzakeen pertsonen eta erakunde esanguratsuenen iritzia jasotzea, honako hauei buruz:</w:t>
      </w:r>
    </w:p>
    <w:p w14:paraId="7A4BF5B9" w14:textId="77777777" w:rsidR="00343CCF" w:rsidRPr="00343CCF" w:rsidRDefault="00343CCF" w:rsidP="00A77244">
      <w:pPr>
        <w:pStyle w:val="Default"/>
        <w:spacing w:before="120" w:after="120"/>
        <w:rPr>
          <w:rFonts w:ascii="Arial" w:eastAsia="Times New Roman" w:hAnsi="Arial" w:cs="Arial"/>
          <w:color w:val="auto"/>
          <w:sz w:val="22"/>
          <w:szCs w:val="22"/>
          <w:lang w:eastAsia="es-ES"/>
        </w:rPr>
      </w:pPr>
    </w:p>
    <w:p w14:paraId="76240328" w14:textId="77777777" w:rsidR="00A77244" w:rsidRPr="00343CCF" w:rsidRDefault="00A77244" w:rsidP="00A77244">
      <w:pPr>
        <w:pStyle w:val="Default"/>
        <w:spacing w:before="120" w:after="120"/>
        <w:rPr>
          <w:rFonts w:ascii="Arial" w:eastAsia="Times New Roman" w:hAnsi="Arial" w:cs="Arial"/>
          <w:color w:val="auto"/>
          <w:sz w:val="22"/>
          <w:szCs w:val="22"/>
          <w:lang w:eastAsia="es-ES"/>
        </w:rPr>
      </w:pPr>
      <w:r w:rsidRPr="00343CCF">
        <w:rPr>
          <w:rFonts w:ascii="Arial" w:eastAsia="Times New Roman" w:hAnsi="Arial" w:cs="Arial"/>
          <w:color w:val="auto"/>
          <w:sz w:val="22"/>
          <w:szCs w:val="22"/>
          <w:lang w:eastAsia="es-ES"/>
        </w:rPr>
        <w:t>• Ekimenaren bidez konpondu nahi diren arazoak</w:t>
      </w:r>
    </w:p>
    <w:p w14:paraId="5E9A1907" w14:textId="77777777" w:rsidR="00A77244" w:rsidRPr="00343CCF" w:rsidRDefault="00A77244" w:rsidP="00A77244">
      <w:pPr>
        <w:pStyle w:val="Default"/>
        <w:spacing w:before="120" w:after="120"/>
        <w:rPr>
          <w:rFonts w:ascii="Arial" w:eastAsia="Times New Roman" w:hAnsi="Arial" w:cs="Arial"/>
          <w:color w:val="auto"/>
          <w:sz w:val="22"/>
          <w:szCs w:val="22"/>
          <w:lang w:eastAsia="es-ES"/>
        </w:rPr>
      </w:pPr>
      <w:r w:rsidRPr="00343CCF">
        <w:rPr>
          <w:rFonts w:ascii="Arial" w:eastAsia="Times New Roman" w:hAnsi="Arial" w:cs="Arial"/>
          <w:color w:val="auto"/>
          <w:sz w:val="22"/>
          <w:szCs w:val="22"/>
          <w:lang w:eastAsia="es-ES"/>
        </w:rPr>
        <w:t>• Onartzeko beharra eta egokitasuna</w:t>
      </w:r>
    </w:p>
    <w:p w14:paraId="58BF195A" w14:textId="77777777" w:rsidR="00A77244" w:rsidRPr="00343CCF" w:rsidRDefault="00A77244" w:rsidP="00A77244">
      <w:pPr>
        <w:pStyle w:val="Default"/>
        <w:spacing w:before="120" w:after="120"/>
        <w:rPr>
          <w:rFonts w:ascii="Arial" w:eastAsia="Times New Roman" w:hAnsi="Arial" w:cs="Arial"/>
          <w:color w:val="auto"/>
          <w:sz w:val="22"/>
          <w:szCs w:val="22"/>
          <w:lang w:eastAsia="es-ES"/>
        </w:rPr>
      </w:pPr>
      <w:r w:rsidRPr="00343CCF">
        <w:rPr>
          <w:rFonts w:ascii="Arial" w:eastAsia="Times New Roman" w:hAnsi="Arial" w:cs="Arial"/>
          <w:color w:val="auto"/>
          <w:sz w:val="22"/>
          <w:szCs w:val="22"/>
          <w:lang w:eastAsia="es-ES"/>
        </w:rPr>
        <w:t>• Arauaren helburua</w:t>
      </w:r>
    </w:p>
    <w:p w14:paraId="363C7C8B" w14:textId="07CDC693" w:rsidR="00A77244" w:rsidRDefault="00A77244" w:rsidP="00A77244">
      <w:pPr>
        <w:pStyle w:val="Default"/>
        <w:spacing w:before="120" w:after="120"/>
        <w:rPr>
          <w:rFonts w:ascii="Arial" w:eastAsia="Times New Roman" w:hAnsi="Arial" w:cs="Arial"/>
          <w:color w:val="auto"/>
          <w:sz w:val="22"/>
          <w:szCs w:val="22"/>
          <w:lang w:eastAsia="es-ES"/>
        </w:rPr>
      </w:pPr>
      <w:r w:rsidRPr="00343CCF">
        <w:rPr>
          <w:rFonts w:ascii="Arial" w:eastAsia="Times New Roman" w:hAnsi="Arial" w:cs="Arial"/>
          <w:color w:val="auto"/>
          <w:sz w:val="22"/>
          <w:szCs w:val="22"/>
          <w:lang w:eastAsia="es-ES"/>
        </w:rPr>
        <w:t>• Bestelako aukera erregulatzaileak eta ez-erregulatzaileak.</w:t>
      </w:r>
    </w:p>
    <w:p w14:paraId="7C47BAEF" w14:textId="77777777" w:rsidR="00343CCF" w:rsidRPr="00343CCF" w:rsidRDefault="00343CCF" w:rsidP="00A77244">
      <w:pPr>
        <w:pStyle w:val="Default"/>
        <w:spacing w:before="120" w:after="120"/>
        <w:rPr>
          <w:rFonts w:ascii="Arial" w:eastAsia="Times New Roman" w:hAnsi="Arial" w:cs="Arial"/>
          <w:color w:val="auto"/>
          <w:sz w:val="22"/>
          <w:szCs w:val="22"/>
          <w:lang w:eastAsia="es-ES"/>
        </w:rPr>
      </w:pPr>
    </w:p>
    <w:p w14:paraId="23E7F586" w14:textId="3F3937DA" w:rsidR="00237C97" w:rsidRDefault="00A77244" w:rsidP="00A77244">
      <w:pPr>
        <w:pStyle w:val="Default"/>
        <w:spacing w:before="120" w:after="120"/>
        <w:rPr>
          <w:rFonts w:ascii="Arial" w:eastAsia="Times New Roman" w:hAnsi="Arial" w:cs="Arial"/>
          <w:color w:val="auto"/>
          <w:sz w:val="22"/>
          <w:szCs w:val="22"/>
          <w:lang w:eastAsia="es-ES"/>
        </w:rPr>
      </w:pPr>
      <w:r w:rsidRPr="00343CCF">
        <w:rPr>
          <w:rFonts w:ascii="Arial" w:eastAsia="Times New Roman" w:hAnsi="Arial" w:cs="Arial"/>
          <w:color w:val="auto"/>
          <w:sz w:val="22"/>
          <w:szCs w:val="22"/>
          <w:lang w:eastAsia="es-ES"/>
        </w:rPr>
        <w:t>Aurrekoa betetzeko, eta hura egin a</w:t>
      </w:r>
      <w:r w:rsidR="000C6F9D">
        <w:rPr>
          <w:rFonts w:ascii="Arial" w:eastAsia="Times New Roman" w:hAnsi="Arial" w:cs="Arial"/>
          <w:color w:val="auto"/>
          <w:sz w:val="22"/>
          <w:szCs w:val="22"/>
          <w:lang w:eastAsia="es-ES"/>
        </w:rPr>
        <w:t>urretik, honen bidez, herritarrak eta ordezkaritza-erakundeak iritzia ematera gonbidatzen dira,</w:t>
      </w:r>
      <w:r w:rsidRPr="00343CCF">
        <w:rPr>
          <w:rFonts w:ascii="Arial" w:eastAsia="Times New Roman" w:hAnsi="Arial" w:cs="Arial"/>
          <w:color w:val="auto"/>
          <w:sz w:val="22"/>
          <w:szCs w:val="22"/>
          <w:lang w:eastAsia="es-ES"/>
        </w:rPr>
        <w:t xml:space="preserve"> Eusko Jaurlaritzaren Egoitza Elektronikoko Iragarki-taulan argitaratuko den eranskine</w:t>
      </w:r>
      <w:r w:rsidR="000C6F9D">
        <w:rPr>
          <w:rFonts w:ascii="Arial" w:eastAsia="Times New Roman" w:hAnsi="Arial" w:cs="Arial"/>
          <w:color w:val="auto"/>
          <w:sz w:val="22"/>
          <w:szCs w:val="22"/>
          <w:lang w:eastAsia="es-ES"/>
        </w:rPr>
        <w:t>an jasotako informazioari buruz</w:t>
      </w:r>
      <w:bookmarkStart w:id="0" w:name="_GoBack"/>
      <w:bookmarkEnd w:id="0"/>
    </w:p>
    <w:p w14:paraId="6F6B64A1" w14:textId="77777777" w:rsidR="00343CCF" w:rsidRPr="00343CCF" w:rsidRDefault="00343CCF" w:rsidP="00A77244">
      <w:pPr>
        <w:pStyle w:val="Default"/>
        <w:spacing w:before="120" w:after="120"/>
        <w:rPr>
          <w:rFonts w:ascii="Arial" w:eastAsia="Times New Roman" w:hAnsi="Arial" w:cs="Arial"/>
          <w:color w:val="auto"/>
          <w:sz w:val="22"/>
          <w:szCs w:val="22"/>
          <w:lang w:eastAsia="es-ES"/>
        </w:rPr>
      </w:pPr>
    </w:p>
    <w:tbl>
      <w:tblPr>
        <w:tblStyle w:val="Saretaduntaula"/>
        <w:tblW w:w="0" w:type="auto"/>
        <w:tblInd w:w="108" w:type="dxa"/>
        <w:tblLook w:val="04A0" w:firstRow="1" w:lastRow="0" w:firstColumn="1" w:lastColumn="0" w:noHBand="0" w:noVBand="1"/>
      </w:tblPr>
      <w:tblGrid>
        <w:gridCol w:w="2106"/>
        <w:gridCol w:w="6280"/>
      </w:tblGrid>
      <w:tr w:rsidR="006654B7" w:rsidRPr="00343CCF" w14:paraId="23E7F590" w14:textId="77777777" w:rsidTr="00A14FC5">
        <w:tc>
          <w:tcPr>
            <w:tcW w:w="2106" w:type="dxa"/>
            <w:shd w:val="clear" w:color="auto" w:fill="DAEEF3" w:themeFill="accent5" w:themeFillTint="33"/>
          </w:tcPr>
          <w:p w14:paraId="23E7F58E" w14:textId="0CE2683A" w:rsidR="00C46484" w:rsidRPr="00343CCF" w:rsidRDefault="00A77244" w:rsidP="00A77244">
            <w:pPr>
              <w:pStyle w:val="Default"/>
              <w:tabs>
                <w:tab w:val="center" w:pos="945"/>
              </w:tabs>
              <w:spacing w:before="120" w:after="120"/>
              <w:jc w:val="both"/>
              <w:rPr>
                <w:rFonts w:ascii="Arial" w:eastAsia="Times New Roman" w:hAnsi="Arial" w:cs="Arial"/>
                <w:b/>
                <w:color w:val="auto"/>
                <w:sz w:val="22"/>
                <w:szCs w:val="22"/>
              </w:rPr>
            </w:pPr>
            <w:r w:rsidRPr="00343CCF">
              <w:rPr>
                <w:rFonts w:ascii="Arial" w:eastAsia="Times New Roman" w:hAnsi="Arial" w:cs="Arial"/>
                <w:b/>
                <w:sz w:val="22"/>
                <w:szCs w:val="22"/>
                <w:lang w:val="eu-ES"/>
              </w:rPr>
              <w:t>Arauaren aurrekariak</w:t>
            </w:r>
          </w:p>
        </w:tc>
        <w:tc>
          <w:tcPr>
            <w:tcW w:w="6280" w:type="dxa"/>
            <w:shd w:val="clear" w:color="auto" w:fill="D6E3BC" w:themeFill="accent3" w:themeFillTint="66"/>
          </w:tcPr>
          <w:p w14:paraId="23E7F58F" w14:textId="428C9E93" w:rsidR="00C46484" w:rsidRPr="00A57B35" w:rsidRDefault="00847D3E" w:rsidP="00A77244">
            <w:pPr>
              <w:pStyle w:val="Default"/>
              <w:spacing w:before="120" w:after="120"/>
              <w:jc w:val="both"/>
              <w:rPr>
                <w:rFonts w:ascii="Arial" w:eastAsia="Times New Roman" w:hAnsi="Arial" w:cs="Arial"/>
                <w:color w:val="auto"/>
                <w:sz w:val="22"/>
                <w:szCs w:val="22"/>
              </w:rPr>
            </w:pPr>
            <w:r w:rsidRPr="00847D3E">
              <w:rPr>
                <w:rFonts w:ascii="Arial" w:eastAsia="Times New Roman" w:hAnsi="Arial" w:cs="Arial"/>
                <w:color w:val="auto"/>
                <w:sz w:val="22"/>
                <w:szCs w:val="22"/>
              </w:rPr>
              <w:t>12/2008 Legea, abenduaren 5ekoa, Gizarte Zerbitzuei buruzkoa</w:t>
            </w:r>
            <w:r>
              <w:rPr>
                <w:rFonts w:ascii="Arial" w:eastAsia="Times New Roman" w:hAnsi="Arial" w:cs="Arial"/>
                <w:color w:val="auto"/>
                <w:sz w:val="22"/>
                <w:szCs w:val="22"/>
              </w:rPr>
              <w:t>.</w:t>
            </w:r>
          </w:p>
        </w:tc>
      </w:tr>
      <w:tr w:rsidR="007F372D" w:rsidRPr="00343CCF" w14:paraId="10C6D6FC" w14:textId="77777777" w:rsidTr="00A14FC5">
        <w:tc>
          <w:tcPr>
            <w:tcW w:w="2106" w:type="dxa"/>
            <w:shd w:val="clear" w:color="auto" w:fill="DAEEF3" w:themeFill="accent5" w:themeFillTint="33"/>
          </w:tcPr>
          <w:p w14:paraId="7CA23AAA" w14:textId="2C62BA08" w:rsidR="00C46484" w:rsidRPr="00343CCF" w:rsidRDefault="00A77244" w:rsidP="00A3041B">
            <w:pPr>
              <w:pStyle w:val="Default"/>
              <w:spacing w:before="120" w:after="120"/>
              <w:rPr>
                <w:rFonts w:ascii="Arial" w:eastAsia="Times New Roman" w:hAnsi="Arial" w:cs="Arial"/>
                <w:b/>
                <w:color w:val="auto"/>
                <w:sz w:val="22"/>
                <w:szCs w:val="22"/>
              </w:rPr>
            </w:pPr>
            <w:r w:rsidRPr="00343CCF">
              <w:rPr>
                <w:rFonts w:ascii="Arial" w:eastAsia="Times New Roman" w:hAnsi="Arial" w:cs="Arial"/>
                <w:b/>
                <w:bCs/>
                <w:sz w:val="22"/>
                <w:szCs w:val="22"/>
                <w:lang w:val="eu-ES"/>
              </w:rPr>
              <w:t>Ekimenaren bidez konpondu nahi diren arazoak</w:t>
            </w:r>
          </w:p>
        </w:tc>
        <w:tc>
          <w:tcPr>
            <w:tcW w:w="6280" w:type="dxa"/>
            <w:shd w:val="clear" w:color="auto" w:fill="D6E3BC" w:themeFill="accent3" w:themeFillTint="66"/>
          </w:tcPr>
          <w:p w14:paraId="76B17448" w14:textId="6B344247" w:rsidR="00C46484" w:rsidRPr="00A57B35" w:rsidRDefault="00847D3E" w:rsidP="00A77244">
            <w:pPr>
              <w:pStyle w:val="Default"/>
              <w:tabs>
                <w:tab w:val="left" w:pos="857"/>
              </w:tabs>
              <w:spacing w:before="120" w:after="120"/>
              <w:jc w:val="both"/>
              <w:rPr>
                <w:rFonts w:ascii="Arial" w:eastAsia="Times New Roman" w:hAnsi="Arial" w:cs="Arial"/>
                <w:color w:val="auto"/>
                <w:sz w:val="22"/>
                <w:szCs w:val="22"/>
              </w:rPr>
            </w:pPr>
            <w:r w:rsidRPr="00847D3E">
              <w:rPr>
                <w:rFonts w:ascii="Arial" w:eastAsia="Times New Roman" w:hAnsi="Arial" w:cs="Arial"/>
                <w:color w:val="auto"/>
                <w:sz w:val="22"/>
                <w:szCs w:val="22"/>
              </w:rPr>
              <w:t>Ordenamendu juridikoari segurtasuna ematea, indargabetze inplizitua saihestuz eta, horrela, Euskal Autonomia Erkidegoko esku-hartze sozialaren eremuan hirugarren sektore sozialeko jarduerak sustatzeko dirulaguntzen testuinguruan indargabetuta geratzen den araudia argituz.</w:t>
            </w:r>
          </w:p>
        </w:tc>
      </w:tr>
      <w:tr w:rsidR="00A77244" w:rsidRPr="00343CCF" w14:paraId="23E7F597" w14:textId="77777777" w:rsidTr="00A14FC5">
        <w:tc>
          <w:tcPr>
            <w:tcW w:w="2106" w:type="dxa"/>
            <w:shd w:val="clear" w:color="auto" w:fill="DAEEF3" w:themeFill="accent5" w:themeFillTint="33"/>
          </w:tcPr>
          <w:p w14:paraId="3D5C74E3" w14:textId="4D1FD6F0" w:rsidR="00A77244" w:rsidRPr="00343CCF" w:rsidRDefault="00A77244" w:rsidP="00A77244">
            <w:pPr>
              <w:spacing w:before="120" w:after="120"/>
              <w:rPr>
                <w:rFonts w:ascii="Arial" w:eastAsia="Times New Roman" w:hAnsi="Arial" w:cs="Arial"/>
                <w:b/>
                <w:lang w:val="eu-ES"/>
              </w:rPr>
            </w:pPr>
            <w:r w:rsidRPr="00343CCF">
              <w:rPr>
                <w:rFonts w:ascii="Arial" w:eastAsia="Times New Roman" w:hAnsi="Arial" w:cs="Arial"/>
                <w:b/>
                <w:bCs/>
                <w:lang w:val="eu-ES"/>
              </w:rPr>
              <w:t>Arau hori onestea beharrezko eta egoki da</w:t>
            </w:r>
          </w:p>
          <w:p w14:paraId="23E7F594" w14:textId="7323DE0B" w:rsidR="00A77244" w:rsidRPr="00343CCF" w:rsidRDefault="00A77244" w:rsidP="00A77244">
            <w:pPr>
              <w:pStyle w:val="Default"/>
              <w:spacing w:before="120" w:after="120"/>
              <w:rPr>
                <w:rFonts w:ascii="Arial" w:eastAsia="Times New Roman" w:hAnsi="Arial" w:cs="Arial"/>
                <w:b/>
                <w:color w:val="auto"/>
                <w:sz w:val="22"/>
                <w:szCs w:val="22"/>
              </w:rPr>
            </w:pPr>
          </w:p>
        </w:tc>
        <w:tc>
          <w:tcPr>
            <w:tcW w:w="6280" w:type="dxa"/>
            <w:shd w:val="clear" w:color="auto" w:fill="D6E3BC" w:themeFill="accent3" w:themeFillTint="66"/>
          </w:tcPr>
          <w:p w14:paraId="614F234D" w14:textId="77777777" w:rsidR="00847D3E" w:rsidRPr="00847D3E" w:rsidRDefault="00847D3E" w:rsidP="00847D3E">
            <w:pPr>
              <w:pStyle w:val="Default"/>
              <w:spacing w:before="120" w:after="120"/>
              <w:jc w:val="both"/>
              <w:rPr>
                <w:rFonts w:ascii="Arial" w:eastAsia="Times New Roman" w:hAnsi="Arial" w:cs="Arial"/>
                <w:i/>
                <w:color w:val="auto"/>
                <w:sz w:val="22"/>
                <w:szCs w:val="22"/>
              </w:rPr>
            </w:pPr>
            <w:r w:rsidRPr="00847D3E">
              <w:rPr>
                <w:rFonts w:ascii="Arial" w:eastAsia="Times New Roman" w:hAnsi="Arial" w:cs="Arial"/>
                <w:color w:val="auto"/>
                <w:sz w:val="22"/>
                <w:szCs w:val="22"/>
              </w:rPr>
              <w:t xml:space="preserve">Diru-laguntzen Araubidea arautzen duen abenduaren 21eko 20/2023 Legeak, azken xedapenetako lehenaren 1. zenbakian, indarraldi mugagabea duten oinarri arautzaileak egokitzeari buruzkoan, ezartzen du </w:t>
            </w:r>
            <w:r w:rsidRPr="00847D3E">
              <w:rPr>
                <w:rFonts w:ascii="Arial" w:eastAsia="Times New Roman" w:hAnsi="Arial" w:cs="Arial"/>
                <w:i/>
                <w:color w:val="auto"/>
                <w:sz w:val="22"/>
                <w:szCs w:val="22"/>
              </w:rPr>
              <w:t>indarraldi mugagabea duten laguntzen eta dirulaguntzen oinarri arautzaileak lege honetan xedatutakora egokitu beharko direla hamabi hilabeteko epean, legea indarrean jartzen denetik zenbatzen hasita, eta, epe hori igarota, egokitzapen hori gauzatu ez bada, indargabetuta geratu direla ulertu beharko dela.</w:t>
            </w:r>
          </w:p>
          <w:p w14:paraId="23E7F596" w14:textId="340A2A3F" w:rsidR="00A77244" w:rsidRPr="00646574" w:rsidRDefault="00847D3E" w:rsidP="00847D3E">
            <w:pPr>
              <w:pStyle w:val="Default"/>
              <w:spacing w:before="120" w:after="120"/>
              <w:jc w:val="both"/>
              <w:rPr>
                <w:rFonts w:ascii="Arial" w:eastAsia="Times New Roman" w:hAnsi="Arial" w:cs="Arial"/>
                <w:color w:val="auto"/>
                <w:sz w:val="22"/>
                <w:szCs w:val="22"/>
              </w:rPr>
            </w:pPr>
            <w:r w:rsidRPr="00847D3E">
              <w:rPr>
                <w:rFonts w:ascii="Arial" w:eastAsia="Times New Roman" w:hAnsi="Arial" w:cs="Arial"/>
                <w:color w:val="auto"/>
                <w:sz w:val="22"/>
                <w:szCs w:val="22"/>
              </w:rPr>
              <w:t>Xedapen hori betez, aipatutako dekretua indargabetzen da, eta araubide iragankor bat ezartzen da dekretu indargabetzailea indarrean jartzean izapidetzen ari diren espedienteetarako.</w:t>
            </w:r>
          </w:p>
        </w:tc>
      </w:tr>
      <w:tr w:rsidR="00A77244" w:rsidRPr="00343CCF" w14:paraId="23E7F59B" w14:textId="77777777" w:rsidTr="00A14FC5">
        <w:tc>
          <w:tcPr>
            <w:tcW w:w="2106" w:type="dxa"/>
            <w:shd w:val="clear" w:color="auto" w:fill="DAEEF3" w:themeFill="accent5" w:themeFillTint="33"/>
          </w:tcPr>
          <w:p w14:paraId="23E7F598" w14:textId="77D10359" w:rsidR="00A77244" w:rsidRPr="00343CCF" w:rsidRDefault="00A77244" w:rsidP="00A77244">
            <w:pPr>
              <w:pStyle w:val="Default"/>
              <w:spacing w:before="120" w:after="120"/>
              <w:rPr>
                <w:rFonts w:ascii="Arial" w:eastAsia="Times New Roman" w:hAnsi="Arial" w:cs="Arial"/>
                <w:color w:val="auto"/>
                <w:sz w:val="22"/>
                <w:szCs w:val="22"/>
              </w:rPr>
            </w:pPr>
            <w:r w:rsidRPr="00343CCF">
              <w:rPr>
                <w:rFonts w:ascii="Arial" w:eastAsia="Times New Roman" w:hAnsi="Arial" w:cs="Arial"/>
                <w:b/>
                <w:sz w:val="22"/>
                <w:szCs w:val="22"/>
                <w:lang w:val="eu-ES"/>
              </w:rPr>
              <w:lastRenderedPageBreak/>
              <w:t>Arauaren helburuak</w:t>
            </w:r>
          </w:p>
        </w:tc>
        <w:tc>
          <w:tcPr>
            <w:tcW w:w="6280" w:type="dxa"/>
            <w:shd w:val="clear" w:color="auto" w:fill="D6E3BC" w:themeFill="accent3" w:themeFillTint="66"/>
          </w:tcPr>
          <w:p w14:paraId="23E7F59A" w14:textId="35680567" w:rsidR="00A77244" w:rsidRPr="00646574" w:rsidRDefault="00847D3E" w:rsidP="00A77244">
            <w:pPr>
              <w:spacing w:before="120" w:after="120"/>
              <w:jc w:val="both"/>
              <w:rPr>
                <w:rFonts w:ascii="Arial" w:eastAsia="Times New Roman" w:hAnsi="Arial" w:cs="Arial"/>
              </w:rPr>
            </w:pPr>
            <w:r w:rsidRPr="00847D3E">
              <w:rPr>
                <w:rFonts w:ascii="Arial" w:eastAsia="Times New Roman" w:hAnsi="Arial" w:cs="Arial"/>
              </w:rPr>
              <w:t>271/2012 Dekretua, abenduaren 4koa, Euskal Autonomia Erkidegoko esku-hartze sozialaren eremuan hirugarren sektoreko jarduerak sustatzeko dirulaguntzak arautzen dituena indargabetzea.</w:t>
            </w:r>
          </w:p>
        </w:tc>
      </w:tr>
      <w:tr w:rsidR="00A77244" w:rsidRPr="00343CCF" w14:paraId="23E7F59E" w14:textId="77777777" w:rsidTr="00A14FC5">
        <w:tc>
          <w:tcPr>
            <w:tcW w:w="2106" w:type="dxa"/>
            <w:shd w:val="clear" w:color="auto" w:fill="DAEEF3" w:themeFill="accent5" w:themeFillTint="33"/>
          </w:tcPr>
          <w:p w14:paraId="23E7F59C" w14:textId="769E0900" w:rsidR="00A77244" w:rsidRPr="00343CCF" w:rsidRDefault="00A77244" w:rsidP="00A77244">
            <w:pPr>
              <w:pStyle w:val="Default"/>
              <w:tabs>
                <w:tab w:val="center" w:pos="945"/>
              </w:tabs>
              <w:spacing w:before="120" w:after="120"/>
              <w:rPr>
                <w:rFonts w:ascii="Arial" w:eastAsia="Times New Roman" w:hAnsi="Arial" w:cs="Arial"/>
                <w:b/>
                <w:color w:val="auto"/>
                <w:sz w:val="22"/>
                <w:szCs w:val="22"/>
              </w:rPr>
            </w:pPr>
            <w:r w:rsidRPr="00343CCF">
              <w:rPr>
                <w:rFonts w:ascii="Arial" w:eastAsia="Times New Roman" w:hAnsi="Arial" w:cs="Arial"/>
                <w:b/>
                <w:color w:val="auto"/>
                <w:sz w:val="22"/>
                <w:szCs w:val="22"/>
              </w:rPr>
              <w:tab/>
            </w:r>
            <w:r w:rsidRPr="00343CCF">
              <w:rPr>
                <w:rFonts w:ascii="Arial" w:eastAsia="Times New Roman" w:hAnsi="Arial" w:cs="Arial"/>
                <w:b/>
                <w:sz w:val="22"/>
                <w:szCs w:val="22"/>
                <w:lang w:val="eu-ES"/>
              </w:rPr>
              <w:t>Bestelako aukera erregulatzaileak eta ez-erregulatzaileak.</w:t>
            </w:r>
          </w:p>
        </w:tc>
        <w:tc>
          <w:tcPr>
            <w:tcW w:w="6280" w:type="dxa"/>
            <w:shd w:val="clear" w:color="auto" w:fill="D6E3BC" w:themeFill="accent3" w:themeFillTint="66"/>
          </w:tcPr>
          <w:p w14:paraId="778CB936" w14:textId="77777777" w:rsidR="00847D3E" w:rsidRPr="00847D3E" w:rsidRDefault="00847D3E" w:rsidP="00847D3E">
            <w:pPr>
              <w:pStyle w:val="Default"/>
              <w:spacing w:before="120" w:after="120"/>
              <w:rPr>
                <w:rFonts w:ascii="Arial" w:eastAsia="Times New Roman" w:hAnsi="Arial" w:cs="Arial"/>
                <w:color w:val="auto"/>
                <w:sz w:val="22"/>
                <w:szCs w:val="22"/>
                <w:lang w:val="eu-ES"/>
              </w:rPr>
            </w:pPr>
            <w:r w:rsidRPr="00847D3E">
              <w:rPr>
                <w:rFonts w:ascii="Arial" w:eastAsia="Times New Roman" w:hAnsi="Arial" w:cs="Arial"/>
                <w:color w:val="auto"/>
                <w:sz w:val="22"/>
                <w:szCs w:val="22"/>
                <w:lang w:val="eu-ES"/>
              </w:rPr>
              <w:t>Testuinguru horretan, indarrean dagoen ordenamenduari segurtasun juridikoa emango dion tresna gisa aurkezten da neurri arauemaile espezifiko bat egitea.</w:t>
            </w:r>
          </w:p>
          <w:p w14:paraId="38CFD909" w14:textId="6CAA56A2" w:rsidR="00A77244" w:rsidRDefault="00847D3E" w:rsidP="00847D3E">
            <w:pPr>
              <w:pStyle w:val="Default"/>
              <w:spacing w:before="120" w:after="120"/>
              <w:rPr>
                <w:rFonts w:ascii="Arial" w:eastAsia="Times New Roman" w:hAnsi="Arial" w:cs="Arial"/>
                <w:color w:val="auto"/>
                <w:sz w:val="22"/>
                <w:szCs w:val="22"/>
                <w:lang w:val="eu-ES"/>
              </w:rPr>
            </w:pPr>
            <w:r w:rsidRPr="00847D3E">
              <w:rPr>
                <w:rFonts w:ascii="Arial" w:eastAsia="Times New Roman" w:hAnsi="Arial" w:cs="Arial"/>
                <w:color w:val="auto"/>
                <w:sz w:val="22"/>
                <w:szCs w:val="22"/>
                <w:lang w:val="eu-ES"/>
              </w:rPr>
              <w:t>Aukera izango zatekeen ezer ez egitea eta, aipatutako xedapenean ezarritako hamabi hilabeteko epea igaro ondoren, 271/2012 Dekretua indargabetuta geratu arte itxarotea.</w:t>
            </w:r>
          </w:p>
          <w:p w14:paraId="23E7F59D" w14:textId="519AC04B" w:rsidR="00847D3E" w:rsidRPr="00646574" w:rsidRDefault="00847D3E" w:rsidP="00A77244">
            <w:pPr>
              <w:pStyle w:val="Default"/>
              <w:spacing w:before="120" w:after="120"/>
              <w:rPr>
                <w:rFonts w:ascii="Arial" w:eastAsia="Times New Roman" w:hAnsi="Arial" w:cs="Arial"/>
                <w:color w:val="auto"/>
                <w:sz w:val="22"/>
                <w:szCs w:val="22"/>
              </w:rPr>
            </w:pPr>
          </w:p>
        </w:tc>
      </w:tr>
    </w:tbl>
    <w:p w14:paraId="23E7F59F" w14:textId="77777777" w:rsidR="006654B7" w:rsidRPr="00343CCF" w:rsidRDefault="006654B7" w:rsidP="00A3041B">
      <w:pPr>
        <w:pStyle w:val="Default"/>
        <w:spacing w:before="120" w:after="120"/>
        <w:ind w:left="709"/>
        <w:rPr>
          <w:rFonts w:ascii="Arial" w:eastAsia="Times New Roman" w:hAnsi="Arial" w:cs="Arial"/>
          <w:color w:val="auto"/>
          <w:sz w:val="22"/>
          <w:szCs w:val="22"/>
        </w:rPr>
      </w:pPr>
    </w:p>
    <w:p w14:paraId="23E7F5A0" w14:textId="77777777" w:rsidR="006654B7" w:rsidRPr="00343CCF" w:rsidRDefault="006654B7" w:rsidP="00A3041B">
      <w:pPr>
        <w:pStyle w:val="Default"/>
        <w:spacing w:before="120" w:after="120"/>
        <w:ind w:left="709"/>
        <w:rPr>
          <w:rFonts w:ascii="Arial" w:eastAsia="Times New Roman" w:hAnsi="Arial" w:cs="Arial"/>
          <w:color w:val="auto"/>
          <w:sz w:val="22"/>
          <w:szCs w:val="22"/>
        </w:rPr>
      </w:pPr>
    </w:p>
    <w:sectPr w:rsidR="006654B7" w:rsidRPr="00343CC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7F5AC" w14:textId="77777777" w:rsidR="000940B9" w:rsidRDefault="000940B9" w:rsidP="0080292C">
      <w:pPr>
        <w:spacing w:after="0" w:line="240" w:lineRule="auto"/>
      </w:pPr>
      <w:r>
        <w:separator/>
      </w:r>
    </w:p>
  </w:endnote>
  <w:endnote w:type="continuationSeparator" w:id="0">
    <w:p w14:paraId="23E7F5AD" w14:textId="77777777" w:rsidR="000940B9" w:rsidRDefault="000940B9"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23E7F5B0" w14:textId="5D218CF0" w:rsidR="00826CA1" w:rsidRDefault="00826CA1">
        <w:pPr>
          <w:pStyle w:val="Orri-oina"/>
          <w:jc w:val="right"/>
        </w:pPr>
        <w:r>
          <w:fldChar w:fldCharType="begin"/>
        </w:r>
        <w:r>
          <w:instrText>PAGE   \* MERGEFORMAT</w:instrText>
        </w:r>
        <w:r>
          <w:fldChar w:fldCharType="separate"/>
        </w:r>
        <w:r w:rsidR="000C6F9D">
          <w:rPr>
            <w:noProof/>
          </w:rPr>
          <w:t>2</w:t>
        </w:r>
        <w:r>
          <w:fldChar w:fldCharType="end"/>
        </w:r>
      </w:p>
    </w:sdtContent>
  </w:sdt>
  <w:p w14:paraId="23E7F5B1" w14:textId="77777777" w:rsidR="00826CA1" w:rsidRDefault="00826CA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7F5AA" w14:textId="77777777" w:rsidR="000940B9" w:rsidRDefault="000940B9" w:rsidP="0080292C">
      <w:pPr>
        <w:spacing w:after="0" w:line="240" w:lineRule="auto"/>
      </w:pPr>
      <w:r>
        <w:separator/>
      </w:r>
    </w:p>
  </w:footnote>
  <w:footnote w:type="continuationSeparator" w:id="0">
    <w:p w14:paraId="23E7F5AB" w14:textId="77777777" w:rsidR="000940B9" w:rsidRDefault="000940B9"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F5AE" w14:textId="77777777" w:rsidR="00310CFB" w:rsidRDefault="00310CFB" w:rsidP="00310CFB">
    <w:pPr>
      <w:pStyle w:val="Goiburua"/>
      <w:jc w:val="center"/>
    </w:pPr>
    <w:r w:rsidRPr="00310CFB">
      <w:rPr>
        <w:rFonts w:ascii="Arial" w:hAnsi="Arial"/>
        <w:noProof/>
        <w:sz w:val="16"/>
        <w:lang w:val="eu-ES" w:eastAsia="eu-ES"/>
      </w:rPr>
      <w:drawing>
        <wp:inline distT="0" distB="0" distL="0" distR="0" wp14:anchorId="23E7F5B2" wp14:editId="23E7F5B3">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23E7F5AF" w14:textId="77777777" w:rsidR="00310CFB" w:rsidRDefault="00310CFB" w:rsidP="00310CFB">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1E71980"/>
    <w:multiLevelType w:val="multilevel"/>
    <w:tmpl w:val="EA56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7930"/>
    <w:rsid w:val="00064C0E"/>
    <w:rsid w:val="00071937"/>
    <w:rsid w:val="00081E9B"/>
    <w:rsid w:val="000836C1"/>
    <w:rsid w:val="0008713E"/>
    <w:rsid w:val="000940B9"/>
    <w:rsid w:val="000A24B6"/>
    <w:rsid w:val="000B7A1A"/>
    <w:rsid w:val="000C6F9D"/>
    <w:rsid w:val="000D120C"/>
    <w:rsid w:val="000D68BA"/>
    <w:rsid w:val="000F5F30"/>
    <w:rsid w:val="00103799"/>
    <w:rsid w:val="0012092F"/>
    <w:rsid w:val="00134028"/>
    <w:rsid w:val="001417DE"/>
    <w:rsid w:val="00170392"/>
    <w:rsid w:val="00173E41"/>
    <w:rsid w:val="00194C10"/>
    <w:rsid w:val="001A2095"/>
    <w:rsid w:val="001B226C"/>
    <w:rsid w:val="001B3A1D"/>
    <w:rsid w:val="001B6414"/>
    <w:rsid w:val="001F5C15"/>
    <w:rsid w:val="001F7723"/>
    <w:rsid w:val="002050C5"/>
    <w:rsid w:val="00207EDF"/>
    <w:rsid w:val="00211ED7"/>
    <w:rsid w:val="00226A44"/>
    <w:rsid w:val="00237C97"/>
    <w:rsid w:val="0026228C"/>
    <w:rsid w:val="0026764F"/>
    <w:rsid w:val="002A1248"/>
    <w:rsid w:val="002B0FE2"/>
    <w:rsid w:val="002B7CD5"/>
    <w:rsid w:val="002C632D"/>
    <w:rsid w:val="002D54A3"/>
    <w:rsid w:val="00310CFB"/>
    <w:rsid w:val="00343CCF"/>
    <w:rsid w:val="003602D7"/>
    <w:rsid w:val="00372081"/>
    <w:rsid w:val="00402102"/>
    <w:rsid w:val="00405B9E"/>
    <w:rsid w:val="00425975"/>
    <w:rsid w:val="004266C7"/>
    <w:rsid w:val="00432603"/>
    <w:rsid w:val="004C36DB"/>
    <w:rsid w:val="004E0B46"/>
    <w:rsid w:val="004F6BAB"/>
    <w:rsid w:val="00513E23"/>
    <w:rsid w:val="00541F4A"/>
    <w:rsid w:val="00545E5B"/>
    <w:rsid w:val="00565C0D"/>
    <w:rsid w:val="00572BE1"/>
    <w:rsid w:val="0058482E"/>
    <w:rsid w:val="0059124D"/>
    <w:rsid w:val="005913F4"/>
    <w:rsid w:val="005B5275"/>
    <w:rsid w:val="005E4F35"/>
    <w:rsid w:val="005F172F"/>
    <w:rsid w:val="00606DC7"/>
    <w:rsid w:val="006156B7"/>
    <w:rsid w:val="00646574"/>
    <w:rsid w:val="006654B7"/>
    <w:rsid w:val="006779F4"/>
    <w:rsid w:val="006B5E8E"/>
    <w:rsid w:val="006D47F0"/>
    <w:rsid w:val="00725C35"/>
    <w:rsid w:val="00755D6E"/>
    <w:rsid w:val="00757FF2"/>
    <w:rsid w:val="00791485"/>
    <w:rsid w:val="007D4664"/>
    <w:rsid w:val="007F372D"/>
    <w:rsid w:val="0080292C"/>
    <w:rsid w:val="00826CA1"/>
    <w:rsid w:val="00831DC8"/>
    <w:rsid w:val="00847D3E"/>
    <w:rsid w:val="00865035"/>
    <w:rsid w:val="00873F0D"/>
    <w:rsid w:val="00876954"/>
    <w:rsid w:val="008C1F61"/>
    <w:rsid w:val="008D6281"/>
    <w:rsid w:val="008E4E91"/>
    <w:rsid w:val="0092251C"/>
    <w:rsid w:val="009362EC"/>
    <w:rsid w:val="009A679B"/>
    <w:rsid w:val="009B5735"/>
    <w:rsid w:val="009C124C"/>
    <w:rsid w:val="00A14689"/>
    <w:rsid w:val="00A14FC5"/>
    <w:rsid w:val="00A230EE"/>
    <w:rsid w:val="00A3041B"/>
    <w:rsid w:val="00A47F79"/>
    <w:rsid w:val="00A5515D"/>
    <w:rsid w:val="00A5751E"/>
    <w:rsid w:val="00A57B35"/>
    <w:rsid w:val="00A674CB"/>
    <w:rsid w:val="00A77244"/>
    <w:rsid w:val="00A906F1"/>
    <w:rsid w:val="00A91FF9"/>
    <w:rsid w:val="00AC21E4"/>
    <w:rsid w:val="00AF251A"/>
    <w:rsid w:val="00B959A0"/>
    <w:rsid w:val="00BA7FC9"/>
    <w:rsid w:val="00BE5FD7"/>
    <w:rsid w:val="00BF4EA9"/>
    <w:rsid w:val="00C01BE6"/>
    <w:rsid w:val="00C122FE"/>
    <w:rsid w:val="00C17C1E"/>
    <w:rsid w:val="00C22598"/>
    <w:rsid w:val="00C46484"/>
    <w:rsid w:val="00C57B4B"/>
    <w:rsid w:val="00CB298C"/>
    <w:rsid w:val="00CB5805"/>
    <w:rsid w:val="00CD5345"/>
    <w:rsid w:val="00CF46DE"/>
    <w:rsid w:val="00D0392F"/>
    <w:rsid w:val="00D115E3"/>
    <w:rsid w:val="00D16E36"/>
    <w:rsid w:val="00D17586"/>
    <w:rsid w:val="00D34B09"/>
    <w:rsid w:val="00D36016"/>
    <w:rsid w:val="00D47D46"/>
    <w:rsid w:val="00D64134"/>
    <w:rsid w:val="00DA3495"/>
    <w:rsid w:val="00DA72A6"/>
    <w:rsid w:val="00DB4519"/>
    <w:rsid w:val="00E06623"/>
    <w:rsid w:val="00E22692"/>
    <w:rsid w:val="00E22B43"/>
    <w:rsid w:val="00E43B09"/>
    <w:rsid w:val="00ED4BAC"/>
    <w:rsid w:val="00F109C3"/>
    <w:rsid w:val="00F24A3C"/>
    <w:rsid w:val="00F51DA6"/>
    <w:rsid w:val="00F56DD4"/>
    <w:rsid w:val="00F7522A"/>
    <w:rsid w:val="00F87B7C"/>
    <w:rsid w:val="00F947E8"/>
    <w:rsid w:val="00FC3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F57F"/>
  <w15:docId w15:val="{023E7CA2-8806-44F7-B827-CC5A5E57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C46484"/>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esteka">
    <w:name w:val="Hyperlink"/>
    <w:basedOn w:val="Paragrafoarenletra-tipolehenetsia"/>
    <w:uiPriority w:val="99"/>
    <w:unhideWhenUsed/>
    <w:rsid w:val="00237C97"/>
    <w:rPr>
      <w:color w:val="0000FF" w:themeColor="hyperlink"/>
      <w:u w:val="single"/>
    </w:rPr>
  </w:style>
  <w:style w:type="paragraph" w:styleId="Zerrenda-paragrafoa">
    <w:name w:val="List Paragraph"/>
    <w:basedOn w:val="Normala"/>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Gorputz-testua">
    <w:name w:val="Body Text"/>
    <w:basedOn w:val="Normala"/>
    <w:link w:val="Gorputz-testuaKar"/>
    <w:uiPriority w:val="1"/>
    <w:qFormat/>
    <w:rsid w:val="000B7A1A"/>
    <w:pPr>
      <w:widowControl w:val="0"/>
      <w:spacing w:after="0" w:line="240" w:lineRule="auto"/>
      <w:ind w:left="141"/>
    </w:pPr>
    <w:rPr>
      <w:rFonts w:ascii="Arial" w:eastAsia="Arial" w:hAnsi="Arial"/>
      <w:lang w:val="en-US"/>
    </w:rPr>
  </w:style>
  <w:style w:type="character" w:customStyle="1" w:styleId="Gorputz-testuaKar">
    <w:name w:val="Gorputz-testua Kar"/>
    <w:basedOn w:val="Paragrafoarenletra-tipolehenetsia"/>
    <w:link w:val="Gorputz-testua"/>
    <w:uiPriority w:val="1"/>
    <w:rsid w:val="000B7A1A"/>
    <w:rPr>
      <w:rFonts w:ascii="Arial" w:eastAsia="Arial" w:hAnsi="Arial"/>
      <w:lang w:val="en-US"/>
    </w:rPr>
  </w:style>
  <w:style w:type="paragraph" w:styleId="Goiburua">
    <w:name w:val="header"/>
    <w:basedOn w:val="Normala"/>
    <w:link w:val="GoiburuaKar"/>
    <w:uiPriority w:val="99"/>
    <w:unhideWhenUsed/>
    <w:rsid w:val="0080292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0292C"/>
  </w:style>
  <w:style w:type="paragraph" w:styleId="Orri-oina">
    <w:name w:val="footer"/>
    <w:basedOn w:val="Normala"/>
    <w:link w:val="Orri-oinaKar"/>
    <w:uiPriority w:val="99"/>
    <w:unhideWhenUsed/>
    <w:rsid w:val="0080292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0292C"/>
  </w:style>
  <w:style w:type="paragraph" w:styleId="Bunbuiloarentestua">
    <w:name w:val="Balloon Text"/>
    <w:basedOn w:val="Normala"/>
    <w:link w:val="BunbuiloarentestuaKar"/>
    <w:uiPriority w:val="99"/>
    <w:semiHidden/>
    <w:unhideWhenUsed/>
    <w:rsid w:val="001B3A1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B3A1D"/>
    <w:rPr>
      <w:rFonts w:ascii="Tahoma" w:hAnsi="Tahoma" w:cs="Tahoma"/>
      <w:sz w:val="16"/>
      <w:szCs w:val="16"/>
    </w:rPr>
  </w:style>
  <w:style w:type="table" w:styleId="Saretaduntaula">
    <w:name w:val="Table Grid"/>
    <w:basedOn w:val="Taulanormala"/>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odia">
    <w:name w:val="Strong"/>
    <w:basedOn w:val="Paragrafoarenletra-tipolehenetsia"/>
    <w:uiPriority w:val="22"/>
    <w:qFormat/>
    <w:rsid w:val="00C46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762">
      <w:bodyDiv w:val="1"/>
      <w:marLeft w:val="0"/>
      <w:marRight w:val="0"/>
      <w:marTop w:val="0"/>
      <w:marBottom w:val="0"/>
      <w:divBdr>
        <w:top w:val="none" w:sz="0" w:space="0" w:color="auto"/>
        <w:left w:val="none" w:sz="0" w:space="0" w:color="auto"/>
        <w:bottom w:val="none" w:sz="0" w:space="0" w:color="auto"/>
        <w:right w:val="none" w:sz="0" w:space="0" w:color="auto"/>
      </w:divBdr>
      <w:divsChild>
        <w:div w:id="666444541">
          <w:marLeft w:val="0"/>
          <w:marRight w:val="0"/>
          <w:marTop w:val="300"/>
          <w:marBottom w:val="150"/>
          <w:divBdr>
            <w:top w:val="none" w:sz="0" w:space="0" w:color="auto"/>
            <w:left w:val="none" w:sz="0" w:space="0" w:color="auto"/>
            <w:bottom w:val="single" w:sz="6" w:space="8" w:color="DDE4EC"/>
            <w:right w:val="none" w:sz="0" w:space="0" w:color="auto"/>
          </w:divBdr>
        </w:div>
        <w:div w:id="813255772">
          <w:marLeft w:val="0"/>
          <w:marRight w:val="0"/>
          <w:marTop w:val="150"/>
          <w:marBottom w:val="0"/>
          <w:divBdr>
            <w:top w:val="none" w:sz="0" w:space="0" w:color="auto"/>
            <w:left w:val="none" w:sz="0" w:space="0" w:color="auto"/>
            <w:bottom w:val="none" w:sz="0" w:space="0" w:color="auto"/>
            <w:right w:val="none" w:sz="0" w:space="0" w:color="auto"/>
          </w:divBdr>
        </w:div>
      </w:divsChild>
    </w:div>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 w:id="140414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a97a1b-1471-4205-9f98-be50e75d4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7152011EE794DB93D035516972DE1" ma:contentTypeVersion="15" ma:contentTypeDescription="Create a new document." ma:contentTypeScope="" ma:versionID="5bbae562a1eba388b1384dd802010965">
  <xsd:schema xmlns:xsd="http://www.w3.org/2001/XMLSchema" xmlns:xs="http://www.w3.org/2001/XMLSchema" xmlns:p="http://schemas.microsoft.com/office/2006/metadata/properties" xmlns:ns3="87a97a1b-1471-4205-9f98-be50e75d416d" xmlns:ns4="d16ea0ca-60cb-4708-802e-1c3390eecc73" targetNamespace="http://schemas.microsoft.com/office/2006/metadata/properties" ma:root="true" ma:fieldsID="45741edc1f5c343575cb39f03f273e1b" ns3:_="" ns4:_="">
    <xsd:import namespace="87a97a1b-1471-4205-9f98-be50e75d416d"/>
    <xsd:import namespace="d16ea0ca-60cb-4708-802e-1c3390eecc7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97a1b-1471-4205-9f98-be50e75d416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6ea0ca-60cb-4708-802e-1c3390eecc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0685D-3D82-438F-B9D0-563CD3674CF0}">
  <ds:schemaRefs>
    <ds:schemaRef ds:uri="http://schemas.microsoft.com/sharepoint/v3/contenttype/forms"/>
  </ds:schemaRefs>
</ds:datastoreItem>
</file>

<file path=customXml/itemProps2.xml><?xml version="1.0" encoding="utf-8"?>
<ds:datastoreItem xmlns:ds="http://schemas.openxmlformats.org/officeDocument/2006/customXml" ds:itemID="{256C6787-6DF5-4321-939C-08F842591E23}">
  <ds:schemaRefs>
    <ds:schemaRef ds:uri="http://purl.org/dc/elements/1.1/"/>
    <ds:schemaRef ds:uri="http://schemas.microsoft.com/office/infopath/2007/PartnerControls"/>
    <ds:schemaRef ds:uri="87a97a1b-1471-4205-9f98-be50e75d416d"/>
    <ds:schemaRef ds:uri="http://purl.org/dc/terms/"/>
    <ds:schemaRef ds:uri="http://schemas.openxmlformats.org/package/2006/metadata/core-properties"/>
    <ds:schemaRef ds:uri="http://schemas.microsoft.com/office/2006/documentManagement/types"/>
    <ds:schemaRef ds:uri="d16ea0ca-60cb-4708-802e-1c3390eecc7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D90B7B-207D-49E7-AB27-EFDD248A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97a1b-1471-4205-9f98-be50e75d416d"/>
    <ds:schemaRef ds:uri="d16ea0ca-60cb-4708-802e-1c3390eec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4</DocSecurity>
  <Lines>19</Lines>
  <Paragraphs>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EJIE</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Ispizua Zuazua, Alfredo</dc:creator>
  <cp:lastModifiedBy>Aldaburu Solabarrieta, Beñat</cp:lastModifiedBy>
  <cp:revision>2</cp:revision>
  <cp:lastPrinted>2018-11-23T09:01:00Z</cp:lastPrinted>
  <dcterms:created xsi:type="dcterms:W3CDTF">2024-02-12T12:12:00Z</dcterms:created>
  <dcterms:modified xsi:type="dcterms:W3CDTF">2024-02-12T12:12:00Z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0x01010052E7152011EE794DB93D035516972DE1</vt:lpwstr>
  </property>
</Properties>
</file>