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37B5F" w14:textId="33AFDA8C" w:rsidR="00C52BE3" w:rsidRPr="00F26C0C" w:rsidRDefault="00D96EAF" w:rsidP="0074455F">
      <w:pPr>
        <w:pBdr>
          <w:top w:val="single" w:sz="4" w:space="1" w:color="auto"/>
          <w:left w:val="single" w:sz="4" w:space="4" w:color="auto"/>
          <w:bottom w:val="single" w:sz="4" w:space="1" w:color="auto"/>
          <w:right w:val="single" w:sz="4" w:space="4" w:color="auto"/>
        </w:pBdr>
        <w:shd w:val="clear" w:color="auto" w:fill="BDD6EE"/>
        <w:jc w:val="both"/>
        <w:rPr>
          <w:sz w:val="20"/>
          <w:szCs w:val="20"/>
          <w:lang w:val="eu-ES"/>
        </w:rPr>
      </w:pPr>
      <w:r w:rsidRPr="00F26C0C">
        <w:rPr>
          <w:sz w:val="20"/>
          <w:szCs w:val="20"/>
          <w:lang w:val="eu-ES"/>
        </w:rPr>
        <w:t>PROYECTO DE DECRETO POR EL QUE SE REGULA</w:t>
      </w:r>
      <w:r w:rsidR="00772029" w:rsidRPr="00F26C0C">
        <w:rPr>
          <w:sz w:val="20"/>
          <w:szCs w:val="20"/>
          <w:lang w:val="eu-ES"/>
        </w:rPr>
        <w:t xml:space="preserve"> </w:t>
      </w:r>
      <w:r w:rsidRPr="00F26C0C">
        <w:rPr>
          <w:sz w:val="20"/>
          <w:szCs w:val="20"/>
          <w:lang w:val="eu-ES"/>
        </w:rPr>
        <w:t>LA GESTIÓN, RESOLUCIÓN Y PAGO DEL BONO SOCIAL TERMICO CREADO POR EL REAL DECRETO´LEY 15/2018, DE 5 DE OCTUBRE, DE MEDIDAS URGENTES PARA LA TRANSICIÓN ENERGÉTICA Y LA PROTECCIÓN DE LOS CONSUMIDORES EN EL ÁMBITO DE LA COMUNIDAD AUTONOMA DEL PAIS VASCO</w:t>
      </w:r>
    </w:p>
    <w:p w14:paraId="0E1E93C3" w14:textId="77777777" w:rsidR="00D96EAF" w:rsidRPr="00F26C0C" w:rsidRDefault="00D96EAF" w:rsidP="00D96EAF">
      <w:pPr>
        <w:jc w:val="both"/>
        <w:rPr>
          <w:sz w:val="20"/>
          <w:szCs w:val="20"/>
          <w:lang w:val="eu-ES"/>
        </w:rPr>
      </w:pPr>
    </w:p>
    <w:p w14:paraId="5F022E28" w14:textId="162E2B42" w:rsidR="00D96EAF" w:rsidRPr="00F26C0C" w:rsidRDefault="00D96EAF" w:rsidP="00D96EAF">
      <w:pPr>
        <w:jc w:val="both"/>
        <w:rPr>
          <w:sz w:val="20"/>
          <w:szCs w:val="20"/>
        </w:rPr>
      </w:pPr>
      <w:r w:rsidRPr="00F26C0C">
        <w:rPr>
          <w:sz w:val="20"/>
          <w:szCs w:val="20"/>
        </w:rPr>
        <w:t xml:space="preserve">De conformidad con lo establecido en el artículo 133.1 de la Ley de 1 de octubre del Procedimiento Administrativo Común de las Administraciones Públicas, esta consulta previa tiene por objeto recabar la opinión de las personas y las organizaciones más </w:t>
      </w:r>
      <w:r w:rsidR="00033E60" w:rsidRPr="00F26C0C">
        <w:rPr>
          <w:sz w:val="20"/>
          <w:szCs w:val="20"/>
        </w:rPr>
        <w:t>representativas</w:t>
      </w:r>
      <w:r w:rsidRPr="00F26C0C">
        <w:rPr>
          <w:sz w:val="20"/>
          <w:szCs w:val="20"/>
        </w:rPr>
        <w:t xml:space="preserve"> potencialmente afectadas por la futra </w:t>
      </w:r>
      <w:proofErr w:type="gramStart"/>
      <w:r w:rsidRPr="00F26C0C">
        <w:rPr>
          <w:sz w:val="20"/>
          <w:szCs w:val="20"/>
        </w:rPr>
        <w:t>norma ,</w:t>
      </w:r>
      <w:proofErr w:type="gramEnd"/>
      <w:r w:rsidRPr="00F26C0C">
        <w:rPr>
          <w:sz w:val="20"/>
          <w:szCs w:val="20"/>
        </w:rPr>
        <w:t xml:space="preserve"> acerca de: </w:t>
      </w:r>
    </w:p>
    <w:p w14:paraId="075D022E" w14:textId="516ACC0E" w:rsidR="00D96EAF" w:rsidRPr="00F26C0C" w:rsidRDefault="00D96EAF" w:rsidP="00D96EAF">
      <w:pPr>
        <w:numPr>
          <w:ilvl w:val="0"/>
          <w:numId w:val="1"/>
        </w:numPr>
        <w:jc w:val="both"/>
        <w:rPr>
          <w:sz w:val="20"/>
          <w:szCs w:val="20"/>
        </w:rPr>
      </w:pPr>
      <w:r w:rsidRPr="00F26C0C">
        <w:rPr>
          <w:sz w:val="20"/>
          <w:szCs w:val="20"/>
        </w:rPr>
        <w:t>Los problemas que se pretenden solucionar con la iniciativa.</w:t>
      </w:r>
    </w:p>
    <w:p w14:paraId="6BBCCF35" w14:textId="0923118D" w:rsidR="00D96EAF" w:rsidRPr="00F26C0C" w:rsidRDefault="00D96EAF" w:rsidP="00D96EAF">
      <w:pPr>
        <w:numPr>
          <w:ilvl w:val="0"/>
          <w:numId w:val="1"/>
        </w:numPr>
        <w:jc w:val="both"/>
        <w:rPr>
          <w:sz w:val="20"/>
          <w:szCs w:val="20"/>
        </w:rPr>
      </w:pPr>
      <w:r w:rsidRPr="00F26C0C">
        <w:rPr>
          <w:sz w:val="20"/>
          <w:szCs w:val="20"/>
        </w:rPr>
        <w:t>La necesidad y oportunidad de su aprobación.</w:t>
      </w:r>
    </w:p>
    <w:p w14:paraId="6E6444B9" w14:textId="2165073F" w:rsidR="00D96EAF" w:rsidRPr="00F26C0C" w:rsidRDefault="00D96EAF" w:rsidP="00D96EAF">
      <w:pPr>
        <w:numPr>
          <w:ilvl w:val="0"/>
          <w:numId w:val="1"/>
        </w:numPr>
        <w:jc w:val="both"/>
        <w:rPr>
          <w:sz w:val="20"/>
          <w:szCs w:val="20"/>
        </w:rPr>
      </w:pPr>
      <w:r w:rsidRPr="00F26C0C">
        <w:rPr>
          <w:sz w:val="20"/>
          <w:szCs w:val="20"/>
        </w:rPr>
        <w:t>El objetivo de la norma.</w:t>
      </w:r>
    </w:p>
    <w:p w14:paraId="13C43C4C" w14:textId="043E40A6" w:rsidR="00D96EAF" w:rsidRPr="00F26C0C" w:rsidRDefault="00D96EAF" w:rsidP="00D96EAF">
      <w:pPr>
        <w:numPr>
          <w:ilvl w:val="0"/>
          <w:numId w:val="1"/>
        </w:numPr>
        <w:jc w:val="both"/>
        <w:rPr>
          <w:sz w:val="20"/>
          <w:szCs w:val="20"/>
        </w:rPr>
      </w:pPr>
      <w:r w:rsidRPr="00F26C0C">
        <w:rPr>
          <w:sz w:val="20"/>
          <w:szCs w:val="20"/>
        </w:rPr>
        <w:t>Las posibles alternativas regulatorias y no regulatorias.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85"/>
      </w:tblGrid>
      <w:tr w:rsidR="00033E60" w:rsidRPr="00EA23C9" w14:paraId="4E754FE3" w14:textId="77777777" w:rsidTr="0074455F">
        <w:trPr>
          <w:jc w:val="center"/>
        </w:trPr>
        <w:tc>
          <w:tcPr>
            <w:tcW w:w="2660" w:type="dxa"/>
            <w:shd w:val="clear" w:color="auto" w:fill="BDD6EE"/>
            <w:vAlign w:val="center"/>
          </w:tcPr>
          <w:p w14:paraId="26900E97" w14:textId="6C1869BD" w:rsidR="00033E60" w:rsidRPr="00EA23C9" w:rsidRDefault="00033E60" w:rsidP="00EA23C9">
            <w:pPr>
              <w:jc w:val="both"/>
              <w:rPr>
                <w:b/>
                <w:sz w:val="20"/>
                <w:szCs w:val="20"/>
              </w:rPr>
            </w:pPr>
            <w:r w:rsidRPr="00EA23C9">
              <w:rPr>
                <w:b/>
                <w:sz w:val="20"/>
                <w:szCs w:val="20"/>
              </w:rPr>
              <w:t>Antecedentes de la norma</w:t>
            </w:r>
          </w:p>
        </w:tc>
        <w:tc>
          <w:tcPr>
            <w:tcW w:w="5985" w:type="dxa"/>
            <w:shd w:val="clear" w:color="auto" w:fill="C5E0B3"/>
          </w:tcPr>
          <w:p w14:paraId="2AB96A82" w14:textId="77777777" w:rsidR="00033E60" w:rsidRPr="00EA23C9" w:rsidRDefault="009858BC" w:rsidP="009858BC">
            <w:pPr>
              <w:rPr>
                <w:sz w:val="20"/>
                <w:szCs w:val="20"/>
              </w:rPr>
            </w:pPr>
            <w:r w:rsidRPr="00EA23C9">
              <w:rPr>
                <w:sz w:val="20"/>
                <w:szCs w:val="20"/>
              </w:rPr>
              <w:t>Real Decreto-Ley 15/2018, de 5 de octubre, de Medidas urgentes para la transición energética y la protección de consumidores.</w:t>
            </w:r>
          </w:p>
          <w:p w14:paraId="3810D4D2" w14:textId="5534B9C3" w:rsidR="009858BC" w:rsidRPr="00EA23C9" w:rsidRDefault="009858BC" w:rsidP="00EA23C9">
            <w:pPr>
              <w:jc w:val="both"/>
              <w:rPr>
                <w:sz w:val="20"/>
                <w:szCs w:val="20"/>
              </w:rPr>
            </w:pPr>
            <w:r w:rsidRPr="00EA23C9">
              <w:rPr>
                <w:sz w:val="20"/>
                <w:szCs w:val="20"/>
              </w:rPr>
              <w:t xml:space="preserve">Sentencia 134/2020, de 23 de septiembre de 2020. Recurso de inconstitucionalidad 4178-2019. Interpuesto por el Gobierno Vasco en relación con diversos preceptos del Real Decreto-ley 15/2018, de 5 de octubre, de medidas urgentes para la transición energética y la protección de los consumidores </w:t>
            </w:r>
          </w:p>
          <w:p w14:paraId="665C85F8" w14:textId="56547EC3" w:rsidR="009858BC" w:rsidRPr="00EA23C9" w:rsidRDefault="009858BC" w:rsidP="00EA23C9">
            <w:pPr>
              <w:jc w:val="both"/>
              <w:rPr>
                <w:sz w:val="20"/>
                <w:szCs w:val="20"/>
              </w:rPr>
            </w:pPr>
            <w:r w:rsidRPr="00EA23C9">
              <w:rPr>
                <w:sz w:val="20"/>
                <w:szCs w:val="20"/>
              </w:rPr>
              <w:t xml:space="preserve">Orden de 9 de junio de 2021, de la Consejera de Igualdad, Justicia y Políticas Sociales, sobre la gestión, resolución y pago del bono social térmico correspondiente al año 2020. </w:t>
            </w:r>
          </w:p>
          <w:p w14:paraId="7F8C8FCB" w14:textId="0CFAED7E" w:rsidR="009858BC" w:rsidRPr="00EA23C9" w:rsidRDefault="009858BC" w:rsidP="00EA23C9">
            <w:pPr>
              <w:pStyle w:val="3izenburua"/>
              <w:spacing w:before="0" w:after="0" w:line="240" w:lineRule="auto"/>
              <w:rPr>
                <w:sz w:val="20"/>
                <w:szCs w:val="20"/>
              </w:rPr>
            </w:pPr>
            <w:r w:rsidRPr="00EA23C9">
              <w:rPr>
                <w:rFonts w:ascii="Calibri" w:hAnsi="Calibri"/>
                <w:i w:val="0"/>
                <w:sz w:val="20"/>
                <w:szCs w:val="20"/>
              </w:rPr>
              <w:t>Orden de 19 de octubre de 2022, de la Consejera de Igualdad, Justicia y Políticas Sociales, sobre la gestión, resolución y pago del bono social térmico correspondiente al año 2021.</w:t>
            </w:r>
          </w:p>
        </w:tc>
      </w:tr>
      <w:tr w:rsidR="00033E60" w:rsidRPr="00EA23C9" w14:paraId="0407ADA9" w14:textId="77777777" w:rsidTr="0074455F">
        <w:trPr>
          <w:jc w:val="center"/>
        </w:trPr>
        <w:tc>
          <w:tcPr>
            <w:tcW w:w="2660" w:type="dxa"/>
            <w:shd w:val="clear" w:color="auto" w:fill="BDD6EE"/>
            <w:vAlign w:val="center"/>
          </w:tcPr>
          <w:p w14:paraId="6D5E817B" w14:textId="04B65EC8" w:rsidR="00033E60" w:rsidRPr="00EA23C9" w:rsidRDefault="00033E60" w:rsidP="00EA23C9">
            <w:pPr>
              <w:jc w:val="both"/>
              <w:rPr>
                <w:b/>
                <w:sz w:val="20"/>
                <w:szCs w:val="20"/>
              </w:rPr>
            </w:pPr>
            <w:r w:rsidRPr="00EA23C9">
              <w:rPr>
                <w:b/>
                <w:sz w:val="20"/>
                <w:szCs w:val="20"/>
              </w:rPr>
              <w:t>Los problemas que se pretenden solucionar con la iniciativa</w:t>
            </w:r>
          </w:p>
        </w:tc>
        <w:tc>
          <w:tcPr>
            <w:tcW w:w="5985" w:type="dxa"/>
            <w:shd w:val="clear" w:color="auto" w:fill="C5E0B3"/>
          </w:tcPr>
          <w:p w14:paraId="5D9A504E" w14:textId="1BE65815" w:rsidR="00033E60" w:rsidRPr="00EA23C9" w:rsidRDefault="00352CDF" w:rsidP="00EA23C9">
            <w:pPr>
              <w:jc w:val="both"/>
              <w:rPr>
                <w:sz w:val="20"/>
                <w:szCs w:val="20"/>
              </w:rPr>
            </w:pPr>
            <w:r w:rsidRPr="00EA23C9">
              <w:rPr>
                <w:sz w:val="20"/>
                <w:szCs w:val="20"/>
              </w:rPr>
              <w:t xml:space="preserve">Dar carácter permanente a la regulación de la gestión, resolución y pago del bono social térmico </w:t>
            </w:r>
            <w:r w:rsidR="00772029" w:rsidRPr="00EA23C9">
              <w:rPr>
                <w:sz w:val="20"/>
                <w:szCs w:val="20"/>
              </w:rPr>
              <w:t>que hasta ahora se venía regulando anualmente.</w:t>
            </w:r>
          </w:p>
        </w:tc>
      </w:tr>
      <w:tr w:rsidR="00033E60" w:rsidRPr="00EA23C9" w14:paraId="7C90C95E" w14:textId="77777777" w:rsidTr="0074455F">
        <w:trPr>
          <w:jc w:val="center"/>
        </w:trPr>
        <w:tc>
          <w:tcPr>
            <w:tcW w:w="2660" w:type="dxa"/>
            <w:shd w:val="clear" w:color="auto" w:fill="BDD6EE"/>
            <w:vAlign w:val="center"/>
          </w:tcPr>
          <w:p w14:paraId="383ADA77" w14:textId="77777777" w:rsidR="00033E60" w:rsidRPr="00EA23C9" w:rsidRDefault="00033E60" w:rsidP="00EA23C9">
            <w:pPr>
              <w:jc w:val="both"/>
              <w:rPr>
                <w:b/>
                <w:sz w:val="20"/>
                <w:szCs w:val="20"/>
              </w:rPr>
            </w:pPr>
            <w:r w:rsidRPr="00EA23C9">
              <w:rPr>
                <w:b/>
                <w:sz w:val="20"/>
                <w:szCs w:val="20"/>
              </w:rPr>
              <w:t>La necesidad y oportunidad de su aprobación.</w:t>
            </w:r>
          </w:p>
          <w:p w14:paraId="05869C19" w14:textId="77777777" w:rsidR="00033E60" w:rsidRPr="00EA23C9" w:rsidRDefault="00033E60" w:rsidP="00EA23C9">
            <w:pPr>
              <w:jc w:val="both"/>
              <w:rPr>
                <w:b/>
                <w:sz w:val="20"/>
                <w:szCs w:val="20"/>
              </w:rPr>
            </w:pPr>
          </w:p>
        </w:tc>
        <w:tc>
          <w:tcPr>
            <w:tcW w:w="5985" w:type="dxa"/>
            <w:shd w:val="clear" w:color="auto" w:fill="C5E0B3"/>
          </w:tcPr>
          <w:p w14:paraId="6A460A3C" w14:textId="77777777" w:rsidR="00033E60" w:rsidRPr="00EA23C9" w:rsidRDefault="00035DEC" w:rsidP="00EA23C9">
            <w:pPr>
              <w:jc w:val="both"/>
              <w:rPr>
                <w:sz w:val="20"/>
                <w:szCs w:val="20"/>
              </w:rPr>
            </w:pPr>
            <w:r w:rsidRPr="00EA23C9">
              <w:rPr>
                <w:sz w:val="20"/>
                <w:szCs w:val="20"/>
              </w:rPr>
              <w:t xml:space="preserve">En el Real Decreto-ley 15/2018, de 5 de octubre, de medidas urgentes para la transición energética y la protección de los consumidores, se amplió la protección a otros usos energéticos diferentes del eléctrico, mediante la creación de un bono social para usos térmicos que permite aliviar la factura energética de los hogares para los combustibles para la calefacción, agua caliente sanitaria o cocina. </w:t>
            </w:r>
          </w:p>
          <w:p w14:paraId="6C40B8C7" w14:textId="42F101CF" w:rsidR="00035DEC" w:rsidRPr="00EA23C9" w:rsidRDefault="00035DEC" w:rsidP="00EA23C9">
            <w:pPr>
              <w:jc w:val="both"/>
              <w:rPr>
                <w:sz w:val="20"/>
                <w:szCs w:val="20"/>
              </w:rPr>
            </w:pPr>
            <w:r w:rsidRPr="00EA23C9">
              <w:rPr>
                <w:sz w:val="20"/>
                <w:szCs w:val="20"/>
              </w:rPr>
              <w:t xml:space="preserve">El Bono Social Térmico es una ayuda directa con cargo a los Presupuestos Generales del Estado </w:t>
            </w:r>
            <w:r w:rsidR="00772029" w:rsidRPr="00EA23C9">
              <w:rPr>
                <w:sz w:val="20"/>
                <w:szCs w:val="20"/>
              </w:rPr>
              <w:t>y en todo caso, sujeta al límite de disponibilidad presupuestaria fijado en cada año en la Ley de Presupuestos Generales del Estado para este concepto.</w:t>
            </w:r>
            <w:r w:rsidRPr="00EA23C9">
              <w:rPr>
                <w:sz w:val="20"/>
                <w:szCs w:val="20"/>
              </w:rPr>
              <w:t xml:space="preserve"> </w:t>
            </w:r>
            <w:r w:rsidR="00772029" w:rsidRPr="00EA23C9">
              <w:rPr>
                <w:sz w:val="20"/>
                <w:szCs w:val="20"/>
              </w:rPr>
              <w:t>S</w:t>
            </w:r>
            <w:r w:rsidRPr="00EA23C9">
              <w:rPr>
                <w:sz w:val="20"/>
                <w:szCs w:val="20"/>
              </w:rPr>
              <w:t xml:space="preserve">e prevé que la gestión y pago del mismo corresponde a las comunidades autónomas. </w:t>
            </w:r>
            <w:bookmarkStart w:id="0" w:name="_GoBack"/>
            <w:bookmarkEnd w:id="0"/>
          </w:p>
          <w:p w14:paraId="6EA9F6A7" w14:textId="77777777" w:rsidR="00F26C0C" w:rsidRPr="00EA23C9" w:rsidRDefault="00F26C0C" w:rsidP="00EA23C9">
            <w:pPr>
              <w:jc w:val="both"/>
              <w:rPr>
                <w:sz w:val="20"/>
                <w:szCs w:val="20"/>
              </w:rPr>
            </w:pPr>
          </w:p>
          <w:p w14:paraId="181F1C63" w14:textId="71D0B483" w:rsidR="00772029" w:rsidRPr="00EA23C9" w:rsidRDefault="00772029" w:rsidP="00EA23C9">
            <w:pPr>
              <w:jc w:val="both"/>
              <w:rPr>
                <w:sz w:val="20"/>
                <w:szCs w:val="20"/>
              </w:rPr>
            </w:pPr>
            <w:r w:rsidRPr="00EA23C9">
              <w:rPr>
                <w:sz w:val="20"/>
                <w:szCs w:val="20"/>
              </w:rPr>
              <w:t>Se pretende con esta norma tramitar la norma reglamentaria que complemente el procedimiento requerido para la gestión y abono del bono social térmico durante todo el periodo de vigencia del bono social térmico.</w:t>
            </w:r>
          </w:p>
        </w:tc>
      </w:tr>
      <w:tr w:rsidR="00033E60" w:rsidRPr="00EA23C9" w14:paraId="182F64BF" w14:textId="77777777" w:rsidTr="0074455F">
        <w:trPr>
          <w:jc w:val="center"/>
        </w:trPr>
        <w:tc>
          <w:tcPr>
            <w:tcW w:w="2660" w:type="dxa"/>
            <w:shd w:val="clear" w:color="auto" w:fill="BDD6EE"/>
            <w:vAlign w:val="center"/>
          </w:tcPr>
          <w:p w14:paraId="4319B86B" w14:textId="77777777" w:rsidR="00033E60" w:rsidRPr="00EA23C9" w:rsidRDefault="00033E60" w:rsidP="00EA23C9">
            <w:pPr>
              <w:jc w:val="both"/>
              <w:rPr>
                <w:b/>
                <w:sz w:val="20"/>
                <w:szCs w:val="20"/>
              </w:rPr>
            </w:pPr>
            <w:r w:rsidRPr="00EA23C9">
              <w:rPr>
                <w:b/>
                <w:sz w:val="20"/>
                <w:szCs w:val="20"/>
              </w:rPr>
              <w:lastRenderedPageBreak/>
              <w:t>El objetivo de la norma.</w:t>
            </w:r>
          </w:p>
          <w:p w14:paraId="598A1F52" w14:textId="77777777" w:rsidR="00033E60" w:rsidRPr="00EA23C9" w:rsidRDefault="00033E60" w:rsidP="00EA23C9">
            <w:pPr>
              <w:jc w:val="both"/>
              <w:rPr>
                <w:b/>
                <w:sz w:val="20"/>
                <w:szCs w:val="20"/>
              </w:rPr>
            </w:pPr>
          </w:p>
        </w:tc>
        <w:tc>
          <w:tcPr>
            <w:tcW w:w="5985" w:type="dxa"/>
            <w:shd w:val="clear" w:color="auto" w:fill="C5E0B3"/>
          </w:tcPr>
          <w:p w14:paraId="22E07684" w14:textId="71E0AA8A" w:rsidR="00033E60" w:rsidRPr="00EA23C9" w:rsidRDefault="00772029" w:rsidP="00EA23C9">
            <w:pPr>
              <w:jc w:val="both"/>
              <w:rPr>
                <w:sz w:val="20"/>
                <w:szCs w:val="20"/>
              </w:rPr>
            </w:pPr>
            <w:r w:rsidRPr="00EA23C9">
              <w:rPr>
                <w:sz w:val="20"/>
                <w:szCs w:val="20"/>
              </w:rPr>
              <w:t>El proyecto de decreto tiene por objeto articular el marco de actuación para la gestión, resolución y pago del “Bono Social Térmico” en el ámbito de la Comunidad Autónoma del País Vasco, de conformidad con lo dispuesto en el 10 de Real Decreto-Ley 15/2018, de 5 de octubre, de medidas urgentes para la transición energética y la protección de los consumidores.</w:t>
            </w:r>
          </w:p>
        </w:tc>
      </w:tr>
      <w:tr w:rsidR="00033E60" w:rsidRPr="00EA23C9" w14:paraId="1CA5395E" w14:textId="77777777" w:rsidTr="0074455F">
        <w:trPr>
          <w:jc w:val="center"/>
        </w:trPr>
        <w:tc>
          <w:tcPr>
            <w:tcW w:w="2660" w:type="dxa"/>
            <w:shd w:val="clear" w:color="auto" w:fill="BDD6EE"/>
            <w:vAlign w:val="center"/>
          </w:tcPr>
          <w:p w14:paraId="6D38AF1A" w14:textId="72406C72" w:rsidR="00033E60" w:rsidRPr="00EA23C9" w:rsidRDefault="00033E60" w:rsidP="00EA23C9">
            <w:pPr>
              <w:jc w:val="both"/>
              <w:rPr>
                <w:b/>
                <w:sz w:val="20"/>
                <w:szCs w:val="20"/>
              </w:rPr>
            </w:pPr>
            <w:r w:rsidRPr="00EA23C9">
              <w:rPr>
                <w:b/>
                <w:sz w:val="20"/>
                <w:szCs w:val="20"/>
              </w:rPr>
              <w:t>Las posibles soluciones alternativas regulatorias y no regulatorias</w:t>
            </w:r>
          </w:p>
        </w:tc>
        <w:tc>
          <w:tcPr>
            <w:tcW w:w="5985" w:type="dxa"/>
            <w:shd w:val="clear" w:color="auto" w:fill="C5E0B3"/>
          </w:tcPr>
          <w:p w14:paraId="32A26FBB" w14:textId="4D16FDDD" w:rsidR="00033E60" w:rsidRPr="00EA23C9" w:rsidRDefault="00F26C0C" w:rsidP="00F26C0C">
            <w:pPr>
              <w:rPr>
                <w:sz w:val="20"/>
                <w:szCs w:val="20"/>
              </w:rPr>
            </w:pPr>
            <w:r w:rsidRPr="00EA23C9">
              <w:rPr>
                <w:sz w:val="20"/>
                <w:szCs w:val="20"/>
              </w:rPr>
              <w:t>En tal contexto, la elaboración de una disposición normativa de carácter general  se presenta como inexcusable sin que se puedan contemplar otras soluciones provisionales que se han tomado hasta la fecha.</w:t>
            </w:r>
          </w:p>
        </w:tc>
      </w:tr>
    </w:tbl>
    <w:p w14:paraId="18158772" w14:textId="77777777" w:rsidR="00033E60" w:rsidRPr="00F26C0C" w:rsidRDefault="00033E60" w:rsidP="00033E60">
      <w:pPr>
        <w:jc w:val="both"/>
        <w:rPr>
          <w:sz w:val="20"/>
          <w:szCs w:val="20"/>
        </w:rPr>
      </w:pPr>
    </w:p>
    <w:p w14:paraId="44E6249A" w14:textId="4C170BF9" w:rsidR="00D96EAF" w:rsidRPr="00F26C0C" w:rsidRDefault="00D96EAF" w:rsidP="00D96EAF">
      <w:pPr>
        <w:rPr>
          <w:sz w:val="20"/>
          <w:szCs w:val="20"/>
          <w:lang w:val="eu-ES"/>
        </w:rPr>
      </w:pPr>
    </w:p>
    <w:p w14:paraId="2B333C1B" w14:textId="0A2444BE" w:rsidR="00D96EAF" w:rsidRPr="00F26C0C" w:rsidRDefault="00D96EAF" w:rsidP="00D96EAF">
      <w:pPr>
        <w:rPr>
          <w:sz w:val="20"/>
          <w:szCs w:val="20"/>
          <w:lang w:val="eu-ES"/>
        </w:rPr>
      </w:pPr>
    </w:p>
    <w:p w14:paraId="2C6DDE1A" w14:textId="0DEE6450" w:rsidR="00D96EAF" w:rsidRDefault="00D96EAF" w:rsidP="00D96EAF">
      <w:pPr>
        <w:rPr>
          <w:lang w:val="eu-ES"/>
        </w:rPr>
      </w:pPr>
    </w:p>
    <w:p w14:paraId="0D8B14E0" w14:textId="2BAC979D" w:rsidR="00D96EAF" w:rsidRDefault="00D96EAF" w:rsidP="00D96EAF">
      <w:pPr>
        <w:rPr>
          <w:lang w:val="eu-ES"/>
        </w:rPr>
      </w:pPr>
    </w:p>
    <w:p w14:paraId="17412B65" w14:textId="3A2A6E80" w:rsidR="00D96EAF" w:rsidRDefault="00D96EAF" w:rsidP="00D96EAF">
      <w:pPr>
        <w:rPr>
          <w:lang w:val="eu-ES"/>
        </w:rPr>
      </w:pPr>
    </w:p>
    <w:p w14:paraId="08DDEFCE" w14:textId="45457A5E" w:rsidR="00D96EAF" w:rsidRDefault="00D96EAF" w:rsidP="00D96EAF">
      <w:pPr>
        <w:rPr>
          <w:lang w:val="eu-ES"/>
        </w:rPr>
      </w:pPr>
    </w:p>
    <w:p w14:paraId="15743B66" w14:textId="77777777" w:rsidR="00D96EAF" w:rsidRPr="00D96EAF" w:rsidRDefault="00D96EAF" w:rsidP="00D96EAF">
      <w:pPr>
        <w:rPr>
          <w:lang w:val="eu-ES"/>
        </w:rPr>
      </w:pPr>
    </w:p>
    <w:sectPr w:rsidR="00D96EAF" w:rsidRPr="00D96EAF">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95446" w14:textId="77777777" w:rsidR="0074455F" w:rsidRDefault="0074455F">
      <w:r>
        <w:separator/>
      </w:r>
    </w:p>
  </w:endnote>
  <w:endnote w:type="continuationSeparator" w:id="0">
    <w:p w14:paraId="0BB1429B" w14:textId="77777777" w:rsidR="0074455F" w:rsidRDefault="007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2DE3" w14:textId="77777777" w:rsidR="00AB30F6" w:rsidRDefault="00AB30F6">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22E1215A" w14:textId="77777777" w:rsidR="00AB30F6" w:rsidRDefault="00AB30F6">
    <w:pPr>
      <w:pStyle w:val="Orri-oina"/>
      <w:tabs>
        <w:tab w:val="clear" w:pos="9071"/>
      </w:tabs>
      <w:jc w:val="center"/>
      <w:rPr>
        <w:rFonts w:ascii="Arial" w:hAnsi="Arial"/>
        <w:sz w:val="13"/>
      </w:rPr>
    </w:pPr>
    <w:r>
      <w:rPr>
        <w:rFonts w:ascii="Arial" w:hAnsi="Arial"/>
        <w:sz w:val="13"/>
      </w:rPr>
      <w:t xml:space="preserve"> </w:t>
    </w:r>
    <w:proofErr w:type="spellStart"/>
    <w:r w:rsidR="005753B0">
      <w:rPr>
        <w:rFonts w:ascii="Arial" w:hAnsi="Arial"/>
        <w:sz w:val="13"/>
      </w:rPr>
      <w:t>T</w:t>
    </w:r>
    <w:r>
      <w:rPr>
        <w:rFonts w:ascii="Arial" w:hAnsi="Arial"/>
        <w:sz w:val="13"/>
      </w:rPr>
      <w:t>ef</w:t>
    </w:r>
    <w:proofErr w:type="spellEnd"/>
    <w:r>
      <w:rPr>
        <w:rFonts w:ascii="Arial" w:hAnsi="Arial"/>
        <w:sz w:val="13"/>
      </w:rPr>
      <w:t xml:space="preserve">. 945 01 </w:t>
    </w:r>
    <w:r w:rsidR="005753B0">
      <w:rPr>
        <w:rFonts w:ascii="Arial" w:hAnsi="Arial"/>
        <w:sz w:val="13"/>
      </w:rPr>
      <w:t>64</w:t>
    </w:r>
    <w:r>
      <w:rPr>
        <w:rFonts w:ascii="Arial" w:hAnsi="Arial"/>
        <w:sz w:val="13"/>
      </w:rPr>
      <w:t xml:space="preserve"> </w:t>
    </w:r>
    <w:r w:rsidR="005753B0">
      <w:rPr>
        <w:rFonts w:ascii="Arial" w:hAnsi="Arial"/>
        <w:sz w:val="13"/>
      </w:rPr>
      <w:t>08</w:t>
    </w:r>
    <w:r>
      <w:rPr>
        <w:rFonts w:ascii="Arial" w:hAnsi="Arial"/>
        <w:sz w:val="13"/>
      </w:rPr>
      <w:t xml:space="preserve"> – Fax 945 01 9</w:t>
    </w:r>
    <w:r w:rsidR="005753B0">
      <w:rPr>
        <w:rFonts w:ascii="Arial" w:hAnsi="Arial"/>
        <w:sz w:val="13"/>
      </w:rPr>
      <w:t>3 11</w:t>
    </w:r>
    <w:r>
      <w:rPr>
        <w:rFonts w:ascii="Arial" w:hAnsi="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BC3C" w14:textId="77777777" w:rsidR="0074455F" w:rsidRDefault="0074455F">
      <w:r>
        <w:separator/>
      </w:r>
    </w:p>
  </w:footnote>
  <w:footnote w:type="continuationSeparator" w:id="0">
    <w:p w14:paraId="00A969E1" w14:textId="77777777" w:rsidR="0074455F" w:rsidRDefault="0074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9579" w14:textId="77777777" w:rsidR="00AB30F6" w:rsidRDefault="00AB30F6">
    <w:pPr>
      <w:pStyle w:val="Goiburua"/>
      <w:jc w:val="center"/>
    </w:pPr>
    <w:r>
      <w:rPr>
        <w:noProof/>
      </w:rPr>
      <w:object w:dxaOrig="11549" w:dyaOrig="1410" w14:anchorId="082DE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733749089" r:id="rId2"/>
      </w:object>
    </w:r>
  </w:p>
  <w:p w14:paraId="65163656" w14:textId="77777777" w:rsidR="00AB30F6" w:rsidRDefault="00AB30F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50AC" w14:textId="5B07A251" w:rsidR="00AB30F6" w:rsidRDefault="0074455F">
    <w:pPr>
      <w:pStyle w:val="Goiburua"/>
      <w:tabs>
        <w:tab w:val="right" w:pos="9923"/>
      </w:tabs>
      <w:ind w:right="-142"/>
      <w:jc w:val="center"/>
      <w:rPr>
        <w:rFonts w:ascii="Arial" w:hAnsi="Arial"/>
        <w:sz w:val="16"/>
      </w:rPr>
    </w:pPr>
    <w:r>
      <w:rPr>
        <w:rFonts w:ascii="Times New Roman" w:hAnsi="Times New Roman"/>
        <w:noProof/>
        <w:sz w:val="16"/>
        <w:lang w:val="es-ES_tradnl" w:eastAsia="es-ES_tradnl"/>
      </w:rPr>
      <w:pict w14:anchorId="42840EB3">
        <v:shapetype id="_x0000_t202" coordsize="21600,21600" o:spt="202" path="m,l,21600r21600,l21600,xe">
          <v:stroke joinstyle="miter"/>
          <v:path gradientshapeok="t" o:connecttype="rect"/>
        </v:shapetype>
        <v:shape id="_x0000_s2049" type="#_x0000_t202" style="position:absolute;left:0;text-align:left;margin-left:155.95pt;margin-top:67.2pt;width:139.25pt;height:26.9pt;z-index:1;mso-position-horizontal-relative:page;mso-position-vertical-relative:page" o:allowincell="f" filled="f" stroked="f">
          <v:textbox style="mso-next-textbox:#_x0000_s2049">
            <w:txbxContent>
              <w:p w14:paraId="4856BC56" w14:textId="5F878885" w:rsidR="00AB30F6" w:rsidRPr="0072189C" w:rsidRDefault="00AB30F6" w:rsidP="00C52BE3">
                <w:pPr>
                  <w:pStyle w:val="4izenburua"/>
                  <w:spacing w:before="0" w:after="80"/>
                  <w:rPr>
                    <w:lang w:val="eu-ES"/>
                  </w:rPr>
                </w:pPr>
              </w:p>
            </w:txbxContent>
          </v:textbox>
          <w10:wrap type="square" anchorx="page" anchory="page"/>
        </v:shape>
      </w:pict>
    </w:r>
  </w:p>
  <w:p w14:paraId="4EEAF2D6" w14:textId="2672EDC9" w:rsidR="00772029" w:rsidRDefault="00772029">
    <w:pPr>
      <w:pStyle w:val="Goiburua"/>
      <w:tabs>
        <w:tab w:val="right" w:pos="9923"/>
      </w:tabs>
      <w:ind w:right="-142"/>
      <w:jc w:val="center"/>
      <w:rPr>
        <w:rFonts w:ascii="Arial" w:hAnsi="Arial"/>
        <w:sz w:val="16"/>
      </w:rPr>
    </w:pPr>
  </w:p>
  <w:p w14:paraId="2218FD08" w14:textId="77777777" w:rsidR="00772029" w:rsidRDefault="00772029">
    <w:pPr>
      <w:pStyle w:val="Goiburua"/>
      <w:tabs>
        <w:tab w:val="right" w:pos="9923"/>
      </w:tabs>
      <w:ind w:right="-142"/>
      <w:jc w:val="center"/>
      <w:rPr>
        <w:rFonts w:ascii="Arial" w:hAnsi="Arial"/>
        <w:sz w:val="16"/>
      </w:rPr>
    </w:pPr>
  </w:p>
  <w:p w14:paraId="7DC1BACF" w14:textId="77777777" w:rsidR="00AB30F6" w:rsidRDefault="00AB30F6">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40E7A"/>
    <w:multiLevelType w:val="hybridMultilevel"/>
    <w:tmpl w:val="405EB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activeWritingStyle w:appName="MSWord" w:lang="es-ES_tradnl" w:vendorID="64" w:dllVersion="131078" w:nlCheck="1" w:checkStyle="1"/>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EAB"/>
    <w:rsid w:val="00033135"/>
    <w:rsid w:val="00033E60"/>
    <w:rsid w:val="00035DEC"/>
    <w:rsid w:val="00047670"/>
    <w:rsid w:val="0009137E"/>
    <w:rsid w:val="000F4B24"/>
    <w:rsid w:val="00102AC0"/>
    <w:rsid w:val="0010382E"/>
    <w:rsid w:val="002458AF"/>
    <w:rsid w:val="00251F74"/>
    <w:rsid w:val="00257DB5"/>
    <w:rsid w:val="00352CDF"/>
    <w:rsid w:val="003A6486"/>
    <w:rsid w:val="003A711C"/>
    <w:rsid w:val="003E2163"/>
    <w:rsid w:val="00414727"/>
    <w:rsid w:val="0044493F"/>
    <w:rsid w:val="00451433"/>
    <w:rsid w:val="004F4000"/>
    <w:rsid w:val="005308BB"/>
    <w:rsid w:val="00555F18"/>
    <w:rsid w:val="005753B0"/>
    <w:rsid w:val="005B5C63"/>
    <w:rsid w:val="005F43D8"/>
    <w:rsid w:val="00652CBD"/>
    <w:rsid w:val="006B5ADA"/>
    <w:rsid w:val="0072158C"/>
    <w:rsid w:val="0072189C"/>
    <w:rsid w:val="0074455F"/>
    <w:rsid w:val="00772029"/>
    <w:rsid w:val="007B5DEB"/>
    <w:rsid w:val="00845F94"/>
    <w:rsid w:val="008672F3"/>
    <w:rsid w:val="00894BB9"/>
    <w:rsid w:val="008A26EC"/>
    <w:rsid w:val="008E5A4E"/>
    <w:rsid w:val="00965EAB"/>
    <w:rsid w:val="00967A48"/>
    <w:rsid w:val="009858BC"/>
    <w:rsid w:val="009875CA"/>
    <w:rsid w:val="009F0D25"/>
    <w:rsid w:val="00AA3125"/>
    <w:rsid w:val="00AB30F6"/>
    <w:rsid w:val="00B04D10"/>
    <w:rsid w:val="00C52BE3"/>
    <w:rsid w:val="00C61A22"/>
    <w:rsid w:val="00C87E86"/>
    <w:rsid w:val="00CC3F23"/>
    <w:rsid w:val="00CE7575"/>
    <w:rsid w:val="00D82BC4"/>
    <w:rsid w:val="00D96EAF"/>
    <w:rsid w:val="00DE1E42"/>
    <w:rsid w:val="00E706C6"/>
    <w:rsid w:val="00EA23C9"/>
    <w:rsid w:val="00F16E05"/>
    <w:rsid w:val="00F247CF"/>
    <w:rsid w:val="00F26C0C"/>
    <w:rsid w:val="00FA08BE"/>
    <w:rsid w:val="00FD0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34DF9E"/>
  <w15:chartTrackingRefBased/>
  <w15:docId w15:val="{43E448EE-4F54-469A-BF6D-5BA6CE4B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65EAB"/>
    <w:pPr>
      <w:spacing w:after="160" w:line="259" w:lineRule="auto"/>
    </w:pPr>
    <w:rPr>
      <w:rFonts w:ascii="Calibri" w:eastAsia="Calibri" w:hAnsi="Calibri"/>
      <w:sz w:val="22"/>
      <w:szCs w:val="22"/>
      <w:lang w:eastAsia="en-US"/>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customStyle="1" w:styleId="Nivel1">
    <w:name w:val="Nivel1"/>
    <w:basedOn w:val="Normala"/>
    <w:rsid w:val="008672F3"/>
    <w:pPr>
      <w:spacing w:after="35"/>
    </w:pPr>
    <w:rPr>
      <w:rFonts w:ascii="Arial" w:hAnsi="Arial"/>
      <w:b/>
      <w:sz w:val="14"/>
    </w:rPr>
  </w:style>
  <w:style w:type="table" w:styleId="Saretaduntaula">
    <w:name w:val="Table Grid"/>
    <w:basedOn w:val="Taulanormala"/>
    <w:rsid w:val="00C61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84819">
      <w:bodyDiv w:val="1"/>
      <w:marLeft w:val="0"/>
      <w:marRight w:val="0"/>
      <w:marTop w:val="0"/>
      <w:marBottom w:val="0"/>
      <w:divBdr>
        <w:top w:val="none" w:sz="0" w:space="0" w:color="auto"/>
        <w:left w:val="none" w:sz="0" w:space="0" w:color="auto"/>
        <w:bottom w:val="none" w:sz="0" w:space="0" w:color="auto"/>
        <w:right w:val="none" w:sz="0" w:space="0" w:color="auto"/>
      </w:divBdr>
    </w:div>
    <w:div w:id="1689868145">
      <w:bodyDiv w:val="1"/>
      <w:marLeft w:val="0"/>
      <w:marRight w:val="0"/>
      <w:marTop w:val="0"/>
      <w:marBottom w:val="0"/>
      <w:divBdr>
        <w:top w:val="none" w:sz="0" w:space="0" w:color="auto"/>
        <w:left w:val="none" w:sz="0" w:space="0" w:color="auto"/>
        <w:bottom w:val="none" w:sz="0" w:space="0" w:color="auto"/>
        <w:right w:val="none" w:sz="0" w:space="0" w:color="auto"/>
      </w:divBdr>
    </w:div>
    <w:div w:id="19969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Plantillas\Legislatura%202020\D-SerSo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F7997EF877A46A534ADA910475147" ma:contentTypeVersion="14" ma:contentTypeDescription="Create a new document." ma:contentTypeScope="" ma:versionID="29dcb026bec747ce29dde8c11d7efae5">
  <xsd:schema xmlns:xsd="http://www.w3.org/2001/XMLSchema" xmlns:xs="http://www.w3.org/2001/XMLSchema" xmlns:p="http://schemas.microsoft.com/office/2006/metadata/properties" xmlns:ns3="25adafad-5362-47ab-a926-fdf17069ba6f" xmlns:ns4="f59f2c7e-0e2e-4bc7-b376-3eae36387130" targetNamespace="http://schemas.microsoft.com/office/2006/metadata/properties" ma:root="true" ma:fieldsID="effc57409f889080a5817c57e7e8736a" ns3:_="" ns4:_="">
    <xsd:import namespace="25adafad-5362-47ab-a926-fdf17069ba6f"/>
    <xsd:import namespace="f59f2c7e-0e2e-4bc7-b376-3eae363871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afad-5362-47ab-a926-fdf17069b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9f2c7e-0e2e-4bc7-b376-3eae363871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D8B53-A3A4-472D-9D54-A5C0046AA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4F0D6F-F699-4CB6-B6B2-DF4955878E68}">
  <ds:schemaRefs>
    <ds:schemaRef ds:uri="http://schemas.microsoft.com/sharepoint/v3/contenttype/forms"/>
  </ds:schemaRefs>
</ds:datastoreItem>
</file>

<file path=customXml/itemProps3.xml><?xml version="1.0" encoding="utf-8"?>
<ds:datastoreItem xmlns:ds="http://schemas.openxmlformats.org/officeDocument/2006/customXml" ds:itemID="{CB3808D3-BCF9-4C94-A07C-4AF778EC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afad-5362-47ab-a926-fdf17069ba6f"/>
    <ds:schemaRef ds:uri="f59f2c7e-0e2e-4bc7-b376-3eae3638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D-SerSoc.dotx</Template>
  <TotalTime>53</TotalTime>
  <Pages>2</Pages>
  <Words>535</Words>
  <Characters>2946</Characters>
  <Application>Microsoft Office Word</Application>
  <DocSecurity>0</DocSecurity>
  <Lines>24</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Apodaka Madariaga, Alfonso</dc:creator>
  <cp:keywords/>
  <cp:lastModifiedBy>Magunagoitia Moreno, Igone</cp:lastModifiedBy>
  <cp:revision>4</cp:revision>
  <cp:lastPrinted>1999-10-14T05:58:00Z</cp:lastPrinted>
  <dcterms:created xsi:type="dcterms:W3CDTF">2022-12-20T14:20:00Z</dcterms:created>
  <dcterms:modified xsi:type="dcterms:W3CDTF">2022-12-28T15:12:00Z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0x010100873F7997EF877A46A534ADA910475147</vt:lpwstr>
  </property>
</Properties>
</file>