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45073" w14:textId="77777777" w:rsidR="00A04874" w:rsidRPr="00892AB4" w:rsidRDefault="004C2391" w:rsidP="00A04874">
      <w:pPr>
        <w:pStyle w:val="2izenburua"/>
        <w:rPr>
          <w:color w:val="000000" w:themeColor="text1"/>
          <w:sz w:val="24"/>
          <w:lang w:val="en-US"/>
        </w:rPr>
      </w:pPr>
      <w:permStart w:id="43398423" w:edGrp="everyone"/>
      <w:permEnd w:id="43398423"/>
      <w:r>
        <w:rPr>
          <w:color w:val="000000" w:themeColor="text1"/>
          <w:sz w:val="24"/>
          <w:lang w:val="en-US"/>
        </w:rPr>
        <w:t>EGOERA</w:t>
      </w:r>
      <w:bookmarkStart w:id="0" w:name="_GoBack"/>
      <w:bookmarkEnd w:id="0"/>
    </w:p>
    <w:p w14:paraId="20345074" w14:textId="77777777" w:rsidR="005F42C6" w:rsidRDefault="005F42C6" w:rsidP="00912045">
      <w:pPr>
        <w:spacing w:after="0" w:line="240" w:lineRule="auto"/>
        <w:rPr>
          <w:lang w:val="en-US"/>
        </w:rPr>
      </w:pPr>
    </w:p>
    <w:tbl>
      <w:tblPr>
        <w:tblStyle w:val="Saretaduntaula"/>
        <w:tblW w:w="0" w:type="auto"/>
        <w:tblLook w:val="04A0" w:firstRow="1" w:lastRow="0" w:firstColumn="1" w:lastColumn="0" w:noHBand="0" w:noVBand="1"/>
      </w:tblPr>
      <w:tblGrid>
        <w:gridCol w:w="4360"/>
        <w:gridCol w:w="4360"/>
      </w:tblGrid>
      <w:tr w:rsidR="00A04874" w:rsidRPr="00D573AD" w14:paraId="20345077" w14:textId="77777777" w:rsidTr="00D92CF9">
        <w:tc>
          <w:tcPr>
            <w:tcW w:w="4360" w:type="dxa"/>
          </w:tcPr>
          <w:p w14:paraId="1BB574C6" w14:textId="58D1A44F" w:rsidR="00A04874" w:rsidRPr="00D573AD" w:rsidRDefault="00A04874" w:rsidP="00BB00BA">
            <w:pPr>
              <w:jc w:val="center"/>
              <w:rPr>
                <w:rFonts w:ascii="Times New Roman" w:hAnsi="Times New Roman" w:cs="Times New Roman"/>
                <w:b/>
                <w:sz w:val="20"/>
                <w:szCs w:val="20"/>
              </w:rPr>
            </w:pPr>
            <w:r w:rsidRPr="00D573AD">
              <w:rPr>
                <w:rFonts w:ascii="Times New Roman" w:hAnsi="Times New Roman" w:cs="Times New Roman"/>
                <w:b/>
                <w:sz w:val="20"/>
                <w:szCs w:val="20"/>
              </w:rPr>
              <w:t>GARRAIO</w:t>
            </w:r>
            <w:r w:rsidR="00D573AD">
              <w:rPr>
                <w:rFonts w:ascii="Times New Roman" w:hAnsi="Times New Roman" w:cs="Times New Roman"/>
                <w:b/>
                <w:sz w:val="20"/>
                <w:szCs w:val="20"/>
              </w:rPr>
              <w:t>A</w:t>
            </w:r>
            <w:r w:rsidRPr="00D573AD">
              <w:rPr>
                <w:rFonts w:ascii="Times New Roman" w:hAnsi="Times New Roman" w:cs="Times New Roman"/>
                <w:b/>
                <w:sz w:val="20"/>
                <w:szCs w:val="20"/>
              </w:rPr>
              <w:t xml:space="preserve"> ETA LOGISTIKA HIZTEGIA</w:t>
            </w:r>
          </w:p>
          <w:p w14:paraId="20345075" w14:textId="48030CC2" w:rsidR="00BB00BA" w:rsidRPr="00D573AD" w:rsidRDefault="00D573AD" w:rsidP="00BB00BA">
            <w:pPr>
              <w:jc w:val="center"/>
              <w:rPr>
                <w:rFonts w:ascii="Times New Roman" w:hAnsi="Times New Roman" w:cs="Times New Roman"/>
                <w:b/>
                <w:sz w:val="20"/>
                <w:szCs w:val="20"/>
              </w:rPr>
            </w:pPr>
            <w:r w:rsidRPr="00D573AD">
              <w:rPr>
                <w:rFonts w:ascii="Times New Roman" w:hAnsi="Times New Roman" w:cs="Times New Roman"/>
                <w:b/>
                <w:sz w:val="20"/>
                <w:szCs w:val="20"/>
              </w:rPr>
              <w:t>2016</w:t>
            </w:r>
          </w:p>
        </w:tc>
        <w:tc>
          <w:tcPr>
            <w:tcW w:w="4360" w:type="dxa"/>
          </w:tcPr>
          <w:p w14:paraId="3FF2CE82" w14:textId="6FCC514E" w:rsidR="00A04874" w:rsidRPr="00D573AD" w:rsidRDefault="00A04874" w:rsidP="00BB00BA">
            <w:pPr>
              <w:jc w:val="center"/>
              <w:rPr>
                <w:rFonts w:ascii="Times New Roman" w:hAnsi="Times New Roman" w:cs="Times New Roman"/>
                <w:b/>
                <w:sz w:val="20"/>
                <w:szCs w:val="20"/>
              </w:rPr>
            </w:pPr>
            <w:r w:rsidRPr="00D573AD">
              <w:rPr>
                <w:rFonts w:ascii="Times New Roman" w:hAnsi="Times New Roman" w:cs="Times New Roman"/>
                <w:b/>
                <w:sz w:val="20"/>
                <w:szCs w:val="20"/>
              </w:rPr>
              <w:t>ZIRKULAZIO</w:t>
            </w:r>
            <w:r w:rsidR="00BB00BA" w:rsidRPr="00D573AD">
              <w:rPr>
                <w:rFonts w:ascii="Times New Roman" w:hAnsi="Times New Roman" w:cs="Times New Roman"/>
                <w:b/>
                <w:sz w:val="20"/>
                <w:szCs w:val="20"/>
              </w:rPr>
              <w:t>A</w:t>
            </w:r>
            <w:r w:rsidRPr="00D573AD">
              <w:rPr>
                <w:rFonts w:ascii="Times New Roman" w:hAnsi="Times New Roman" w:cs="Times New Roman"/>
                <w:b/>
                <w:sz w:val="20"/>
                <w:szCs w:val="20"/>
              </w:rPr>
              <w:t xml:space="preserve"> HIZTEGIA</w:t>
            </w:r>
          </w:p>
          <w:p w14:paraId="20345076" w14:textId="23CF4988" w:rsidR="00BB00BA" w:rsidRPr="00D573AD" w:rsidRDefault="00D573AD" w:rsidP="00BB00BA">
            <w:pPr>
              <w:jc w:val="center"/>
              <w:rPr>
                <w:rFonts w:ascii="Times New Roman" w:hAnsi="Times New Roman" w:cs="Times New Roman"/>
                <w:b/>
                <w:sz w:val="20"/>
                <w:szCs w:val="20"/>
              </w:rPr>
            </w:pPr>
            <w:r w:rsidRPr="00D573AD">
              <w:rPr>
                <w:rFonts w:ascii="Times New Roman" w:hAnsi="Times New Roman" w:cs="Times New Roman"/>
                <w:b/>
                <w:sz w:val="20"/>
                <w:szCs w:val="20"/>
              </w:rPr>
              <w:t>2016</w:t>
            </w:r>
          </w:p>
        </w:tc>
      </w:tr>
      <w:tr w:rsidR="00A04874" w:rsidRPr="00360726" w14:paraId="20345087" w14:textId="77777777" w:rsidTr="00D92CF9">
        <w:tc>
          <w:tcPr>
            <w:tcW w:w="4360" w:type="dxa"/>
          </w:tcPr>
          <w:p w14:paraId="20345078" w14:textId="77777777" w:rsidR="00A04874" w:rsidRPr="00D573AD" w:rsidRDefault="00A04874" w:rsidP="00D92CF9">
            <w:pPr>
              <w:tabs>
                <w:tab w:val="left" w:pos="340"/>
              </w:tabs>
              <w:autoSpaceDE w:val="0"/>
              <w:autoSpaceDN w:val="0"/>
              <w:spacing w:before="260" w:line="220" w:lineRule="atLeast"/>
              <w:rPr>
                <w:rFonts w:ascii="Times New Roman" w:eastAsia="Times New Roman" w:hAnsi="Times New Roman" w:cs="Times New Roman"/>
                <w:sz w:val="20"/>
                <w:szCs w:val="20"/>
                <w:lang w:eastAsia="eu-ES"/>
              </w:rPr>
            </w:pPr>
            <w:r w:rsidRPr="00D573AD">
              <w:rPr>
                <w:rFonts w:ascii="Times New Roman" w:eastAsia="Times New Roman" w:hAnsi="Times New Roman" w:cs="Times New Roman"/>
                <w:sz w:val="20"/>
                <w:szCs w:val="20"/>
                <w:lang w:eastAsia="eu-ES"/>
              </w:rPr>
              <w:t>117</w:t>
            </w:r>
          </w:p>
          <w:p w14:paraId="20345079" w14:textId="77777777" w:rsidR="00A04874" w:rsidRPr="00D573AD" w:rsidRDefault="00A04874" w:rsidP="00D92CF9">
            <w:pPr>
              <w:tabs>
                <w:tab w:val="left" w:pos="340"/>
              </w:tabs>
              <w:autoSpaceDE w:val="0"/>
              <w:autoSpaceDN w:val="0"/>
              <w:spacing w:before="1" w:line="220" w:lineRule="atLeast"/>
              <w:rPr>
                <w:rFonts w:ascii="Times New Roman" w:eastAsia="Times New Roman" w:hAnsi="Times New Roman" w:cs="Times New Roman"/>
                <w:i/>
                <w:iCs/>
                <w:sz w:val="20"/>
                <w:szCs w:val="20"/>
                <w:lang w:eastAsia="eu-ES"/>
              </w:rPr>
            </w:pPr>
            <w:r w:rsidRPr="00D573AD">
              <w:rPr>
                <w:rFonts w:ascii="Times New Roman" w:eastAsia="Times New Roman" w:hAnsi="Times New Roman" w:cs="Times New Roman"/>
                <w:b/>
                <w:bCs/>
                <w:sz w:val="20"/>
                <w:szCs w:val="20"/>
                <w:lang w:eastAsia="eu-ES"/>
              </w:rPr>
              <w:t>ADR</w:t>
            </w:r>
            <w:r w:rsidRPr="00D573AD">
              <w:rPr>
                <w:rFonts w:ascii="Times New Roman" w:eastAsia="Times New Roman" w:hAnsi="Times New Roman" w:cs="Times New Roman"/>
                <w:i/>
                <w:iCs/>
                <w:sz w:val="20"/>
                <w:szCs w:val="20"/>
                <w:lang w:eastAsia="eu-ES"/>
              </w:rPr>
              <w:t xml:space="preserve"> (4)</w:t>
            </w:r>
          </w:p>
          <w:p w14:paraId="2034507A" w14:textId="77777777" w:rsidR="00A04874" w:rsidRPr="00D573AD" w:rsidRDefault="00A04874" w:rsidP="00D92CF9">
            <w:pPr>
              <w:tabs>
                <w:tab w:val="left" w:pos="340"/>
              </w:tabs>
              <w:autoSpaceDE w:val="0"/>
              <w:autoSpaceDN w:val="0"/>
              <w:spacing w:before="40" w:line="220" w:lineRule="atLeast"/>
              <w:rPr>
                <w:rFonts w:ascii="Times New Roman" w:eastAsia="Times New Roman" w:hAnsi="Times New Roman" w:cs="Times New Roman"/>
                <w:sz w:val="20"/>
                <w:szCs w:val="20"/>
                <w:lang w:eastAsia="eu-ES"/>
              </w:rPr>
            </w:pPr>
            <w:r w:rsidRPr="00D573AD">
              <w:rPr>
                <w:rFonts w:ascii="Times New Roman" w:eastAsia="Times New Roman" w:hAnsi="Times New Roman" w:cs="Times New Roman"/>
                <w:sz w:val="20"/>
                <w:szCs w:val="20"/>
                <w:lang w:eastAsia="eu-ES"/>
              </w:rPr>
              <w:t xml:space="preserve">Sin. Salgai Arriskutsuen Nazioarteko Errepide Garraioari buruzko Europako Akordioa </w:t>
            </w:r>
            <w:r w:rsidRPr="00D573AD">
              <w:rPr>
                <w:rFonts w:ascii="Times New Roman" w:eastAsia="Times New Roman" w:hAnsi="Times New Roman" w:cs="Times New Roman"/>
                <w:i/>
                <w:iCs/>
                <w:sz w:val="20"/>
                <w:szCs w:val="20"/>
                <w:lang w:eastAsia="eu-ES"/>
              </w:rPr>
              <w:t xml:space="preserve">(4) </w:t>
            </w:r>
          </w:p>
          <w:p w14:paraId="2034507B" w14:textId="77777777" w:rsidR="00A04874" w:rsidRPr="00D573AD" w:rsidRDefault="00A04874" w:rsidP="00D92CF9">
            <w:pPr>
              <w:keepNext/>
              <w:tabs>
                <w:tab w:val="left" w:pos="340"/>
                <w:tab w:val="left" w:pos="580"/>
              </w:tabs>
              <w:autoSpaceDE w:val="0"/>
              <w:autoSpaceDN w:val="0"/>
              <w:spacing w:before="40" w:line="220" w:lineRule="atLeast"/>
              <w:jc w:val="both"/>
              <w:outlineLvl w:val="1"/>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sz w:val="20"/>
                <w:szCs w:val="20"/>
                <w:lang w:val="eu-ES" w:eastAsia="eu-ES"/>
              </w:rPr>
              <w:tab/>
              <w:t>Genevan 1957an sinatutako akordioa; bertan salgai arriskutsuen identifikazio, enbalaje, etiketatze eta garraio-gutunari buruzko arauak ematen dira, eta, era berean, garraiolariak ibilgailuaren prestaketari eta gidariari buruz dituen erantzukizunak zehazten dira.</w:t>
            </w:r>
          </w:p>
          <w:p w14:paraId="2034507C" w14:textId="77777777" w:rsidR="00A04874" w:rsidRPr="00D573AD" w:rsidRDefault="00A04874" w:rsidP="00D92CF9">
            <w:pPr>
              <w:keepNext/>
              <w:tabs>
                <w:tab w:val="left" w:pos="340"/>
                <w:tab w:val="left" w:pos="580"/>
              </w:tabs>
              <w:autoSpaceDE w:val="0"/>
              <w:autoSpaceDN w:val="0"/>
              <w:spacing w:before="40" w:line="220" w:lineRule="atLeast"/>
              <w:ind w:left="350" w:hanging="350"/>
              <w:jc w:val="both"/>
              <w:outlineLvl w:val="1"/>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es</w:t>
            </w:r>
            <w:r w:rsidRPr="00D573AD">
              <w:rPr>
                <w:rFonts w:ascii="Times New Roman" w:eastAsia="Times New Roman" w:hAnsi="Times New Roman" w:cs="Times New Roman"/>
                <w:sz w:val="20"/>
                <w:szCs w:val="20"/>
                <w:lang w:val="eu-ES" w:eastAsia="eu-ES"/>
              </w:rPr>
              <w:tab/>
              <w:t>ADR; Acuerdo europeo sobre transporte internacional de mercancías peligrosas por carretera</w:t>
            </w:r>
          </w:p>
          <w:p w14:paraId="2034507D" w14:textId="77777777" w:rsidR="00A04874" w:rsidRPr="00D573AD" w:rsidRDefault="00A04874" w:rsidP="00D92CF9">
            <w:pPr>
              <w:tabs>
                <w:tab w:val="left" w:pos="340"/>
              </w:tabs>
              <w:autoSpaceDE w:val="0"/>
              <w:autoSpaceDN w:val="0"/>
              <w:spacing w:line="220" w:lineRule="atLeast"/>
              <w:ind w:left="350" w:hanging="350"/>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fr</w:t>
            </w:r>
            <w:r w:rsidRPr="00D573AD">
              <w:rPr>
                <w:rFonts w:ascii="Times New Roman" w:eastAsia="Times New Roman" w:hAnsi="Times New Roman" w:cs="Times New Roman"/>
                <w:sz w:val="20"/>
                <w:szCs w:val="20"/>
                <w:lang w:val="eu-ES" w:eastAsia="eu-ES"/>
              </w:rPr>
              <w:tab/>
              <w:t xml:space="preserve">ADR; Accord européen relatif au transport international des marchandises dangereuses par route </w:t>
            </w:r>
          </w:p>
          <w:p w14:paraId="2034507E" w14:textId="77777777" w:rsidR="00A04874" w:rsidRPr="00D573AD" w:rsidRDefault="00A04874" w:rsidP="00D92CF9">
            <w:pPr>
              <w:tabs>
                <w:tab w:val="left" w:pos="340"/>
              </w:tabs>
              <w:autoSpaceDE w:val="0"/>
              <w:autoSpaceDN w:val="0"/>
              <w:spacing w:line="220" w:lineRule="atLeast"/>
              <w:ind w:left="350" w:hanging="350"/>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en</w:t>
            </w:r>
            <w:r w:rsidRPr="00D573AD">
              <w:rPr>
                <w:rFonts w:ascii="Times New Roman" w:eastAsia="Times New Roman" w:hAnsi="Times New Roman" w:cs="Times New Roman"/>
                <w:sz w:val="20"/>
                <w:szCs w:val="20"/>
                <w:lang w:val="eu-ES" w:eastAsia="eu-ES"/>
              </w:rPr>
              <w:tab/>
              <w:t>ADR; Agreement concerning the International Carriage of Dangerous Goods by Road</w:t>
            </w:r>
          </w:p>
          <w:p w14:paraId="2034507F" w14:textId="77777777" w:rsidR="00A04874" w:rsidRPr="00D573AD" w:rsidRDefault="00A04874" w:rsidP="00D92CF9">
            <w:pPr>
              <w:tabs>
                <w:tab w:val="left" w:pos="340"/>
              </w:tabs>
              <w:autoSpaceDE w:val="0"/>
              <w:autoSpaceDN w:val="0"/>
              <w:spacing w:line="220" w:lineRule="atLeast"/>
              <w:rPr>
                <w:rFonts w:ascii="Times New Roman" w:hAnsi="Times New Roman" w:cs="Times New Roman"/>
                <w:sz w:val="20"/>
                <w:szCs w:val="20"/>
                <w:lang w:val="en-US"/>
              </w:rPr>
            </w:pPr>
          </w:p>
        </w:tc>
        <w:tc>
          <w:tcPr>
            <w:tcW w:w="4360" w:type="dxa"/>
          </w:tcPr>
          <w:p w14:paraId="20345080" w14:textId="77777777" w:rsidR="00A04874" w:rsidRPr="00D573AD" w:rsidRDefault="00A04874" w:rsidP="00D92CF9">
            <w:pPr>
              <w:tabs>
                <w:tab w:val="left" w:pos="340"/>
              </w:tabs>
              <w:autoSpaceDE w:val="0"/>
              <w:autoSpaceDN w:val="0"/>
              <w:spacing w:before="260" w:line="220" w:lineRule="atLeast"/>
              <w:rPr>
                <w:rFonts w:ascii="Times New Roman" w:eastAsia="Times New Roman" w:hAnsi="Times New Roman" w:cs="Times New Roman"/>
                <w:sz w:val="20"/>
                <w:szCs w:val="20"/>
                <w:lang w:val="en-US" w:eastAsia="eu-ES"/>
              </w:rPr>
            </w:pPr>
            <w:r w:rsidRPr="00D573AD">
              <w:rPr>
                <w:rFonts w:ascii="Times New Roman" w:eastAsia="Times New Roman" w:hAnsi="Times New Roman" w:cs="Times New Roman"/>
                <w:sz w:val="20"/>
                <w:szCs w:val="20"/>
                <w:lang w:val="en-US" w:eastAsia="eu-ES"/>
              </w:rPr>
              <w:t>1268</w:t>
            </w:r>
          </w:p>
          <w:p w14:paraId="20345081" w14:textId="77777777" w:rsidR="00A04874" w:rsidRPr="00D573AD" w:rsidRDefault="00A04874" w:rsidP="00D92CF9">
            <w:pPr>
              <w:tabs>
                <w:tab w:val="left" w:pos="340"/>
              </w:tabs>
              <w:autoSpaceDE w:val="0"/>
              <w:autoSpaceDN w:val="0"/>
              <w:spacing w:before="1" w:line="220" w:lineRule="atLeast"/>
              <w:rPr>
                <w:rFonts w:ascii="Times New Roman" w:eastAsia="Times New Roman" w:hAnsi="Times New Roman" w:cs="Times New Roman"/>
                <w:i/>
                <w:iCs/>
                <w:sz w:val="20"/>
                <w:szCs w:val="20"/>
                <w:lang w:val="en-US" w:eastAsia="eu-ES"/>
              </w:rPr>
            </w:pPr>
            <w:r w:rsidRPr="00D573AD">
              <w:rPr>
                <w:rFonts w:ascii="Times New Roman" w:eastAsia="Times New Roman" w:hAnsi="Times New Roman" w:cs="Times New Roman"/>
                <w:b/>
                <w:bCs/>
                <w:sz w:val="20"/>
                <w:szCs w:val="20"/>
                <w:lang w:val="en-US" w:eastAsia="eu-ES"/>
              </w:rPr>
              <w:t>Salgai Arriskutsuen Nazioarteko Errepide Garraioari buruzko Europako Akordioa</w:t>
            </w:r>
            <w:r w:rsidRPr="00D573AD">
              <w:rPr>
                <w:rFonts w:ascii="Times New Roman" w:eastAsia="Times New Roman" w:hAnsi="Times New Roman" w:cs="Times New Roman"/>
                <w:i/>
                <w:iCs/>
                <w:sz w:val="20"/>
                <w:szCs w:val="20"/>
                <w:lang w:val="en-US" w:eastAsia="eu-ES"/>
              </w:rPr>
              <w:t xml:space="preserve"> (4)</w:t>
            </w:r>
          </w:p>
          <w:p w14:paraId="20345082" w14:textId="77777777" w:rsidR="00A04874" w:rsidRPr="00D573AD" w:rsidRDefault="00A04874" w:rsidP="00D92CF9">
            <w:pPr>
              <w:keepNext/>
              <w:tabs>
                <w:tab w:val="left" w:pos="340"/>
                <w:tab w:val="left" w:pos="580"/>
              </w:tabs>
              <w:autoSpaceDE w:val="0"/>
              <w:autoSpaceDN w:val="0"/>
              <w:spacing w:before="40" w:line="220" w:lineRule="atLeast"/>
              <w:jc w:val="both"/>
              <w:outlineLvl w:val="1"/>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sz w:val="20"/>
                <w:szCs w:val="20"/>
                <w:lang w:val="eu-ES" w:eastAsia="eu-ES"/>
              </w:rPr>
              <w:tab/>
              <w:t>Salgai Arriskutsuen Errepide Garraioa arautzeko Europako Akordioa, Nazio Batuen Erakundearen gomendioei jarraituz Genevan 1957ko irailaren 30ean zenbait herrialdek ize</w:t>
            </w:r>
            <w:permStart w:id="1147352422" w:edGrp="everyone"/>
            <w:permEnd w:id="1147352422"/>
            <w:r w:rsidRPr="00D573AD">
              <w:rPr>
                <w:rFonts w:ascii="Times New Roman" w:eastAsia="Times New Roman" w:hAnsi="Times New Roman" w:cs="Times New Roman"/>
                <w:sz w:val="20"/>
                <w:szCs w:val="20"/>
                <w:lang w:val="eu-ES" w:eastAsia="eu-ES"/>
              </w:rPr>
              <w:t>npetutakoa. Espainia 1972ko urriaren 19an atxiki zitzaion akordioari.</w:t>
            </w:r>
          </w:p>
          <w:p w14:paraId="20345083" w14:textId="77777777" w:rsidR="00A04874" w:rsidRPr="00D573AD" w:rsidRDefault="00A04874" w:rsidP="00D92CF9">
            <w:pPr>
              <w:keepNext/>
              <w:tabs>
                <w:tab w:val="left" w:pos="340"/>
                <w:tab w:val="left" w:pos="580"/>
              </w:tabs>
              <w:autoSpaceDE w:val="0"/>
              <w:autoSpaceDN w:val="0"/>
              <w:spacing w:before="40" w:line="220" w:lineRule="atLeast"/>
              <w:ind w:left="378" w:hanging="378"/>
              <w:jc w:val="both"/>
              <w:outlineLvl w:val="1"/>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es</w:t>
            </w:r>
            <w:r w:rsidRPr="00D573AD">
              <w:rPr>
                <w:rFonts w:ascii="Times New Roman" w:eastAsia="Times New Roman" w:hAnsi="Times New Roman" w:cs="Times New Roman"/>
                <w:sz w:val="20"/>
                <w:szCs w:val="20"/>
                <w:lang w:val="eu-ES" w:eastAsia="eu-ES"/>
              </w:rPr>
              <w:tab/>
              <w:t>Acuerdo Europeo sobre Transporte Internacional de Mercancías Peligrosas por Carretera; ADR</w:t>
            </w:r>
          </w:p>
          <w:p w14:paraId="20345084" w14:textId="77777777" w:rsidR="00A04874" w:rsidRPr="00D573AD" w:rsidRDefault="00A04874" w:rsidP="00D92CF9">
            <w:pPr>
              <w:tabs>
                <w:tab w:val="left" w:pos="340"/>
              </w:tabs>
              <w:autoSpaceDE w:val="0"/>
              <w:autoSpaceDN w:val="0"/>
              <w:spacing w:line="220" w:lineRule="atLeast"/>
              <w:ind w:left="378" w:hanging="378"/>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fr</w:t>
            </w:r>
            <w:r w:rsidRPr="00D573AD">
              <w:rPr>
                <w:rFonts w:ascii="Times New Roman" w:eastAsia="Times New Roman" w:hAnsi="Times New Roman" w:cs="Times New Roman"/>
                <w:sz w:val="20"/>
                <w:szCs w:val="20"/>
                <w:lang w:val="eu-ES" w:eastAsia="eu-ES"/>
              </w:rPr>
              <w:tab/>
              <w:t>Accord européen relatif au transport international des marchandises dangereuses par route; ADR</w:t>
            </w:r>
          </w:p>
          <w:p w14:paraId="20345085" w14:textId="77777777" w:rsidR="00A04874" w:rsidRPr="00D573AD" w:rsidRDefault="00A04874" w:rsidP="00D92CF9">
            <w:pPr>
              <w:tabs>
                <w:tab w:val="left" w:pos="340"/>
              </w:tabs>
              <w:autoSpaceDE w:val="0"/>
              <w:autoSpaceDN w:val="0"/>
              <w:spacing w:line="220" w:lineRule="atLeast"/>
              <w:ind w:left="378" w:hanging="378"/>
              <w:rPr>
                <w:rFonts w:ascii="Times New Roman" w:eastAsia="Times New Roman" w:hAnsi="Times New Roman" w:cs="Times New Roman"/>
                <w:sz w:val="20"/>
                <w:szCs w:val="20"/>
                <w:lang w:val="eu-ES" w:eastAsia="eu-ES"/>
              </w:rPr>
            </w:pPr>
            <w:r w:rsidRPr="00D573AD">
              <w:rPr>
                <w:rFonts w:ascii="Times New Roman" w:eastAsia="Times New Roman" w:hAnsi="Times New Roman" w:cs="Times New Roman"/>
                <w:b/>
                <w:bCs/>
                <w:sz w:val="20"/>
                <w:szCs w:val="20"/>
                <w:lang w:val="eu-ES" w:eastAsia="eu-ES"/>
              </w:rPr>
              <w:t xml:space="preserve"> en</w:t>
            </w:r>
            <w:r w:rsidRPr="00D573AD">
              <w:rPr>
                <w:rFonts w:ascii="Times New Roman" w:eastAsia="Times New Roman" w:hAnsi="Times New Roman" w:cs="Times New Roman"/>
                <w:sz w:val="20"/>
                <w:szCs w:val="20"/>
                <w:lang w:val="eu-ES" w:eastAsia="eu-ES"/>
              </w:rPr>
              <w:tab/>
              <w:t>European Agreement concerning the International Carriage of Dangerous Goods by Road; ADR</w:t>
            </w:r>
          </w:p>
          <w:p w14:paraId="20345086" w14:textId="77777777" w:rsidR="00A04874" w:rsidRPr="00D573AD" w:rsidRDefault="00A04874" w:rsidP="00D92CF9">
            <w:pPr>
              <w:rPr>
                <w:rFonts w:ascii="Times New Roman" w:hAnsi="Times New Roman" w:cs="Times New Roman"/>
                <w:sz w:val="20"/>
                <w:szCs w:val="20"/>
                <w:lang w:val="en-US"/>
              </w:rPr>
            </w:pPr>
          </w:p>
        </w:tc>
      </w:tr>
    </w:tbl>
    <w:p w14:paraId="20345088" w14:textId="77777777" w:rsidR="00A04874" w:rsidRPr="00892AB4" w:rsidRDefault="00A04874" w:rsidP="00912045">
      <w:pPr>
        <w:spacing w:after="0" w:line="240" w:lineRule="auto"/>
        <w:rPr>
          <w:lang w:val="en-US"/>
        </w:rPr>
      </w:pPr>
    </w:p>
    <w:p w14:paraId="20345089" w14:textId="77777777" w:rsidR="000D6FE4" w:rsidRPr="00892AB4" w:rsidRDefault="000D6FE4" w:rsidP="00912045">
      <w:pPr>
        <w:spacing w:after="0" w:line="240" w:lineRule="auto"/>
        <w:rPr>
          <w:lang w:val="en-US"/>
        </w:rPr>
      </w:pPr>
    </w:p>
    <w:p w14:paraId="2034508A" w14:textId="77777777" w:rsidR="000D6FE4" w:rsidRPr="004C2391" w:rsidRDefault="000D6FE4" w:rsidP="00892AB4">
      <w:pPr>
        <w:pStyle w:val="2izenburua"/>
        <w:rPr>
          <w:color w:val="000000" w:themeColor="text1"/>
          <w:sz w:val="24"/>
        </w:rPr>
      </w:pPr>
      <w:r w:rsidRPr="004C2391">
        <w:rPr>
          <w:color w:val="000000" w:themeColor="text1"/>
          <w:sz w:val="24"/>
        </w:rPr>
        <w:t>PROPOSAMENA</w:t>
      </w:r>
    </w:p>
    <w:p w14:paraId="2034508B" w14:textId="77777777" w:rsidR="000D6FE4" w:rsidRPr="004C2391" w:rsidRDefault="000D6FE4" w:rsidP="000D6FE4">
      <w:pPr>
        <w:shd w:val="clear" w:color="auto" w:fill="DBE5F1" w:themeFill="accent1" w:themeFillTint="33"/>
        <w:spacing w:after="0" w:line="240" w:lineRule="auto"/>
      </w:pPr>
    </w:p>
    <w:p w14:paraId="2034508C" w14:textId="77777777" w:rsidR="00700746" w:rsidRPr="00F90D8C" w:rsidRDefault="00892AB4" w:rsidP="000D6FE4">
      <w:pPr>
        <w:shd w:val="clear" w:color="auto" w:fill="DBE5F1" w:themeFill="accent1" w:themeFillTint="33"/>
        <w:spacing w:after="0" w:line="240" w:lineRule="auto"/>
        <w:rPr>
          <w:rFonts w:ascii="Times New Roman" w:hAnsi="Times New Roman" w:cs="Times New Roman"/>
        </w:rPr>
      </w:pPr>
      <w:r w:rsidRPr="00F90D8C">
        <w:rPr>
          <w:rFonts w:ascii="Times New Roman" w:hAnsi="Times New Roman" w:cs="Times New Roman"/>
        </w:rPr>
        <w:t>GARRAIO ETA LOGISTIKA HIZTEGIAN eta ZIRKULAZIO HIZTEGIAN</w:t>
      </w:r>
      <w:r w:rsidR="00F90D8C" w:rsidRPr="00F90D8C">
        <w:rPr>
          <w:rFonts w:ascii="Times New Roman" w:hAnsi="Times New Roman" w:cs="Times New Roman"/>
        </w:rPr>
        <w:t xml:space="preserve"> honela utziko da</w:t>
      </w:r>
      <w:r w:rsidR="00700746" w:rsidRPr="00F90D8C">
        <w:rPr>
          <w:rFonts w:ascii="Times New Roman" w:hAnsi="Times New Roman" w:cs="Times New Roman"/>
        </w:rPr>
        <w:t>:</w:t>
      </w:r>
    </w:p>
    <w:p w14:paraId="2034508D" w14:textId="77777777" w:rsidR="00700746" w:rsidRPr="00892AB4" w:rsidRDefault="00700746" w:rsidP="000D6FE4">
      <w:pPr>
        <w:shd w:val="clear" w:color="auto" w:fill="DBE5F1" w:themeFill="accent1" w:themeFillTint="33"/>
        <w:spacing w:after="0" w:line="240" w:lineRule="auto"/>
      </w:pPr>
    </w:p>
    <w:p w14:paraId="2034508E" w14:textId="77777777" w:rsidR="000D6FE4" w:rsidRPr="004C2391" w:rsidRDefault="000D6FE4" w:rsidP="000D6FE4">
      <w:pPr>
        <w:shd w:val="clear" w:color="auto" w:fill="DBE5F1" w:themeFill="accent1" w:themeFillTint="33"/>
        <w:tabs>
          <w:tab w:val="left" w:pos="340"/>
        </w:tabs>
        <w:autoSpaceDE w:val="0"/>
        <w:autoSpaceDN w:val="0"/>
        <w:spacing w:before="1" w:after="0" w:line="220" w:lineRule="atLeast"/>
        <w:rPr>
          <w:rFonts w:ascii="Times New Roman" w:eastAsia="Times New Roman" w:hAnsi="Times New Roman" w:cs="Times New Roman"/>
          <w:iCs/>
          <w:sz w:val="20"/>
          <w:szCs w:val="20"/>
          <w:lang w:eastAsia="eu-ES"/>
        </w:rPr>
      </w:pPr>
      <w:r w:rsidRPr="004C2391">
        <w:rPr>
          <w:rFonts w:ascii="Times New Roman" w:eastAsia="Times New Roman" w:hAnsi="Times New Roman" w:cs="Times New Roman"/>
          <w:b/>
          <w:bCs/>
          <w:sz w:val="20"/>
          <w:szCs w:val="20"/>
          <w:lang w:eastAsia="eu-ES"/>
        </w:rPr>
        <w:t>Salgai Arriskutsuen Nazioarteko Errepide Garraioari buruzko Europako Akordioa</w:t>
      </w:r>
      <w:r w:rsidRPr="004C2391">
        <w:rPr>
          <w:rFonts w:ascii="Times New Roman" w:eastAsia="Times New Roman" w:hAnsi="Times New Roman" w:cs="Times New Roman"/>
          <w:i/>
          <w:iCs/>
          <w:sz w:val="20"/>
          <w:szCs w:val="20"/>
          <w:lang w:eastAsia="eu-ES"/>
        </w:rPr>
        <w:t xml:space="preserve"> (4)</w:t>
      </w:r>
      <w:r w:rsidR="006F77CA" w:rsidRPr="004C2391">
        <w:rPr>
          <w:rFonts w:ascii="Times New Roman" w:eastAsia="Times New Roman" w:hAnsi="Times New Roman" w:cs="Times New Roman"/>
          <w:i/>
          <w:iCs/>
          <w:sz w:val="20"/>
          <w:szCs w:val="20"/>
          <w:lang w:eastAsia="eu-ES"/>
        </w:rPr>
        <w:t xml:space="preserve">; </w:t>
      </w:r>
      <w:r w:rsidR="006F77CA" w:rsidRPr="004C2391">
        <w:rPr>
          <w:rFonts w:ascii="Times New Roman" w:eastAsia="Times New Roman" w:hAnsi="Times New Roman" w:cs="Times New Roman"/>
          <w:b/>
          <w:i/>
          <w:iCs/>
          <w:sz w:val="20"/>
          <w:szCs w:val="20"/>
          <w:lang w:eastAsia="eu-ES"/>
        </w:rPr>
        <w:t xml:space="preserve">ADR </w:t>
      </w:r>
      <w:r w:rsidR="006F77CA" w:rsidRPr="004C2391">
        <w:rPr>
          <w:rFonts w:ascii="Times New Roman" w:eastAsia="Times New Roman" w:hAnsi="Times New Roman" w:cs="Times New Roman"/>
          <w:iCs/>
          <w:sz w:val="20"/>
          <w:szCs w:val="20"/>
          <w:lang w:eastAsia="eu-ES"/>
        </w:rPr>
        <w:t>(4)</w:t>
      </w:r>
    </w:p>
    <w:p w14:paraId="2034508F" w14:textId="77777777" w:rsidR="000D6FE4" w:rsidRPr="00892AB4" w:rsidRDefault="000D6FE4" w:rsidP="00892AB4">
      <w:pPr>
        <w:shd w:val="clear" w:color="auto" w:fill="DBE5F1" w:themeFill="accent1" w:themeFillTint="33"/>
        <w:spacing w:after="0" w:line="240" w:lineRule="auto"/>
        <w:rPr>
          <w:rFonts w:ascii="Times New Roman" w:hAnsi="Times New Roman" w:cs="Times New Roman"/>
          <w:sz w:val="20"/>
          <w:lang w:val="eu-ES" w:eastAsia="eu-ES"/>
        </w:rPr>
      </w:pPr>
      <w:r w:rsidRPr="00892AB4">
        <w:rPr>
          <w:rFonts w:ascii="Times New Roman" w:hAnsi="Times New Roman" w:cs="Times New Roman"/>
          <w:sz w:val="20"/>
          <w:lang w:val="eu-ES" w:eastAsia="eu-ES"/>
        </w:rPr>
        <w:tab/>
        <w:t xml:space="preserve">Salgai Arriskutsuen Errepide Garraioa arautzeko Europako Akordioa, </w:t>
      </w:r>
      <w:r w:rsidR="00700746" w:rsidRPr="00892AB4">
        <w:rPr>
          <w:rFonts w:ascii="Times New Roman" w:hAnsi="Times New Roman" w:cs="Times New Roman"/>
          <w:sz w:val="20"/>
          <w:lang w:val="eu-ES" w:eastAsia="eu-ES"/>
        </w:rPr>
        <w:t xml:space="preserve">Nazio Batuen Erakundearen Europarako Ekonomia Batzordearen gomendioei jarraituz egina eta Genevan 1957ean izenpetua. </w:t>
      </w:r>
      <w:r w:rsidR="00815F83" w:rsidRPr="00892AB4">
        <w:rPr>
          <w:rFonts w:ascii="Times New Roman" w:hAnsi="Times New Roman" w:cs="Times New Roman"/>
          <w:sz w:val="20"/>
          <w:lang w:val="eu-ES" w:eastAsia="eu-ES"/>
        </w:rPr>
        <w:t>Akordio honetan, s</w:t>
      </w:r>
      <w:r w:rsidRPr="00892AB4">
        <w:rPr>
          <w:rFonts w:ascii="Times New Roman" w:hAnsi="Times New Roman" w:cs="Times New Roman"/>
          <w:sz w:val="20"/>
          <w:lang w:val="eu-ES" w:eastAsia="eu-ES"/>
        </w:rPr>
        <w:t>algai arriskutsuen identifikazio, enbalaje, etiketatze eta garraio-gutunari buruzko arauak ematen dira, eta, era berean, garraiolariak ibilgailuaren prestaketari eta gidariari buruz dituen erantzukizunak zehazten dira</w:t>
      </w:r>
      <w:r w:rsidR="006F77CA" w:rsidRPr="00892AB4">
        <w:rPr>
          <w:rFonts w:ascii="Times New Roman" w:hAnsi="Times New Roman" w:cs="Times New Roman"/>
          <w:sz w:val="20"/>
          <w:lang w:val="eu-ES" w:eastAsia="eu-ES"/>
        </w:rPr>
        <w:t>.</w:t>
      </w:r>
    </w:p>
    <w:p w14:paraId="20345090" w14:textId="77777777" w:rsidR="000D6FE4" w:rsidRPr="00892AB4" w:rsidRDefault="000D6FE4" w:rsidP="00892AB4">
      <w:pPr>
        <w:shd w:val="clear" w:color="auto" w:fill="DBE5F1" w:themeFill="accent1" w:themeFillTint="33"/>
        <w:tabs>
          <w:tab w:val="left" w:pos="340"/>
        </w:tabs>
        <w:autoSpaceDE w:val="0"/>
        <w:autoSpaceDN w:val="0"/>
        <w:spacing w:after="0" w:line="220" w:lineRule="atLeast"/>
        <w:ind w:left="378" w:hanging="378"/>
        <w:rPr>
          <w:rFonts w:ascii="Times New Roman" w:eastAsia="Times New Roman" w:hAnsi="Times New Roman" w:cs="Times New Roman"/>
          <w:sz w:val="20"/>
          <w:szCs w:val="20"/>
          <w:lang w:val="eu-ES" w:eastAsia="eu-ES"/>
        </w:rPr>
      </w:pPr>
      <w:r w:rsidRPr="00892AB4">
        <w:rPr>
          <w:rFonts w:ascii="Times New Roman" w:eastAsia="Times New Roman" w:hAnsi="Times New Roman" w:cs="Times New Roman"/>
          <w:sz w:val="20"/>
          <w:szCs w:val="20"/>
          <w:lang w:val="eu-ES" w:eastAsia="eu-ES"/>
        </w:rPr>
        <w:t xml:space="preserve"> </w:t>
      </w:r>
      <w:r w:rsidRPr="00892AB4">
        <w:rPr>
          <w:rFonts w:ascii="Times New Roman" w:eastAsia="Times New Roman" w:hAnsi="Times New Roman" w:cs="Times New Roman"/>
          <w:b/>
          <w:sz w:val="20"/>
          <w:szCs w:val="20"/>
          <w:lang w:val="eu-ES" w:eastAsia="eu-ES"/>
        </w:rPr>
        <w:t>es</w:t>
      </w:r>
      <w:r w:rsidRPr="00892AB4">
        <w:rPr>
          <w:rFonts w:ascii="Times New Roman" w:eastAsia="Times New Roman" w:hAnsi="Times New Roman" w:cs="Times New Roman"/>
          <w:sz w:val="20"/>
          <w:szCs w:val="20"/>
          <w:lang w:val="eu-ES" w:eastAsia="eu-ES"/>
        </w:rPr>
        <w:tab/>
        <w:t>Acuerdo Europeo sobre Transporte Internacional de Mercancías Peligrosas por Carretera; ADR</w:t>
      </w:r>
    </w:p>
    <w:p w14:paraId="20345091" w14:textId="77777777" w:rsidR="000D6FE4" w:rsidRPr="000D6FE4" w:rsidRDefault="000D6FE4" w:rsidP="000D6FE4">
      <w:pPr>
        <w:shd w:val="clear" w:color="auto" w:fill="DBE5F1" w:themeFill="accent1" w:themeFillTint="33"/>
        <w:tabs>
          <w:tab w:val="left" w:pos="340"/>
        </w:tabs>
        <w:autoSpaceDE w:val="0"/>
        <w:autoSpaceDN w:val="0"/>
        <w:spacing w:after="0" w:line="220" w:lineRule="atLeast"/>
        <w:ind w:left="378" w:hanging="378"/>
        <w:rPr>
          <w:rFonts w:ascii="Times New Roman" w:eastAsia="Times New Roman" w:hAnsi="Times New Roman" w:cs="Times New Roman"/>
          <w:sz w:val="20"/>
          <w:szCs w:val="20"/>
          <w:lang w:val="eu-ES" w:eastAsia="eu-ES"/>
        </w:rPr>
      </w:pPr>
      <w:r w:rsidRPr="000D6FE4">
        <w:rPr>
          <w:rFonts w:ascii="Times New Roman" w:eastAsia="Times New Roman" w:hAnsi="Times New Roman" w:cs="Times New Roman"/>
          <w:b/>
          <w:bCs/>
          <w:sz w:val="20"/>
          <w:szCs w:val="20"/>
          <w:lang w:val="eu-ES" w:eastAsia="eu-ES"/>
        </w:rPr>
        <w:t xml:space="preserve"> fr</w:t>
      </w:r>
      <w:r w:rsidRPr="000D6FE4">
        <w:rPr>
          <w:rFonts w:ascii="Times New Roman" w:eastAsia="Times New Roman" w:hAnsi="Times New Roman" w:cs="Times New Roman"/>
          <w:sz w:val="20"/>
          <w:szCs w:val="20"/>
          <w:lang w:val="eu-ES" w:eastAsia="eu-ES"/>
        </w:rPr>
        <w:tab/>
        <w:t>Accord européen relatif au transport international des marchandises dangereuses par route; ADR</w:t>
      </w:r>
    </w:p>
    <w:p w14:paraId="20345092" w14:textId="77777777" w:rsidR="000D6FE4" w:rsidRDefault="000D6FE4" w:rsidP="000D6FE4">
      <w:pPr>
        <w:shd w:val="clear" w:color="auto" w:fill="DBE5F1" w:themeFill="accent1" w:themeFillTint="33"/>
        <w:tabs>
          <w:tab w:val="left" w:pos="340"/>
        </w:tabs>
        <w:autoSpaceDE w:val="0"/>
        <w:autoSpaceDN w:val="0"/>
        <w:spacing w:after="0" w:line="220" w:lineRule="atLeast"/>
        <w:ind w:left="378" w:hanging="378"/>
        <w:rPr>
          <w:rFonts w:ascii="Times New Roman" w:eastAsia="Times New Roman" w:hAnsi="Times New Roman" w:cs="Times New Roman"/>
          <w:sz w:val="20"/>
          <w:szCs w:val="20"/>
          <w:lang w:val="eu-ES" w:eastAsia="eu-ES"/>
        </w:rPr>
      </w:pPr>
      <w:r w:rsidRPr="000D6FE4">
        <w:rPr>
          <w:rFonts w:ascii="Times New Roman" w:eastAsia="Times New Roman" w:hAnsi="Times New Roman" w:cs="Times New Roman"/>
          <w:b/>
          <w:bCs/>
          <w:sz w:val="20"/>
          <w:szCs w:val="20"/>
          <w:lang w:val="eu-ES" w:eastAsia="eu-ES"/>
        </w:rPr>
        <w:t xml:space="preserve"> en</w:t>
      </w:r>
      <w:r w:rsidRPr="000D6FE4">
        <w:rPr>
          <w:rFonts w:ascii="Times New Roman" w:eastAsia="Times New Roman" w:hAnsi="Times New Roman" w:cs="Times New Roman"/>
          <w:sz w:val="20"/>
          <w:szCs w:val="20"/>
          <w:lang w:val="eu-ES" w:eastAsia="eu-ES"/>
        </w:rPr>
        <w:tab/>
        <w:t>European Agreement concerning the International Carriage of Dangerous Goods by Road; ADR</w:t>
      </w:r>
    </w:p>
    <w:p w14:paraId="20345093" w14:textId="77777777" w:rsidR="00F90D8C" w:rsidRPr="000D6FE4" w:rsidRDefault="00F90D8C" w:rsidP="000D6FE4">
      <w:pPr>
        <w:shd w:val="clear" w:color="auto" w:fill="DBE5F1" w:themeFill="accent1" w:themeFillTint="33"/>
        <w:tabs>
          <w:tab w:val="left" w:pos="340"/>
        </w:tabs>
        <w:autoSpaceDE w:val="0"/>
        <w:autoSpaceDN w:val="0"/>
        <w:spacing w:after="0" w:line="220" w:lineRule="atLeast"/>
        <w:ind w:left="378" w:hanging="378"/>
        <w:rPr>
          <w:rFonts w:ascii="Times New Roman" w:eastAsia="Times New Roman" w:hAnsi="Times New Roman" w:cs="Times New Roman"/>
          <w:sz w:val="20"/>
          <w:szCs w:val="20"/>
          <w:lang w:val="eu-ES" w:eastAsia="eu-ES"/>
        </w:rPr>
      </w:pPr>
    </w:p>
    <w:p w14:paraId="20345094" w14:textId="77777777" w:rsidR="000D6FE4" w:rsidRPr="00892AB4" w:rsidRDefault="000D6FE4" w:rsidP="00912045">
      <w:pPr>
        <w:spacing w:after="0" w:line="240" w:lineRule="auto"/>
        <w:rPr>
          <w:lang w:val="en-US"/>
        </w:rPr>
      </w:pPr>
    </w:p>
    <w:p w14:paraId="20345095" w14:textId="77777777" w:rsidR="00700746" w:rsidRDefault="00700746" w:rsidP="00912045">
      <w:pPr>
        <w:spacing w:after="0" w:line="240" w:lineRule="auto"/>
        <w:rPr>
          <w:lang w:val="en-US"/>
        </w:rPr>
      </w:pPr>
    </w:p>
    <w:p w14:paraId="20345096" w14:textId="77777777" w:rsidR="00892AB4" w:rsidRPr="00892AB4" w:rsidRDefault="00892AB4" w:rsidP="00892AB4">
      <w:pPr>
        <w:pStyle w:val="2izenburua"/>
        <w:rPr>
          <w:color w:val="000000" w:themeColor="text1"/>
          <w:sz w:val="24"/>
        </w:rPr>
      </w:pPr>
      <w:r w:rsidRPr="00892AB4">
        <w:rPr>
          <w:color w:val="000000" w:themeColor="text1"/>
          <w:sz w:val="24"/>
        </w:rPr>
        <w:t>AZTERKETA</w:t>
      </w:r>
    </w:p>
    <w:p w14:paraId="20345097" w14:textId="77777777" w:rsidR="00ED037B" w:rsidRPr="00892AB4" w:rsidRDefault="00892AB4" w:rsidP="00892AB4">
      <w:pPr>
        <w:pStyle w:val="3izenburua"/>
        <w:rPr>
          <w:color w:val="000000" w:themeColor="text1"/>
        </w:rPr>
      </w:pPr>
      <w:r>
        <w:rPr>
          <w:color w:val="000000" w:themeColor="text1"/>
        </w:rPr>
        <w:t>1-ITURRIA: Diccionario de logística</w:t>
      </w:r>
    </w:p>
    <w:p w14:paraId="20345098" w14:textId="77777777" w:rsidR="00ED037B" w:rsidRDefault="00ED037B" w:rsidP="00912045">
      <w:pPr>
        <w:spacing w:after="0" w:line="240" w:lineRule="auto"/>
      </w:pPr>
    </w:p>
    <w:p w14:paraId="20345099" w14:textId="77777777" w:rsidR="00912045" w:rsidRDefault="00912045" w:rsidP="00912045">
      <w:pPr>
        <w:autoSpaceDE w:val="0"/>
        <w:autoSpaceDN w:val="0"/>
        <w:adjustRightInd w:val="0"/>
        <w:spacing w:after="0" w:line="240" w:lineRule="auto"/>
        <w:rPr>
          <w:rFonts w:cstheme="minorHAnsi"/>
        </w:rPr>
      </w:pPr>
      <w:r w:rsidRPr="00262398">
        <w:rPr>
          <w:b/>
          <w:sz w:val="24"/>
        </w:rPr>
        <w:t>Diccionario de logística</w:t>
      </w:r>
      <w:r w:rsidRPr="00262398">
        <w:rPr>
          <w:sz w:val="24"/>
        </w:rPr>
        <w:t xml:space="preserve"> / David Soler-- 2ª ed-- Barcelona : Marge Books, 2009, 373 p. : il. ; 21 cm -- (Biblioteca de logística) ISBN 978-84-92442-24-9</w:t>
      </w:r>
      <w:r w:rsidRPr="00D40358">
        <w:rPr>
          <w:sz w:val="28"/>
        </w:rPr>
        <w:br/>
      </w:r>
    </w:p>
    <w:p w14:paraId="2034509A" w14:textId="77777777" w:rsidR="00912045" w:rsidRDefault="00360726" w:rsidP="00912045">
      <w:pPr>
        <w:spacing w:after="0" w:line="240" w:lineRule="auto"/>
      </w:pPr>
      <w:hyperlink r:id="rId7" w:history="1">
        <w:r w:rsidR="00912045" w:rsidRPr="003378DE">
          <w:rPr>
            <w:rStyle w:val="Hiperesteka"/>
          </w:rPr>
          <w:t>http://www.logisnet.com/es/diccionario-cadena-suministro/_page:1,word:3211/</w:t>
        </w:r>
      </w:hyperlink>
    </w:p>
    <w:p w14:paraId="2034509B" w14:textId="77777777" w:rsidR="00912045" w:rsidRDefault="00912045" w:rsidP="00912045">
      <w:pPr>
        <w:spacing w:after="0" w:line="240" w:lineRule="auto"/>
      </w:pPr>
    </w:p>
    <w:p w14:paraId="2034509C" w14:textId="77777777" w:rsidR="00912045" w:rsidRPr="00912045" w:rsidRDefault="00912045" w:rsidP="000260B7">
      <w:pPr>
        <w:spacing w:after="0" w:line="240" w:lineRule="auto"/>
        <w:rPr>
          <w:b/>
          <w:bCs/>
        </w:rPr>
      </w:pPr>
      <w:r w:rsidRPr="00912045">
        <w:rPr>
          <w:b/>
          <w:bCs/>
          <w:noProof/>
          <w:lang w:val="eu-ES" w:eastAsia="eu-ES"/>
        </w:rPr>
        <w:drawing>
          <wp:inline distT="0" distB="0" distL="0" distR="0" wp14:anchorId="20345127" wp14:editId="20345128">
            <wp:extent cx="152400" cy="104140"/>
            <wp:effectExtent l="0" t="0" r="0" b="0"/>
            <wp:docPr id="6" name="Irudia 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stell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Convenio ADR </w:t>
      </w:r>
    </w:p>
    <w:p w14:paraId="2034509D" w14:textId="77777777" w:rsidR="00912045" w:rsidRPr="00912045" w:rsidRDefault="00912045" w:rsidP="000260B7">
      <w:pPr>
        <w:spacing w:after="0" w:line="240" w:lineRule="auto"/>
        <w:rPr>
          <w:b/>
          <w:bCs/>
        </w:rPr>
      </w:pPr>
      <w:r w:rsidRPr="00912045">
        <w:rPr>
          <w:b/>
          <w:bCs/>
          <w:noProof/>
          <w:lang w:val="eu-ES" w:eastAsia="eu-ES"/>
        </w:rPr>
        <w:lastRenderedPageBreak/>
        <w:drawing>
          <wp:inline distT="0" distB="0" distL="0" distR="0" wp14:anchorId="20345129" wp14:editId="2034512A">
            <wp:extent cx="152400" cy="104140"/>
            <wp:effectExtent l="0" t="0" r="0" b="0"/>
            <wp:docPr id="5" name="Irudia 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ADR Convention </w:t>
      </w:r>
    </w:p>
    <w:p w14:paraId="2034509E" w14:textId="77777777" w:rsidR="00912045" w:rsidRPr="00912045" w:rsidRDefault="00912045" w:rsidP="000260B7">
      <w:pPr>
        <w:spacing w:after="0" w:line="240" w:lineRule="auto"/>
        <w:rPr>
          <w:b/>
          <w:bCs/>
        </w:rPr>
      </w:pPr>
      <w:r w:rsidRPr="00912045">
        <w:rPr>
          <w:b/>
          <w:bCs/>
          <w:noProof/>
          <w:lang w:val="eu-ES" w:eastAsia="eu-ES"/>
        </w:rPr>
        <w:drawing>
          <wp:inline distT="0" distB="0" distL="0" distR="0" wp14:anchorId="2034512B" wp14:editId="2034512C">
            <wp:extent cx="152400" cy="104140"/>
            <wp:effectExtent l="0" t="0" r="0" b="0"/>
            <wp:docPr id="4" name="Irudia 4"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talà"/>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Conveni ADR </w:t>
      </w:r>
    </w:p>
    <w:p w14:paraId="2034509F" w14:textId="77777777" w:rsidR="00912045" w:rsidRDefault="00912045" w:rsidP="00912045">
      <w:pPr>
        <w:spacing w:after="0" w:line="240" w:lineRule="auto"/>
      </w:pPr>
      <w:r w:rsidRPr="00912045">
        <w:t xml:space="preserve">Convenio internacional sobre el transporte de mercancías peligrosas por carretera. Fue suscrito en Ginebra (Suiza) el 30 de septiembre de 1957, se enmienda periódicamente y afecta a la mayoría de estados de Europa o de su influencia comercial. </w:t>
      </w:r>
      <w:r w:rsidRPr="00C533C8">
        <w:rPr>
          <w:highlight w:val="lightGray"/>
        </w:rPr>
        <w:t>Señala las mercancías consideradas especialmente peligrosas y aquellas que, aun siéndolo, pueden transportarse si se tienen en cuenta las indicaciones de los anexos del convenio. Éstos hacen referencia al etiquetaje y embalaje (Anexo A) y a la construcción, equipamiento y operatividad del vehículo transportador (Anexo B). Estos anexos son modificados bienalmente. Cada país posee una regulación específica.</w:t>
      </w:r>
      <w:r w:rsidRPr="00912045">
        <w:t xml:space="preserve"> </w:t>
      </w:r>
    </w:p>
    <w:p w14:paraId="203450A0" w14:textId="77777777" w:rsidR="00912045" w:rsidRPr="00912045" w:rsidRDefault="00912045" w:rsidP="00912045">
      <w:pPr>
        <w:spacing w:after="0" w:line="240" w:lineRule="auto"/>
      </w:pPr>
    </w:p>
    <w:p w14:paraId="203450A1" w14:textId="77777777" w:rsidR="00912045" w:rsidRPr="00912045" w:rsidRDefault="00912045" w:rsidP="00912045">
      <w:pPr>
        <w:numPr>
          <w:ilvl w:val="0"/>
          <w:numId w:val="2"/>
        </w:numPr>
        <w:spacing w:after="0" w:line="240" w:lineRule="auto"/>
        <w:rPr>
          <w:b/>
          <w:bCs/>
        </w:rPr>
      </w:pPr>
      <w:r w:rsidRPr="00912045">
        <w:rPr>
          <w:b/>
          <w:bCs/>
          <w:noProof/>
          <w:lang w:val="eu-ES" w:eastAsia="eu-ES"/>
        </w:rPr>
        <w:drawing>
          <wp:inline distT="0" distB="0" distL="0" distR="0" wp14:anchorId="2034512D" wp14:editId="2034512E">
            <wp:extent cx="152400" cy="104140"/>
            <wp:effectExtent l="0" t="0" r="0" b="0"/>
            <wp:docPr id="12" name="Irudia 12"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stell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ADR </w:t>
      </w:r>
    </w:p>
    <w:p w14:paraId="203450A2" w14:textId="77777777" w:rsidR="00912045" w:rsidRPr="00912045" w:rsidRDefault="00912045" w:rsidP="00912045">
      <w:pPr>
        <w:numPr>
          <w:ilvl w:val="0"/>
          <w:numId w:val="2"/>
        </w:numPr>
        <w:spacing w:after="0" w:line="240" w:lineRule="auto"/>
        <w:rPr>
          <w:b/>
          <w:bCs/>
        </w:rPr>
      </w:pPr>
      <w:r w:rsidRPr="00912045">
        <w:rPr>
          <w:b/>
          <w:bCs/>
          <w:noProof/>
          <w:lang w:val="eu-ES" w:eastAsia="eu-ES"/>
        </w:rPr>
        <w:drawing>
          <wp:inline distT="0" distB="0" distL="0" distR="0" wp14:anchorId="2034512F" wp14:editId="20345130">
            <wp:extent cx="152400" cy="104140"/>
            <wp:effectExtent l="0" t="0" r="0" b="0"/>
            <wp:docPr id="11" name="Irudia 11"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ADR </w:t>
      </w:r>
    </w:p>
    <w:p w14:paraId="203450A3" w14:textId="77777777" w:rsidR="00912045" w:rsidRPr="00912045" w:rsidRDefault="00912045" w:rsidP="00912045">
      <w:pPr>
        <w:numPr>
          <w:ilvl w:val="0"/>
          <w:numId w:val="2"/>
        </w:numPr>
        <w:spacing w:after="0" w:line="240" w:lineRule="auto"/>
        <w:rPr>
          <w:b/>
          <w:bCs/>
        </w:rPr>
      </w:pPr>
      <w:r w:rsidRPr="00912045">
        <w:rPr>
          <w:b/>
          <w:bCs/>
          <w:noProof/>
          <w:lang w:val="eu-ES" w:eastAsia="eu-ES"/>
        </w:rPr>
        <w:drawing>
          <wp:inline distT="0" distB="0" distL="0" distR="0" wp14:anchorId="20345131" wp14:editId="20345132">
            <wp:extent cx="152400" cy="104140"/>
            <wp:effectExtent l="0" t="0" r="0" b="0"/>
            <wp:docPr id="10" name="Irudia 10"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rtugué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912045">
        <w:rPr>
          <w:b/>
          <w:bCs/>
        </w:rPr>
        <w:t xml:space="preserve">ADR </w:t>
      </w:r>
    </w:p>
    <w:p w14:paraId="203450A4" w14:textId="77777777" w:rsidR="00912045" w:rsidRPr="00912045" w:rsidRDefault="00912045" w:rsidP="00912045">
      <w:pPr>
        <w:spacing w:after="0" w:line="240" w:lineRule="auto"/>
      </w:pPr>
      <w:r w:rsidRPr="00912045">
        <w:t xml:space="preserve">Siglas de </w:t>
      </w:r>
      <w:r w:rsidRPr="00912045">
        <w:rPr>
          <w:i/>
          <w:iCs/>
        </w:rPr>
        <w:t>"Articles Dangereux de Route",</w:t>
      </w:r>
      <w:r w:rsidRPr="00912045">
        <w:t xml:space="preserve"> correspondientes al Convenio internacional sobre el transporte de mercancías peligrosas por carretera. Fue suscrito en Ginebra (Suiza) el 30 de septiembre de 1957, se enmienda periódicamente y afecta a la mayoría de estados de Europa o de su influencia comercial. Señala las mercancías consideradas especialmente peligrosas y aquellas que, aun siéndolo, pueden transportarse si se tienen en cuenta las indicaciones de los anexos del convenio. Éstos hacen referencia al etiquetaje y embalaje (Anexo A) y a la construcción, equipamiento y operatividad del vehículo transportador (Anexo B). Estos anexos son modificados bienalmente. Cada país posee una regulación específica. </w:t>
      </w:r>
    </w:p>
    <w:p w14:paraId="203450A5" w14:textId="77777777" w:rsidR="00262398" w:rsidRDefault="00262398" w:rsidP="00262398">
      <w:pPr>
        <w:tabs>
          <w:tab w:val="left" w:pos="2720"/>
        </w:tabs>
        <w:spacing w:after="0" w:line="240" w:lineRule="auto"/>
        <w:jc w:val="both"/>
      </w:pPr>
    </w:p>
    <w:p w14:paraId="203450A6" w14:textId="77777777" w:rsidR="00262398" w:rsidRDefault="00262398" w:rsidP="00262398">
      <w:pPr>
        <w:tabs>
          <w:tab w:val="left" w:pos="2720"/>
        </w:tabs>
        <w:spacing w:after="0" w:line="240" w:lineRule="auto"/>
        <w:jc w:val="both"/>
      </w:pPr>
    </w:p>
    <w:p w14:paraId="203450A7" w14:textId="77777777" w:rsidR="00892AB4" w:rsidRPr="00892AB4" w:rsidRDefault="00892AB4" w:rsidP="00892AB4">
      <w:pPr>
        <w:pStyle w:val="3izenburua"/>
        <w:rPr>
          <w:color w:val="000000" w:themeColor="text1"/>
        </w:rPr>
      </w:pPr>
      <w:r>
        <w:rPr>
          <w:color w:val="000000" w:themeColor="text1"/>
        </w:rPr>
        <w:t>2-ITURRIA: Gestión técnica del tráfico</w:t>
      </w:r>
    </w:p>
    <w:p w14:paraId="203450A8" w14:textId="77777777" w:rsidR="00262398" w:rsidRDefault="00262398" w:rsidP="00262398">
      <w:pPr>
        <w:tabs>
          <w:tab w:val="left" w:pos="2720"/>
        </w:tabs>
        <w:spacing w:after="0" w:line="240" w:lineRule="auto"/>
        <w:jc w:val="both"/>
      </w:pPr>
      <w:r w:rsidRPr="00262398">
        <w:rPr>
          <w:b/>
        </w:rPr>
        <w:t>EL TRANSPORTE DE MERCANCÍAS QUE REQUIEREN PRECAUCIONES ESPECIALES. TRANSPORTES ESPECIALES. TRANSPORTE DE MERCANCÍAS PERECEDERAS. TRANSPORTE DE MERCANCÍAS PELIGROSAS. EL ADR. HABILITACIÓN PARA CONDUCIR VEHÍCULOS QUE TRANSPORTAN MERCANCÍAS PELIGROSAS. LA GESTIÓN DE LA CIRCULACIÓN DE ESTOS VEHÍCULOS</w:t>
      </w:r>
      <w:r w:rsidRPr="00262398">
        <w:t>.</w:t>
      </w:r>
    </w:p>
    <w:p w14:paraId="203450A9" w14:textId="77777777" w:rsidR="00262398" w:rsidRPr="00FF2348" w:rsidRDefault="00262398" w:rsidP="00262398">
      <w:pPr>
        <w:tabs>
          <w:tab w:val="left" w:pos="2720"/>
        </w:tabs>
        <w:spacing w:after="0" w:line="240" w:lineRule="auto"/>
        <w:jc w:val="right"/>
        <w:rPr>
          <w:i/>
          <w:sz w:val="18"/>
        </w:rPr>
      </w:pPr>
      <w:r w:rsidRPr="00FF2348">
        <w:rPr>
          <w:i/>
          <w:sz w:val="18"/>
        </w:rPr>
        <w:t xml:space="preserve">ESTT - OEP 2014 </w:t>
      </w:r>
    </w:p>
    <w:p w14:paraId="203450AA" w14:textId="77777777" w:rsidR="00262398" w:rsidRPr="00FF2348" w:rsidRDefault="00262398" w:rsidP="00262398">
      <w:pPr>
        <w:tabs>
          <w:tab w:val="left" w:pos="2720"/>
        </w:tabs>
        <w:spacing w:after="0" w:line="240" w:lineRule="auto"/>
        <w:jc w:val="right"/>
        <w:rPr>
          <w:i/>
          <w:sz w:val="18"/>
        </w:rPr>
      </w:pPr>
      <w:r w:rsidRPr="00FF2348">
        <w:rPr>
          <w:i/>
          <w:sz w:val="18"/>
        </w:rPr>
        <w:t>Parte 3. GESTIÓN TÉCNICA  DEL TRÁFICO</w:t>
      </w:r>
    </w:p>
    <w:p w14:paraId="203450AB" w14:textId="77777777" w:rsidR="00262398" w:rsidRPr="00FF2348" w:rsidRDefault="00262398" w:rsidP="00262398">
      <w:pPr>
        <w:tabs>
          <w:tab w:val="left" w:pos="2720"/>
        </w:tabs>
        <w:spacing w:after="0" w:line="240" w:lineRule="auto"/>
        <w:jc w:val="right"/>
        <w:rPr>
          <w:i/>
          <w:sz w:val="18"/>
        </w:rPr>
      </w:pPr>
      <w:r w:rsidRPr="00FF2348">
        <w:rPr>
          <w:i/>
          <w:sz w:val="18"/>
        </w:rPr>
        <w:t>Revisado en 2014</w:t>
      </w:r>
    </w:p>
    <w:p w14:paraId="203450AC" w14:textId="77777777" w:rsidR="00262398" w:rsidRDefault="00360726" w:rsidP="00262398">
      <w:pPr>
        <w:spacing w:after="0" w:line="240" w:lineRule="auto"/>
        <w:rPr>
          <w:rFonts w:ascii="Arial" w:eastAsia="Times New Roman" w:hAnsi="Arial" w:cs="Arial"/>
          <w:color w:val="006621"/>
          <w:sz w:val="23"/>
          <w:szCs w:val="23"/>
          <w:lang w:val="eu-ES" w:eastAsia="eu-ES"/>
        </w:rPr>
      </w:pPr>
      <w:hyperlink r:id="rId12" w:history="1">
        <w:r w:rsidR="00262398" w:rsidRPr="003B2D9E">
          <w:rPr>
            <w:rStyle w:val="Hiperesteka"/>
            <w:rFonts w:ascii="Arial" w:eastAsia="Times New Roman" w:hAnsi="Arial" w:cs="Arial"/>
            <w:sz w:val="23"/>
            <w:szCs w:val="23"/>
            <w:lang w:val="eu-ES" w:eastAsia="eu-ES"/>
          </w:rPr>
          <w:t>www.dgt.es/.../la.../TEMA_9_Gestion_Adtva_del_Trafico.doc</w:t>
        </w:r>
      </w:hyperlink>
    </w:p>
    <w:p w14:paraId="203450AD" w14:textId="77777777" w:rsidR="00262398" w:rsidRPr="00262398" w:rsidRDefault="00262398" w:rsidP="00262398">
      <w:pPr>
        <w:spacing w:line="240" w:lineRule="auto"/>
        <w:rPr>
          <w:rFonts w:ascii="Arial" w:eastAsia="Times New Roman" w:hAnsi="Arial" w:cs="Arial"/>
          <w:color w:val="545454"/>
          <w:sz w:val="23"/>
          <w:szCs w:val="23"/>
          <w:lang w:val="eu-ES" w:eastAsia="eu-ES"/>
        </w:rPr>
      </w:pPr>
      <w:r w:rsidRPr="00262398">
        <w:rPr>
          <w:rFonts w:ascii="Arial" w:eastAsia="Times New Roman" w:hAnsi="Arial" w:cs="Arial"/>
          <w:color w:val="545454"/>
          <w:sz w:val="23"/>
          <w:szCs w:val="23"/>
          <w:lang w:val="eu-ES" w:eastAsia="eu-ES"/>
        </w:rPr>
        <w:t>‎</w:t>
      </w:r>
    </w:p>
    <w:p w14:paraId="203450AE" w14:textId="77777777" w:rsidR="00262398" w:rsidRPr="00262398" w:rsidRDefault="00262398" w:rsidP="00262398">
      <w:pPr>
        <w:tabs>
          <w:tab w:val="left" w:pos="284"/>
          <w:tab w:val="left" w:pos="567"/>
        </w:tabs>
        <w:jc w:val="both"/>
        <w:rPr>
          <w:rFonts w:ascii="Arial" w:hAnsi="Arial" w:cs="Arial"/>
          <w:sz w:val="18"/>
          <w:lang w:val="es-ES_tradnl"/>
        </w:rPr>
      </w:pPr>
      <w:r w:rsidRPr="00262398">
        <w:rPr>
          <w:rFonts w:ascii="Arial" w:hAnsi="Arial" w:cs="Arial"/>
          <w:b/>
          <w:sz w:val="18"/>
        </w:rPr>
        <w:t>5.- EL ACUERDO EUROPEO SOBRE TRANSPORTE INTERNACIONAL DE MERCANCÍAS PELIGROSAS POR CARRETERA (ADR)</w:t>
      </w:r>
    </w:p>
    <w:p w14:paraId="203450AF" w14:textId="77777777" w:rsidR="00262398" w:rsidRPr="00262398" w:rsidRDefault="00262398" w:rsidP="00262398">
      <w:pPr>
        <w:spacing w:before="100" w:beforeAutospacing="1" w:after="100" w:afterAutospacing="1"/>
        <w:ind w:firstLine="708"/>
        <w:jc w:val="both"/>
        <w:rPr>
          <w:rFonts w:ascii="Arial" w:hAnsi="Arial" w:cs="Arial"/>
          <w:sz w:val="18"/>
          <w:lang w:val="es-ES_tradnl"/>
        </w:rPr>
      </w:pPr>
      <w:r w:rsidRPr="00262398">
        <w:rPr>
          <w:rFonts w:ascii="Arial" w:hAnsi="Arial" w:cs="Arial"/>
          <w:b/>
          <w:sz w:val="18"/>
        </w:rPr>
        <w:t>El origen del término ADR proviene de la primera letra de algunas palabras clave del t</w:t>
      </w:r>
      <w:r w:rsidRPr="00262398">
        <w:rPr>
          <w:rFonts w:ascii="Arial" w:hAnsi="Arial" w:cs="Arial"/>
          <w:b/>
          <w:spacing w:val="10"/>
          <w:sz w:val="18"/>
        </w:rPr>
        <w:t>ít</w:t>
      </w:r>
      <w:r w:rsidRPr="00262398">
        <w:rPr>
          <w:rFonts w:ascii="Arial" w:hAnsi="Arial" w:cs="Arial"/>
          <w:b/>
          <w:sz w:val="18"/>
        </w:rPr>
        <w:t xml:space="preserve">ulo en francés: </w:t>
      </w:r>
      <w:r w:rsidRPr="00262398">
        <w:rPr>
          <w:rFonts w:ascii="Arial" w:hAnsi="Arial" w:cs="Arial"/>
          <w:b/>
          <w:sz w:val="18"/>
          <w:u w:val="single"/>
          <w:lang w:val="es-ES_tradnl"/>
        </w:rPr>
        <w:t>A</w:t>
      </w:r>
      <w:r w:rsidRPr="00262398">
        <w:rPr>
          <w:rFonts w:ascii="Arial" w:hAnsi="Arial" w:cs="Arial"/>
          <w:sz w:val="18"/>
          <w:lang w:val="es-ES_tradnl"/>
        </w:rPr>
        <w:t xml:space="preserve">ccord Européen relatif au Transport International des Marchandises </w:t>
      </w:r>
      <w:r w:rsidRPr="00262398">
        <w:rPr>
          <w:rFonts w:ascii="Arial" w:hAnsi="Arial" w:cs="Arial"/>
          <w:b/>
          <w:sz w:val="18"/>
          <w:u w:val="single"/>
          <w:lang w:val="es-ES_tradnl"/>
        </w:rPr>
        <w:t>D</w:t>
      </w:r>
      <w:r w:rsidRPr="00262398">
        <w:rPr>
          <w:rFonts w:ascii="Arial" w:hAnsi="Arial" w:cs="Arial"/>
          <w:sz w:val="18"/>
          <w:lang w:val="es-ES_tradnl"/>
        </w:rPr>
        <w:t xml:space="preserve">angereuses par </w:t>
      </w:r>
      <w:r w:rsidRPr="00262398">
        <w:rPr>
          <w:rFonts w:ascii="Arial" w:hAnsi="Arial" w:cs="Arial"/>
          <w:b/>
          <w:sz w:val="18"/>
          <w:u w:val="single"/>
          <w:lang w:val="es-ES_tradnl"/>
        </w:rPr>
        <w:t>R</w:t>
      </w:r>
      <w:r w:rsidRPr="00262398">
        <w:rPr>
          <w:rFonts w:ascii="Arial" w:hAnsi="Arial" w:cs="Arial"/>
          <w:sz w:val="18"/>
          <w:lang w:val="es-ES_tradnl"/>
        </w:rPr>
        <w:t xml:space="preserve">oute. </w:t>
      </w:r>
    </w:p>
    <w:p w14:paraId="203450B0" w14:textId="77777777" w:rsidR="00262398" w:rsidRPr="00262398" w:rsidRDefault="00262398" w:rsidP="00912045">
      <w:pPr>
        <w:spacing w:after="0" w:line="240" w:lineRule="auto"/>
        <w:rPr>
          <w:rFonts w:ascii="Arial" w:hAnsi="Arial" w:cs="Arial"/>
          <w:b/>
          <w:sz w:val="18"/>
        </w:rPr>
      </w:pPr>
      <w:r w:rsidRPr="00262398">
        <w:rPr>
          <w:rFonts w:ascii="Arial" w:hAnsi="Arial" w:cs="Arial"/>
          <w:sz w:val="18"/>
        </w:rPr>
        <w:t xml:space="preserve">El </w:t>
      </w:r>
      <w:r w:rsidRPr="00262398">
        <w:rPr>
          <w:rFonts w:ascii="Arial" w:hAnsi="Arial" w:cs="Arial"/>
          <w:b/>
          <w:sz w:val="18"/>
          <w:u w:val="single"/>
        </w:rPr>
        <w:t>Acuerdo Europeo</w:t>
      </w:r>
      <w:r w:rsidRPr="00262398">
        <w:rPr>
          <w:rFonts w:ascii="Arial" w:hAnsi="Arial" w:cs="Arial"/>
          <w:b/>
          <w:sz w:val="18"/>
        </w:rPr>
        <w:t xml:space="preserve"> sobre transporte internacional de mercancías peligrosas</w:t>
      </w:r>
      <w:r w:rsidRPr="00262398">
        <w:rPr>
          <w:rFonts w:ascii="Arial" w:hAnsi="Arial" w:cs="Arial"/>
          <w:sz w:val="18"/>
        </w:rPr>
        <w:t xml:space="preserve"> por carretera (ADR) </w:t>
      </w:r>
      <w:r w:rsidRPr="00262398">
        <w:rPr>
          <w:rFonts w:ascii="Arial" w:hAnsi="Arial" w:cs="Arial"/>
          <w:b/>
          <w:sz w:val="18"/>
        </w:rPr>
        <w:t xml:space="preserve">fue elaborado después de </w:t>
      </w:r>
      <w:smartTag w:uri="urn:schemas-microsoft-com:office:smarttags" w:element="PersonName">
        <w:smartTagPr>
          <w:attr w:name="ProductID" w:val="la Segunda Guerra"/>
        </w:smartTagPr>
        <w:r w:rsidRPr="00262398">
          <w:rPr>
            <w:rFonts w:ascii="Arial" w:hAnsi="Arial" w:cs="Arial"/>
            <w:b/>
            <w:sz w:val="18"/>
          </w:rPr>
          <w:t>la Segunda Guerra</w:t>
        </w:r>
      </w:smartTag>
      <w:r w:rsidRPr="00262398">
        <w:rPr>
          <w:rFonts w:ascii="Arial" w:hAnsi="Arial" w:cs="Arial"/>
          <w:b/>
          <w:sz w:val="18"/>
        </w:rPr>
        <w:t xml:space="preserve"> Mundial</w:t>
      </w:r>
      <w:r w:rsidRPr="00262398">
        <w:rPr>
          <w:rFonts w:ascii="Arial" w:hAnsi="Arial" w:cs="Arial"/>
          <w:sz w:val="18"/>
        </w:rPr>
        <w:t xml:space="preserve">. </w:t>
      </w:r>
      <w:r w:rsidRPr="00262398">
        <w:rPr>
          <w:rFonts w:ascii="Arial" w:hAnsi="Arial" w:cs="Arial"/>
          <w:b/>
          <w:sz w:val="18"/>
        </w:rPr>
        <w:t>Fue hecho en Ginebra en 1957,</w:t>
      </w:r>
      <w:r w:rsidRPr="00262398">
        <w:rPr>
          <w:rFonts w:ascii="Arial" w:hAnsi="Arial" w:cs="Arial"/>
          <w:sz w:val="18"/>
        </w:rPr>
        <w:t xml:space="preserve"> bajo los </w:t>
      </w:r>
      <w:r w:rsidRPr="00262398">
        <w:rPr>
          <w:rFonts w:ascii="Arial" w:hAnsi="Arial" w:cs="Arial"/>
          <w:b/>
          <w:sz w:val="18"/>
        </w:rPr>
        <w:t xml:space="preserve">auspicios del Comité de Transportes Interiores de </w:t>
      </w:r>
      <w:smartTag w:uri="urn:schemas-microsoft-com:office:smarttags" w:element="PersonName">
        <w:smartTagPr>
          <w:attr w:name="ProductID" w:val="la Comisi￳n Econ￳mica"/>
        </w:smartTagPr>
        <w:r w:rsidRPr="00262398">
          <w:rPr>
            <w:rFonts w:ascii="Arial" w:hAnsi="Arial" w:cs="Arial"/>
            <w:b/>
            <w:sz w:val="18"/>
          </w:rPr>
          <w:t>la Comisión Económica</w:t>
        </w:r>
      </w:smartTag>
      <w:r w:rsidRPr="00262398">
        <w:rPr>
          <w:rFonts w:ascii="Arial" w:hAnsi="Arial" w:cs="Arial"/>
          <w:b/>
          <w:sz w:val="18"/>
        </w:rPr>
        <w:t xml:space="preserve"> para Europa</w:t>
      </w:r>
      <w:r w:rsidRPr="00262398">
        <w:rPr>
          <w:rFonts w:ascii="Arial" w:hAnsi="Arial" w:cs="Arial"/>
          <w:sz w:val="18"/>
        </w:rPr>
        <w:t xml:space="preserve"> de las Naciones Unidas (CEPE/UNECE), pero </w:t>
      </w:r>
      <w:r w:rsidRPr="00262398">
        <w:rPr>
          <w:rFonts w:ascii="Arial" w:hAnsi="Arial" w:cs="Arial"/>
          <w:b/>
          <w:sz w:val="18"/>
          <w:u w:val="single"/>
        </w:rPr>
        <w:t>las disposiciones detalladas</w:t>
      </w:r>
      <w:r w:rsidRPr="00262398">
        <w:rPr>
          <w:rFonts w:ascii="Arial" w:hAnsi="Arial" w:cs="Arial"/>
          <w:sz w:val="18"/>
        </w:rPr>
        <w:t xml:space="preserve">, es decir, </w:t>
      </w:r>
      <w:r w:rsidRPr="00262398">
        <w:rPr>
          <w:rFonts w:ascii="Arial" w:hAnsi="Arial" w:cs="Arial"/>
          <w:b/>
          <w:sz w:val="18"/>
        </w:rPr>
        <w:t>los Anejos A y B, sólo se publicaron 12 años más tarde, es decir, en 1</w:t>
      </w:r>
      <w:r w:rsidRPr="00262398">
        <w:rPr>
          <w:rFonts w:ascii="Arial" w:hAnsi="Arial" w:cs="Arial"/>
          <w:b/>
          <w:spacing w:val="-10"/>
          <w:sz w:val="18"/>
        </w:rPr>
        <w:t>9</w:t>
      </w:r>
      <w:r w:rsidRPr="00262398">
        <w:rPr>
          <w:rFonts w:ascii="Arial Negrita" w:hAnsi="Arial Negrita" w:cs="Arial"/>
          <w:b/>
          <w:spacing w:val="10"/>
          <w:sz w:val="18"/>
        </w:rPr>
        <w:t>69</w:t>
      </w:r>
      <w:r w:rsidRPr="00262398">
        <w:rPr>
          <w:rFonts w:ascii="Arial" w:hAnsi="Arial" w:cs="Arial"/>
          <w:b/>
          <w:sz w:val="18"/>
        </w:rPr>
        <w:t>.</w:t>
      </w:r>
    </w:p>
    <w:p w14:paraId="203450B1" w14:textId="77777777" w:rsidR="00262398" w:rsidRPr="00262398" w:rsidRDefault="00262398" w:rsidP="00262398">
      <w:pPr>
        <w:spacing w:before="100" w:beforeAutospacing="1" w:after="100" w:afterAutospacing="1"/>
        <w:ind w:firstLine="708"/>
        <w:jc w:val="both"/>
        <w:rPr>
          <w:rFonts w:ascii="Arial" w:hAnsi="Arial" w:cs="Arial"/>
          <w:b/>
          <w:bCs/>
          <w:sz w:val="18"/>
          <w:szCs w:val="18"/>
        </w:rPr>
      </w:pPr>
      <w:r w:rsidRPr="00262398">
        <w:rPr>
          <w:rFonts w:ascii="Arial" w:hAnsi="Arial" w:cs="Arial"/>
          <w:b/>
          <w:bCs/>
          <w:sz w:val="18"/>
          <w:szCs w:val="18"/>
        </w:rPr>
        <w:t>El ADR se revisa cada dos años –coincidiendo con años impares- por el grupo de trabajo WP-15.</w:t>
      </w:r>
      <w:r w:rsidRPr="00262398">
        <w:rPr>
          <w:rFonts w:ascii="Arial" w:hAnsi="Arial" w:cs="Arial"/>
          <w:bCs/>
          <w:sz w:val="18"/>
          <w:szCs w:val="18"/>
        </w:rPr>
        <w:t xml:space="preserve"> </w:t>
      </w:r>
      <w:r w:rsidRPr="00262398">
        <w:rPr>
          <w:rFonts w:ascii="Arial" w:hAnsi="Arial" w:cs="Arial"/>
          <w:b/>
          <w:bCs/>
          <w:sz w:val="18"/>
          <w:szCs w:val="18"/>
        </w:rPr>
        <w:t xml:space="preserve">Este grupo de trabajo (Working Party) está adscrito al Comité de Transportes Interiores de </w:t>
      </w:r>
      <w:smartTag w:uri="urn:schemas-microsoft-com:office:smarttags" w:element="PersonName">
        <w:smartTagPr>
          <w:attr w:name="ProductID" w:val="la Comisi￳n Econ￳mica"/>
        </w:smartTagPr>
        <w:r w:rsidRPr="00262398">
          <w:rPr>
            <w:rFonts w:ascii="Arial" w:hAnsi="Arial" w:cs="Arial"/>
            <w:b/>
            <w:bCs/>
            <w:sz w:val="18"/>
            <w:szCs w:val="18"/>
          </w:rPr>
          <w:t>la Comisión Económica</w:t>
        </w:r>
      </w:smartTag>
      <w:r w:rsidRPr="00262398">
        <w:rPr>
          <w:rFonts w:ascii="Arial" w:hAnsi="Arial" w:cs="Arial"/>
          <w:b/>
          <w:bCs/>
          <w:sz w:val="18"/>
          <w:szCs w:val="18"/>
        </w:rPr>
        <w:t xml:space="preserve"> para Europa (CEPE / UNECE). </w:t>
      </w:r>
    </w:p>
    <w:p w14:paraId="203450B2" w14:textId="77777777" w:rsidR="00262398" w:rsidRPr="00262398" w:rsidRDefault="00262398" w:rsidP="00262398">
      <w:pPr>
        <w:spacing w:after="0" w:line="240" w:lineRule="auto"/>
        <w:rPr>
          <w:rFonts w:ascii="Arial" w:hAnsi="Arial" w:cs="Arial"/>
          <w:sz w:val="18"/>
          <w:szCs w:val="18"/>
          <w:lang w:val="es-ES_tradnl"/>
        </w:rPr>
      </w:pPr>
      <w:r w:rsidRPr="00262398">
        <w:rPr>
          <w:rFonts w:ascii="Arial" w:hAnsi="Arial" w:cs="Arial"/>
          <w:b/>
          <w:sz w:val="18"/>
          <w:szCs w:val="18"/>
          <w:lang w:val="es-ES_tradnl"/>
        </w:rPr>
        <w:lastRenderedPageBreak/>
        <w:t>El ADR enumera las mercancías peligrosas que pueden ser objeto de un transporte nacional e internacional.</w:t>
      </w:r>
      <w:r w:rsidRPr="00262398">
        <w:rPr>
          <w:rFonts w:ascii="Arial" w:hAnsi="Arial" w:cs="Arial"/>
          <w:sz w:val="18"/>
          <w:szCs w:val="18"/>
          <w:lang w:val="es-ES_tradnl"/>
        </w:rPr>
        <w:t xml:space="preserve"> Es de aplicación a todo transporte internacional de mercancías peligrosas </w:t>
      </w:r>
      <w:r w:rsidRPr="00262398">
        <w:rPr>
          <w:rFonts w:ascii="Arial" w:hAnsi="Arial" w:cs="Arial"/>
          <w:b/>
          <w:sz w:val="18"/>
          <w:szCs w:val="18"/>
          <w:u w:val="single"/>
          <w:lang w:val="es-ES_tradnl"/>
        </w:rPr>
        <w:t>por carretera</w:t>
      </w:r>
      <w:r w:rsidRPr="00262398">
        <w:rPr>
          <w:rFonts w:ascii="Arial" w:hAnsi="Arial" w:cs="Arial"/>
          <w:sz w:val="18"/>
          <w:szCs w:val="18"/>
          <w:lang w:val="es-ES_tradnl"/>
        </w:rPr>
        <w:t xml:space="preserve">, así como las actividades implicadas (embalaje, carga, descarga…), entre los países adheridos al acuerdo. </w:t>
      </w:r>
    </w:p>
    <w:p w14:paraId="203450B3" w14:textId="77777777" w:rsidR="00262398" w:rsidRPr="00262398" w:rsidRDefault="00262398" w:rsidP="00262398">
      <w:pPr>
        <w:spacing w:after="0" w:line="240" w:lineRule="auto"/>
        <w:rPr>
          <w:rFonts w:ascii="Arial" w:hAnsi="Arial" w:cs="Arial"/>
          <w:sz w:val="18"/>
          <w:szCs w:val="18"/>
          <w:lang w:val="es-ES_tradnl"/>
        </w:rPr>
      </w:pPr>
      <w:r w:rsidRPr="00262398">
        <w:rPr>
          <w:rFonts w:ascii="Arial" w:hAnsi="Arial" w:cs="Arial"/>
          <w:sz w:val="18"/>
          <w:szCs w:val="18"/>
          <w:lang w:val="es-ES_tradnl"/>
        </w:rPr>
        <w:t xml:space="preserve">El ADR tiene </w:t>
      </w:r>
      <w:r w:rsidRPr="00262398">
        <w:rPr>
          <w:rFonts w:ascii="Arial" w:hAnsi="Arial" w:cs="Arial"/>
          <w:b/>
          <w:sz w:val="18"/>
          <w:szCs w:val="18"/>
          <w:u w:val="single"/>
          <w:lang w:val="es-ES_tradnl"/>
        </w:rPr>
        <w:t>dos finalidades principales</w:t>
      </w:r>
      <w:r w:rsidRPr="00262398">
        <w:rPr>
          <w:rFonts w:ascii="Arial" w:hAnsi="Arial" w:cs="Arial"/>
          <w:sz w:val="18"/>
          <w:szCs w:val="18"/>
          <w:lang w:val="es-ES_tradnl"/>
        </w:rPr>
        <w:t>:</w:t>
      </w:r>
    </w:p>
    <w:p w14:paraId="203450B4" w14:textId="77777777" w:rsidR="00262398" w:rsidRPr="00262398" w:rsidRDefault="00262398" w:rsidP="00262398">
      <w:pPr>
        <w:numPr>
          <w:ilvl w:val="0"/>
          <w:numId w:val="3"/>
        </w:numPr>
        <w:spacing w:after="0" w:line="240" w:lineRule="auto"/>
        <w:rPr>
          <w:rFonts w:ascii="Arial" w:hAnsi="Arial" w:cs="Arial"/>
          <w:sz w:val="18"/>
          <w:szCs w:val="18"/>
          <w:lang w:val="es-ES_tradnl"/>
        </w:rPr>
      </w:pPr>
      <w:r w:rsidRPr="00262398">
        <w:rPr>
          <w:rFonts w:ascii="Arial" w:hAnsi="Arial" w:cs="Arial"/>
          <w:sz w:val="18"/>
          <w:szCs w:val="18"/>
          <w:lang w:val="es-ES_tradnl"/>
        </w:rPr>
        <w:t>facilitar el transporte de mercancías peligrosas</w:t>
      </w:r>
    </w:p>
    <w:p w14:paraId="203450B5" w14:textId="77777777" w:rsidR="00262398" w:rsidRPr="00262398" w:rsidRDefault="00262398" w:rsidP="00262398">
      <w:pPr>
        <w:numPr>
          <w:ilvl w:val="0"/>
          <w:numId w:val="3"/>
        </w:numPr>
        <w:spacing w:after="0" w:line="240" w:lineRule="auto"/>
        <w:rPr>
          <w:rFonts w:ascii="Arial" w:hAnsi="Arial" w:cs="Arial"/>
          <w:sz w:val="18"/>
          <w:szCs w:val="18"/>
          <w:lang w:val="es-ES_tradnl"/>
        </w:rPr>
      </w:pPr>
      <w:r w:rsidRPr="00262398">
        <w:rPr>
          <w:rFonts w:ascii="Arial" w:hAnsi="Arial" w:cs="Arial"/>
          <w:sz w:val="18"/>
          <w:szCs w:val="18"/>
          <w:lang w:val="es-ES_tradnl"/>
        </w:rPr>
        <w:t>aumentar la seguridad en este tipo de transporte</w:t>
      </w:r>
    </w:p>
    <w:p w14:paraId="203450B6" w14:textId="77777777" w:rsidR="00262398" w:rsidRPr="00262398" w:rsidRDefault="00262398" w:rsidP="00262398">
      <w:pPr>
        <w:spacing w:after="0" w:line="240" w:lineRule="auto"/>
        <w:rPr>
          <w:rFonts w:ascii="Arial" w:hAnsi="Arial" w:cs="Arial"/>
          <w:b/>
          <w:sz w:val="18"/>
          <w:szCs w:val="18"/>
          <w:highlight w:val="cyan"/>
          <w:lang w:val="es-ES_tradnl"/>
        </w:rPr>
      </w:pPr>
      <w:r w:rsidRPr="00262398">
        <w:rPr>
          <w:rFonts w:ascii="Arial" w:hAnsi="Arial" w:cs="Arial"/>
          <w:b/>
          <w:sz w:val="18"/>
          <w:szCs w:val="18"/>
          <w:lang w:val="es-ES_tradnl"/>
        </w:rPr>
        <w:tab/>
      </w:r>
      <w:r w:rsidRPr="00262398">
        <w:rPr>
          <w:rFonts w:ascii="Arial" w:hAnsi="Arial" w:cs="Arial"/>
          <w:b/>
          <w:sz w:val="18"/>
          <w:szCs w:val="18"/>
          <w:lang w:val="es-ES_tradnl"/>
        </w:rPr>
        <w:tab/>
      </w:r>
      <w:r w:rsidRPr="00262398">
        <w:rPr>
          <w:rFonts w:ascii="Arial" w:hAnsi="Arial" w:cs="Arial"/>
          <w:b/>
          <w:sz w:val="18"/>
          <w:szCs w:val="18"/>
          <w:highlight w:val="cyan"/>
          <w:lang w:val="es-ES_tradnl"/>
        </w:rPr>
        <w:t xml:space="preserve">Existen otros acuerdos semejantes para otros modos de transporte: </w:t>
      </w:r>
    </w:p>
    <w:p w14:paraId="203450B7" w14:textId="77777777" w:rsidR="00262398" w:rsidRPr="00262398" w:rsidRDefault="00262398" w:rsidP="00262398">
      <w:pPr>
        <w:numPr>
          <w:ilvl w:val="0"/>
          <w:numId w:val="4"/>
        </w:numPr>
        <w:spacing w:after="0" w:line="240" w:lineRule="auto"/>
        <w:rPr>
          <w:rFonts w:ascii="Arial" w:hAnsi="Arial" w:cs="Arial"/>
          <w:sz w:val="18"/>
          <w:szCs w:val="18"/>
          <w:highlight w:val="cyan"/>
          <w:lang w:val="es-ES_tradnl"/>
        </w:rPr>
      </w:pPr>
      <w:r w:rsidRPr="00262398">
        <w:rPr>
          <w:rFonts w:ascii="Arial" w:hAnsi="Arial" w:cs="Arial"/>
          <w:sz w:val="18"/>
          <w:szCs w:val="18"/>
          <w:highlight w:val="cyan"/>
          <w:lang w:val="es-ES_tradnl"/>
        </w:rPr>
        <w:t xml:space="preserve">el Reglamento relativo al </w:t>
      </w:r>
      <w:r w:rsidRPr="00262398">
        <w:rPr>
          <w:rFonts w:ascii="Arial" w:hAnsi="Arial" w:cs="Arial"/>
          <w:b/>
          <w:sz w:val="18"/>
          <w:szCs w:val="18"/>
          <w:highlight w:val="cyan"/>
          <w:lang w:val="es-ES_tradnl"/>
        </w:rPr>
        <w:t>Transporte Internacional Ferroviario</w:t>
      </w:r>
      <w:r w:rsidRPr="00262398">
        <w:rPr>
          <w:rFonts w:ascii="Arial" w:hAnsi="Arial" w:cs="Arial"/>
          <w:sz w:val="18"/>
          <w:szCs w:val="18"/>
          <w:highlight w:val="cyan"/>
          <w:lang w:val="es-ES_tradnl"/>
        </w:rPr>
        <w:t xml:space="preserve"> de Mercancías Peligrosas </w:t>
      </w:r>
      <w:r w:rsidRPr="00262398">
        <w:rPr>
          <w:rFonts w:ascii="Arial" w:hAnsi="Arial" w:cs="Arial"/>
          <w:b/>
          <w:sz w:val="18"/>
          <w:szCs w:val="18"/>
          <w:highlight w:val="cyan"/>
          <w:lang w:val="es-ES_tradnl"/>
        </w:rPr>
        <w:t>(RID)</w:t>
      </w:r>
    </w:p>
    <w:p w14:paraId="203450B8" w14:textId="77777777" w:rsidR="00262398" w:rsidRPr="00262398" w:rsidRDefault="00262398" w:rsidP="00262398">
      <w:pPr>
        <w:numPr>
          <w:ilvl w:val="0"/>
          <w:numId w:val="4"/>
        </w:numPr>
        <w:spacing w:after="0" w:line="240" w:lineRule="auto"/>
        <w:rPr>
          <w:rFonts w:ascii="Arial" w:hAnsi="Arial" w:cs="Arial"/>
          <w:sz w:val="18"/>
          <w:szCs w:val="18"/>
          <w:highlight w:val="cyan"/>
          <w:lang w:val="es-ES_tradnl"/>
        </w:rPr>
      </w:pPr>
      <w:r w:rsidRPr="00262398">
        <w:rPr>
          <w:rFonts w:ascii="Arial" w:hAnsi="Arial" w:cs="Arial"/>
          <w:sz w:val="18"/>
          <w:szCs w:val="18"/>
          <w:highlight w:val="cyan"/>
          <w:lang w:val="es-ES_tradnl"/>
        </w:rPr>
        <w:t xml:space="preserve">las Prescripciones europeas, relativas al transporte internacional de mercancías peligrosas, </w:t>
      </w:r>
      <w:r w:rsidRPr="00262398">
        <w:rPr>
          <w:rFonts w:ascii="Arial" w:hAnsi="Arial" w:cs="Arial"/>
          <w:b/>
          <w:sz w:val="18"/>
          <w:szCs w:val="18"/>
          <w:highlight w:val="cyan"/>
          <w:lang w:val="es-ES_tradnl"/>
        </w:rPr>
        <w:t>por vías de navegación interior</w:t>
      </w:r>
      <w:r w:rsidRPr="00262398">
        <w:rPr>
          <w:rFonts w:ascii="Arial" w:hAnsi="Arial" w:cs="Arial"/>
          <w:sz w:val="18"/>
          <w:szCs w:val="18"/>
          <w:highlight w:val="cyan"/>
          <w:lang w:val="es-ES_tradnl"/>
        </w:rPr>
        <w:t xml:space="preserve"> </w:t>
      </w:r>
      <w:r w:rsidRPr="00262398">
        <w:rPr>
          <w:rFonts w:ascii="Arial" w:hAnsi="Arial" w:cs="Arial"/>
          <w:b/>
          <w:sz w:val="18"/>
          <w:szCs w:val="18"/>
          <w:highlight w:val="cyan"/>
          <w:lang w:val="es-ES_tradnl"/>
        </w:rPr>
        <w:t>(ADN)</w:t>
      </w:r>
    </w:p>
    <w:p w14:paraId="203450B9" w14:textId="77777777" w:rsidR="00262398" w:rsidRPr="00262398" w:rsidRDefault="00262398" w:rsidP="00262398">
      <w:pPr>
        <w:numPr>
          <w:ilvl w:val="0"/>
          <w:numId w:val="4"/>
        </w:numPr>
        <w:spacing w:after="0" w:line="240" w:lineRule="auto"/>
        <w:rPr>
          <w:rFonts w:ascii="Arial" w:hAnsi="Arial" w:cs="Arial"/>
          <w:sz w:val="18"/>
          <w:szCs w:val="18"/>
          <w:highlight w:val="cyan"/>
          <w:lang w:val="es-ES_tradnl"/>
        </w:rPr>
      </w:pPr>
      <w:r w:rsidRPr="00262398">
        <w:rPr>
          <w:rFonts w:ascii="Arial" w:hAnsi="Arial" w:cs="Arial"/>
          <w:sz w:val="18"/>
          <w:szCs w:val="18"/>
          <w:highlight w:val="cyan"/>
          <w:lang w:val="es-ES_tradnl"/>
        </w:rPr>
        <w:t xml:space="preserve">el </w:t>
      </w:r>
      <w:r w:rsidRPr="00262398">
        <w:rPr>
          <w:rFonts w:ascii="Arial" w:hAnsi="Arial" w:cs="Arial"/>
          <w:b/>
          <w:sz w:val="18"/>
          <w:szCs w:val="18"/>
          <w:highlight w:val="cyan"/>
          <w:lang w:val="es-ES_tradnl"/>
        </w:rPr>
        <w:t>Código marítimo internacional</w:t>
      </w:r>
      <w:r w:rsidRPr="00262398">
        <w:rPr>
          <w:rFonts w:ascii="Arial" w:hAnsi="Arial" w:cs="Arial"/>
          <w:sz w:val="18"/>
          <w:szCs w:val="18"/>
          <w:highlight w:val="cyan"/>
          <w:lang w:val="es-ES_tradnl"/>
        </w:rPr>
        <w:t xml:space="preserve"> de mercancías peligrosas </w:t>
      </w:r>
      <w:r w:rsidRPr="00262398">
        <w:rPr>
          <w:rFonts w:ascii="Arial" w:hAnsi="Arial" w:cs="Arial"/>
          <w:b/>
          <w:sz w:val="18"/>
          <w:szCs w:val="18"/>
          <w:highlight w:val="cyan"/>
          <w:lang w:val="es-ES_tradnl"/>
        </w:rPr>
        <w:t>(</w:t>
      </w:r>
      <w:hyperlink r:id="rId13" w:tooltip="IMDG" w:history="1">
        <w:r w:rsidRPr="00262398">
          <w:rPr>
            <w:rStyle w:val="Hiperesteka"/>
            <w:rFonts w:ascii="Arial" w:hAnsi="Arial" w:cs="Arial"/>
            <w:b/>
            <w:sz w:val="18"/>
            <w:szCs w:val="18"/>
            <w:highlight w:val="cyan"/>
            <w:lang w:val="es-ES_tradnl"/>
          </w:rPr>
          <w:t>IMDG</w:t>
        </w:r>
      </w:hyperlink>
      <w:r w:rsidRPr="00262398">
        <w:rPr>
          <w:rFonts w:ascii="Arial" w:hAnsi="Arial" w:cs="Arial"/>
          <w:b/>
          <w:sz w:val="18"/>
          <w:szCs w:val="18"/>
          <w:highlight w:val="cyan"/>
          <w:lang w:val="es-ES_tradnl"/>
        </w:rPr>
        <w:t>)</w:t>
      </w:r>
    </w:p>
    <w:p w14:paraId="203450BA" w14:textId="77777777" w:rsidR="00262398" w:rsidRPr="00262398" w:rsidRDefault="00262398" w:rsidP="00262398">
      <w:pPr>
        <w:numPr>
          <w:ilvl w:val="0"/>
          <w:numId w:val="4"/>
        </w:numPr>
        <w:spacing w:after="0" w:line="240" w:lineRule="auto"/>
        <w:rPr>
          <w:rFonts w:ascii="Arial" w:hAnsi="Arial" w:cs="Arial"/>
          <w:b/>
          <w:sz w:val="18"/>
          <w:szCs w:val="18"/>
          <w:highlight w:val="cyan"/>
          <w:lang w:val="es-ES_tradnl"/>
        </w:rPr>
      </w:pPr>
      <w:r w:rsidRPr="00262398">
        <w:rPr>
          <w:rFonts w:ascii="Arial" w:hAnsi="Arial" w:cs="Arial"/>
          <w:sz w:val="18"/>
          <w:szCs w:val="18"/>
          <w:highlight w:val="cyan"/>
          <w:lang w:val="es-ES_tradnl"/>
        </w:rPr>
        <w:t xml:space="preserve">las </w:t>
      </w:r>
      <w:r w:rsidRPr="00262398">
        <w:rPr>
          <w:rFonts w:ascii="Arial" w:hAnsi="Arial" w:cs="Arial"/>
          <w:b/>
          <w:sz w:val="18"/>
          <w:szCs w:val="18"/>
          <w:highlight w:val="cyan"/>
          <w:lang w:val="es-ES_tradnl"/>
        </w:rPr>
        <w:t xml:space="preserve">Instrucciones técnicas de </w:t>
      </w:r>
      <w:smartTag w:uri="urn:schemas-microsoft-com:office:smarttags" w:element="PersonName">
        <w:smartTagPr>
          <w:attr w:name="ProductID" w:val="la OACI"/>
        </w:smartTagPr>
        <w:r w:rsidRPr="00262398">
          <w:rPr>
            <w:rFonts w:ascii="Arial" w:hAnsi="Arial" w:cs="Arial"/>
            <w:b/>
            <w:sz w:val="18"/>
            <w:szCs w:val="18"/>
            <w:highlight w:val="cyan"/>
            <w:lang w:val="es-ES_tradnl"/>
          </w:rPr>
          <w:t>la OACI</w:t>
        </w:r>
      </w:smartTag>
      <w:r w:rsidRPr="00262398">
        <w:rPr>
          <w:rFonts w:ascii="Arial" w:hAnsi="Arial" w:cs="Arial"/>
          <w:sz w:val="18"/>
          <w:szCs w:val="18"/>
          <w:highlight w:val="cyan"/>
          <w:lang w:val="es-ES_tradnl"/>
        </w:rPr>
        <w:t xml:space="preserve"> (Organización de Aviación Civil Internacional) para el transporte sin riesgos de mercancías peligrosas </w:t>
      </w:r>
      <w:r w:rsidRPr="00262398">
        <w:rPr>
          <w:rFonts w:ascii="Arial" w:hAnsi="Arial" w:cs="Arial"/>
          <w:b/>
          <w:sz w:val="18"/>
          <w:szCs w:val="18"/>
          <w:highlight w:val="cyan"/>
          <w:lang w:val="es-ES_tradnl"/>
        </w:rPr>
        <w:t>por vía aérea</w:t>
      </w:r>
    </w:p>
    <w:p w14:paraId="203450BB" w14:textId="77777777" w:rsidR="00262398" w:rsidRDefault="00262398" w:rsidP="00912045">
      <w:pPr>
        <w:spacing w:after="0" w:line="240" w:lineRule="auto"/>
      </w:pPr>
    </w:p>
    <w:p w14:paraId="203450BC" w14:textId="77777777" w:rsidR="00262398" w:rsidRPr="00262398" w:rsidRDefault="00262398" w:rsidP="00912045">
      <w:pPr>
        <w:spacing w:after="0" w:line="240" w:lineRule="auto"/>
        <w:rPr>
          <w:rFonts w:ascii="Arial" w:hAnsi="Arial" w:cs="Arial"/>
          <w:sz w:val="18"/>
          <w:szCs w:val="18"/>
        </w:rPr>
      </w:pPr>
      <w:r w:rsidRPr="00262398">
        <w:rPr>
          <w:rFonts w:ascii="Arial" w:hAnsi="Arial" w:cs="Arial"/>
          <w:sz w:val="18"/>
          <w:szCs w:val="18"/>
        </w:rPr>
        <w:t>(…)</w:t>
      </w:r>
    </w:p>
    <w:p w14:paraId="203450BD" w14:textId="77777777" w:rsidR="00262398" w:rsidRPr="00262398" w:rsidRDefault="00262398" w:rsidP="00912045">
      <w:pPr>
        <w:spacing w:after="0" w:line="240" w:lineRule="auto"/>
        <w:rPr>
          <w:rFonts w:ascii="Arial" w:hAnsi="Arial" w:cs="Arial"/>
          <w:sz w:val="18"/>
          <w:szCs w:val="18"/>
        </w:rPr>
      </w:pPr>
    </w:p>
    <w:p w14:paraId="203450BE"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 xml:space="preserve">El ADR, basándose en las recomendaciones del Comité de Expertos, recoge 9 clases, subdividiéndose la clase 4 en tres, la clase 5 en dos y la clase 6 en otras dos. Las clases resultantes serían las siguientes: </w:t>
      </w:r>
    </w:p>
    <w:p w14:paraId="203450BF" w14:textId="77777777" w:rsidR="00262398" w:rsidRPr="00262398" w:rsidRDefault="00262398" w:rsidP="00262398">
      <w:pPr>
        <w:spacing w:after="0" w:line="240" w:lineRule="auto"/>
        <w:rPr>
          <w:rFonts w:ascii="Arial" w:hAnsi="Arial" w:cs="Arial"/>
          <w:bCs/>
          <w:sz w:val="18"/>
          <w:szCs w:val="18"/>
        </w:rPr>
      </w:pPr>
    </w:p>
    <w:p w14:paraId="203450C0"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1.      Materias y objetos explosivos</w:t>
      </w:r>
    </w:p>
    <w:p w14:paraId="203450C1"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2.      Gases</w:t>
      </w:r>
    </w:p>
    <w:p w14:paraId="203450C2"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3.      Líquidos inflamables</w:t>
      </w:r>
    </w:p>
    <w:p w14:paraId="203450C3"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4.1 Materias sólidas inflamables, materias autorreactivas y materias  explosivas desensibilizadas sólidas.</w:t>
      </w:r>
    </w:p>
    <w:p w14:paraId="203450C4"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4.2    Materias que pueden experimentar inflamación espontánea</w:t>
      </w:r>
    </w:p>
    <w:p w14:paraId="203450C5"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4.3   Materias que al contacto con el agua desprenden gases inflamables</w:t>
      </w:r>
    </w:p>
    <w:p w14:paraId="203450C6"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5.1   Materias comburentes</w:t>
      </w:r>
    </w:p>
    <w:p w14:paraId="203450C7"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5.2   Peróxidos orgánicos</w:t>
      </w:r>
    </w:p>
    <w:p w14:paraId="203450C8"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6.1   Materias tóxicas</w:t>
      </w:r>
    </w:p>
    <w:p w14:paraId="203450C9"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6.2   Materias infecciosas</w:t>
      </w:r>
    </w:p>
    <w:p w14:paraId="203450CA"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7      Materias radiactivas</w:t>
      </w:r>
    </w:p>
    <w:p w14:paraId="203450CB"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8      Materias corrosivas</w:t>
      </w:r>
    </w:p>
    <w:p w14:paraId="203450CC" w14:textId="77777777" w:rsidR="00262398" w:rsidRPr="00262398" w:rsidRDefault="00262398" w:rsidP="00262398">
      <w:pPr>
        <w:spacing w:after="0" w:line="240" w:lineRule="auto"/>
        <w:rPr>
          <w:rFonts w:ascii="Arial" w:hAnsi="Arial" w:cs="Arial"/>
          <w:bCs/>
          <w:sz w:val="18"/>
          <w:szCs w:val="18"/>
        </w:rPr>
      </w:pPr>
      <w:r w:rsidRPr="00262398">
        <w:rPr>
          <w:rFonts w:ascii="Arial" w:hAnsi="Arial" w:cs="Arial"/>
          <w:bCs/>
          <w:sz w:val="18"/>
          <w:szCs w:val="18"/>
        </w:rPr>
        <w:t>Clase 9      Materias y objetos peligrosos diversos</w:t>
      </w:r>
    </w:p>
    <w:p w14:paraId="203450CD" w14:textId="77777777" w:rsidR="00262398" w:rsidRPr="00262398" w:rsidRDefault="00262398" w:rsidP="00912045">
      <w:pPr>
        <w:spacing w:after="0" w:line="240" w:lineRule="auto"/>
        <w:rPr>
          <w:rFonts w:ascii="Arial" w:hAnsi="Arial" w:cs="Arial"/>
          <w:sz w:val="18"/>
          <w:szCs w:val="18"/>
        </w:rPr>
      </w:pPr>
    </w:p>
    <w:p w14:paraId="203450CE" w14:textId="77777777" w:rsidR="00262398" w:rsidRDefault="00262398" w:rsidP="00912045">
      <w:pPr>
        <w:spacing w:after="0" w:line="240" w:lineRule="auto"/>
      </w:pPr>
    </w:p>
    <w:p w14:paraId="203450CF" w14:textId="77777777" w:rsidR="00892AB4" w:rsidRPr="00892AB4" w:rsidRDefault="00892AB4" w:rsidP="00892AB4">
      <w:pPr>
        <w:pStyle w:val="3izenburua"/>
        <w:rPr>
          <w:color w:val="000000" w:themeColor="text1"/>
        </w:rPr>
      </w:pPr>
      <w:r>
        <w:rPr>
          <w:color w:val="000000" w:themeColor="text1"/>
        </w:rPr>
        <w:t>3-ITURRIA: IATE</w:t>
      </w:r>
    </w:p>
    <w:p w14:paraId="203450D0" w14:textId="77777777" w:rsidR="00262398" w:rsidRDefault="00262398" w:rsidP="00912045">
      <w:pPr>
        <w:spacing w:after="0" w:line="240" w:lineRule="auto"/>
      </w:pPr>
    </w:p>
    <w:p w14:paraId="203450D1" w14:textId="77777777" w:rsidR="00262398" w:rsidRDefault="00262398" w:rsidP="00912045">
      <w:pPr>
        <w:spacing w:after="0" w:line="240" w:lineRule="auto"/>
      </w:pPr>
    </w:p>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0D6FE4" w:rsidRPr="00262398" w14:paraId="203450D4" w14:textId="77777777" w:rsidTr="00892AB4">
        <w:trPr>
          <w:trHeight w:val="276"/>
          <w:tblCellSpacing w:w="15" w:type="dxa"/>
          <w:jc w:val="center"/>
        </w:trPr>
        <w:tc>
          <w:tcPr>
            <w:tcW w:w="1548" w:type="dxa"/>
            <w:vAlign w:val="center"/>
            <w:hideMark/>
          </w:tcPr>
          <w:p w14:paraId="203450D2" w14:textId="77777777" w:rsidR="000D6FE4" w:rsidRPr="00262398" w:rsidRDefault="000D6FE4" w:rsidP="000D6FE4">
            <w:pPr>
              <w:spacing w:after="0" w:line="240" w:lineRule="auto"/>
              <w:rPr>
                <w:sz w:val="18"/>
                <w:lang w:val="eu-ES"/>
              </w:rPr>
            </w:pPr>
            <w:r w:rsidRPr="00262398">
              <w:rPr>
                <w:b/>
                <w:bCs/>
                <w:i/>
                <w:iCs/>
                <w:sz w:val="18"/>
                <w:lang w:val="eu-ES"/>
              </w:rPr>
              <w:t>Domain</w:t>
            </w:r>
          </w:p>
        </w:tc>
        <w:tc>
          <w:tcPr>
            <w:tcW w:w="6762" w:type="dxa"/>
            <w:vAlign w:val="center"/>
            <w:hideMark/>
          </w:tcPr>
          <w:p w14:paraId="203450D3" w14:textId="77777777" w:rsidR="000D6FE4" w:rsidRPr="00262398" w:rsidRDefault="000D6FE4" w:rsidP="000D6FE4">
            <w:pPr>
              <w:spacing w:after="0" w:line="240" w:lineRule="auto"/>
              <w:rPr>
                <w:sz w:val="18"/>
                <w:lang w:val="eu-ES"/>
              </w:rPr>
            </w:pPr>
            <w:r w:rsidRPr="00262398">
              <w:rPr>
                <w:sz w:val="18"/>
                <w:lang w:val="eu-ES"/>
              </w:rPr>
              <w:t xml:space="preserve">TRANSPORT, International agreement </w:t>
            </w:r>
          </w:p>
        </w:tc>
      </w:tr>
    </w:tbl>
    <w:p w14:paraId="203450D5" w14:textId="77777777" w:rsidR="000D6FE4" w:rsidRPr="00262398" w:rsidRDefault="000D6FE4" w:rsidP="000D6FE4">
      <w:pPr>
        <w:spacing w:after="0" w:line="240" w:lineRule="auto"/>
        <w:rPr>
          <w:sz w:val="18"/>
          <w:lang w:val="eu-ES"/>
        </w:rPr>
      </w:pPr>
      <w:r w:rsidRPr="00262398">
        <w:rPr>
          <w:sz w:val="18"/>
          <w:lang w:val="eu-ES"/>
        </w:rPr>
        <w:t xml:space="preserve">es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0D6FE4" w:rsidRPr="00262398" w14:paraId="203450D8" w14:textId="77777777">
        <w:trPr>
          <w:tblCellSpacing w:w="15" w:type="dxa"/>
        </w:trPr>
        <w:tc>
          <w:tcPr>
            <w:tcW w:w="1560" w:type="dxa"/>
            <w:hideMark/>
          </w:tcPr>
          <w:p w14:paraId="203450D6" w14:textId="77777777" w:rsidR="000D6FE4" w:rsidRPr="00262398" w:rsidRDefault="000D6FE4" w:rsidP="000D6FE4">
            <w:pPr>
              <w:spacing w:after="0" w:line="240" w:lineRule="auto"/>
              <w:rPr>
                <w:sz w:val="18"/>
                <w:lang w:val="eu-ES"/>
              </w:rPr>
            </w:pPr>
            <w:r w:rsidRPr="00262398">
              <w:rPr>
                <w:sz w:val="18"/>
                <w:lang w:val="eu-ES"/>
              </w:rPr>
              <w:t>Note</w:t>
            </w:r>
          </w:p>
        </w:tc>
        <w:tc>
          <w:tcPr>
            <w:tcW w:w="6840" w:type="dxa"/>
            <w:vAlign w:val="center"/>
            <w:hideMark/>
          </w:tcPr>
          <w:p w14:paraId="203450D7" w14:textId="77777777" w:rsidR="000D6FE4" w:rsidRPr="00262398" w:rsidRDefault="000D6FE4" w:rsidP="000D6FE4">
            <w:pPr>
              <w:spacing w:after="0" w:line="240" w:lineRule="auto"/>
              <w:rPr>
                <w:sz w:val="18"/>
                <w:lang w:val="eu-ES"/>
              </w:rPr>
            </w:pPr>
            <w:r w:rsidRPr="00262398">
              <w:rPr>
                <w:sz w:val="18"/>
                <w:lang w:val="eu-ES"/>
              </w:rPr>
              <w:t xml:space="preserve">MISC: Ginebra, 30.9.1957. El texto refundido entró en vigor el 1-1-1997.;DIV: dr;UPDATED: PO 19/11/2003 </w:t>
            </w:r>
          </w:p>
        </w:tc>
      </w:tr>
    </w:tbl>
    <w:p w14:paraId="203450D9" w14:textId="77777777" w:rsidR="000D6FE4" w:rsidRPr="00262398" w:rsidRDefault="000D6FE4" w:rsidP="000D6FE4">
      <w:pPr>
        <w:spacing w:after="0" w:line="240" w:lineRule="auto"/>
        <w:rPr>
          <w:sz w:val="18"/>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4"/>
        <w:gridCol w:w="6806"/>
      </w:tblGrid>
      <w:tr w:rsidR="000D6FE4" w:rsidRPr="00262398" w14:paraId="203450DC" w14:textId="77777777">
        <w:trPr>
          <w:tblCellSpacing w:w="15" w:type="dxa"/>
        </w:trPr>
        <w:tc>
          <w:tcPr>
            <w:tcW w:w="1560" w:type="dxa"/>
            <w:hideMark/>
          </w:tcPr>
          <w:p w14:paraId="203450DA" w14:textId="77777777" w:rsidR="000D6FE4" w:rsidRPr="00262398" w:rsidRDefault="000D6FE4" w:rsidP="000D6FE4">
            <w:pPr>
              <w:spacing w:after="0" w:line="240" w:lineRule="auto"/>
              <w:rPr>
                <w:sz w:val="18"/>
                <w:lang w:val="eu-ES"/>
              </w:rPr>
            </w:pPr>
            <w:r w:rsidRPr="00262398">
              <w:rPr>
                <w:b/>
                <w:bCs/>
                <w:sz w:val="18"/>
                <w:lang w:val="eu-ES"/>
              </w:rPr>
              <w:t xml:space="preserve">Term </w:t>
            </w:r>
          </w:p>
        </w:tc>
        <w:tc>
          <w:tcPr>
            <w:tcW w:w="6840" w:type="dxa"/>
            <w:vAlign w:val="center"/>
            <w:hideMark/>
          </w:tcPr>
          <w:p w14:paraId="203450DB" w14:textId="77777777" w:rsidR="000D6FE4" w:rsidRPr="00262398" w:rsidRDefault="000D6FE4" w:rsidP="000D6FE4">
            <w:pPr>
              <w:spacing w:after="0" w:line="240" w:lineRule="auto"/>
              <w:rPr>
                <w:sz w:val="18"/>
                <w:lang w:val="eu-ES"/>
              </w:rPr>
            </w:pPr>
            <w:r w:rsidRPr="00262398">
              <w:rPr>
                <w:b/>
                <w:bCs/>
                <w:sz w:val="18"/>
                <w:lang w:val="eu-ES"/>
              </w:rPr>
              <w:t xml:space="preserve">Acuerdo Europeo sobre Transporte Internacional de Mercancías Peligrosas por Carretera </w:t>
            </w:r>
          </w:p>
        </w:tc>
      </w:tr>
      <w:tr w:rsidR="000D6FE4" w:rsidRPr="00262398" w14:paraId="203450DF" w14:textId="77777777">
        <w:trPr>
          <w:tblCellSpacing w:w="15" w:type="dxa"/>
        </w:trPr>
        <w:tc>
          <w:tcPr>
            <w:tcW w:w="1560" w:type="dxa"/>
            <w:vAlign w:val="center"/>
            <w:hideMark/>
          </w:tcPr>
          <w:p w14:paraId="203450DD"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0DE"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0E2" w14:textId="77777777">
        <w:trPr>
          <w:tblCellSpacing w:w="15" w:type="dxa"/>
        </w:trPr>
        <w:tc>
          <w:tcPr>
            <w:tcW w:w="1560" w:type="dxa"/>
            <w:hideMark/>
          </w:tcPr>
          <w:p w14:paraId="203450E0" w14:textId="77777777" w:rsidR="000D6FE4" w:rsidRPr="00262398" w:rsidRDefault="000D6FE4" w:rsidP="000D6FE4">
            <w:pPr>
              <w:spacing w:after="0" w:line="240" w:lineRule="auto"/>
              <w:rPr>
                <w:sz w:val="18"/>
                <w:lang w:val="eu-ES"/>
              </w:rPr>
            </w:pPr>
            <w:r w:rsidRPr="00262398">
              <w:rPr>
                <w:sz w:val="18"/>
                <w:lang w:val="eu-ES"/>
              </w:rPr>
              <w:t>Term Ref.</w:t>
            </w:r>
          </w:p>
        </w:tc>
        <w:tc>
          <w:tcPr>
            <w:tcW w:w="6840" w:type="dxa"/>
            <w:vAlign w:val="center"/>
            <w:hideMark/>
          </w:tcPr>
          <w:p w14:paraId="203450E1" w14:textId="77777777" w:rsidR="000D6FE4" w:rsidRPr="00262398" w:rsidRDefault="000D6FE4" w:rsidP="000D6FE4">
            <w:pPr>
              <w:spacing w:after="0" w:line="240" w:lineRule="auto"/>
              <w:rPr>
                <w:sz w:val="18"/>
                <w:lang w:val="eu-ES"/>
              </w:rPr>
            </w:pPr>
            <w:r w:rsidRPr="00262398">
              <w:rPr>
                <w:sz w:val="18"/>
                <w:lang w:val="eu-ES"/>
              </w:rPr>
              <w:t xml:space="preserve">ARANZADI, RCL 1997\2729, Texto refundido (BOE 10-6.1997, nº. 138) </w:t>
            </w:r>
          </w:p>
        </w:tc>
      </w:tr>
      <w:tr w:rsidR="000D6FE4" w:rsidRPr="00262398" w14:paraId="203450E5" w14:textId="77777777">
        <w:trPr>
          <w:tblCellSpacing w:w="15" w:type="dxa"/>
        </w:trPr>
        <w:tc>
          <w:tcPr>
            <w:tcW w:w="1560" w:type="dxa"/>
            <w:vAlign w:val="center"/>
            <w:hideMark/>
          </w:tcPr>
          <w:p w14:paraId="203450E3"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0E4"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0E6" w14:textId="77777777" w:rsidR="000D6FE4" w:rsidRPr="00262398" w:rsidRDefault="000D6FE4" w:rsidP="000D6FE4">
      <w:pPr>
        <w:spacing w:after="0" w:line="240" w:lineRule="auto"/>
        <w:rPr>
          <w:sz w:val="18"/>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7"/>
        <w:gridCol w:w="6803"/>
      </w:tblGrid>
      <w:tr w:rsidR="000D6FE4" w:rsidRPr="00262398" w14:paraId="203450E9" w14:textId="77777777">
        <w:trPr>
          <w:tblCellSpacing w:w="15" w:type="dxa"/>
        </w:trPr>
        <w:tc>
          <w:tcPr>
            <w:tcW w:w="1560" w:type="dxa"/>
            <w:hideMark/>
          </w:tcPr>
          <w:p w14:paraId="203450E7" w14:textId="77777777" w:rsidR="000D6FE4" w:rsidRPr="00262398" w:rsidRDefault="000D6FE4" w:rsidP="000D6FE4">
            <w:pPr>
              <w:spacing w:after="0" w:line="240" w:lineRule="auto"/>
              <w:rPr>
                <w:sz w:val="18"/>
                <w:lang w:val="eu-ES"/>
              </w:rPr>
            </w:pPr>
            <w:r w:rsidRPr="00262398">
              <w:rPr>
                <w:b/>
                <w:bCs/>
                <w:sz w:val="18"/>
                <w:lang w:val="eu-ES"/>
              </w:rPr>
              <w:t xml:space="preserve">Abbreviation </w:t>
            </w:r>
          </w:p>
        </w:tc>
        <w:tc>
          <w:tcPr>
            <w:tcW w:w="6840" w:type="dxa"/>
            <w:vAlign w:val="center"/>
            <w:hideMark/>
          </w:tcPr>
          <w:p w14:paraId="203450E8" w14:textId="77777777" w:rsidR="000D6FE4" w:rsidRPr="00262398" w:rsidRDefault="000D6FE4" w:rsidP="000D6FE4">
            <w:pPr>
              <w:spacing w:after="0" w:line="240" w:lineRule="auto"/>
              <w:rPr>
                <w:sz w:val="18"/>
                <w:lang w:val="eu-ES"/>
              </w:rPr>
            </w:pPr>
            <w:r w:rsidRPr="00262398">
              <w:rPr>
                <w:b/>
                <w:bCs/>
                <w:sz w:val="18"/>
                <w:lang w:val="eu-ES"/>
              </w:rPr>
              <w:t xml:space="preserve">ADR </w:t>
            </w:r>
          </w:p>
        </w:tc>
      </w:tr>
      <w:tr w:rsidR="000D6FE4" w:rsidRPr="00262398" w14:paraId="203450EC" w14:textId="77777777">
        <w:trPr>
          <w:tblCellSpacing w:w="15" w:type="dxa"/>
        </w:trPr>
        <w:tc>
          <w:tcPr>
            <w:tcW w:w="1560" w:type="dxa"/>
            <w:vAlign w:val="center"/>
            <w:hideMark/>
          </w:tcPr>
          <w:p w14:paraId="203450EA"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0EB"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0EF" w14:textId="77777777">
        <w:trPr>
          <w:tblCellSpacing w:w="15" w:type="dxa"/>
        </w:trPr>
        <w:tc>
          <w:tcPr>
            <w:tcW w:w="1560" w:type="dxa"/>
            <w:hideMark/>
          </w:tcPr>
          <w:p w14:paraId="203450ED" w14:textId="77777777" w:rsidR="000D6FE4" w:rsidRPr="00262398" w:rsidRDefault="000D6FE4" w:rsidP="000D6FE4">
            <w:pPr>
              <w:spacing w:after="0" w:line="240" w:lineRule="auto"/>
              <w:rPr>
                <w:sz w:val="18"/>
                <w:lang w:val="eu-ES"/>
              </w:rPr>
            </w:pPr>
            <w:r w:rsidRPr="00262398">
              <w:rPr>
                <w:sz w:val="18"/>
                <w:lang w:val="eu-ES"/>
              </w:rPr>
              <w:t>Term Ref.</w:t>
            </w:r>
          </w:p>
        </w:tc>
        <w:tc>
          <w:tcPr>
            <w:tcW w:w="6840" w:type="dxa"/>
            <w:vAlign w:val="center"/>
            <w:hideMark/>
          </w:tcPr>
          <w:p w14:paraId="203450EE" w14:textId="77777777" w:rsidR="000D6FE4" w:rsidRPr="00262398" w:rsidRDefault="000D6FE4" w:rsidP="000D6FE4">
            <w:pPr>
              <w:spacing w:after="0" w:line="240" w:lineRule="auto"/>
              <w:rPr>
                <w:sz w:val="18"/>
                <w:lang w:val="eu-ES"/>
              </w:rPr>
            </w:pPr>
            <w:r w:rsidRPr="00262398">
              <w:rPr>
                <w:sz w:val="18"/>
                <w:lang w:val="eu-ES"/>
              </w:rPr>
              <w:t xml:space="preserve">ARANZADI, RCL 1997\2729, Texto refundido (BOE 10-6.1997, nº. 138) </w:t>
            </w:r>
          </w:p>
        </w:tc>
      </w:tr>
      <w:tr w:rsidR="000D6FE4" w:rsidRPr="00262398" w14:paraId="203450F2" w14:textId="77777777">
        <w:trPr>
          <w:tblCellSpacing w:w="15" w:type="dxa"/>
        </w:trPr>
        <w:tc>
          <w:tcPr>
            <w:tcW w:w="1560" w:type="dxa"/>
            <w:vAlign w:val="center"/>
            <w:hideMark/>
          </w:tcPr>
          <w:p w14:paraId="203450F0"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0F1"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0F3" w14:textId="77777777" w:rsidR="000D6FE4" w:rsidRPr="00262398" w:rsidRDefault="000D6FE4" w:rsidP="000D6FE4">
      <w:pPr>
        <w:spacing w:after="0" w:line="240" w:lineRule="auto"/>
        <w:rPr>
          <w:sz w:val="18"/>
          <w:lang w:val="eu-ES"/>
        </w:rPr>
      </w:pPr>
      <w:r w:rsidRPr="00262398">
        <w:rPr>
          <w:sz w:val="18"/>
          <w:lang w:val="eu-ES"/>
        </w:rPr>
        <w:br/>
        <w:t xml:space="preserve">en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88"/>
        <w:gridCol w:w="6812"/>
      </w:tblGrid>
      <w:tr w:rsidR="000D6FE4" w:rsidRPr="00262398" w14:paraId="203450F6" w14:textId="77777777">
        <w:trPr>
          <w:tblCellSpacing w:w="15" w:type="dxa"/>
        </w:trPr>
        <w:tc>
          <w:tcPr>
            <w:tcW w:w="1560" w:type="dxa"/>
            <w:hideMark/>
          </w:tcPr>
          <w:p w14:paraId="203450F4" w14:textId="77777777" w:rsidR="000D6FE4" w:rsidRPr="00262398" w:rsidRDefault="000D6FE4" w:rsidP="000D6FE4">
            <w:pPr>
              <w:spacing w:after="0" w:line="240" w:lineRule="auto"/>
              <w:rPr>
                <w:sz w:val="18"/>
                <w:lang w:val="eu-ES"/>
              </w:rPr>
            </w:pPr>
            <w:r w:rsidRPr="00262398">
              <w:rPr>
                <w:sz w:val="18"/>
                <w:lang w:val="eu-ES"/>
              </w:rPr>
              <w:t>Note</w:t>
            </w:r>
          </w:p>
        </w:tc>
        <w:tc>
          <w:tcPr>
            <w:tcW w:w="6840" w:type="dxa"/>
            <w:vAlign w:val="center"/>
            <w:hideMark/>
          </w:tcPr>
          <w:p w14:paraId="203450F5" w14:textId="77777777" w:rsidR="000D6FE4" w:rsidRPr="00262398" w:rsidRDefault="000D6FE4" w:rsidP="000D6FE4">
            <w:pPr>
              <w:spacing w:after="0" w:line="240" w:lineRule="auto"/>
              <w:rPr>
                <w:sz w:val="18"/>
                <w:lang w:val="eu-ES"/>
              </w:rPr>
            </w:pPr>
            <w:r w:rsidRPr="00262398">
              <w:rPr>
                <w:sz w:val="18"/>
                <w:highlight w:val="cyan"/>
                <w:lang w:val="eu-ES"/>
              </w:rPr>
              <w:t>Done at Geneva on 30 September 1957 under the auspices of the United Nations Economic Commission for Europe</w:t>
            </w:r>
            <w:r w:rsidRPr="00262398">
              <w:rPr>
                <w:sz w:val="18"/>
                <w:lang w:val="eu-ES"/>
              </w:rPr>
              <w:t xml:space="preserve">. Entered into force on 29 January 1968. The Agreement itself was amended by the Protocol amending Article 14 (3), done at New York on 21 August 1975, which entered into force on 19 April 1985. The key article is the second, which says that </w:t>
            </w:r>
            <w:r w:rsidRPr="00262398">
              <w:rPr>
                <w:sz w:val="18"/>
                <w:lang w:val="eu-ES"/>
              </w:rPr>
              <w:lastRenderedPageBreak/>
              <w:t>apart from some excessively dangerous goods, other dangerous goods may be carried internationally in road vehicles subject to compliance with:</w:t>
            </w:r>
            <w:r w:rsidRPr="00262398">
              <w:rPr>
                <w:sz w:val="18"/>
                <w:lang w:val="eu-ES"/>
              </w:rPr>
              <w:br/>
              <w:t xml:space="preserve">- the conditions laid down in Annex A for the goods in question, in particular as regards their packaging and labelling; and </w:t>
            </w:r>
            <w:r w:rsidRPr="00262398">
              <w:rPr>
                <w:sz w:val="18"/>
                <w:lang w:val="eu-ES"/>
              </w:rPr>
              <w:br/>
              <w:t xml:space="preserve">- the conditions laid down in Annex B, in particular as regards the construction, equipment and operation of the vehicle carrying the goods in question. Annexes A and B have been regularly amended and updated since the entry into force of ADR. </w:t>
            </w:r>
            <w:r w:rsidRPr="00262398">
              <w:rPr>
                <w:sz w:val="18"/>
                <w:lang w:val="eu-ES"/>
              </w:rPr>
              <w:br/>
            </w:r>
            <w:r w:rsidRPr="00262398">
              <w:rPr>
                <w:sz w:val="18"/>
                <w:lang w:val="eu-ES"/>
              </w:rPr>
              <w:br/>
              <w:t xml:space="preserve">A revised consolidated version has been published as document ECE/TRANS/225, Vol. I and II </w:t>
            </w:r>
            <w:hyperlink r:id="rId14" w:tgtFrame="_blank" w:tooltip="http://www.unece.org/trans/danger/publi/adr/adr2013/13contentse.html" w:history="1">
              <w:r w:rsidRPr="00262398">
                <w:rPr>
                  <w:rStyle w:val="Hiperesteka"/>
                  <w:sz w:val="18"/>
                  <w:lang w:val="eu-ES"/>
                </w:rPr>
                <w:t>www.unece.org/trans/d...</w:t>
              </w:r>
            </w:hyperlink>
            <w:r w:rsidRPr="00262398">
              <w:rPr>
                <w:sz w:val="18"/>
                <w:lang w:val="eu-ES"/>
              </w:rPr>
              <w:t xml:space="preserve"> [6.3.2013] </w:t>
            </w:r>
          </w:p>
        </w:tc>
      </w:tr>
    </w:tbl>
    <w:p w14:paraId="203450F7" w14:textId="77777777" w:rsidR="000D6FE4" w:rsidRPr="000D6FE4" w:rsidRDefault="000D6FE4" w:rsidP="000D6FE4">
      <w:pPr>
        <w:spacing w:after="0" w:line="240" w:lineRule="auto"/>
        <w:rPr>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2"/>
        <w:gridCol w:w="6808"/>
      </w:tblGrid>
      <w:tr w:rsidR="000D6FE4" w:rsidRPr="00360726" w14:paraId="203450FA" w14:textId="77777777">
        <w:trPr>
          <w:tblCellSpacing w:w="15" w:type="dxa"/>
        </w:trPr>
        <w:tc>
          <w:tcPr>
            <w:tcW w:w="1560" w:type="dxa"/>
            <w:hideMark/>
          </w:tcPr>
          <w:p w14:paraId="203450F8" w14:textId="77777777" w:rsidR="000D6FE4" w:rsidRPr="00262398" w:rsidRDefault="000D6FE4" w:rsidP="000D6FE4">
            <w:pPr>
              <w:spacing w:after="0" w:line="240" w:lineRule="auto"/>
              <w:rPr>
                <w:sz w:val="18"/>
                <w:lang w:val="eu-ES"/>
              </w:rPr>
            </w:pPr>
            <w:r w:rsidRPr="00262398">
              <w:rPr>
                <w:b/>
                <w:bCs/>
                <w:sz w:val="18"/>
                <w:lang w:val="eu-ES"/>
              </w:rPr>
              <w:t xml:space="preserve">Term </w:t>
            </w:r>
          </w:p>
        </w:tc>
        <w:tc>
          <w:tcPr>
            <w:tcW w:w="6840" w:type="dxa"/>
            <w:vAlign w:val="center"/>
            <w:hideMark/>
          </w:tcPr>
          <w:p w14:paraId="203450F9" w14:textId="77777777" w:rsidR="000D6FE4" w:rsidRPr="00262398" w:rsidRDefault="000D6FE4" w:rsidP="000D6FE4">
            <w:pPr>
              <w:spacing w:after="0" w:line="240" w:lineRule="auto"/>
              <w:rPr>
                <w:sz w:val="18"/>
                <w:lang w:val="eu-ES"/>
              </w:rPr>
            </w:pPr>
            <w:r w:rsidRPr="00262398">
              <w:rPr>
                <w:b/>
                <w:bCs/>
                <w:sz w:val="18"/>
                <w:lang w:val="eu-ES"/>
              </w:rPr>
              <w:t xml:space="preserve">European Agreement concerning the International Carriage of Dangerous Goods by Road </w:t>
            </w:r>
          </w:p>
        </w:tc>
      </w:tr>
      <w:tr w:rsidR="000D6FE4" w:rsidRPr="00262398" w14:paraId="203450FD" w14:textId="77777777">
        <w:trPr>
          <w:tblCellSpacing w:w="15" w:type="dxa"/>
        </w:trPr>
        <w:tc>
          <w:tcPr>
            <w:tcW w:w="1560" w:type="dxa"/>
            <w:vAlign w:val="center"/>
            <w:hideMark/>
          </w:tcPr>
          <w:p w14:paraId="203450FB"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0FC"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100" w14:textId="77777777">
        <w:trPr>
          <w:tblCellSpacing w:w="15" w:type="dxa"/>
        </w:trPr>
        <w:tc>
          <w:tcPr>
            <w:tcW w:w="1560" w:type="dxa"/>
            <w:hideMark/>
          </w:tcPr>
          <w:p w14:paraId="203450FE" w14:textId="77777777" w:rsidR="000D6FE4" w:rsidRPr="00262398" w:rsidRDefault="000D6FE4" w:rsidP="000D6FE4">
            <w:pPr>
              <w:spacing w:after="0" w:line="240" w:lineRule="auto"/>
              <w:rPr>
                <w:sz w:val="18"/>
                <w:lang w:val="eu-ES"/>
              </w:rPr>
            </w:pPr>
            <w:r w:rsidRPr="00262398">
              <w:rPr>
                <w:sz w:val="18"/>
                <w:lang w:val="eu-ES"/>
              </w:rPr>
              <w:t>Term Ref.</w:t>
            </w:r>
          </w:p>
        </w:tc>
        <w:tc>
          <w:tcPr>
            <w:tcW w:w="6840" w:type="dxa"/>
            <w:vAlign w:val="center"/>
            <w:hideMark/>
          </w:tcPr>
          <w:p w14:paraId="203450FF" w14:textId="77777777" w:rsidR="000D6FE4" w:rsidRPr="00262398" w:rsidRDefault="000D6FE4" w:rsidP="000D6FE4">
            <w:pPr>
              <w:spacing w:after="0" w:line="240" w:lineRule="auto"/>
              <w:rPr>
                <w:sz w:val="18"/>
                <w:lang w:val="eu-ES"/>
              </w:rPr>
            </w:pPr>
            <w:r w:rsidRPr="00262398">
              <w:rPr>
                <w:sz w:val="18"/>
                <w:lang w:val="eu-ES"/>
              </w:rPr>
              <w:t xml:space="preserve">United Nations Economic Commission for Europe website, </w:t>
            </w:r>
            <w:hyperlink r:id="rId15" w:tgtFrame="_blank" w:tooltip="http://www.unece.org/trans/danger/publi/adr/adr2003/ContentsE.html" w:history="1">
              <w:r w:rsidRPr="00262398">
                <w:rPr>
                  <w:rStyle w:val="Hiperesteka"/>
                  <w:sz w:val="18"/>
                  <w:lang w:val="eu-ES"/>
                </w:rPr>
                <w:t>www.unece.org/trans/d...</w:t>
              </w:r>
            </w:hyperlink>
            <w:r w:rsidRPr="00262398">
              <w:rPr>
                <w:sz w:val="18"/>
                <w:lang w:val="eu-ES"/>
              </w:rPr>
              <w:t xml:space="preserve"> [4.3.2013] </w:t>
            </w:r>
          </w:p>
        </w:tc>
      </w:tr>
      <w:tr w:rsidR="000D6FE4" w:rsidRPr="00262398" w14:paraId="20345103" w14:textId="77777777">
        <w:trPr>
          <w:tblCellSpacing w:w="15" w:type="dxa"/>
        </w:trPr>
        <w:tc>
          <w:tcPr>
            <w:tcW w:w="1560" w:type="dxa"/>
            <w:vAlign w:val="center"/>
            <w:hideMark/>
          </w:tcPr>
          <w:p w14:paraId="20345101"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102"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104" w14:textId="77777777" w:rsidR="000D6FE4" w:rsidRPr="00262398" w:rsidRDefault="000D6FE4" w:rsidP="000D6FE4">
      <w:pPr>
        <w:spacing w:after="0" w:line="240" w:lineRule="auto"/>
        <w:rPr>
          <w:sz w:val="18"/>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6"/>
        <w:gridCol w:w="6804"/>
      </w:tblGrid>
      <w:tr w:rsidR="000D6FE4" w:rsidRPr="00262398" w14:paraId="20345107" w14:textId="77777777">
        <w:trPr>
          <w:tblCellSpacing w:w="15" w:type="dxa"/>
        </w:trPr>
        <w:tc>
          <w:tcPr>
            <w:tcW w:w="1560" w:type="dxa"/>
            <w:hideMark/>
          </w:tcPr>
          <w:p w14:paraId="20345105" w14:textId="77777777" w:rsidR="000D6FE4" w:rsidRPr="00262398" w:rsidRDefault="000D6FE4" w:rsidP="000D6FE4">
            <w:pPr>
              <w:spacing w:after="0" w:line="240" w:lineRule="auto"/>
              <w:rPr>
                <w:sz w:val="18"/>
                <w:lang w:val="eu-ES"/>
              </w:rPr>
            </w:pPr>
            <w:r w:rsidRPr="00262398">
              <w:rPr>
                <w:b/>
                <w:bCs/>
                <w:sz w:val="18"/>
                <w:lang w:val="eu-ES"/>
              </w:rPr>
              <w:t xml:space="preserve">Abbreviation </w:t>
            </w:r>
          </w:p>
        </w:tc>
        <w:tc>
          <w:tcPr>
            <w:tcW w:w="6840" w:type="dxa"/>
            <w:vAlign w:val="center"/>
            <w:hideMark/>
          </w:tcPr>
          <w:p w14:paraId="20345106" w14:textId="77777777" w:rsidR="000D6FE4" w:rsidRPr="00262398" w:rsidRDefault="000D6FE4" w:rsidP="000D6FE4">
            <w:pPr>
              <w:spacing w:after="0" w:line="240" w:lineRule="auto"/>
              <w:rPr>
                <w:sz w:val="18"/>
                <w:lang w:val="eu-ES"/>
              </w:rPr>
            </w:pPr>
            <w:r w:rsidRPr="00262398">
              <w:rPr>
                <w:b/>
                <w:bCs/>
                <w:sz w:val="18"/>
                <w:lang w:val="eu-ES"/>
              </w:rPr>
              <w:t xml:space="preserve">ADR </w:t>
            </w:r>
          </w:p>
        </w:tc>
      </w:tr>
      <w:tr w:rsidR="000D6FE4" w:rsidRPr="00262398" w14:paraId="2034510A" w14:textId="77777777">
        <w:trPr>
          <w:tblCellSpacing w:w="15" w:type="dxa"/>
        </w:trPr>
        <w:tc>
          <w:tcPr>
            <w:tcW w:w="1560" w:type="dxa"/>
            <w:vAlign w:val="center"/>
            <w:hideMark/>
          </w:tcPr>
          <w:p w14:paraId="20345108"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109"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10D" w14:textId="77777777">
        <w:trPr>
          <w:tblCellSpacing w:w="15" w:type="dxa"/>
        </w:trPr>
        <w:tc>
          <w:tcPr>
            <w:tcW w:w="1560" w:type="dxa"/>
            <w:hideMark/>
          </w:tcPr>
          <w:p w14:paraId="2034510B" w14:textId="77777777" w:rsidR="000D6FE4" w:rsidRPr="00262398" w:rsidRDefault="000D6FE4" w:rsidP="000D6FE4">
            <w:pPr>
              <w:spacing w:after="0" w:line="240" w:lineRule="auto"/>
              <w:rPr>
                <w:sz w:val="18"/>
                <w:lang w:val="eu-ES"/>
              </w:rPr>
            </w:pPr>
            <w:r w:rsidRPr="00262398">
              <w:rPr>
                <w:sz w:val="18"/>
                <w:lang w:val="eu-ES"/>
              </w:rPr>
              <w:t>Term Ref.</w:t>
            </w:r>
          </w:p>
        </w:tc>
        <w:tc>
          <w:tcPr>
            <w:tcW w:w="6840" w:type="dxa"/>
            <w:vAlign w:val="center"/>
            <w:hideMark/>
          </w:tcPr>
          <w:p w14:paraId="2034510C" w14:textId="77777777" w:rsidR="000D6FE4" w:rsidRPr="00262398" w:rsidRDefault="000D6FE4" w:rsidP="000D6FE4">
            <w:pPr>
              <w:spacing w:after="0" w:line="240" w:lineRule="auto"/>
              <w:rPr>
                <w:sz w:val="18"/>
                <w:lang w:val="eu-ES"/>
              </w:rPr>
            </w:pPr>
            <w:r w:rsidRPr="00262398">
              <w:rPr>
                <w:sz w:val="18"/>
                <w:lang w:val="eu-ES"/>
              </w:rPr>
              <w:t xml:space="preserve">United Nations Economic Commission for Europe website, </w:t>
            </w:r>
            <w:hyperlink r:id="rId16" w:tgtFrame="_blank" w:tooltip="http://www.unece.org/trans/danger/publi/adr/adr2003/ContentsE.html" w:history="1">
              <w:r w:rsidRPr="00262398">
                <w:rPr>
                  <w:rStyle w:val="Hiperesteka"/>
                  <w:sz w:val="18"/>
                  <w:lang w:val="eu-ES"/>
                </w:rPr>
                <w:t>www.unece.org/trans/d...</w:t>
              </w:r>
            </w:hyperlink>
            <w:r w:rsidRPr="00262398">
              <w:rPr>
                <w:sz w:val="18"/>
                <w:lang w:val="eu-ES"/>
              </w:rPr>
              <w:t xml:space="preserve"> [4.3.2013] </w:t>
            </w:r>
          </w:p>
        </w:tc>
      </w:tr>
      <w:tr w:rsidR="000D6FE4" w:rsidRPr="00262398" w14:paraId="20345110" w14:textId="77777777">
        <w:trPr>
          <w:tblCellSpacing w:w="15" w:type="dxa"/>
        </w:trPr>
        <w:tc>
          <w:tcPr>
            <w:tcW w:w="1560" w:type="dxa"/>
            <w:vAlign w:val="center"/>
            <w:hideMark/>
          </w:tcPr>
          <w:p w14:paraId="2034510E"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10F"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111" w14:textId="77777777" w:rsidR="000D6FE4" w:rsidRPr="00262398" w:rsidRDefault="000D6FE4" w:rsidP="000D6FE4">
      <w:pPr>
        <w:spacing w:after="0" w:line="240" w:lineRule="auto"/>
        <w:rPr>
          <w:sz w:val="18"/>
          <w:lang w:val="eu-ES"/>
        </w:rPr>
      </w:pPr>
      <w:r w:rsidRPr="00262398">
        <w:rPr>
          <w:sz w:val="18"/>
          <w:lang w:val="eu-ES"/>
        </w:rPr>
        <w:br/>
        <w:t xml:space="preserve">fr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4"/>
        <w:gridCol w:w="6806"/>
      </w:tblGrid>
      <w:tr w:rsidR="000D6FE4" w:rsidRPr="00360726" w14:paraId="20345114" w14:textId="77777777">
        <w:trPr>
          <w:tblCellSpacing w:w="15" w:type="dxa"/>
        </w:trPr>
        <w:tc>
          <w:tcPr>
            <w:tcW w:w="1560" w:type="dxa"/>
            <w:hideMark/>
          </w:tcPr>
          <w:p w14:paraId="20345112" w14:textId="77777777" w:rsidR="000D6FE4" w:rsidRPr="00262398" w:rsidRDefault="000D6FE4" w:rsidP="000D6FE4">
            <w:pPr>
              <w:spacing w:after="0" w:line="240" w:lineRule="auto"/>
              <w:rPr>
                <w:sz w:val="18"/>
                <w:lang w:val="eu-ES"/>
              </w:rPr>
            </w:pPr>
            <w:r w:rsidRPr="00262398">
              <w:rPr>
                <w:b/>
                <w:bCs/>
                <w:sz w:val="18"/>
                <w:lang w:val="eu-ES"/>
              </w:rPr>
              <w:t xml:space="preserve">Term </w:t>
            </w:r>
          </w:p>
        </w:tc>
        <w:tc>
          <w:tcPr>
            <w:tcW w:w="6840" w:type="dxa"/>
            <w:vAlign w:val="center"/>
            <w:hideMark/>
          </w:tcPr>
          <w:p w14:paraId="20345113" w14:textId="77777777" w:rsidR="000D6FE4" w:rsidRPr="00262398" w:rsidRDefault="000D6FE4" w:rsidP="000D6FE4">
            <w:pPr>
              <w:spacing w:after="0" w:line="240" w:lineRule="auto"/>
              <w:rPr>
                <w:sz w:val="18"/>
                <w:lang w:val="eu-ES"/>
              </w:rPr>
            </w:pPr>
            <w:r w:rsidRPr="00262398">
              <w:rPr>
                <w:b/>
                <w:bCs/>
                <w:sz w:val="18"/>
                <w:lang w:val="eu-ES"/>
              </w:rPr>
              <w:t xml:space="preserve">accord européen relatif au transport international des marchandises dangereuses par route </w:t>
            </w:r>
          </w:p>
        </w:tc>
      </w:tr>
      <w:tr w:rsidR="000D6FE4" w:rsidRPr="00262398" w14:paraId="20345117" w14:textId="77777777">
        <w:trPr>
          <w:tblCellSpacing w:w="15" w:type="dxa"/>
        </w:trPr>
        <w:tc>
          <w:tcPr>
            <w:tcW w:w="1560" w:type="dxa"/>
            <w:vAlign w:val="center"/>
            <w:hideMark/>
          </w:tcPr>
          <w:p w14:paraId="20345115"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116"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11A" w14:textId="77777777">
        <w:trPr>
          <w:tblCellSpacing w:w="15" w:type="dxa"/>
        </w:trPr>
        <w:tc>
          <w:tcPr>
            <w:tcW w:w="1560" w:type="dxa"/>
            <w:vAlign w:val="center"/>
            <w:hideMark/>
          </w:tcPr>
          <w:p w14:paraId="20345118"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119"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11B" w14:textId="77777777" w:rsidR="000D6FE4" w:rsidRPr="00262398" w:rsidRDefault="000D6FE4" w:rsidP="000D6FE4">
      <w:pPr>
        <w:spacing w:after="0" w:line="240" w:lineRule="auto"/>
        <w:rPr>
          <w:sz w:val="18"/>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7"/>
        <w:gridCol w:w="6803"/>
      </w:tblGrid>
      <w:tr w:rsidR="000D6FE4" w:rsidRPr="00262398" w14:paraId="2034511E" w14:textId="77777777">
        <w:trPr>
          <w:tblCellSpacing w:w="15" w:type="dxa"/>
        </w:trPr>
        <w:tc>
          <w:tcPr>
            <w:tcW w:w="1560" w:type="dxa"/>
            <w:hideMark/>
          </w:tcPr>
          <w:p w14:paraId="2034511C" w14:textId="77777777" w:rsidR="000D6FE4" w:rsidRPr="00262398" w:rsidRDefault="000D6FE4" w:rsidP="000D6FE4">
            <w:pPr>
              <w:spacing w:after="0" w:line="240" w:lineRule="auto"/>
              <w:rPr>
                <w:sz w:val="18"/>
                <w:lang w:val="eu-ES"/>
              </w:rPr>
            </w:pPr>
            <w:r w:rsidRPr="00262398">
              <w:rPr>
                <w:b/>
                <w:bCs/>
                <w:sz w:val="18"/>
                <w:lang w:val="eu-ES"/>
              </w:rPr>
              <w:t xml:space="preserve">Abbreviation </w:t>
            </w:r>
          </w:p>
        </w:tc>
        <w:tc>
          <w:tcPr>
            <w:tcW w:w="6840" w:type="dxa"/>
            <w:vAlign w:val="center"/>
            <w:hideMark/>
          </w:tcPr>
          <w:p w14:paraId="2034511D" w14:textId="77777777" w:rsidR="000D6FE4" w:rsidRPr="00262398" w:rsidRDefault="000D6FE4" w:rsidP="000D6FE4">
            <w:pPr>
              <w:spacing w:after="0" w:line="240" w:lineRule="auto"/>
              <w:rPr>
                <w:sz w:val="18"/>
                <w:lang w:val="eu-ES"/>
              </w:rPr>
            </w:pPr>
            <w:r w:rsidRPr="00262398">
              <w:rPr>
                <w:b/>
                <w:bCs/>
                <w:sz w:val="18"/>
                <w:lang w:val="eu-ES"/>
              </w:rPr>
              <w:t xml:space="preserve">ADR </w:t>
            </w:r>
          </w:p>
        </w:tc>
      </w:tr>
      <w:tr w:rsidR="000D6FE4" w:rsidRPr="00262398" w14:paraId="20345121" w14:textId="77777777">
        <w:trPr>
          <w:tblCellSpacing w:w="15" w:type="dxa"/>
        </w:trPr>
        <w:tc>
          <w:tcPr>
            <w:tcW w:w="1560" w:type="dxa"/>
            <w:vAlign w:val="center"/>
            <w:hideMark/>
          </w:tcPr>
          <w:p w14:paraId="2034511F" w14:textId="77777777" w:rsidR="000D6FE4" w:rsidRPr="00262398" w:rsidRDefault="000D6FE4" w:rsidP="000D6FE4">
            <w:pPr>
              <w:spacing w:after="0" w:line="240" w:lineRule="auto"/>
              <w:rPr>
                <w:sz w:val="18"/>
                <w:lang w:val="eu-ES"/>
              </w:rPr>
            </w:pPr>
            <w:r w:rsidRPr="00262398">
              <w:rPr>
                <w:sz w:val="18"/>
                <w:lang w:val="eu-ES"/>
              </w:rPr>
              <w:t>Reliability</w:t>
            </w:r>
          </w:p>
        </w:tc>
        <w:tc>
          <w:tcPr>
            <w:tcW w:w="6840" w:type="dxa"/>
            <w:vAlign w:val="center"/>
            <w:hideMark/>
          </w:tcPr>
          <w:p w14:paraId="20345120" w14:textId="77777777" w:rsidR="000D6FE4" w:rsidRPr="00262398" w:rsidRDefault="000D6FE4" w:rsidP="000D6FE4">
            <w:pPr>
              <w:spacing w:after="0" w:line="240" w:lineRule="auto"/>
              <w:rPr>
                <w:sz w:val="18"/>
                <w:lang w:val="eu-ES"/>
              </w:rPr>
            </w:pPr>
            <w:r w:rsidRPr="00262398">
              <w:rPr>
                <w:sz w:val="18"/>
                <w:lang w:val="eu-ES"/>
              </w:rPr>
              <w:t xml:space="preserve">3 (Reliable) </w:t>
            </w:r>
          </w:p>
        </w:tc>
      </w:tr>
      <w:tr w:rsidR="000D6FE4" w:rsidRPr="00262398" w14:paraId="20345124" w14:textId="77777777">
        <w:trPr>
          <w:tblCellSpacing w:w="15" w:type="dxa"/>
        </w:trPr>
        <w:tc>
          <w:tcPr>
            <w:tcW w:w="1560" w:type="dxa"/>
            <w:vAlign w:val="center"/>
            <w:hideMark/>
          </w:tcPr>
          <w:p w14:paraId="20345122" w14:textId="77777777" w:rsidR="000D6FE4" w:rsidRPr="00262398" w:rsidRDefault="000D6FE4" w:rsidP="000D6FE4">
            <w:pPr>
              <w:spacing w:after="0" w:line="240" w:lineRule="auto"/>
              <w:rPr>
                <w:sz w:val="18"/>
                <w:lang w:val="eu-ES"/>
              </w:rPr>
            </w:pPr>
            <w:r w:rsidRPr="00262398">
              <w:rPr>
                <w:sz w:val="18"/>
                <w:lang w:val="eu-ES"/>
              </w:rPr>
              <w:t>Date</w:t>
            </w:r>
          </w:p>
        </w:tc>
        <w:tc>
          <w:tcPr>
            <w:tcW w:w="6840" w:type="dxa"/>
            <w:vAlign w:val="center"/>
            <w:hideMark/>
          </w:tcPr>
          <w:p w14:paraId="20345123" w14:textId="77777777" w:rsidR="000D6FE4" w:rsidRPr="00262398" w:rsidRDefault="000D6FE4" w:rsidP="000D6FE4">
            <w:pPr>
              <w:spacing w:after="0" w:line="240" w:lineRule="auto"/>
              <w:rPr>
                <w:sz w:val="18"/>
                <w:lang w:val="eu-ES"/>
              </w:rPr>
            </w:pPr>
            <w:r w:rsidRPr="00262398">
              <w:rPr>
                <w:sz w:val="18"/>
                <w:lang w:val="eu-ES"/>
              </w:rPr>
              <w:t xml:space="preserve">01/09/1988 </w:t>
            </w:r>
          </w:p>
        </w:tc>
      </w:tr>
    </w:tbl>
    <w:p w14:paraId="20345125" w14:textId="77777777" w:rsidR="000D6FE4" w:rsidRPr="00262398" w:rsidRDefault="000D6FE4" w:rsidP="00912045">
      <w:pPr>
        <w:spacing w:after="0" w:line="240" w:lineRule="auto"/>
        <w:rPr>
          <w:sz w:val="18"/>
        </w:rPr>
      </w:pPr>
    </w:p>
    <w:p w14:paraId="20345126" w14:textId="77777777" w:rsidR="00262398" w:rsidRPr="00262398" w:rsidRDefault="00262398" w:rsidP="00912045">
      <w:pPr>
        <w:spacing w:after="0" w:line="240" w:lineRule="auto"/>
        <w:rPr>
          <w:sz w:val="18"/>
        </w:rPr>
      </w:pPr>
    </w:p>
    <w:sectPr w:rsidR="00262398" w:rsidRPr="00262398">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45135" w14:textId="77777777" w:rsidR="00017826" w:rsidRDefault="00017826" w:rsidP="009711A1">
      <w:pPr>
        <w:spacing w:after="0" w:line="240" w:lineRule="auto"/>
      </w:pPr>
      <w:r>
        <w:separator/>
      </w:r>
    </w:p>
  </w:endnote>
  <w:endnote w:type="continuationSeparator" w:id="0">
    <w:p w14:paraId="20345136" w14:textId="77777777" w:rsidR="00017826" w:rsidRDefault="00017826" w:rsidP="0097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egri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6EB2" w14:textId="77777777" w:rsidR="00360726" w:rsidRDefault="00360726">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D10E" w14:textId="77777777" w:rsidR="00360726" w:rsidRDefault="00360726">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4682" w14:textId="77777777" w:rsidR="00360726" w:rsidRDefault="00360726">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5133" w14:textId="77777777" w:rsidR="00017826" w:rsidRDefault="00017826" w:rsidP="009711A1">
      <w:pPr>
        <w:spacing w:after="0" w:line="240" w:lineRule="auto"/>
      </w:pPr>
      <w:r>
        <w:separator/>
      </w:r>
    </w:p>
  </w:footnote>
  <w:footnote w:type="continuationSeparator" w:id="0">
    <w:p w14:paraId="20345134" w14:textId="77777777" w:rsidR="00017826" w:rsidRDefault="00017826" w:rsidP="0097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91D9" w14:textId="77777777" w:rsidR="00360726" w:rsidRDefault="0036072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016119"/>
      <w:docPartObj>
        <w:docPartGallery w:val="Page Numbers (Top of Page)"/>
        <w:docPartUnique/>
      </w:docPartObj>
    </w:sdtPr>
    <w:sdtEndPr>
      <w:rPr>
        <w:rFonts w:ascii="Times New Roman" w:hAnsi="Times New Roman" w:cs="Times New Roman"/>
      </w:rPr>
    </w:sdtEndPr>
    <w:sdtContent>
      <w:p w14:paraId="20345137" w14:textId="351FB86A" w:rsidR="009711A1" w:rsidRPr="00B348AE" w:rsidRDefault="009711A1">
        <w:pPr>
          <w:pStyle w:val="Goiburua"/>
          <w:jc w:val="right"/>
          <w:rPr>
            <w:rFonts w:ascii="Times New Roman" w:hAnsi="Times New Roman" w:cs="Times New Roman"/>
          </w:rPr>
        </w:pPr>
        <w:r w:rsidRPr="00B348AE">
          <w:rPr>
            <w:rFonts w:ascii="Times New Roman" w:hAnsi="Times New Roman" w:cs="Times New Roman"/>
          </w:rPr>
          <w:fldChar w:fldCharType="begin"/>
        </w:r>
        <w:r w:rsidRPr="00B348AE">
          <w:rPr>
            <w:rFonts w:ascii="Times New Roman" w:hAnsi="Times New Roman" w:cs="Times New Roman"/>
          </w:rPr>
          <w:instrText>PAGE   \* MERGEFORMAT</w:instrText>
        </w:r>
        <w:r w:rsidRPr="00B348AE">
          <w:rPr>
            <w:rFonts w:ascii="Times New Roman" w:hAnsi="Times New Roman" w:cs="Times New Roman"/>
          </w:rPr>
          <w:fldChar w:fldCharType="separate"/>
        </w:r>
        <w:r w:rsidR="00360726" w:rsidRPr="00360726">
          <w:rPr>
            <w:rFonts w:ascii="Times New Roman" w:hAnsi="Times New Roman" w:cs="Times New Roman"/>
            <w:noProof/>
            <w:lang w:val="eu-ES"/>
          </w:rPr>
          <w:t>1</w:t>
        </w:r>
        <w:r w:rsidRPr="00B348AE">
          <w:rPr>
            <w:rFonts w:ascii="Times New Roman" w:hAnsi="Times New Roman" w:cs="Times New Roman"/>
          </w:rPr>
          <w:fldChar w:fldCharType="end"/>
        </w:r>
      </w:p>
      <w:p w14:paraId="20345138" w14:textId="75A4B76E" w:rsidR="009711A1" w:rsidRPr="00B348AE" w:rsidRDefault="009711A1">
        <w:pPr>
          <w:pStyle w:val="Goiburua"/>
          <w:jc w:val="right"/>
          <w:rPr>
            <w:rFonts w:ascii="Times New Roman" w:hAnsi="Times New Roman" w:cs="Times New Roman"/>
          </w:rPr>
        </w:pPr>
        <w:r w:rsidRPr="00B348AE">
          <w:rPr>
            <w:rFonts w:ascii="Times New Roman" w:hAnsi="Times New Roman" w:cs="Times New Roman"/>
          </w:rPr>
          <w:t>ADR</w:t>
        </w:r>
        <w:r w:rsidR="00095A02" w:rsidRPr="00B348AE">
          <w:rPr>
            <w:rFonts w:ascii="Times New Roman" w:hAnsi="Times New Roman" w:cs="Times New Roman"/>
          </w:rPr>
          <w:t xml:space="preserve"> AKORDIOA</w:t>
        </w:r>
      </w:p>
    </w:sdtContent>
  </w:sdt>
  <w:p w14:paraId="20345139" w14:textId="77777777" w:rsidR="009711A1" w:rsidRDefault="009711A1">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8245" w14:textId="77777777" w:rsidR="00360726" w:rsidRDefault="00360726">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FD2"/>
    <w:multiLevelType w:val="multilevel"/>
    <w:tmpl w:val="DE2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93A81"/>
    <w:multiLevelType w:val="multilevel"/>
    <w:tmpl w:val="4D3A1F2A"/>
    <w:lvl w:ilvl="0">
      <w:start w:val="1"/>
      <w:numFmt w:val="bullet"/>
      <w:lvlText w:val=""/>
      <w:lvlJc w:val="left"/>
      <w:pPr>
        <w:tabs>
          <w:tab w:val="num" w:pos="3338"/>
        </w:tabs>
        <w:ind w:left="3338" w:hanging="360"/>
      </w:pPr>
      <w:rPr>
        <w:rFonts w:ascii="Symbol" w:hAnsi="Symbol" w:hint="default"/>
        <w:sz w:val="20"/>
      </w:rPr>
    </w:lvl>
    <w:lvl w:ilvl="1" w:tentative="1">
      <w:start w:val="1"/>
      <w:numFmt w:val="bullet"/>
      <w:lvlText w:val="o"/>
      <w:lvlJc w:val="left"/>
      <w:pPr>
        <w:tabs>
          <w:tab w:val="num" w:pos="4058"/>
        </w:tabs>
        <w:ind w:left="4058" w:hanging="360"/>
      </w:pPr>
      <w:rPr>
        <w:rFonts w:ascii="Courier New" w:hAnsi="Courier New" w:hint="default"/>
        <w:sz w:val="20"/>
      </w:rPr>
    </w:lvl>
    <w:lvl w:ilvl="2" w:tentative="1">
      <w:start w:val="1"/>
      <w:numFmt w:val="bullet"/>
      <w:lvlText w:val=""/>
      <w:lvlJc w:val="left"/>
      <w:pPr>
        <w:tabs>
          <w:tab w:val="num" w:pos="4778"/>
        </w:tabs>
        <w:ind w:left="4778" w:hanging="360"/>
      </w:pPr>
      <w:rPr>
        <w:rFonts w:ascii="Wingdings" w:hAnsi="Wingdings" w:hint="default"/>
        <w:sz w:val="20"/>
      </w:rPr>
    </w:lvl>
    <w:lvl w:ilvl="3" w:tentative="1">
      <w:start w:val="1"/>
      <w:numFmt w:val="bullet"/>
      <w:lvlText w:val=""/>
      <w:lvlJc w:val="left"/>
      <w:pPr>
        <w:tabs>
          <w:tab w:val="num" w:pos="5498"/>
        </w:tabs>
        <w:ind w:left="5498" w:hanging="360"/>
      </w:pPr>
      <w:rPr>
        <w:rFonts w:ascii="Wingdings" w:hAnsi="Wingdings" w:hint="default"/>
        <w:sz w:val="20"/>
      </w:rPr>
    </w:lvl>
    <w:lvl w:ilvl="4" w:tentative="1">
      <w:start w:val="1"/>
      <w:numFmt w:val="bullet"/>
      <w:lvlText w:val=""/>
      <w:lvlJc w:val="left"/>
      <w:pPr>
        <w:tabs>
          <w:tab w:val="num" w:pos="6218"/>
        </w:tabs>
        <w:ind w:left="6218" w:hanging="360"/>
      </w:pPr>
      <w:rPr>
        <w:rFonts w:ascii="Wingdings" w:hAnsi="Wingdings" w:hint="default"/>
        <w:sz w:val="20"/>
      </w:rPr>
    </w:lvl>
    <w:lvl w:ilvl="5" w:tentative="1">
      <w:start w:val="1"/>
      <w:numFmt w:val="bullet"/>
      <w:lvlText w:val=""/>
      <w:lvlJc w:val="left"/>
      <w:pPr>
        <w:tabs>
          <w:tab w:val="num" w:pos="6938"/>
        </w:tabs>
        <w:ind w:left="6938" w:hanging="360"/>
      </w:pPr>
      <w:rPr>
        <w:rFonts w:ascii="Wingdings" w:hAnsi="Wingdings" w:hint="default"/>
        <w:sz w:val="20"/>
      </w:rPr>
    </w:lvl>
    <w:lvl w:ilvl="6" w:tentative="1">
      <w:start w:val="1"/>
      <w:numFmt w:val="bullet"/>
      <w:lvlText w:val=""/>
      <w:lvlJc w:val="left"/>
      <w:pPr>
        <w:tabs>
          <w:tab w:val="num" w:pos="7658"/>
        </w:tabs>
        <w:ind w:left="7658" w:hanging="360"/>
      </w:pPr>
      <w:rPr>
        <w:rFonts w:ascii="Wingdings" w:hAnsi="Wingdings" w:hint="default"/>
        <w:sz w:val="20"/>
      </w:rPr>
    </w:lvl>
    <w:lvl w:ilvl="7" w:tentative="1">
      <w:start w:val="1"/>
      <w:numFmt w:val="bullet"/>
      <w:lvlText w:val=""/>
      <w:lvlJc w:val="left"/>
      <w:pPr>
        <w:tabs>
          <w:tab w:val="num" w:pos="8378"/>
        </w:tabs>
        <w:ind w:left="8378" w:hanging="360"/>
      </w:pPr>
      <w:rPr>
        <w:rFonts w:ascii="Wingdings" w:hAnsi="Wingdings" w:hint="default"/>
        <w:sz w:val="20"/>
      </w:rPr>
    </w:lvl>
    <w:lvl w:ilvl="8" w:tentative="1">
      <w:start w:val="1"/>
      <w:numFmt w:val="bullet"/>
      <w:lvlText w:val=""/>
      <w:lvlJc w:val="left"/>
      <w:pPr>
        <w:tabs>
          <w:tab w:val="num" w:pos="9098"/>
        </w:tabs>
        <w:ind w:left="9098" w:hanging="360"/>
      </w:pPr>
      <w:rPr>
        <w:rFonts w:ascii="Wingdings" w:hAnsi="Wingdings" w:hint="default"/>
        <w:sz w:val="20"/>
      </w:rPr>
    </w:lvl>
  </w:abstractNum>
  <w:abstractNum w:abstractNumId="2" w15:restartNumberingAfterBreak="0">
    <w:nsid w:val="417B4877"/>
    <w:multiLevelType w:val="hybridMultilevel"/>
    <w:tmpl w:val="949EE260"/>
    <w:lvl w:ilvl="0" w:tplc="5F802804">
      <w:numFmt w:val="bullet"/>
      <w:lvlText w:val="-"/>
      <w:lvlJc w:val="left"/>
      <w:pPr>
        <w:tabs>
          <w:tab w:val="num" w:pos="984"/>
        </w:tabs>
        <w:ind w:left="984" w:hanging="360"/>
      </w:pPr>
      <w:rPr>
        <w:rFonts w:ascii="Trebuchet MS" w:eastAsia="Times New Roman" w:hAnsi="Trebuchet MS" w:cs="Times New Roman" w:hint="default"/>
        <w:b w:val="0"/>
        <w:i w:val="0"/>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7DAD2D76"/>
    <w:multiLevelType w:val="hybridMultilevel"/>
    <w:tmpl w:val="750E0762"/>
    <w:lvl w:ilvl="0" w:tplc="2036FECE">
      <w:start w:val="1"/>
      <w:numFmt w:val="lowerLetter"/>
      <w:lvlText w:val="%1)"/>
      <w:lvlJc w:val="left"/>
      <w:pPr>
        <w:tabs>
          <w:tab w:val="num" w:pos="984"/>
        </w:tabs>
        <w:ind w:left="984" w:hanging="360"/>
      </w:pPr>
      <w:rPr>
        <w:rFonts w:hint="default"/>
        <w:b w:val="0"/>
        <w:i w:val="0"/>
      </w:rPr>
    </w:lvl>
    <w:lvl w:ilvl="1" w:tplc="2D8CC714">
      <w:start w:val="3"/>
      <w:numFmt w:val="bullet"/>
      <w:lvlText w:val="-"/>
      <w:lvlJc w:val="left"/>
      <w:pPr>
        <w:tabs>
          <w:tab w:val="num" w:pos="1667"/>
        </w:tabs>
        <w:ind w:left="1667" w:hanging="360"/>
      </w:pPr>
      <w:rPr>
        <w:rFonts w:ascii="Arial" w:eastAsia="Times New Roman" w:hAnsi="Arial" w:cs="Arial"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yplq3q9+XqaGXrYuExccKB8ShNK8TlXfIBh0Le2j0RcmAtJO1YE6xXo3odMy1juyqqr5vUET/0sIKHK95DyLEA==" w:salt="WS2UzZ4W8O7Lh2eFl+2qv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45"/>
    <w:rsid w:val="00017826"/>
    <w:rsid w:val="000260B7"/>
    <w:rsid w:val="00095A02"/>
    <w:rsid w:val="000D6FE4"/>
    <w:rsid w:val="00262398"/>
    <w:rsid w:val="0028756A"/>
    <w:rsid w:val="0031706D"/>
    <w:rsid w:val="00360726"/>
    <w:rsid w:val="004C2391"/>
    <w:rsid w:val="005F42C6"/>
    <w:rsid w:val="006E25CC"/>
    <w:rsid w:val="006F77CA"/>
    <w:rsid w:val="00700746"/>
    <w:rsid w:val="00815F83"/>
    <w:rsid w:val="0084430C"/>
    <w:rsid w:val="00892AB4"/>
    <w:rsid w:val="00912045"/>
    <w:rsid w:val="009711A1"/>
    <w:rsid w:val="00A04874"/>
    <w:rsid w:val="00A24725"/>
    <w:rsid w:val="00A27943"/>
    <w:rsid w:val="00A5272B"/>
    <w:rsid w:val="00A540D2"/>
    <w:rsid w:val="00B348AE"/>
    <w:rsid w:val="00BB00BA"/>
    <w:rsid w:val="00C533C8"/>
    <w:rsid w:val="00C64EF1"/>
    <w:rsid w:val="00C76C7A"/>
    <w:rsid w:val="00C9554E"/>
    <w:rsid w:val="00CB341B"/>
    <w:rsid w:val="00D573AD"/>
    <w:rsid w:val="00DA37A6"/>
    <w:rsid w:val="00ED037B"/>
    <w:rsid w:val="00F33941"/>
    <w:rsid w:val="00F90D8C"/>
    <w:rsid w:val="00FE2579"/>
    <w:rsid w:val="00FF2348"/>
    <w:rsid w:val="00FF71B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034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2izenburua">
    <w:name w:val="heading 2"/>
    <w:basedOn w:val="Normala"/>
    <w:next w:val="Normala"/>
    <w:link w:val="2izenburuaKar"/>
    <w:uiPriority w:val="9"/>
    <w:unhideWhenUsed/>
    <w:qFormat/>
    <w:rsid w:val="00892A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892A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912045"/>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912045"/>
    <w:rPr>
      <w:rFonts w:ascii="Tahoma" w:hAnsi="Tahoma" w:cs="Tahoma"/>
      <w:sz w:val="16"/>
      <w:szCs w:val="16"/>
      <w:lang w:val="es-ES"/>
    </w:rPr>
  </w:style>
  <w:style w:type="character" w:styleId="Hiperesteka">
    <w:name w:val="Hyperlink"/>
    <w:basedOn w:val="Paragrafoarenletra-tipolehenetsia"/>
    <w:uiPriority w:val="99"/>
    <w:unhideWhenUsed/>
    <w:rsid w:val="00912045"/>
    <w:rPr>
      <w:color w:val="0000FF" w:themeColor="hyperlink"/>
      <w:u w:val="single"/>
    </w:rPr>
  </w:style>
  <w:style w:type="table" w:styleId="Saretaduntaula">
    <w:name w:val="Table Grid"/>
    <w:basedOn w:val="Taulanormala"/>
    <w:uiPriority w:val="59"/>
    <w:rsid w:val="000D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ipua">
    <w:name w:val="HTML Cite"/>
    <w:basedOn w:val="Paragrafoarenletra-tipolehenetsia"/>
    <w:uiPriority w:val="99"/>
    <w:semiHidden/>
    <w:unhideWhenUsed/>
    <w:rsid w:val="00262398"/>
    <w:rPr>
      <w:i w:val="0"/>
      <w:iCs w:val="0"/>
      <w:color w:val="006621"/>
    </w:rPr>
  </w:style>
  <w:style w:type="paragraph" w:styleId="Goiburua">
    <w:name w:val="header"/>
    <w:basedOn w:val="Normala"/>
    <w:link w:val="GoiburuaKar"/>
    <w:uiPriority w:val="99"/>
    <w:unhideWhenUsed/>
    <w:rsid w:val="009711A1"/>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9711A1"/>
    <w:rPr>
      <w:lang w:val="es-ES"/>
    </w:rPr>
  </w:style>
  <w:style w:type="paragraph" w:styleId="Orri-oina">
    <w:name w:val="footer"/>
    <w:basedOn w:val="Normala"/>
    <w:link w:val="Orri-oinaKar"/>
    <w:uiPriority w:val="99"/>
    <w:unhideWhenUsed/>
    <w:rsid w:val="009711A1"/>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9711A1"/>
    <w:rPr>
      <w:lang w:val="es-ES"/>
    </w:rPr>
  </w:style>
  <w:style w:type="character" w:customStyle="1" w:styleId="2izenburuaKar">
    <w:name w:val="2. izenburua Kar"/>
    <w:basedOn w:val="Paragrafoarenletra-tipolehenetsia"/>
    <w:link w:val="2izenburua"/>
    <w:uiPriority w:val="9"/>
    <w:rsid w:val="00892AB4"/>
    <w:rPr>
      <w:rFonts w:asciiTheme="majorHAnsi" w:eastAsiaTheme="majorEastAsia" w:hAnsiTheme="majorHAnsi" w:cstheme="majorBidi"/>
      <w:b/>
      <w:bCs/>
      <w:color w:val="4F81BD" w:themeColor="accent1"/>
      <w:sz w:val="26"/>
      <w:szCs w:val="26"/>
      <w:lang w:val="es-ES"/>
    </w:rPr>
  </w:style>
  <w:style w:type="character" w:customStyle="1" w:styleId="3izenburuaKar">
    <w:name w:val="3. izenburua Kar"/>
    <w:basedOn w:val="Paragrafoarenletra-tipolehenetsia"/>
    <w:link w:val="3izenburua"/>
    <w:uiPriority w:val="9"/>
    <w:rsid w:val="00892AB4"/>
    <w:rPr>
      <w:rFonts w:asciiTheme="majorHAnsi" w:eastAsiaTheme="majorEastAsia" w:hAnsiTheme="majorHAnsi" w:cstheme="majorBidi"/>
      <w:b/>
      <w:bCs/>
      <w:color w:val="4F81BD" w:themeColor="accen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4317">
      <w:bodyDiv w:val="1"/>
      <w:marLeft w:val="0"/>
      <w:marRight w:val="0"/>
      <w:marTop w:val="0"/>
      <w:marBottom w:val="0"/>
      <w:divBdr>
        <w:top w:val="none" w:sz="0" w:space="0" w:color="auto"/>
        <w:left w:val="none" w:sz="0" w:space="0" w:color="auto"/>
        <w:bottom w:val="none" w:sz="0" w:space="0" w:color="auto"/>
        <w:right w:val="none" w:sz="0" w:space="0" w:color="auto"/>
      </w:divBdr>
      <w:divsChild>
        <w:div w:id="1373727105">
          <w:marLeft w:val="0"/>
          <w:marRight w:val="0"/>
          <w:marTop w:val="75"/>
          <w:marBottom w:val="0"/>
          <w:divBdr>
            <w:top w:val="none" w:sz="0" w:space="0" w:color="auto"/>
            <w:left w:val="none" w:sz="0" w:space="0" w:color="auto"/>
            <w:bottom w:val="none" w:sz="0" w:space="0" w:color="auto"/>
            <w:right w:val="none" w:sz="0" w:space="0" w:color="auto"/>
          </w:divBdr>
          <w:divsChild>
            <w:div w:id="1910653372">
              <w:marLeft w:val="0"/>
              <w:marRight w:val="0"/>
              <w:marTop w:val="0"/>
              <w:marBottom w:val="0"/>
              <w:divBdr>
                <w:top w:val="none" w:sz="0" w:space="0" w:color="auto"/>
                <w:left w:val="none" w:sz="0" w:space="0" w:color="auto"/>
                <w:bottom w:val="none" w:sz="0" w:space="0" w:color="auto"/>
                <w:right w:val="none" w:sz="0" w:space="0" w:color="auto"/>
              </w:divBdr>
              <w:divsChild>
                <w:div w:id="2042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1971">
      <w:bodyDiv w:val="1"/>
      <w:marLeft w:val="0"/>
      <w:marRight w:val="0"/>
      <w:marTop w:val="0"/>
      <w:marBottom w:val="0"/>
      <w:divBdr>
        <w:top w:val="none" w:sz="0" w:space="0" w:color="auto"/>
        <w:left w:val="none" w:sz="0" w:space="0" w:color="auto"/>
        <w:bottom w:val="none" w:sz="0" w:space="0" w:color="auto"/>
        <w:right w:val="none" w:sz="0" w:space="0" w:color="auto"/>
      </w:divBdr>
      <w:divsChild>
        <w:div w:id="1910068438">
          <w:marLeft w:val="0"/>
          <w:marRight w:val="0"/>
          <w:marTop w:val="0"/>
          <w:marBottom w:val="0"/>
          <w:divBdr>
            <w:top w:val="none" w:sz="0" w:space="0" w:color="auto"/>
            <w:left w:val="none" w:sz="0" w:space="0" w:color="auto"/>
            <w:bottom w:val="none" w:sz="0" w:space="0" w:color="auto"/>
            <w:right w:val="none" w:sz="0" w:space="0" w:color="auto"/>
          </w:divBdr>
          <w:divsChild>
            <w:div w:id="1802073122">
              <w:marLeft w:val="0"/>
              <w:marRight w:val="0"/>
              <w:marTop w:val="0"/>
              <w:marBottom w:val="0"/>
              <w:divBdr>
                <w:top w:val="none" w:sz="0" w:space="0" w:color="auto"/>
                <w:left w:val="none" w:sz="0" w:space="0" w:color="auto"/>
                <w:bottom w:val="none" w:sz="0" w:space="0" w:color="auto"/>
                <w:right w:val="none" w:sz="0" w:space="0" w:color="auto"/>
              </w:divBdr>
              <w:divsChild>
                <w:div w:id="345407096">
                  <w:marLeft w:val="0"/>
                  <w:marRight w:val="0"/>
                  <w:marTop w:val="0"/>
                  <w:marBottom w:val="0"/>
                  <w:divBdr>
                    <w:top w:val="none" w:sz="0" w:space="0" w:color="auto"/>
                    <w:left w:val="none" w:sz="0" w:space="0" w:color="auto"/>
                    <w:bottom w:val="none" w:sz="0" w:space="0" w:color="auto"/>
                    <w:right w:val="none" w:sz="0" w:space="0" w:color="auto"/>
                  </w:divBdr>
                  <w:divsChild>
                    <w:div w:id="1267887746">
                      <w:marLeft w:val="0"/>
                      <w:marRight w:val="0"/>
                      <w:marTop w:val="0"/>
                      <w:marBottom w:val="0"/>
                      <w:divBdr>
                        <w:top w:val="none" w:sz="0" w:space="0" w:color="auto"/>
                        <w:left w:val="none" w:sz="0" w:space="0" w:color="auto"/>
                        <w:bottom w:val="none" w:sz="0" w:space="0" w:color="auto"/>
                        <w:right w:val="none" w:sz="0" w:space="0" w:color="auto"/>
                      </w:divBdr>
                      <w:divsChild>
                        <w:div w:id="700207161">
                          <w:marLeft w:val="0"/>
                          <w:marRight w:val="0"/>
                          <w:marTop w:val="0"/>
                          <w:marBottom w:val="345"/>
                          <w:divBdr>
                            <w:top w:val="none" w:sz="0" w:space="0" w:color="auto"/>
                            <w:left w:val="none" w:sz="0" w:space="0" w:color="auto"/>
                            <w:bottom w:val="none" w:sz="0" w:space="0" w:color="auto"/>
                            <w:right w:val="none" w:sz="0" w:space="0" w:color="auto"/>
                          </w:divBdr>
                          <w:divsChild>
                            <w:div w:id="1268926493">
                              <w:marLeft w:val="0"/>
                              <w:marRight w:val="0"/>
                              <w:marTop w:val="0"/>
                              <w:marBottom w:val="0"/>
                              <w:divBdr>
                                <w:top w:val="none" w:sz="0" w:space="0" w:color="auto"/>
                                <w:left w:val="none" w:sz="0" w:space="0" w:color="auto"/>
                                <w:bottom w:val="none" w:sz="0" w:space="0" w:color="auto"/>
                                <w:right w:val="none" w:sz="0" w:space="0" w:color="auto"/>
                              </w:divBdr>
                              <w:divsChild>
                                <w:div w:id="552735831">
                                  <w:marLeft w:val="0"/>
                                  <w:marRight w:val="0"/>
                                  <w:marTop w:val="0"/>
                                  <w:marBottom w:val="30"/>
                                  <w:divBdr>
                                    <w:top w:val="none" w:sz="0" w:space="0" w:color="auto"/>
                                    <w:left w:val="none" w:sz="0" w:space="0" w:color="auto"/>
                                    <w:bottom w:val="none" w:sz="0" w:space="0" w:color="auto"/>
                                    <w:right w:val="none" w:sz="0" w:space="0" w:color="auto"/>
                                  </w:divBdr>
                                  <w:divsChild>
                                    <w:div w:id="17824504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484791">
      <w:bodyDiv w:val="1"/>
      <w:marLeft w:val="0"/>
      <w:marRight w:val="0"/>
      <w:marTop w:val="0"/>
      <w:marBottom w:val="0"/>
      <w:divBdr>
        <w:top w:val="none" w:sz="0" w:space="0" w:color="auto"/>
        <w:left w:val="none" w:sz="0" w:space="0" w:color="auto"/>
        <w:bottom w:val="none" w:sz="0" w:space="0" w:color="auto"/>
        <w:right w:val="none" w:sz="0" w:space="0" w:color="auto"/>
      </w:divBdr>
      <w:divsChild>
        <w:div w:id="882207413">
          <w:marLeft w:val="0"/>
          <w:marRight w:val="0"/>
          <w:marTop w:val="75"/>
          <w:marBottom w:val="0"/>
          <w:divBdr>
            <w:top w:val="none" w:sz="0" w:space="0" w:color="auto"/>
            <w:left w:val="none" w:sz="0" w:space="0" w:color="auto"/>
            <w:bottom w:val="none" w:sz="0" w:space="0" w:color="auto"/>
            <w:right w:val="none" w:sz="0" w:space="0" w:color="auto"/>
          </w:divBdr>
          <w:divsChild>
            <w:div w:id="2067602749">
              <w:marLeft w:val="0"/>
              <w:marRight w:val="0"/>
              <w:marTop w:val="0"/>
              <w:marBottom w:val="0"/>
              <w:divBdr>
                <w:top w:val="none" w:sz="0" w:space="0" w:color="auto"/>
                <w:left w:val="none" w:sz="0" w:space="0" w:color="auto"/>
                <w:bottom w:val="none" w:sz="0" w:space="0" w:color="auto"/>
                <w:right w:val="none" w:sz="0" w:space="0" w:color="auto"/>
              </w:divBdr>
              <w:divsChild>
                <w:div w:id="20221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59596">
      <w:bodyDiv w:val="1"/>
      <w:marLeft w:val="0"/>
      <w:marRight w:val="0"/>
      <w:marTop w:val="0"/>
      <w:marBottom w:val="0"/>
      <w:divBdr>
        <w:top w:val="none" w:sz="0" w:space="0" w:color="auto"/>
        <w:left w:val="none" w:sz="0" w:space="0" w:color="auto"/>
        <w:bottom w:val="none" w:sz="0" w:space="0" w:color="auto"/>
        <w:right w:val="none" w:sz="0" w:space="0" w:color="auto"/>
      </w:divBdr>
      <w:divsChild>
        <w:div w:id="1644773156">
          <w:marLeft w:val="0"/>
          <w:marRight w:val="0"/>
          <w:marTop w:val="75"/>
          <w:marBottom w:val="0"/>
          <w:divBdr>
            <w:top w:val="none" w:sz="0" w:space="0" w:color="auto"/>
            <w:left w:val="none" w:sz="0" w:space="0" w:color="auto"/>
            <w:bottom w:val="none" w:sz="0" w:space="0" w:color="auto"/>
            <w:right w:val="none" w:sz="0" w:space="0" w:color="auto"/>
          </w:divBdr>
          <w:divsChild>
            <w:div w:id="688410565">
              <w:marLeft w:val="0"/>
              <w:marRight w:val="0"/>
              <w:marTop w:val="0"/>
              <w:marBottom w:val="0"/>
              <w:divBdr>
                <w:top w:val="none" w:sz="0" w:space="0" w:color="auto"/>
                <w:left w:val="none" w:sz="0" w:space="0" w:color="auto"/>
                <w:bottom w:val="none" w:sz="0" w:space="0" w:color="auto"/>
                <w:right w:val="none" w:sz="0" w:space="0" w:color="auto"/>
              </w:divBdr>
              <w:divsChild>
                <w:div w:id="1813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3064">
      <w:bodyDiv w:val="1"/>
      <w:marLeft w:val="0"/>
      <w:marRight w:val="0"/>
      <w:marTop w:val="0"/>
      <w:marBottom w:val="0"/>
      <w:divBdr>
        <w:top w:val="none" w:sz="0" w:space="0" w:color="auto"/>
        <w:left w:val="none" w:sz="0" w:space="0" w:color="auto"/>
        <w:bottom w:val="none" w:sz="0" w:space="0" w:color="auto"/>
        <w:right w:val="none" w:sz="0" w:space="0" w:color="auto"/>
      </w:divBdr>
      <w:divsChild>
        <w:div w:id="320544115">
          <w:marLeft w:val="0"/>
          <w:marRight w:val="0"/>
          <w:marTop w:val="75"/>
          <w:marBottom w:val="0"/>
          <w:divBdr>
            <w:top w:val="none" w:sz="0" w:space="0" w:color="auto"/>
            <w:left w:val="none" w:sz="0" w:space="0" w:color="auto"/>
            <w:bottom w:val="none" w:sz="0" w:space="0" w:color="auto"/>
            <w:right w:val="none" w:sz="0" w:space="0" w:color="auto"/>
          </w:divBdr>
          <w:divsChild>
            <w:div w:id="1302543421">
              <w:marLeft w:val="0"/>
              <w:marRight w:val="0"/>
              <w:marTop w:val="0"/>
              <w:marBottom w:val="0"/>
              <w:divBdr>
                <w:top w:val="none" w:sz="0" w:space="0" w:color="auto"/>
                <w:left w:val="none" w:sz="0" w:space="0" w:color="auto"/>
                <w:bottom w:val="none" w:sz="0" w:space="0" w:color="auto"/>
                <w:right w:val="none" w:sz="0" w:space="0" w:color="auto"/>
              </w:divBdr>
              <w:divsChild>
                <w:div w:id="3317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480">
      <w:bodyDiv w:val="1"/>
      <w:marLeft w:val="0"/>
      <w:marRight w:val="0"/>
      <w:marTop w:val="0"/>
      <w:marBottom w:val="0"/>
      <w:divBdr>
        <w:top w:val="none" w:sz="0" w:space="0" w:color="auto"/>
        <w:left w:val="none" w:sz="0" w:space="0" w:color="auto"/>
        <w:bottom w:val="none" w:sz="0" w:space="0" w:color="auto"/>
        <w:right w:val="none" w:sz="0" w:space="0" w:color="auto"/>
      </w:divBdr>
      <w:divsChild>
        <w:div w:id="1785534363">
          <w:marLeft w:val="0"/>
          <w:marRight w:val="0"/>
          <w:marTop w:val="0"/>
          <w:marBottom w:val="0"/>
          <w:divBdr>
            <w:top w:val="none" w:sz="0" w:space="0" w:color="auto"/>
            <w:left w:val="none" w:sz="0" w:space="0" w:color="auto"/>
            <w:bottom w:val="none" w:sz="0" w:space="0" w:color="auto"/>
            <w:right w:val="none" w:sz="0" w:space="0" w:color="auto"/>
          </w:divBdr>
          <w:divsChild>
            <w:div w:id="2135368289">
              <w:marLeft w:val="0"/>
              <w:marRight w:val="0"/>
              <w:marTop w:val="0"/>
              <w:marBottom w:val="0"/>
              <w:divBdr>
                <w:top w:val="none" w:sz="0" w:space="0" w:color="auto"/>
                <w:left w:val="none" w:sz="0" w:space="0" w:color="auto"/>
                <w:bottom w:val="none" w:sz="0" w:space="0" w:color="auto"/>
                <w:right w:val="none" w:sz="0" w:space="0" w:color="auto"/>
              </w:divBdr>
              <w:divsChild>
                <w:div w:id="1844204973">
                  <w:marLeft w:val="0"/>
                  <w:marRight w:val="0"/>
                  <w:marTop w:val="0"/>
                  <w:marBottom w:val="0"/>
                  <w:divBdr>
                    <w:top w:val="none" w:sz="0" w:space="0" w:color="auto"/>
                    <w:left w:val="none" w:sz="0" w:space="0" w:color="auto"/>
                    <w:bottom w:val="none" w:sz="0" w:space="0" w:color="auto"/>
                    <w:right w:val="none" w:sz="0" w:space="0" w:color="auto"/>
                  </w:divBdr>
                  <w:divsChild>
                    <w:div w:id="289670831">
                      <w:marLeft w:val="0"/>
                      <w:marRight w:val="0"/>
                      <w:marTop w:val="0"/>
                      <w:marBottom w:val="0"/>
                      <w:divBdr>
                        <w:top w:val="none" w:sz="0" w:space="0" w:color="auto"/>
                        <w:left w:val="none" w:sz="0" w:space="0" w:color="auto"/>
                        <w:bottom w:val="none" w:sz="0" w:space="0" w:color="auto"/>
                        <w:right w:val="none" w:sz="0" w:space="0" w:color="auto"/>
                      </w:divBdr>
                      <w:divsChild>
                        <w:div w:id="1354112379">
                          <w:marLeft w:val="0"/>
                          <w:marRight w:val="0"/>
                          <w:marTop w:val="0"/>
                          <w:marBottom w:val="345"/>
                          <w:divBdr>
                            <w:top w:val="none" w:sz="0" w:space="0" w:color="auto"/>
                            <w:left w:val="none" w:sz="0" w:space="0" w:color="auto"/>
                            <w:bottom w:val="none" w:sz="0" w:space="0" w:color="auto"/>
                            <w:right w:val="none" w:sz="0" w:space="0" w:color="auto"/>
                          </w:divBdr>
                          <w:divsChild>
                            <w:div w:id="8993204">
                              <w:marLeft w:val="0"/>
                              <w:marRight w:val="0"/>
                              <w:marTop w:val="0"/>
                              <w:marBottom w:val="0"/>
                              <w:divBdr>
                                <w:top w:val="none" w:sz="0" w:space="0" w:color="auto"/>
                                <w:left w:val="none" w:sz="0" w:space="0" w:color="auto"/>
                                <w:bottom w:val="none" w:sz="0" w:space="0" w:color="auto"/>
                                <w:right w:val="none" w:sz="0" w:space="0" w:color="auto"/>
                              </w:divBdr>
                              <w:divsChild>
                                <w:div w:id="1274091735">
                                  <w:marLeft w:val="0"/>
                                  <w:marRight w:val="0"/>
                                  <w:marTop w:val="0"/>
                                  <w:marBottom w:val="30"/>
                                  <w:divBdr>
                                    <w:top w:val="none" w:sz="0" w:space="0" w:color="auto"/>
                                    <w:left w:val="none" w:sz="0" w:space="0" w:color="auto"/>
                                    <w:bottom w:val="none" w:sz="0" w:space="0" w:color="auto"/>
                                    <w:right w:val="none" w:sz="0" w:space="0" w:color="auto"/>
                                  </w:divBdr>
                                  <w:divsChild>
                                    <w:div w:id="13568813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wikipedia.org/w/index.php?title=IMDG&amp;action=edi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logisnet.com/es/diccionario-cadena-suministro/_page:1,word:3211/" TargetMode="External"/><Relationship Id="rId12" Type="http://schemas.openxmlformats.org/officeDocument/2006/relationships/hyperlink" Target="http://www.dgt.es/.../la.../TEMA_9_Gestion_Adtva_del_Trafico.do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nece.org/trans/danger/publi/adr/adr2003/ContentsE.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ece.org/trans/danger/publi/adr/adr2003/ContentsE.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unece.org/trans/danger/publi/adr/adr2013/13contentse.html" TargetMode="External"/><Relationship Id="rId22" Type="http://schemas.openxmlformats.org/officeDocument/2006/relationships/footer" Target="footer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8572</Characters>
  <Application>Microsoft Office Word</Application>
  <DocSecurity>8</DocSecurity>
  <Lines>71</Lines>
  <Paragraphs>20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2019-10-17T08:53:00Z</dcterms:created>
  <dcterms:modified xsi:type="dcterms:W3CDTF">2019-10-17T08:54:00Z</dcterms:modified>
</cp:coreProperties>
</file>