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F9A53" w14:textId="77777777" w:rsidR="0091400A" w:rsidRDefault="0091400A" w:rsidP="0091400A">
      <w:pPr>
        <w:spacing w:after="11" w:line="250" w:lineRule="auto"/>
        <w:ind w:left="-5" w:right="-11"/>
        <w:jc w:val="both"/>
        <w:rPr>
          <w:rFonts w:asciiTheme="minorHAnsi" w:hAnsiTheme="minorHAnsi" w:cstheme="minorHAnsi"/>
        </w:rPr>
      </w:pPr>
    </w:p>
    <w:p w14:paraId="46C00ECF" w14:textId="1228B6F0" w:rsidR="001E4571" w:rsidRPr="0091400A" w:rsidRDefault="00C012D7" w:rsidP="0091400A">
      <w:pPr>
        <w:spacing w:after="11" w:line="250" w:lineRule="auto"/>
        <w:ind w:left="-5" w:right="-11"/>
        <w:jc w:val="both"/>
        <w:rPr>
          <w:rFonts w:asciiTheme="minorHAnsi" w:hAnsiTheme="minorHAnsi" w:cstheme="minorHAnsi"/>
        </w:rPr>
      </w:pPr>
      <w:r w:rsidRPr="0091400A">
        <w:rPr>
          <w:rFonts w:asciiTheme="minorHAnsi" w:eastAsia="Arial" w:hAnsiTheme="minorHAnsi" w:cstheme="minorHAnsi"/>
          <w:b/>
          <w:color w:val="009FED"/>
          <w:sz w:val="28"/>
        </w:rPr>
        <w:t xml:space="preserve">NOTA EXPLICATIVA DEL ARCHIVO DE RESULTADOS ANALÍTICOS DEL SEGUIMIENTO DEL ESTADO DE LAS AGUAS </w:t>
      </w:r>
      <w:r w:rsidRPr="00287C9A">
        <w:rPr>
          <w:rFonts w:asciiTheme="minorHAnsi" w:eastAsia="Arial" w:hAnsiTheme="minorHAnsi" w:cstheme="minorHAnsi"/>
          <w:b/>
          <w:color w:val="009FED"/>
          <w:sz w:val="28"/>
        </w:rPr>
        <w:t xml:space="preserve">EN EL ENTORNO DEL VERTEDERO DE ZALDIBAR. </w:t>
      </w:r>
      <w:r w:rsidR="00DA46CD">
        <w:rPr>
          <w:rFonts w:asciiTheme="minorHAnsi" w:eastAsia="Arial" w:hAnsiTheme="minorHAnsi" w:cstheme="minorHAnsi"/>
          <w:b/>
          <w:color w:val="009FED"/>
          <w:sz w:val="28"/>
        </w:rPr>
        <w:t>24</w:t>
      </w:r>
      <w:r w:rsidR="005F0B17">
        <w:rPr>
          <w:rFonts w:asciiTheme="minorHAnsi" w:eastAsia="Arial" w:hAnsiTheme="minorHAnsi" w:cstheme="minorHAnsi"/>
          <w:b/>
          <w:color w:val="009FED"/>
          <w:sz w:val="28"/>
        </w:rPr>
        <w:t xml:space="preserve"> de </w:t>
      </w:r>
      <w:r w:rsidR="00DA46CD">
        <w:rPr>
          <w:rFonts w:asciiTheme="minorHAnsi" w:eastAsia="Arial" w:hAnsiTheme="minorHAnsi" w:cstheme="minorHAnsi"/>
          <w:b/>
          <w:color w:val="009FED"/>
          <w:sz w:val="28"/>
        </w:rPr>
        <w:t>junio</w:t>
      </w:r>
      <w:r w:rsidRPr="00287C9A">
        <w:rPr>
          <w:rFonts w:asciiTheme="minorHAnsi" w:eastAsia="Arial" w:hAnsiTheme="minorHAnsi" w:cstheme="minorHAnsi"/>
          <w:b/>
          <w:color w:val="009FED"/>
          <w:sz w:val="28"/>
        </w:rPr>
        <w:t xml:space="preserve"> de 202</w:t>
      </w:r>
      <w:r w:rsidR="00566015">
        <w:rPr>
          <w:rFonts w:asciiTheme="minorHAnsi" w:eastAsia="Arial" w:hAnsiTheme="minorHAnsi" w:cstheme="minorHAnsi"/>
          <w:b/>
          <w:color w:val="009FED"/>
          <w:sz w:val="28"/>
        </w:rPr>
        <w:t>1</w:t>
      </w:r>
      <w:r w:rsidRPr="00287C9A">
        <w:rPr>
          <w:rFonts w:asciiTheme="minorHAnsi" w:eastAsia="Arial" w:hAnsiTheme="minorHAnsi" w:cstheme="minorHAnsi"/>
          <w:b/>
          <w:color w:val="009FED"/>
          <w:sz w:val="28"/>
        </w:rPr>
        <w:t>.</w:t>
      </w:r>
      <w:r w:rsidRPr="0091400A">
        <w:rPr>
          <w:rFonts w:asciiTheme="minorHAnsi" w:eastAsia="Arial" w:hAnsiTheme="minorHAnsi" w:cstheme="minorHAnsi"/>
          <w:b/>
          <w:color w:val="009FED"/>
          <w:sz w:val="28"/>
        </w:rPr>
        <w:t xml:space="preserve"> </w:t>
      </w:r>
    </w:p>
    <w:p w14:paraId="5104FEEE" w14:textId="77777777" w:rsidR="0091400A" w:rsidRPr="0091400A" w:rsidRDefault="0091400A" w:rsidP="00E10E62">
      <w:pPr>
        <w:pStyle w:val="Ttulo1"/>
        <w:ind w:left="-5"/>
        <w:jc w:val="both"/>
        <w:rPr>
          <w:rFonts w:asciiTheme="minorHAnsi" w:hAnsiTheme="minorHAnsi" w:cstheme="minorHAnsi"/>
        </w:rPr>
      </w:pPr>
    </w:p>
    <w:p w14:paraId="47B4C13C" w14:textId="77777777" w:rsidR="001E4571" w:rsidRPr="0091400A" w:rsidRDefault="00C012D7" w:rsidP="00E10E62">
      <w:pPr>
        <w:pStyle w:val="Ttulo1"/>
        <w:ind w:left="-5"/>
        <w:jc w:val="both"/>
        <w:rPr>
          <w:rFonts w:asciiTheme="minorHAnsi" w:hAnsiTheme="minorHAnsi" w:cstheme="minorHAnsi"/>
        </w:rPr>
      </w:pPr>
      <w:r w:rsidRPr="0091400A">
        <w:rPr>
          <w:rFonts w:asciiTheme="minorHAnsi" w:hAnsiTheme="minorHAnsi" w:cstheme="minorHAnsi"/>
        </w:rPr>
        <w:t xml:space="preserve">INTRODUCCIÓN </w:t>
      </w:r>
    </w:p>
    <w:p w14:paraId="7C65ED4A" w14:textId="303293CC" w:rsidR="001E4571" w:rsidRPr="0091400A" w:rsidRDefault="00C012D7" w:rsidP="00E10E62">
      <w:pPr>
        <w:spacing w:after="131"/>
        <w:jc w:val="both"/>
        <w:rPr>
          <w:rFonts w:asciiTheme="minorHAnsi" w:hAnsiTheme="minorHAnsi" w:cstheme="minorHAnsi"/>
        </w:rPr>
      </w:pPr>
      <w:r w:rsidRPr="0091400A">
        <w:rPr>
          <w:rFonts w:asciiTheme="minorHAnsi" w:hAnsiTheme="minorHAnsi" w:cstheme="minorHAnsi"/>
        </w:rPr>
        <w:t xml:space="preserve">En el Plan de </w:t>
      </w:r>
      <w:r w:rsidRPr="00287C9A">
        <w:rPr>
          <w:rFonts w:asciiTheme="minorHAnsi" w:hAnsiTheme="minorHAnsi" w:cstheme="minorHAnsi"/>
        </w:rPr>
        <w:t xml:space="preserve">Vigilancia de Aguas para el seguimiento de la problemática del vertedero de Zaldibar se especifica que </w:t>
      </w:r>
      <w:r w:rsidRPr="0091400A">
        <w:rPr>
          <w:rFonts w:asciiTheme="minorHAnsi" w:eastAsia="Calibri" w:hAnsiTheme="minorHAnsi" w:cstheme="minorHAnsi"/>
          <w:b/>
        </w:rPr>
        <w:t xml:space="preserve">que los resultados analíticos disponibles serán </w:t>
      </w:r>
      <w:r w:rsidRPr="0091400A">
        <w:rPr>
          <w:rFonts w:asciiTheme="minorHAnsi" w:hAnsiTheme="minorHAnsi" w:cstheme="minorHAnsi"/>
        </w:rPr>
        <w:t xml:space="preserve">publicados en la página web de la Agencia Vasca del Agua a partir del 24 de febrero. </w:t>
      </w:r>
    </w:p>
    <w:p w14:paraId="6D4D2F8F" w14:textId="77777777" w:rsidR="001E4571" w:rsidRPr="0091400A" w:rsidRDefault="00C012D7" w:rsidP="00E10E62">
      <w:pPr>
        <w:spacing w:after="150"/>
        <w:jc w:val="both"/>
        <w:rPr>
          <w:rFonts w:asciiTheme="minorHAnsi" w:hAnsiTheme="minorHAnsi" w:cstheme="minorHAnsi"/>
        </w:rPr>
      </w:pPr>
      <w:r w:rsidRPr="0091400A">
        <w:rPr>
          <w:rFonts w:asciiTheme="minorHAnsi" w:hAnsiTheme="minorHAnsi" w:cstheme="minorHAnsi"/>
        </w:rPr>
        <w:t xml:space="preserve">En esta nota se explica la estructura y contenidos del archivo que contiene los resultados analíticos. </w:t>
      </w:r>
    </w:p>
    <w:p w14:paraId="45266E92" w14:textId="77777777" w:rsidR="0091400A" w:rsidRPr="0091400A" w:rsidRDefault="0091400A" w:rsidP="00E10E62">
      <w:pPr>
        <w:spacing w:after="150"/>
        <w:jc w:val="both"/>
        <w:rPr>
          <w:rFonts w:asciiTheme="minorHAnsi" w:hAnsiTheme="minorHAnsi" w:cstheme="minorHAnsi"/>
        </w:rPr>
      </w:pPr>
    </w:p>
    <w:p w14:paraId="6E6CA6FC" w14:textId="77777777" w:rsidR="001E4571" w:rsidRPr="0091400A" w:rsidRDefault="00C012D7" w:rsidP="00E10E62">
      <w:pPr>
        <w:pStyle w:val="Ttulo1"/>
        <w:ind w:left="-5"/>
        <w:jc w:val="both"/>
        <w:rPr>
          <w:rFonts w:asciiTheme="minorHAnsi" w:hAnsiTheme="minorHAnsi" w:cstheme="minorHAnsi"/>
        </w:rPr>
      </w:pPr>
      <w:r w:rsidRPr="0091400A">
        <w:rPr>
          <w:rFonts w:asciiTheme="minorHAnsi" w:hAnsiTheme="minorHAnsi" w:cstheme="minorHAnsi"/>
        </w:rPr>
        <w:t xml:space="preserve">ARCHIVO DE RESULTADOS </w:t>
      </w:r>
    </w:p>
    <w:p w14:paraId="594F0A7B" w14:textId="625523D0" w:rsidR="001E4571" w:rsidRPr="0091400A" w:rsidRDefault="00C012D7" w:rsidP="00E10E62">
      <w:pPr>
        <w:spacing w:after="133"/>
        <w:jc w:val="both"/>
        <w:rPr>
          <w:rFonts w:asciiTheme="minorHAnsi" w:hAnsiTheme="minorHAnsi" w:cstheme="minorHAnsi"/>
        </w:rPr>
      </w:pPr>
      <w:r w:rsidRPr="00287C9A">
        <w:rPr>
          <w:rFonts w:asciiTheme="minorHAnsi" w:hAnsiTheme="minorHAnsi" w:cstheme="minorHAnsi"/>
        </w:rPr>
        <w:t xml:space="preserve">Los resultados analíticos están en un </w:t>
      </w:r>
      <w:r w:rsidRPr="00287C9A">
        <w:rPr>
          <w:rFonts w:asciiTheme="minorHAnsi" w:hAnsiTheme="minorHAnsi" w:cstheme="minorHAnsi"/>
          <w:u w:val="single" w:color="000000"/>
        </w:rPr>
        <w:t xml:space="preserve">archivo </w:t>
      </w:r>
      <w:r w:rsidRPr="00287C9A">
        <w:rPr>
          <w:rFonts w:asciiTheme="minorHAnsi" w:eastAsia="Calibri" w:hAnsiTheme="minorHAnsi" w:cstheme="minorHAnsi"/>
          <w:i/>
          <w:u w:val="single" w:color="000000"/>
        </w:rPr>
        <w:t>excel</w:t>
      </w:r>
      <w:r w:rsidRPr="00287C9A">
        <w:rPr>
          <w:rFonts w:asciiTheme="minorHAnsi" w:hAnsiTheme="minorHAnsi" w:cstheme="minorHAnsi"/>
        </w:rPr>
        <w:t xml:space="preserve"> (</w:t>
      </w:r>
      <w:r w:rsidR="00566015">
        <w:rPr>
          <w:rFonts w:asciiTheme="minorHAnsi" w:hAnsiTheme="minorHAnsi" w:cstheme="minorHAnsi"/>
        </w:rPr>
        <w:t>aaaa/mm/dd</w:t>
      </w:r>
      <w:r w:rsidRPr="00287C9A">
        <w:rPr>
          <w:rFonts w:asciiTheme="minorHAnsi" w:hAnsiTheme="minorHAnsi" w:cstheme="minorHAnsi"/>
        </w:rPr>
        <w:t>_RESULTADOS</w:t>
      </w:r>
      <w:r w:rsidRPr="0091400A">
        <w:rPr>
          <w:rFonts w:asciiTheme="minorHAnsi" w:hAnsiTheme="minorHAnsi" w:cstheme="minorHAnsi"/>
        </w:rPr>
        <w:t xml:space="preserve">_AGUAS VZALDIBAR.xlsx). </w:t>
      </w:r>
    </w:p>
    <w:p w14:paraId="4851F11E" w14:textId="77777777" w:rsidR="001E4571" w:rsidRPr="0091400A" w:rsidRDefault="00C012D7" w:rsidP="00E10E62">
      <w:pPr>
        <w:spacing w:after="131"/>
        <w:jc w:val="both"/>
        <w:rPr>
          <w:rFonts w:asciiTheme="minorHAnsi" w:hAnsiTheme="minorHAnsi" w:cstheme="minorHAnsi"/>
        </w:rPr>
      </w:pPr>
      <w:r w:rsidRPr="0091400A">
        <w:rPr>
          <w:rFonts w:asciiTheme="minorHAnsi" w:hAnsiTheme="minorHAnsi" w:cstheme="minorHAnsi"/>
        </w:rPr>
        <w:t xml:space="preserve">En el nombre del archivo se encuentra la fecha de actualización del mismo, e incluye los resultados disponibles en la Agencia Vasca del Agua hasta dicha fecha. </w:t>
      </w:r>
    </w:p>
    <w:p w14:paraId="0A9BDCF9" w14:textId="77777777" w:rsidR="001E4571" w:rsidRPr="0091400A" w:rsidRDefault="00C012D7" w:rsidP="00E10E62">
      <w:pPr>
        <w:spacing w:after="171"/>
        <w:jc w:val="both"/>
        <w:rPr>
          <w:rFonts w:asciiTheme="minorHAnsi" w:hAnsiTheme="minorHAnsi" w:cstheme="minorHAnsi"/>
        </w:rPr>
      </w:pPr>
      <w:r w:rsidRPr="0091400A">
        <w:rPr>
          <w:rFonts w:asciiTheme="minorHAnsi" w:hAnsiTheme="minorHAnsi" w:cstheme="minorHAnsi"/>
        </w:rPr>
        <w:t xml:space="preserve">El archivo contiene tres hojas.  </w:t>
      </w:r>
    </w:p>
    <w:p w14:paraId="18790477" w14:textId="77777777" w:rsidR="001E4571" w:rsidRPr="0091400A" w:rsidRDefault="00C012D7" w:rsidP="00E10E62">
      <w:pPr>
        <w:numPr>
          <w:ilvl w:val="0"/>
          <w:numId w:val="1"/>
        </w:numPr>
        <w:spacing w:after="248"/>
        <w:ind w:hanging="360"/>
        <w:jc w:val="both"/>
        <w:rPr>
          <w:rFonts w:asciiTheme="minorHAnsi" w:hAnsiTheme="minorHAnsi" w:cstheme="minorHAnsi"/>
        </w:rPr>
      </w:pPr>
      <w:r w:rsidRPr="0091400A">
        <w:rPr>
          <w:rFonts w:asciiTheme="minorHAnsi" w:eastAsia="Calibri" w:hAnsiTheme="minorHAnsi" w:cstheme="minorHAnsi"/>
          <w:b/>
          <w:color w:val="009FED"/>
        </w:rPr>
        <w:t>PUNTOS</w:t>
      </w:r>
      <w:r w:rsidRPr="0091400A">
        <w:rPr>
          <w:rFonts w:asciiTheme="minorHAnsi" w:hAnsiTheme="minorHAnsi" w:cstheme="minorHAnsi"/>
        </w:rPr>
        <w:t xml:space="preserve">: Contiene la identificación de las estaciones de muestreo, con los siguientes campos: </w:t>
      </w:r>
    </w:p>
    <w:p w14:paraId="75AD120F" w14:textId="77777777" w:rsidR="00E10E62" w:rsidRPr="0091400A" w:rsidRDefault="00C012D7" w:rsidP="00E10E62">
      <w:pPr>
        <w:numPr>
          <w:ilvl w:val="1"/>
          <w:numId w:val="1"/>
        </w:numPr>
        <w:spacing w:line="319" w:lineRule="auto"/>
        <w:ind w:left="1423" w:hanging="357"/>
        <w:jc w:val="both"/>
        <w:rPr>
          <w:rFonts w:asciiTheme="minorHAnsi" w:hAnsiTheme="minorHAnsi" w:cstheme="minorHAnsi"/>
        </w:rPr>
      </w:pPr>
      <w:r w:rsidRPr="0091400A">
        <w:rPr>
          <w:rFonts w:asciiTheme="minorHAnsi" w:eastAsia="Calibri" w:hAnsiTheme="minorHAnsi" w:cstheme="minorHAnsi"/>
          <w:b/>
        </w:rPr>
        <w:t>Punto</w:t>
      </w:r>
      <w:r w:rsidRPr="0091400A">
        <w:rPr>
          <w:rFonts w:asciiTheme="minorHAnsi" w:hAnsiTheme="minorHAnsi" w:cstheme="minorHAnsi"/>
        </w:rPr>
        <w:t>. Código de los puntos de muestreo.</w:t>
      </w:r>
    </w:p>
    <w:p w14:paraId="0B9AB892" w14:textId="77777777" w:rsidR="00E10E62" w:rsidRPr="0091400A" w:rsidRDefault="00C012D7" w:rsidP="00E10E62">
      <w:pPr>
        <w:numPr>
          <w:ilvl w:val="1"/>
          <w:numId w:val="1"/>
        </w:numPr>
        <w:spacing w:line="319" w:lineRule="auto"/>
        <w:ind w:left="1423" w:hanging="357"/>
        <w:jc w:val="both"/>
        <w:rPr>
          <w:rFonts w:asciiTheme="minorHAnsi" w:hAnsiTheme="minorHAnsi" w:cstheme="minorHAnsi"/>
        </w:rPr>
      </w:pPr>
      <w:r w:rsidRPr="0091400A">
        <w:rPr>
          <w:rFonts w:asciiTheme="minorHAnsi" w:eastAsia="Calibri" w:hAnsiTheme="minorHAnsi" w:cstheme="minorHAnsi"/>
          <w:b/>
        </w:rPr>
        <w:t>Nombre_punto</w:t>
      </w:r>
      <w:r w:rsidRPr="0091400A">
        <w:rPr>
          <w:rFonts w:asciiTheme="minorHAnsi" w:hAnsiTheme="minorHAnsi" w:cstheme="minorHAnsi"/>
        </w:rPr>
        <w:t>. Nombre de los puntos de muestreo.</w:t>
      </w:r>
    </w:p>
    <w:p w14:paraId="49A77AE7" w14:textId="77777777" w:rsidR="00E10E62" w:rsidRPr="0091400A" w:rsidRDefault="00C012D7" w:rsidP="00E10E62">
      <w:pPr>
        <w:numPr>
          <w:ilvl w:val="1"/>
          <w:numId w:val="1"/>
        </w:numPr>
        <w:spacing w:line="319" w:lineRule="auto"/>
        <w:ind w:left="1423" w:hanging="357"/>
        <w:jc w:val="both"/>
        <w:rPr>
          <w:rFonts w:asciiTheme="minorHAnsi" w:hAnsiTheme="minorHAnsi" w:cstheme="minorHAnsi"/>
        </w:rPr>
      </w:pPr>
      <w:r w:rsidRPr="0091400A">
        <w:rPr>
          <w:rFonts w:asciiTheme="minorHAnsi" w:eastAsia="Calibri" w:hAnsiTheme="minorHAnsi" w:cstheme="minorHAnsi"/>
          <w:b/>
        </w:rPr>
        <w:t>UTMXETRS89</w:t>
      </w:r>
      <w:r w:rsidRPr="0091400A">
        <w:rPr>
          <w:rFonts w:asciiTheme="minorHAnsi" w:hAnsiTheme="minorHAnsi" w:cstheme="minorHAnsi"/>
        </w:rPr>
        <w:t>. Coordenada UTM X en el sistema de referencia ETRS89.</w:t>
      </w:r>
    </w:p>
    <w:p w14:paraId="3922BCCC" w14:textId="77777777" w:rsidR="00E10E62" w:rsidRPr="0091400A" w:rsidRDefault="00C012D7" w:rsidP="00E10E62">
      <w:pPr>
        <w:numPr>
          <w:ilvl w:val="1"/>
          <w:numId w:val="1"/>
        </w:numPr>
        <w:spacing w:line="319" w:lineRule="auto"/>
        <w:ind w:left="1423" w:hanging="357"/>
        <w:jc w:val="both"/>
        <w:rPr>
          <w:rFonts w:asciiTheme="minorHAnsi" w:hAnsiTheme="minorHAnsi" w:cstheme="minorHAnsi"/>
        </w:rPr>
      </w:pPr>
      <w:r w:rsidRPr="0091400A">
        <w:rPr>
          <w:rFonts w:asciiTheme="minorHAnsi" w:eastAsia="Calibri" w:hAnsiTheme="minorHAnsi" w:cstheme="minorHAnsi"/>
          <w:b/>
        </w:rPr>
        <w:t>UTMYETRS89</w:t>
      </w:r>
      <w:r w:rsidRPr="0091400A">
        <w:rPr>
          <w:rFonts w:asciiTheme="minorHAnsi" w:hAnsiTheme="minorHAnsi" w:cstheme="minorHAnsi"/>
        </w:rPr>
        <w:t>. Coordenada UTM Y en el sistema de referencia ETRS89.</w:t>
      </w:r>
    </w:p>
    <w:p w14:paraId="04B19F87" w14:textId="77777777" w:rsidR="001E4571" w:rsidRPr="0091400A" w:rsidRDefault="00C012D7" w:rsidP="00E10E62">
      <w:pPr>
        <w:numPr>
          <w:ilvl w:val="1"/>
          <w:numId w:val="1"/>
        </w:numPr>
        <w:spacing w:after="210" w:line="318" w:lineRule="auto"/>
        <w:ind w:hanging="360"/>
        <w:jc w:val="both"/>
        <w:rPr>
          <w:rFonts w:asciiTheme="minorHAnsi" w:hAnsiTheme="minorHAnsi" w:cstheme="minorHAnsi"/>
        </w:rPr>
      </w:pPr>
      <w:r w:rsidRPr="0091400A">
        <w:rPr>
          <w:rFonts w:asciiTheme="minorHAnsi" w:eastAsia="Calibri" w:hAnsiTheme="minorHAnsi" w:cstheme="minorHAnsi"/>
          <w:b/>
        </w:rPr>
        <w:t>Tipo_punto</w:t>
      </w:r>
      <w:r w:rsidRPr="0091400A">
        <w:rPr>
          <w:rFonts w:asciiTheme="minorHAnsi" w:hAnsiTheme="minorHAnsi" w:cstheme="minorHAnsi"/>
        </w:rPr>
        <w:t xml:space="preserve">. Río o vertido de lixiviado. </w:t>
      </w:r>
    </w:p>
    <w:p w14:paraId="2D41A11C" w14:textId="77777777" w:rsidR="001E4571" w:rsidRPr="0091400A" w:rsidRDefault="00C012D7" w:rsidP="00E10E62">
      <w:pPr>
        <w:spacing w:after="244"/>
        <w:ind w:left="730"/>
        <w:jc w:val="both"/>
        <w:rPr>
          <w:rFonts w:asciiTheme="minorHAnsi" w:hAnsiTheme="minorHAnsi" w:cstheme="minorHAnsi"/>
        </w:rPr>
      </w:pPr>
      <w:r w:rsidRPr="0091400A">
        <w:rPr>
          <w:rFonts w:asciiTheme="minorHAnsi" w:hAnsiTheme="minorHAnsi" w:cstheme="minorHAnsi"/>
        </w:rPr>
        <w:t xml:space="preserve">En el mapa adjunto se puede encontrar la ubicación de los puntos de muestreo. </w:t>
      </w:r>
    </w:p>
    <w:p w14:paraId="49CE894F" w14:textId="77777777" w:rsidR="001E4571" w:rsidRPr="0091400A" w:rsidRDefault="00C012D7" w:rsidP="00E10E62">
      <w:pPr>
        <w:spacing w:after="276"/>
        <w:ind w:left="730"/>
        <w:jc w:val="both"/>
        <w:rPr>
          <w:rFonts w:asciiTheme="minorHAnsi" w:hAnsiTheme="minorHAnsi" w:cstheme="minorHAnsi"/>
        </w:rPr>
      </w:pPr>
      <w:r w:rsidRPr="0091400A">
        <w:rPr>
          <w:rFonts w:asciiTheme="minorHAnsi" w:hAnsiTheme="minorHAnsi" w:cstheme="minorHAnsi"/>
        </w:rPr>
        <w:t xml:space="preserve">En el listado de puntos se ha incluido también la estación DEG068, ubicada en el río Ego aguas abajo de Eibar, correspondiente a la Red de Seguimiento del Estado de las Masas de Agua del País Vasco. </w:t>
      </w:r>
    </w:p>
    <w:p w14:paraId="1376893F" w14:textId="77777777" w:rsidR="001E4571" w:rsidRPr="0091400A" w:rsidRDefault="00C012D7" w:rsidP="00E10E62">
      <w:pPr>
        <w:numPr>
          <w:ilvl w:val="0"/>
          <w:numId w:val="1"/>
        </w:numPr>
        <w:spacing w:after="271"/>
        <w:ind w:hanging="360"/>
        <w:jc w:val="both"/>
        <w:rPr>
          <w:rFonts w:asciiTheme="minorHAnsi" w:hAnsiTheme="minorHAnsi" w:cstheme="minorHAnsi"/>
        </w:rPr>
      </w:pPr>
      <w:r w:rsidRPr="0091400A">
        <w:rPr>
          <w:rFonts w:asciiTheme="minorHAnsi" w:eastAsia="Calibri" w:hAnsiTheme="minorHAnsi" w:cstheme="minorHAnsi"/>
          <w:b/>
          <w:color w:val="009FED"/>
        </w:rPr>
        <w:t>RESULTADOS</w:t>
      </w:r>
      <w:r w:rsidRPr="0091400A">
        <w:rPr>
          <w:rFonts w:asciiTheme="minorHAnsi" w:hAnsiTheme="minorHAnsi" w:cstheme="minorHAnsi"/>
        </w:rPr>
        <w:t xml:space="preserve">: Contiene los resultados analíticos disponibles en la fecha de actualización del archivo, con los siguientes campos: </w:t>
      </w:r>
    </w:p>
    <w:p w14:paraId="457BFECB" w14:textId="77777777"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Punto</w:t>
      </w:r>
      <w:r w:rsidRPr="0091400A">
        <w:rPr>
          <w:rFonts w:asciiTheme="minorHAnsi" w:hAnsiTheme="minorHAnsi" w:cstheme="minorHAnsi"/>
        </w:rPr>
        <w:t xml:space="preserve">. Código del punto de muestreo. </w:t>
      </w:r>
    </w:p>
    <w:p w14:paraId="40EA8178" w14:textId="77777777" w:rsidR="00E10E62" w:rsidRPr="0091400A" w:rsidRDefault="00C012D7" w:rsidP="00E10E62">
      <w:pPr>
        <w:numPr>
          <w:ilvl w:val="1"/>
          <w:numId w:val="1"/>
        </w:numPr>
        <w:spacing w:line="318" w:lineRule="auto"/>
        <w:ind w:hanging="360"/>
        <w:jc w:val="both"/>
        <w:rPr>
          <w:rFonts w:asciiTheme="minorHAnsi" w:hAnsiTheme="minorHAnsi" w:cstheme="minorHAnsi"/>
        </w:rPr>
      </w:pPr>
      <w:r w:rsidRPr="0091400A">
        <w:rPr>
          <w:rFonts w:asciiTheme="minorHAnsi" w:eastAsia="Calibri" w:hAnsiTheme="minorHAnsi" w:cstheme="minorHAnsi"/>
          <w:b/>
        </w:rPr>
        <w:t>Fecha muestreo</w:t>
      </w:r>
      <w:r w:rsidRPr="0091400A">
        <w:rPr>
          <w:rFonts w:asciiTheme="minorHAnsi" w:hAnsiTheme="minorHAnsi" w:cstheme="minorHAnsi"/>
        </w:rPr>
        <w:t>. Fecha de la toma de muestra.</w:t>
      </w:r>
    </w:p>
    <w:p w14:paraId="7F75BC9F" w14:textId="77777777" w:rsidR="00E10E62" w:rsidRPr="0091400A" w:rsidRDefault="00C012D7" w:rsidP="00E10E62">
      <w:pPr>
        <w:numPr>
          <w:ilvl w:val="1"/>
          <w:numId w:val="1"/>
        </w:numPr>
        <w:spacing w:line="318" w:lineRule="auto"/>
        <w:ind w:hanging="360"/>
        <w:jc w:val="both"/>
        <w:rPr>
          <w:rFonts w:asciiTheme="minorHAnsi" w:hAnsiTheme="minorHAnsi" w:cstheme="minorHAnsi"/>
        </w:rPr>
      </w:pPr>
      <w:r w:rsidRPr="0091400A">
        <w:rPr>
          <w:rFonts w:asciiTheme="minorHAnsi" w:eastAsia="Calibri" w:hAnsiTheme="minorHAnsi" w:cstheme="minorHAnsi"/>
          <w:b/>
        </w:rPr>
        <w:t>Hora muestreo</w:t>
      </w:r>
      <w:r w:rsidRPr="0091400A">
        <w:rPr>
          <w:rFonts w:asciiTheme="minorHAnsi" w:hAnsiTheme="minorHAnsi" w:cstheme="minorHAnsi"/>
        </w:rPr>
        <w:t>. Hora de la toma de muestra (hora local).</w:t>
      </w:r>
    </w:p>
    <w:p w14:paraId="62D20C68" w14:textId="77777777" w:rsidR="001E4571" w:rsidRPr="0091400A" w:rsidRDefault="00C012D7" w:rsidP="00E10E62">
      <w:pPr>
        <w:numPr>
          <w:ilvl w:val="1"/>
          <w:numId w:val="1"/>
        </w:numPr>
        <w:spacing w:line="318" w:lineRule="auto"/>
        <w:ind w:hanging="360"/>
        <w:jc w:val="both"/>
        <w:rPr>
          <w:rFonts w:asciiTheme="minorHAnsi" w:hAnsiTheme="minorHAnsi" w:cstheme="minorHAnsi"/>
        </w:rPr>
      </w:pPr>
      <w:r w:rsidRPr="0091400A">
        <w:rPr>
          <w:rFonts w:asciiTheme="minorHAnsi" w:eastAsia="Calibri" w:hAnsiTheme="minorHAnsi" w:cstheme="minorHAnsi"/>
          <w:b/>
        </w:rPr>
        <w:t>Parámetro</w:t>
      </w:r>
      <w:r w:rsidRPr="0091400A">
        <w:rPr>
          <w:rFonts w:asciiTheme="minorHAnsi" w:hAnsiTheme="minorHAnsi" w:cstheme="minorHAnsi"/>
        </w:rPr>
        <w:t xml:space="preserve">. Parámetro analizado. </w:t>
      </w:r>
    </w:p>
    <w:p w14:paraId="2F32DA4F" w14:textId="77777777"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&lt;=&gt;</w:t>
      </w:r>
      <w:r w:rsidRPr="0091400A">
        <w:rPr>
          <w:rFonts w:asciiTheme="minorHAnsi" w:hAnsiTheme="minorHAnsi" w:cstheme="minorHAnsi"/>
        </w:rPr>
        <w:t xml:space="preserve">. Operador. </w:t>
      </w:r>
      <w:r w:rsidRPr="009431A3">
        <w:rPr>
          <w:rFonts w:asciiTheme="minorHAnsi" w:hAnsiTheme="minorHAnsi" w:cstheme="minorHAnsi"/>
          <w:u w:val="single"/>
        </w:rPr>
        <w:t>El signo “&lt;” indica un valor inferior al límite de cuantificación del parámetro analizado</w:t>
      </w:r>
      <w:r w:rsidRPr="0091400A">
        <w:rPr>
          <w:rFonts w:asciiTheme="minorHAnsi" w:hAnsiTheme="minorHAnsi" w:cstheme="minorHAnsi"/>
        </w:rPr>
        <w:t xml:space="preserve">. </w:t>
      </w:r>
    </w:p>
    <w:p w14:paraId="4CEDCB16" w14:textId="77777777"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Valor</w:t>
      </w:r>
      <w:r w:rsidRPr="0091400A">
        <w:rPr>
          <w:rFonts w:asciiTheme="minorHAnsi" w:hAnsiTheme="minorHAnsi" w:cstheme="minorHAnsi"/>
        </w:rPr>
        <w:t xml:space="preserve">. Valor obtenido para el parámetro, en el punto y fecha indicados. </w:t>
      </w:r>
    </w:p>
    <w:p w14:paraId="5994E248" w14:textId="77777777"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lastRenderedPageBreak/>
        <w:t>Unidad</w:t>
      </w:r>
      <w:r w:rsidRPr="0091400A">
        <w:rPr>
          <w:rFonts w:asciiTheme="minorHAnsi" w:hAnsiTheme="minorHAnsi" w:cstheme="minorHAnsi"/>
        </w:rPr>
        <w:t xml:space="preserve">. Unidades en las que se facilita el resultado. </w:t>
      </w:r>
    </w:p>
    <w:p w14:paraId="3FB9D573" w14:textId="77777777" w:rsidR="001E4571" w:rsidRPr="0091400A" w:rsidRDefault="00C012D7" w:rsidP="00E10E62">
      <w:pPr>
        <w:numPr>
          <w:ilvl w:val="1"/>
          <w:numId w:val="1"/>
        </w:numPr>
        <w:spacing w:after="101" w:line="288" w:lineRule="auto"/>
        <w:ind w:hanging="360"/>
        <w:jc w:val="both"/>
        <w:rPr>
          <w:rFonts w:asciiTheme="minorHAnsi" w:hAnsiTheme="minorHAnsi" w:cstheme="minorHAnsi"/>
        </w:rPr>
      </w:pPr>
      <w:r w:rsidRPr="0091400A">
        <w:rPr>
          <w:rFonts w:asciiTheme="minorHAnsi" w:eastAsia="Calibri" w:hAnsiTheme="minorHAnsi" w:cstheme="minorHAnsi"/>
          <w:b/>
        </w:rPr>
        <w:t>Referencia</w:t>
      </w:r>
      <w:r w:rsidRPr="0091400A">
        <w:rPr>
          <w:rFonts w:asciiTheme="minorHAnsi" w:hAnsiTheme="minorHAnsi" w:cstheme="minorHAnsi"/>
        </w:rPr>
        <w:t xml:space="preserve">. Se indican los valores límite aplicables (normas de calidad y referencias similares) para distintos parámetros, así como la normativa correspondiente. </w:t>
      </w:r>
    </w:p>
    <w:p w14:paraId="573E68D4" w14:textId="77777777" w:rsidR="001E4571" w:rsidRPr="0091400A" w:rsidRDefault="00C012D7" w:rsidP="00E10E62">
      <w:pPr>
        <w:spacing w:after="272"/>
        <w:ind w:left="1429"/>
        <w:jc w:val="both"/>
        <w:rPr>
          <w:rFonts w:asciiTheme="minorHAnsi" w:hAnsiTheme="minorHAnsi" w:cstheme="minorHAnsi"/>
        </w:rPr>
      </w:pPr>
      <w:r w:rsidRPr="0091400A">
        <w:rPr>
          <w:rFonts w:asciiTheme="minorHAnsi" w:hAnsiTheme="minorHAnsi" w:cstheme="minorHAnsi"/>
        </w:rPr>
        <w:t xml:space="preserve">En el caso de los </w:t>
      </w:r>
      <w:r w:rsidRPr="0091400A">
        <w:rPr>
          <w:rFonts w:asciiTheme="minorHAnsi" w:hAnsiTheme="minorHAnsi" w:cstheme="minorHAnsi"/>
          <w:u w:val="single" w:color="000000"/>
        </w:rPr>
        <w:t>puntos de control ubicados en ríos</w:t>
      </w:r>
      <w:r w:rsidRPr="0091400A">
        <w:rPr>
          <w:rFonts w:asciiTheme="minorHAnsi" w:hAnsiTheme="minorHAnsi" w:cstheme="minorHAnsi"/>
        </w:rPr>
        <w:t xml:space="preserve">, los valores límite aplicables para las distintas sustancias y parámetros se encuentran en los siguientes reales decretos: </w:t>
      </w:r>
    </w:p>
    <w:p w14:paraId="104874DF" w14:textId="77777777" w:rsidR="001E4571" w:rsidRPr="0091400A" w:rsidRDefault="00C012D7" w:rsidP="00E10E62">
      <w:pPr>
        <w:numPr>
          <w:ilvl w:val="2"/>
          <w:numId w:val="1"/>
        </w:numPr>
        <w:spacing w:after="278" w:line="292" w:lineRule="auto"/>
        <w:ind w:right="-10" w:hanging="360"/>
        <w:jc w:val="both"/>
        <w:rPr>
          <w:rFonts w:asciiTheme="minorHAnsi" w:hAnsiTheme="minorHAnsi" w:cstheme="minorHAnsi"/>
        </w:rPr>
      </w:pPr>
      <w:r w:rsidRPr="0091400A">
        <w:rPr>
          <w:rFonts w:asciiTheme="minorHAnsi" w:eastAsia="Calibri" w:hAnsiTheme="minorHAnsi" w:cstheme="minorHAnsi"/>
          <w:i/>
        </w:rPr>
        <w:t>Real Decreto 817/2015, de 11 de septiembre, por el que se establecen los criterios de seguimiento y evaluación del estado de las aguas superficiales y las normas de calidad ambiental</w:t>
      </w:r>
      <w:r w:rsidRPr="0091400A">
        <w:rPr>
          <w:rFonts w:asciiTheme="minorHAnsi" w:eastAsia="Calibri" w:hAnsiTheme="minorHAnsi" w:cstheme="minorHAnsi"/>
          <w:i/>
          <w:vertAlign w:val="superscript"/>
        </w:rPr>
        <w:footnoteReference w:id="2"/>
      </w:r>
      <w:r w:rsidRPr="0091400A">
        <w:rPr>
          <w:rFonts w:asciiTheme="minorHAnsi" w:hAnsiTheme="minorHAnsi" w:cstheme="minorHAnsi"/>
        </w:rPr>
        <w:t xml:space="preserve">.  Incluye valores límite aplicables a: </w:t>
      </w:r>
    </w:p>
    <w:p w14:paraId="2B31EBCC" w14:textId="77777777" w:rsidR="001E4571" w:rsidRPr="0091400A" w:rsidRDefault="00C012D7" w:rsidP="00E10E62">
      <w:pPr>
        <w:numPr>
          <w:ilvl w:val="3"/>
          <w:numId w:val="1"/>
        </w:numPr>
        <w:ind w:hanging="361"/>
        <w:jc w:val="both"/>
        <w:rPr>
          <w:rFonts w:asciiTheme="minorHAnsi" w:hAnsiTheme="minorHAnsi" w:cstheme="minorHAnsi"/>
        </w:rPr>
      </w:pPr>
      <w:r w:rsidRPr="0091400A">
        <w:rPr>
          <w:rFonts w:asciiTheme="minorHAnsi" w:hAnsiTheme="minorHAnsi" w:cstheme="minorHAnsi"/>
        </w:rPr>
        <w:t xml:space="preserve">Condiciones de oxigenación y nutrientes (Anexo II). El anejo determina los valores de cambio de estado </w:t>
      </w:r>
      <w:r w:rsidRPr="0091400A">
        <w:rPr>
          <w:rFonts w:asciiTheme="minorHAnsi" w:eastAsia="Calibri" w:hAnsiTheme="minorHAnsi" w:cstheme="minorHAnsi"/>
          <w:i/>
        </w:rPr>
        <w:t>bueno</w:t>
      </w:r>
      <w:r w:rsidRPr="0091400A">
        <w:rPr>
          <w:rFonts w:asciiTheme="minorHAnsi" w:hAnsiTheme="minorHAnsi" w:cstheme="minorHAnsi"/>
        </w:rPr>
        <w:t xml:space="preserve"> a </w:t>
      </w:r>
      <w:r w:rsidRPr="0091400A">
        <w:rPr>
          <w:rFonts w:asciiTheme="minorHAnsi" w:eastAsia="Calibri" w:hAnsiTheme="minorHAnsi" w:cstheme="minorHAnsi"/>
          <w:i/>
        </w:rPr>
        <w:t>moderado</w:t>
      </w:r>
      <w:r w:rsidRPr="0091400A">
        <w:rPr>
          <w:rFonts w:asciiTheme="minorHAnsi" w:hAnsiTheme="minorHAnsi" w:cstheme="minorHAnsi"/>
        </w:rPr>
        <w:t xml:space="preserve"> para estos parámetros, en función de la tipología de río. Al río Ego y a sus afluentes se les aplica la tipología de río </w:t>
      </w:r>
      <w:r w:rsidRPr="0091400A">
        <w:rPr>
          <w:rFonts w:asciiTheme="minorHAnsi" w:eastAsia="Calibri" w:hAnsiTheme="minorHAnsi" w:cstheme="minorHAnsi"/>
          <w:i/>
        </w:rPr>
        <w:t>R-T22 - Ríos cántabro-atlánticos calcáreos.</w:t>
      </w:r>
      <w:r w:rsidRPr="0091400A">
        <w:rPr>
          <w:rFonts w:asciiTheme="minorHAnsi" w:hAnsiTheme="minorHAnsi" w:cstheme="minorHAnsi"/>
        </w:rPr>
        <w:t xml:space="preserve"> </w:t>
      </w:r>
    </w:p>
    <w:p w14:paraId="352FB67E" w14:textId="77777777" w:rsidR="001E4571" w:rsidRPr="0091400A" w:rsidRDefault="00C012D7" w:rsidP="00E10E62">
      <w:pPr>
        <w:numPr>
          <w:ilvl w:val="3"/>
          <w:numId w:val="1"/>
        </w:numPr>
        <w:ind w:hanging="361"/>
        <w:jc w:val="both"/>
        <w:rPr>
          <w:rFonts w:asciiTheme="minorHAnsi" w:hAnsiTheme="minorHAnsi" w:cstheme="minorHAnsi"/>
        </w:rPr>
      </w:pPr>
      <w:r w:rsidRPr="0091400A">
        <w:rPr>
          <w:rFonts w:asciiTheme="minorHAnsi" w:hAnsiTheme="minorHAnsi" w:cstheme="minorHAnsi"/>
        </w:rPr>
        <w:t xml:space="preserve">Normas de calidad ambiental para las </w:t>
      </w:r>
      <w:r w:rsidRPr="0091400A">
        <w:rPr>
          <w:rFonts w:asciiTheme="minorHAnsi" w:eastAsia="Calibri" w:hAnsiTheme="minorHAnsi" w:cstheme="minorHAnsi"/>
          <w:i/>
        </w:rPr>
        <w:t>sustancias prioritarias y otros contaminantes</w:t>
      </w:r>
      <w:r w:rsidRPr="0091400A">
        <w:rPr>
          <w:rFonts w:asciiTheme="minorHAnsi" w:hAnsiTheme="minorHAnsi" w:cstheme="minorHAnsi"/>
        </w:rPr>
        <w:t xml:space="preserve"> (Anexo IV). </w:t>
      </w:r>
    </w:p>
    <w:p w14:paraId="0278E142" w14:textId="77777777" w:rsidR="001E4571" w:rsidRPr="0091400A" w:rsidRDefault="00C012D7" w:rsidP="00E10E62">
      <w:pPr>
        <w:numPr>
          <w:ilvl w:val="3"/>
          <w:numId w:val="1"/>
        </w:numPr>
        <w:spacing w:after="278"/>
        <w:ind w:hanging="361"/>
        <w:jc w:val="both"/>
        <w:rPr>
          <w:rFonts w:asciiTheme="minorHAnsi" w:hAnsiTheme="minorHAnsi" w:cstheme="minorHAnsi"/>
        </w:rPr>
      </w:pPr>
      <w:r w:rsidRPr="0091400A">
        <w:rPr>
          <w:rFonts w:asciiTheme="minorHAnsi" w:hAnsiTheme="minorHAnsi" w:cstheme="minorHAnsi"/>
        </w:rPr>
        <w:t xml:space="preserve">Normas de calidad ambiental para las </w:t>
      </w:r>
      <w:r w:rsidRPr="0091400A">
        <w:rPr>
          <w:rFonts w:asciiTheme="minorHAnsi" w:eastAsia="Calibri" w:hAnsiTheme="minorHAnsi" w:cstheme="minorHAnsi"/>
          <w:i/>
        </w:rPr>
        <w:t>sustancias preferentes</w:t>
      </w:r>
      <w:r w:rsidRPr="0091400A">
        <w:rPr>
          <w:rFonts w:asciiTheme="minorHAnsi" w:hAnsiTheme="minorHAnsi" w:cstheme="minorHAnsi"/>
        </w:rPr>
        <w:t xml:space="preserve"> (Anexo V). </w:t>
      </w:r>
    </w:p>
    <w:p w14:paraId="72666083" w14:textId="77777777" w:rsidR="001E4571" w:rsidRPr="0091400A" w:rsidRDefault="00C012D7" w:rsidP="00E10E62">
      <w:pPr>
        <w:numPr>
          <w:ilvl w:val="2"/>
          <w:numId w:val="1"/>
        </w:numPr>
        <w:spacing w:after="239" w:line="292" w:lineRule="auto"/>
        <w:ind w:right="-10" w:hanging="360"/>
        <w:jc w:val="both"/>
        <w:rPr>
          <w:rFonts w:asciiTheme="minorHAnsi" w:hAnsiTheme="minorHAnsi" w:cstheme="minorHAnsi"/>
        </w:rPr>
      </w:pPr>
      <w:r w:rsidRPr="0091400A">
        <w:rPr>
          <w:rFonts w:asciiTheme="minorHAnsi" w:eastAsia="Calibri" w:hAnsiTheme="minorHAnsi" w:cstheme="minorHAnsi"/>
          <w:i/>
        </w:rPr>
        <w:t>Real Decreto 1/2016, de 8 de enero, por el que se aprueba la revisión de los Planes Hidrológicos de las demarcaciones hidrográficas del Cantábrico Occidental, Guadalquivir, Ceuta, Melilla, Segura y Júcar, y de la parte española de las demarcaciones hidrográficas del Cantábrico Oriental, Miño-Sil, Duero, Tajo, Guadiana y Ebro</w:t>
      </w:r>
      <w:r w:rsidRPr="0091400A">
        <w:rPr>
          <w:rFonts w:asciiTheme="minorHAnsi" w:eastAsia="Calibri" w:hAnsiTheme="minorHAnsi" w:cstheme="minorHAnsi"/>
          <w:i/>
          <w:vertAlign w:val="superscript"/>
        </w:rPr>
        <w:footnoteReference w:id="3"/>
      </w:r>
      <w:r w:rsidRPr="0091400A">
        <w:rPr>
          <w:rFonts w:asciiTheme="minorHAnsi" w:eastAsia="Calibri" w:hAnsiTheme="minorHAnsi" w:cstheme="minorHAnsi"/>
          <w:i/>
        </w:rPr>
        <w:t xml:space="preserve">. </w:t>
      </w:r>
      <w:r w:rsidRPr="0091400A">
        <w:rPr>
          <w:rFonts w:asciiTheme="minorHAnsi" w:hAnsiTheme="minorHAnsi" w:cstheme="minorHAnsi"/>
        </w:rPr>
        <w:t>Su Anexo I, correspondiente a las Disposiciones normativas del plan hidrológico de la parte española de la demarcación hidrográfica del Cantábrico Oriental, incluye un Apéndice 8, con valores de referencia de distintos parámetros para el cumplimiento de los objetivos medioambientales aguas abajo de los vertidos.</w:t>
      </w:r>
      <w:r w:rsidRPr="0091400A">
        <w:rPr>
          <w:rFonts w:asciiTheme="minorHAnsi" w:eastAsia="Calibri" w:hAnsiTheme="minorHAnsi" w:cstheme="minorHAnsi"/>
          <w:i/>
        </w:rPr>
        <w:t xml:space="preserve"> </w:t>
      </w:r>
    </w:p>
    <w:p w14:paraId="555B2F5A" w14:textId="77777777" w:rsidR="001E4571" w:rsidRPr="0091400A" w:rsidRDefault="00C012D7" w:rsidP="00E10E62">
      <w:pPr>
        <w:spacing w:after="239" w:line="292" w:lineRule="auto"/>
        <w:ind w:left="1419" w:right="-10"/>
        <w:jc w:val="both"/>
        <w:rPr>
          <w:rFonts w:asciiTheme="minorHAnsi" w:hAnsiTheme="minorHAnsi" w:cstheme="minorHAnsi"/>
        </w:rPr>
      </w:pPr>
      <w:r w:rsidRPr="0091400A">
        <w:rPr>
          <w:rFonts w:asciiTheme="minorHAnsi" w:hAnsiTheme="minorHAnsi" w:cstheme="minorHAnsi"/>
        </w:rPr>
        <w:t xml:space="preserve">En el caso de los </w:t>
      </w:r>
      <w:r w:rsidRPr="0091400A">
        <w:rPr>
          <w:rFonts w:asciiTheme="minorHAnsi" w:hAnsiTheme="minorHAnsi" w:cstheme="minorHAnsi"/>
          <w:u w:val="single" w:color="000000"/>
        </w:rPr>
        <w:t>puntos de control correspondientes a lixiviados del vertedero</w:t>
      </w:r>
      <w:r w:rsidRPr="0091400A">
        <w:rPr>
          <w:rFonts w:asciiTheme="minorHAnsi" w:hAnsiTheme="minorHAnsi" w:cstheme="minorHAnsi"/>
        </w:rPr>
        <w:t xml:space="preserve">, la referencia aplicada es el </w:t>
      </w:r>
      <w:r w:rsidRPr="0091400A">
        <w:rPr>
          <w:rFonts w:asciiTheme="minorHAnsi" w:eastAsia="Calibri" w:hAnsiTheme="minorHAnsi" w:cstheme="minorHAnsi"/>
          <w:i/>
        </w:rPr>
        <w:t>Reglamento Regulador del Vertido a Colector del Consorcio de Aguas de Gipuzkoa</w:t>
      </w:r>
      <w:r w:rsidRPr="0091400A">
        <w:rPr>
          <w:rFonts w:asciiTheme="minorHAnsi" w:eastAsia="Calibri" w:hAnsiTheme="minorHAnsi" w:cstheme="minorHAnsi"/>
          <w:i/>
          <w:vertAlign w:val="superscript"/>
        </w:rPr>
        <w:footnoteReference w:id="4"/>
      </w:r>
      <w:r w:rsidRPr="0091400A">
        <w:rPr>
          <w:rFonts w:asciiTheme="minorHAnsi" w:hAnsiTheme="minorHAnsi" w:cstheme="minorHAnsi"/>
        </w:rPr>
        <w:t xml:space="preserve">. </w:t>
      </w:r>
    </w:p>
    <w:p w14:paraId="43F25C3E" w14:textId="77777777" w:rsidR="001E4571" w:rsidRPr="0091400A" w:rsidRDefault="00C012D7" w:rsidP="00E10E62">
      <w:pPr>
        <w:spacing w:after="240"/>
        <w:ind w:left="730"/>
        <w:jc w:val="both"/>
        <w:rPr>
          <w:rFonts w:asciiTheme="minorHAnsi" w:hAnsiTheme="minorHAnsi" w:cstheme="minorHAnsi"/>
        </w:rPr>
      </w:pPr>
      <w:r w:rsidRPr="0091400A">
        <w:rPr>
          <w:rFonts w:asciiTheme="minorHAnsi" w:hAnsiTheme="minorHAnsi" w:cstheme="minorHAnsi"/>
        </w:rPr>
        <w:t xml:space="preserve">La tabla RESULTADOS se estructura, por tanto, de forma que en cada fila se encuentra el resultado analítico de un parámetro en un punto de muestreo y una fecha. Los valores están ordenados inicialmente por Punto de muestreo / Fecha / Parámetro. </w:t>
      </w:r>
    </w:p>
    <w:p w14:paraId="43C99695" w14:textId="77777777" w:rsidR="001E4571" w:rsidRPr="0091400A" w:rsidRDefault="00C012D7" w:rsidP="00E10E62">
      <w:pPr>
        <w:spacing w:after="238"/>
        <w:ind w:left="730"/>
        <w:jc w:val="both"/>
        <w:rPr>
          <w:rFonts w:asciiTheme="minorHAnsi" w:hAnsiTheme="minorHAnsi" w:cstheme="minorHAnsi"/>
        </w:rPr>
      </w:pPr>
      <w:r w:rsidRPr="0091400A">
        <w:rPr>
          <w:rFonts w:asciiTheme="minorHAnsi" w:hAnsiTheme="minorHAnsi" w:cstheme="minorHAnsi"/>
        </w:rPr>
        <w:t xml:space="preserve">Los resultados pueden ordenarse o filtrarse a voluntad, así como manejarse mediante tablas dinámicas u otras herramientas o consultas. </w:t>
      </w:r>
    </w:p>
    <w:p w14:paraId="27A2A6BA" w14:textId="77777777" w:rsidR="001E4571" w:rsidRPr="0091400A" w:rsidRDefault="00C012D7" w:rsidP="00E10E62">
      <w:pPr>
        <w:spacing w:after="274"/>
        <w:ind w:left="730"/>
        <w:jc w:val="both"/>
        <w:rPr>
          <w:rFonts w:asciiTheme="minorHAnsi" w:hAnsiTheme="minorHAnsi" w:cstheme="minorHAnsi"/>
        </w:rPr>
      </w:pPr>
      <w:r w:rsidRPr="0091400A">
        <w:rPr>
          <w:rFonts w:asciiTheme="minorHAnsi" w:hAnsiTheme="minorHAnsi" w:cstheme="minorHAnsi"/>
        </w:rPr>
        <w:lastRenderedPageBreak/>
        <w:t xml:space="preserve">Se han incluido también los resultados obtenidos desde el 22 de enero de 2020 en la estación DEG068, ubicada en el río Ego aguas abajo de Eibar, correspondiente a la Red de Seguimiento del Estado de las Masas de Agua del País Vasco.  </w:t>
      </w:r>
    </w:p>
    <w:p w14:paraId="25E2E3D2" w14:textId="77777777" w:rsidR="001E4571" w:rsidRPr="0091400A" w:rsidRDefault="00C012D7" w:rsidP="00E10E62">
      <w:pPr>
        <w:numPr>
          <w:ilvl w:val="0"/>
          <w:numId w:val="1"/>
        </w:numPr>
        <w:spacing w:after="269"/>
        <w:ind w:hanging="360"/>
        <w:jc w:val="both"/>
        <w:rPr>
          <w:rFonts w:asciiTheme="minorHAnsi" w:hAnsiTheme="minorHAnsi" w:cstheme="minorHAnsi"/>
        </w:rPr>
      </w:pPr>
      <w:r w:rsidRPr="0091400A">
        <w:rPr>
          <w:rFonts w:asciiTheme="minorHAnsi" w:eastAsia="Calibri" w:hAnsiTheme="minorHAnsi" w:cstheme="minorHAnsi"/>
          <w:b/>
          <w:color w:val="009FED"/>
        </w:rPr>
        <w:t>SUPERACIÓN_REFERENCIA</w:t>
      </w:r>
      <w:r w:rsidRPr="0091400A">
        <w:rPr>
          <w:rFonts w:asciiTheme="minorHAnsi" w:hAnsiTheme="minorHAnsi" w:cstheme="minorHAnsi"/>
        </w:rPr>
        <w:t xml:space="preserve">: Contiene los puntos de muestreo y los parámetros en los que se ha detectado superación de las distintas referencias aplicables, con los siguientes campos: </w:t>
      </w:r>
    </w:p>
    <w:p w14:paraId="0C4AB640" w14:textId="77777777"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Punto</w:t>
      </w:r>
      <w:r w:rsidRPr="0091400A">
        <w:rPr>
          <w:rFonts w:asciiTheme="minorHAnsi" w:hAnsiTheme="minorHAnsi" w:cstheme="minorHAnsi"/>
        </w:rPr>
        <w:t xml:space="preserve">. Código del punto de muestreo. </w:t>
      </w:r>
    </w:p>
    <w:p w14:paraId="293E6941" w14:textId="77777777"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 xml:space="preserve">Tipo_punto. </w:t>
      </w:r>
      <w:r w:rsidRPr="0091400A">
        <w:rPr>
          <w:rFonts w:asciiTheme="minorHAnsi" w:hAnsiTheme="minorHAnsi" w:cstheme="minorHAnsi"/>
        </w:rPr>
        <w:t>Río o vertido de lixiviado.</w:t>
      </w:r>
      <w:r w:rsidRPr="0091400A">
        <w:rPr>
          <w:rFonts w:asciiTheme="minorHAnsi" w:eastAsia="Calibri" w:hAnsiTheme="minorHAnsi" w:cstheme="minorHAnsi"/>
          <w:b/>
        </w:rPr>
        <w:t xml:space="preserve"> </w:t>
      </w:r>
    </w:p>
    <w:p w14:paraId="5A589856" w14:textId="77777777"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Parámetro</w:t>
      </w:r>
      <w:r w:rsidRPr="0091400A">
        <w:rPr>
          <w:rFonts w:asciiTheme="minorHAnsi" w:hAnsiTheme="minorHAnsi" w:cstheme="minorHAnsi"/>
        </w:rPr>
        <w:t xml:space="preserve">. Parámetro analizado. </w:t>
      </w:r>
    </w:p>
    <w:p w14:paraId="13D8FE27" w14:textId="77777777"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Nº registros disponibles</w:t>
      </w:r>
      <w:r w:rsidRPr="0091400A">
        <w:rPr>
          <w:rFonts w:asciiTheme="minorHAnsi" w:hAnsiTheme="minorHAnsi" w:cstheme="minorHAnsi"/>
        </w:rPr>
        <w:t xml:space="preserve">. Indica el número de analíticas disponibles del parámetro señalado en cada punto de muestreo. </w:t>
      </w:r>
    </w:p>
    <w:p w14:paraId="069AC8A8" w14:textId="77777777"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Nº registros &gt; limite cuantificación</w:t>
      </w:r>
      <w:r w:rsidRPr="0091400A">
        <w:rPr>
          <w:rFonts w:asciiTheme="minorHAnsi" w:hAnsiTheme="minorHAnsi" w:cstheme="minorHAnsi"/>
        </w:rPr>
        <w:t xml:space="preserve">. Indica el número de analíticas disponibles cuyos resultados están por encima del límite cuantificación. </w:t>
      </w:r>
    </w:p>
    <w:p w14:paraId="7B108821" w14:textId="77777777"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Nº registros &gt; referencia</w:t>
      </w:r>
      <w:r w:rsidRPr="0091400A">
        <w:rPr>
          <w:rFonts w:asciiTheme="minorHAnsi" w:hAnsiTheme="minorHAnsi" w:cstheme="minorHAnsi"/>
        </w:rPr>
        <w:t xml:space="preserve">. Indica el número de analíticas disponibles cuyos resultados están por encima de la referencia aplicable. </w:t>
      </w:r>
    </w:p>
    <w:p w14:paraId="1C2D0A62" w14:textId="175200CE" w:rsidR="002C1BAF" w:rsidRPr="002C1BAF"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Valor máximo</w:t>
      </w:r>
      <w:r w:rsidRPr="0091400A">
        <w:rPr>
          <w:rFonts w:asciiTheme="minorHAnsi" w:hAnsiTheme="minorHAnsi" w:cstheme="minorHAnsi"/>
        </w:rPr>
        <w:t xml:space="preserve">. Indica el valor máximo obtenido del parámetro en cada punto de </w:t>
      </w:r>
      <w:r w:rsidR="002C1BAF" w:rsidRPr="0091400A">
        <w:rPr>
          <w:rFonts w:asciiTheme="minorHAnsi" w:hAnsiTheme="minorHAnsi" w:cstheme="minorHAnsi"/>
        </w:rPr>
        <w:t>muestreo.</w:t>
      </w:r>
    </w:p>
    <w:p w14:paraId="4443558C" w14:textId="2C9646F6" w:rsidR="001E4571" w:rsidRPr="0091400A" w:rsidRDefault="00C012D7" w:rsidP="00E10E62">
      <w:pPr>
        <w:numPr>
          <w:ilvl w:val="1"/>
          <w:numId w:val="1"/>
        </w:numPr>
        <w:ind w:hanging="360"/>
        <w:jc w:val="both"/>
        <w:rPr>
          <w:rFonts w:asciiTheme="minorHAnsi" w:hAnsiTheme="minorHAnsi" w:cstheme="minorHAnsi"/>
        </w:rPr>
      </w:pPr>
      <w:r w:rsidRPr="0091400A">
        <w:rPr>
          <w:rFonts w:asciiTheme="minorHAnsi" w:eastAsia="Calibri" w:hAnsiTheme="minorHAnsi" w:cstheme="minorHAnsi"/>
          <w:b/>
        </w:rPr>
        <w:t>Unidad</w:t>
      </w:r>
      <w:r w:rsidRPr="0091400A">
        <w:rPr>
          <w:rFonts w:asciiTheme="minorHAnsi" w:hAnsiTheme="minorHAnsi" w:cstheme="minorHAnsi"/>
        </w:rPr>
        <w:t xml:space="preserve">. Unidades en las que se facilita el resultado. </w:t>
      </w:r>
    </w:p>
    <w:p w14:paraId="6635A390" w14:textId="77777777" w:rsidR="001E4571" w:rsidRPr="0091400A" w:rsidRDefault="00C012D7" w:rsidP="00E10E62">
      <w:pPr>
        <w:numPr>
          <w:ilvl w:val="1"/>
          <w:numId w:val="1"/>
        </w:numPr>
        <w:spacing w:after="237"/>
        <w:ind w:hanging="360"/>
        <w:jc w:val="both"/>
        <w:rPr>
          <w:rFonts w:asciiTheme="minorHAnsi" w:hAnsiTheme="minorHAnsi" w:cstheme="minorHAnsi"/>
        </w:rPr>
      </w:pPr>
      <w:r w:rsidRPr="0091400A">
        <w:rPr>
          <w:rFonts w:asciiTheme="minorHAnsi" w:eastAsia="Calibri" w:hAnsiTheme="minorHAnsi" w:cstheme="minorHAnsi"/>
          <w:b/>
        </w:rPr>
        <w:t>Referencia</w:t>
      </w:r>
      <w:r w:rsidRPr="0091400A">
        <w:rPr>
          <w:rFonts w:asciiTheme="minorHAnsi" w:hAnsiTheme="minorHAnsi" w:cstheme="minorHAnsi"/>
        </w:rPr>
        <w:t xml:space="preserve">. Se indican los valores límite aplicables (normas de calidad y referencias similares), así como la normativa correspondiente. </w:t>
      </w:r>
    </w:p>
    <w:p w14:paraId="32D0C4FF" w14:textId="1AA86352" w:rsidR="001E4571" w:rsidRDefault="001E4571" w:rsidP="00E10E62">
      <w:pPr>
        <w:ind w:left="1065"/>
        <w:rPr>
          <w:rFonts w:asciiTheme="minorHAnsi" w:hAnsiTheme="minorHAnsi" w:cstheme="minorHAnsi"/>
        </w:rPr>
      </w:pPr>
    </w:p>
    <w:p w14:paraId="67DEF895" w14:textId="3DF7FD36" w:rsidR="00852FB4" w:rsidRPr="00566015" w:rsidRDefault="00EA4ACA" w:rsidP="00566015">
      <w:r>
        <w:rPr>
          <w:noProof/>
          <w:lang w:val="es-ES_tradnl"/>
        </w:rPr>
        <w:drawing>
          <wp:inline distT="0" distB="0" distL="0" distR="0" wp14:anchorId="0C0FF03D" wp14:editId="4BD05CAD">
            <wp:extent cx="6303645" cy="43529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5-21 a las 18.18.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3645" cy="4352925"/>
                    </a:xfrm>
                    <a:prstGeom prst="rect">
                      <a:avLst/>
                    </a:prstGeom>
                  </pic:spPr>
                </pic:pic>
              </a:graphicData>
            </a:graphic>
          </wp:inline>
        </w:drawing>
      </w:r>
    </w:p>
    <w:sectPr w:rsidR="00852FB4" w:rsidRPr="00566015" w:rsidSect="00E10E62">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6" w:h="16838"/>
      <w:pgMar w:top="578" w:right="845" w:bottom="726" w:left="1134" w:header="403"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91AC4" w14:textId="77777777" w:rsidR="003F1103" w:rsidRDefault="003F1103">
      <w:r>
        <w:separator/>
      </w:r>
    </w:p>
  </w:endnote>
  <w:endnote w:type="continuationSeparator" w:id="0">
    <w:p w14:paraId="199944C4" w14:textId="77777777" w:rsidR="003F1103" w:rsidRDefault="003F1103">
      <w:r>
        <w:continuationSeparator/>
      </w:r>
    </w:p>
  </w:endnote>
  <w:endnote w:type="continuationNotice" w:id="1">
    <w:p w14:paraId="38A804B7" w14:textId="77777777" w:rsidR="003F1103" w:rsidRDefault="003F11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DAC6" w14:textId="77777777" w:rsidR="001E4571" w:rsidRDefault="00C012D7">
    <w:pPr>
      <w:spacing w:line="259" w:lineRule="auto"/>
      <w:ind w:right="8"/>
      <w:jc w:val="center"/>
    </w:pPr>
    <w:r>
      <w:fldChar w:fldCharType="begin"/>
    </w:r>
    <w:r>
      <w:instrText xml:space="preserve"> PAGE   \* MERGEFORMAT </w:instrText>
    </w:r>
    <w:r>
      <w:fldChar w:fldCharType="separate"/>
    </w:r>
    <w:r>
      <w:rPr>
        <w:rFonts w:ascii="Calibri" w:eastAsia="Calibri" w:hAnsi="Calibri" w:cs="Calibri"/>
        <w:color w:val="2E74B5"/>
        <w:sz w:val="20"/>
      </w:rPr>
      <w:t>1</w:t>
    </w:r>
    <w:r>
      <w:rPr>
        <w:color w:val="2E74B5"/>
        <w:sz w:val="20"/>
      </w:rPr>
      <w:fldChar w:fldCharType="end"/>
    </w:r>
    <w:r>
      <w:rPr>
        <w:rFonts w:ascii="Calibri" w:eastAsia="Calibri" w:hAnsi="Calibri" w:cs="Calibri"/>
        <w:color w:val="2E74B5"/>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53CA" w14:textId="4F732F5E" w:rsidR="001E4571" w:rsidRDefault="00C012D7">
    <w:pPr>
      <w:spacing w:line="259" w:lineRule="auto"/>
      <w:ind w:right="8"/>
      <w:jc w:val="center"/>
    </w:pPr>
    <w:r>
      <w:fldChar w:fldCharType="begin"/>
    </w:r>
    <w:r>
      <w:instrText xml:space="preserve"> PAGE   \* MERGEFORMAT </w:instrText>
    </w:r>
    <w:r>
      <w:fldChar w:fldCharType="separate"/>
    </w:r>
    <w:r w:rsidR="00566015" w:rsidRPr="00566015">
      <w:rPr>
        <w:rFonts w:ascii="Calibri" w:eastAsia="Calibri" w:hAnsi="Calibri" w:cs="Calibri"/>
        <w:noProof/>
        <w:color w:val="2E74B5"/>
        <w:sz w:val="20"/>
      </w:rPr>
      <w:t>1</w:t>
    </w:r>
    <w:r>
      <w:rPr>
        <w:color w:val="2E74B5"/>
        <w:sz w:val="20"/>
      </w:rPr>
      <w:fldChar w:fldCharType="end"/>
    </w:r>
    <w:r>
      <w:rPr>
        <w:rFonts w:ascii="Calibri" w:eastAsia="Calibri" w:hAnsi="Calibri" w:cs="Calibri"/>
        <w:color w:val="2E74B5"/>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E944" w14:textId="77777777" w:rsidR="001E4571" w:rsidRDefault="00C012D7">
    <w:pPr>
      <w:spacing w:line="259" w:lineRule="auto"/>
      <w:ind w:right="8"/>
      <w:jc w:val="center"/>
    </w:pPr>
    <w:r>
      <w:fldChar w:fldCharType="begin"/>
    </w:r>
    <w:r>
      <w:instrText xml:space="preserve"> PAGE   \* MERGEFORMAT </w:instrText>
    </w:r>
    <w:r>
      <w:fldChar w:fldCharType="separate"/>
    </w:r>
    <w:r>
      <w:rPr>
        <w:rFonts w:ascii="Calibri" w:eastAsia="Calibri" w:hAnsi="Calibri" w:cs="Calibri"/>
        <w:color w:val="2E74B5"/>
        <w:sz w:val="20"/>
      </w:rPr>
      <w:t>1</w:t>
    </w:r>
    <w:r>
      <w:rPr>
        <w:color w:val="2E74B5"/>
        <w:sz w:val="20"/>
      </w:rPr>
      <w:fldChar w:fldCharType="end"/>
    </w:r>
    <w:r>
      <w:rPr>
        <w:rFonts w:ascii="Calibri" w:eastAsia="Calibri" w:hAnsi="Calibri" w:cs="Calibri"/>
        <w:color w:val="2E74B5"/>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6C703" w14:textId="77777777" w:rsidR="003F1103" w:rsidRDefault="003F1103">
      <w:pPr>
        <w:spacing w:after="1" w:line="259" w:lineRule="auto"/>
      </w:pPr>
      <w:r>
        <w:separator/>
      </w:r>
    </w:p>
  </w:footnote>
  <w:footnote w:type="continuationSeparator" w:id="0">
    <w:p w14:paraId="7B1FBB99" w14:textId="77777777" w:rsidR="003F1103" w:rsidRDefault="003F1103">
      <w:pPr>
        <w:spacing w:after="1" w:line="259" w:lineRule="auto"/>
      </w:pPr>
      <w:r>
        <w:continuationSeparator/>
      </w:r>
    </w:p>
  </w:footnote>
  <w:footnote w:type="continuationNotice" w:id="1">
    <w:p w14:paraId="6BFCCA24" w14:textId="77777777" w:rsidR="003F1103" w:rsidRDefault="003F1103"/>
  </w:footnote>
  <w:footnote w:id="2">
    <w:p w14:paraId="7A65C3F6" w14:textId="77777777" w:rsidR="001E4571" w:rsidRDefault="00C012D7">
      <w:pPr>
        <w:pStyle w:val="footnotedescription"/>
        <w:spacing w:after="1"/>
      </w:pPr>
      <w:r>
        <w:rPr>
          <w:rStyle w:val="footnotemark"/>
        </w:rPr>
        <w:footnoteRef/>
      </w:r>
      <w:r>
        <w:t xml:space="preserve"> </w:t>
      </w:r>
      <w:hyperlink r:id="rId1">
        <w:r>
          <w:t>https://www.boe.es/buscar/doc.php?id=BOE</w:t>
        </w:r>
      </w:hyperlink>
      <w:hyperlink r:id="rId2">
        <w:r>
          <w:t>-</w:t>
        </w:r>
      </w:hyperlink>
      <w:hyperlink r:id="rId3">
        <w:r>
          <w:t>A</w:t>
        </w:r>
      </w:hyperlink>
      <w:hyperlink r:id="rId4">
        <w:r>
          <w:t>-</w:t>
        </w:r>
      </w:hyperlink>
      <w:hyperlink r:id="rId5">
        <w:r>
          <w:t>2015</w:t>
        </w:r>
      </w:hyperlink>
      <w:hyperlink r:id="rId6">
        <w:r>
          <w:t>-</w:t>
        </w:r>
      </w:hyperlink>
      <w:hyperlink r:id="rId7">
        <w:r>
          <w:t>9806</w:t>
        </w:r>
      </w:hyperlink>
      <w:hyperlink r:id="rId8">
        <w:r>
          <w:rPr>
            <w:color w:val="000000"/>
            <w:u w:val="none" w:color="000000"/>
          </w:rPr>
          <w:t xml:space="preserve"> </w:t>
        </w:r>
      </w:hyperlink>
    </w:p>
  </w:footnote>
  <w:footnote w:id="3">
    <w:p w14:paraId="2D1BBEFC" w14:textId="77777777" w:rsidR="001E4571" w:rsidRDefault="00C012D7">
      <w:pPr>
        <w:pStyle w:val="footnotedescription"/>
      </w:pPr>
      <w:r>
        <w:rPr>
          <w:rStyle w:val="footnotemark"/>
        </w:rPr>
        <w:footnoteRef/>
      </w:r>
      <w:r>
        <w:t xml:space="preserve"> </w:t>
      </w:r>
      <w:hyperlink r:id="rId9">
        <w:r>
          <w:t>https://www.boe.es/diario_boe/txt.php?id=BOE</w:t>
        </w:r>
      </w:hyperlink>
      <w:hyperlink r:id="rId10">
        <w:r>
          <w:t>-</w:t>
        </w:r>
      </w:hyperlink>
      <w:hyperlink r:id="rId11">
        <w:r>
          <w:t>A</w:t>
        </w:r>
      </w:hyperlink>
      <w:hyperlink r:id="rId12">
        <w:r>
          <w:t>-</w:t>
        </w:r>
      </w:hyperlink>
      <w:hyperlink r:id="rId13">
        <w:r>
          <w:t>2016</w:t>
        </w:r>
      </w:hyperlink>
      <w:hyperlink r:id="rId14">
        <w:r>
          <w:t>-</w:t>
        </w:r>
      </w:hyperlink>
      <w:hyperlink r:id="rId15">
        <w:r>
          <w:t>439</w:t>
        </w:r>
      </w:hyperlink>
      <w:hyperlink r:id="rId16">
        <w:r>
          <w:rPr>
            <w:color w:val="000000"/>
            <w:u w:val="none" w:color="000000"/>
          </w:rPr>
          <w:t xml:space="preserve"> </w:t>
        </w:r>
      </w:hyperlink>
    </w:p>
  </w:footnote>
  <w:footnote w:id="4">
    <w:p w14:paraId="1C7AA4E3" w14:textId="77777777" w:rsidR="001E4571" w:rsidRDefault="00C012D7">
      <w:pPr>
        <w:pStyle w:val="footnotedescription"/>
        <w:spacing w:after="9"/>
      </w:pPr>
      <w:r>
        <w:rPr>
          <w:rStyle w:val="footnotemark"/>
        </w:rPr>
        <w:footnoteRef/>
      </w:r>
      <w:r>
        <w:t xml:space="preserve"> </w:t>
      </w:r>
      <w:hyperlink r:id="rId17">
        <w:r>
          <w:t>https://egoitza.gipuzkoa.eus/gao</w:t>
        </w:r>
      </w:hyperlink>
      <w:hyperlink r:id="rId18">
        <w:r>
          <w:t>-</w:t>
        </w:r>
      </w:hyperlink>
      <w:hyperlink r:id="rId19">
        <w:r>
          <w:t>bog/castell/bog/2012/08/01/c1207505.pdf</w:t>
        </w:r>
      </w:hyperlink>
      <w:hyperlink r:id="rId20">
        <w:r>
          <w:rPr>
            <w:color w:val="000000"/>
            <w:u w:val="none" w:color="000000"/>
          </w:rPr>
          <w:t xml:space="preserve"> </w:t>
        </w:r>
      </w:hyperlink>
    </w:p>
    <w:p w14:paraId="28145C0D" w14:textId="77777777" w:rsidR="001E4571" w:rsidRDefault="00C012D7">
      <w:pPr>
        <w:pStyle w:val="footnotedescription"/>
        <w:spacing w:after="14"/>
        <w:ind w:left="46"/>
        <w:jc w:val="center"/>
      </w:pPr>
      <w:r>
        <w:rPr>
          <w:color w:val="2E74B5"/>
          <w:sz w:val="22"/>
          <w:u w:val="none" w:color="000000"/>
        </w:rPr>
        <w:t xml:space="preserve"> </w:t>
      </w:r>
    </w:p>
    <w:p w14:paraId="301C326B" w14:textId="77777777" w:rsidR="001E4571" w:rsidRDefault="00C012D7">
      <w:pPr>
        <w:pStyle w:val="footnotedescription"/>
        <w:tabs>
          <w:tab w:val="center" w:pos="4823"/>
          <w:tab w:val="center" w:pos="5104"/>
        </w:tabs>
      </w:pPr>
      <w:r>
        <w:rPr>
          <w:color w:val="000000"/>
          <w:sz w:val="22"/>
          <w:u w:val="none" w:color="000000"/>
        </w:rPr>
        <w:tab/>
      </w:r>
      <w:r>
        <w:rPr>
          <w:color w:val="2E74B5"/>
          <w:sz w:val="22"/>
          <w:u w:val="none" w:color="000000"/>
        </w:rPr>
        <w:t xml:space="preserve">- </w:t>
      </w:r>
      <w:r>
        <w:rPr>
          <w:color w:val="2E74B5"/>
          <w:sz w:val="22"/>
          <w:u w:val="none" w:color="000000"/>
        </w:rPr>
        <w:ta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CF07" w14:textId="77777777" w:rsidR="001E4571" w:rsidRDefault="00C012D7">
    <w:pPr>
      <w:spacing w:line="259" w:lineRule="auto"/>
      <w:ind w:right="1192"/>
      <w:jc w:val="right"/>
    </w:pPr>
    <w:r>
      <w:rPr>
        <w:noProof/>
        <w:lang w:val="es-ES_tradnl"/>
      </w:rPr>
      <mc:AlternateContent>
        <mc:Choice Requires="wpg">
          <w:drawing>
            <wp:anchor distT="0" distB="0" distL="114300" distR="114300" simplePos="0" relativeHeight="251658240" behindDoc="0" locked="0" layoutInCell="1" allowOverlap="1" wp14:anchorId="12CE4F34" wp14:editId="0FC129E0">
              <wp:simplePos x="0" y="0"/>
              <wp:positionH relativeFrom="page">
                <wp:posOffset>0</wp:posOffset>
              </wp:positionH>
              <wp:positionV relativeFrom="page">
                <wp:posOffset>255905</wp:posOffset>
              </wp:positionV>
              <wp:extent cx="7256145" cy="417830"/>
              <wp:effectExtent l="0" t="0" r="0" b="0"/>
              <wp:wrapSquare wrapText="bothSides"/>
              <wp:docPr id="4750" name="Group 4750"/>
              <wp:cNvGraphicFramePr/>
              <a:graphic xmlns:a="http://schemas.openxmlformats.org/drawingml/2006/main">
                <a:graphicData uri="http://schemas.microsoft.com/office/word/2010/wordprocessingGroup">
                  <wpg:wgp>
                    <wpg:cNvGrpSpPr/>
                    <wpg:grpSpPr>
                      <a:xfrm>
                        <a:off x="0" y="0"/>
                        <a:ext cx="7256145" cy="417830"/>
                        <a:chOff x="0" y="0"/>
                        <a:chExt cx="7256145" cy="417830"/>
                      </a:xfrm>
                    </wpg:grpSpPr>
                    <wps:wsp>
                      <wps:cNvPr id="4845" name="Shape 4845"/>
                      <wps:cNvSpPr/>
                      <wps:spPr>
                        <a:xfrm>
                          <a:off x="0" y="34925"/>
                          <a:ext cx="6115050" cy="382905"/>
                        </a:xfrm>
                        <a:custGeom>
                          <a:avLst/>
                          <a:gdLst/>
                          <a:ahLst/>
                          <a:cxnLst/>
                          <a:rect l="0" t="0" r="0" b="0"/>
                          <a:pathLst>
                            <a:path w="6115050" h="382905">
                              <a:moveTo>
                                <a:pt x="0" y="0"/>
                              </a:moveTo>
                              <a:lnTo>
                                <a:pt x="6115050" y="0"/>
                              </a:lnTo>
                              <a:lnTo>
                                <a:pt x="6115050" y="382905"/>
                              </a:lnTo>
                              <a:lnTo>
                                <a:pt x="0" y="38290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752" name="Picture 4752"/>
                        <pic:cNvPicPr/>
                      </pic:nvPicPr>
                      <pic:blipFill>
                        <a:blip r:embed="rId1"/>
                        <a:stretch>
                          <a:fillRect/>
                        </a:stretch>
                      </pic:blipFill>
                      <pic:spPr>
                        <a:xfrm>
                          <a:off x="6393180" y="0"/>
                          <a:ext cx="862965" cy="381000"/>
                        </a:xfrm>
                        <a:prstGeom prst="rect">
                          <a:avLst/>
                        </a:prstGeom>
                      </pic:spPr>
                    </pic:pic>
                  </wpg:wgp>
                </a:graphicData>
              </a:graphic>
            </wp:anchor>
          </w:drawing>
        </mc:Choice>
        <mc:Fallback>
          <w:pict>
            <v:group w14:anchorId="2C432C3A" id="Group 4750" o:spid="_x0000_s1026" style="position:absolute;margin-left:0;margin-top:20.15pt;width:571.35pt;height:32.9pt;z-index:251658240;mso-position-horizontal-relative:page;mso-position-vertical-relative:page" coordsize="72561,4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&#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">
              <v:shape id="Shape 4845" o:spid="_x0000_s1027" style="position:absolute;top:349;width:61150;height:3829;visibility:visible;mso-wrap-style:square;v-text-anchor:top" coordsize="611505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" path="m,l6115050,r,382905l,382905,,e" fillcolor="#5b9bd5" stroked="f" strokeweight="0">
                <v:stroke miterlimit="83231f" joinstyle="miter"/>
                <v:path arrowok="t" textboxrect="0,0,6115050,3829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2" o:spid="_x0000_s1028" type="#_x0000_t75" style="position:absolute;left:63931;width:863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">
                <v:imagedata r:id="rId2" o:title=""/>
              </v:shape>
              <w10:wrap type="square" anchorx="page" anchory="page"/>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605C" w14:textId="77777777" w:rsidR="001E4571" w:rsidRDefault="00C012D7">
    <w:pPr>
      <w:spacing w:line="259" w:lineRule="auto"/>
      <w:ind w:right="1192"/>
      <w:jc w:val="right"/>
    </w:pPr>
    <w:r>
      <w:rPr>
        <w:noProof/>
        <w:lang w:val="es-ES_tradnl"/>
      </w:rPr>
      <mc:AlternateContent>
        <mc:Choice Requires="wpg">
          <w:drawing>
            <wp:anchor distT="0" distB="0" distL="114300" distR="114300" simplePos="0" relativeHeight="251658241" behindDoc="0" locked="0" layoutInCell="1" allowOverlap="1" wp14:anchorId="007041C2" wp14:editId="6D97589C">
              <wp:simplePos x="0" y="0"/>
              <wp:positionH relativeFrom="page">
                <wp:posOffset>0</wp:posOffset>
              </wp:positionH>
              <wp:positionV relativeFrom="page">
                <wp:posOffset>255905</wp:posOffset>
              </wp:positionV>
              <wp:extent cx="7256145" cy="417830"/>
              <wp:effectExtent l="0" t="0" r="0" b="0"/>
              <wp:wrapSquare wrapText="bothSides"/>
              <wp:docPr id="4734" name="Group 4734"/>
              <wp:cNvGraphicFramePr/>
              <a:graphic xmlns:a="http://schemas.openxmlformats.org/drawingml/2006/main">
                <a:graphicData uri="http://schemas.microsoft.com/office/word/2010/wordprocessingGroup">
                  <wpg:wgp>
                    <wpg:cNvGrpSpPr/>
                    <wpg:grpSpPr>
                      <a:xfrm>
                        <a:off x="0" y="0"/>
                        <a:ext cx="7256145" cy="417830"/>
                        <a:chOff x="0" y="0"/>
                        <a:chExt cx="7256145" cy="417830"/>
                      </a:xfrm>
                    </wpg:grpSpPr>
                    <wps:wsp>
                      <wps:cNvPr id="4843" name="Shape 4843"/>
                      <wps:cNvSpPr/>
                      <wps:spPr>
                        <a:xfrm>
                          <a:off x="0" y="34925"/>
                          <a:ext cx="6115050" cy="382905"/>
                        </a:xfrm>
                        <a:custGeom>
                          <a:avLst/>
                          <a:gdLst/>
                          <a:ahLst/>
                          <a:cxnLst/>
                          <a:rect l="0" t="0" r="0" b="0"/>
                          <a:pathLst>
                            <a:path w="6115050" h="382905">
                              <a:moveTo>
                                <a:pt x="0" y="0"/>
                              </a:moveTo>
                              <a:lnTo>
                                <a:pt x="6115050" y="0"/>
                              </a:lnTo>
                              <a:lnTo>
                                <a:pt x="6115050" y="382905"/>
                              </a:lnTo>
                              <a:lnTo>
                                <a:pt x="0" y="38290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736" name="Picture 4736"/>
                        <pic:cNvPicPr/>
                      </pic:nvPicPr>
                      <pic:blipFill>
                        <a:blip r:embed="rId1"/>
                        <a:stretch>
                          <a:fillRect/>
                        </a:stretch>
                      </pic:blipFill>
                      <pic:spPr>
                        <a:xfrm>
                          <a:off x="6393180" y="0"/>
                          <a:ext cx="862965" cy="381000"/>
                        </a:xfrm>
                        <a:prstGeom prst="rect">
                          <a:avLst/>
                        </a:prstGeom>
                      </pic:spPr>
                    </pic:pic>
                  </wpg:wgp>
                </a:graphicData>
              </a:graphic>
            </wp:anchor>
          </w:drawing>
        </mc:Choice>
        <mc:Fallback>
          <w:pict>
            <v:group w14:anchorId="7F89DA44" id="Group 4734" o:spid="_x0000_s1026" style="position:absolute;margin-left:0;margin-top:20.15pt;width:571.35pt;height:32.9pt;z-index:251658241;mso-position-horizontal-relative:page;mso-position-vertical-relative:page" coordsize="72561,4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">
              <v:shape id="Shape 4843" o:spid="_x0000_s1027" style="position:absolute;top:349;width:61150;height:3829;visibility:visible;mso-wrap-style:square;v-text-anchor:top" coordsize="611505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" path="m,l6115050,r,382905l,382905,,e" fillcolor="#5b9bd5" stroked="f" strokeweight="0">
                <v:stroke miterlimit="83231f" joinstyle="miter"/>
                <v:path arrowok="t" textboxrect="0,0,6115050,3829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6" o:spid="_x0000_s1028" type="#_x0000_t75" style="position:absolute;left:63931;width:863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">
                <v:imagedata r:id="rId2" o:title=""/>
              </v:shape>
              <w10:wrap type="square" anchorx="page" anchory="pag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F817" w14:textId="77777777" w:rsidR="001E4571" w:rsidRDefault="00C012D7">
    <w:pPr>
      <w:spacing w:line="259" w:lineRule="auto"/>
      <w:ind w:right="1192"/>
      <w:jc w:val="right"/>
    </w:pPr>
    <w:r>
      <w:rPr>
        <w:noProof/>
        <w:lang w:val="es-ES_tradnl"/>
      </w:rPr>
      <mc:AlternateContent>
        <mc:Choice Requires="wpg">
          <w:drawing>
            <wp:anchor distT="0" distB="0" distL="114300" distR="114300" simplePos="0" relativeHeight="251658242" behindDoc="0" locked="0" layoutInCell="1" allowOverlap="1" wp14:anchorId="622F4E29" wp14:editId="4BD65914">
              <wp:simplePos x="0" y="0"/>
              <wp:positionH relativeFrom="page">
                <wp:posOffset>0</wp:posOffset>
              </wp:positionH>
              <wp:positionV relativeFrom="page">
                <wp:posOffset>255905</wp:posOffset>
              </wp:positionV>
              <wp:extent cx="7256145" cy="417830"/>
              <wp:effectExtent l="0" t="0" r="0" b="0"/>
              <wp:wrapSquare wrapText="bothSides"/>
              <wp:docPr id="4718" name="Group 4718"/>
              <wp:cNvGraphicFramePr/>
              <a:graphic xmlns:a="http://schemas.openxmlformats.org/drawingml/2006/main">
                <a:graphicData uri="http://schemas.microsoft.com/office/word/2010/wordprocessingGroup">
                  <wpg:wgp>
                    <wpg:cNvGrpSpPr/>
                    <wpg:grpSpPr>
                      <a:xfrm>
                        <a:off x="0" y="0"/>
                        <a:ext cx="7256145" cy="417830"/>
                        <a:chOff x="0" y="0"/>
                        <a:chExt cx="7256145" cy="417830"/>
                      </a:xfrm>
                    </wpg:grpSpPr>
                    <wps:wsp>
                      <wps:cNvPr id="4841" name="Shape 4841"/>
                      <wps:cNvSpPr/>
                      <wps:spPr>
                        <a:xfrm>
                          <a:off x="0" y="34925"/>
                          <a:ext cx="6115050" cy="382905"/>
                        </a:xfrm>
                        <a:custGeom>
                          <a:avLst/>
                          <a:gdLst/>
                          <a:ahLst/>
                          <a:cxnLst/>
                          <a:rect l="0" t="0" r="0" b="0"/>
                          <a:pathLst>
                            <a:path w="6115050" h="382905">
                              <a:moveTo>
                                <a:pt x="0" y="0"/>
                              </a:moveTo>
                              <a:lnTo>
                                <a:pt x="6115050" y="0"/>
                              </a:lnTo>
                              <a:lnTo>
                                <a:pt x="6115050" y="382905"/>
                              </a:lnTo>
                              <a:lnTo>
                                <a:pt x="0" y="38290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720" name="Picture 4720"/>
                        <pic:cNvPicPr/>
                      </pic:nvPicPr>
                      <pic:blipFill>
                        <a:blip r:embed="rId1"/>
                        <a:stretch>
                          <a:fillRect/>
                        </a:stretch>
                      </pic:blipFill>
                      <pic:spPr>
                        <a:xfrm>
                          <a:off x="6393180" y="0"/>
                          <a:ext cx="862965" cy="381000"/>
                        </a:xfrm>
                        <a:prstGeom prst="rect">
                          <a:avLst/>
                        </a:prstGeom>
                      </pic:spPr>
                    </pic:pic>
                  </wpg:wgp>
                </a:graphicData>
              </a:graphic>
            </wp:anchor>
          </w:drawing>
        </mc:Choice>
        <mc:Fallback>
          <w:pict>
            <v:group w14:anchorId="10FB3950" id="Group 4718" o:spid="_x0000_s1026" style="position:absolute;margin-left:0;margin-top:20.15pt;width:571.35pt;height:32.9pt;z-index:251658242;mso-position-horizontal-relative:page;mso-position-vertical-relative:page" coordsize="72561,4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">
              <v:shape id="Shape 4841" o:spid="_x0000_s1027" style="position:absolute;top:349;width:61150;height:3829;visibility:visible;mso-wrap-style:square;v-text-anchor:top" coordsize="611505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" path="m,l6115050,r,382905l,382905,,e" fillcolor="#5b9bd5" stroked="f" strokeweight="0">
                <v:stroke miterlimit="83231f" joinstyle="miter"/>
                <v:path arrowok="t" textboxrect="0,0,6115050,3829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0" o:spid="_x0000_s1028" type="#_x0000_t75" style="position:absolute;left:63931;width:863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">
                <v:imagedata r:id="rId2" o:title=""/>
              </v:shape>
              <w10:wrap type="square" anchorx="page" anchory="pag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B1BE2"/>
    <w:multiLevelType w:val="hybridMultilevel"/>
    <w:tmpl w:val="ECBC9804"/>
    <w:lvl w:ilvl="0" w:tplc="5DF63A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1212DC">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4C29C26">
      <w:start w:val="1"/>
      <w:numFmt w:val="bullet"/>
      <w:lvlText w:val=""/>
      <w:lvlJc w:val="left"/>
      <w:pPr>
        <w:ind w:left="2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F7C2FF8">
      <w:start w:val="1"/>
      <w:numFmt w:val="bullet"/>
      <w:lvlText w:val="-"/>
      <w:lvlJc w:val="left"/>
      <w:pPr>
        <w:ind w:left="2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B8B93E">
      <w:start w:val="1"/>
      <w:numFmt w:val="bullet"/>
      <w:lvlText w:val="o"/>
      <w:lvlJc w:val="left"/>
      <w:pPr>
        <w:ind w:left="3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34690C">
      <w:start w:val="1"/>
      <w:numFmt w:val="bullet"/>
      <w:lvlText w:val="▪"/>
      <w:lvlJc w:val="left"/>
      <w:pPr>
        <w:ind w:left="4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A872BA">
      <w:start w:val="1"/>
      <w:numFmt w:val="bullet"/>
      <w:lvlText w:val="•"/>
      <w:lvlJc w:val="left"/>
      <w:pPr>
        <w:ind w:left="5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5C7F20">
      <w:start w:val="1"/>
      <w:numFmt w:val="bullet"/>
      <w:lvlText w:val="o"/>
      <w:lvlJc w:val="left"/>
      <w:pPr>
        <w:ind w:left="5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90489A">
      <w:start w:val="1"/>
      <w:numFmt w:val="bullet"/>
      <w:lvlText w:val="▪"/>
      <w:lvlJc w:val="left"/>
      <w:pPr>
        <w:ind w:left="64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571"/>
    <w:rsid w:val="00072AEB"/>
    <w:rsid w:val="000D40A5"/>
    <w:rsid w:val="001E4571"/>
    <w:rsid w:val="00287C9A"/>
    <w:rsid w:val="002A1A55"/>
    <w:rsid w:val="002C1BAF"/>
    <w:rsid w:val="002C2ECA"/>
    <w:rsid w:val="00300654"/>
    <w:rsid w:val="003F1103"/>
    <w:rsid w:val="005404BA"/>
    <w:rsid w:val="00540D75"/>
    <w:rsid w:val="00566015"/>
    <w:rsid w:val="005B7361"/>
    <w:rsid w:val="005F0B17"/>
    <w:rsid w:val="006A3D9E"/>
    <w:rsid w:val="006D7484"/>
    <w:rsid w:val="00786B1F"/>
    <w:rsid w:val="00852FB4"/>
    <w:rsid w:val="0091400A"/>
    <w:rsid w:val="009431A3"/>
    <w:rsid w:val="00A426AF"/>
    <w:rsid w:val="00AD5A48"/>
    <w:rsid w:val="00B66E7C"/>
    <w:rsid w:val="00C012D7"/>
    <w:rsid w:val="00CC4D04"/>
    <w:rsid w:val="00DA46CD"/>
    <w:rsid w:val="00E020B6"/>
    <w:rsid w:val="00E10E62"/>
    <w:rsid w:val="00E813E3"/>
    <w:rsid w:val="00EA4ACA"/>
    <w:rsid w:val="00EC7F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930A5"/>
  <w15:docId w15:val="{14E0CFE4-2D7E-0E4D-B0C5-3EB810A16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E62"/>
    <w:rPr>
      <w:rFonts w:ascii="Times New Roman" w:eastAsia="Times New Roman" w:hAnsi="Times New Roman" w:cs="Times New Roman"/>
    </w:rPr>
  </w:style>
  <w:style w:type="paragraph" w:styleId="Ttulo1">
    <w:name w:val="heading 1"/>
    <w:next w:val="Normal"/>
    <w:link w:val="Ttulo1Car"/>
    <w:uiPriority w:val="9"/>
    <w:qFormat/>
    <w:pPr>
      <w:keepNext/>
      <w:keepLines/>
      <w:spacing w:after="203" w:line="259" w:lineRule="auto"/>
      <w:ind w:left="10" w:hanging="10"/>
      <w:outlineLvl w:val="0"/>
    </w:pPr>
    <w:rPr>
      <w:rFonts w:ascii="Arial" w:eastAsia="Arial" w:hAnsi="Arial" w:cs="Arial"/>
      <w:b/>
      <w:color w:val="009FE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9FED"/>
      <w:sz w:val="24"/>
    </w:rPr>
  </w:style>
  <w:style w:type="paragraph" w:customStyle="1" w:styleId="footnotedescription">
    <w:name w:val="footnote description"/>
    <w:next w:val="Normal"/>
    <w:link w:val="footnotedescriptionChar"/>
    <w:hidden/>
    <w:pPr>
      <w:spacing w:line="259" w:lineRule="auto"/>
    </w:pPr>
    <w:rPr>
      <w:rFonts w:ascii="Calibri" w:eastAsia="Calibri" w:hAnsi="Calibri" w:cs="Calibri"/>
      <w:color w:val="0563C1"/>
      <w:sz w:val="20"/>
      <w:u w:val="single" w:color="0563C1"/>
    </w:rPr>
  </w:style>
  <w:style w:type="character" w:customStyle="1" w:styleId="footnotedescriptionChar">
    <w:name w:val="footnote description Char"/>
    <w:link w:val="footnotedescription"/>
    <w:rPr>
      <w:rFonts w:ascii="Calibri" w:eastAsia="Calibri" w:hAnsi="Calibri" w:cs="Calibri"/>
      <w:color w:val="0563C1"/>
      <w:sz w:val="20"/>
      <w:u w:val="single" w:color="0563C1"/>
    </w:rPr>
  </w:style>
  <w:style w:type="character" w:customStyle="1" w:styleId="footnotemark">
    <w:name w:val="footnote mark"/>
    <w:hidden/>
    <w:rPr>
      <w:rFonts w:ascii="Calibri" w:eastAsia="Calibri" w:hAnsi="Calibri" w:cs="Calibri"/>
      <w:color w:val="000000"/>
      <w:sz w:val="20"/>
      <w:vertAlign w:val="superscript"/>
    </w:rPr>
  </w:style>
  <w:style w:type="paragraph" w:styleId="Prrafodelista">
    <w:name w:val="List Paragraph"/>
    <w:basedOn w:val="Normal"/>
    <w:uiPriority w:val="34"/>
    <w:qFormat/>
    <w:rsid w:val="00E10E62"/>
    <w:pPr>
      <w:ind w:left="720"/>
      <w:contextualSpacing/>
    </w:pPr>
  </w:style>
  <w:style w:type="paragraph" w:styleId="Encabezado">
    <w:name w:val="header"/>
    <w:basedOn w:val="Normal"/>
    <w:link w:val="EncabezadoCar"/>
    <w:uiPriority w:val="99"/>
    <w:semiHidden/>
    <w:unhideWhenUsed/>
    <w:rsid w:val="00E813E3"/>
    <w:pPr>
      <w:tabs>
        <w:tab w:val="center" w:pos="4419"/>
        <w:tab w:val="right" w:pos="8838"/>
      </w:tabs>
    </w:pPr>
  </w:style>
  <w:style w:type="character" w:customStyle="1" w:styleId="EncabezadoCar">
    <w:name w:val="Encabezado Car"/>
    <w:basedOn w:val="Fuentedeprrafopredeter"/>
    <w:link w:val="Encabezado"/>
    <w:uiPriority w:val="99"/>
    <w:semiHidden/>
    <w:rsid w:val="00E813E3"/>
    <w:rPr>
      <w:rFonts w:ascii="Times New Roman" w:eastAsia="Times New Roman" w:hAnsi="Times New Roman" w:cs="Times New Roman"/>
    </w:rPr>
  </w:style>
  <w:style w:type="paragraph" w:styleId="Piedepgina">
    <w:name w:val="footer"/>
    <w:basedOn w:val="Normal"/>
    <w:link w:val="PiedepginaCar"/>
    <w:uiPriority w:val="99"/>
    <w:semiHidden/>
    <w:unhideWhenUsed/>
    <w:rsid w:val="00E813E3"/>
    <w:pPr>
      <w:tabs>
        <w:tab w:val="center" w:pos="4419"/>
        <w:tab w:val="right" w:pos="8838"/>
      </w:tabs>
    </w:pPr>
  </w:style>
  <w:style w:type="character" w:customStyle="1" w:styleId="PiedepginaCar">
    <w:name w:val="Pie de página Car"/>
    <w:basedOn w:val="Fuentedeprrafopredeter"/>
    <w:link w:val="Piedepgina"/>
    <w:uiPriority w:val="99"/>
    <w:semiHidden/>
    <w:rsid w:val="00E813E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504794">
      <w:bodyDiv w:val="1"/>
      <w:marLeft w:val="0"/>
      <w:marRight w:val="0"/>
      <w:marTop w:val="0"/>
      <w:marBottom w:val="0"/>
      <w:divBdr>
        <w:top w:val="none" w:sz="0" w:space="0" w:color="auto"/>
        <w:left w:val="none" w:sz="0" w:space="0" w:color="auto"/>
        <w:bottom w:val="none" w:sz="0" w:space="0" w:color="auto"/>
        <w:right w:val="none" w:sz="0" w:space="0" w:color="auto"/>
      </w:divBdr>
      <w:divsChild>
        <w:div w:id="44373916">
          <w:marLeft w:val="0"/>
          <w:marRight w:val="0"/>
          <w:marTop w:val="0"/>
          <w:marBottom w:val="0"/>
          <w:divBdr>
            <w:top w:val="none" w:sz="0" w:space="0" w:color="auto"/>
            <w:left w:val="none" w:sz="0" w:space="0" w:color="auto"/>
            <w:bottom w:val="none" w:sz="0" w:space="0" w:color="auto"/>
            <w:right w:val="none" w:sz="0" w:space="0" w:color="auto"/>
          </w:divBdr>
          <w:divsChild>
            <w:div w:id="9026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9917">
      <w:bodyDiv w:val="1"/>
      <w:marLeft w:val="0"/>
      <w:marRight w:val="0"/>
      <w:marTop w:val="0"/>
      <w:marBottom w:val="0"/>
      <w:divBdr>
        <w:top w:val="none" w:sz="0" w:space="0" w:color="auto"/>
        <w:left w:val="none" w:sz="0" w:space="0" w:color="auto"/>
        <w:bottom w:val="none" w:sz="0" w:space="0" w:color="auto"/>
        <w:right w:val="none" w:sz="0" w:space="0" w:color="auto"/>
      </w:divBdr>
      <w:divsChild>
        <w:div w:id="370039453">
          <w:marLeft w:val="0"/>
          <w:marRight w:val="0"/>
          <w:marTop w:val="0"/>
          <w:marBottom w:val="0"/>
          <w:divBdr>
            <w:top w:val="none" w:sz="0" w:space="0" w:color="auto"/>
            <w:left w:val="none" w:sz="0" w:space="0" w:color="auto"/>
            <w:bottom w:val="none" w:sz="0" w:space="0" w:color="auto"/>
            <w:right w:val="none" w:sz="0" w:space="0" w:color="auto"/>
          </w:divBdr>
          <w:divsChild>
            <w:div w:id="19365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boe.es/buscar/doc.php?id=BOE-A-2015-9806" TargetMode="External"/><Relationship Id="rId13" Type="http://schemas.openxmlformats.org/officeDocument/2006/relationships/hyperlink" Target="https://www.boe.es/diario_boe/txt.php?id=BOE-A-2016-439" TargetMode="External"/><Relationship Id="rId18" Type="http://schemas.openxmlformats.org/officeDocument/2006/relationships/hyperlink" Target="https://egoitza.gipuzkoa.eus/gao-bog/castell/bog/2012/08/01/c1207505.pdf" TargetMode="External"/><Relationship Id="rId3" Type="http://schemas.openxmlformats.org/officeDocument/2006/relationships/hyperlink" Target="https://www.boe.es/buscar/doc.php?id=BOE-A-2015-9806" TargetMode="External"/><Relationship Id="rId7" Type="http://schemas.openxmlformats.org/officeDocument/2006/relationships/hyperlink" Target="https://www.boe.es/buscar/doc.php?id=BOE-A-2015-9806" TargetMode="External"/><Relationship Id="rId12" Type="http://schemas.openxmlformats.org/officeDocument/2006/relationships/hyperlink" Target="https://www.boe.es/diario_boe/txt.php?id=BOE-A-2016-439" TargetMode="External"/><Relationship Id="rId17" Type="http://schemas.openxmlformats.org/officeDocument/2006/relationships/hyperlink" Target="https://egoitza.gipuzkoa.eus/gao-bog/castell/bog/2012/08/01/c1207505.pdf" TargetMode="External"/><Relationship Id="rId2" Type="http://schemas.openxmlformats.org/officeDocument/2006/relationships/hyperlink" Target="https://www.boe.es/buscar/doc.php?id=BOE-A-2015-9806" TargetMode="External"/><Relationship Id="rId16" Type="http://schemas.openxmlformats.org/officeDocument/2006/relationships/hyperlink" Target="https://www.boe.es/diario_boe/txt.php?id=BOE-A-2016-439" TargetMode="External"/><Relationship Id="rId20" Type="http://schemas.openxmlformats.org/officeDocument/2006/relationships/hyperlink" Target="https://egoitza.gipuzkoa.eus/gao-bog/castell/bog/2012/08/01/c1207505.pdf" TargetMode="External"/><Relationship Id="rId1" Type="http://schemas.openxmlformats.org/officeDocument/2006/relationships/hyperlink" Target="https://www.boe.es/buscar/doc.php?id=BOE-A-2015-9806" TargetMode="External"/><Relationship Id="rId6" Type="http://schemas.openxmlformats.org/officeDocument/2006/relationships/hyperlink" Target="https://www.boe.es/buscar/doc.php?id=BOE-A-2015-9806" TargetMode="External"/><Relationship Id="rId11" Type="http://schemas.openxmlformats.org/officeDocument/2006/relationships/hyperlink" Target="https://www.boe.es/diario_boe/txt.php?id=BOE-A-2016-439" TargetMode="External"/><Relationship Id="rId5" Type="http://schemas.openxmlformats.org/officeDocument/2006/relationships/hyperlink" Target="https://www.boe.es/buscar/doc.php?id=BOE-A-2015-9806" TargetMode="External"/><Relationship Id="rId15" Type="http://schemas.openxmlformats.org/officeDocument/2006/relationships/hyperlink" Target="https://www.boe.es/diario_boe/txt.php?id=BOE-A-2016-439" TargetMode="External"/><Relationship Id="rId10" Type="http://schemas.openxmlformats.org/officeDocument/2006/relationships/hyperlink" Target="https://www.boe.es/diario_boe/txt.php?id=BOE-A-2016-439" TargetMode="External"/><Relationship Id="rId19" Type="http://schemas.openxmlformats.org/officeDocument/2006/relationships/hyperlink" Target="https://egoitza.gipuzkoa.eus/gao-bog/castell/bog/2012/08/01/c1207505.pdf" TargetMode="External"/><Relationship Id="rId4" Type="http://schemas.openxmlformats.org/officeDocument/2006/relationships/hyperlink" Target="https://www.boe.es/buscar/doc.php?id=BOE-A-2015-9806" TargetMode="External"/><Relationship Id="rId9" Type="http://schemas.openxmlformats.org/officeDocument/2006/relationships/hyperlink" Target="https://www.boe.es/diario_boe/txt.php?id=BOE-A-2016-439" TargetMode="External"/><Relationship Id="rId14" Type="http://schemas.openxmlformats.org/officeDocument/2006/relationships/hyperlink" Target="https://www.boe.es/diario_boe/txt.php?id=BOE-A-2016-43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D1F3F4230C03B4EB51691E08A1DDBD7" ma:contentTypeVersion="12" ma:contentTypeDescription="Crear nuevo documento." ma:contentTypeScope="" ma:versionID="29392e077602e92a42d30f734441670d">
  <xsd:schema xmlns:xsd="http://www.w3.org/2001/XMLSchema" xmlns:xs="http://www.w3.org/2001/XMLSchema" xmlns:p="http://schemas.microsoft.com/office/2006/metadata/properties" xmlns:ns2="e6f99ecd-73e5-4fef-bb70-32b26efb13af" xmlns:ns3="5d39f94d-4a30-4f96-b7b6-68072b835b0d" targetNamespace="http://schemas.microsoft.com/office/2006/metadata/properties" ma:root="true" ma:fieldsID="e8dd3f099bb672275f2fe4f68488cbc6" ns2:_="" ns3:_="">
    <xsd:import namespace="e6f99ecd-73e5-4fef-bb70-32b26efb13af"/>
    <xsd:import namespace="5d39f94d-4a30-4f96-b7b6-68072b835b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9ecd-73e5-4fef-bb70-32b26efb13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39f94d-4a30-4f96-b7b6-68072b835b0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645158-5335-44BC-BB2F-C6F48F0B32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A8DCF5-DDBF-4FED-B477-173CCCA98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9ecd-73e5-4fef-bb70-32b26efb13af"/>
    <ds:schemaRef ds:uri="5d39f94d-4a30-4f96-b7b6-68072b835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CF3E5-736B-4495-BE21-4F79380AB9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839</Words>
  <Characters>4618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NOTA EXPLICATIVA deL ARCHIVO DE RESULTADOS DEL SEGUIMIENTO DEL                                                                                                           ESTADO DE las aguas en el entorno del vertedero de Zaldibar</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EXPLICATIVA deL ARCHIVO DE RESULTADOS DEL SEGUIMIENTO DEL                                                                                                           ESTADO DE las aguas en el entorno del vertedero de Zaldibar</dc:title>
  <dc:subject/>
  <dc:creator>24/02/2020</dc:creator>
  <cp:keywords/>
  <cp:lastModifiedBy>Otaola Moscoso, Jaione</cp:lastModifiedBy>
  <cp:revision>4</cp:revision>
  <dcterms:created xsi:type="dcterms:W3CDTF">2021-01-11T12:27:00Z</dcterms:created>
  <dcterms:modified xsi:type="dcterms:W3CDTF">2021-06-24T09:38:00Z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0x0101008D1F3F4230C03B4EB51691E08A1DDBD7</vt:lpwstr>
  </property>
</Properties>
</file>