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5C5ED4">
        <w:rPr>
          <w:rFonts w:ascii="Cambria" w:hAnsi="Cambria"/>
          <w:b/>
          <w:sz w:val="28"/>
          <w:szCs w:val="28"/>
        </w:rPr>
        <w:t>INFORME DE LEGALIDAD RELATIVO AL MEMORANDO DE ENTENDIMIENTO ENTRE LA ADMINISTRACIÓN GENERAL DE LA COMUNIDAD AUTÓNOMA DEL PAÍS VASCO Y LA OFICINA DEL ALTO COMISIONADO DE NACIONES UNIDAS PARA LA PROMOCIÓN DE LOS DERECHOS HUMANOS EN EUSKADI.</w:t>
      </w:r>
    </w:p>
    <w:p w:rsidR="005C5ED4" w:rsidRPr="005C5ED4" w:rsidRDefault="005C5ED4" w:rsidP="005C5ED4">
      <w:pPr>
        <w:pBdr>
          <w:bottom w:val="single" w:sz="12" w:space="1" w:color="auto"/>
        </w:pBd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5C5ED4">
        <w:rPr>
          <w:rFonts w:ascii="Cambria" w:hAnsi="Cambria"/>
          <w:b/>
          <w:sz w:val="28"/>
          <w:szCs w:val="28"/>
        </w:rPr>
        <w:t>Ref.: 7</w:t>
      </w:r>
      <w:r w:rsidR="00553537">
        <w:rPr>
          <w:rFonts w:ascii="Cambria" w:hAnsi="Cambria"/>
          <w:b/>
          <w:sz w:val="28"/>
          <w:szCs w:val="28"/>
        </w:rPr>
        <w:t>9</w:t>
      </w:r>
      <w:r w:rsidRPr="005C5ED4">
        <w:rPr>
          <w:rFonts w:ascii="Cambria" w:hAnsi="Cambria"/>
          <w:b/>
          <w:sz w:val="28"/>
          <w:szCs w:val="28"/>
        </w:rPr>
        <w:t>/2014 IL</w:t>
      </w:r>
    </w:p>
    <w:p w:rsid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5C5ED4">
        <w:rPr>
          <w:rFonts w:ascii="Cambria" w:hAnsi="Cambria"/>
          <w:b/>
          <w:sz w:val="28"/>
          <w:szCs w:val="28"/>
        </w:rPr>
        <w:t>I. INTRODUCCIÓN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El presente informe se emite en virtud de lo dispuesto en el artículo 6.1 h), Decreto 20/2012, de 15 de diciembre, del Lehendakari, de creación, supresión y modificación de los Departamentos de la Administración de la Comunidad Autónoma del País Vasco y de determinación de funciones y áreas de actuación de los mismos en relación con el  Decreto 188/2013, de 9 de abril, por el que se aprueba la estructura orgánica del Departamento de Administración Pública y Justicia.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5C5ED4">
        <w:rPr>
          <w:rFonts w:ascii="Cambria" w:hAnsi="Cambria"/>
          <w:b/>
          <w:sz w:val="28"/>
          <w:szCs w:val="28"/>
        </w:rPr>
        <w:t>2.- TÍTULOS COMPETENCIALES  Y ACCIÓN EXTERIOR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El Título competencial que actúa el Gobierno Vasco en esta materia de promoción y defensa de los derechos humanos es de carácter </w:t>
      </w:r>
      <w:r w:rsidRPr="005C5ED4">
        <w:rPr>
          <w:rFonts w:ascii="Cambria" w:hAnsi="Cambria"/>
          <w:sz w:val="28"/>
          <w:szCs w:val="28"/>
        </w:rPr>
        <w:lastRenderedPageBreak/>
        <w:t xml:space="preserve">transversal y tiene su apoyatura en diferentes </w:t>
      </w:r>
      <w:proofErr w:type="spellStart"/>
      <w:r w:rsidRPr="005C5ED4">
        <w:rPr>
          <w:rFonts w:ascii="Cambria" w:hAnsi="Cambria"/>
          <w:sz w:val="28"/>
          <w:szCs w:val="28"/>
        </w:rPr>
        <w:t>compentencias</w:t>
      </w:r>
      <w:proofErr w:type="spellEnd"/>
      <w:r w:rsidRPr="005C5ED4">
        <w:rPr>
          <w:rFonts w:ascii="Cambria" w:hAnsi="Cambria"/>
          <w:sz w:val="28"/>
          <w:szCs w:val="28"/>
        </w:rPr>
        <w:t xml:space="preserve"> previstas en el Estatuto de </w:t>
      </w:r>
      <w:proofErr w:type="spellStart"/>
      <w:r w:rsidRPr="005C5ED4">
        <w:rPr>
          <w:rFonts w:ascii="Cambria" w:hAnsi="Cambria"/>
          <w:sz w:val="28"/>
          <w:szCs w:val="28"/>
        </w:rPr>
        <w:t>Gernika</w:t>
      </w:r>
      <w:proofErr w:type="spellEnd"/>
      <w:r w:rsidRPr="005C5ED4">
        <w:rPr>
          <w:rFonts w:ascii="Cambria" w:hAnsi="Cambria"/>
          <w:sz w:val="28"/>
          <w:szCs w:val="28"/>
        </w:rPr>
        <w:t xml:space="preserve">, que van desde las señaladas en el artículo 10.39 sobre desarrollo comunitario hasta  las que le corresponden a la Comunidad </w:t>
      </w:r>
      <w:proofErr w:type="spellStart"/>
      <w:r w:rsidRPr="005C5ED4">
        <w:rPr>
          <w:rFonts w:ascii="Cambria" w:hAnsi="Cambria"/>
          <w:sz w:val="28"/>
          <w:szCs w:val="28"/>
        </w:rPr>
        <w:t>Autónima</w:t>
      </w:r>
      <w:proofErr w:type="spellEnd"/>
      <w:r w:rsidRPr="005C5ED4">
        <w:rPr>
          <w:rFonts w:ascii="Cambria" w:hAnsi="Cambria"/>
          <w:sz w:val="28"/>
          <w:szCs w:val="28"/>
        </w:rPr>
        <w:t xml:space="preserve"> en materia de educación, policía y seguridad.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Es preciso hacer notar que —tratándose de un Memorando con las Naciones Unidas—desde la promulgación de la </w:t>
      </w:r>
      <w:r w:rsidRPr="005C5ED4">
        <w:rPr>
          <w:rFonts w:ascii="Cambria" w:hAnsi="Cambria"/>
          <w:b/>
          <w:sz w:val="28"/>
          <w:szCs w:val="28"/>
        </w:rPr>
        <w:t>Ley 2/2014, de 25 de marzo, de la Acción y del Servicio Exterior del Estado</w:t>
      </w:r>
      <w:r w:rsidRPr="005C5ED4">
        <w:rPr>
          <w:rFonts w:ascii="Cambria" w:hAnsi="Cambria"/>
          <w:sz w:val="28"/>
          <w:szCs w:val="28"/>
        </w:rPr>
        <w:t xml:space="preserve"> y específicamente de su artículo 11.4, se introducen algunos condicionamientos formales para la acción exterior por parte de las Comunidades Autónomas, y para la suscripción de determinado tipo de Convenios —“con órganos de un sujeto de derecho internacional”—con efectos sobre la acción exterior.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En todo caso la previsión contemplada en el art. 11.4 de la Ley 2/2014, de Acción Exterior se remite a lo que, —todavía a día de hoy— es una previsión legislativa, que se concretará en el proyecto de </w:t>
      </w:r>
      <w:r w:rsidRPr="005C5ED4">
        <w:rPr>
          <w:rFonts w:ascii="Cambria" w:hAnsi="Cambria"/>
          <w:b/>
          <w:sz w:val="28"/>
          <w:szCs w:val="28"/>
        </w:rPr>
        <w:t>Ley de Tratados</w:t>
      </w:r>
      <w:r w:rsidRPr="005C5ED4">
        <w:rPr>
          <w:rFonts w:ascii="Cambria" w:hAnsi="Cambria"/>
          <w:sz w:val="28"/>
          <w:szCs w:val="28"/>
        </w:rPr>
        <w:t xml:space="preserve">, donde ya de forma minuciosa se establecen algunas exigencias formales en el procedimiento, interno y externo, para la tramitación de estos Acuerdos  no normativos. Entre los internos, se viene a configurar una guía de tramitación de estos convenios de cara a acreditar que se trata verdaderamente de acuerdos no normativos y no de acuerdos de otra naturaleza (calificación de la naturaleza del convenio, sujetos, informe del servicio jurídico) y entre los externos, la toma de conocimiento por el Consejo de Ministros, su registro en el MAEC, a lo que añade el art. 55 del Proyecto, el informe previo del MAEC. </w:t>
      </w:r>
    </w:p>
    <w:p w:rsid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Parece obvio que para la aplicación de lo dispuesto en el art. 11.4 de la Ley 2/2014, es necesario el desarrollo de las previsiones contenidas en el Proyecto de Ley de Tratados y otros Acuerdos Internacionales puesto que sin su concreta regulación difícilmente puede cumplimentarse el art. 11. El propio art. 11.4 manifiesta que “(El) Ministerio de Asuntos Exteriores y de Cooperación informará con carácter previo y de acuerdo con lo que disponga la legislación estatal que regule su celebración, los acuerdos internacionales administrativos y los no normativos……”. 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Entendemos que, toda vez que la legislación llamada a regular los acuerdos internacionales administrativos y los no normativos a la que reenvía el art. 11.4 de la Ley 2/2014, es la Ley de Tratados y otros Acuerdos Internacionales que se encuentra todavía sin aprobar,  por lo que resulta transitoriamente inaplicable lo previsto en aquel art. 11.4 en relación con los acuerdos no normativos.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5C5ED4">
        <w:rPr>
          <w:rFonts w:ascii="Cambria" w:hAnsi="Cambria"/>
          <w:b/>
          <w:sz w:val="28"/>
          <w:szCs w:val="28"/>
        </w:rPr>
        <w:t>3.- ANÁLISIS DEL CLAUSULADO: PARTES, OBJETO, EFECTOS ECONÓMICOS, DURACIÓN.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El objeto del Memorando queda definido en la cláusula primera de </w:t>
      </w:r>
      <w:proofErr w:type="spellStart"/>
      <w:r w:rsidRPr="005C5ED4">
        <w:rPr>
          <w:rFonts w:ascii="Cambria" w:hAnsi="Cambria"/>
          <w:sz w:val="28"/>
          <w:szCs w:val="28"/>
        </w:rPr>
        <w:t>manara</w:t>
      </w:r>
      <w:proofErr w:type="spellEnd"/>
      <w:r w:rsidRPr="005C5ED4">
        <w:rPr>
          <w:rFonts w:ascii="Cambria" w:hAnsi="Cambria"/>
          <w:sz w:val="28"/>
          <w:szCs w:val="28"/>
        </w:rPr>
        <w:t xml:space="preserve"> general y más detalladamente en la segunda, precisando las actuaciones concretas a que se compromete cada una de las partes: 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 xml:space="preserve">“articular la colaboración y el compromiso mutuo entre el Gobierno Vasco y la Oficina del Alto Comisionado de las </w:t>
      </w:r>
      <w:r w:rsidRPr="005C5ED4">
        <w:rPr>
          <w:rFonts w:ascii="Cambria" w:hAnsi="Cambria"/>
          <w:i/>
          <w:sz w:val="28"/>
          <w:szCs w:val="28"/>
        </w:rPr>
        <w:lastRenderedPageBreak/>
        <w:t>Naciones Unidas, para fortalecer la promoción y la defensa de los Derechos Humanos en Euskadi.”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Segunda.- Actuaciones.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Las actuaciones a desarrollar para la consecución del objeto del presente Memorando de Entendimiento son las siguientes: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—Actuaciones concretas del Gobierno Vasco: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-</w:t>
      </w:r>
      <w:r w:rsidRPr="005C5ED4">
        <w:rPr>
          <w:rFonts w:ascii="Cambria" w:hAnsi="Cambria"/>
          <w:i/>
          <w:sz w:val="28"/>
          <w:szCs w:val="28"/>
        </w:rPr>
        <w:tab/>
        <w:t>Remitir información de manera periódica, ante la solicitud previa de la Oficina del ACNUDH, sobre las actividades desarrolladas por el Gobierno Vasco en materia de derechos humanos</w:t>
      </w:r>
      <w:proofErr w:type="gramStart"/>
      <w:r w:rsidRPr="005C5ED4">
        <w:rPr>
          <w:rFonts w:ascii="Cambria" w:hAnsi="Cambria"/>
          <w:i/>
          <w:sz w:val="28"/>
          <w:szCs w:val="28"/>
        </w:rPr>
        <w:t>,.</w:t>
      </w:r>
      <w:proofErr w:type="gramEnd"/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-</w:t>
      </w:r>
      <w:r w:rsidRPr="005C5ED4">
        <w:rPr>
          <w:rFonts w:ascii="Cambria" w:hAnsi="Cambria"/>
          <w:i/>
          <w:sz w:val="28"/>
          <w:szCs w:val="28"/>
        </w:rPr>
        <w:tab/>
        <w:t>Organización de un taller sobre memoria y derechos humanos.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—Actuaciones concretas de la OACNUDH: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-</w:t>
      </w:r>
      <w:r w:rsidRPr="005C5ED4">
        <w:rPr>
          <w:rFonts w:ascii="Cambria" w:hAnsi="Cambria"/>
          <w:i/>
          <w:sz w:val="28"/>
          <w:szCs w:val="28"/>
        </w:rPr>
        <w:tab/>
        <w:t xml:space="preserve">Aportar opiniones y/o recomendaciones sobre las acciones en materia de derechos humanos desarrolladas por el Gobierno Vasco,  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-</w:t>
      </w:r>
      <w:r w:rsidRPr="005C5ED4">
        <w:rPr>
          <w:rFonts w:ascii="Cambria" w:hAnsi="Cambria"/>
          <w:i/>
          <w:sz w:val="28"/>
          <w:szCs w:val="28"/>
        </w:rPr>
        <w:tab/>
        <w:t xml:space="preserve">Sugerir un representante de Naciones Unidas para que participe en un taller sobre memoria y derechos humanos organizado por el Gobierno Vasco 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En la cláusula tercera se fijan los </w:t>
      </w:r>
      <w:proofErr w:type="spellStart"/>
      <w:r w:rsidRPr="005C5ED4">
        <w:rPr>
          <w:rFonts w:ascii="Cambria" w:hAnsi="Cambria"/>
          <w:sz w:val="28"/>
          <w:szCs w:val="28"/>
        </w:rPr>
        <w:t>comprmisos</w:t>
      </w:r>
      <w:proofErr w:type="spellEnd"/>
      <w:r w:rsidRPr="005C5ED4">
        <w:rPr>
          <w:rFonts w:ascii="Cambria" w:hAnsi="Cambria"/>
          <w:sz w:val="28"/>
          <w:szCs w:val="28"/>
        </w:rPr>
        <w:t xml:space="preserve"> económicos que derivan del Memorandum: 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Tercera.- Compromisos de los firmantes.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1)</w:t>
      </w:r>
      <w:r w:rsidRPr="005C5ED4">
        <w:rPr>
          <w:rFonts w:ascii="Cambria" w:hAnsi="Cambria"/>
          <w:i/>
          <w:sz w:val="28"/>
          <w:szCs w:val="28"/>
        </w:rPr>
        <w:tab/>
        <w:t>El Gobierno Vasco se compromete a: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- Liberar con cargo a sus presupuestos ordinarios, y siempre que exista disponibilidad presupuestaria, la suma de 20.000 € (veinte mil euros) que se abonarán a la OACNUDH con el sólo propósito de desarrollar los objetivos de este Memorando de Entendimiento y para los fines propios de la Oficina de la OACNUDH. Todos los gastos que se originen con la firma de este Memorando estarán condicionados a la existencia de disponibilidad presupuestaria anual ordinaria de los firmantes, respetando sus respectivas normativas vigentes.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 xml:space="preserve">- Abonar dicha contribución en una única cuota, al Trust </w:t>
      </w:r>
      <w:proofErr w:type="spellStart"/>
      <w:r w:rsidRPr="005C5ED4">
        <w:rPr>
          <w:rFonts w:ascii="Cambria" w:hAnsi="Cambria"/>
          <w:i/>
          <w:sz w:val="28"/>
          <w:szCs w:val="28"/>
        </w:rPr>
        <w:t>Fund</w:t>
      </w:r>
      <w:proofErr w:type="spellEnd"/>
      <w:r w:rsidRPr="005C5ED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5C5ED4">
        <w:rPr>
          <w:rFonts w:ascii="Cambria" w:hAnsi="Cambria"/>
          <w:i/>
          <w:sz w:val="28"/>
          <w:szCs w:val="28"/>
        </w:rPr>
        <w:t>for</w:t>
      </w:r>
      <w:proofErr w:type="spellEnd"/>
      <w:r w:rsidRPr="005C5ED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5C5ED4">
        <w:rPr>
          <w:rFonts w:ascii="Cambria" w:hAnsi="Cambria"/>
          <w:i/>
          <w:sz w:val="28"/>
          <w:szCs w:val="28"/>
        </w:rPr>
        <w:t>Support</w:t>
      </w:r>
      <w:proofErr w:type="spellEnd"/>
      <w:r w:rsidRPr="005C5ED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5C5ED4">
        <w:rPr>
          <w:rFonts w:ascii="Cambria" w:hAnsi="Cambria"/>
          <w:i/>
          <w:sz w:val="28"/>
          <w:szCs w:val="28"/>
        </w:rPr>
        <w:t>Activities</w:t>
      </w:r>
      <w:proofErr w:type="spellEnd"/>
      <w:r w:rsidRPr="005C5ED4">
        <w:rPr>
          <w:rFonts w:ascii="Cambria" w:hAnsi="Cambria"/>
          <w:i/>
          <w:sz w:val="28"/>
          <w:szCs w:val="28"/>
        </w:rPr>
        <w:t xml:space="preserve"> of OHCHR (HCA): Cuenta Bancaria Nro. 240-FP100381.0, UBS AG, Rue du Rhône 8, 1211 </w:t>
      </w:r>
      <w:proofErr w:type="spellStart"/>
      <w:r w:rsidRPr="005C5ED4">
        <w:rPr>
          <w:rFonts w:ascii="Cambria" w:hAnsi="Cambria"/>
          <w:i/>
          <w:sz w:val="28"/>
          <w:szCs w:val="28"/>
        </w:rPr>
        <w:t>Genève</w:t>
      </w:r>
      <w:proofErr w:type="spellEnd"/>
      <w:r w:rsidRPr="005C5ED4">
        <w:rPr>
          <w:rFonts w:ascii="Cambria" w:hAnsi="Cambria"/>
          <w:i/>
          <w:sz w:val="28"/>
          <w:szCs w:val="28"/>
        </w:rPr>
        <w:t xml:space="preserve"> 2, </w:t>
      </w:r>
      <w:proofErr w:type="spellStart"/>
      <w:r w:rsidRPr="005C5ED4">
        <w:rPr>
          <w:rFonts w:ascii="Cambria" w:hAnsi="Cambria"/>
          <w:i/>
          <w:sz w:val="28"/>
          <w:szCs w:val="28"/>
        </w:rPr>
        <w:t>Switzerland</w:t>
      </w:r>
      <w:proofErr w:type="spellEnd"/>
      <w:r w:rsidRPr="005C5ED4">
        <w:rPr>
          <w:rFonts w:ascii="Cambria" w:hAnsi="Cambria"/>
          <w:i/>
          <w:sz w:val="28"/>
          <w:szCs w:val="28"/>
        </w:rPr>
        <w:t>, SWIFT: UBSW CH ZH 80A, IBAN: CH85 0024 0240 FP10 0381 0. La cuota de 20.000 €, correspondiente al año 2014, deberá ser abonada luego de la firma por ambas partes del presente Memorando de Entendimiento.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>2)</w:t>
      </w:r>
      <w:r w:rsidRPr="005C5ED4">
        <w:rPr>
          <w:rFonts w:ascii="Cambria" w:hAnsi="Cambria"/>
          <w:i/>
          <w:sz w:val="28"/>
          <w:szCs w:val="28"/>
        </w:rPr>
        <w:tab/>
        <w:t>La Oficina del Alto Comisionado de las Naciones Unidas se compromete a: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t xml:space="preserve">-Justificar los fondos percibidos en virtud de este Memorando de Entendimiento según se establezca en las reglamentaciones, reglas, políticas y procedimientos establecidos por la Organización de las Naciones Unidas. 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  <w:r w:rsidRPr="005C5ED4">
        <w:rPr>
          <w:rFonts w:ascii="Cambria" w:hAnsi="Cambria"/>
          <w:i/>
          <w:sz w:val="28"/>
          <w:szCs w:val="28"/>
        </w:rPr>
        <w:lastRenderedPageBreak/>
        <w:t>-Facilitar una copia de las declaraciones de la ONU auditadas y enviadas a la Asamblea General, en caso de que lo solicite el Gobierno Vasco.</w:t>
      </w:r>
    </w:p>
    <w:p w:rsidR="005C5ED4" w:rsidRPr="005C5ED4" w:rsidRDefault="005C5ED4" w:rsidP="005C5ED4">
      <w:pPr>
        <w:spacing w:line="360" w:lineRule="auto"/>
        <w:ind w:left="1418"/>
        <w:jc w:val="both"/>
        <w:rPr>
          <w:rFonts w:ascii="Cambria" w:hAnsi="Cambria"/>
          <w:i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El  Seguimiento y control queda a cargo de una Comisión conjunta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Constituida por dos personas por parte de la OACNUDH y dos por parte del Gobierno  y </w:t>
      </w:r>
      <w:proofErr w:type="gramStart"/>
      <w:r w:rsidRPr="005C5ED4">
        <w:rPr>
          <w:rFonts w:ascii="Cambria" w:hAnsi="Cambria"/>
          <w:sz w:val="28"/>
          <w:szCs w:val="28"/>
        </w:rPr>
        <w:t>su funciones</w:t>
      </w:r>
      <w:proofErr w:type="gramEnd"/>
      <w:r w:rsidRPr="005C5ED4">
        <w:rPr>
          <w:rFonts w:ascii="Cambria" w:hAnsi="Cambria"/>
          <w:sz w:val="28"/>
          <w:szCs w:val="28"/>
        </w:rPr>
        <w:t xml:space="preserve"> son las típicas de este tipo de órganos: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—Adoptar las medidas que estime más adecuadas para planificar futuras actuaciones conjuntas, identificar proyectos, coordinar actividades, establecer pautas de organización y funcionamiento de los eventos que se desarrollen.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—Realizar la supervisión y seguimiento de los trabajos y acciones contemplados en el presente Memorando de Entendimiento.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—Interpretar el contenido del mismo y su aplicación.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—Resolver los problemas de interpretación y cumplimiento que se deriven del presente Memorando y proponer la formalización de las mejoras del mismo que consideren oportunas.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—Cualquiera </w:t>
      </w:r>
      <w:proofErr w:type="gramStart"/>
      <w:r w:rsidRPr="005C5ED4">
        <w:rPr>
          <w:rFonts w:ascii="Cambria" w:hAnsi="Cambria"/>
          <w:sz w:val="28"/>
          <w:szCs w:val="28"/>
        </w:rPr>
        <w:t>otras</w:t>
      </w:r>
      <w:proofErr w:type="gramEnd"/>
      <w:r w:rsidRPr="005C5ED4">
        <w:rPr>
          <w:rFonts w:ascii="Cambria" w:hAnsi="Cambria"/>
          <w:sz w:val="28"/>
          <w:szCs w:val="28"/>
        </w:rPr>
        <w:t xml:space="preserve"> que se dirijan al cumplimiento del presente Memorando de Entendimiento o a su desarrollo, conforme a los intereses de los firmantes.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La duración del Convenio va desde la fecha de su firma hasta el 31 de diciembre de 2014, pero podrá ser ampliado en el tiempo, y se deduce de </w:t>
      </w:r>
      <w:proofErr w:type="spellStart"/>
      <w:r w:rsidRPr="005C5ED4">
        <w:rPr>
          <w:rFonts w:ascii="Cambria" w:hAnsi="Cambria"/>
          <w:sz w:val="28"/>
          <w:szCs w:val="28"/>
        </w:rPr>
        <w:t>o</w:t>
      </w:r>
      <w:proofErr w:type="spellEnd"/>
      <w:r w:rsidRPr="005C5ED4">
        <w:rPr>
          <w:rFonts w:ascii="Cambria" w:hAnsi="Cambria"/>
          <w:sz w:val="28"/>
          <w:szCs w:val="28"/>
        </w:rPr>
        <w:t xml:space="preserve"> acordado que esa ampliación será por años naturales. 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Es importante que el Memorandum no </w:t>
      </w:r>
      <w:proofErr w:type="gramStart"/>
      <w:r w:rsidRPr="005C5ED4">
        <w:rPr>
          <w:rFonts w:ascii="Cambria" w:hAnsi="Cambria"/>
          <w:sz w:val="28"/>
          <w:szCs w:val="28"/>
        </w:rPr>
        <w:t>tiene</w:t>
      </w:r>
      <w:proofErr w:type="gramEnd"/>
      <w:r w:rsidRPr="005C5ED4">
        <w:rPr>
          <w:rFonts w:ascii="Cambria" w:hAnsi="Cambria"/>
          <w:sz w:val="28"/>
          <w:szCs w:val="28"/>
        </w:rPr>
        <w:t xml:space="preserve"> naturaleza jurídicamente vinculante ni está sometido  por lo tanto al Derecho Internacional, siendo su naturaleza, por lo tanto, la de una declaración de intenciones. 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5C5ED4">
        <w:rPr>
          <w:rFonts w:ascii="Cambria" w:hAnsi="Cambria"/>
          <w:b/>
          <w:sz w:val="28"/>
          <w:szCs w:val="28"/>
        </w:rPr>
        <w:t>4.- CONCLUSIONES.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Nuestro informe es favorable. 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 xml:space="preserve">En Vitoria-Gasteiz, a </w:t>
      </w:r>
      <w:r>
        <w:rPr>
          <w:rFonts w:ascii="Cambria" w:hAnsi="Cambria"/>
          <w:sz w:val="28"/>
          <w:szCs w:val="28"/>
        </w:rPr>
        <w:t>7 de julio</w:t>
      </w:r>
      <w:r w:rsidRPr="005C5ED4">
        <w:rPr>
          <w:rFonts w:ascii="Cambria" w:hAnsi="Cambria"/>
          <w:sz w:val="28"/>
          <w:szCs w:val="28"/>
        </w:rPr>
        <w:t xml:space="preserve"> de 2014. 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5C5ED4">
        <w:rPr>
          <w:rFonts w:ascii="Cambria" w:hAnsi="Cambria"/>
          <w:sz w:val="28"/>
          <w:szCs w:val="28"/>
        </w:rPr>
        <w:t>Letrado.- Javier Otaola</w:t>
      </w: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5C5ED4" w:rsidRPr="005C5ED4" w:rsidRDefault="005C5ED4" w:rsidP="005C5ED4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360013" w:rsidRPr="00043F61" w:rsidRDefault="00360013" w:rsidP="00043F61">
      <w:pPr>
        <w:pStyle w:val="Subttulo"/>
        <w:rPr>
          <w:rStyle w:val="Textoennegrita"/>
        </w:rPr>
      </w:pPr>
    </w:p>
    <w:sectPr w:rsidR="00360013" w:rsidRPr="00043F6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D4" w:rsidRDefault="005C5ED4">
      <w:r>
        <w:separator/>
      </w:r>
    </w:p>
  </w:endnote>
  <w:endnote w:type="continuationSeparator" w:id="0">
    <w:p w:rsidR="005C5ED4" w:rsidRDefault="005C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D4" w:rsidRDefault="005C5ED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7627A" w:rsidRPr="0077627A">
      <w:rPr>
        <w:noProof/>
        <w:lang w:val="es-ES"/>
      </w:rPr>
      <w:t>7</w:t>
    </w:r>
    <w:r>
      <w:fldChar w:fldCharType="end"/>
    </w:r>
  </w:p>
  <w:p w:rsidR="005C5ED4" w:rsidRDefault="005C5E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360013" w:rsidRDefault="00D60B32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tef</w:t>
    </w:r>
    <w:proofErr w:type="gramEnd"/>
    <w:r>
      <w:rPr>
        <w:rFonts w:ascii="Arial" w:hAnsi="Arial"/>
        <w:sz w:val="13"/>
      </w:rPr>
      <w:t>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D4" w:rsidRDefault="005C5ED4">
      <w:r>
        <w:separator/>
      </w:r>
    </w:p>
  </w:footnote>
  <w:footnote w:type="continuationSeparator" w:id="0">
    <w:p w:rsidR="005C5ED4" w:rsidRDefault="005C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78082015" r:id="rId2"/>
      </w:object>
    </w:r>
  </w:p>
  <w:p w:rsidR="00360013" w:rsidRDefault="00360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5C5ED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</w:t>
                          </w:r>
                          <w:r w:rsidR="006538E3">
                            <w:t xml:space="preserve"> Y JUSTICIA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360013" w:rsidRDefault="00360013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</w:t>
                    </w:r>
                    <w:r w:rsidR="006538E3">
                      <w:t xml:space="preserve"> Y JUSTICIA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DE4B60">
                          <w:pPr>
                            <w:pStyle w:val="Ttulo2"/>
                          </w:pPr>
                          <w:r>
                            <w:t>HERRI</w:t>
                          </w:r>
                          <w:r w:rsidR="00DE4B60">
                            <w:t xml:space="preserve"> </w:t>
                          </w:r>
                          <w:r>
                            <w:t xml:space="preserve">ADMINISTRAZIO </w:t>
                          </w:r>
                          <w:r w:rsidR="006538E3">
                            <w:t xml:space="preserve">ETA JUSTIZIA </w:t>
                          </w:r>
                          <w:r>
                            <w:t>SAILA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Lege</w:t>
                          </w:r>
                          <w:r w:rsidR="003E3E5E">
                            <w:t xml:space="preserve"> </w:t>
                          </w:r>
                          <w:r>
                            <w:t>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360013" w:rsidRDefault="00360013" w:rsidP="00DE4B60">
                    <w:pPr>
                      <w:pStyle w:val="Ttulo2"/>
                    </w:pPr>
                    <w:r>
                      <w:t>HERRI</w:t>
                    </w:r>
                    <w:r w:rsidR="00DE4B60">
                      <w:t xml:space="preserve"> </w:t>
                    </w:r>
                    <w:r>
                      <w:t xml:space="preserve">ADMINISTRAZIO </w:t>
                    </w:r>
                    <w:r w:rsidR="006538E3">
                      <w:t xml:space="preserve">ETA JUSTIZIA </w:t>
                    </w:r>
                    <w:r>
                      <w:t>SAILA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Lege</w:t>
                    </w:r>
                    <w:r w:rsidR="003E3E5E">
                      <w:t xml:space="preserve"> </w:t>
                    </w:r>
                    <w:r>
                      <w:t>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001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78082016" r:id="rId2"/>
      </w:object>
    </w: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D9"/>
    <w:rsid w:val="00043F61"/>
    <w:rsid w:val="001772D9"/>
    <w:rsid w:val="00360013"/>
    <w:rsid w:val="003E3E5E"/>
    <w:rsid w:val="00410A3C"/>
    <w:rsid w:val="00553537"/>
    <w:rsid w:val="005C5ED4"/>
    <w:rsid w:val="006538E3"/>
    <w:rsid w:val="006C35DB"/>
    <w:rsid w:val="0077627A"/>
    <w:rsid w:val="007956DD"/>
    <w:rsid w:val="00D60B32"/>
    <w:rsid w:val="00DE4B60"/>
    <w:rsid w:val="00DE6EB5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ED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PiedepginaCar">
    <w:name w:val="Pie de página Car"/>
    <w:link w:val="Piedepgina"/>
    <w:uiPriority w:val="99"/>
    <w:rsid w:val="005C5ED4"/>
    <w:rPr>
      <w:sz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ED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PiedepginaCar">
    <w:name w:val="Pie de página Car"/>
    <w:link w:val="Piedepgina"/>
    <w:uiPriority w:val="99"/>
    <w:rsid w:val="005C5ED4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olabego\AppData\Roaming\Microsoft\Plantillas\Plantilla%20DIRECCION%20DESARROLLO%20LEGISL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20EB-6574-4957-9A8F-7F9E1987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DESARROLLO LEGISLATIVO.dot</Template>
  <TotalTime>1</TotalTime>
  <Pages>7</Pages>
  <Words>1207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2</cp:revision>
  <cp:lastPrinted>1999-10-14T05:58:00Z</cp:lastPrinted>
  <dcterms:created xsi:type="dcterms:W3CDTF">2014-11-21T12:34:00Z</dcterms:created>
  <dcterms:modified xsi:type="dcterms:W3CDTF">2014-11-21T12:34:00Z</dcterms:modified>
</cp:coreProperties>
</file>