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7A9" w:rsidRPr="00B12979" w:rsidRDefault="008527A9" w:rsidP="008527A9">
      <w:pPr>
        <w:pStyle w:val="Textoindependiente2"/>
        <w:rPr>
          <w:rFonts w:ascii="Tahoma" w:hAnsi="Tahoma" w:cs="Tahoma"/>
          <w:sz w:val="22"/>
          <w:szCs w:val="22"/>
        </w:rPr>
      </w:pPr>
      <w:bookmarkStart w:id="0" w:name="_GoBack"/>
      <w:bookmarkEnd w:id="0"/>
      <w:r>
        <w:rPr>
          <w:rFonts w:ascii="Tahoma" w:hAnsi="Tahoma" w:cs="Tahoma"/>
          <w:sz w:val="22"/>
          <w:szCs w:val="22"/>
        </w:rPr>
        <w:t xml:space="preserve"> </w:t>
      </w:r>
    </w:p>
    <w:p w:rsidR="008527A9" w:rsidRPr="00B12979" w:rsidRDefault="008527A9" w:rsidP="008527A9">
      <w:pPr>
        <w:pBdr>
          <w:bottom w:val="single" w:sz="4" w:space="1" w:color="auto"/>
        </w:pBdr>
        <w:rPr>
          <w:rFonts w:ascii="Tahoma" w:hAnsi="Tahoma" w:cs="Tahoma"/>
          <w:b/>
          <w:sz w:val="22"/>
          <w:szCs w:val="22"/>
          <w:lang w:val="es-ES"/>
        </w:rPr>
      </w:pPr>
      <w:r w:rsidRPr="00B12979">
        <w:rPr>
          <w:rFonts w:ascii="Tahoma" w:hAnsi="Tahoma" w:cs="Tahoma"/>
          <w:b/>
          <w:sz w:val="22"/>
          <w:szCs w:val="22"/>
          <w:lang w:val="es-ES"/>
        </w:rPr>
        <w:t xml:space="preserve">INFORME RELATIVO AL CONVENIO DE COLABORACIÓN ENTRE EMAKUNDE-INSTITUTO VASCO DE LA MUJER Y LA DIPUTACIÓN FORAL DE </w:t>
      </w:r>
      <w:r>
        <w:rPr>
          <w:rFonts w:ascii="Tahoma" w:hAnsi="Tahoma" w:cs="Tahoma"/>
          <w:b/>
          <w:sz w:val="22"/>
          <w:szCs w:val="22"/>
          <w:lang w:val="es-ES"/>
        </w:rPr>
        <w:t>ÁLAVA</w:t>
      </w:r>
      <w:r w:rsidRPr="00B12979">
        <w:rPr>
          <w:rFonts w:ascii="Tahoma" w:hAnsi="Tahoma" w:cs="Tahoma"/>
          <w:b/>
          <w:sz w:val="22"/>
          <w:szCs w:val="22"/>
          <w:lang w:val="es-ES"/>
        </w:rPr>
        <w:t xml:space="preserve"> PARA EL DESARROLLO</w:t>
      </w:r>
      <w:r w:rsidR="00DF4EFE">
        <w:rPr>
          <w:rFonts w:ascii="Tahoma" w:hAnsi="Tahoma" w:cs="Tahoma"/>
          <w:b/>
          <w:sz w:val="22"/>
          <w:szCs w:val="22"/>
          <w:lang w:val="es-ES"/>
        </w:rPr>
        <w:t xml:space="preserve"> Y COFINANCIACIÓN</w:t>
      </w:r>
      <w:r w:rsidRPr="00B12979">
        <w:rPr>
          <w:rFonts w:ascii="Tahoma" w:hAnsi="Tahoma" w:cs="Tahoma"/>
          <w:b/>
          <w:sz w:val="22"/>
          <w:szCs w:val="22"/>
          <w:lang w:val="es-ES"/>
        </w:rPr>
        <w:t xml:space="preserve"> DE LA CAMPAÑA INTERINSTITUCIONAL “BELDUR BARIK” DE PREVENCIÓN DE LA VIOLENCIA CONTRA LAS MUJERES.</w:t>
      </w:r>
    </w:p>
    <w:p w:rsidR="008527A9" w:rsidRPr="00B12979" w:rsidRDefault="008527A9" w:rsidP="008527A9">
      <w:pPr>
        <w:rPr>
          <w:rFonts w:ascii="Tahoma" w:hAnsi="Tahoma" w:cs="Tahoma"/>
          <w:sz w:val="22"/>
          <w:szCs w:val="22"/>
          <w:lang w:val="es-ES"/>
        </w:rPr>
      </w:pPr>
    </w:p>
    <w:p w:rsidR="008527A9" w:rsidRPr="00B12979" w:rsidRDefault="00BD1108" w:rsidP="008527A9">
      <w:pPr>
        <w:rPr>
          <w:rFonts w:ascii="Tahoma" w:hAnsi="Tahoma" w:cs="Tahoma"/>
          <w:sz w:val="22"/>
          <w:szCs w:val="22"/>
          <w:lang w:val="es-ES"/>
        </w:rPr>
      </w:pPr>
      <w:r>
        <w:rPr>
          <w:rFonts w:ascii="Tahoma" w:hAnsi="Tahoma" w:cs="Tahoma"/>
          <w:sz w:val="22"/>
          <w:szCs w:val="22"/>
          <w:lang w:val="es-ES"/>
        </w:rPr>
        <w:t xml:space="preserve"> </w:t>
      </w:r>
    </w:p>
    <w:p w:rsidR="008527A9" w:rsidRPr="00B12979" w:rsidRDefault="008527A9" w:rsidP="008527A9">
      <w:pPr>
        <w:rPr>
          <w:rFonts w:ascii="Tahoma" w:hAnsi="Tahoma" w:cs="Tahoma"/>
          <w:b/>
          <w:sz w:val="22"/>
          <w:szCs w:val="22"/>
          <w:lang w:val="es-ES"/>
        </w:rPr>
      </w:pPr>
      <w:r w:rsidRPr="00B12979">
        <w:rPr>
          <w:rFonts w:ascii="Tahoma" w:hAnsi="Tahoma" w:cs="Tahoma"/>
          <w:b/>
          <w:sz w:val="22"/>
          <w:szCs w:val="22"/>
          <w:lang w:val="es-ES"/>
        </w:rPr>
        <w:t xml:space="preserve">Ref.:  </w:t>
      </w:r>
      <w:r w:rsidR="00933C32">
        <w:rPr>
          <w:rFonts w:ascii="Tahoma" w:hAnsi="Tahoma" w:cs="Tahoma"/>
          <w:b/>
          <w:sz w:val="22"/>
          <w:szCs w:val="22"/>
          <w:lang w:val="es-ES"/>
        </w:rPr>
        <w:t xml:space="preserve">74/2014 </w:t>
      </w:r>
      <w:r w:rsidRPr="00B12979">
        <w:rPr>
          <w:rFonts w:ascii="Tahoma" w:hAnsi="Tahoma" w:cs="Tahoma"/>
          <w:b/>
          <w:sz w:val="22"/>
          <w:szCs w:val="22"/>
          <w:lang w:val="es-ES"/>
        </w:rPr>
        <w:t>IL..</w:t>
      </w:r>
    </w:p>
    <w:p w:rsidR="008527A9" w:rsidRPr="00B12979" w:rsidRDefault="008527A9" w:rsidP="008527A9">
      <w:pPr>
        <w:rPr>
          <w:rFonts w:ascii="Tahoma" w:hAnsi="Tahoma" w:cs="Tahoma"/>
          <w:sz w:val="22"/>
          <w:szCs w:val="22"/>
          <w:lang w:val="es-ES"/>
        </w:rPr>
      </w:pPr>
    </w:p>
    <w:p w:rsidR="008527A9" w:rsidRPr="00B12979" w:rsidRDefault="008527A9" w:rsidP="008527A9">
      <w:pPr>
        <w:rPr>
          <w:rFonts w:ascii="Tahoma" w:hAnsi="Tahoma" w:cs="Tahoma"/>
          <w:sz w:val="22"/>
          <w:szCs w:val="22"/>
          <w:lang w:val="es-ES"/>
        </w:rPr>
      </w:pPr>
    </w:p>
    <w:p w:rsidR="008527A9" w:rsidRPr="00B12979" w:rsidRDefault="008527A9" w:rsidP="008527A9">
      <w:pPr>
        <w:pStyle w:val="Textoindependiente3"/>
        <w:numPr>
          <w:ilvl w:val="0"/>
          <w:numId w:val="1"/>
        </w:numPr>
        <w:spacing w:after="0" w:line="240" w:lineRule="atLeast"/>
        <w:jc w:val="center"/>
        <w:rPr>
          <w:rFonts w:ascii="Tahoma" w:hAnsi="Tahoma" w:cs="Tahoma"/>
          <w:b/>
          <w:sz w:val="22"/>
          <w:szCs w:val="22"/>
        </w:rPr>
      </w:pPr>
      <w:r w:rsidRPr="00B12979">
        <w:rPr>
          <w:rFonts w:ascii="Tahoma" w:hAnsi="Tahoma" w:cs="Tahoma"/>
          <w:b/>
          <w:sz w:val="22"/>
          <w:szCs w:val="22"/>
        </w:rPr>
        <w:t>ANTECEDENTES</w:t>
      </w:r>
    </w:p>
    <w:p w:rsidR="008527A9" w:rsidRPr="00B12979" w:rsidRDefault="008527A9" w:rsidP="008527A9">
      <w:pPr>
        <w:pStyle w:val="Textoindependiente3"/>
        <w:spacing w:line="240" w:lineRule="atLeast"/>
        <w:jc w:val="center"/>
        <w:rPr>
          <w:rFonts w:ascii="Tahoma" w:hAnsi="Tahoma" w:cs="Tahoma"/>
          <w:b/>
          <w:i/>
          <w:sz w:val="22"/>
          <w:szCs w:val="22"/>
        </w:rPr>
      </w:pPr>
    </w:p>
    <w:p w:rsidR="008527A9" w:rsidRPr="00B12979" w:rsidRDefault="008527A9" w:rsidP="008527A9">
      <w:pPr>
        <w:pStyle w:val="Textoindependiente3"/>
        <w:spacing w:line="240" w:lineRule="atLeast"/>
        <w:rPr>
          <w:rFonts w:ascii="Tahoma" w:hAnsi="Tahoma" w:cs="Tahoma"/>
          <w:b/>
          <w:sz w:val="22"/>
          <w:szCs w:val="22"/>
        </w:rPr>
      </w:pPr>
    </w:p>
    <w:p w:rsidR="008527A9" w:rsidRPr="00B12979" w:rsidRDefault="008527A9" w:rsidP="008527A9">
      <w:pPr>
        <w:spacing w:before="120" w:after="120"/>
        <w:ind w:firstLine="601"/>
        <w:rPr>
          <w:rFonts w:ascii="Tahoma" w:hAnsi="Tahoma" w:cs="Tahoma"/>
          <w:sz w:val="22"/>
          <w:szCs w:val="22"/>
        </w:rPr>
      </w:pPr>
      <w:r w:rsidRPr="00B12979">
        <w:rPr>
          <w:rFonts w:ascii="Tahoma" w:hAnsi="Tahoma" w:cs="Tahoma"/>
          <w:sz w:val="22"/>
          <w:szCs w:val="22"/>
        </w:rPr>
        <w:t xml:space="preserve">El presente informe se emite en virtud de las competencias que al Departamento de Administración Pública y Justicia y a la Dirección de Desarrollo Legislativo y Control Normativo de su Viceconsejería de Régimen Jurídico, confieren, respectivamente, el artículo 6.1 h) del Decreto 20/2012, de 20 de diciembre, del Lehendakari, de creación, supresión y modificación de los Departamentos de la Administración de la Comunidad Autónoma del País Vasco y de determinación de funciones y áreas de actuación de los mismos, y el artículo 13.1.a) del Decreto 188/2013, de 9 de abril, por el que se establece la estructura orgánica y funcional del Departamento de Administración Pública y Justicia. </w:t>
      </w:r>
    </w:p>
    <w:p w:rsidR="008527A9" w:rsidRPr="00B12979" w:rsidRDefault="008527A9" w:rsidP="008527A9">
      <w:pPr>
        <w:spacing w:before="120" w:after="120"/>
        <w:ind w:firstLine="601"/>
        <w:rPr>
          <w:rFonts w:ascii="Tahoma" w:hAnsi="Tahoma" w:cs="Tahoma"/>
          <w:sz w:val="22"/>
          <w:szCs w:val="22"/>
        </w:rPr>
      </w:pPr>
      <w:r w:rsidRPr="00B12979">
        <w:rPr>
          <w:rFonts w:ascii="Tahoma" w:hAnsi="Tahoma" w:cs="Tahoma"/>
          <w:sz w:val="22"/>
          <w:szCs w:val="22"/>
        </w:rPr>
        <w:t>Junto al texto del Convenio propuesto se ha remitido una memoria explicativa.</w:t>
      </w:r>
    </w:p>
    <w:p w:rsidR="008527A9" w:rsidRPr="00B12979" w:rsidRDefault="008527A9" w:rsidP="008527A9">
      <w:pPr>
        <w:pStyle w:val="NormalWeb"/>
        <w:spacing w:line="360" w:lineRule="auto"/>
        <w:ind w:firstLine="709"/>
        <w:jc w:val="both"/>
        <w:rPr>
          <w:rFonts w:ascii="Tahoma" w:hAnsi="Tahoma" w:cs="Tahoma"/>
          <w:color w:val="auto"/>
          <w:sz w:val="22"/>
          <w:szCs w:val="22"/>
        </w:rPr>
      </w:pPr>
    </w:p>
    <w:p w:rsidR="008527A9" w:rsidRPr="00B12979" w:rsidRDefault="008527A9" w:rsidP="008527A9">
      <w:pPr>
        <w:pStyle w:val="NormalWeb"/>
        <w:spacing w:line="360" w:lineRule="auto"/>
        <w:ind w:left="360"/>
        <w:jc w:val="center"/>
        <w:rPr>
          <w:rFonts w:ascii="Tahoma" w:hAnsi="Tahoma" w:cs="Tahoma"/>
          <w:b/>
          <w:color w:val="auto"/>
          <w:sz w:val="22"/>
          <w:szCs w:val="22"/>
        </w:rPr>
      </w:pPr>
      <w:r w:rsidRPr="00B12979">
        <w:rPr>
          <w:rFonts w:ascii="Tahoma" w:hAnsi="Tahoma" w:cs="Tahoma"/>
          <w:b/>
          <w:color w:val="auto"/>
          <w:sz w:val="22"/>
          <w:szCs w:val="22"/>
        </w:rPr>
        <w:t>II.  OBJETO Y CONTENIDO.</w:t>
      </w:r>
    </w:p>
    <w:p w:rsidR="008527A9" w:rsidRPr="00B12979" w:rsidRDefault="008527A9" w:rsidP="008527A9">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t xml:space="preserve">El objeto del presente convenio, de acuerdo con la cláusula primera del borrador, es articular la colaboración entre EMAKUNDE-Instituto Vasco de la Mujer y </w:t>
      </w:r>
      <w:r w:rsidR="0085679F">
        <w:rPr>
          <w:rFonts w:ascii="Tahoma" w:hAnsi="Tahoma" w:cs="Tahoma"/>
          <w:color w:val="auto"/>
          <w:sz w:val="22"/>
          <w:szCs w:val="22"/>
        </w:rPr>
        <w:t xml:space="preserve">el Departamento de Servicios Sociales de </w:t>
      </w:r>
      <w:r w:rsidRPr="00B12979">
        <w:rPr>
          <w:rFonts w:ascii="Tahoma" w:hAnsi="Tahoma" w:cs="Tahoma"/>
          <w:color w:val="auto"/>
          <w:sz w:val="22"/>
          <w:szCs w:val="22"/>
        </w:rPr>
        <w:t xml:space="preserve">la Diputación Foral de </w:t>
      </w:r>
      <w:r w:rsidR="0085679F">
        <w:rPr>
          <w:rFonts w:ascii="Tahoma" w:hAnsi="Tahoma" w:cs="Tahoma"/>
          <w:color w:val="auto"/>
          <w:sz w:val="22"/>
          <w:szCs w:val="22"/>
        </w:rPr>
        <w:t xml:space="preserve">Álava </w:t>
      </w:r>
      <w:r w:rsidRPr="00B12979">
        <w:rPr>
          <w:rFonts w:ascii="Tahoma" w:hAnsi="Tahoma" w:cs="Tahoma"/>
          <w:color w:val="auto"/>
          <w:sz w:val="22"/>
          <w:szCs w:val="22"/>
        </w:rPr>
        <w:t xml:space="preserve">para el desarrollo </w:t>
      </w:r>
      <w:r w:rsidRPr="00B12979">
        <w:rPr>
          <w:rFonts w:ascii="Tahoma" w:hAnsi="Tahoma" w:cs="Tahoma"/>
          <w:color w:val="auto"/>
          <w:sz w:val="22"/>
          <w:szCs w:val="22"/>
        </w:rPr>
        <w:lastRenderedPageBreak/>
        <w:t>de la Campaña Interinstitucional Beldur Barik de Prevención de la Violencia Sexista dirigida a la juventud.</w:t>
      </w:r>
    </w:p>
    <w:p w:rsidR="008527A9" w:rsidRPr="00B12979" w:rsidRDefault="008527A9" w:rsidP="008527A9">
      <w:pPr>
        <w:spacing w:before="100" w:beforeAutospacing="1" w:after="100" w:afterAutospacing="1"/>
        <w:ind w:firstLine="709"/>
        <w:rPr>
          <w:rFonts w:ascii="Tahoma" w:hAnsi="Tahoma" w:cs="Tahoma"/>
          <w:sz w:val="22"/>
          <w:szCs w:val="22"/>
        </w:rPr>
      </w:pPr>
      <w:r w:rsidRPr="00B12979">
        <w:rPr>
          <w:rFonts w:ascii="Tahoma" w:hAnsi="Tahoma" w:cs="Tahoma"/>
          <w:sz w:val="22"/>
          <w:szCs w:val="22"/>
        </w:rPr>
        <w:t xml:space="preserve">La propuesta de convenio consta de una parte expositiva y 13 cláusulas: (1) objeto; (2) compromisos de EMAKUNDE-Instituto Vasco de la Mujer; (3) compromisos de la Diputación Foral de </w:t>
      </w:r>
      <w:r w:rsidR="0085679F">
        <w:rPr>
          <w:rFonts w:ascii="Tahoma" w:hAnsi="Tahoma" w:cs="Tahoma"/>
          <w:sz w:val="22"/>
          <w:szCs w:val="22"/>
        </w:rPr>
        <w:t>Álava</w:t>
      </w:r>
      <w:r w:rsidRPr="00B12979">
        <w:rPr>
          <w:rFonts w:ascii="Tahoma" w:hAnsi="Tahoma" w:cs="Tahoma"/>
          <w:sz w:val="22"/>
          <w:szCs w:val="22"/>
        </w:rPr>
        <w:t xml:space="preserve">; (4) forma de pago; (5) justificación; (6) coordinación y seguimiento; (7) vigencia; (8) compatibilidad con otras ayudas y subvenciones (9) alteración de las condiciones del convenio y concurrencia de ayudas;   (10) resolución del Convenio; (11) reintegro; (12) naturaleza del convenio, y (13) protección de datos de carácter personal. </w:t>
      </w:r>
    </w:p>
    <w:p w:rsidR="008527A9" w:rsidRPr="00B12979" w:rsidRDefault="008527A9" w:rsidP="008527A9">
      <w:pPr>
        <w:pStyle w:val="NormalWeb"/>
        <w:spacing w:line="360" w:lineRule="auto"/>
        <w:jc w:val="center"/>
        <w:rPr>
          <w:rFonts w:ascii="Tahoma" w:hAnsi="Tahoma" w:cs="Tahoma"/>
          <w:b/>
          <w:i/>
          <w:color w:val="auto"/>
          <w:sz w:val="22"/>
          <w:szCs w:val="22"/>
        </w:rPr>
      </w:pPr>
    </w:p>
    <w:p w:rsidR="008527A9" w:rsidRPr="00B12979" w:rsidRDefault="008527A9" w:rsidP="008527A9">
      <w:pPr>
        <w:pStyle w:val="NormalWeb"/>
        <w:spacing w:line="360" w:lineRule="auto"/>
        <w:jc w:val="center"/>
        <w:rPr>
          <w:rFonts w:ascii="Tahoma" w:hAnsi="Tahoma" w:cs="Tahoma"/>
          <w:b/>
          <w:color w:val="auto"/>
          <w:sz w:val="22"/>
          <w:szCs w:val="22"/>
        </w:rPr>
      </w:pPr>
      <w:r w:rsidRPr="00B12979">
        <w:rPr>
          <w:rFonts w:ascii="Tahoma" w:hAnsi="Tahoma" w:cs="Tahoma"/>
          <w:b/>
          <w:color w:val="auto"/>
          <w:sz w:val="22"/>
          <w:szCs w:val="22"/>
        </w:rPr>
        <w:t xml:space="preserve">III. LEGALIDAD </w:t>
      </w:r>
    </w:p>
    <w:p w:rsidR="008527A9" w:rsidRPr="00B12979" w:rsidRDefault="008527A9" w:rsidP="008527A9">
      <w:pPr>
        <w:pStyle w:val="NormalWeb"/>
        <w:spacing w:line="360" w:lineRule="auto"/>
        <w:jc w:val="both"/>
        <w:rPr>
          <w:rFonts w:ascii="Tahoma" w:hAnsi="Tahoma" w:cs="Tahoma"/>
          <w:b/>
          <w:i/>
          <w:color w:val="auto"/>
          <w:sz w:val="22"/>
          <w:szCs w:val="22"/>
        </w:rPr>
      </w:pPr>
    </w:p>
    <w:p w:rsidR="008527A9" w:rsidRPr="00B12979" w:rsidRDefault="008527A9" w:rsidP="008527A9">
      <w:pPr>
        <w:pStyle w:val="NormalWeb"/>
        <w:spacing w:line="360" w:lineRule="auto"/>
        <w:jc w:val="both"/>
        <w:rPr>
          <w:rFonts w:ascii="Tahoma" w:hAnsi="Tahoma" w:cs="Tahoma"/>
          <w:b/>
          <w:color w:val="auto"/>
          <w:sz w:val="22"/>
          <w:szCs w:val="22"/>
        </w:rPr>
      </w:pPr>
      <w:r w:rsidRPr="00B12979">
        <w:rPr>
          <w:rFonts w:ascii="Tahoma" w:hAnsi="Tahoma" w:cs="Tahoma"/>
          <w:b/>
          <w:color w:val="auto"/>
          <w:sz w:val="22"/>
          <w:szCs w:val="22"/>
        </w:rPr>
        <w:t>1.-Naturaleza jurídica</w:t>
      </w:r>
    </w:p>
    <w:p w:rsidR="008527A9" w:rsidRPr="00B12979" w:rsidRDefault="008527A9" w:rsidP="008527A9">
      <w:pPr>
        <w:pStyle w:val="NormalWeb"/>
        <w:spacing w:line="360" w:lineRule="auto"/>
        <w:ind w:firstLine="709"/>
        <w:jc w:val="both"/>
        <w:rPr>
          <w:rFonts w:ascii="Tahoma" w:hAnsi="Tahoma" w:cs="Tahoma"/>
          <w:color w:val="auto"/>
          <w:sz w:val="22"/>
          <w:szCs w:val="22"/>
        </w:rPr>
      </w:pPr>
      <w:r w:rsidRPr="00B12979">
        <w:rPr>
          <w:rFonts w:ascii="Tahoma" w:hAnsi="Tahoma" w:cs="Tahoma"/>
          <w:color w:val="auto"/>
          <w:sz w:val="22"/>
          <w:szCs w:val="22"/>
        </w:rPr>
        <w:t>Los términos en los que se concreta la colaboración entre las partes suscriptoras ha adoptado la forma de convenio de colaboración de los regulados en el art. 6 de la Ley 30/92, de 26 de noviembre, cuyas especificaciones desarrolladas en el clausulado del Convenio resultan adecuadas a la finalidad del mismo.</w:t>
      </w:r>
    </w:p>
    <w:p w:rsidR="008527A9" w:rsidRPr="00B12979" w:rsidRDefault="008527A9" w:rsidP="008527A9">
      <w:pPr>
        <w:pStyle w:val="Textoindependiente2"/>
        <w:ind w:firstLine="851"/>
        <w:rPr>
          <w:rFonts w:ascii="Tahoma" w:hAnsi="Tahoma" w:cs="Tahoma"/>
          <w:sz w:val="22"/>
          <w:szCs w:val="22"/>
        </w:rPr>
      </w:pPr>
    </w:p>
    <w:p w:rsidR="008527A9" w:rsidRPr="00B12979" w:rsidRDefault="008527A9" w:rsidP="008527A9">
      <w:pPr>
        <w:pStyle w:val="NormalWeb"/>
        <w:spacing w:line="360" w:lineRule="auto"/>
        <w:jc w:val="both"/>
        <w:rPr>
          <w:rFonts w:ascii="Tahoma" w:hAnsi="Tahoma" w:cs="Tahoma"/>
          <w:b/>
          <w:color w:val="auto"/>
          <w:sz w:val="22"/>
          <w:szCs w:val="22"/>
        </w:rPr>
      </w:pPr>
      <w:r w:rsidRPr="00B12979">
        <w:rPr>
          <w:rFonts w:ascii="Tahoma" w:hAnsi="Tahoma" w:cs="Tahoma"/>
          <w:b/>
          <w:color w:val="auto"/>
          <w:sz w:val="22"/>
          <w:szCs w:val="22"/>
        </w:rPr>
        <w:t>2.- Competencia</w:t>
      </w:r>
    </w:p>
    <w:p w:rsidR="008527A9" w:rsidRPr="00B12979" w:rsidRDefault="008527A9" w:rsidP="008527A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firstLine="680"/>
        <w:rPr>
          <w:rFonts w:ascii="Tahoma" w:hAnsi="Tahoma" w:cs="Tahoma"/>
          <w:sz w:val="22"/>
          <w:szCs w:val="22"/>
        </w:rPr>
      </w:pPr>
      <w:r w:rsidRPr="00B12979">
        <w:rPr>
          <w:rFonts w:ascii="Tahoma" w:hAnsi="Tahoma" w:cs="Tahoma"/>
          <w:sz w:val="22"/>
          <w:szCs w:val="22"/>
        </w:rPr>
        <w:t>El presente convenio se suscribe entre EMAKUNDE-Instituto Vasco de la Mujer, organismo autónomo de carácter administrativo adscrito a la Lehendakaritza dotado de personalidad jurídica propia y plena capacidad de obrar para</w:t>
      </w:r>
      <w:r w:rsidR="0085679F">
        <w:rPr>
          <w:rFonts w:ascii="Tahoma" w:hAnsi="Tahoma" w:cs="Tahoma"/>
          <w:sz w:val="22"/>
          <w:szCs w:val="22"/>
        </w:rPr>
        <w:t xml:space="preserve"> el cumplimiento de sus fines y </w:t>
      </w:r>
      <w:r w:rsidRPr="00B12979">
        <w:rPr>
          <w:rFonts w:ascii="Tahoma" w:hAnsi="Tahoma" w:cs="Tahoma"/>
          <w:sz w:val="22"/>
          <w:szCs w:val="22"/>
        </w:rPr>
        <w:t xml:space="preserve">la Diputación Foral de </w:t>
      </w:r>
      <w:r w:rsidR="0085679F">
        <w:rPr>
          <w:rFonts w:ascii="Tahoma" w:hAnsi="Tahoma" w:cs="Tahoma"/>
          <w:sz w:val="22"/>
          <w:szCs w:val="22"/>
        </w:rPr>
        <w:t>Álava</w:t>
      </w:r>
      <w:r w:rsidRPr="00B12979">
        <w:rPr>
          <w:rFonts w:ascii="Tahoma" w:hAnsi="Tahoma" w:cs="Tahoma"/>
          <w:sz w:val="22"/>
          <w:szCs w:val="22"/>
        </w:rPr>
        <w:t>.</w:t>
      </w:r>
    </w:p>
    <w:p w:rsidR="008527A9" w:rsidRPr="00B12979" w:rsidRDefault="008527A9" w:rsidP="008527A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firstLine="1440"/>
        <w:rPr>
          <w:rFonts w:ascii="Tahoma" w:hAnsi="Tahoma" w:cs="Tahoma"/>
          <w:i/>
          <w:sz w:val="22"/>
          <w:szCs w:val="22"/>
        </w:rPr>
      </w:pPr>
      <w:r w:rsidRPr="00B12979">
        <w:rPr>
          <w:rFonts w:ascii="Tahoma" w:hAnsi="Tahoma" w:cs="Tahoma"/>
          <w:sz w:val="22"/>
          <w:szCs w:val="22"/>
        </w:rPr>
        <w:t xml:space="preserve">De acuerdo con el artículo 17.2 f) del Decreto 214/2006, de 31 de octubre por el que se establece la estructura orgánica y funcional de Emakunde-Instituto Vasco de la Mujer, corresponde a la Dirección </w:t>
      </w:r>
      <w:r w:rsidRPr="00B12979">
        <w:rPr>
          <w:rFonts w:ascii="Tahoma" w:hAnsi="Tahoma" w:cs="Tahoma"/>
          <w:i/>
          <w:sz w:val="22"/>
          <w:szCs w:val="22"/>
        </w:rPr>
        <w:t>“suscribir acuerdos o convenios y dictar resoluciones administrativas para la consecución de los objetivos atribuidos al Instituto”</w:t>
      </w:r>
    </w:p>
    <w:p w:rsidR="008527A9" w:rsidRPr="00B12979" w:rsidRDefault="008527A9" w:rsidP="008527A9">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lastRenderedPageBreak/>
        <w:t>El artículo 2 de la Ley 2/1988, de 5 de febrero, sobre creación de EMAKUNDE-Instituto Vasco de la Mujer, establece que el fin esencial del Instituto es la consecución de la igualdad real y efectiva de mujeres y hombres en todos los ámbitos de la vida política, económica, cultural y social. En este sentido, se fija como objetivos la promoción de las condiciones que faciliten la igualdad entre los sexos y la remoción de los obstáculos que impidan su plenitud de hecho y de derecho, así como la eliminación de todas las formas de discriminación de la mujer en Euskadi.</w:t>
      </w:r>
    </w:p>
    <w:p w:rsidR="008527A9" w:rsidRPr="00B12979" w:rsidRDefault="008527A9" w:rsidP="008527A9">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t>La mencionada Ley establece en los apartados a), h) y n) de su artículo 3 que serán funciones de Emakunde-Instituto Vasco de la Mujer elaborar directrices destinadas a la consecución de los fines anteriormente referidos e impulsar su aplicación por los distintos poderes públicos vascos, como el impulso de las medidas de coordinación necesarias entre los diversos poderes públicos con relación a los programas que tengan incidencia en la situación de las mujeres y en la igualdad de mujeres y hombres y, por último, la sensibilización a la ciudadanía, realizando las actividades y campañas de sensibilización, promoción y difusión que se consideren oportunas, sobre el significado e importancia de la igualdad de mujeres y hombres y sobre la necesidad de trabajar en su consecución y en el empoderamiento de las mujeres.</w:t>
      </w:r>
    </w:p>
    <w:p w:rsidR="008527A9" w:rsidRPr="00B12979" w:rsidRDefault="008527A9" w:rsidP="008527A9">
      <w:pPr>
        <w:pStyle w:val="NormalWeb"/>
        <w:spacing w:line="360" w:lineRule="auto"/>
        <w:ind w:firstLine="851"/>
        <w:jc w:val="both"/>
        <w:rPr>
          <w:rFonts w:ascii="Tahoma" w:eastAsiaTheme="minorHAnsi" w:hAnsi="Tahoma" w:cs="Tahoma"/>
          <w:color w:val="auto"/>
          <w:sz w:val="22"/>
          <w:szCs w:val="22"/>
          <w:lang w:val="es-ES" w:eastAsia="en-US"/>
        </w:rPr>
      </w:pPr>
      <w:r w:rsidRPr="00B12979">
        <w:rPr>
          <w:rFonts w:ascii="Tahoma" w:hAnsi="Tahoma" w:cs="Tahoma"/>
          <w:color w:val="auto"/>
          <w:sz w:val="22"/>
          <w:szCs w:val="22"/>
        </w:rPr>
        <w:t xml:space="preserve">La Ley 4/2005, de 18 de febrero, para la Igualdad de Mujeres y Hombres por su parte, en su Título I, que </w:t>
      </w:r>
      <w:r w:rsidRPr="00B12979">
        <w:rPr>
          <w:rFonts w:ascii="Tahoma" w:eastAsiaTheme="minorHAnsi" w:hAnsi="Tahoma" w:cs="Tahoma"/>
          <w:color w:val="auto"/>
          <w:sz w:val="22"/>
          <w:szCs w:val="22"/>
          <w:lang w:val="es-ES" w:eastAsia="en-US"/>
        </w:rPr>
        <w:t>define las funciones que en materia de igualdad de mujeres y hombres corresponden a cada nivel administrativo, atribuye a las Instituciones Comunes la función de impulsar  la colaboración entre las actuaciones de las diferentes administraciones públicas vascas en materia de igualdad de mujeres y hombres.</w:t>
      </w:r>
    </w:p>
    <w:p w:rsidR="008527A9" w:rsidRPr="00B12979" w:rsidRDefault="008527A9" w:rsidP="008527A9">
      <w:pPr>
        <w:pStyle w:val="NormalWeb"/>
        <w:spacing w:line="360" w:lineRule="auto"/>
        <w:ind w:firstLine="851"/>
        <w:jc w:val="both"/>
        <w:rPr>
          <w:rFonts w:ascii="Tahoma" w:eastAsiaTheme="minorHAnsi" w:hAnsi="Tahoma" w:cs="Tahoma"/>
          <w:color w:val="auto"/>
          <w:sz w:val="22"/>
          <w:szCs w:val="22"/>
          <w:lang w:val="es-ES" w:eastAsia="en-US"/>
        </w:rPr>
      </w:pPr>
      <w:r w:rsidRPr="00B12979">
        <w:rPr>
          <w:rFonts w:ascii="Tahoma" w:eastAsiaTheme="minorHAnsi" w:hAnsi="Tahoma" w:cs="Tahoma"/>
          <w:color w:val="auto"/>
          <w:sz w:val="22"/>
          <w:szCs w:val="22"/>
          <w:lang w:val="es-ES" w:eastAsia="en-US"/>
        </w:rPr>
        <w:t xml:space="preserve">El artículo 52 de dicha Ley, dentro del Título III dedicado a las medidas para promover la igualdad y dentro del mismo, en el Capítulo VII dedicado a la violencia contra las mujeres, establece expresamente </w:t>
      </w:r>
      <w:r w:rsidRPr="00B12979">
        <w:rPr>
          <w:rFonts w:ascii="Tahoma" w:eastAsiaTheme="minorHAnsi" w:hAnsi="Tahoma" w:cs="Tahoma"/>
          <w:i/>
          <w:color w:val="auto"/>
          <w:sz w:val="22"/>
          <w:szCs w:val="22"/>
          <w:lang w:val="es-ES" w:eastAsia="en-US"/>
        </w:rPr>
        <w:t>que “sin perjuicio del resto de medidas previstas a lo largo de la presente Ley, las administraciones públicas vascas, en el ámbito de sus competencias y de forma coordinada, han de realizar campañas de sensibilización para la prevención y eliminación de la violencia hacia las mujeres.”</w:t>
      </w:r>
    </w:p>
    <w:p w:rsidR="008527A9" w:rsidRPr="00B12979" w:rsidRDefault="008527A9" w:rsidP="008527A9">
      <w:pPr>
        <w:spacing w:before="100" w:beforeAutospacing="1" w:after="100" w:afterAutospacing="1"/>
        <w:ind w:firstLine="708"/>
        <w:rPr>
          <w:rFonts w:ascii="Tahoma" w:hAnsi="Tahoma" w:cs="Tahoma"/>
          <w:sz w:val="22"/>
          <w:szCs w:val="22"/>
        </w:rPr>
      </w:pPr>
      <w:r w:rsidRPr="00B12979">
        <w:rPr>
          <w:rFonts w:ascii="Tahoma" w:hAnsi="Tahoma" w:cs="Tahoma"/>
          <w:sz w:val="22"/>
          <w:szCs w:val="22"/>
        </w:rPr>
        <w:t>Por otra parte, el artículo 6 de dicha Ley viene a fijar las funciones que corresponden a las Diputaciones Forales.</w:t>
      </w:r>
    </w:p>
    <w:p w:rsidR="008527A9" w:rsidRPr="00B12979" w:rsidRDefault="008527A9" w:rsidP="008527A9">
      <w:pPr>
        <w:spacing w:before="100" w:beforeAutospacing="1" w:after="100" w:afterAutospacing="1"/>
        <w:ind w:firstLine="708"/>
        <w:rPr>
          <w:rFonts w:ascii="Tahoma" w:hAnsi="Tahoma" w:cs="Tahoma"/>
          <w:sz w:val="22"/>
          <w:szCs w:val="22"/>
        </w:rPr>
      </w:pPr>
      <w:r w:rsidRPr="00B12979">
        <w:rPr>
          <w:rFonts w:ascii="Tahoma" w:hAnsi="Tahoma" w:cs="Tahoma"/>
          <w:sz w:val="22"/>
          <w:szCs w:val="22"/>
        </w:rPr>
        <w:lastRenderedPageBreak/>
        <w:t>La disposición adicional primera del Decreto 20/2012, de 15 de diciembre, del Lehendakari, de creación, supresión y modificación de los Departamentos de la Administración de la Comunidad Autónoma del País Vasco y de determinación de funciones y áreas de actuación de los mismos (modificado por el Decreto 8/2013, de 1 de marzo), dispone que a Emakunde-Instituto Vasco de la Mujer se incorporan las funciones y medios materiales y personales de la Dirección de Atención a las Víctimas de la Violencia de Género del extinto Departamento de Interior, Justicia y Administración Pública.</w:t>
      </w:r>
    </w:p>
    <w:p w:rsidR="008527A9" w:rsidRPr="00B12979" w:rsidRDefault="008527A9" w:rsidP="008527A9">
      <w:pPr>
        <w:spacing w:before="100" w:beforeAutospacing="1" w:after="100" w:afterAutospacing="1"/>
        <w:ind w:firstLine="709"/>
        <w:rPr>
          <w:rFonts w:ascii="Tahoma" w:hAnsi="Tahoma" w:cs="Tahoma"/>
          <w:sz w:val="22"/>
          <w:szCs w:val="22"/>
        </w:rPr>
      </w:pPr>
      <w:r w:rsidRPr="00B12979">
        <w:rPr>
          <w:rFonts w:ascii="Tahoma" w:hAnsi="Tahoma" w:cs="Tahoma"/>
          <w:sz w:val="22"/>
          <w:szCs w:val="22"/>
        </w:rPr>
        <w:t>El artículo 2 i) del Decreto 214/2006, de 31 de octubre, por el que se establece la estructura orgánica de Emakunde-Instituto Vasco de la Mujer (modificado por Decreto 6/2014, de 4 de febrero) atribuye a dicho Instituto la función de impulso y coordinación de los cometidos de la Comisión Interdepartamental para la Igualdad de Mujeres y Hombres, de la Comisión Interinstitucional para la Igualdad de Mujeres y Hombres y de la Comisión de Seguimiento del Acuerdo interinstitucional para la mejora en la atención a mujeres víctimas de maltrato doméstico y agresiones sexuales, así como impulso de las medidas de coordinación necesarias entre los diversos poderes públicos de la Comunidad Autónoma con relación a los programas que tengan incidencia en la situación de las mujeres y en la igualdad de mujeres y hombres.</w:t>
      </w:r>
    </w:p>
    <w:p w:rsidR="004F07E7" w:rsidRDefault="004F07E7" w:rsidP="008527A9">
      <w:pPr>
        <w:pStyle w:val="NormalWeb"/>
        <w:spacing w:line="360" w:lineRule="auto"/>
        <w:jc w:val="both"/>
        <w:rPr>
          <w:rFonts w:ascii="Tahoma" w:hAnsi="Tahoma" w:cs="Tahoma"/>
          <w:b/>
          <w:color w:val="auto"/>
          <w:sz w:val="22"/>
          <w:szCs w:val="22"/>
        </w:rPr>
      </w:pPr>
    </w:p>
    <w:p w:rsidR="008527A9" w:rsidRPr="00B12979" w:rsidRDefault="008527A9" w:rsidP="008527A9">
      <w:pPr>
        <w:pStyle w:val="NormalWeb"/>
        <w:spacing w:line="360" w:lineRule="auto"/>
        <w:jc w:val="both"/>
        <w:rPr>
          <w:rFonts w:ascii="Tahoma" w:hAnsi="Tahoma" w:cs="Tahoma"/>
          <w:b/>
          <w:color w:val="auto"/>
          <w:sz w:val="22"/>
          <w:szCs w:val="22"/>
        </w:rPr>
      </w:pPr>
      <w:r w:rsidRPr="00B12979">
        <w:rPr>
          <w:rFonts w:ascii="Tahoma" w:hAnsi="Tahoma" w:cs="Tahoma"/>
          <w:b/>
          <w:color w:val="auto"/>
          <w:sz w:val="22"/>
          <w:szCs w:val="22"/>
        </w:rPr>
        <w:t>3.- Aspectos materiales</w:t>
      </w:r>
    </w:p>
    <w:p w:rsidR="008527A9" w:rsidRPr="00B12979" w:rsidRDefault="008527A9" w:rsidP="008527A9">
      <w:pPr>
        <w:pStyle w:val="NormalWeb"/>
        <w:spacing w:line="360" w:lineRule="auto"/>
        <w:ind w:firstLine="709"/>
        <w:jc w:val="both"/>
        <w:rPr>
          <w:rFonts w:ascii="Tahoma" w:eastAsiaTheme="minorHAnsi" w:hAnsi="Tahoma" w:cs="Tahoma"/>
          <w:color w:val="auto"/>
          <w:sz w:val="22"/>
          <w:szCs w:val="22"/>
          <w:lang w:val="es-ES" w:eastAsia="en-US"/>
        </w:rPr>
      </w:pPr>
      <w:r w:rsidRPr="00B12979">
        <w:rPr>
          <w:rFonts w:ascii="Tahoma" w:eastAsiaTheme="minorHAnsi" w:hAnsi="Tahoma" w:cs="Tahoma"/>
          <w:color w:val="auto"/>
          <w:sz w:val="22"/>
          <w:szCs w:val="22"/>
          <w:lang w:val="es-ES" w:eastAsia="en-US"/>
        </w:rPr>
        <w:t>Puede resultar conveniente señalar, siquiera sea brevemente, cual es el contexto y los antecedentes en los que se inserta el Convenio.</w:t>
      </w:r>
    </w:p>
    <w:p w:rsidR="008527A9" w:rsidRPr="00B12979" w:rsidRDefault="008527A9" w:rsidP="008527A9">
      <w:pPr>
        <w:pStyle w:val="NormalWeb"/>
        <w:spacing w:line="360" w:lineRule="auto"/>
        <w:ind w:firstLine="851"/>
        <w:jc w:val="both"/>
        <w:rPr>
          <w:rFonts w:ascii="Tahoma" w:eastAsiaTheme="minorHAnsi" w:hAnsi="Tahoma" w:cs="Tahoma"/>
          <w:color w:val="auto"/>
          <w:sz w:val="22"/>
          <w:szCs w:val="22"/>
          <w:lang w:val="es-ES" w:eastAsia="en-US"/>
        </w:rPr>
      </w:pPr>
      <w:r w:rsidRPr="00B12979">
        <w:rPr>
          <w:rFonts w:ascii="Tahoma" w:eastAsiaTheme="minorHAnsi" w:hAnsi="Tahoma" w:cs="Tahoma"/>
          <w:color w:val="auto"/>
          <w:sz w:val="22"/>
          <w:szCs w:val="22"/>
          <w:lang w:val="es-ES" w:eastAsia="en-US"/>
        </w:rPr>
        <w:t>El 21 de octubre de 2001 se suscribió el I Acuerdo Interinstitucional para la mejora en la atención a mujeres víctimas de maltrato doméstico y agresiones sexuales y con fecha 3 de febrero de 2009 se firma el II Acuerdo Interinstitucional para la mejora en la atención a mujeres víctimas de maltrato en el ámbito doméstico y de violencia sexual, cuyo objeto era mejorar la coordinación entre las instituciones implicadas en la CAE en la asistencia a las mujeres víctimas de maltrato en el ámbito doméstico y de violencia sexual, con el fin de garantizarles una protección y atención integral en sus vertientes sanitaria, policial, judicial y social.</w:t>
      </w:r>
    </w:p>
    <w:p w:rsidR="008527A9" w:rsidRPr="00B12979" w:rsidRDefault="008527A9" w:rsidP="008527A9">
      <w:pPr>
        <w:autoSpaceDE w:val="0"/>
        <w:autoSpaceDN w:val="0"/>
        <w:adjustRightInd w:val="0"/>
        <w:spacing w:before="100" w:beforeAutospacing="1" w:after="100" w:afterAutospacing="1"/>
        <w:ind w:firstLine="709"/>
        <w:rPr>
          <w:rFonts w:ascii="Tahoma" w:eastAsiaTheme="minorHAnsi" w:hAnsi="Tahoma" w:cs="Tahoma"/>
          <w:sz w:val="22"/>
          <w:szCs w:val="22"/>
          <w:lang w:val="es-ES" w:eastAsia="en-US"/>
        </w:rPr>
      </w:pPr>
      <w:r w:rsidRPr="00B12979">
        <w:rPr>
          <w:rFonts w:ascii="Tahoma" w:eastAsiaTheme="minorHAnsi" w:hAnsi="Tahoma" w:cs="Tahoma"/>
          <w:sz w:val="22"/>
          <w:szCs w:val="22"/>
          <w:lang w:val="es-ES" w:eastAsia="en-US"/>
        </w:rPr>
        <w:lastRenderedPageBreak/>
        <w:t xml:space="preserve">A partir de las recomendaciones del Plan de Seguridad para las mujeres víctimas de maltrato doméstico </w:t>
      </w:r>
      <w:r w:rsidRPr="00B12979">
        <w:rPr>
          <w:rFonts w:ascii="Tahoma" w:hAnsi="Tahoma" w:cs="Tahoma"/>
          <w:sz w:val="22"/>
          <w:szCs w:val="22"/>
        </w:rPr>
        <w:t>aprobado el 22 de noviembre de 2002 por la Comisión de Seguimiento del I Acuerdo Interinstitucional para la mejora en la atención a mujeres víctimas de maltrato doméstico y agresiones sexuales,</w:t>
      </w:r>
      <w:r w:rsidRPr="00B12979">
        <w:rPr>
          <w:rFonts w:ascii="Tahoma" w:eastAsiaTheme="minorHAnsi" w:hAnsi="Tahoma" w:cs="Tahoma"/>
          <w:sz w:val="22"/>
          <w:szCs w:val="22"/>
          <w:lang w:val="es-ES" w:eastAsia="en-US"/>
        </w:rPr>
        <w:t xml:space="preserve"> se impulsa por Eudel y Emakunde la red </w:t>
      </w:r>
      <w:r w:rsidRPr="00B12979">
        <w:rPr>
          <w:rFonts w:ascii="Tahoma" w:eastAsiaTheme="minorHAnsi" w:hAnsi="Tahoma" w:cs="Tahoma"/>
          <w:i/>
          <w:sz w:val="22"/>
          <w:szCs w:val="22"/>
          <w:lang w:val="es-ES" w:eastAsia="en-US"/>
        </w:rPr>
        <w:t>“Berdinsarea”</w:t>
      </w:r>
      <w:r w:rsidRPr="00B12979">
        <w:rPr>
          <w:rFonts w:ascii="Tahoma" w:eastAsiaTheme="minorHAnsi" w:hAnsi="Tahoma" w:cs="Tahoma"/>
          <w:sz w:val="22"/>
          <w:szCs w:val="22"/>
          <w:lang w:val="es-ES" w:eastAsia="en-US"/>
        </w:rPr>
        <w:t>, como espacio intermunicipal que promueve la respuesta institucional local en materia de igualdad, de prevención y eliminación de la violencia contra las mujeres, suscribiéndose un convenio entre ambas con fecha 24 de febrero de 2005 que se prorrogó tácitamente en 2006, 2007, 2008 y 2009. En 2010 y 2011, como consecuencia de la creación de la Dirección de Atención a las Víctimas de Violencia de Género y la correspondiente atribución de funciones a la misma, el Convenio se firma entre el Gobierno Vasco. Eudel y Emakunde.</w:t>
      </w:r>
    </w:p>
    <w:p w:rsidR="008527A9" w:rsidRPr="00B12979" w:rsidRDefault="008527A9" w:rsidP="008527A9">
      <w:pPr>
        <w:autoSpaceDE w:val="0"/>
        <w:autoSpaceDN w:val="0"/>
        <w:adjustRightInd w:val="0"/>
        <w:spacing w:before="100" w:beforeAutospacing="1" w:after="100" w:afterAutospacing="1"/>
        <w:ind w:firstLine="709"/>
        <w:rPr>
          <w:rFonts w:ascii="Tahoma" w:eastAsiaTheme="minorHAnsi" w:hAnsi="Tahoma" w:cs="Tahoma"/>
          <w:sz w:val="22"/>
          <w:szCs w:val="22"/>
          <w:lang w:val="es-ES" w:eastAsia="en-US"/>
        </w:rPr>
      </w:pPr>
      <w:r w:rsidRPr="00B12979">
        <w:rPr>
          <w:rFonts w:ascii="Tahoma" w:eastAsiaTheme="minorHAnsi" w:hAnsi="Tahoma" w:cs="Tahoma"/>
          <w:sz w:val="22"/>
          <w:szCs w:val="22"/>
          <w:lang w:val="es-ES" w:eastAsia="en-US"/>
        </w:rPr>
        <w:t>Finalmente con fecha 24 de febrero de 2014 se firma un nuevo convenio entre EUDEL y  Emakunde cuyo objeto es articular la colaboración entre ambas para el desarrollo de la Red de Municipios Vascos por la Igualdad y contra la Violencia hacia las Mujeres-Berdinsarea.</w:t>
      </w:r>
    </w:p>
    <w:p w:rsidR="008527A9" w:rsidRPr="00B12979" w:rsidRDefault="008527A9" w:rsidP="008527A9">
      <w:pPr>
        <w:pStyle w:val="NormalWeb"/>
        <w:spacing w:line="360" w:lineRule="auto"/>
        <w:ind w:firstLine="851"/>
        <w:jc w:val="both"/>
        <w:rPr>
          <w:rFonts w:ascii="Tahoma" w:eastAsiaTheme="minorHAnsi" w:hAnsi="Tahoma" w:cs="Tahoma"/>
          <w:color w:val="auto"/>
          <w:sz w:val="22"/>
          <w:szCs w:val="22"/>
          <w:lang w:val="es-ES" w:eastAsia="en-US"/>
        </w:rPr>
      </w:pPr>
      <w:r w:rsidRPr="00B12979">
        <w:rPr>
          <w:rFonts w:ascii="Tahoma" w:eastAsiaTheme="minorHAnsi" w:hAnsi="Tahoma" w:cs="Tahoma"/>
          <w:color w:val="auto"/>
          <w:sz w:val="22"/>
          <w:szCs w:val="22"/>
          <w:lang w:val="es-ES" w:eastAsia="en-US"/>
        </w:rPr>
        <w:t>El programa Beldur Barik surge en el marco de dicha red Berdinsarea y es coordinado por EUDEL y Emakunde-Instituto Vasco de la Mujer y apoyado por las Diputaciones de Araba, Bizkaia y Gipuzkoa como consecuencia de la necesidad detectada ya en 2009 de dirigirse prioritariamente a la juventud.</w:t>
      </w:r>
    </w:p>
    <w:p w:rsidR="008527A9" w:rsidRPr="00B12979" w:rsidRDefault="008527A9" w:rsidP="008527A9">
      <w:pPr>
        <w:pStyle w:val="NormalWeb"/>
        <w:spacing w:line="360" w:lineRule="auto"/>
        <w:ind w:firstLine="851"/>
        <w:jc w:val="both"/>
        <w:rPr>
          <w:rFonts w:ascii="Tahoma" w:eastAsiaTheme="minorHAnsi" w:hAnsi="Tahoma" w:cs="Tahoma"/>
          <w:color w:val="auto"/>
          <w:sz w:val="22"/>
          <w:szCs w:val="22"/>
          <w:lang w:val="es-ES" w:eastAsia="en-US"/>
        </w:rPr>
      </w:pPr>
      <w:r w:rsidRPr="00B12979">
        <w:rPr>
          <w:rFonts w:ascii="Tahoma" w:eastAsiaTheme="minorHAnsi" w:hAnsi="Tahoma" w:cs="Tahoma"/>
          <w:color w:val="auto"/>
          <w:sz w:val="22"/>
          <w:szCs w:val="22"/>
          <w:lang w:val="es-ES" w:eastAsia="en-US"/>
        </w:rPr>
        <w:t>Dicho programa se caracteriza por ser anual y tener por la generación de  procesos de reflexión y debate con la juventud, de cara a identificar las diferentes caras de la violencia sexista, y así poder transformar y  construir comportamientos individuales y colectivos que permitan superar la situación de violencia sexista.</w:t>
      </w:r>
    </w:p>
    <w:p w:rsidR="008527A9" w:rsidRPr="00B12979" w:rsidRDefault="008527A9" w:rsidP="008527A9">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t>Pues bien, el apartado 2 de la cláusula segunda del Convenio contempla como una de las obligaciones de EMAKUNDE-Instituto Vasco de la Mujer la de financiar parte del costo de la Campaña Interinstitucional Beldur Barik  a través de la aportación de 60.000 euros.</w:t>
      </w:r>
    </w:p>
    <w:p w:rsidR="008527A9" w:rsidRPr="00B12979" w:rsidRDefault="008527A9" w:rsidP="008527A9">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t xml:space="preserve">Prevé igualmente que dicha cantidad, junto con la que está prevista que aporten las Diputaciones Forales, será la que determine el presupuesto máximo de licitación del expediente de contratación 04EMK/04S/2014 </w:t>
      </w:r>
      <w:r w:rsidRPr="00B12979">
        <w:rPr>
          <w:rFonts w:ascii="Tahoma" w:hAnsi="Tahoma" w:cs="Tahoma"/>
          <w:i/>
          <w:color w:val="auto"/>
          <w:sz w:val="22"/>
          <w:szCs w:val="22"/>
        </w:rPr>
        <w:t>“diseño y ejecución del programa Beldur Barik”</w:t>
      </w:r>
      <w:r w:rsidRPr="00B12979">
        <w:rPr>
          <w:rFonts w:ascii="Tahoma" w:hAnsi="Tahoma" w:cs="Tahoma"/>
          <w:color w:val="auto"/>
          <w:sz w:val="22"/>
          <w:szCs w:val="22"/>
        </w:rPr>
        <w:t xml:space="preserve"> </w:t>
      </w:r>
    </w:p>
    <w:p w:rsidR="008527A9" w:rsidRPr="00B12979" w:rsidRDefault="008527A9" w:rsidP="008527A9">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lastRenderedPageBreak/>
        <w:t>De acuerdo con lo dispuesto en el artículo 109.5 del Real Decreto Legislativo 3/2011 por el que se aprueba el Texto Refundido de la Ley de Contratos del Sector Público</w:t>
      </w:r>
    </w:p>
    <w:p w:rsidR="008527A9" w:rsidRPr="00B12979" w:rsidRDefault="008527A9" w:rsidP="008527A9">
      <w:pPr>
        <w:pStyle w:val="NormalWeb"/>
        <w:spacing w:line="360" w:lineRule="auto"/>
        <w:ind w:firstLine="851"/>
        <w:jc w:val="both"/>
        <w:rPr>
          <w:rFonts w:ascii="Tahoma" w:hAnsi="Tahoma" w:cs="Tahoma"/>
          <w:i/>
          <w:color w:val="auto"/>
          <w:sz w:val="22"/>
          <w:szCs w:val="22"/>
        </w:rPr>
      </w:pPr>
      <w:r w:rsidRPr="00B12979">
        <w:rPr>
          <w:rFonts w:ascii="Tahoma" w:hAnsi="Tahoma" w:cs="Tahoma"/>
          <w:i/>
          <w:color w:val="auto"/>
          <w:sz w:val="22"/>
          <w:szCs w:val="22"/>
        </w:rPr>
        <w:t>“Si la financiación del contrato ha de realizarse con aportaciones de distinta procedencia, aunque se trate de órganos de una misma Administración pública, se tramitará un solo expediente por el órgano de contratación al que corresponda la adjudicación del contrato, debiendo acreditarse en aquél la plena disponibilidad de todas las aportaciones y determinarse el orden de su abono con inclusión de una garantía para su efectividad”</w:t>
      </w:r>
    </w:p>
    <w:p w:rsidR="008527A9" w:rsidRPr="00B12979" w:rsidRDefault="008527A9" w:rsidP="008527A9">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t xml:space="preserve">De todo ello cabe deducir que, siendo el objeto del Convenio según lo establecido en la cláusula Primera la articulación de la colaboración entre Emakunde y la Diputación Foral de </w:t>
      </w:r>
      <w:r w:rsidR="0085679F">
        <w:rPr>
          <w:rFonts w:ascii="Tahoma" w:hAnsi="Tahoma" w:cs="Tahoma"/>
          <w:color w:val="auto"/>
          <w:sz w:val="22"/>
          <w:szCs w:val="22"/>
        </w:rPr>
        <w:t>Álava</w:t>
      </w:r>
      <w:r w:rsidRPr="00B12979">
        <w:rPr>
          <w:rFonts w:ascii="Tahoma" w:hAnsi="Tahoma" w:cs="Tahoma"/>
          <w:color w:val="auto"/>
          <w:sz w:val="22"/>
          <w:szCs w:val="22"/>
        </w:rPr>
        <w:t xml:space="preserve"> para el desarrollo de la Campaña </w:t>
      </w:r>
      <w:r w:rsidR="00B61C88">
        <w:rPr>
          <w:rFonts w:ascii="Tahoma" w:hAnsi="Tahoma" w:cs="Tahoma"/>
          <w:color w:val="auto"/>
          <w:sz w:val="22"/>
          <w:szCs w:val="22"/>
        </w:rPr>
        <w:t>Interinstitucional Beldur Barik</w:t>
      </w:r>
      <w:r w:rsidRPr="00B12979">
        <w:rPr>
          <w:rFonts w:ascii="Tahoma" w:hAnsi="Tahoma" w:cs="Tahoma"/>
          <w:color w:val="auto"/>
          <w:sz w:val="22"/>
          <w:szCs w:val="22"/>
        </w:rPr>
        <w:t>, existe en realidad la voluntad de financiar un contrato con fondos que proceden de varias administraciones y cuya cuantía total determina el presupuesto máximo de licitación del mismo, encontrándonos en definitiva ante un Convenio de cofinanciación de un contrato.</w:t>
      </w:r>
    </w:p>
    <w:p w:rsidR="008527A9" w:rsidRPr="00B12979" w:rsidRDefault="008527A9" w:rsidP="008527A9">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t xml:space="preserve">Parece  ser éste el objeto principal del Convenio en cuanto, como se pone de manifiesto en la memoria explicativa que acompaña a la propuesta,  es </w:t>
      </w:r>
      <w:r w:rsidRPr="00B12979">
        <w:rPr>
          <w:rFonts w:ascii="Tahoma" w:hAnsi="Tahoma" w:cs="Tahoma"/>
          <w:i/>
          <w:color w:val="auto"/>
          <w:sz w:val="22"/>
          <w:szCs w:val="22"/>
        </w:rPr>
        <w:t>“a partir de la edición correspondiente al año 2014 cuando Emakunde asume la gestión de la campaña”</w:t>
      </w:r>
      <w:r w:rsidRPr="00B12979">
        <w:rPr>
          <w:rFonts w:ascii="Tahoma" w:hAnsi="Tahoma" w:cs="Tahoma"/>
          <w:color w:val="auto"/>
          <w:sz w:val="22"/>
          <w:szCs w:val="22"/>
        </w:rPr>
        <w:t>,  se hace, además y según el punto cuarto de la parte expositiva</w:t>
      </w:r>
      <w:r w:rsidRPr="00B12979">
        <w:rPr>
          <w:rFonts w:ascii="Tahoma" w:hAnsi="Tahoma" w:cs="Tahoma"/>
          <w:i/>
          <w:color w:val="auto"/>
          <w:sz w:val="22"/>
          <w:szCs w:val="22"/>
        </w:rPr>
        <w:t>, “a solicitud de Eudel”,</w:t>
      </w:r>
      <w:r w:rsidRPr="00B12979">
        <w:rPr>
          <w:rFonts w:ascii="Tahoma" w:hAnsi="Tahoma" w:cs="Tahoma"/>
          <w:color w:val="auto"/>
          <w:sz w:val="22"/>
          <w:szCs w:val="22"/>
        </w:rPr>
        <w:t xml:space="preserve"> sin que se especifiquen las razones de tal solicitud.</w:t>
      </w:r>
    </w:p>
    <w:p w:rsidR="008527A9" w:rsidRPr="00B12979" w:rsidRDefault="008527A9" w:rsidP="008527A9">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t xml:space="preserve">Debe también tenerse en cuenta al respecto que el objeto del contrato licitado es, precisamente, </w:t>
      </w:r>
      <w:r w:rsidRPr="00B12979">
        <w:rPr>
          <w:rFonts w:ascii="Tahoma" w:hAnsi="Tahoma" w:cs="Tahoma"/>
          <w:i/>
          <w:color w:val="auto"/>
          <w:sz w:val="22"/>
          <w:szCs w:val="22"/>
        </w:rPr>
        <w:t>“el diseño y ejecución del programa juvenil Beldur Barik”.</w:t>
      </w:r>
    </w:p>
    <w:p w:rsidR="00990923" w:rsidRDefault="008527A9" w:rsidP="008527A9">
      <w:pPr>
        <w:pStyle w:val="NormalWeb"/>
        <w:spacing w:line="360" w:lineRule="auto"/>
        <w:ind w:firstLine="851"/>
        <w:jc w:val="both"/>
        <w:rPr>
          <w:rFonts w:ascii="Tahoma" w:hAnsi="Tahoma" w:cs="Tahoma"/>
          <w:color w:val="auto"/>
          <w:sz w:val="22"/>
          <w:szCs w:val="22"/>
        </w:rPr>
      </w:pPr>
      <w:r w:rsidRPr="00B12979">
        <w:rPr>
          <w:rFonts w:ascii="Tahoma" w:hAnsi="Tahoma" w:cs="Tahoma"/>
          <w:color w:val="auto"/>
          <w:sz w:val="22"/>
          <w:szCs w:val="22"/>
        </w:rPr>
        <w:t xml:space="preserve">Siendo ello así, el Convenio </w:t>
      </w:r>
      <w:r w:rsidR="0085679F">
        <w:rPr>
          <w:rFonts w:ascii="Tahoma" w:hAnsi="Tahoma" w:cs="Tahoma"/>
          <w:color w:val="auto"/>
          <w:sz w:val="22"/>
          <w:szCs w:val="22"/>
        </w:rPr>
        <w:t>especifica</w:t>
      </w:r>
      <w:r w:rsidRPr="00B12979">
        <w:rPr>
          <w:rFonts w:ascii="Tahoma" w:hAnsi="Tahoma" w:cs="Tahoma"/>
          <w:color w:val="auto"/>
          <w:sz w:val="22"/>
          <w:szCs w:val="22"/>
        </w:rPr>
        <w:t xml:space="preserve"> cuál de los firmantes desempeñará las funciones de órgano de contratación</w:t>
      </w:r>
      <w:r w:rsidR="00AC71C8">
        <w:rPr>
          <w:rFonts w:ascii="Tahoma" w:hAnsi="Tahoma" w:cs="Tahoma"/>
          <w:color w:val="auto"/>
          <w:sz w:val="22"/>
          <w:szCs w:val="22"/>
        </w:rPr>
        <w:t xml:space="preserve"> en la letra d) del apartado 1 de la cláusula segunda, debiendo advertirse que dicha letra d) se encuentra repetida.</w:t>
      </w:r>
      <w:r w:rsidRPr="00B12979">
        <w:rPr>
          <w:rFonts w:ascii="Tahoma" w:hAnsi="Tahoma" w:cs="Tahoma"/>
          <w:color w:val="auto"/>
          <w:sz w:val="22"/>
          <w:szCs w:val="22"/>
        </w:rPr>
        <w:t xml:space="preserve"> </w:t>
      </w:r>
    </w:p>
    <w:p w:rsidR="008527A9" w:rsidRDefault="008527A9" w:rsidP="008527A9">
      <w:pPr>
        <w:ind w:firstLine="709"/>
        <w:rPr>
          <w:rFonts w:ascii="Tahoma" w:hAnsi="Tahoma" w:cs="Tahoma"/>
          <w:sz w:val="22"/>
          <w:szCs w:val="22"/>
        </w:rPr>
      </w:pPr>
      <w:r w:rsidRPr="00B12979">
        <w:rPr>
          <w:rFonts w:ascii="Tahoma" w:hAnsi="Tahoma" w:cs="Tahoma"/>
          <w:sz w:val="22"/>
          <w:szCs w:val="22"/>
        </w:rPr>
        <w:t xml:space="preserve">Desde la perspectiva material, teniendo en cuenta los objetivos planteados en el borrador de convenio, resulta evidente la capacidad legal mutua para suscribir el mismo así como la existencia de un fin común de interés público que vincula a las partes en su formal y expreso deseo de colaboración, por lo que entendemos que las </w:t>
      </w:r>
      <w:r w:rsidRPr="00B12979">
        <w:rPr>
          <w:rFonts w:ascii="Tahoma" w:hAnsi="Tahoma" w:cs="Tahoma"/>
          <w:sz w:val="22"/>
          <w:szCs w:val="22"/>
        </w:rPr>
        <w:lastRenderedPageBreak/>
        <w:t>estipulaciones del borrador son conformes a Derecho siendo favorable el sentido del presente informe de legalidad.</w:t>
      </w:r>
    </w:p>
    <w:p w:rsidR="00990923" w:rsidRPr="00B12979" w:rsidRDefault="00990923" w:rsidP="008527A9">
      <w:pPr>
        <w:ind w:firstLine="709"/>
        <w:rPr>
          <w:rFonts w:ascii="Tahoma" w:hAnsi="Tahoma" w:cs="Tahoma"/>
          <w:sz w:val="22"/>
          <w:szCs w:val="22"/>
        </w:rPr>
      </w:pPr>
    </w:p>
    <w:p w:rsidR="008527A9" w:rsidRDefault="008527A9" w:rsidP="008527A9">
      <w:pPr>
        <w:spacing w:line="240" w:lineRule="atLeast"/>
        <w:jc w:val="center"/>
        <w:rPr>
          <w:rFonts w:ascii="Tahoma" w:hAnsi="Tahoma" w:cs="Tahoma"/>
          <w:b/>
          <w:i/>
          <w:sz w:val="22"/>
          <w:szCs w:val="22"/>
        </w:rPr>
      </w:pPr>
    </w:p>
    <w:p w:rsidR="008527A9" w:rsidRPr="00B12979" w:rsidRDefault="008527A9" w:rsidP="008527A9">
      <w:pPr>
        <w:spacing w:line="240" w:lineRule="atLeast"/>
        <w:jc w:val="center"/>
        <w:rPr>
          <w:rFonts w:ascii="Tahoma" w:hAnsi="Tahoma" w:cs="Tahoma"/>
          <w:b/>
          <w:i/>
          <w:sz w:val="22"/>
          <w:szCs w:val="22"/>
        </w:rPr>
      </w:pPr>
    </w:p>
    <w:p w:rsidR="008527A9" w:rsidRPr="00B12979" w:rsidRDefault="008527A9" w:rsidP="008527A9">
      <w:pPr>
        <w:spacing w:line="240" w:lineRule="atLeast"/>
        <w:jc w:val="center"/>
        <w:rPr>
          <w:rFonts w:ascii="Tahoma" w:hAnsi="Tahoma" w:cs="Tahoma"/>
          <w:b/>
          <w:sz w:val="22"/>
          <w:szCs w:val="22"/>
        </w:rPr>
      </w:pPr>
      <w:r w:rsidRPr="00B12979">
        <w:rPr>
          <w:rFonts w:ascii="Tahoma" w:hAnsi="Tahoma" w:cs="Tahoma"/>
          <w:b/>
          <w:sz w:val="22"/>
          <w:szCs w:val="22"/>
        </w:rPr>
        <w:t>IV. CONCLUSIÓN</w:t>
      </w:r>
    </w:p>
    <w:p w:rsidR="008527A9" w:rsidRPr="00B12979" w:rsidRDefault="008527A9" w:rsidP="008527A9">
      <w:pPr>
        <w:rPr>
          <w:rFonts w:ascii="Tahoma" w:hAnsi="Tahoma" w:cs="Tahoma"/>
          <w:sz w:val="22"/>
          <w:szCs w:val="22"/>
        </w:rPr>
      </w:pPr>
    </w:p>
    <w:p w:rsidR="008527A9" w:rsidRPr="00B12979" w:rsidRDefault="008527A9" w:rsidP="008527A9">
      <w:pPr>
        <w:pStyle w:val="Textoindependiente3"/>
        <w:ind w:firstLine="709"/>
        <w:rPr>
          <w:rFonts w:ascii="Tahoma" w:hAnsi="Tahoma" w:cs="Tahoma"/>
          <w:sz w:val="22"/>
          <w:szCs w:val="22"/>
        </w:rPr>
      </w:pPr>
      <w:r w:rsidRPr="00B12979">
        <w:rPr>
          <w:rFonts w:ascii="Tahoma" w:hAnsi="Tahoma" w:cs="Tahoma"/>
          <w:sz w:val="22"/>
          <w:szCs w:val="22"/>
        </w:rPr>
        <w:t xml:space="preserve"> Se informa favorablemente el Borrador de este Convenio.</w:t>
      </w:r>
    </w:p>
    <w:p w:rsidR="008527A9" w:rsidRPr="00B12979" w:rsidRDefault="008527A9" w:rsidP="008527A9">
      <w:pPr>
        <w:pStyle w:val="Textoindependiente3"/>
        <w:rPr>
          <w:rFonts w:ascii="Tahoma" w:hAnsi="Tahoma" w:cs="Tahoma"/>
          <w:sz w:val="22"/>
          <w:szCs w:val="22"/>
        </w:rPr>
      </w:pPr>
    </w:p>
    <w:p w:rsidR="008527A9" w:rsidRPr="00B12979" w:rsidRDefault="008527A9" w:rsidP="008527A9">
      <w:pPr>
        <w:pStyle w:val="Textoindependiente3"/>
        <w:ind w:firstLine="851"/>
        <w:rPr>
          <w:rFonts w:ascii="Tahoma" w:hAnsi="Tahoma" w:cs="Tahoma"/>
          <w:sz w:val="22"/>
          <w:szCs w:val="22"/>
        </w:rPr>
      </w:pPr>
      <w:r w:rsidRPr="00B12979">
        <w:rPr>
          <w:rFonts w:ascii="Tahoma" w:hAnsi="Tahoma" w:cs="Tahoma"/>
          <w:sz w:val="22"/>
          <w:szCs w:val="22"/>
        </w:rPr>
        <w:t>Este es el informe que emito y que someto a cualquier otro mejor fundado en derecho.</w:t>
      </w:r>
    </w:p>
    <w:p w:rsidR="008527A9" w:rsidRPr="00B12979" w:rsidRDefault="008527A9" w:rsidP="008527A9">
      <w:pPr>
        <w:rPr>
          <w:rFonts w:ascii="Tahoma" w:hAnsi="Tahoma" w:cs="Tahoma"/>
          <w:sz w:val="22"/>
          <w:szCs w:val="22"/>
        </w:rPr>
      </w:pPr>
      <w:r w:rsidRPr="00B12979">
        <w:rPr>
          <w:rFonts w:ascii="Tahoma" w:hAnsi="Tahoma" w:cs="Tahoma"/>
          <w:sz w:val="22"/>
          <w:szCs w:val="22"/>
        </w:rPr>
        <w:t xml:space="preserve"> </w:t>
      </w:r>
    </w:p>
    <w:p w:rsidR="008527A9" w:rsidRPr="00B12979" w:rsidRDefault="008527A9" w:rsidP="008527A9">
      <w:pPr>
        <w:rPr>
          <w:rFonts w:ascii="Tahoma" w:hAnsi="Tahoma" w:cs="Tahoma"/>
          <w:sz w:val="22"/>
          <w:szCs w:val="22"/>
        </w:rPr>
      </w:pPr>
      <w:r w:rsidRPr="00B12979">
        <w:rPr>
          <w:rFonts w:ascii="Tahoma" w:hAnsi="Tahoma" w:cs="Tahoma"/>
          <w:sz w:val="22"/>
          <w:szCs w:val="22"/>
        </w:rPr>
        <w:tab/>
        <w:t xml:space="preserve">En Vitoria-Gasteiz, a </w:t>
      </w:r>
      <w:r w:rsidR="00990923">
        <w:rPr>
          <w:rFonts w:ascii="Tahoma" w:hAnsi="Tahoma" w:cs="Tahoma"/>
          <w:sz w:val="22"/>
          <w:szCs w:val="22"/>
        </w:rPr>
        <w:t xml:space="preserve"> diecinueve de junio</w:t>
      </w:r>
      <w:r w:rsidRPr="00B12979">
        <w:rPr>
          <w:rFonts w:ascii="Tahoma" w:hAnsi="Tahoma" w:cs="Tahoma"/>
          <w:sz w:val="22"/>
          <w:szCs w:val="22"/>
        </w:rPr>
        <w:t xml:space="preserve"> de dos mil catorce.</w:t>
      </w:r>
    </w:p>
    <w:p w:rsidR="008527A9" w:rsidRPr="00B12979" w:rsidRDefault="008527A9" w:rsidP="008527A9">
      <w:pPr>
        <w:rPr>
          <w:rFonts w:ascii="Tahoma" w:hAnsi="Tahoma" w:cs="Tahoma"/>
          <w:sz w:val="22"/>
          <w:szCs w:val="22"/>
        </w:rPr>
      </w:pPr>
    </w:p>
    <w:p w:rsidR="008527A9" w:rsidRPr="00B12979" w:rsidRDefault="008527A9" w:rsidP="008527A9">
      <w:pPr>
        <w:rPr>
          <w:rFonts w:ascii="Tahoma" w:hAnsi="Tahoma" w:cs="Tahoma"/>
          <w:sz w:val="22"/>
          <w:szCs w:val="22"/>
        </w:rPr>
      </w:pPr>
    </w:p>
    <w:p w:rsidR="008527A9" w:rsidRPr="00B12979" w:rsidRDefault="008527A9" w:rsidP="008527A9">
      <w:pPr>
        <w:jc w:val="center"/>
        <w:rPr>
          <w:rFonts w:ascii="Tahoma" w:hAnsi="Tahoma" w:cs="Tahoma"/>
          <w:sz w:val="22"/>
          <w:szCs w:val="22"/>
        </w:rPr>
      </w:pPr>
      <w:r w:rsidRPr="00B12979">
        <w:rPr>
          <w:rFonts w:ascii="Tahoma" w:hAnsi="Tahoma" w:cs="Tahoma"/>
          <w:sz w:val="22"/>
          <w:szCs w:val="22"/>
        </w:rPr>
        <w:t>El Letrado.</w:t>
      </w:r>
    </w:p>
    <w:p w:rsidR="008527A9" w:rsidRPr="00B12979" w:rsidRDefault="008527A9" w:rsidP="008527A9">
      <w:pPr>
        <w:jc w:val="center"/>
        <w:rPr>
          <w:rFonts w:ascii="Tahoma" w:hAnsi="Tahoma" w:cs="Tahoma"/>
          <w:sz w:val="22"/>
          <w:szCs w:val="22"/>
        </w:rPr>
      </w:pPr>
    </w:p>
    <w:p w:rsidR="008527A9" w:rsidRPr="00B12979" w:rsidRDefault="008527A9" w:rsidP="008527A9">
      <w:pPr>
        <w:jc w:val="center"/>
        <w:rPr>
          <w:rFonts w:ascii="Tahoma" w:hAnsi="Tahoma" w:cs="Tahoma"/>
          <w:sz w:val="22"/>
          <w:szCs w:val="22"/>
        </w:rPr>
      </w:pPr>
      <w:r w:rsidRPr="00B12979">
        <w:rPr>
          <w:rFonts w:ascii="Tahoma" w:hAnsi="Tahoma" w:cs="Tahoma"/>
          <w:sz w:val="22"/>
          <w:szCs w:val="22"/>
        </w:rPr>
        <w:t>Carlos Zabaleta Álvarez.</w:t>
      </w:r>
    </w:p>
    <w:p w:rsidR="008527A9" w:rsidRPr="00B12979" w:rsidRDefault="008527A9" w:rsidP="008527A9">
      <w:pPr>
        <w:pStyle w:val="Subttulo"/>
        <w:spacing w:after="0"/>
        <w:rPr>
          <w:rStyle w:val="Textoennegrita"/>
          <w:rFonts w:ascii="Tahoma" w:hAnsi="Tahoma" w:cs="Tahoma"/>
          <w:sz w:val="22"/>
          <w:szCs w:val="22"/>
        </w:rPr>
      </w:pPr>
    </w:p>
    <w:sectPr w:rsidR="008527A9" w:rsidRPr="00B12979" w:rsidSect="00FD2D56">
      <w:headerReference w:type="default" r:id="rId9"/>
      <w:footerReference w:type="default" r:id="rId10"/>
      <w:headerReference w:type="first" r:id="rId11"/>
      <w:footerReference w:type="first" r:id="rId12"/>
      <w:pgSz w:w="11907" w:h="16840"/>
      <w:pgMar w:top="1417" w:right="1701" w:bottom="1417" w:left="1701" w:header="720" w:footer="79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8F5" w:rsidRDefault="00CF38F5">
      <w:pPr>
        <w:spacing w:line="240" w:lineRule="auto"/>
      </w:pPr>
      <w:r>
        <w:separator/>
      </w:r>
    </w:p>
  </w:endnote>
  <w:endnote w:type="continuationSeparator" w:id="0">
    <w:p w:rsidR="00CF38F5" w:rsidRDefault="00CF38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879594"/>
      <w:docPartObj>
        <w:docPartGallery w:val="Page Numbers (Bottom of Page)"/>
        <w:docPartUnique/>
      </w:docPartObj>
    </w:sdtPr>
    <w:sdtEndPr/>
    <w:sdtContent>
      <w:p w:rsidR="00280A5F" w:rsidRDefault="00595203">
        <w:pPr>
          <w:pStyle w:val="Piedepgina"/>
          <w:jc w:val="right"/>
        </w:pPr>
        <w:r>
          <w:fldChar w:fldCharType="begin"/>
        </w:r>
        <w:r>
          <w:instrText>PAGE   \* MERGEFORMAT</w:instrText>
        </w:r>
        <w:r>
          <w:fldChar w:fldCharType="separate"/>
        </w:r>
        <w:r w:rsidR="00644847" w:rsidRPr="00644847">
          <w:rPr>
            <w:noProof/>
            <w:lang w:val="es-ES"/>
          </w:rPr>
          <w:t>2</w:t>
        </w:r>
        <w:r>
          <w:fldChar w:fldCharType="end"/>
        </w:r>
      </w:p>
    </w:sdtContent>
  </w:sdt>
  <w:p w:rsidR="00280A5F" w:rsidRDefault="006448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A5F" w:rsidRDefault="00595203">
    <w:pPr>
      <w:pStyle w:val="Piedepgina"/>
      <w:tabs>
        <w:tab w:val="clear" w:pos="9071"/>
      </w:tabs>
      <w:jc w:val="center"/>
      <w:rPr>
        <w:rFonts w:ascii="Arial" w:hAnsi="Arial"/>
        <w:sz w:val="13"/>
      </w:rPr>
    </w:pPr>
    <w:r>
      <w:rPr>
        <w:rFonts w:ascii="Arial" w:hAnsi="Arial"/>
        <w:sz w:val="13"/>
      </w:rPr>
      <w:t>Donostia - San Sebastian, 1 –  01010 VITORIA-GASTEIZ</w:t>
    </w:r>
  </w:p>
  <w:p w:rsidR="00280A5F" w:rsidRDefault="00595203">
    <w:pPr>
      <w:pStyle w:val="Piedepgina"/>
      <w:tabs>
        <w:tab w:val="clear" w:pos="9071"/>
      </w:tabs>
      <w:jc w:val="center"/>
      <w:rPr>
        <w:rFonts w:ascii="Arial" w:hAnsi="Arial"/>
        <w:sz w:val="13"/>
      </w:rPr>
    </w:pPr>
    <w:r>
      <w:rPr>
        <w:rFonts w:ascii="Arial" w:hAnsi="Arial"/>
        <w:sz w:val="13"/>
      </w:rPr>
      <w:t xml:space="preserve"> tef.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8F5" w:rsidRDefault="00CF38F5">
      <w:pPr>
        <w:spacing w:line="240" w:lineRule="auto"/>
      </w:pPr>
      <w:r>
        <w:separator/>
      </w:r>
    </w:p>
  </w:footnote>
  <w:footnote w:type="continuationSeparator" w:id="0">
    <w:p w:rsidR="00CF38F5" w:rsidRDefault="00CF38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A5F" w:rsidRDefault="0059520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8pt;height:23.65pt" o:ole="" fillcolor="window">
          <v:imagedata r:id="rId1" o:title=""/>
        </v:shape>
        <o:OLEObject Type="Embed" ProgID="MSPhotoEd.3" ShapeID="_x0000_i1025" DrawAspect="Content" ObjectID="_1477900415" r:id="rId2"/>
      </w:object>
    </w:r>
  </w:p>
  <w:p w:rsidR="00280A5F" w:rsidRDefault="006448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A5F" w:rsidRDefault="00595203">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60288" behindDoc="0" locked="0" layoutInCell="0" allowOverlap="1" wp14:anchorId="0A6F7695" wp14:editId="7124F3FD">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A5F" w:rsidRDefault="00595203" w:rsidP="00321107">
                          <w:pPr>
                            <w:pStyle w:val="Ttulo2"/>
                            <w:spacing w:after="35"/>
                            <w:ind w:right="-69"/>
                          </w:pPr>
                          <w:r>
                            <w:t>DEPARTAMENTO DE ADMINISTRACIÓN PÚBLICA Y JUSTICIA</w:t>
                          </w:r>
                        </w:p>
                        <w:p w:rsidR="00280A5F" w:rsidRDefault="00595203">
                          <w:pPr>
                            <w:spacing w:before="35"/>
                            <w:rPr>
                              <w:rFonts w:ascii="Arial" w:hAnsi="Arial"/>
                              <w:sz w:val="14"/>
                            </w:rPr>
                          </w:pPr>
                          <w:r>
                            <w:rPr>
                              <w:rFonts w:ascii="Arial" w:hAnsi="Arial"/>
                              <w:sz w:val="14"/>
                            </w:rPr>
                            <w:t>Viceconsejería de Régimen Jurídico</w:t>
                          </w:r>
                        </w:p>
                        <w:p w:rsidR="00280A5F" w:rsidRDefault="00595203">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280A5F" w:rsidRDefault="00595203" w:rsidP="00321107">
                    <w:pPr>
                      <w:pStyle w:val="Ttulo2"/>
                      <w:spacing w:after="35"/>
                      <w:ind w:right="-69"/>
                    </w:pPr>
                    <w:r>
                      <w:t>DEPARTAMENTO DE ADMINISTRACIÓN PÚBLICA Y JUSTICIA</w:t>
                    </w:r>
                  </w:p>
                  <w:p w:rsidR="00280A5F" w:rsidRDefault="00595203">
                    <w:pPr>
                      <w:spacing w:before="35"/>
                      <w:rPr>
                        <w:rFonts w:ascii="Arial" w:hAnsi="Arial"/>
                        <w:sz w:val="14"/>
                      </w:rPr>
                    </w:pPr>
                    <w:r>
                      <w:rPr>
                        <w:rFonts w:ascii="Arial" w:hAnsi="Arial"/>
                        <w:sz w:val="14"/>
                      </w:rPr>
                      <w:t>Viceconsejería de Régimen Jurídico</w:t>
                    </w:r>
                  </w:p>
                  <w:p w:rsidR="00280A5F" w:rsidRDefault="00595203">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9264" behindDoc="0" locked="0" layoutInCell="0" allowOverlap="1" wp14:anchorId="31B12427" wp14:editId="73C4ADBA">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A5F" w:rsidRDefault="00595203" w:rsidP="00321107">
                          <w:pPr>
                            <w:pStyle w:val="Ttulo2"/>
                          </w:pPr>
                          <w:r>
                            <w:t>HERRI ADMINISTRAZIO ETA JUSTIZIA SAILA</w:t>
                          </w:r>
                        </w:p>
                        <w:p w:rsidR="00280A5F" w:rsidRDefault="00595203">
                          <w:pPr>
                            <w:spacing w:before="35"/>
                            <w:rPr>
                              <w:rFonts w:ascii="Arial" w:hAnsi="Arial"/>
                              <w:sz w:val="14"/>
                            </w:rPr>
                          </w:pPr>
                          <w:r>
                            <w:rPr>
                              <w:rFonts w:ascii="Arial" w:hAnsi="Arial"/>
                              <w:sz w:val="14"/>
                            </w:rPr>
                            <w:t>Araubide Juridikoaren Sailburuordetza</w:t>
                          </w:r>
                        </w:p>
                        <w:p w:rsidR="00280A5F" w:rsidRDefault="00595203">
                          <w:pPr>
                            <w:pStyle w:val="Ttulo4"/>
                          </w:pPr>
                          <w:r>
                            <w:t>Lege 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280A5F" w:rsidRDefault="00595203" w:rsidP="00321107">
                    <w:pPr>
                      <w:pStyle w:val="Ttulo2"/>
                    </w:pPr>
                    <w:r>
                      <w:t>HERRI ADMINISTRAZIO</w:t>
                    </w:r>
                    <w:r>
                      <w:t xml:space="preserve"> ETA JUSTIZIA SAILA</w:t>
                    </w:r>
                  </w:p>
                  <w:p w:rsidR="00280A5F" w:rsidRDefault="00595203">
                    <w:pPr>
                      <w:spacing w:before="35"/>
                      <w:rPr>
                        <w:rFonts w:ascii="Arial" w:hAnsi="Arial"/>
                        <w:sz w:val="14"/>
                      </w:rPr>
                    </w:pPr>
                    <w:r>
                      <w:rPr>
                        <w:rFonts w:ascii="Arial" w:hAnsi="Arial"/>
                        <w:sz w:val="14"/>
                      </w:rPr>
                      <w:t>Araubide Juridikoaren Sailburuordetza</w:t>
                    </w:r>
                  </w:p>
                  <w:p w:rsidR="00280A5F" w:rsidRDefault="00595203">
                    <w:pPr>
                      <w:pStyle w:val="Ttulo4"/>
                    </w:pPr>
                    <w:r>
                      <w:t>Lege Garapen eta Arau Kontrolerako Zuzendaritza</w:t>
                    </w:r>
                  </w:p>
                </w:txbxContent>
              </v:textbox>
              <w10:wrap type="square" anchorx="page" anchory="page"/>
            </v:shape>
          </w:pict>
        </mc:Fallback>
      </mc:AlternateContent>
    </w: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6.6pt;height:36.55pt" o:ole="" fillcolor="window">
          <v:imagedata r:id="rId1" o:title=""/>
        </v:shape>
        <o:OLEObject Type="Embed" ProgID="MSPhotoEd.3" ShapeID="_x0000_i1026" DrawAspect="Content" ObjectID="_1477900416" r:id="rId2"/>
      </w:object>
    </w:r>
  </w:p>
  <w:p w:rsidR="00280A5F" w:rsidRDefault="00644847">
    <w:pPr>
      <w:pStyle w:val="Encabezado"/>
      <w:tabs>
        <w:tab w:val="right" w:pos="9923"/>
      </w:tabs>
      <w:ind w:right="-142"/>
      <w:jc w:val="center"/>
      <w:rPr>
        <w:rFonts w:ascii="Arial" w:hAnsi="Arial"/>
        <w:sz w:val="16"/>
      </w:rPr>
    </w:pPr>
  </w:p>
  <w:p w:rsidR="00280A5F" w:rsidRDefault="00644847">
    <w:pPr>
      <w:pStyle w:val="Encabezado"/>
      <w:tabs>
        <w:tab w:val="right" w:pos="9923"/>
      </w:tabs>
      <w:ind w:right="-142"/>
      <w:jc w:val="center"/>
      <w:rPr>
        <w:rFonts w:ascii="Arial" w:hAnsi="Arial"/>
        <w:sz w:val="16"/>
      </w:rPr>
    </w:pPr>
  </w:p>
  <w:p w:rsidR="00280A5F" w:rsidRDefault="00644847">
    <w:pPr>
      <w:pStyle w:val="Encabezado"/>
      <w:tabs>
        <w:tab w:val="right" w:pos="9923"/>
      </w:tabs>
      <w:ind w:right="-142"/>
      <w:jc w:val="center"/>
      <w:rPr>
        <w:rFonts w:ascii="Arial" w:hAnsi="Arial"/>
        <w:sz w:val="16"/>
      </w:rPr>
    </w:pPr>
  </w:p>
  <w:p w:rsidR="00280A5F" w:rsidRDefault="00644847">
    <w:pPr>
      <w:pStyle w:val="Encabezado"/>
      <w:tabs>
        <w:tab w:val="right" w:pos="9923"/>
      </w:tabs>
      <w:ind w:right="-142"/>
      <w:jc w:val="center"/>
      <w:rPr>
        <w:rFonts w:ascii="Arial" w:hAnsi="Arial"/>
        <w:sz w:val="16"/>
      </w:rPr>
    </w:pPr>
  </w:p>
  <w:p w:rsidR="00280A5F" w:rsidRDefault="00644847">
    <w:pPr>
      <w:pStyle w:val="Encabezado"/>
      <w:tabs>
        <w:tab w:val="right" w:pos="9923"/>
      </w:tabs>
      <w:ind w:right="-142"/>
      <w:jc w:val="center"/>
      <w:rPr>
        <w:rFonts w:ascii="Arial" w:hAnsi="Arial"/>
        <w:sz w:val="16"/>
      </w:rPr>
    </w:pPr>
  </w:p>
  <w:p w:rsidR="00280A5F" w:rsidRDefault="00644847">
    <w:pPr>
      <w:pStyle w:val="Encabezado"/>
      <w:tabs>
        <w:tab w:val="right" w:pos="9923"/>
      </w:tabs>
      <w:ind w:right="-142"/>
      <w:rPr>
        <w:rFonts w:ascii="Arial" w:hAnsi="Arial"/>
        <w:sz w:val="16"/>
      </w:rPr>
    </w:pPr>
  </w:p>
  <w:p w:rsidR="00280A5F" w:rsidRDefault="00644847">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D21E3"/>
    <w:multiLevelType w:val="hybridMultilevel"/>
    <w:tmpl w:val="84A8C68E"/>
    <w:lvl w:ilvl="0" w:tplc="AA10BD4C">
      <w:start w:val="1"/>
      <w:numFmt w:val="upperRoman"/>
      <w:lvlText w:val="%1."/>
      <w:lvlJc w:val="left"/>
      <w:pPr>
        <w:tabs>
          <w:tab w:val="num" w:pos="1080"/>
        </w:tabs>
        <w:ind w:left="1080" w:hanging="72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7A9"/>
    <w:rsid w:val="00264E59"/>
    <w:rsid w:val="004F07E7"/>
    <w:rsid w:val="00595203"/>
    <w:rsid w:val="00644847"/>
    <w:rsid w:val="007A66F1"/>
    <w:rsid w:val="008527A9"/>
    <w:rsid w:val="0085679F"/>
    <w:rsid w:val="00933C32"/>
    <w:rsid w:val="00990923"/>
    <w:rsid w:val="009B1E4C"/>
    <w:rsid w:val="00AC0E66"/>
    <w:rsid w:val="00AC71C8"/>
    <w:rsid w:val="00B61C88"/>
    <w:rsid w:val="00BD1108"/>
    <w:rsid w:val="00CF38F5"/>
    <w:rsid w:val="00DF4E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7A9"/>
    <w:pPr>
      <w:spacing w:after="0" w:line="360" w:lineRule="auto"/>
      <w:jc w:val="both"/>
    </w:pPr>
    <w:rPr>
      <w:rFonts w:ascii="Times New Roman" w:eastAsia="Times New Roman" w:hAnsi="Times New Roman" w:cs="Times New Roman"/>
      <w:sz w:val="24"/>
      <w:szCs w:val="20"/>
      <w:lang w:val="es-ES_tradnl" w:eastAsia="es-ES_tradnl"/>
    </w:rPr>
  </w:style>
  <w:style w:type="paragraph" w:styleId="Ttulo2">
    <w:name w:val="heading 2"/>
    <w:basedOn w:val="Normal"/>
    <w:next w:val="Normal"/>
    <w:link w:val="Ttulo2Car"/>
    <w:qFormat/>
    <w:rsid w:val="008527A9"/>
    <w:pPr>
      <w:keepNext/>
      <w:spacing w:line="240" w:lineRule="auto"/>
      <w:jc w:val="left"/>
      <w:outlineLvl w:val="1"/>
    </w:pPr>
    <w:rPr>
      <w:rFonts w:ascii="Arial" w:hAnsi="Arial"/>
      <w:b/>
      <w:sz w:val="14"/>
    </w:rPr>
  </w:style>
  <w:style w:type="paragraph" w:styleId="Ttulo4">
    <w:name w:val="heading 4"/>
    <w:basedOn w:val="Normal"/>
    <w:next w:val="Normal"/>
    <w:link w:val="Ttulo4Car"/>
    <w:qFormat/>
    <w:rsid w:val="008527A9"/>
    <w:pPr>
      <w:keepNext/>
      <w:spacing w:before="35" w:line="240" w:lineRule="auto"/>
      <w:jc w:val="left"/>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527A9"/>
    <w:rPr>
      <w:rFonts w:ascii="Arial" w:eastAsia="Times New Roman" w:hAnsi="Arial" w:cs="Times New Roman"/>
      <w:b/>
      <w:sz w:val="14"/>
      <w:szCs w:val="20"/>
      <w:lang w:val="es-ES_tradnl" w:eastAsia="es-ES_tradnl"/>
    </w:rPr>
  </w:style>
  <w:style w:type="character" w:customStyle="1" w:styleId="Ttulo4Car">
    <w:name w:val="Título 4 Car"/>
    <w:basedOn w:val="Fuentedeprrafopredeter"/>
    <w:link w:val="Ttulo4"/>
    <w:rsid w:val="008527A9"/>
    <w:rPr>
      <w:rFonts w:ascii="Arial" w:eastAsia="Times New Roman" w:hAnsi="Arial" w:cs="Times New Roman"/>
      <w:i/>
      <w:sz w:val="14"/>
      <w:szCs w:val="20"/>
      <w:lang w:val="es-ES_tradnl" w:eastAsia="es-ES_tradnl"/>
    </w:rPr>
  </w:style>
  <w:style w:type="paragraph" w:styleId="Subttulo">
    <w:name w:val="Subtitle"/>
    <w:basedOn w:val="Normal"/>
    <w:next w:val="Normal"/>
    <w:link w:val="SubttuloCar"/>
    <w:qFormat/>
    <w:rsid w:val="008527A9"/>
    <w:pPr>
      <w:spacing w:after="60" w:line="240" w:lineRule="auto"/>
      <w:jc w:val="center"/>
      <w:outlineLvl w:val="1"/>
    </w:pPr>
    <w:rPr>
      <w:rFonts w:ascii="Cambria" w:hAnsi="Cambria"/>
      <w:szCs w:val="24"/>
    </w:rPr>
  </w:style>
  <w:style w:type="character" w:customStyle="1" w:styleId="SubttuloCar">
    <w:name w:val="Subtítulo Car"/>
    <w:basedOn w:val="Fuentedeprrafopredeter"/>
    <w:link w:val="Subttulo"/>
    <w:rsid w:val="008527A9"/>
    <w:rPr>
      <w:rFonts w:ascii="Cambria" w:eastAsia="Times New Roman" w:hAnsi="Cambria" w:cs="Times New Roman"/>
      <w:sz w:val="24"/>
      <w:szCs w:val="24"/>
      <w:lang w:val="es-ES_tradnl" w:eastAsia="es-ES_tradnl"/>
    </w:rPr>
  </w:style>
  <w:style w:type="character" w:styleId="Textoennegrita">
    <w:name w:val="Strong"/>
    <w:qFormat/>
    <w:rsid w:val="008527A9"/>
    <w:rPr>
      <w:b/>
      <w:bCs/>
    </w:rPr>
  </w:style>
  <w:style w:type="paragraph" w:styleId="Textoindependiente2">
    <w:name w:val="Body Text 2"/>
    <w:basedOn w:val="Normal"/>
    <w:link w:val="Textoindependiente2Car"/>
    <w:rsid w:val="008527A9"/>
    <w:rPr>
      <w:rFonts w:ascii="Arial" w:hAnsi="Arial"/>
      <w:b/>
    </w:rPr>
  </w:style>
  <w:style w:type="character" w:customStyle="1" w:styleId="Textoindependiente2Car">
    <w:name w:val="Texto independiente 2 Car"/>
    <w:basedOn w:val="Fuentedeprrafopredeter"/>
    <w:link w:val="Textoindependiente2"/>
    <w:rsid w:val="008527A9"/>
    <w:rPr>
      <w:rFonts w:ascii="Arial" w:eastAsia="Times New Roman" w:hAnsi="Arial" w:cs="Times New Roman"/>
      <w:b/>
      <w:sz w:val="24"/>
      <w:szCs w:val="20"/>
      <w:lang w:val="es-ES_tradnl" w:eastAsia="es-ES_tradnl"/>
    </w:rPr>
  </w:style>
  <w:style w:type="paragraph" w:styleId="Textoindependiente3">
    <w:name w:val="Body Text 3"/>
    <w:basedOn w:val="Normal"/>
    <w:link w:val="Textoindependiente3Car"/>
    <w:uiPriority w:val="99"/>
    <w:semiHidden/>
    <w:unhideWhenUsed/>
    <w:rsid w:val="008527A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527A9"/>
    <w:rPr>
      <w:rFonts w:ascii="Times New Roman" w:eastAsia="Times New Roman" w:hAnsi="Times New Roman" w:cs="Times New Roman"/>
      <w:sz w:val="16"/>
      <w:szCs w:val="16"/>
      <w:lang w:val="es-ES_tradnl" w:eastAsia="es-ES_tradnl"/>
    </w:rPr>
  </w:style>
  <w:style w:type="paragraph" w:styleId="NormalWeb">
    <w:name w:val="Normal (Web)"/>
    <w:basedOn w:val="Normal"/>
    <w:rsid w:val="008527A9"/>
    <w:pPr>
      <w:spacing w:before="100" w:beforeAutospacing="1" w:after="100" w:afterAutospacing="1" w:line="240" w:lineRule="auto"/>
      <w:jc w:val="left"/>
    </w:pPr>
    <w:rPr>
      <w:color w:val="663300"/>
      <w:szCs w:val="24"/>
    </w:rPr>
  </w:style>
  <w:style w:type="paragraph" w:styleId="Piedepgina">
    <w:name w:val="footer"/>
    <w:basedOn w:val="Normal"/>
    <w:link w:val="PiedepginaCar"/>
    <w:uiPriority w:val="99"/>
    <w:rsid w:val="008527A9"/>
    <w:pPr>
      <w:tabs>
        <w:tab w:val="center" w:pos="4819"/>
        <w:tab w:val="right" w:pos="9071"/>
      </w:tabs>
      <w:spacing w:line="240" w:lineRule="auto"/>
      <w:jc w:val="left"/>
    </w:pPr>
  </w:style>
  <w:style w:type="character" w:customStyle="1" w:styleId="PiedepginaCar">
    <w:name w:val="Pie de página Car"/>
    <w:basedOn w:val="Fuentedeprrafopredeter"/>
    <w:link w:val="Piedepgina"/>
    <w:uiPriority w:val="99"/>
    <w:rsid w:val="008527A9"/>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8527A9"/>
    <w:pPr>
      <w:tabs>
        <w:tab w:val="center" w:pos="4819"/>
        <w:tab w:val="right" w:pos="9071"/>
      </w:tabs>
      <w:spacing w:line="240" w:lineRule="auto"/>
      <w:jc w:val="left"/>
    </w:pPr>
  </w:style>
  <w:style w:type="character" w:customStyle="1" w:styleId="EncabezadoCar">
    <w:name w:val="Encabezado Car"/>
    <w:basedOn w:val="Fuentedeprrafopredeter"/>
    <w:link w:val="Encabezado"/>
    <w:rsid w:val="008527A9"/>
    <w:rPr>
      <w:rFonts w:ascii="Times New Roman" w:eastAsia="Times New Roman" w:hAnsi="Times New Roman" w:cs="Times New Roman"/>
      <w:sz w:val="24"/>
      <w:szCs w:val="20"/>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7A9"/>
    <w:pPr>
      <w:spacing w:after="0" w:line="360" w:lineRule="auto"/>
      <w:jc w:val="both"/>
    </w:pPr>
    <w:rPr>
      <w:rFonts w:ascii="Times New Roman" w:eastAsia="Times New Roman" w:hAnsi="Times New Roman" w:cs="Times New Roman"/>
      <w:sz w:val="24"/>
      <w:szCs w:val="20"/>
      <w:lang w:val="es-ES_tradnl" w:eastAsia="es-ES_tradnl"/>
    </w:rPr>
  </w:style>
  <w:style w:type="paragraph" w:styleId="Ttulo2">
    <w:name w:val="heading 2"/>
    <w:basedOn w:val="Normal"/>
    <w:next w:val="Normal"/>
    <w:link w:val="Ttulo2Car"/>
    <w:qFormat/>
    <w:rsid w:val="008527A9"/>
    <w:pPr>
      <w:keepNext/>
      <w:spacing w:line="240" w:lineRule="auto"/>
      <w:jc w:val="left"/>
      <w:outlineLvl w:val="1"/>
    </w:pPr>
    <w:rPr>
      <w:rFonts w:ascii="Arial" w:hAnsi="Arial"/>
      <w:b/>
      <w:sz w:val="14"/>
    </w:rPr>
  </w:style>
  <w:style w:type="paragraph" w:styleId="Ttulo4">
    <w:name w:val="heading 4"/>
    <w:basedOn w:val="Normal"/>
    <w:next w:val="Normal"/>
    <w:link w:val="Ttulo4Car"/>
    <w:qFormat/>
    <w:rsid w:val="008527A9"/>
    <w:pPr>
      <w:keepNext/>
      <w:spacing w:before="35" w:line="240" w:lineRule="auto"/>
      <w:jc w:val="left"/>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527A9"/>
    <w:rPr>
      <w:rFonts w:ascii="Arial" w:eastAsia="Times New Roman" w:hAnsi="Arial" w:cs="Times New Roman"/>
      <w:b/>
      <w:sz w:val="14"/>
      <w:szCs w:val="20"/>
      <w:lang w:val="es-ES_tradnl" w:eastAsia="es-ES_tradnl"/>
    </w:rPr>
  </w:style>
  <w:style w:type="character" w:customStyle="1" w:styleId="Ttulo4Car">
    <w:name w:val="Título 4 Car"/>
    <w:basedOn w:val="Fuentedeprrafopredeter"/>
    <w:link w:val="Ttulo4"/>
    <w:rsid w:val="008527A9"/>
    <w:rPr>
      <w:rFonts w:ascii="Arial" w:eastAsia="Times New Roman" w:hAnsi="Arial" w:cs="Times New Roman"/>
      <w:i/>
      <w:sz w:val="14"/>
      <w:szCs w:val="20"/>
      <w:lang w:val="es-ES_tradnl" w:eastAsia="es-ES_tradnl"/>
    </w:rPr>
  </w:style>
  <w:style w:type="paragraph" w:styleId="Subttulo">
    <w:name w:val="Subtitle"/>
    <w:basedOn w:val="Normal"/>
    <w:next w:val="Normal"/>
    <w:link w:val="SubttuloCar"/>
    <w:qFormat/>
    <w:rsid w:val="008527A9"/>
    <w:pPr>
      <w:spacing w:after="60" w:line="240" w:lineRule="auto"/>
      <w:jc w:val="center"/>
      <w:outlineLvl w:val="1"/>
    </w:pPr>
    <w:rPr>
      <w:rFonts w:ascii="Cambria" w:hAnsi="Cambria"/>
      <w:szCs w:val="24"/>
    </w:rPr>
  </w:style>
  <w:style w:type="character" w:customStyle="1" w:styleId="SubttuloCar">
    <w:name w:val="Subtítulo Car"/>
    <w:basedOn w:val="Fuentedeprrafopredeter"/>
    <w:link w:val="Subttulo"/>
    <w:rsid w:val="008527A9"/>
    <w:rPr>
      <w:rFonts w:ascii="Cambria" w:eastAsia="Times New Roman" w:hAnsi="Cambria" w:cs="Times New Roman"/>
      <w:sz w:val="24"/>
      <w:szCs w:val="24"/>
      <w:lang w:val="es-ES_tradnl" w:eastAsia="es-ES_tradnl"/>
    </w:rPr>
  </w:style>
  <w:style w:type="character" w:styleId="Textoennegrita">
    <w:name w:val="Strong"/>
    <w:qFormat/>
    <w:rsid w:val="008527A9"/>
    <w:rPr>
      <w:b/>
      <w:bCs/>
    </w:rPr>
  </w:style>
  <w:style w:type="paragraph" w:styleId="Textoindependiente2">
    <w:name w:val="Body Text 2"/>
    <w:basedOn w:val="Normal"/>
    <w:link w:val="Textoindependiente2Car"/>
    <w:rsid w:val="008527A9"/>
    <w:rPr>
      <w:rFonts w:ascii="Arial" w:hAnsi="Arial"/>
      <w:b/>
    </w:rPr>
  </w:style>
  <w:style w:type="character" w:customStyle="1" w:styleId="Textoindependiente2Car">
    <w:name w:val="Texto independiente 2 Car"/>
    <w:basedOn w:val="Fuentedeprrafopredeter"/>
    <w:link w:val="Textoindependiente2"/>
    <w:rsid w:val="008527A9"/>
    <w:rPr>
      <w:rFonts w:ascii="Arial" w:eastAsia="Times New Roman" w:hAnsi="Arial" w:cs="Times New Roman"/>
      <w:b/>
      <w:sz w:val="24"/>
      <w:szCs w:val="20"/>
      <w:lang w:val="es-ES_tradnl" w:eastAsia="es-ES_tradnl"/>
    </w:rPr>
  </w:style>
  <w:style w:type="paragraph" w:styleId="Textoindependiente3">
    <w:name w:val="Body Text 3"/>
    <w:basedOn w:val="Normal"/>
    <w:link w:val="Textoindependiente3Car"/>
    <w:uiPriority w:val="99"/>
    <w:semiHidden/>
    <w:unhideWhenUsed/>
    <w:rsid w:val="008527A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527A9"/>
    <w:rPr>
      <w:rFonts w:ascii="Times New Roman" w:eastAsia="Times New Roman" w:hAnsi="Times New Roman" w:cs="Times New Roman"/>
      <w:sz w:val="16"/>
      <w:szCs w:val="16"/>
      <w:lang w:val="es-ES_tradnl" w:eastAsia="es-ES_tradnl"/>
    </w:rPr>
  </w:style>
  <w:style w:type="paragraph" w:styleId="NormalWeb">
    <w:name w:val="Normal (Web)"/>
    <w:basedOn w:val="Normal"/>
    <w:rsid w:val="008527A9"/>
    <w:pPr>
      <w:spacing w:before="100" w:beforeAutospacing="1" w:after="100" w:afterAutospacing="1" w:line="240" w:lineRule="auto"/>
      <w:jc w:val="left"/>
    </w:pPr>
    <w:rPr>
      <w:color w:val="663300"/>
      <w:szCs w:val="24"/>
    </w:rPr>
  </w:style>
  <w:style w:type="paragraph" w:styleId="Piedepgina">
    <w:name w:val="footer"/>
    <w:basedOn w:val="Normal"/>
    <w:link w:val="PiedepginaCar"/>
    <w:uiPriority w:val="99"/>
    <w:rsid w:val="008527A9"/>
    <w:pPr>
      <w:tabs>
        <w:tab w:val="center" w:pos="4819"/>
        <w:tab w:val="right" w:pos="9071"/>
      </w:tabs>
      <w:spacing w:line="240" w:lineRule="auto"/>
      <w:jc w:val="left"/>
    </w:pPr>
  </w:style>
  <w:style w:type="character" w:customStyle="1" w:styleId="PiedepginaCar">
    <w:name w:val="Pie de página Car"/>
    <w:basedOn w:val="Fuentedeprrafopredeter"/>
    <w:link w:val="Piedepgina"/>
    <w:uiPriority w:val="99"/>
    <w:rsid w:val="008527A9"/>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8527A9"/>
    <w:pPr>
      <w:tabs>
        <w:tab w:val="center" w:pos="4819"/>
        <w:tab w:val="right" w:pos="9071"/>
      </w:tabs>
      <w:spacing w:line="240" w:lineRule="auto"/>
      <w:jc w:val="left"/>
    </w:pPr>
  </w:style>
  <w:style w:type="character" w:customStyle="1" w:styleId="EncabezadoCar">
    <w:name w:val="Encabezado Car"/>
    <w:basedOn w:val="Fuentedeprrafopredeter"/>
    <w:link w:val="Encabezado"/>
    <w:rsid w:val="008527A9"/>
    <w:rPr>
      <w:rFonts w:ascii="Times New Roman" w:eastAsia="Times New Roman" w:hAnsi="Times New Roman" w:cs="Times New Roman"/>
      <w:sz w:val="24"/>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790DD-1B22-4C02-97E1-8D01EC75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1917</Words>
  <Characters>10544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Zabaleta Alvarez, Carlos</dc:creator>
  <cp:lastModifiedBy>Olabegoya Echevarria, Arantxa</cp:lastModifiedBy>
  <cp:revision>2</cp:revision>
  <dcterms:created xsi:type="dcterms:W3CDTF">2014-11-19T10:07:00Z</dcterms:created>
  <dcterms:modified xsi:type="dcterms:W3CDTF">2014-11-19T10:07:00Z</dcterms:modified>
</cp:coreProperties>
</file>