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F2" w:rsidRDefault="003607F2" w:rsidP="003607F2">
      <w:pPr>
        <w:spacing w:line="360" w:lineRule="auto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3607F2" w:rsidRPr="001F49D4" w:rsidRDefault="003607F2" w:rsidP="003607F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zCs w:val="24"/>
        </w:rPr>
      </w:pPr>
      <w:r w:rsidRPr="001F49D4">
        <w:rPr>
          <w:rFonts w:ascii="Arial" w:hAnsi="Arial" w:cs="Arial"/>
          <w:b/>
          <w:szCs w:val="24"/>
        </w:rPr>
        <w:t xml:space="preserve">INFORME </w:t>
      </w:r>
      <w:r>
        <w:rPr>
          <w:rFonts w:ascii="Arial" w:hAnsi="Arial" w:cs="Arial"/>
          <w:b/>
          <w:szCs w:val="24"/>
        </w:rPr>
        <w:t xml:space="preserve">SOBRE </w:t>
      </w:r>
      <w:r w:rsidRPr="001F49D4">
        <w:rPr>
          <w:rFonts w:ascii="Arial" w:hAnsi="Arial" w:cs="Arial"/>
          <w:b/>
          <w:szCs w:val="24"/>
        </w:rPr>
        <w:t>LA CUESTION PLANTEADA POR EL DEPARTAMENTO DE DESARROLLO ECONOMICO Y COMPETITIVIDAD EN RELACION AL PERSONAL DE LAS ESCUELAS DE FORMACION AGRARIA Y NAUTICO-PESQUERAS.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Pr="001F49D4" w:rsidRDefault="003607F2" w:rsidP="003607F2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  <w:r w:rsidRPr="001F49D4">
        <w:rPr>
          <w:rFonts w:ascii="Arial" w:hAnsi="Arial" w:cs="Arial"/>
          <w:b/>
          <w:szCs w:val="24"/>
          <w:u w:val="single"/>
        </w:rPr>
        <w:t>ANTECEDENTES.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El día 17 de enero de 2014 se recibe en la Dirección de Desarrollo Legislativo y Control Normativo escrito del Di</w:t>
      </w:r>
      <w:r w:rsidRPr="005A1D65">
        <w:rPr>
          <w:rFonts w:ascii="Arial" w:hAnsi="Arial" w:cs="Arial"/>
          <w:szCs w:val="24"/>
        </w:rPr>
        <w:t xml:space="preserve">rector de Servicios del Departamento de </w:t>
      </w:r>
      <w:r>
        <w:rPr>
          <w:rFonts w:ascii="Arial" w:hAnsi="Arial" w:cs="Arial"/>
          <w:szCs w:val="24"/>
        </w:rPr>
        <w:t>Desarrollo Económico y Competitividad mediante el que se solicita in</w:t>
      </w:r>
      <w:r>
        <w:rPr>
          <w:rFonts w:ascii="Arial" w:hAnsi="Arial" w:cs="Arial"/>
        </w:rPr>
        <w:t>forme sobre la posibilidad de que el personal adscrito a las escuelas agrarias y náutico-pesqueras continúe dependiendo del Departamento de Educación, Política Lingüística y Cultura aunque la materia de formación agraria y náutico-pesquera se haya incorporado el Departamento de Desarrollo Económico y Competitividad.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 presente informe se emite en virtud de lo dispuesto en el artículo 13.1.a) del Decreto 188/2013, de 9 de abril, por el que se establece la estructura orgánica y funcional del Departamento de Administración Pública y Justicia.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Pr="001F49D4" w:rsidRDefault="003607F2" w:rsidP="003607F2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  <w:r w:rsidRPr="001F49D4">
        <w:rPr>
          <w:rFonts w:ascii="Arial" w:hAnsi="Arial" w:cs="Arial"/>
          <w:b/>
          <w:szCs w:val="24"/>
          <w:u w:val="single"/>
        </w:rPr>
        <w:t>CONSIDERACIONES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Como hemos dicho anteriormente la cuestión planteada por el Departamento de Desarrollo Económico y Competitividad es la siguiente: si atribuida la materia de formación agraria y náutico pesquera a dicho Departamento, podría seguir dependiendo del Departamento de Educación, Política Lingüística y Cultura el personal adscrito a esos centros de formación agraria y náutico-pesquera.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Efectivamente, el Decreto 8/2013, de 1 de marzo, de modificación del Decreto de creación, supresión y modificación de los Departamentos de la Administración de la Comunidad Autónoma del País Vasco y de determinadas funciones y áreas de actuación de los mismos, modifica el apartado s) del párrafo primero del Decreto 20/2012, de 10 de diciembre, del Lehendakari, de creación, supresión y modificación de los Departamentos de la Administración de la Comunidad Autónoma del País Vasco, y atribuye al Departamento de Desarrollo Económico y Competitividad el área de actuación relativa a la formación agraria y náutico-pesquera.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szCs w:val="24"/>
        </w:rPr>
        <w:t xml:space="preserve">En consecuencia, el Decreto 190/2013, de 19 de abril, por el que se establece la estructura orgánica y funcional del Departamento de Desarrollo Económico y Competitividad establece en su artículo 1.s) que corresponde a este Departamento el ejercicio de las </w:t>
      </w:r>
      <w:r>
        <w:rPr>
          <w:rFonts w:ascii="Arial" w:hAnsi="Arial" w:cs="Arial"/>
        </w:rPr>
        <w:t>funciones en materia de “</w:t>
      </w:r>
      <w:r w:rsidRPr="001F49D4">
        <w:rPr>
          <w:rFonts w:ascii="Arial" w:hAnsi="Arial" w:cs="Arial"/>
          <w:i/>
        </w:rPr>
        <w:t>formación agraria y náutico pesquera. Promoción de la capacitación profesional agraria y marítimo pesquera</w:t>
      </w:r>
      <w:r>
        <w:rPr>
          <w:rFonts w:ascii="Arial" w:hAnsi="Arial" w:cs="Arial"/>
          <w:i/>
        </w:rPr>
        <w:t>”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atribución al Departamento de Desarrollo Económico y Competitividad de esta materia, ejercida desde el año 2012 hasta la aprobación del Decreto 8/2013 por el Departamento de Educación, Política Lingüística y Cultura conlleva el correspondiente traspaso de medios personales y materiales entre ambos Departamentos.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Debe recordarse en lo que a los medios personales se refiere que el </w:t>
      </w:r>
      <w:r w:rsidRPr="00227F35">
        <w:rPr>
          <w:rFonts w:ascii="Arial" w:hAnsi="Arial" w:cs="Arial"/>
          <w:szCs w:val="24"/>
        </w:rPr>
        <w:t>artículo 18 de la Ley 6/1989</w:t>
      </w:r>
      <w:r>
        <w:rPr>
          <w:rFonts w:ascii="Arial" w:hAnsi="Arial" w:cs="Arial"/>
          <w:szCs w:val="24"/>
        </w:rPr>
        <w:t xml:space="preserve">, de 6 de julio, de la Función Pública Vasca </w:t>
      </w:r>
      <w:r w:rsidRPr="00227F35">
        <w:rPr>
          <w:rFonts w:ascii="Arial" w:hAnsi="Arial" w:cs="Arial"/>
          <w:szCs w:val="24"/>
        </w:rPr>
        <w:t>dispone que “</w:t>
      </w:r>
      <w:r w:rsidRPr="002D7582">
        <w:rPr>
          <w:rFonts w:ascii="Arial" w:hAnsi="Arial" w:cs="Arial"/>
          <w:i/>
          <w:szCs w:val="24"/>
        </w:rPr>
        <w:t>La aprobación de modificaciones en la estructura orgánica exigirá, simultáneamente, la de las correspondientes relaciones de puestos de trabajo.</w:t>
      </w:r>
    </w:p>
    <w:p w:rsidR="003607F2" w:rsidRPr="00227F35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la Disposición Adicional Cuarta del Decreto 190/2013 contiene la siguiente previsión: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</w:p>
    <w:p w:rsidR="003607F2" w:rsidRPr="003B3C26" w:rsidRDefault="003607F2" w:rsidP="003607F2">
      <w:pPr>
        <w:spacing w:line="360" w:lineRule="auto"/>
        <w:ind w:left="708"/>
        <w:rPr>
          <w:rFonts w:ascii="Arial" w:hAnsi="Arial" w:cs="Arial"/>
          <w:i/>
          <w:szCs w:val="24"/>
          <w:lang w:val="es-ES" w:eastAsia="es-ES"/>
        </w:rPr>
      </w:pPr>
      <w:r w:rsidRPr="003B3C26">
        <w:rPr>
          <w:rFonts w:ascii="Arial" w:hAnsi="Arial" w:cs="Arial"/>
          <w:i/>
          <w:szCs w:val="24"/>
          <w:lang w:val="es-ES" w:eastAsia="es-ES"/>
        </w:rPr>
        <w:t>DISPOSICIÓN ADICIONAL CUARTA.- Centros docentes de formación agraria y náutico-pesquera.</w:t>
      </w:r>
    </w:p>
    <w:p w:rsidR="003607F2" w:rsidRPr="003B3C26" w:rsidRDefault="003607F2" w:rsidP="003607F2">
      <w:pPr>
        <w:spacing w:line="360" w:lineRule="auto"/>
        <w:ind w:left="708"/>
        <w:jc w:val="both"/>
        <w:rPr>
          <w:rFonts w:ascii="Arial" w:hAnsi="Arial" w:cs="Arial"/>
          <w:i/>
          <w:szCs w:val="24"/>
          <w:lang w:val="es-ES" w:eastAsia="es-ES"/>
        </w:rPr>
      </w:pPr>
      <w:r w:rsidRPr="003B3C26">
        <w:rPr>
          <w:rFonts w:ascii="Arial" w:hAnsi="Arial" w:cs="Arial"/>
          <w:i/>
          <w:szCs w:val="24"/>
          <w:lang w:val="es-ES" w:eastAsia="es-ES"/>
        </w:rPr>
        <w:lastRenderedPageBreak/>
        <w:t>Con anterioridad al 31 de agosto de 2013, mediante Orden conjunta de ambos Departamentos, se efectuará el traspaso del Departamento de Educación, Política Lingüística y Cultura al Departamento Desarrollo Económico y Competitividad de los medios adscritos a la gestión de los siguientes centros docentes:</w:t>
      </w:r>
    </w:p>
    <w:p w:rsidR="003607F2" w:rsidRPr="003B3C26" w:rsidRDefault="003607F2" w:rsidP="003607F2">
      <w:pPr>
        <w:spacing w:line="360" w:lineRule="auto"/>
        <w:ind w:left="708"/>
        <w:rPr>
          <w:rFonts w:ascii="Arial" w:hAnsi="Arial" w:cs="Arial"/>
          <w:i/>
          <w:szCs w:val="24"/>
          <w:lang w:val="es-ES" w:eastAsia="es-ES"/>
        </w:rPr>
      </w:pPr>
      <w:r w:rsidRPr="003B3C26">
        <w:rPr>
          <w:rFonts w:ascii="Arial" w:hAnsi="Arial" w:cs="Arial"/>
          <w:i/>
          <w:szCs w:val="24"/>
          <w:lang w:val="es-ES" w:eastAsia="es-ES"/>
        </w:rPr>
        <w:t>- IES «Escuela Agraria Derio / Derio Nekazaritza Eskola».</w:t>
      </w:r>
    </w:p>
    <w:p w:rsidR="003607F2" w:rsidRPr="003B3C26" w:rsidRDefault="003607F2" w:rsidP="003607F2">
      <w:pPr>
        <w:spacing w:line="360" w:lineRule="auto"/>
        <w:ind w:left="708"/>
        <w:rPr>
          <w:rFonts w:ascii="Arial" w:hAnsi="Arial" w:cs="Arial"/>
          <w:i/>
          <w:szCs w:val="24"/>
          <w:lang w:val="es-ES" w:eastAsia="es-ES"/>
        </w:rPr>
      </w:pPr>
      <w:r w:rsidRPr="003B3C26">
        <w:rPr>
          <w:rFonts w:ascii="Arial" w:hAnsi="Arial" w:cs="Arial"/>
          <w:i/>
          <w:szCs w:val="24"/>
          <w:lang w:val="es-ES" w:eastAsia="es-ES"/>
        </w:rPr>
        <w:t>- IES «Arkaute Nekazaritza Institutua / Instituto Agrario Arkaute» BHI.</w:t>
      </w:r>
    </w:p>
    <w:p w:rsidR="003607F2" w:rsidRPr="003B3C26" w:rsidRDefault="003607F2" w:rsidP="003607F2">
      <w:pPr>
        <w:spacing w:line="360" w:lineRule="auto"/>
        <w:ind w:left="708"/>
        <w:rPr>
          <w:rFonts w:ascii="Arial" w:hAnsi="Arial" w:cs="Arial"/>
          <w:i/>
          <w:szCs w:val="24"/>
          <w:lang w:val="es-ES" w:eastAsia="es-ES"/>
        </w:rPr>
      </w:pPr>
      <w:r w:rsidRPr="003B3C26">
        <w:rPr>
          <w:rFonts w:ascii="Arial" w:hAnsi="Arial" w:cs="Arial"/>
          <w:i/>
          <w:szCs w:val="24"/>
          <w:lang w:val="es-ES" w:eastAsia="es-ES"/>
        </w:rPr>
        <w:t>- IES «Náutico Pesquero de Pasaia - Blas de Lezo» BHI.</w:t>
      </w:r>
    </w:p>
    <w:p w:rsidR="003607F2" w:rsidRPr="003B3C26" w:rsidRDefault="003607F2" w:rsidP="003607F2">
      <w:pPr>
        <w:spacing w:line="360" w:lineRule="auto"/>
        <w:ind w:left="708"/>
        <w:rPr>
          <w:rFonts w:ascii="Arial" w:hAnsi="Arial" w:cs="Arial"/>
          <w:i/>
          <w:szCs w:val="24"/>
          <w:lang w:val="es-ES" w:eastAsia="es-ES"/>
        </w:rPr>
      </w:pPr>
      <w:r w:rsidRPr="003B3C26">
        <w:rPr>
          <w:rFonts w:ascii="Arial" w:hAnsi="Arial" w:cs="Arial"/>
          <w:i/>
          <w:szCs w:val="24"/>
          <w:lang w:val="es-ES" w:eastAsia="es-ES"/>
        </w:rPr>
        <w:t>- IES «Fraisoro Eskola» BHI.</w:t>
      </w:r>
    </w:p>
    <w:p w:rsidR="003607F2" w:rsidRPr="003B3C26" w:rsidRDefault="003607F2" w:rsidP="003607F2">
      <w:pPr>
        <w:spacing w:line="360" w:lineRule="auto"/>
        <w:ind w:left="708"/>
        <w:rPr>
          <w:rFonts w:ascii="Arial" w:hAnsi="Arial" w:cs="Arial"/>
          <w:i/>
          <w:szCs w:val="24"/>
          <w:lang w:val="es-ES" w:eastAsia="es-ES"/>
        </w:rPr>
      </w:pPr>
      <w:r w:rsidRPr="003B3C26">
        <w:rPr>
          <w:rFonts w:ascii="Arial" w:hAnsi="Arial" w:cs="Arial"/>
          <w:i/>
          <w:szCs w:val="24"/>
          <w:lang w:val="es-ES" w:eastAsia="es-ES"/>
        </w:rPr>
        <w:t>- IES «Escuela de Formación Profesional Náutico Pesquera de Bermeo / Bermeoko Nautika eta Arrantzako Lanbide Heziketako Eskola» BHI.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</w:rPr>
      </w:pPr>
    </w:p>
    <w:p w:rsidR="003607F2" w:rsidRPr="003B3C26" w:rsidRDefault="003607F2" w:rsidP="003607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las previsiones normativas anteriormente mencionadas, procede el traspaso de todos los medios </w:t>
      </w:r>
      <w:r w:rsidRPr="003B3C26">
        <w:rPr>
          <w:rFonts w:ascii="Arial" w:hAnsi="Arial" w:cs="Arial"/>
        </w:rPr>
        <w:t>–tanto personales como materiales- adscritos a los centros</w:t>
      </w:r>
      <w:r>
        <w:rPr>
          <w:rFonts w:ascii="Arial" w:hAnsi="Arial" w:cs="Arial"/>
        </w:rPr>
        <w:t xml:space="preserve"> de formación agraria y náutico-pesqueras </w:t>
      </w:r>
      <w:r w:rsidRPr="003B3C26">
        <w:rPr>
          <w:rFonts w:ascii="Arial" w:hAnsi="Arial" w:cs="Arial"/>
        </w:rPr>
        <w:t>del D</w:t>
      </w:r>
      <w:r>
        <w:rPr>
          <w:rFonts w:ascii="Arial" w:hAnsi="Arial" w:cs="Arial"/>
        </w:rPr>
        <w:t>e</w:t>
      </w:r>
      <w:r w:rsidRPr="003B3C26">
        <w:rPr>
          <w:rFonts w:ascii="Arial" w:hAnsi="Arial" w:cs="Arial"/>
        </w:rPr>
        <w:t>partamento de Educación, Política Lingüística y Cultura al Departamento de Promoción Económica y Competitividad.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  <w:r w:rsidRPr="00516D68">
        <w:rPr>
          <w:rFonts w:ascii="Arial" w:hAnsi="Arial" w:cs="Arial"/>
        </w:rPr>
        <w:t>Sentado lo anterior y centrándonos ya en la cuestión planteada, entendemos</w:t>
      </w:r>
      <w:r>
        <w:rPr>
          <w:rFonts w:ascii="Arial" w:hAnsi="Arial" w:cs="Arial"/>
        </w:rPr>
        <w:t>,</w:t>
      </w:r>
      <w:r w:rsidRPr="00516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las razones que más adelante exponemos, que n</w:t>
      </w:r>
      <w:r w:rsidRPr="00516D68">
        <w:rPr>
          <w:rFonts w:ascii="Arial" w:hAnsi="Arial" w:cs="Arial"/>
        </w:rPr>
        <w:t xml:space="preserve">o resulta posible adscribir al Departamento de Desarrollo Económico y Competitividad todos los medios personales de esos centros y </w:t>
      </w:r>
      <w:r>
        <w:rPr>
          <w:rFonts w:ascii="Arial" w:hAnsi="Arial" w:cs="Arial"/>
        </w:rPr>
        <w:t>mantener al mismo tiempo la dependencia funcional de ese personal del D</w:t>
      </w:r>
      <w:r w:rsidRPr="00516D68">
        <w:rPr>
          <w:rFonts w:ascii="Arial" w:hAnsi="Arial" w:cs="Arial"/>
        </w:rPr>
        <w:t>epartamento de Educación, Política Lingüística y Cultura</w:t>
      </w:r>
      <w:r>
        <w:rPr>
          <w:rFonts w:ascii="Arial" w:hAnsi="Arial" w:cs="Arial"/>
        </w:rPr>
        <w:t>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</w:p>
    <w:p w:rsidR="003607F2" w:rsidRPr="00516D68" w:rsidRDefault="003607F2" w:rsidP="003607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16D68">
        <w:rPr>
          <w:rFonts w:ascii="Arial" w:hAnsi="Arial" w:cs="Arial"/>
        </w:rPr>
        <w:t>l artículo 26 de la Ley 7/1981, de 30 de junio, de Gobierno, establece que corresponde a los Consejeros ejercer la representación, dirección, gestión e inspección del Departamento del que son titulares, en las competencias que le estén legalmente atribuidas.</w:t>
      </w:r>
    </w:p>
    <w:p w:rsidR="003607F2" w:rsidRPr="00516D68" w:rsidRDefault="003607F2" w:rsidP="003607F2">
      <w:pPr>
        <w:spacing w:line="360" w:lineRule="auto"/>
        <w:jc w:val="both"/>
        <w:rPr>
          <w:rFonts w:ascii="Arial" w:hAnsi="Arial" w:cs="Arial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mismo sentido, </w:t>
      </w:r>
      <w:r w:rsidRPr="00516D68">
        <w:rPr>
          <w:rFonts w:ascii="Arial" w:hAnsi="Arial" w:cs="Arial"/>
        </w:rPr>
        <w:t>el artículo 10 de la Ley 6/1989, de 6 de julio, de Función Pública, establece</w:t>
      </w:r>
      <w:r>
        <w:rPr>
          <w:rFonts w:ascii="Arial" w:hAnsi="Arial" w:cs="Arial"/>
        </w:rPr>
        <w:t>: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</w:rPr>
      </w:pPr>
    </w:p>
    <w:p w:rsidR="003607F2" w:rsidRPr="00637251" w:rsidRDefault="003607F2" w:rsidP="003607F2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637251">
        <w:rPr>
          <w:rFonts w:ascii="Arial" w:hAnsi="Arial" w:cs="Arial"/>
          <w:i/>
          <w:sz w:val="22"/>
          <w:szCs w:val="22"/>
        </w:rPr>
        <w:lastRenderedPageBreak/>
        <w:t>1.-Corresponde a cada Departamento en relación con el personal adscrito al mismo: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a) designar al personal eventual y contratar al personal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laboral temporal,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b) resolver los expedientes de compatibilidad,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c) proveer los puestos de trabajo de libre designación,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previa convocatoria pública,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d) declarar las jubilaciones forzosas y por incapacidad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física,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e) proponer las relaciones de puestos de trabajo,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f) adscribir provisionalmente al desempeño de puestos de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trabajo y conferir comisiones de servicios, cuando no supongan cambio de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Departamento,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g) designar la representación propia del Departamento en la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negociación con los representantes de los funcionarios y del personal laboral,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h) ejercer las potestades disciplinarias conforme a las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disposiciones vigentes, excepto la separación definitiva del servicio y el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despido, en el caso de personal laboral,</w:t>
      </w:r>
    </w:p>
    <w:p w:rsidR="003607F2" w:rsidRPr="00637251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i) conceder licencias, y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j) en general, la jefatura de personal y los actos de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administración y gestión ordinaria, así como cuantas otras funciones le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atribuya la normativa vigente.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2.- Las competencias enumeradas en el apartado anterior se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ejercerán por los órganos del Departamento conforme a la distribución que al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efecto se establezca en su decreto de estructura orgánica y con sujeción a las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normas de procedimiento que reglamentariamente se determinen.</w:t>
      </w:r>
    </w:p>
    <w:p w:rsidR="003607F2" w:rsidRPr="00516D68" w:rsidRDefault="003607F2" w:rsidP="0036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516D68">
        <w:rPr>
          <w:rFonts w:ascii="Arial" w:hAnsi="Arial" w:cs="Arial"/>
          <w:i/>
          <w:sz w:val="22"/>
          <w:szCs w:val="22"/>
          <w:lang w:val="es-ES" w:eastAsia="es-ES"/>
        </w:rPr>
        <w:t>3.- Las competencias a que se refiere el presente artículo,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con excepción de la designación del personal eventual, corresponderán a los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Directores de los Organismos Autónomos respecto al personal adscrito a los</w:t>
      </w:r>
      <w:r w:rsidRPr="00637251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Pr="00516D68">
        <w:rPr>
          <w:rFonts w:ascii="Arial" w:hAnsi="Arial" w:cs="Arial"/>
          <w:i/>
          <w:sz w:val="22"/>
          <w:szCs w:val="22"/>
          <w:lang w:val="es-ES" w:eastAsia="es-ES"/>
        </w:rPr>
        <w:t>mismos.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  <w:szCs w:val="24"/>
        </w:rPr>
      </w:pPr>
    </w:p>
    <w:p w:rsidR="003607F2" w:rsidRPr="00637251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  <w:r w:rsidRPr="00637251">
        <w:rPr>
          <w:rFonts w:ascii="Arial" w:hAnsi="Arial" w:cs="Arial"/>
          <w:szCs w:val="24"/>
        </w:rPr>
        <w:t xml:space="preserve">En </w:t>
      </w:r>
      <w:r>
        <w:rPr>
          <w:rFonts w:ascii="Arial" w:hAnsi="Arial" w:cs="Arial"/>
          <w:szCs w:val="24"/>
        </w:rPr>
        <w:t xml:space="preserve">el caso del Departamento de Desarrollo Económico y Competitividad, el </w:t>
      </w:r>
      <w:r w:rsidRPr="00637251">
        <w:rPr>
          <w:rFonts w:ascii="Arial" w:hAnsi="Arial" w:cs="Arial"/>
          <w:szCs w:val="24"/>
        </w:rPr>
        <w:t xml:space="preserve"> artículo 5 del Decreto 190/2013 </w:t>
      </w:r>
      <w:r>
        <w:rPr>
          <w:rFonts w:ascii="Arial" w:hAnsi="Arial" w:cs="Arial"/>
          <w:szCs w:val="24"/>
        </w:rPr>
        <w:t xml:space="preserve">atribuye a la </w:t>
      </w:r>
      <w:r w:rsidRPr="00637251">
        <w:rPr>
          <w:rFonts w:ascii="Arial" w:hAnsi="Arial" w:cs="Arial"/>
          <w:szCs w:val="24"/>
        </w:rPr>
        <w:t>Dirección de Servicios, bajo la dependencia directa y jerárquica de la Consejera, ejercer la jefatura de personal adscrito al Departamento y gestionar las cuestiones relativas al mismo</w:t>
      </w:r>
      <w:r>
        <w:rPr>
          <w:rFonts w:ascii="Arial" w:hAnsi="Arial" w:cs="Arial"/>
          <w:szCs w:val="24"/>
        </w:rPr>
        <w:t xml:space="preserve"> y el artículo 19 d</w:t>
      </w:r>
      <w:r w:rsidRPr="00637251">
        <w:rPr>
          <w:rFonts w:ascii="Arial" w:hAnsi="Arial" w:cs="Arial"/>
          <w:szCs w:val="24"/>
        </w:rPr>
        <w:t>ispone que corresponde a la Dirección de Desarrollo Rural y Litoral y Políticas Europeas el ejercicio de, en</w:t>
      </w:r>
      <w:r>
        <w:rPr>
          <w:rFonts w:ascii="Arial" w:hAnsi="Arial" w:cs="Arial"/>
          <w:szCs w:val="24"/>
        </w:rPr>
        <w:t xml:space="preserve"> lo que aquí interesa</w:t>
      </w:r>
      <w:r w:rsidRPr="00637251">
        <w:rPr>
          <w:rFonts w:ascii="Arial" w:hAnsi="Arial" w:cs="Arial"/>
          <w:szCs w:val="24"/>
        </w:rPr>
        <w:t xml:space="preserve">s, </w:t>
      </w:r>
      <w:r>
        <w:rPr>
          <w:rFonts w:ascii="Arial" w:hAnsi="Arial" w:cs="Arial"/>
          <w:szCs w:val="24"/>
        </w:rPr>
        <w:t xml:space="preserve">de </w:t>
      </w:r>
      <w:r w:rsidRPr="00637251">
        <w:rPr>
          <w:rFonts w:ascii="Arial" w:hAnsi="Arial" w:cs="Arial"/>
          <w:szCs w:val="24"/>
        </w:rPr>
        <w:t>las siguientes atribuciones: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n) Formación agraria y náutico-pesquera. Promoción de la capacitación profesional en materia agraria, pesquera y del medio rural e impulso, de forma coordinada con otras instituciones y agentes implicados, de las actuaciones en </w:t>
      </w:r>
      <w:r>
        <w:rPr>
          <w:rFonts w:ascii="Arial" w:hAnsi="Arial" w:cs="Arial"/>
          <w:i/>
          <w:szCs w:val="24"/>
        </w:rPr>
        <w:lastRenderedPageBreak/>
        <w:t>materia de formación profesional para el empleo y la adecuada integración entre la demanda empresarial sobre capacitación profesional y la oferta formativa.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ñ) Proponer al Departamento de Educación, Política Lingüística y Cultura los programas culturales de formación reglada agraria, pesquera y rural.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i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 conclusión, diferentes órganos del Departamento </w:t>
      </w:r>
      <w:r w:rsidRPr="00637251">
        <w:rPr>
          <w:rFonts w:ascii="Arial" w:hAnsi="Arial" w:cs="Arial"/>
          <w:szCs w:val="24"/>
        </w:rPr>
        <w:t xml:space="preserve">de Desarrollo Económico y Competitividad </w:t>
      </w:r>
      <w:r>
        <w:rPr>
          <w:rFonts w:ascii="Arial" w:hAnsi="Arial" w:cs="Arial"/>
          <w:szCs w:val="24"/>
        </w:rPr>
        <w:t>tienen atribuido el ejercicio de la competencia, íncluida la de personal, de las escuelas de formación agraria y náutico-pesqueras, y a dichos órganos corresponde, de conformidad con la normativa vigente, el ejercicio de esas competencias</w:t>
      </w:r>
      <w:r w:rsidRPr="002B7F0E">
        <w:rPr>
          <w:rFonts w:ascii="Arial" w:hAnsi="Arial" w:cs="Arial"/>
          <w:szCs w:val="24"/>
        </w:rPr>
        <w:t>. En consecuencia, no corresponde que, en este caso y atribuida la competencia al departamento de Desarrollo económico y competitividad, el personal adscrito a esos centros siga dependiendo del departamento de Educación, Política Lingüística y Cultura.</w:t>
      </w: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Este es mi informe que someto a cualquier otro mejor fundado en derecho.</w:t>
      </w:r>
    </w:p>
    <w:p w:rsidR="003607F2" w:rsidRDefault="003607F2" w:rsidP="003607F2">
      <w:pPr>
        <w:spacing w:line="360" w:lineRule="auto"/>
        <w:jc w:val="both"/>
        <w:rPr>
          <w:rFonts w:ascii="Arial" w:hAnsi="Arial"/>
          <w:szCs w:val="24"/>
        </w:rPr>
      </w:pPr>
    </w:p>
    <w:p w:rsidR="003607F2" w:rsidRDefault="00CA25A0" w:rsidP="003607F2">
      <w:pPr>
        <w:spacing w:line="360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En Vitoria-Gasteiz, a 23 de enero de 2014</w:t>
      </w:r>
    </w:p>
    <w:p w:rsidR="00CA25A0" w:rsidRDefault="00CA25A0" w:rsidP="003607F2">
      <w:pPr>
        <w:spacing w:line="360" w:lineRule="auto"/>
        <w:jc w:val="both"/>
        <w:rPr>
          <w:rFonts w:ascii="Arial" w:hAnsi="Arial"/>
          <w:szCs w:val="24"/>
        </w:rPr>
      </w:pPr>
    </w:p>
    <w:p w:rsidR="003607F2" w:rsidRDefault="003607F2" w:rsidP="003607F2">
      <w:pPr>
        <w:spacing w:line="360" w:lineRule="auto"/>
        <w:jc w:val="both"/>
        <w:rPr>
          <w:rFonts w:ascii="Arial" w:hAnsi="Arial"/>
          <w:szCs w:val="24"/>
        </w:rPr>
      </w:pPr>
    </w:p>
    <w:p w:rsidR="00CA25A0" w:rsidRDefault="00CA25A0" w:rsidP="003607F2">
      <w:pPr>
        <w:spacing w:line="360" w:lineRule="auto"/>
        <w:jc w:val="both"/>
        <w:rPr>
          <w:rFonts w:ascii="Arial" w:hAnsi="Arial"/>
          <w:szCs w:val="24"/>
        </w:rPr>
      </w:pPr>
    </w:p>
    <w:p w:rsidR="003607F2" w:rsidRDefault="00CA25A0" w:rsidP="00CA25A0">
      <w:pPr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Fdo.: Agurtzane Zanguitu</w:t>
      </w:r>
    </w:p>
    <w:p w:rsidR="00CA25A0" w:rsidRDefault="00CA25A0" w:rsidP="00CA25A0">
      <w:pPr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Letrada</w:t>
      </w:r>
    </w:p>
    <w:p w:rsidR="00360013" w:rsidRPr="00043F61" w:rsidRDefault="00360013" w:rsidP="00043F61">
      <w:pPr>
        <w:pStyle w:val="Subttulo"/>
        <w:rPr>
          <w:rStyle w:val="Textoennegrita"/>
        </w:rPr>
      </w:pPr>
    </w:p>
    <w:sectPr w:rsidR="00360013" w:rsidRPr="00043F6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3E" w:rsidRDefault="00F2063E">
      <w:r>
        <w:separator/>
      </w:r>
    </w:p>
  </w:endnote>
  <w:endnote w:type="continuationSeparator" w:id="0">
    <w:p w:rsidR="00F2063E" w:rsidRDefault="00F2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A0" w:rsidRDefault="00CA25A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2063E" w:rsidRPr="00F2063E">
      <w:rPr>
        <w:noProof/>
        <w:lang w:val="es-ES"/>
      </w:rPr>
      <w:t>5</w:t>
    </w:r>
    <w:r>
      <w:fldChar w:fldCharType="end"/>
    </w:r>
  </w:p>
  <w:p w:rsidR="00CA25A0" w:rsidRDefault="00CA25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A0" w:rsidRDefault="00CA25A0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CA25A0" w:rsidRDefault="00CA25A0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86 30 – Fax 945 01 87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3E" w:rsidRDefault="00F2063E">
      <w:r>
        <w:separator/>
      </w:r>
    </w:p>
  </w:footnote>
  <w:footnote w:type="continuationSeparator" w:id="0">
    <w:p w:rsidR="00F2063E" w:rsidRDefault="00F2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A0" w:rsidRDefault="00CA25A0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463224533" r:id="rId2"/>
      </w:object>
    </w:r>
  </w:p>
  <w:p w:rsidR="00CA25A0" w:rsidRDefault="00CA25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A0" w:rsidRDefault="00F2063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5A0" w:rsidRDefault="00CA25A0" w:rsidP="006538E3">
                          <w:pPr>
                            <w:pStyle w:val="Ttulo2"/>
                            <w:spacing w:after="35"/>
                            <w:ind w:right="-69"/>
                          </w:pPr>
                          <w:r>
                            <w:t>DEPARTAMENTO DE ADMINISTRACIÓN PÚBLICA Y JUSTICIA</w:t>
                          </w:r>
                        </w:p>
                        <w:p w:rsidR="00CA25A0" w:rsidRDefault="00CA25A0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Régimen Jurídico</w:t>
                          </w:r>
                        </w:p>
                        <w:p w:rsidR="00CA25A0" w:rsidRDefault="00CA25A0">
                          <w:pPr>
                            <w:pStyle w:val="Ttulo4"/>
                          </w:pPr>
                          <w:r>
                            <w:t>Dirección de Desarrollo Legislativo y Control Normativo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y4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" o:allowincell="f" filled="f" stroked="f">
              <v:textbox>
                <w:txbxContent>
                  <w:p w:rsidR="00CA25A0" w:rsidRDefault="00CA25A0" w:rsidP="006538E3">
                    <w:pPr>
                      <w:pStyle w:val="Ttulo2"/>
                      <w:spacing w:after="35"/>
                      <w:ind w:right="-69"/>
                    </w:pPr>
                    <w:r>
                      <w:t>DEPARTAMENTO DE ADMINISTRACIÓN PÚBLICA Y JUSTICIA</w:t>
                    </w:r>
                  </w:p>
                  <w:p w:rsidR="00CA25A0" w:rsidRDefault="00CA25A0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Régimen Jurídico</w:t>
                    </w:r>
                  </w:p>
                  <w:p w:rsidR="00CA25A0" w:rsidRDefault="00CA25A0">
                    <w:pPr>
                      <w:pStyle w:val="Ttulo4"/>
                    </w:pPr>
                    <w:r>
                      <w:t>Dirección de Desarrollo Legislativo y Control Normativo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454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5A0" w:rsidRDefault="00CA25A0" w:rsidP="00DE4B60">
                          <w:pPr>
                            <w:pStyle w:val="Ttulo2"/>
                          </w:pPr>
                          <w:r>
                            <w:t>HERRI ADMINISTRAZIO ETA JUSTIZIA SAILA</w:t>
                          </w:r>
                        </w:p>
                        <w:p w:rsidR="00CA25A0" w:rsidRDefault="00CA25A0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Araubide Juridikoaren Sailburuordetza</w:t>
                          </w:r>
                        </w:p>
                        <w:p w:rsidR="00CA25A0" w:rsidRDefault="00CA25A0">
                          <w:pPr>
                            <w:pStyle w:val="Ttulo4"/>
                          </w:pPr>
                          <w:r>
                            <w:t>Lege Garapen eta Arau Kontrolerako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5.95pt;margin-top:67.2pt;width:139.25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DAy1dl&#10;3wAAAAsBAAAPAAAAAAAAAAAAAAAAABEFAABkcnMvZG93bnJldi54bWxQSwUGAAAAAAQABADzAAAA&#10;HQYAAAAA&#10;" o:allowincell="f" filled="f" stroked="f">
              <v:textbox>
                <w:txbxContent>
                  <w:p w:rsidR="00CA25A0" w:rsidRDefault="00CA25A0" w:rsidP="00DE4B60">
                    <w:pPr>
                      <w:pStyle w:val="Ttulo2"/>
                    </w:pPr>
                    <w:r>
                      <w:t>HERRI ADMINISTRAZIO ETA JUSTIZIA SAILA</w:t>
                    </w:r>
                  </w:p>
                  <w:p w:rsidR="00CA25A0" w:rsidRDefault="00CA25A0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Araubide Juridikoaren Sailburuordetza</w:t>
                    </w:r>
                  </w:p>
                  <w:p w:rsidR="00CA25A0" w:rsidRDefault="00CA25A0">
                    <w:pPr>
                      <w:pStyle w:val="Ttulo4"/>
                    </w:pPr>
                    <w:r>
                      <w:t>Lege Garapen eta Arau Kontrolerako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CA25A0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463224534" r:id="rId2"/>
      </w:object>
    </w:r>
  </w:p>
  <w:p w:rsidR="00CA25A0" w:rsidRDefault="00CA25A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A25A0" w:rsidRDefault="00CA25A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A25A0" w:rsidRDefault="00CA25A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A25A0" w:rsidRDefault="00CA25A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A25A0" w:rsidRDefault="00CA25A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A25A0" w:rsidRDefault="00CA25A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CA25A0" w:rsidRDefault="00CA25A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3E"/>
    <w:rsid w:val="00043F61"/>
    <w:rsid w:val="001772D9"/>
    <w:rsid w:val="00360013"/>
    <w:rsid w:val="003607F2"/>
    <w:rsid w:val="003E3E5E"/>
    <w:rsid w:val="00410A3C"/>
    <w:rsid w:val="006538E3"/>
    <w:rsid w:val="006C35DB"/>
    <w:rsid w:val="007956DD"/>
    <w:rsid w:val="008D6141"/>
    <w:rsid w:val="00BF1045"/>
    <w:rsid w:val="00CA25A0"/>
    <w:rsid w:val="00D60B32"/>
    <w:rsid w:val="00DE4B60"/>
    <w:rsid w:val="00EF0D5F"/>
    <w:rsid w:val="00F2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7F2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character" w:customStyle="1" w:styleId="PiedepginaCar">
    <w:name w:val="Pie de página Car"/>
    <w:link w:val="Piedepgina"/>
    <w:uiPriority w:val="99"/>
    <w:rsid w:val="00CA25A0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CA25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A25A0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7F2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character" w:customStyle="1" w:styleId="PiedepginaCar">
    <w:name w:val="Pie de página Car"/>
    <w:link w:val="Piedepgina"/>
    <w:uiPriority w:val="99"/>
    <w:rsid w:val="00CA25A0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CA25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A25A0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XPEDIENTES%202014\BIKANDI%202014%20TXOSTENAK\Informe%20DDLCN%20cuesti&#243;n%20planteada%20en%20torno%20a%20las%20escuelas%20nautico-pesquer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C1CD-15D9-4660-A909-AA1CCB26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DDLCN cuestión planteada en torno a las escuelas nautico-pesqueras.dot</Template>
  <TotalTime>0</TotalTime>
  <Pages>5</Pages>
  <Words>1264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Olabegoya Echevarria, Arantxa</dc:creator>
  <cp:lastModifiedBy>Olabegoya Echevarria, Arantxa</cp:lastModifiedBy>
  <cp:revision>1</cp:revision>
  <cp:lastPrinted>2014-01-23T10:55:00Z</cp:lastPrinted>
  <dcterms:created xsi:type="dcterms:W3CDTF">2014-06-02T12:26:00Z</dcterms:created>
  <dcterms:modified xsi:type="dcterms:W3CDTF">2014-06-02T12:26:00Z</dcterms:modified>
</cp:coreProperties>
</file>