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AA" w:rsidRPr="00CB3AF1" w:rsidRDefault="00BD2BAA" w:rsidP="00BD2BAA">
      <w:pPr>
        <w:pBdr>
          <w:bottom w:val="single" w:sz="12" w:space="1" w:color="auto"/>
        </w:pBdr>
        <w:spacing w:line="360" w:lineRule="auto"/>
        <w:jc w:val="both"/>
        <w:rPr>
          <w:rFonts w:ascii="Arial Narrow" w:hAnsi="Arial Narrow" w:cs="Arial"/>
          <w:b/>
          <w:szCs w:val="24"/>
        </w:rPr>
      </w:pPr>
      <w:bookmarkStart w:id="0" w:name="_GoBack"/>
      <w:bookmarkEnd w:id="0"/>
      <w:r w:rsidRPr="00CB3AF1">
        <w:rPr>
          <w:rFonts w:ascii="Arial Narrow" w:hAnsi="Arial Narrow" w:cs="Arial"/>
          <w:b/>
          <w:szCs w:val="24"/>
        </w:rPr>
        <w:t>INFORME DE LEGALIDAD RELATIVO AL PROYECTO DE ORDEN DE LA CONSEJERA DE EDUCACION, POLITICA LINGÜÍSTICA Y CULTURA POR LA QUE SE REGULAN LAS ENSEÑANZAS NO REGLADAS DE LUTERIA EN LA RAMA DE INSTRUMENTOS DE ARCO Y SE IMPLANTA SU PLAN DE ESTUDIOS EN EL CONSERVATORIO PROFESIONAL DE MUSICA JUAN CRISOSTOMO DE ARRIAGA</w:t>
      </w:r>
    </w:p>
    <w:p w:rsidR="00BD2BAA" w:rsidRDefault="00BD2BAA" w:rsidP="00BD2BAA">
      <w:pPr>
        <w:spacing w:line="360" w:lineRule="auto"/>
        <w:jc w:val="both"/>
        <w:rPr>
          <w:rFonts w:ascii="Arial Narrow" w:hAnsi="Arial Narrow" w:cs="Arial"/>
          <w:b/>
          <w:szCs w:val="24"/>
        </w:rPr>
      </w:pPr>
    </w:p>
    <w:p w:rsidR="00D63982" w:rsidRPr="00CB3AF1" w:rsidRDefault="00D63982" w:rsidP="00BD2BAA">
      <w:pPr>
        <w:spacing w:line="360" w:lineRule="auto"/>
        <w:jc w:val="both"/>
        <w:rPr>
          <w:rFonts w:ascii="Arial Narrow" w:hAnsi="Arial Narrow" w:cs="Arial"/>
          <w:b/>
          <w:szCs w:val="24"/>
        </w:rPr>
      </w:pPr>
      <w:r>
        <w:rPr>
          <w:rFonts w:ascii="Arial Narrow" w:hAnsi="Arial Narrow" w:cs="Arial"/>
          <w:b/>
          <w:szCs w:val="24"/>
        </w:rPr>
        <w:t>Ref.: 027/2014 IL</w:t>
      </w:r>
    </w:p>
    <w:p w:rsidR="00BD2BAA" w:rsidRPr="00CB3AF1" w:rsidRDefault="00BD2BAA" w:rsidP="00BD2BAA">
      <w:pPr>
        <w:spacing w:line="360" w:lineRule="auto"/>
        <w:jc w:val="center"/>
        <w:rPr>
          <w:rFonts w:ascii="Arial Narrow" w:hAnsi="Arial Narrow" w:cs="Arial"/>
          <w:b/>
          <w:szCs w:val="24"/>
          <w:u w:val="single"/>
          <w:lang w:val="es-ES"/>
        </w:rPr>
      </w:pPr>
      <w:r w:rsidRPr="00CB3AF1">
        <w:rPr>
          <w:rFonts w:ascii="Arial Narrow" w:hAnsi="Arial Narrow" w:cs="Arial"/>
          <w:b/>
          <w:szCs w:val="24"/>
          <w:lang w:val="es-ES"/>
        </w:rPr>
        <w:t>I. ANTECEDENTES</w:t>
      </w:r>
    </w:p>
    <w:p w:rsidR="00BD2BAA" w:rsidRPr="00CB3AF1" w:rsidRDefault="00BD2BAA" w:rsidP="00BD2BAA">
      <w:pPr>
        <w:spacing w:line="360" w:lineRule="auto"/>
        <w:jc w:val="both"/>
        <w:rPr>
          <w:rFonts w:ascii="Arial Narrow" w:hAnsi="Arial Narrow" w:cs="Arial"/>
          <w:szCs w:val="24"/>
          <w:lang w:val="es-ES"/>
        </w:rPr>
      </w:pPr>
    </w:p>
    <w:p w:rsidR="00BD2BAA" w:rsidRPr="00CB3AF1" w:rsidRDefault="00BD2BAA" w:rsidP="00BD2BAA">
      <w:pPr>
        <w:spacing w:line="360" w:lineRule="auto"/>
        <w:jc w:val="both"/>
        <w:rPr>
          <w:rFonts w:ascii="Arial Narrow" w:hAnsi="Arial Narrow" w:cs="Arial"/>
          <w:szCs w:val="24"/>
        </w:rPr>
      </w:pPr>
      <w:r w:rsidRPr="00CB3AF1">
        <w:rPr>
          <w:rFonts w:ascii="Arial Narrow" w:hAnsi="Arial Narrow" w:cs="Arial"/>
          <w:szCs w:val="24"/>
        </w:rPr>
        <w:t xml:space="preserve">La Viceconsejería de Educación del Departamento de Educación, Política Lingüística y Cultura ha solicitado el preceptivo informe de legalidad en relación al proyecto de Orden referido en el encabezamiento. </w:t>
      </w:r>
    </w:p>
    <w:p w:rsidR="00BD2BAA" w:rsidRPr="00CB3AF1" w:rsidRDefault="00BD2BAA" w:rsidP="00BD2BAA">
      <w:pPr>
        <w:spacing w:line="360" w:lineRule="auto"/>
        <w:jc w:val="both"/>
        <w:rPr>
          <w:rFonts w:ascii="Arial Narrow" w:hAnsi="Arial Narrow" w:cs="Arial"/>
          <w:szCs w:val="24"/>
        </w:rPr>
      </w:pPr>
    </w:p>
    <w:p w:rsidR="00BD2BAA" w:rsidRPr="00CB3AF1" w:rsidRDefault="00BD2BAA" w:rsidP="00BD2BAA">
      <w:pPr>
        <w:spacing w:line="360" w:lineRule="auto"/>
        <w:jc w:val="both"/>
        <w:rPr>
          <w:rFonts w:ascii="Arial Narrow" w:hAnsi="Arial Narrow"/>
          <w:szCs w:val="24"/>
          <w:lang w:val="es-ES"/>
        </w:rPr>
      </w:pPr>
      <w:r w:rsidRPr="00CB3AF1">
        <w:rPr>
          <w:rFonts w:ascii="Arial Narrow" w:hAnsi="Arial Narrow"/>
          <w:szCs w:val="24"/>
          <w:lang w:val="es-ES"/>
        </w:rPr>
        <w:t xml:space="preserve">El presente informe se emite en virtud de las competencias que al Departamento de Administración Pública y Justicia y a la Dirección de Desarrollo Legislativo y Control Normativo de la Viceconsejería de Régimen Jurídico, confieren, respectivamente, el artículo </w:t>
      </w:r>
      <w:r>
        <w:rPr>
          <w:rFonts w:ascii="Arial Narrow" w:hAnsi="Arial Narrow"/>
          <w:szCs w:val="24"/>
          <w:lang w:val="es-ES"/>
        </w:rPr>
        <w:t>6</w:t>
      </w:r>
      <w:r w:rsidRPr="00CB3AF1">
        <w:rPr>
          <w:rFonts w:ascii="Arial Narrow" w:hAnsi="Arial Narrow"/>
          <w:szCs w:val="24"/>
          <w:lang w:val="es-ES"/>
        </w:rPr>
        <w:t xml:space="preserve">.1 </w:t>
      </w:r>
      <w:r>
        <w:rPr>
          <w:rFonts w:ascii="Arial Narrow" w:hAnsi="Arial Narrow"/>
          <w:szCs w:val="24"/>
          <w:lang w:val="es-ES"/>
        </w:rPr>
        <w:t>h</w:t>
      </w:r>
      <w:r w:rsidRPr="00CB3AF1">
        <w:rPr>
          <w:rFonts w:ascii="Arial Narrow" w:hAnsi="Arial Narrow"/>
          <w:szCs w:val="24"/>
          <w:lang w:val="es-ES"/>
        </w:rPr>
        <w:t xml:space="preserve">) del Decreto </w:t>
      </w:r>
      <w:r>
        <w:rPr>
          <w:rFonts w:ascii="Arial Narrow" w:hAnsi="Arial Narrow"/>
          <w:szCs w:val="24"/>
          <w:lang w:val="es-ES"/>
        </w:rPr>
        <w:t>20</w:t>
      </w:r>
      <w:r w:rsidRPr="00CB3AF1">
        <w:rPr>
          <w:rFonts w:ascii="Arial Narrow" w:hAnsi="Arial Narrow"/>
          <w:szCs w:val="24"/>
          <w:lang w:val="es-ES"/>
        </w:rPr>
        <w:t>/20</w:t>
      </w:r>
      <w:r>
        <w:rPr>
          <w:rFonts w:ascii="Arial Narrow" w:hAnsi="Arial Narrow"/>
          <w:szCs w:val="24"/>
          <w:lang w:val="es-ES"/>
        </w:rPr>
        <w:t>12</w:t>
      </w:r>
      <w:r w:rsidRPr="00CB3AF1">
        <w:rPr>
          <w:rFonts w:ascii="Arial Narrow" w:hAnsi="Arial Narrow"/>
          <w:szCs w:val="24"/>
          <w:lang w:val="es-ES"/>
        </w:rPr>
        <w:t xml:space="preserve">, de </w:t>
      </w:r>
      <w:r>
        <w:rPr>
          <w:rFonts w:ascii="Arial Narrow" w:hAnsi="Arial Narrow"/>
          <w:szCs w:val="24"/>
          <w:lang w:val="es-ES"/>
        </w:rPr>
        <w:t>15</w:t>
      </w:r>
      <w:r w:rsidRPr="00CB3AF1">
        <w:rPr>
          <w:rFonts w:ascii="Arial Narrow" w:hAnsi="Arial Narrow"/>
          <w:szCs w:val="24"/>
          <w:lang w:val="es-ES"/>
        </w:rPr>
        <w:t xml:space="preserve"> de </w:t>
      </w:r>
      <w:r>
        <w:rPr>
          <w:rFonts w:ascii="Arial Narrow" w:hAnsi="Arial Narrow"/>
          <w:szCs w:val="24"/>
          <w:lang w:val="es-ES"/>
        </w:rPr>
        <w:t>diciembre</w:t>
      </w:r>
      <w:r w:rsidRPr="00CB3AF1">
        <w:rPr>
          <w:rFonts w:ascii="Arial Narrow" w:hAnsi="Arial Narrow"/>
          <w:szCs w:val="24"/>
          <w:lang w:val="es-ES"/>
        </w:rPr>
        <w:t xml:space="preserve">, del Lehendakari, de creación, supresión y modificación de los Departamentos de la Administración de </w:t>
      </w:r>
      <w:smartTag w:uri="urn:schemas-microsoft-com:office:smarttags" w:element="PersonName">
        <w:smartTagPr>
          <w:attr w:name="ProductID" w:val="ヹ킸ミ㦘ϊω鹸ʳ!ŦĈ؈ѥ⥐ʵ⡀ʵšĈ偔皔⠘ʵʮ함ʲ&#10;ŬĈ݄҆⪠ʯ⫰ʯ&#10;ŷČD〡À䘀崄誈ᳫᇉါ恈&#10;ŽĈdÈĬźČdatesŇĈ覠ヹ峈&quot;衐ヹ킸ミʲ✨ʵ⫠ʵ!ŏĈ砰&quot;⫰ʯ⠘ʵŊĈReleaseŕĎC:\Documents and Settings\AZANGITU\Datos de programaĦĈAddRefġĈReleaseĬČ㍰\ĪĈ2C:\ARCHIV~1\ARCHIV~1\MICROS~1\SMARTT~1\FPERSON.DLLļĈ텰ミ鹸ʳ䜠&quot;쪼フ膀ᘈʯ⫠ʵ孕ᑲ䐀䄀吀伀䘰Ā&#10;Ďč콠ݚ⭸ʵ敃瑲汄佬数卮獹整卭潴敲牐癯&#10;&#10;Ĕċ畈#⯈ʵꠈψ㪈ϊ牃灹䑴汬潃癮牥側扵楬䭣祥湉潦&#10;ĚĈ션睋섬睋﯐睌Ӻ0ⶔ箊ૉᇑ沉쀀뙏쒿dows\CurCLSID\{7B8A2D94-0AC9-11D1-896C-00C04FB6BFC4}F埨&quot;ǾČÊÌⳠʵӼC:\WINDOWS\WinSxS\x86_Microsoft.Windows.Common-Controls_6595b64144ccf1df_6.0.2600.2982_x-ww_ac3f9c03\&amp;Ǒĉ借俠⃐㫪ၩ〫鴰䌯尺尀㄀㜀堽ၒ䐀䍏䵕繅1䐀̀Ѐ톾洼孒꨽ᑭ䐀漀挀甀洀攀渀琀猀 愀渀搀 匀攀琀琀椀渀最猀᠀䈀㄀✀氽၊䄀䱌单繅1⨀̀Ѐ톾洼孒밽ᑲ䄀氀氀 唀猀攀爀猀᠀娀㄀턀⸼ᅕ䴀久义繉1䈀̀Ѐ톾紼孒꨽ᑭⰀ䴀攀渀切 䤀渀椀挀椀漀䀀桳汥㍬⸲汤ⱬ㈭㜱㘸᠀Ȁ&#10;&amp;ƻĈࢰύ࣠ύࣸύईύ0젊젊&#10;ƎĈ&#10;.rdpƈĈ IsCaptionDynamicg䱄LƑĐENƝĈ.iniŧĈῌʵエʵἸʵŢĈ툰ミ䘰¬ヌʵじʵ ŭČ뇐ヺ툄ミ놠ヺ䘰⊜ベ゠ʵ ŴĈぼʵㅨʵ【ʵſĈEXTENDERźĈ툰ミ䘰µㆌʵㄘʵ ŅČ뇐ヺ툄ミ놠ヺ䘰⊜ベㅠʵ ŌĈㄼʵ㈘ʵエʵŗĈLAŔĈ툰ミ䘰¸&#10;㈼ʵ㇈ʵ şČ뇐ヺ툄ミ놠ヺ䘰⊜ベ㈐ʵ ĦĈ㇬ʵ㋘ʵㅨʵġĈPRODUCCIONĬĈ툰ミ䘰Ã ㋼ʵ㊈ʵ ķČ뇐ヺ툄ミ놠ヺ䘰⊜ベ㋐ʵ ľĈ㊬ʵ㎘ʵ㈘ʵĹĈEDITORIALĄĈ툰ミ䘰Í ㎼ʵ㍈ʵ ďČ뇐ヺ툄ミ놠ヺ䘰⊜ベ㎐ʵ ĖĈ㍬ʵ㑘ʵ㋘ʵđĈREALIZADAĜĈ툰ミ䘰×㑼ʵ㐈ʵ ǧČ뇐ヺ툄ミ놠ヺ䘰⊜ベ㑐ʵ ǮĈ㐬ʵ㔈ʵ㎘ʵǩĈENǶĈ툰ミ䘰Ú㔬ʵ㒸ʵ ǱČ뇐ヺ툄ミ놠ヺ䘰⊜ベ㔀ʵ ǸĈ㓜ʵ㗈ʵ㑘ʵǃĈEUSKERAǎĈ툰ミ䘰â㗬ʵ㕸ʵ ǉČ뇐ヺ툄ミ놠ヺ䘰⊜ベ㗀ʵ ǐĈ㖜ʵ㙸ʵ㔈ʵǛĈENǘĈ툰ミ䘰å㚜ʵ㘨ʵ ƣČ뇐ヺ툄ミ놠ヺ䘰⊜ベ㙰ʵ ƪĈ㙌ʵ㜨ʵ㗈ʵƵĈLAƲĈ툰ミ䘰è㝌ʵ㛘ʵ ƽČ뇐ヺ툄ミ놠ヺ䘰⊜ベ㜠ʵ ƄĈ㛼ʵ㟘ʵ㙸ʵƏĈCAPVƌĈ툰ミ䘰í㟼ʵ㞈ʵ ƗČ뇐ヺ툄ミ놠ヺ䘰⊜ベ㟐ʵ ƞĈ㞬ʵ㢈ʵ㜨ʵƙĈAŦĈ툰ミ䘰ï㢬ʵ㠸ʵ šČ뇐ヺ툄ミ놠ヺ䘰⊜ベ㢀ʵ"/>
        </w:smartTagPr>
        <w:r w:rsidRPr="00CB3AF1">
          <w:rPr>
            <w:rFonts w:ascii="Arial Narrow" w:hAnsi="Arial Narrow"/>
            <w:szCs w:val="24"/>
            <w:lang w:val="es-ES"/>
          </w:rPr>
          <w:t>la Comunidad Autónoma</w:t>
        </w:r>
      </w:smartTag>
      <w:r w:rsidRPr="00CB3AF1">
        <w:rPr>
          <w:rFonts w:ascii="Arial Narrow" w:hAnsi="Arial Narrow"/>
          <w:szCs w:val="24"/>
          <w:lang w:val="es-ES"/>
        </w:rPr>
        <w:t xml:space="preserve"> del País Vasco y de determinación de funciones y áreas de actuación de los mismos, y </w:t>
      </w:r>
      <w:r>
        <w:rPr>
          <w:rFonts w:ascii="Arial Narrow" w:hAnsi="Arial Narrow"/>
          <w:szCs w:val="24"/>
          <w:lang w:val="es-ES"/>
        </w:rPr>
        <w:t>el artículo 13.</w:t>
      </w:r>
      <w:r w:rsidRPr="00CB3AF1">
        <w:rPr>
          <w:rFonts w:ascii="Arial Narrow" w:hAnsi="Arial Narrow"/>
          <w:szCs w:val="24"/>
          <w:lang w:val="es-ES"/>
        </w:rPr>
        <w:t xml:space="preserve">1.c) del Decreto </w:t>
      </w:r>
      <w:r>
        <w:rPr>
          <w:rFonts w:ascii="Arial Narrow" w:hAnsi="Arial Narrow"/>
          <w:szCs w:val="24"/>
          <w:lang w:val="es-ES"/>
        </w:rPr>
        <w:t>188</w:t>
      </w:r>
      <w:r w:rsidRPr="00CB3AF1">
        <w:rPr>
          <w:rFonts w:ascii="Arial Narrow" w:hAnsi="Arial Narrow"/>
          <w:szCs w:val="24"/>
          <w:lang w:val="es-ES"/>
        </w:rPr>
        <w:t>/20</w:t>
      </w:r>
      <w:r>
        <w:rPr>
          <w:rFonts w:ascii="Arial Narrow" w:hAnsi="Arial Narrow"/>
          <w:szCs w:val="24"/>
          <w:lang w:val="es-ES"/>
        </w:rPr>
        <w:t>13</w:t>
      </w:r>
      <w:r w:rsidRPr="00CB3AF1">
        <w:rPr>
          <w:rFonts w:ascii="Arial Narrow" w:hAnsi="Arial Narrow"/>
          <w:szCs w:val="24"/>
          <w:lang w:val="es-ES"/>
        </w:rPr>
        <w:t xml:space="preserve">, de </w:t>
      </w:r>
      <w:r>
        <w:rPr>
          <w:rFonts w:ascii="Arial Narrow" w:hAnsi="Arial Narrow"/>
          <w:szCs w:val="24"/>
          <w:lang w:val="es-ES"/>
        </w:rPr>
        <w:t xml:space="preserve">9 de abril, </w:t>
      </w:r>
      <w:r w:rsidRPr="00CB3AF1">
        <w:rPr>
          <w:rFonts w:ascii="Arial Narrow" w:hAnsi="Arial Narrow"/>
          <w:szCs w:val="24"/>
          <w:lang w:val="es-ES"/>
        </w:rPr>
        <w:t>por el que se establece la estructura orgánica y funcional del Departamento de Administración Pública</w:t>
      </w:r>
      <w:r>
        <w:rPr>
          <w:rFonts w:ascii="Arial Narrow" w:hAnsi="Arial Narrow"/>
          <w:szCs w:val="24"/>
          <w:lang w:val="es-ES"/>
        </w:rPr>
        <w:t xml:space="preserve"> y Justicia</w:t>
      </w:r>
      <w:r w:rsidRPr="00CB3AF1">
        <w:rPr>
          <w:rFonts w:ascii="Arial Narrow" w:hAnsi="Arial Narrow"/>
          <w:szCs w:val="24"/>
          <w:lang w:val="es-ES"/>
        </w:rPr>
        <w:t>.</w:t>
      </w:r>
    </w:p>
    <w:p w:rsidR="00BD2BAA" w:rsidRPr="00CB3AF1" w:rsidRDefault="00BD2BAA" w:rsidP="00BD2BAA">
      <w:pPr>
        <w:pStyle w:val="Textoindependiente2"/>
        <w:widowControl w:val="0"/>
        <w:spacing w:after="0" w:line="360" w:lineRule="auto"/>
        <w:jc w:val="both"/>
        <w:rPr>
          <w:rFonts w:ascii="Arial Narrow" w:hAnsi="Arial Narrow" w:cs="Arial"/>
          <w:szCs w:val="24"/>
          <w:lang w:val="es-ES"/>
        </w:rPr>
      </w:pPr>
    </w:p>
    <w:p w:rsidR="00BD2BAA" w:rsidRPr="00CB3AF1" w:rsidRDefault="00BD2BAA" w:rsidP="00BD2BAA">
      <w:pPr>
        <w:autoSpaceDE w:val="0"/>
        <w:autoSpaceDN w:val="0"/>
        <w:adjustRightInd w:val="0"/>
        <w:spacing w:line="360" w:lineRule="auto"/>
        <w:jc w:val="center"/>
        <w:rPr>
          <w:rFonts w:ascii="Arial Narrow" w:hAnsi="Arial Narrow" w:cs="Arial"/>
          <w:b/>
          <w:szCs w:val="24"/>
        </w:rPr>
      </w:pPr>
      <w:r w:rsidRPr="00CB3AF1">
        <w:rPr>
          <w:rFonts w:ascii="Arial Narrow" w:hAnsi="Arial Narrow" w:cs="Arial"/>
          <w:b/>
          <w:szCs w:val="24"/>
          <w:lang w:eastAsia="es-ES"/>
        </w:rPr>
        <w:t>II. LEGALIDAD</w:t>
      </w:r>
    </w:p>
    <w:p w:rsidR="00BD2BAA" w:rsidRPr="00CB3AF1" w:rsidRDefault="00BD2BAA" w:rsidP="00BD2BAA">
      <w:pPr>
        <w:spacing w:line="360" w:lineRule="auto"/>
        <w:jc w:val="both"/>
        <w:rPr>
          <w:rFonts w:ascii="Arial Narrow" w:hAnsi="Arial Narrow" w:cs="Arial"/>
          <w:szCs w:val="24"/>
        </w:rPr>
      </w:pPr>
    </w:p>
    <w:p w:rsidR="00BD2BAA" w:rsidRPr="00CB3AF1" w:rsidRDefault="00BD2BAA" w:rsidP="00BD2BAA">
      <w:pPr>
        <w:spacing w:line="360" w:lineRule="auto"/>
        <w:jc w:val="both"/>
        <w:rPr>
          <w:rFonts w:ascii="Arial Narrow" w:hAnsi="Arial Narrow" w:cs="Arial"/>
          <w:b/>
          <w:szCs w:val="24"/>
          <w:u w:val="single"/>
        </w:rPr>
      </w:pPr>
      <w:r w:rsidRPr="00CB3AF1">
        <w:rPr>
          <w:rFonts w:ascii="Arial Narrow" w:hAnsi="Arial Narrow" w:cs="Arial"/>
          <w:b/>
          <w:szCs w:val="24"/>
          <w:u w:val="single"/>
        </w:rPr>
        <w:t>II.1. Análisis competencial</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 xml:space="preserve">La competencia que atribuye al País Vasco el artículo 16 del Estatuto de Autonomía ha de ejercerse respetando las competencias estatales en materia educativa que derivan sobre todo del artículo 149.1.30 de la Constitución que atribuye al Estado, conforme a la doctrina constitucional, dos competencias diferenciadas: 1) la competencia para regular las condiciones </w:t>
      </w:r>
      <w:r w:rsidRPr="00CB3AF1">
        <w:rPr>
          <w:rFonts w:ascii="Arial Narrow" w:hAnsi="Arial Narrow"/>
          <w:szCs w:val="24"/>
        </w:rPr>
        <w:lastRenderedPageBreak/>
        <w:t>de obtención, expedición y homologación de títulos académicos y profesionales, y 2) la competencia sobre las normas básicas para el desarrollo del artículo 27 CE a fin de garantizar el cumplimiento de las obligaciones de los poderes públicos en esta materia.</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pStyle w:val="seccion1"/>
        <w:spacing w:before="0" w:after="0" w:line="360" w:lineRule="auto"/>
        <w:ind w:left="0" w:right="0"/>
        <w:jc w:val="both"/>
        <w:rPr>
          <w:rFonts w:ascii="Arial Narrow" w:hAnsi="Arial Narrow"/>
          <w:b w:val="0"/>
          <w:i w:val="0"/>
          <w:color w:val="333333"/>
        </w:rPr>
      </w:pPr>
      <w:r w:rsidRPr="00CB3AF1">
        <w:rPr>
          <w:rFonts w:ascii="Arial Narrow" w:hAnsi="Arial Narrow"/>
          <w:b w:val="0"/>
          <w:i w:val="0"/>
        </w:rPr>
        <w:t>La Ley Orgánica 2/2006, de 3 de mayo, de Educación, establece,</w:t>
      </w:r>
      <w:r>
        <w:rPr>
          <w:rFonts w:ascii="Arial Narrow" w:hAnsi="Arial Narrow"/>
          <w:b w:val="0"/>
          <w:i w:val="0"/>
        </w:rPr>
        <w:t xml:space="preserve"> </w:t>
      </w:r>
      <w:r w:rsidRPr="00CB3AF1">
        <w:rPr>
          <w:rFonts w:ascii="Arial Narrow" w:hAnsi="Arial Narrow"/>
          <w:b w:val="0"/>
          <w:i w:val="0"/>
        </w:rPr>
        <w:t>en relación con las e</w:t>
      </w:r>
      <w:r w:rsidRPr="00CB3AF1">
        <w:rPr>
          <w:rFonts w:ascii="Arial Narrow" w:hAnsi="Arial Narrow"/>
          <w:b w:val="0"/>
          <w:i w:val="0"/>
          <w:color w:val="333333"/>
        </w:rPr>
        <w:t>nseñanzas elementales y profesionales de música y de danza, lo siguiente:</w:t>
      </w:r>
    </w:p>
    <w:p w:rsidR="00BD2BAA" w:rsidRPr="00CB3AF1" w:rsidRDefault="00BD2BAA" w:rsidP="00BD2BAA">
      <w:pPr>
        <w:pStyle w:val="parrafo1"/>
        <w:rPr>
          <w:rFonts w:ascii="Arial Narrow" w:hAnsi="Arial Narrow"/>
          <w:i/>
          <w:color w:val="333333"/>
        </w:rPr>
      </w:pPr>
      <w:r w:rsidRPr="00CB3AF1">
        <w:rPr>
          <w:rFonts w:ascii="Arial Narrow" w:hAnsi="Arial Narrow"/>
          <w:i/>
          <w:color w:val="333333"/>
        </w:rPr>
        <w:t>1. …</w:t>
      </w:r>
    </w:p>
    <w:p w:rsidR="00BD2BAA" w:rsidRPr="00CB3AF1" w:rsidRDefault="00BD2BAA" w:rsidP="00BD2BAA">
      <w:pPr>
        <w:pStyle w:val="parrafo1"/>
        <w:rPr>
          <w:rFonts w:ascii="Arial Narrow" w:hAnsi="Arial Narrow"/>
          <w:i/>
          <w:color w:val="333333"/>
        </w:rPr>
      </w:pPr>
      <w:r w:rsidRPr="00CB3AF1">
        <w:rPr>
          <w:rFonts w:ascii="Arial Narrow" w:hAnsi="Arial Narrow"/>
          <w:i/>
          <w:color w:val="333333"/>
        </w:rPr>
        <w:t>(…)</w:t>
      </w:r>
    </w:p>
    <w:p w:rsidR="00BD2BAA" w:rsidRPr="00CB3AF1" w:rsidRDefault="00BD2BAA" w:rsidP="00BD2BAA">
      <w:pPr>
        <w:pStyle w:val="parrafo1"/>
        <w:ind w:left="426" w:firstLine="0"/>
        <w:rPr>
          <w:rFonts w:ascii="Arial Narrow" w:hAnsi="Arial Narrow"/>
          <w:b/>
          <w:color w:val="333333"/>
        </w:rPr>
      </w:pPr>
      <w:r w:rsidRPr="00CB3AF1">
        <w:rPr>
          <w:rFonts w:ascii="Arial Narrow" w:hAnsi="Arial Narrow"/>
          <w:color w:val="333333"/>
        </w:rPr>
        <w:t xml:space="preserve">3. Con independencia de lo establecido en los apartados anteriores, </w:t>
      </w:r>
      <w:r w:rsidRPr="00CB3AF1">
        <w:rPr>
          <w:rFonts w:ascii="Arial Narrow" w:hAnsi="Arial Narrow"/>
          <w:b/>
          <w:color w:val="333333"/>
        </w:rPr>
        <w:t>podrán cursarse estudios de música o de danza que no conduzcan a la obtención de títulos con validez académica o profesional en escuelas específicas, con organización y estructura diferentes y sin limitación de edad. Estas escuelas serán reguladas por las Administraciones educativas.</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En virtud de dicha previsión legal y dado que el objeto de la orden que nos ocupa regula estudios que no conducen a la obtención de títulos con validez académica o profesional, resulta competente para dicha regulación la Administración educativa de la Comunidad Autónoma del País Vasco.</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b/>
          <w:szCs w:val="24"/>
          <w:u w:val="single"/>
        </w:rPr>
      </w:pPr>
      <w:r w:rsidRPr="00CB3AF1">
        <w:rPr>
          <w:rFonts w:ascii="Arial Narrow" w:hAnsi="Arial Narrow"/>
          <w:b/>
          <w:szCs w:val="24"/>
          <w:u w:val="single"/>
        </w:rPr>
        <w:t>II.- Procedimiento de elaboración.</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El procedimiento de elaboración de las norma se ajusta a lo dispuesto en la Ley 8/2003, de 22 de diciembre, del procedimiento de elaboración de las disposiciones de carácter general, habiéndose recabado informe del servicio jurídico del Departamento proponente, así como los informes de la Dirección de Normalización Lingüística de las Administraciones Públicas, de Emakunde y del Consejo Asesor de Enseñanzas Musicales de Euskadi.</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b/>
          <w:szCs w:val="24"/>
          <w:u w:val="single"/>
        </w:rPr>
      </w:pPr>
      <w:r w:rsidRPr="00CB3AF1">
        <w:rPr>
          <w:rFonts w:ascii="Arial Narrow" w:hAnsi="Arial Narrow"/>
          <w:b/>
          <w:szCs w:val="24"/>
          <w:u w:val="single"/>
        </w:rPr>
        <w:t>III. Análisis del proyecto de Orden.</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 xml:space="preserve">El proyecto de Orden tiene como objeto regular las enseñanzas no regladas de </w:t>
      </w:r>
      <w:proofErr w:type="spellStart"/>
      <w:r w:rsidRPr="00CB3AF1">
        <w:rPr>
          <w:rFonts w:ascii="Arial Narrow" w:hAnsi="Arial Narrow"/>
          <w:szCs w:val="24"/>
        </w:rPr>
        <w:t>Luteria</w:t>
      </w:r>
      <w:proofErr w:type="spellEnd"/>
      <w:r w:rsidRPr="00CB3AF1">
        <w:rPr>
          <w:rFonts w:ascii="Arial Narrow" w:hAnsi="Arial Narrow"/>
          <w:szCs w:val="24"/>
        </w:rPr>
        <w:t xml:space="preserve"> en la rama de construcción de instrumentos de arco, al tiempo que establece su plan de estudios.</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Analizado el contenido del proyecto de Orden, procede realizar las siguientes observaciones:</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numPr>
          <w:ilvl w:val="0"/>
          <w:numId w:val="2"/>
        </w:numPr>
        <w:spacing w:line="360" w:lineRule="auto"/>
        <w:jc w:val="both"/>
        <w:rPr>
          <w:rFonts w:ascii="Arial Narrow" w:hAnsi="Arial Narrow"/>
          <w:szCs w:val="24"/>
        </w:rPr>
      </w:pPr>
      <w:r w:rsidRPr="00CB3AF1">
        <w:rPr>
          <w:rFonts w:ascii="Arial Narrow" w:hAnsi="Arial Narrow"/>
          <w:szCs w:val="24"/>
        </w:rPr>
        <w:lastRenderedPageBreak/>
        <w:t>En el preámbulo de la Orden se hace referencia al cambio cualitativo producido en la Formación Profesional y en concreto a la Ley Orgánica 5/2002. Entendemos que este párrafo debiera eliminarse porque no aporta nada y puede dar lugar a confusión sobre la naturaleza de los estudios que regula la Orden objeto de informe.</w:t>
      </w:r>
    </w:p>
    <w:p w:rsidR="00BD2BAA" w:rsidRPr="00CB3AF1" w:rsidRDefault="00BD2BAA" w:rsidP="00BD2BAA">
      <w:pPr>
        <w:spacing w:line="360" w:lineRule="auto"/>
        <w:jc w:val="both"/>
        <w:rPr>
          <w:rFonts w:ascii="Arial Narrow" w:hAnsi="Arial Narrow"/>
          <w:szCs w:val="24"/>
        </w:rPr>
      </w:pPr>
    </w:p>
    <w:p w:rsidR="00BD2BAA" w:rsidRPr="0077787E" w:rsidRDefault="00BD2BAA" w:rsidP="00BD2BAA">
      <w:pPr>
        <w:numPr>
          <w:ilvl w:val="0"/>
          <w:numId w:val="2"/>
        </w:numPr>
        <w:spacing w:line="360" w:lineRule="auto"/>
        <w:jc w:val="both"/>
        <w:rPr>
          <w:rFonts w:ascii="Arial Narrow" w:hAnsi="Arial Narrow"/>
          <w:b/>
          <w:i/>
          <w:szCs w:val="24"/>
        </w:rPr>
      </w:pPr>
      <w:r w:rsidRPr="00CB3AF1">
        <w:rPr>
          <w:rFonts w:ascii="Arial Narrow" w:hAnsi="Arial Narrow"/>
          <w:szCs w:val="24"/>
        </w:rPr>
        <w:t>El artículo 1 de la Orden que informamos establece que su objeto es “</w:t>
      </w:r>
      <w:r w:rsidRPr="00E06FB2">
        <w:rPr>
          <w:rFonts w:ascii="Arial Narrow" w:hAnsi="Arial Narrow"/>
          <w:i/>
          <w:szCs w:val="24"/>
        </w:rPr>
        <w:t xml:space="preserve">regular las enseñanzas no regladas de </w:t>
      </w:r>
      <w:proofErr w:type="spellStart"/>
      <w:r w:rsidRPr="00E06FB2">
        <w:rPr>
          <w:rFonts w:ascii="Arial Narrow" w:hAnsi="Arial Narrow"/>
          <w:i/>
          <w:szCs w:val="24"/>
        </w:rPr>
        <w:t>lutería</w:t>
      </w:r>
      <w:proofErr w:type="spellEnd"/>
      <w:r w:rsidRPr="00E06FB2">
        <w:rPr>
          <w:rFonts w:ascii="Arial Narrow" w:hAnsi="Arial Narrow"/>
          <w:i/>
          <w:szCs w:val="24"/>
        </w:rPr>
        <w:t xml:space="preserve"> en la rama de construcción de instrumentos de arco…”</w:t>
      </w:r>
      <w:r w:rsidRPr="00CB3AF1">
        <w:rPr>
          <w:rFonts w:ascii="Arial Narrow" w:hAnsi="Arial Narrow"/>
          <w:szCs w:val="24"/>
        </w:rPr>
        <w:t xml:space="preserve"> </w:t>
      </w:r>
      <w:r>
        <w:rPr>
          <w:rFonts w:ascii="Arial Narrow" w:hAnsi="Arial Narrow"/>
          <w:szCs w:val="24"/>
        </w:rPr>
        <w:t xml:space="preserve">mientras que en el </w:t>
      </w:r>
      <w:r w:rsidRPr="00CB3AF1">
        <w:rPr>
          <w:rFonts w:ascii="Arial Narrow" w:hAnsi="Arial Narrow"/>
          <w:szCs w:val="24"/>
        </w:rPr>
        <w:t>título de la Orden se dice “</w:t>
      </w:r>
      <w:r w:rsidRPr="0077787E">
        <w:rPr>
          <w:rFonts w:ascii="Arial Narrow" w:hAnsi="Arial Narrow"/>
          <w:i/>
          <w:szCs w:val="24"/>
        </w:rPr>
        <w:t xml:space="preserve">se regulan las enseñanzas no regladas de </w:t>
      </w:r>
      <w:proofErr w:type="spellStart"/>
      <w:r w:rsidRPr="0077787E">
        <w:rPr>
          <w:rFonts w:ascii="Arial Narrow" w:hAnsi="Arial Narrow"/>
          <w:i/>
          <w:szCs w:val="24"/>
        </w:rPr>
        <w:t>Lutería</w:t>
      </w:r>
      <w:proofErr w:type="spellEnd"/>
      <w:r w:rsidRPr="0077787E">
        <w:rPr>
          <w:rFonts w:ascii="Arial Narrow" w:hAnsi="Arial Narrow"/>
          <w:i/>
          <w:szCs w:val="24"/>
        </w:rPr>
        <w:t xml:space="preserve"> en la rama de instrumentos de arco….”</w:t>
      </w:r>
    </w:p>
    <w:p w:rsidR="00BD2BAA" w:rsidRDefault="00BD2BAA" w:rsidP="00BD2BAA">
      <w:pPr>
        <w:pStyle w:val="Prrafodelista"/>
        <w:rPr>
          <w:rFonts w:ascii="Arial Narrow" w:hAnsi="Arial Narrow"/>
          <w:b/>
          <w:i/>
          <w:szCs w:val="24"/>
        </w:rPr>
      </w:pPr>
    </w:p>
    <w:p w:rsidR="00BD2BAA" w:rsidRPr="00CB3AF1" w:rsidRDefault="00BD2BAA" w:rsidP="00BD2BAA">
      <w:pPr>
        <w:spacing w:line="360" w:lineRule="auto"/>
        <w:ind w:left="360"/>
        <w:jc w:val="both"/>
        <w:rPr>
          <w:rFonts w:ascii="Arial Narrow" w:hAnsi="Arial Narrow"/>
          <w:szCs w:val="24"/>
        </w:rPr>
      </w:pPr>
      <w:r w:rsidRPr="00CB3AF1">
        <w:rPr>
          <w:rFonts w:ascii="Arial Narrow" w:hAnsi="Arial Narrow"/>
          <w:szCs w:val="24"/>
        </w:rPr>
        <w:t xml:space="preserve">La denominación de la Orden y la definición de su objeto en el artículo 1 deberían </w:t>
      </w:r>
      <w:r>
        <w:rPr>
          <w:rFonts w:ascii="Arial Narrow" w:hAnsi="Arial Narrow"/>
          <w:szCs w:val="24"/>
        </w:rPr>
        <w:t xml:space="preserve">tener el </w:t>
      </w:r>
      <w:r w:rsidRPr="00CB3AF1">
        <w:rPr>
          <w:rFonts w:ascii="Arial Narrow" w:hAnsi="Arial Narrow"/>
          <w:szCs w:val="24"/>
        </w:rPr>
        <w:t>mismo tenor literal</w:t>
      </w:r>
      <w:r>
        <w:rPr>
          <w:rFonts w:ascii="Arial Narrow" w:hAnsi="Arial Narrow"/>
          <w:szCs w:val="24"/>
        </w:rPr>
        <w:t xml:space="preserve"> y resulta más precisa la definición que figura en el artículo 1.</w:t>
      </w:r>
    </w:p>
    <w:p w:rsidR="00BD2BAA" w:rsidRPr="00CB3AF1" w:rsidRDefault="00BD2BAA" w:rsidP="00BD2BAA">
      <w:pPr>
        <w:spacing w:line="360" w:lineRule="auto"/>
        <w:jc w:val="both"/>
        <w:rPr>
          <w:rFonts w:ascii="Arial Narrow" w:hAnsi="Arial Narrow"/>
          <w:szCs w:val="24"/>
        </w:rPr>
      </w:pPr>
    </w:p>
    <w:p w:rsidR="00BD2BAA" w:rsidRDefault="00BD2BAA" w:rsidP="00BD2BAA">
      <w:pPr>
        <w:numPr>
          <w:ilvl w:val="0"/>
          <w:numId w:val="2"/>
        </w:numPr>
        <w:spacing w:line="360" w:lineRule="auto"/>
        <w:jc w:val="both"/>
        <w:rPr>
          <w:rFonts w:ascii="Arial Narrow" w:hAnsi="Arial Narrow"/>
          <w:szCs w:val="24"/>
        </w:rPr>
      </w:pPr>
      <w:r w:rsidRPr="00CB3AF1">
        <w:rPr>
          <w:rFonts w:ascii="Arial Narrow" w:hAnsi="Arial Narrow"/>
          <w:szCs w:val="24"/>
        </w:rPr>
        <w:t>El artículo 6 regula las condiciones para acceder a los estudios regulados en la Orden de referencia.</w:t>
      </w:r>
    </w:p>
    <w:p w:rsidR="00BD2BAA" w:rsidRPr="00CB3AF1" w:rsidRDefault="00BD2BAA" w:rsidP="00BD2BAA">
      <w:pPr>
        <w:spacing w:line="360" w:lineRule="auto"/>
        <w:jc w:val="both"/>
        <w:rPr>
          <w:rFonts w:ascii="Arial Narrow" w:hAnsi="Arial Narrow"/>
          <w:szCs w:val="24"/>
        </w:rPr>
      </w:pPr>
    </w:p>
    <w:p w:rsidR="00BD2BAA" w:rsidRDefault="00BD2BAA" w:rsidP="00BD2BAA">
      <w:pPr>
        <w:numPr>
          <w:ilvl w:val="0"/>
          <w:numId w:val="1"/>
        </w:numPr>
        <w:spacing w:line="360" w:lineRule="auto"/>
        <w:jc w:val="both"/>
        <w:rPr>
          <w:rFonts w:ascii="Arial Narrow" w:hAnsi="Arial Narrow"/>
          <w:szCs w:val="24"/>
        </w:rPr>
      </w:pPr>
      <w:r w:rsidRPr="00CB3AF1">
        <w:rPr>
          <w:rFonts w:ascii="Arial Narrow" w:hAnsi="Arial Narrow"/>
          <w:szCs w:val="24"/>
        </w:rPr>
        <w:t>El apartado 5 de este artículo dice: “</w:t>
      </w:r>
      <w:r w:rsidRPr="0077787E">
        <w:rPr>
          <w:rFonts w:ascii="Arial Narrow" w:hAnsi="Arial Narrow"/>
          <w:i/>
          <w:szCs w:val="24"/>
        </w:rPr>
        <w:t>En los casos recogidos en los apartados 1, 2, 3 y 4, además será preciso superar una prueba específica. …”.</w:t>
      </w:r>
      <w:r w:rsidRPr="00CB3AF1">
        <w:rPr>
          <w:rFonts w:ascii="Arial Narrow" w:hAnsi="Arial Narrow"/>
          <w:szCs w:val="24"/>
        </w:rPr>
        <w:t xml:space="preserve"> </w:t>
      </w:r>
      <w:r>
        <w:rPr>
          <w:rFonts w:ascii="Arial Narrow" w:hAnsi="Arial Narrow"/>
          <w:szCs w:val="24"/>
        </w:rPr>
        <w:t>La prueba específica está prevista para todas las personas que puedan acceder a estos estudios, por lo que en lugar de referirse a los cuatro apartados, debería decir algo así como “Además, los candidatos y candidatas deberán superar una prueba específica de acceso …”</w:t>
      </w:r>
    </w:p>
    <w:p w:rsidR="00BD2BAA" w:rsidRDefault="00BD2BAA" w:rsidP="00BD2BAA">
      <w:pPr>
        <w:spacing w:line="360" w:lineRule="auto"/>
        <w:ind w:left="360"/>
        <w:jc w:val="both"/>
        <w:rPr>
          <w:rFonts w:ascii="Arial Narrow" w:hAnsi="Arial Narrow"/>
          <w:szCs w:val="24"/>
        </w:rPr>
      </w:pPr>
    </w:p>
    <w:p w:rsidR="00BD2BAA" w:rsidRDefault="00BD2BAA" w:rsidP="00BD2BAA">
      <w:pPr>
        <w:numPr>
          <w:ilvl w:val="0"/>
          <w:numId w:val="1"/>
        </w:numPr>
        <w:spacing w:line="360" w:lineRule="auto"/>
        <w:jc w:val="both"/>
        <w:rPr>
          <w:rFonts w:ascii="Arial Narrow" w:hAnsi="Arial Narrow"/>
          <w:szCs w:val="24"/>
        </w:rPr>
      </w:pPr>
      <w:r w:rsidRPr="00CB3AF1">
        <w:rPr>
          <w:rFonts w:ascii="Arial Narrow" w:hAnsi="Arial Narrow"/>
          <w:szCs w:val="24"/>
        </w:rPr>
        <w:t>E</w:t>
      </w:r>
      <w:r>
        <w:rPr>
          <w:rFonts w:ascii="Arial Narrow" w:hAnsi="Arial Narrow"/>
          <w:szCs w:val="24"/>
        </w:rPr>
        <w:t>n e</w:t>
      </w:r>
      <w:r w:rsidRPr="00CB3AF1">
        <w:rPr>
          <w:rFonts w:ascii="Arial Narrow" w:hAnsi="Arial Narrow"/>
          <w:szCs w:val="24"/>
        </w:rPr>
        <w:t xml:space="preserve">l apartado 6 se </w:t>
      </w:r>
      <w:r>
        <w:rPr>
          <w:rFonts w:ascii="Arial Narrow" w:hAnsi="Arial Narrow"/>
          <w:szCs w:val="24"/>
        </w:rPr>
        <w:t xml:space="preserve">establece </w:t>
      </w:r>
      <w:r w:rsidRPr="00CB3AF1">
        <w:rPr>
          <w:rFonts w:ascii="Arial Narrow" w:hAnsi="Arial Narrow"/>
          <w:szCs w:val="24"/>
        </w:rPr>
        <w:t xml:space="preserve">que las tres partes de la prueba específica serán eliminatorias y que a la nota resultante se la sumará el baremo del Anexo II. </w:t>
      </w:r>
      <w:r>
        <w:rPr>
          <w:rFonts w:ascii="Arial Narrow" w:hAnsi="Arial Narrow"/>
          <w:szCs w:val="24"/>
        </w:rPr>
        <w:t>Debería especificarse que a la nota resultante de la prueba específica se sumará la puntuación que resulte de los méritos que figuran en el Anexo II.</w:t>
      </w:r>
    </w:p>
    <w:p w:rsidR="00BD2BAA" w:rsidRDefault="00BD2BAA" w:rsidP="00BD2BAA">
      <w:pPr>
        <w:spacing w:line="360" w:lineRule="auto"/>
        <w:jc w:val="both"/>
        <w:rPr>
          <w:rFonts w:ascii="Arial Narrow" w:hAnsi="Arial Narrow"/>
          <w:szCs w:val="24"/>
        </w:rPr>
      </w:pPr>
    </w:p>
    <w:p w:rsidR="00BD2BAA" w:rsidRPr="00CB3AF1" w:rsidRDefault="00BD2BAA" w:rsidP="00BD2BAA">
      <w:pPr>
        <w:numPr>
          <w:ilvl w:val="0"/>
          <w:numId w:val="2"/>
        </w:numPr>
        <w:spacing w:line="360" w:lineRule="auto"/>
        <w:jc w:val="both"/>
        <w:rPr>
          <w:rFonts w:ascii="Arial Narrow" w:hAnsi="Arial Narrow"/>
          <w:szCs w:val="24"/>
        </w:rPr>
      </w:pPr>
      <w:r w:rsidRPr="00CB3AF1">
        <w:rPr>
          <w:rFonts w:ascii="Arial Narrow" w:hAnsi="Arial Narrow"/>
          <w:szCs w:val="24"/>
        </w:rPr>
        <w:t>El artículo 12 regula las convalidaciones en el supuesto de que un alumno o alumna presente, con posterioridad a su matriculación, una solicitud de convalidación de materias.</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numPr>
          <w:ilvl w:val="0"/>
          <w:numId w:val="4"/>
        </w:numPr>
        <w:spacing w:line="360" w:lineRule="auto"/>
        <w:jc w:val="both"/>
        <w:rPr>
          <w:rFonts w:ascii="Arial Narrow" w:hAnsi="Arial Narrow"/>
          <w:szCs w:val="24"/>
        </w:rPr>
      </w:pPr>
      <w:r w:rsidRPr="00CB3AF1">
        <w:rPr>
          <w:rFonts w:ascii="Arial Narrow" w:hAnsi="Arial Narrow"/>
          <w:szCs w:val="24"/>
        </w:rPr>
        <w:t xml:space="preserve">De la redacción del artículo parece desprenderse que un alumno o alumna podría presentar la solicitud de convalidación antes o al mismo tiempo de la matriculación y, sin embargo, no se dice a qué persona o comisión correspondería decidir en este caso esa solicitud de convalidación. Debería modificarse la redacción de este artículo con un </w:t>
      </w:r>
      <w:r w:rsidRPr="00CB3AF1">
        <w:rPr>
          <w:rFonts w:ascii="Arial Narrow" w:hAnsi="Arial Narrow"/>
          <w:szCs w:val="24"/>
        </w:rPr>
        <w:lastRenderedPageBreak/>
        <w:t xml:space="preserve">texto claro, que no deje lugar a dudas, sobre </w:t>
      </w:r>
      <w:proofErr w:type="spellStart"/>
      <w:r w:rsidRPr="00CB3AF1">
        <w:rPr>
          <w:rFonts w:ascii="Arial Narrow" w:hAnsi="Arial Narrow"/>
          <w:szCs w:val="24"/>
        </w:rPr>
        <w:t>cuando</w:t>
      </w:r>
      <w:proofErr w:type="spellEnd"/>
      <w:r w:rsidRPr="00CB3AF1">
        <w:rPr>
          <w:rFonts w:ascii="Arial Narrow" w:hAnsi="Arial Narrow"/>
          <w:szCs w:val="24"/>
        </w:rPr>
        <w:t xml:space="preserve"> se pueden presentar las solicitudes de convalidación y por quién se resuelven las mismas.</w:t>
      </w:r>
    </w:p>
    <w:p w:rsidR="00BD2BAA" w:rsidRPr="00CB3AF1" w:rsidRDefault="00BD2BAA" w:rsidP="00BD2BAA">
      <w:pPr>
        <w:spacing w:line="360" w:lineRule="auto"/>
        <w:ind w:left="360" w:firstLine="66"/>
        <w:jc w:val="both"/>
        <w:rPr>
          <w:rFonts w:ascii="Arial Narrow" w:hAnsi="Arial Narrow"/>
          <w:szCs w:val="24"/>
        </w:rPr>
      </w:pPr>
    </w:p>
    <w:p w:rsidR="00BD2BAA" w:rsidRPr="00CB3AF1" w:rsidRDefault="00BD2BAA" w:rsidP="00BD2BAA">
      <w:pPr>
        <w:numPr>
          <w:ilvl w:val="0"/>
          <w:numId w:val="3"/>
        </w:numPr>
        <w:spacing w:line="360" w:lineRule="auto"/>
        <w:jc w:val="both"/>
        <w:rPr>
          <w:rFonts w:ascii="Arial Narrow" w:hAnsi="Arial Narrow"/>
          <w:szCs w:val="24"/>
        </w:rPr>
      </w:pPr>
      <w:r w:rsidRPr="00CB3AF1">
        <w:rPr>
          <w:rFonts w:ascii="Arial Narrow" w:hAnsi="Arial Narrow"/>
          <w:szCs w:val="24"/>
        </w:rPr>
        <w:t>Debería modificarse la redacción del último inciso de este artículo. Se propone la siguiente redacción: “Contra las resoluciones que denieguen las solicitudes de convalidación presentadas podrá interponerse recurso de alzada ante la Directora de Innovación Educativa en el plazo de un mes desde la notificación de la resolución.”</w:t>
      </w:r>
    </w:p>
    <w:p w:rsidR="00BD2BAA" w:rsidRPr="00CB3AF1" w:rsidRDefault="00BD2BAA" w:rsidP="00BD2BAA">
      <w:pPr>
        <w:pStyle w:val="Prrafodelista"/>
        <w:rPr>
          <w:rFonts w:ascii="Arial Narrow" w:hAnsi="Arial Narrow"/>
          <w:szCs w:val="24"/>
        </w:rPr>
      </w:pPr>
    </w:p>
    <w:p w:rsidR="00BD2BAA" w:rsidRPr="00CB3AF1" w:rsidRDefault="00BD2BAA" w:rsidP="00BD2BAA">
      <w:pPr>
        <w:numPr>
          <w:ilvl w:val="0"/>
          <w:numId w:val="2"/>
        </w:numPr>
        <w:spacing w:line="360" w:lineRule="auto"/>
        <w:jc w:val="both"/>
        <w:rPr>
          <w:rFonts w:ascii="Arial Narrow" w:hAnsi="Arial Narrow"/>
          <w:szCs w:val="24"/>
        </w:rPr>
      </w:pPr>
      <w:r w:rsidRPr="00CB3AF1">
        <w:rPr>
          <w:rFonts w:ascii="Arial Narrow" w:hAnsi="Arial Narrow"/>
          <w:szCs w:val="24"/>
        </w:rPr>
        <w:t>El artículo 16</w:t>
      </w:r>
      <w:r>
        <w:rPr>
          <w:rFonts w:ascii="Arial Narrow" w:hAnsi="Arial Narrow"/>
          <w:szCs w:val="24"/>
        </w:rPr>
        <w:t>.2</w:t>
      </w:r>
      <w:r w:rsidRPr="00CB3AF1">
        <w:rPr>
          <w:rFonts w:ascii="Arial Narrow" w:hAnsi="Arial Narrow"/>
          <w:szCs w:val="24"/>
        </w:rPr>
        <w:t xml:space="preserve"> </w:t>
      </w:r>
      <w:r>
        <w:rPr>
          <w:rFonts w:ascii="Arial Narrow" w:hAnsi="Arial Narrow"/>
          <w:szCs w:val="24"/>
        </w:rPr>
        <w:t xml:space="preserve">determina los campos básicos que contendrá la acreditación. </w:t>
      </w:r>
      <w:r w:rsidRPr="00CB3AF1">
        <w:rPr>
          <w:rFonts w:ascii="Arial Narrow" w:hAnsi="Arial Narrow"/>
          <w:szCs w:val="24"/>
        </w:rPr>
        <w:t>Sería conveniente que en el texto de la acreditación se hiciera constar que se trata de “enseñanza no reglada carente de efectos académicos oficiales”.</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center"/>
        <w:rPr>
          <w:rFonts w:ascii="Arial Narrow" w:hAnsi="Arial Narrow"/>
          <w:b/>
          <w:szCs w:val="24"/>
        </w:rPr>
      </w:pPr>
      <w:r w:rsidRPr="00CB3AF1">
        <w:rPr>
          <w:rFonts w:ascii="Arial Narrow" w:hAnsi="Arial Narrow"/>
          <w:b/>
          <w:szCs w:val="24"/>
        </w:rPr>
        <w:t>I</w:t>
      </w:r>
      <w:r>
        <w:rPr>
          <w:rFonts w:ascii="Arial Narrow" w:hAnsi="Arial Narrow"/>
          <w:b/>
          <w:szCs w:val="24"/>
        </w:rPr>
        <w:t>V</w:t>
      </w:r>
      <w:r w:rsidRPr="00CB3AF1">
        <w:rPr>
          <w:rFonts w:ascii="Arial Narrow" w:hAnsi="Arial Narrow"/>
          <w:b/>
          <w:szCs w:val="24"/>
        </w:rPr>
        <w:t>. CONCLUSION</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Se informa favorablemente el proyecto de Orden analizado</w:t>
      </w:r>
      <w:r>
        <w:rPr>
          <w:rFonts w:ascii="Arial Narrow" w:hAnsi="Arial Narrow"/>
          <w:szCs w:val="24"/>
        </w:rPr>
        <w:t xml:space="preserve"> con las observaciones reali</w:t>
      </w:r>
      <w:r w:rsidRPr="00CB3AF1">
        <w:rPr>
          <w:rFonts w:ascii="Arial Narrow" w:hAnsi="Arial Narrow"/>
          <w:szCs w:val="24"/>
        </w:rPr>
        <w:t>zadas en el cuerpo de este informe.</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rPr>
      </w:pPr>
      <w:r w:rsidRPr="00CB3AF1">
        <w:rPr>
          <w:rFonts w:ascii="Arial Narrow" w:hAnsi="Arial Narrow"/>
          <w:szCs w:val="24"/>
        </w:rPr>
        <w:t>Este es mi informe que emito en Vitoria-Gasteiz, a veinticuatro de marzo de dos mil catorce, y someto a cualquier otro mejor fundado en derecho.</w:t>
      </w:r>
    </w:p>
    <w:p w:rsidR="00BD2BAA" w:rsidRPr="00CB3AF1" w:rsidRDefault="00BD2BAA" w:rsidP="00BD2BAA">
      <w:pPr>
        <w:spacing w:line="360" w:lineRule="auto"/>
        <w:jc w:val="both"/>
        <w:rPr>
          <w:rFonts w:ascii="Arial Narrow" w:hAnsi="Arial Narrow"/>
          <w:szCs w:val="24"/>
        </w:rPr>
      </w:pPr>
    </w:p>
    <w:p w:rsidR="00BD2BAA" w:rsidRPr="00CB3AF1" w:rsidRDefault="00BD2BAA" w:rsidP="00BD2BAA">
      <w:pPr>
        <w:spacing w:line="360" w:lineRule="auto"/>
        <w:jc w:val="both"/>
        <w:rPr>
          <w:rFonts w:ascii="Arial Narrow" w:hAnsi="Arial Narrow"/>
          <w:szCs w:val="24"/>
          <w:lang w:val="es-ES"/>
        </w:rPr>
      </w:pPr>
    </w:p>
    <w:p w:rsidR="00BD2BAA" w:rsidRPr="00CB3AF1" w:rsidRDefault="00BD2BAA" w:rsidP="00BD2BAA">
      <w:pPr>
        <w:spacing w:line="360" w:lineRule="auto"/>
        <w:jc w:val="both"/>
        <w:rPr>
          <w:rFonts w:ascii="Arial Narrow" w:hAnsi="Arial Narrow"/>
          <w:szCs w:val="24"/>
          <w:lang w:val="es-ES"/>
        </w:rPr>
      </w:pPr>
    </w:p>
    <w:p w:rsidR="00BD2BAA" w:rsidRPr="00CB3AF1" w:rsidRDefault="00BD2BAA" w:rsidP="00BD2BAA">
      <w:pPr>
        <w:spacing w:line="360" w:lineRule="auto"/>
        <w:jc w:val="center"/>
        <w:outlineLvl w:val="0"/>
        <w:rPr>
          <w:rFonts w:ascii="Arial Narrow" w:hAnsi="Arial Narrow"/>
          <w:szCs w:val="24"/>
        </w:rPr>
      </w:pPr>
      <w:smartTag w:uri="urn:schemas-microsoft-com:office:smarttags" w:element="PersonName">
        <w:smartTagPr>
          <w:attr w:name="ProductID" w:val="Agurtzane Zangitu"/>
        </w:smartTagPr>
        <w:r w:rsidRPr="00CB3AF1">
          <w:rPr>
            <w:rFonts w:ascii="Arial Narrow" w:hAnsi="Arial Narrow"/>
            <w:szCs w:val="24"/>
          </w:rPr>
          <w:t>Agurtzane Zangitu</w:t>
        </w:r>
      </w:smartTag>
      <w:r w:rsidRPr="00CB3AF1">
        <w:rPr>
          <w:rFonts w:ascii="Arial Narrow" w:hAnsi="Arial Narrow"/>
          <w:szCs w:val="24"/>
        </w:rPr>
        <w:t xml:space="preserve"> Osa</w:t>
      </w:r>
    </w:p>
    <w:p w:rsidR="00BD2BAA" w:rsidRPr="00CB3AF1" w:rsidRDefault="00BD2BAA" w:rsidP="00BD2BAA">
      <w:pPr>
        <w:spacing w:line="360" w:lineRule="auto"/>
        <w:jc w:val="center"/>
        <w:rPr>
          <w:rFonts w:ascii="Arial Narrow" w:hAnsi="Arial Narrow"/>
          <w:szCs w:val="24"/>
        </w:rPr>
      </w:pPr>
      <w:r w:rsidRPr="00CB3AF1">
        <w:rPr>
          <w:rFonts w:ascii="Arial Narrow" w:hAnsi="Arial Narrow"/>
          <w:szCs w:val="24"/>
        </w:rPr>
        <w:t>Letrada</w:t>
      </w:r>
    </w:p>
    <w:p w:rsidR="00BD2BAA" w:rsidRPr="00CB3AF1" w:rsidRDefault="00BD2BAA" w:rsidP="00BD2BAA">
      <w:pPr>
        <w:spacing w:line="360" w:lineRule="auto"/>
        <w:jc w:val="center"/>
        <w:rPr>
          <w:rFonts w:ascii="Arial Narrow" w:hAnsi="Arial Narrow"/>
          <w:szCs w:val="24"/>
          <w:lang w:val="es-ES"/>
        </w:rPr>
      </w:pPr>
    </w:p>
    <w:p w:rsidR="00360013" w:rsidRPr="00D60B32" w:rsidRDefault="00360013" w:rsidP="00D60B32"/>
    <w:sectPr w:rsidR="00360013" w:rsidRPr="00D60B32">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AA" w:rsidRDefault="00BD2BAA">
      <w:r>
        <w:separator/>
      </w:r>
    </w:p>
  </w:endnote>
  <w:endnote w:type="continuationSeparator" w:id="0">
    <w:p w:rsidR="00BD2BAA" w:rsidRDefault="00BD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CD" w:rsidRDefault="009F61CD">
    <w:pPr>
      <w:pStyle w:val="Piedepgina"/>
      <w:jc w:val="right"/>
    </w:pPr>
    <w:r>
      <w:fldChar w:fldCharType="begin"/>
    </w:r>
    <w:r>
      <w:instrText>PAGE   \* MERGEFORMAT</w:instrText>
    </w:r>
    <w:r>
      <w:fldChar w:fldCharType="separate"/>
    </w:r>
    <w:r w:rsidR="007E58A6" w:rsidRPr="007E58A6">
      <w:rPr>
        <w:noProof/>
        <w:lang w:val="es-ES"/>
      </w:rPr>
      <w:t>4</w:t>
    </w:r>
    <w:r>
      <w:fldChar w:fldCharType="end"/>
    </w:r>
  </w:p>
  <w:p w:rsidR="009F61CD" w:rsidRDefault="009F61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AA" w:rsidRDefault="00BD2BAA">
      <w:r>
        <w:separator/>
      </w:r>
    </w:p>
  </w:footnote>
  <w:footnote w:type="continuationSeparator" w:id="0">
    <w:p w:rsidR="00BD2BAA" w:rsidRDefault="00BD2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674"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9F61C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AA" w:rsidRDefault="00360013" w:rsidP="00BD2BAA">
                          <w:pPr>
                            <w:pStyle w:val="Ttulo2"/>
                          </w:pPr>
                          <w:r>
                            <w:t>HERRI</w:t>
                          </w:r>
                          <w:r w:rsidR="00DE4B60">
                            <w:t xml:space="preserve"> </w:t>
                          </w:r>
                          <w:r>
                            <w:t xml:space="preserve">ADMINISTRAZIO </w:t>
                          </w:r>
                          <w:r w:rsidR="006538E3">
                            <w:t xml:space="preserve">ETA JUSTIZIA </w:t>
                          </w:r>
                          <w:r>
                            <w:t>SAILA</w:t>
                          </w:r>
                        </w:p>
                        <w:p w:rsidR="00360013" w:rsidRDefault="00D60B32" w:rsidP="00BD2BAA">
                          <w:pPr>
                            <w:pStyle w:val="Ttulo2"/>
                          </w:pPr>
                          <w: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BD2BAA" w:rsidRDefault="00360013" w:rsidP="00BD2BAA">
                    <w:pPr>
                      <w:pStyle w:val="Ttulo2"/>
                    </w:pPr>
                    <w:r>
                      <w:t>HERRI</w:t>
                    </w:r>
                    <w:r w:rsidR="00DE4B60">
                      <w:t xml:space="preserve"> </w:t>
                    </w:r>
                    <w:r>
                      <w:t xml:space="preserve">ADMINISTRAZIO </w:t>
                    </w:r>
                    <w:r w:rsidR="006538E3">
                      <w:t xml:space="preserve">ETA JUSTIZIA </w:t>
                    </w:r>
                    <w:r>
                      <w:t>SAILA</w:t>
                    </w:r>
                  </w:p>
                  <w:p w:rsidR="00360013" w:rsidRDefault="00D60B32" w:rsidP="00BD2BAA">
                    <w:pPr>
                      <w:pStyle w:val="Ttulo2"/>
                    </w:pPr>
                    <w: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675"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52E"/>
    <w:multiLevelType w:val="hybridMultilevel"/>
    <w:tmpl w:val="EE3657C0"/>
    <w:lvl w:ilvl="0" w:tplc="0C0A0001">
      <w:start w:val="1"/>
      <w:numFmt w:val="bullet"/>
      <w:lvlText w:val=""/>
      <w:lvlJc w:val="left"/>
      <w:pPr>
        <w:ind w:left="720" w:hanging="360"/>
      </w:pPr>
      <w:rPr>
        <w:rFonts w:ascii="Symbol" w:hAnsi="Symbol"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D23163"/>
    <w:multiLevelType w:val="hybridMultilevel"/>
    <w:tmpl w:val="AA9A84DE"/>
    <w:lvl w:ilvl="0" w:tplc="F12E2AD8">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54981A93"/>
    <w:multiLevelType w:val="hybridMultilevel"/>
    <w:tmpl w:val="78BC3CB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7E376954"/>
    <w:multiLevelType w:val="hybridMultilevel"/>
    <w:tmpl w:val="B066C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AA"/>
    <w:rsid w:val="00360013"/>
    <w:rsid w:val="003E3E5E"/>
    <w:rsid w:val="006538E3"/>
    <w:rsid w:val="006C35DB"/>
    <w:rsid w:val="007956DD"/>
    <w:rsid w:val="007E58A6"/>
    <w:rsid w:val="009F61CD"/>
    <w:rsid w:val="00BD2BAA"/>
    <w:rsid w:val="00D60B32"/>
    <w:rsid w:val="00D63982"/>
    <w:rsid w:val="00DE4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BA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2">
    <w:name w:val="Body Text 2"/>
    <w:basedOn w:val="Normal"/>
    <w:link w:val="Textoindependiente2Car"/>
    <w:rsid w:val="00BD2BAA"/>
    <w:pPr>
      <w:spacing w:after="120" w:line="480" w:lineRule="auto"/>
    </w:pPr>
  </w:style>
  <w:style w:type="character" w:customStyle="1" w:styleId="Textoindependiente2Car">
    <w:name w:val="Texto independiente 2 Car"/>
    <w:basedOn w:val="Fuentedeprrafopredeter"/>
    <w:link w:val="Textoindependiente2"/>
    <w:rsid w:val="00BD2BAA"/>
    <w:rPr>
      <w:sz w:val="24"/>
      <w:lang w:val="es-ES_tradnl" w:eastAsia="es-ES_tradnl"/>
    </w:rPr>
  </w:style>
  <w:style w:type="paragraph" w:customStyle="1" w:styleId="seccion1">
    <w:name w:val="seccion1"/>
    <w:basedOn w:val="Normal"/>
    <w:rsid w:val="00BD2BAA"/>
    <w:pPr>
      <w:spacing w:before="480" w:after="240"/>
      <w:ind w:left="960" w:right="960"/>
      <w:jc w:val="center"/>
    </w:pPr>
    <w:rPr>
      <w:b/>
      <w:bCs/>
      <w:i/>
      <w:iCs/>
      <w:szCs w:val="24"/>
      <w:lang w:val="es-ES" w:eastAsia="es-ES"/>
    </w:rPr>
  </w:style>
  <w:style w:type="paragraph" w:customStyle="1" w:styleId="parrafo1">
    <w:name w:val="parrafo1"/>
    <w:basedOn w:val="Normal"/>
    <w:rsid w:val="00BD2BAA"/>
    <w:pPr>
      <w:spacing w:before="180" w:after="180"/>
      <w:ind w:firstLine="360"/>
      <w:jc w:val="both"/>
    </w:pPr>
    <w:rPr>
      <w:szCs w:val="24"/>
      <w:lang w:val="es-ES" w:eastAsia="es-ES"/>
    </w:rPr>
  </w:style>
  <w:style w:type="paragraph" w:styleId="Prrafodelista">
    <w:name w:val="List Paragraph"/>
    <w:basedOn w:val="Normal"/>
    <w:uiPriority w:val="34"/>
    <w:qFormat/>
    <w:rsid w:val="00BD2BAA"/>
    <w:pPr>
      <w:ind w:left="708"/>
    </w:pPr>
  </w:style>
  <w:style w:type="character" w:customStyle="1" w:styleId="PiedepginaCar">
    <w:name w:val="Pie de página Car"/>
    <w:link w:val="Piedepgina"/>
    <w:uiPriority w:val="99"/>
    <w:rsid w:val="009F61C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BA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2">
    <w:name w:val="Body Text 2"/>
    <w:basedOn w:val="Normal"/>
    <w:link w:val="Textoindependiente2Car"/>
    <w:rsid w:val="00BD2BAA"/>
    <w:pPr>
      <w:spacing w:after="120" w:line="480" w:lineRule="auto"/>
    </w:pPr>
  </w:style>
  <w:style w:type="character" w:customStyle="1" w:styleId="Textoindependiente2Car">
    <w:name w:val="Texto independiente 2 Car"/>
    <w:basedOn w:val="Fuentedeprrafopredeter"/>
    <w:link w:val="Textoindependiente2"/>
    <w:rsid w:val="00BD2BAA"/>
    <w:rPr>
      <w:sz w:val="24"/>
      <w:lang w:val="es-ES_tradnl" w:eastAsia="es-ES_tradnl"/>
    </w:rPr>
  </w:style>
  <w:style w:type="paragraph" w:customStyle="1" w:styleId="seccion1">
    <w:name w:val="seccion1"/>
    <w:basedOn w:val="Normal"/>
    <w:rsid w:val="00BD2BAA"/>
    <w:pPr>
      <w:spacing w:before="480" w:after="240"/>
      <w:ind w:left="960" w:right="960"/>
      <w:jc w:val="center"/>
    </w:pPr>
    <w:rPr>
      <w:b/>
      <w:bCs/>
      <w:i/>
      <w:iCs/>
      <w:szCs w:val="24"/>
      <w:lang w:val="es-ES" w:eastAsia="es-ES"/>
    </w:rPr>
  </w:style>
  <w:style w:type="paragraph" w:customStyle="1" w:styleId="parrafo1">
    <w:name w:val="parrafo1"/>
    <w:basedOn w:val="Normal"/>
    <w:rsid w:val="00BD2BAA"/>
    <w:pPr>
      <w:spacing w:before="180" w:after="180"/>
      <w:ind w:firstLine="360"/>
      <w:jc w:val="both"/>
    </w:pPr>
    <w:rPr>
      <w:szCs w:val="24"/>
      <w:lang w:val="es-ES" w:eastAsia="es-ES"/>
    </w:rPr>
  </w:style>
  <w:style w:type="paragraph" w:styleId="Prrafodelista">
    <w:name w:val="List Paragraph"/>
    <w:basedOn w:val="Normal"/>
    <w:uiPriority w:val="34"/>
    <w:qFormat/>
    <w:rsid w:val="00BD2BAA"/>
    <w:pPr>
      <w:ind w:left="708"/>
    </w:pPr>
  </w:style>
  <w:style w:type="character" w:customStyle="1" w:styleId="PiedepginaCar">
    <w:name w:val="Pie de página Car"/>
    <w:link w:val="Piedepgina"/>
    <w:uiPriority w:val="99"/>
    <w:rsid w:val="009F61C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7532-D3B2-4704-B6EE-C232950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4</Pages>
  <Words>1065</Words>
  <Characters>5607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2014-06-02T11:56:00Z</dcterms:created>
  <dcterms:modified xsi:type="dcterms:W3CDTF">2014-06-02T11:56:00Z</dcterms:modified>
</cp:coreProperties>
</file>