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0F97" w:rsidRPr="00676238" w:rsidRDefault="007A0F97" w:rsidP="007A0F97">
      <w:pPr>
        <w:pBdr>
          <w:bottom w:val="single" w:sz="12" w:space="1" w:color="auto"/>
        </w:pBdr>
        <w:spacing w:line="360" w:lineRule="auto"/>
        <w:jc w:val="both"/>
        <w:rPr>
          <w:rFonts w:ascii="Trebuchet MS" w:hAnsi="Trebuchet MS" w:cs="Arial"/>
          <w:b/>
          <w:szCs w:val="24"/>
        </w:rPr>
      </w:pPr>
      <w:bookmarkStart w:id="0" w:name="_GoBack"/>
      <w:bookmarkEnd w:id="0"/>
      <w:r w:rsidRPr="00676238">
        <w:rPr>
          <w:rFonts w:ascii="Trebuchet MS" w:hAnsi="Trebuchet MS" w:cs="Arial"/>
          <w:b/>
          <w:szCs w:val="24"/>
        </w:rPr>
        <w:t>INFORME DE LEGALIDAD RELATIVO AL BORRADOR DE CONVENIO DE COLABORACIÓN A SUSCRIBIR ENTRE EL GOBIERNO VASCO Y EL AYUNTAMIENTO DE LASARTE-ORIA PARA INTEGRAR LAS BASES DE DATOS DE LOS SOLICITANTES DE VIVIENDA DEL AYUNTAMIENTO DE LASARTE-ORIA EN LA BASE DE DATOS DEL REGISTRO DE SOLICITANTES DE VIVIENDA DE ETXEBIDE.</w:t>
      </w:r>
    </w:p>
    <w:p w:rsidR="007A0F97" w:rsidRPr="00676238" w:rsidRDefault="007A0F97" w:rsidP="007A0F97">
      <w:pPr>
        <w:spacing w:line="360" w:lineRule="auto"/>
        <w:jc w:val="both"/>
        <w:rPr>
          <w:rFonts w:ascii="Trebuchet MS" w:hAnsi="Trebuchet MS" w:cs="Arial"/>
          <w:b/>
          <w:szCs w:val="24"/>
        </w:rPr>
      </w:pPr>
    </w:p>
    <w:p w:rsidR="007A0F97" w:rsidRDefault="007A0F97" w:rsidP="007A0F97">
      <w:pPr>
        <w:spacing w:line="360" w:lineRule="auto"/>
        <w:jc w:val="both"/>
        <w:rPr>
          <w:rFonts w:ascii="Trebuchet MS" w:hAnsi="Trebuchet MS" w:cs="Arial"/>
          <w:szCs w:val="24"/>
        </w:rPr>
      </w:pPr>
    </w:p>
    <w:p w:rsidR="007A0F97" w:rsidRDefault="007A0F97" w:rsidP="007A0F97">
      <w:pPr>
        <w:spacing w:line="360" w:lineRule="auto"/>
        <w:jc w:val="both"/>
        <w:rPr>
          <w:rFonts w:ascii="Trebuchet MS" w:hAnsi="Trebuchet MS" w:cs="Arial"/>
          <w:szCs w:val="24"/>
        </w:rPr>
      </w:pPr>
      <w:r>
        <w:rPr>
          <w:rFonts w:ascii="Trebuchet MS" w:hAnsi="Trebuchet MS" w:cs="Arial"/>
          <w:szCs w:val="24"/>
        </w:rPr>
        <w:t xml:space="preserve">Ref.: </w:t>
      </w:r>
      <w:r w:rsidR="00221E6C">
        <w:rPr>
          <w:rFonts w:ascii="Trebuchet MS" w:hAnsi="Trebuchet MS" w:cs="Arial"/>
          <w:szCs w:val="24"/>
        </w:rPr>
        <w:t>017/2014 IL</w:t>
      </w:r>
    </w:p>
    <w:p w:rsidR="00221E6C" w:rsidRPr="00676238" w:rsidRDefault="00221E6C" w:rsidP="007A0F97">
      <w:pPr>
        <w:spacing w:line="360" w:lineRule="auto"/>
        <w:jc w:val="both"/>
        <w:rPr>
          <w:rFonts w:ascii="Trebuchet MS" w:hAnsi="Trebuchet MS" w:cs="Arial"/>
          <w:szCs w:val="24"/>
        </w:rPr>
      </w:pPr>
    </w:p>
    <w:p w:rsidR="007A0F97" w:rsidRPr="00676238" w:rsidRDefault="007A0F97" w:rsidP="007A0F97">
      <w:pPr>
        <w:spacing w:line="360" w:lineRule="auto"/>
        <w:jc w:val="center"/>
        <w:rPr>
          <w:rFonts w:ascii="Trebuchet MS" w:hAnsi="Trebuchet MS" w:cs="Arial"/>
          <w:b/>
          <w:szCs w:val="24"/>
          <w:u w:val="single"/>
          <w:lang w:val="es-ES"/>
        </w:rPr>
      </w:pPr>
      <w:r w:rsidRPr="00676238">
        <w:rPr>
          <w:rFonts w:ascii="Trebuchet MS" w:hAnsi="Trebuchet MS" w:cs="Arial"/>
          <w:b/>
          <w:szCs w:val="24"/>
          <w:lang w:val="es-ES"/>
        </w:rPr>
        <w:t>I. ANTECEDENTES</w:t>
      </w:r>
    </w:p>
    <w:p w:rsidR="007A0F97" w:rsidRPr="00676238" w:rsidRDefault="007A0F97" w:rsidP="007A0F97">
      <w:pPr>
        <w:spacing w:line="360" w:lineRule="auto"/>
        <w:jc w:val="both"/>
        <w:rPr>
          <w:rFonts w:ascii="Trebuchet MS" w:hAnsi="Trebuchet MS" w:cs="Arial"/>
          <w:szCs w:val="24"/>
          <w:lang w:val="es-ES"/>
        </w:rPr>
      </w:pPr>
    </w:p>
    <w:p w:rsidR="007A0F97" w:rsidRPr="00676238" w:rsidRDefault="007A0F97" w:rsidP="007A0F97">
      <w:pPr>
        <w:spacing w:line="360" w:lineRule="auto"/>
        <w:jc w:val="both"/>
        <w:rPr>
          <w:rFonts w:ascii="Trebuchet MS" w:hAnsi="Trebuchet MS" w:cs="Arial"/>
          <w:szCs w:val="24"/>
        </w:rPr>
      </w:pPr>
      <w:r w:rsidRPr="00676238">
        <w:rPr>
          <w:rFonts w:ascii="Trebuchet MS" w:hAnsi="Trebuchet MS" w:cs="Arial"/>
          <w:szCs w:val="24"/>
        </w:rPr>
        <w:t>Por el Departamento de Empleo y Políticas Sociales se solicita el preceptivo informe de legalidad en relación al borrador de Convenio referido en el encabezamiento. Acompañan a la solicitud los siguientes documentos: borrador del convenio, memoria justificativa, informe jurídico, informe económico-financiero, así como la propuesta de acuerdo a elevar al Consejo de Gobierno.</w:t>
      </w:r>
    </w:p>
    <w:p w:rsidR="007A0F97" w:rsidRPr="00676238" w:rsidRDefault="007A0F97" w:rsidP="007A0F97">
      <w:pPr>
        <w:spacing w:line="360" w:lineRule="auto"/>
        <w:jc w:val="both"/>
        <w:rPr>
          <w:rFonts w:ascii="Trebuchet MS" w:hAnsi="Trebuchet MS" w:cs="Arial"/>
          <w:szCs w:val="24"/>
        </w:rPr>
      </w:pPr>
    </w:p>
    <w:p w:rsidR="007A0F97" w:rsidRPr="00676238" w:rsidRDefault="007A0F97" w:rsidP="007A0F97">
      <w:pPr>
        <w:spacing w:line="360" w:lineRule="auto"/>
        <w:jc w:val="both"/>
        <w:rPr>
          <w:rFonts w:ascii="Trebuchet MS" w:hAnsi="Trebuchet MS" w:cs="Arial"/>
          <w:szCs w:val="24"/>
          <w:lang w:val="es-ES"/>
        </w:rPr>
      </w:pPr>
      <w:r w:rsidRPr="00676238">
        <w:rPr>
          <w:rFonts w:ascii="Trebuchet MS" w:hAnsi="Trebuchet MS"/>
          <w:szCs w:val="24"/>
          <w:lang w:val="es-ES"/>
        </w:rPr>
        <w:t xml:space="preserve">El presente informe se emite en virtud de las competencias que al Departamento de Administración Pública y Justicia y a la Dirección de Desarrollo Legislativo y Control Normativo de la Viceconsejería de Régimen Jurídico, confieren, respectivamente, el artículo 6.1.h) del Decreto 20/2012, de 15 de diciembre, del Lehendakari, de creación, supresión y modificación de los Departamentos de la Administración de </w:t>
      </w:r>
      <w:smartTag w:uri="urn:schemas-microsoft-com:office:smarttags" w:element="PersonName">
        <w:smartTagPr>
          <w:attr w:name="ProductID" w:val="ヹ킸ミ㦘ϊω鹸ʳ!ŦĈ؈ѥ⥐ʵ⡀ʵšĈ偔皔⠘ʵʮ함ʲ&#10;ŬĈ݄҆⪠ʯ⫰ʯ&#10;ŷČD〡À䘀崄誈ᳫᇉါ恈&#10;ŽĈdÈĬźČdatesŇĈ覠ヹ峈&quot;衐ヹ킸ミʲ✨ʵ⫠ʵ!ŏĈ砰&quot;⫰ʯ⠘ʵŊĈReleaseŕĎC:\Documents and Settings\AZANGITU\Datos de programaĦĈAddRefġĈReleaseĬČ㍰\ĪĈ2C:\ARCHIV~1\ARCHIV~1\MICROS~1\SMARTT~1\FPERSON.DLLļĈ텰ミ鹸ʳ䜠&quot;쪼フ膀ᘈʯ⫠ʵ孕ᑲ䐀䄀吀伀䘰Ā&#10;Ďč콠ݚ⭸ʵ敃瑲汄佬数卮獹整卭潴敲牐癯&#10;&#10;Ĕċ畈#⯈ʵꠈψ㪈ϊ牃灹䑴汬潃癮牥側扵楬䭣祥湉潦&#10;ĚĈ션睋섬睋﯐睌Ӻ0ⶔ箊ૉᇑ沉쀀뙏쒿dows\CurCLSID\{7B8A2D94-0AC9-11D1-896C-00C04FB6BFC4}F埨&quot;ǾČÊÌⳠʵӼC:\WINDOWS\WinSxS\x86_Microsoft.Windows.Common-Controls_6595b64144ccf1df_6.0.2600.2982_x-ww_ac3f9c03\&amp;Ǒĉ借俠⃐㫪ၩ〫鴰䌯尺尀㄀㜀堽ၒ䐀䍏䵕繅1䐀̀Ѐ톾洼孒꨽ᑭ䐀漀挀甀洀攀渀琀猀 愀渀搀 匀攀琀琀椀渀最猀᠀䈀㄀✀氽၊䄀䱌单繅1⨀̀Ѐ톾洼孒밽ᑲ䄀氀氀 唀猀攀爀猀᠀娀㄀턀⸼ᅕ䴀久义繉1䈀̀Ѐ톾紼孒꨽ᑭⰀ䴀攀渀切 䤀渀椀挀椀漀䀀桳汥㍬⸲汤ⱬ㈭㜱㘸᠀Ȁ&#10;&amp;ƻĈࢰύ࣠ύࣸύईύ0젊젊&#10;ƎĈ&#10;.rdpƈĈ IsCaptionDynamicg䱄LƑĐENƝĈ.iniŧĈῌʵエʵἸʵŢĈ툰ミ䘰¬ヌʵじʵ ŭČ뇐ヺ툄ミ놠ヺ䘰⊜ベ゠ʵ ŴĈぼʵㅨʵ【ʵſĈEXTENDERźĈ툰ミ䘰µㆌʵㄘʵ ŅČ뇐ヺ툄ミ놠ヺ䘰⊜ベㅠʵ ŌĈㄼʵ㈘ʵエʵŗĈLAŔĈ툰ミ䘰¸&#10;㈼ʵ㇈ʵ şČ뇐ヺ툄ミ놠ヺ䘰⊜ベ㈐ʵ ĦĈ㇬ʵ㋘ʵㅨʵġĈPRODUCCIONĬĈ툰ミ䘰Ã ㋼ʵ㊈ʵ ķČ뇐ヺ툄ミ놠ヺ䘰⊜ベ㋐ʵ ľĈ㊬ʵ㎘ʵ㈘ʵĹĈEDITORIALĄĈ툰ミ䘰Í ㎼ʵ㍈ʵ ďČ뇐ヺ툄ミ놠ヺ䘰⊜ベ㎐ʵ ĖĈ㍬ʵ㑘ʵ㋘ʵđĈREALIZADAĜĈ툰ミ䘰×㑼ʵ㐈ʵ ǧČ뇐ヺ툄ミ놠ヺ䘰⊜ベ㑐ʵ ǮĈ㐬ʵ㔈ʵ㎘ʵǩĈENǶĈ툰ミ䘰Ú㔬ʵ㒸ʵ ǱČ뇐ヺ툄ミ놠ヺ䘰⊜ベ㔀ʵ ǸĈ㓜ʵ㗈ʵ㑘ʵǃĈEUSKERAǎĈ툰ミ䘰â㗬ʵ㕸ʵ ǉČ뇐ヺ툄ミ놠ヺ䘰⊜ベ㗀ʵ ǐĈ㖜ʵ㙸ʵ㔈ʵǛĈENǘĈ툰ミ䘰å㚜ʵ㘨ʵ ƣČ뇐ヺ툄ミ놠ヺ䘰⊜ベ㙰ʵ ƪĈ㙌ʵ㜨ʵ㗈ʵƵĈLAƲĈ툰ミ䘰è㝌ʵ㛘ʵ ƽČ뇐ヺ툄ミ놠ヺ䘰⊜ベ㜠ʵ ƄĈ㛼ʵ㟘ʵ㙸ʵƏĈCAPVƌĈ툰ミ䘰í㟼ʵ㞈ʵ ƗČ뇐ヺ툄ミ놠ヺ䘰⊜ベ㟐ʵ ƞĈ㞬ʵ㢈ʵ㜨ʵƙĈAŦĈ툰ミ䘰ï㢬ʵ㠸ʵ šČ뇐ヺ툄ミ놠ヺ䘰⊜ベ㢀ʵ"/>
        </w:smartTagPr>
        <w:r w:rsidRPr="00676238">
          <w:rPr>
            <w:rFonts w:ascii="Trebuchet MS" w:hAnsi="Trebuchet MS"/>
            <w:szCs w:val="24"/>
            <w:lang w:val="es-ES"/>
          </w:rPr>
          <w:t>la Comunidad Autónoma</w:t>
        </w:r>
      </w:smartTag>
      <w:r w:rsidRPr="00676238">
        <w:rPr>
          <w:rFonts w:ascii="Trebuchet MS" w:hAnsi="Trebuchet MS"/>
          <w:szCs w:val="24"/>
          <w:lang w:val="es-ES"/>
        </w:rPr>
        <w:t xml:space="preserve"> del País Vasco y de determinación de funciones y áreas de actuación de los mismos, y el artículo 13.1.c) del Decreto 188/2013, de 9 de abril, por el que se establece la estructura orgánica y funcional del Departamento de Administración Pública y Justicia, y de conformidad, asimismo, con el Acuerdo adoptado por el Consejo </w:t>
      </w:r>
      <w:r w:rsidRPr="00676238">
        <w:rPr>
          <w:rFonts w:ascii="Trebuchet MS" w:hAnsi="Trebuchet MS" w:cs="Arial"/>
          <w:szCs w:val="24"/>
          <w:lang w:val="es-ES"/>
        </w:rPr>
        <w:t>de Gobierno en su sesión de 13 de junio de 1995.</w:t>
      </w:r>
    </w:p>
    <w:p w:rsidR="007A0F97" w:rsidRDefault="007A0F97" w:rsidP="007A0F97">
      <w:pPr>
        <w:spacing w:line="360" w:lineRule="auto"/>
        <w:jc w:val="center"/>
        <w:outlineLvl w:val="0"/>
        <w:rPr>
          <w:rFonts w:ascii="Trebuchet MS" w:hAnsi="Trebuchet MS"/>
          <w:b/>
          <w:szCs w:val="24"/>
        </w:rPr>
      </w:pPr>
    </w:p>
    <w:p w:rsidR="007A0F97" w:rsidRPr="00676238" w:rsidRDefault="007A0F97" w:rsidP="007A0F97">
      <w:pPr>
        <w:spacing w:line="360" w:lineRule="auto"/>
        <w:jc w:val="center"/>
        <w:outlineLvl w:val="0"/>
        <w:rPr>
          <w:rFonts w:ascii="Trebuchet MS" w:hAnsi="Trebuchet MS"/>
          <w:b/>
          <w:szCs w:val="24"/>
        </w:rPr>
      </w:pPr>
      <w:r>
        <w:rPr>
          <w:rFonts w:ascii="Trebuchet MS" w:hAnsi="Trebuchet MS"/>
          <w:b/>
          <w:szCs w:val="24"/>
        </w:rPr>
        <w:t>I</w:t>
      </w:r>
      <w:r w:rsidRPr="00676238">
        <w:rPr>
          <w:rFonts w:ascii="Trebuchet MS" w:hAnsi="Trebuchet MS"/>
          <w:b/>
          <w:szCs w:val="24"/>
        </w:rPr>
        <w:t xml:space="preserve">I. </w:t>
      </w:r>
      <w:r>
        <w:rPr>
          <w:rFonts w:ascii="Trebuchet MS" w:hAnsi="Trebuchet MS"/>
          <w:b/>
          <w:szCs w:val="24"/>
        </w:rPr>
        <w:t>LEGALIDAD</w:t>
      </w:r>
    </w:p>
    <w:p w:rsidR="007A0F97" w:rsidRPr="00676238" w:rsidRDefault="007A0F97" w:rsidP="007A0F97">
      <w:pPr>
        <w:spacing w:line="360" w:lineRule="auto"/>
        <w:jc w:val="both"/>
        <w:rPr>
          <w:rFonts w:ascii="Trebuchet MS" w:hAnsi="Trebuchet MS"/>
          <w:szCs w:val="24"/>
        </w:rPr>
      </w:pPr>
    </w:p>
    <w:p w:rsidR="007A0F97" w:rsidRPr="00676238" w:rsidRDefault="007A0F97" w:rsidP="007A0F97">
      <w:pPr>
        <w:spacing w:line="360" w:lineRule="auto"/>
        <w:jc w:val="both"/>
        <w:rPr>
          <w:rFonts w:ascii="Trebuchet MS" w:hAnsi="Trebuchet MS"/>
          <w:szCs w:val="24"/>
        </w:rPr>
      </w:pPr>
      <w:r w:rsidRPr="00676238">
        <w:rPr>
          <w:rFonts w:ascii="Trebuchet MS" w:hAnsi="Trebuchet MS"/>
          <w:szCs w:val="24"/>
        </w:rPr>
        <w:t>La propuesta de Convenio que se examina tiene por objeto</w:t>
      </w:r>
      <w:r>
        <w:rPr>
          <w:rFonts w:ascii="Trebuchet MS" w:hAnsi="Trebuchet MS"/>
          <w:szCs w:val="24"/>
        </w:rPr>
        <w:t>, según se expone en su cláusula primera,</w:t>
      </w:r>
      <w:r w:rsidRPr="00676238">
        <w:rPr>
          <w:rFonts w:ascii="Trebuchet MS" w:hAnsi="Trebuchet MS"/>
          <w:szCs w:val="24"/>
        </w:rPr>
        <w:t xml:space="preserve"> integrar en la base de datos del Registro de Solicitantes de Vivienda-</w:t>
      </w:r>
      <w:proofErr w:type="spellStart"/>
      <w:r w:rsidRPr="00676238">
        <w:rPr>
          <w:rFonts w:ascii="Trebuchet MS" w:hAnsi="Trebuchet MS"/>
          <w:szCs w:val="24"/>
        </w:rPr>
        <w:t>Etxebide</w:t>
      </w:r>
      <w:proofErr w:type="spellEnd"/>
      <w:r w:rsidRPr="00676238">
        <w:rPr>
          <w:rFonts w:ascii="Trebuchet MS" w:hAnsi="Trebuchet MS"/>
          <w:szCs w:val="24"/>
        </w:rPr>
        <w:t xml:space="preserve"> la base de datos del Registro de Solicitantes de Vivienda de </w:t>
      </w:r>
      <w:proofErr w:type="spellStart"/>
      <w:r w:rsidRPr="00676238">
        <w:rPr>
          <w:rFonts w:ascii="Trebuchet MS" w:hAnsi="Trebuchet MS"/>
          <w:szCs w:val="24"/>
        </w:rPr>
        <w:t>Lasarte</w:t>
      </w:r>
      <w:proofErr w:type="spellEnd"/>
      <w:r w:rsidRPr="00676238">
        <w:rPr>
          <w:rFonts w:ascii="Trebuchet MS" w:hAnsi="Trebuchet MS"/>
          <w:szCs w:val="24"/>
        </w:rPr>
        <w:t>-Oria.</w:t>
      </w:r>
    </w:p>
    <w:p w:rsidR="007A0F97" w:rsidRDefault="007A0F97" w:rsidP="007A0F97">
      <w:pPr>
        <w:spacing w:line="360" w:lineRule="auto"/>
        <w:jc w:val="both"/>
        <w:rPr>
          <w:rFonts w:ascii="Trebuchet MS" w:hAnsi="Trebuchet MS"/>
          <w:szCs w:val="24"/>
        </w:rPr>
      </w:pPr>
    </w:p>
    <w:p w:rsidR="007A0F97" w:rsidRPr="00676238" w:rsidRDefault="007A0F97" w:rsidP="007A0F97">
      <w:pPr>
        <w:spacing w:line="360" w:lineRule="auto"/>
        <w:jc w:val="both"/>
        <w:rPr>
          <w:rFonts w:ascii="Trebuchet MS" w:hAnsi="Trebuchet MS"/>
          <w:szCs w:val="24"/>
        </w:rPr>
      </w:pPr>
      <w:r w:rsidRPr="00676238">
        <w:rPr>
          <w:rFonts w:ascii="Trebuchet MS" w:hAnsi="Trebuchet MS"/>
          <w:szCs w:val="24"/>
        </w:rPr>
        <w:t>Nos encontramos ante un supuesto de colaboración entre Administraciones que tiene su fundamento en los artículos 3 y 4 de la Ley 30/1992, de 26 de noviembre, de Régimen Jurídico de las Administraciones Públicas y del Procedimiento Administrativo Común, preceptos que sientan los principios de cooperación y colaboración interadministrativa.</w:t>
      </w:r>
    </w:p>
    <w:p w:rsidR="007A0F97" w:rsidRDefault="007A0F97" w:rsidP="007A0F97">
      <w:pPr>
        <w:spacing w:line="360" w:lineRule="auto"/>
        <w:jc w:val="both"/>
        <w:rPr>
          <w:rFonts w:ascii="Trebuchet MS" w:hAnsi="Trebuchet MS"/>
          <w:szCs w:val="24"/>
        </w:rPr>
      </w:pPr>
    </w:p>
    <w:p w:rsidR="007A0F97" w:rsidRPr="00676238" w:rsidRDefault="007A0F97" w:rsidP="007A0F97">
      <w:pPr>
        <w:spacing w:line="360" w:lineRule="auto"/>
        <w:jc w:val="both"/>
        <w:rPr>
          <w:rFonts w:ascii="Trebuchet MS" w:hAnsi="Trebuchet MS"/>
          <w:szCs w:val="24"/>
        </w:rPr>
      </w:pPr>
      <w:r w:rsidRPr="00676238">
        <w:rPr>
          <w:rFonts w:ascii="Trebuchet MS" w:hAnsi="Trebuchet MS"/>
          <w:szCs w:val="24"/>
        </w:rPr>
        <w:t>Los convenios de colaboración como el que se analiza están excluidos del ámbito de aplicación del Real Decreto Legislativo 3/2011, por el que se aprueba el Texto Refundido de la Ley de Contratos del Sector Público.</w:t>
      </w:r>
    </w:p>
    <w:p w:rsidR="007A0F97" w:rsidRPr="00676238" w:rsidRDefault="007A0F97" w:rsidP="007A0F97">
      <w:pPr>
        <w:spacing w:line="360" w:lineRule="auto"/>
        <w:jc w:val="both"/>
        <w:rPr>
          <w:rFonts w:ascii="Trebuchet MS" w:hAnsi="Trebuchet MS"/>
          <w:szCs w:val="24"/>
        </w:rPr>
      </w:pPr>
    </w:p>
    <w:p w:rsidR="007A0F97" w:rsidRPr="00676238" w:rsidRDefault="007A0F97" w:rsidP="007A0F97">
      <w:pPr>
        <w:spacing w:line="360" w:lineRule="auto"/>
        <w:jc w:val="both"/>
        <w:rPr>
          <w:rFonts w:ascii="Trebuchet MS" w:hAnsi="Trebuchet MS"/>
          <w:szCs w:val="24"/>
        </w:rPr>
      </w:pPr>
      <w:r>
        <w:rPr>
          <w:rFonts w:ascii="Trebuchet MS" w:hAnsi="Trebuchet MS"/>
          <w:szCs w:val="24"/>
        </w:rPr>
        <w:t xml:space="preserve">El Convenio proyectado se refiere a una actuación a desarrollar en el ámbito de las respectivas competencias de las Administraciones suscribientes, pues conforme a la distribución competencial en la materia, corresponde, por una parte, a </w:t>
      </w:r>
      <w:r w:rsidRPr="00676238">
        <w:rPr>
          <w:rFonts w:ascii="Trebuchet MS" w:hAnsi="Trebuchet MS"/>
          <w:szCs w:val="24"/>
        </w:rPr>
        <w:t>la Administración de la Comunidad Autónoma del País Vasco, de conformidad con lo dispuesto en el artículo 10.31 del Estatuto de Autonomía para el País Vasco, la competencia en materia de vivienda y</w:t>
      </w:r>
      <w:r>
        <w:rPr>
          <w:rFonts w:ascii="Trebuchet MS" w:hAnsi="Trebuchet MS"/>
          <w:szCs w:val="24"/>
        </w:rPr>
        <w:t xml:space="preserve">, por otra, </w:t>
      </w:r>
      <w:r w:rsidRPr="00676238">
        <w:rPr>
          <w:rFonts w:ascii="Trebuchet MS" w:hAnsi="Trebuchet MS"/>
          <w:szCs w:val="24"/>
        </w:rPr>
        <w:t xml:space="preserve">corresponde al Ayuntamiento de </w:t>
      </w:r>
      <w:proofErr w:type="spellStart"/>
      <w:r w:rsidRPr="00676238">
        <w:rPr>
          <w:rFonts w:ascii="Trebuchet MS" w:hAnsi="Trebuchet MS"/>
          <w:szCs w:val="24"/>
        </w:rPr>
        <w:t>Lasarte</w:t>
      </w:r>
      <w:proofErr w:type="spellEnd"/>
      <w:r w:rsidRPr="00676238">
        <w:rPr>
          <w:rFonts w:ascii="Trebuchet MS" w:hAnsi="Trebuchet MS"/>
          <w:szCs w:val="24"/>
        </w:rPr>
        <w:t>-Oria, de conformidad con lo dispuesto en el artículo 25.2.a) de la Ley 7/1985, de 3 de abril, reguladora de las bases de régimen local, el ejercicio de la competencia en materia de promoción y gestión de viviendas.</w:t>
      </w:r>
    </w:p>
    <w:p w:rsidR="007A0F97" w:rsidRDefault="007A0F97" w:rsidP="007A0F97">
      <w:pPr>
        <w:spacing w:line="360" w:lineRule="auto"/>
        <w:jc w:val="both"/>
        <w:rPr>
          <w:rFonts w:ascii="Trebuchet MS" w:hAnsi="Trebuchet MS"/>
          <w:szCs w:val="24"/>
        </w:rPr>
      </w:pPr>
    </w:p>
    <w:p w:rsidR="007A0F97" w:rsidRDefault="007A0F97" w:rsidP="007A0F97">
      <w:pPr>
        <w:spacing w:line="360" w:lineRule="auto"/>
        <w:jc w:val="both"/>
        <w:rPr>
          <w:rFonts w:ascii="Trebuchet MS" w:hAnsi="Trebuchet MS"/>
          <w:szCs w:val="24"/>
        </w:rPr>
      </w:pPr>
      <w:r>
        <w:rPr>
          <w:rFonts w:ascii="Trebuchet MS" w:hAnsi="Trebuchet MS"/>
          <w:szCs w:val="24"/>
        </w:rPr>
        <w:t xml:space="preserve">La propuesta que analizamos trae causa de la reciente decisión del Ayuntamiento de </w:t>
      </w:r>
      <w:proofErr w:type="spellStart"/>
      <w:r w:rsidRPr="00676238">
        <w:rPr>
          <w:rFonts w:ascii="Trebuchet MS" w:hAnsi="Trebuchet MS"/>
          <w:szCs w:val="24"/>
        </w:rPr>
        <w:t>Lasarte</w:t>
      </w:r>
      <w:proofErr w:type="spellEnd"/>
      <w:r w:rsidRPr="00676238">
        <w:rPr>
          <w:rFonts w:ascii="Trebuchet MS" w:hAnsi="Trebuchet MS"/>
          <w:szCs w:val="24"/>
        </w:rPr>
        <w:t xml:space="preserve">-Oria </w:t>
      </w:r>
      <w:r>
        <w:rPr>
          <w:rFonts w:ascii="Trebuchet MS" w:hAnsi="Trebuchet MS"/>
          <w:szCs w:val="24"/>
        </w:rPr>
        <w:t xml:space="preserve">de extinguir, a fin de eliminar duplicidades, su Registro de Solicitantes de Vivienda, Registro que fue creado a través de la Ordenanza municipal reguladora del régimen de la vivienda de protección </w:t>
      </w:r>
      <w:r>
        <w:rPr>
          <w:rFonts w:ascii="Trebuchet MS" w:hAnsi="Trebuchet MS"/>
          <w:szCs w:val="24"/>
        </w:rPr>
        <w:lastRenderedPageBreak/>
        <w:t xml:space="preserve">pública en </w:t>
      </w:r>
      <w:proofErr w:type="spellStart"/>
      <w:r>
        <w:rPr>
          <w:rFonts w:ascii="Trebuchet MS" w:hAnsi="Trebuchet MS"/>
          <w:szCs w:val="24"/>
        </w:rPr>
        <w:t>Lasarte</w:t>
      </w:r>
      <w:proofErr w:type="spellEnd"/>
      <w:r>
        <w:rPr>
          <w:rFonts w:ascii="Trebuchet MS" w:hAnsi="Trebuchet MS"/>
          <w:szCs w:val="24"/>
        </w:rPr>
        <w:t xml:space="preserve">-Oria (BOG de 1.3.2010) con la finalidad de establecer el régimen jurídico de protección pública de las viviendas tasadas municipales, los requisitos de acceso y el sistema para adjudicar las viviendas de protección pública y sus anejos promovidas o concertadas por el Ayuntamiento de </w:t>
      </w:r>
      <w:proofErr w:type="spellStart"/>
      <w:r>
        <w:rPr>
          <w:rFonts w:ascii="Trebuchet MS" w:hAnsi="Trebuchet MS"/>
          <w:szCs w:val="24"/>
        </w:rPr>
        <w:t>Lasarte</w:t>
      </w:r>
      <w:proofErr w:type="spellEnd"/>
      <w:r>
        <w:rPr>
          <w:rFonts w:ascii="Trebuchet MS" w:hAnsi="Trebuchet MS"/>
          <w:szCs w:val="24"/>
        </w:rPr>
        <w:t>-Oria.</w:t>
      </w:r>
    </w:p>
    <w:p w:rsidR="007A0F97" w:rsidRDefault="007A0F97" w:rsidP="007A0F97">
      <w:pPr>
        <w:spacing w:line="360" w:lineRule="auto"/>
        <w:jc w:val="both"/>
        <w:rPr>
          <w:rFonts w:ascii="Trebuchet MS" w:hAnsi="Trebuchet MS"/>
          <w:szCs w:val="24"/>
        </w:rPr>
      </w:pPr>
    </w:p>
    <w:p w:rsidR="007A0F97" w:rsidRDefault="007A0F97" w:rsidP="007A0F97">
      <w:pPr>
        <w:spacing w:line="360" w:lineRule="auto"/>
        <w:jc w:val="both"/>
        <w:rPr>
          <w:rFonts w:ascii="Trebuchet MS" w:hAnsi="Trebuchet MS"/>
          <w:szCs w:val="24"/>
        </w:rPr>
      </w:pPr>
      <w:r w:rsidRPr="00097ACF">
        <w:rPr>
          <w:rFonts w:ascii="Trebuchet MS" w:hAnsi="Trebuchet MS"/>
        </w:rPr>
        <w:t xml:space="preserve">El Convenio articula la colaboración propuesta a través de </w:t>
      </w:r>
      <w:r>
        <w:rPr>
          <w:rFonts w:ascii="Trebuchet MS" w:hAnsi="Trebuchet MS"/>
        </w:rPr>
        <w:t xml:space="preserve">tres </w:t>
      </w:r>
      <w:r w:rsidRPr="00097ACF">
        <w:rPr>
          <w:rFonts w:ascii="Trebuchet MS" w:hAnsi="Trebuchet MS"/>
        </w:rPr>
        <w:t xml:space="preserve">cláusulas en las que se </w:t>
      </w:r>
      <w:r>
        <w:rPr>
          <w:rFonts w:ascii="Trebuchet MS" w:hAnsi="Trebuchet MS"/>
        </w:rPr>
        <w:t>establece</w:t>
      </w:r>
      <w:r w:rsidRPr="00097ACF">
        <w:rPr>
          <w:rFonts w:ascii="Trebuchet MS" w:hAnsi="Trebuchet MS"/>
        </w:rPr>
        <w:t xml:space="preserve">, además del objeto del Convenio al que ya nos hemos referido anteriormente, </w:t>
      </w:r>
      <w:r>
        <w:rPr>
          <w:rFonts w:ascii="Trebuchet MS" w:hAnsi="Trebuchet MS"/>
        </w:rPr>
        <w:t>e</w:t>
      </w:r>
      <w:r w:rsidRPr="00097ACF">
        <w:rPr>
          <w:rFonts w:ascii="Trebuchet MS" w:hAnsi="Trebuchet MS"/>
        </w:rPr>
        <w:t xml:space="preserve">l compromiso </w:t>
      </w:r>
      <w:r>
        <w:rPr>
          <w:rFonts w:ascii="Trebuchet MS" w:hAnsi="Trebuchet MS"/>
        </w:rPr>
        <w:t xml:space="preserve">de que </w:t>
      </w:r>
      <w:r>
        <w:rPr>
          <w:rFonts w:ascii="Trebuchet MS" w:hAnsi="Trebuchet MS"/>
          <w:szCs w:val="24"/>
        </w:rPr>
        <w:t xml:space="preserve">los datos cedidos por el Ayuntamiento de </w:t>
      </w:r>
      <w:proofErr w:type="spellStart"/>
      <w:r>
        <w:rPr>
          <w:rFonts w:ascii="Trebuchet MS" w:hAnsi="Trebuchet MS"/>
          <w:szCs w:val="24"/>
        </w:rPr>
        <w:t>Lasarte</w:t>
      </w:r>
      <w:proofErr w:type="spellEnd"/>
      <w:r>
        <w:rPr>
          <w:rFonts w:ascii="Trebuchet MS" w:hAnsi="Trebuchet MS"/>
          <w:szCs w:val="24"/>
        </w:rPr>
        <w:t>-Oria solamente puedan ser utilizados para el desarrollo de las funciones propias del Registro de Solicitantes de Vivienda-</w:t>
      </w:r>
      <w:proofErr w:type="spellStart"/>
      <w:r>
        <w:rPr>
          <w:rFonts w:ascii="Trebuchet MS" w:hAnsi="Trebuchet MS"/>
          <w:szCs w:val="24"/>
        </w:rPr>
        <w:t>Etxebide</w:t>
      </w:r>
      <w:proofErr w:type="spellEnd"/>
      <w:r>
        <w:rPr>
          <w:rFonts w:ascii="Trebuchet MS" w:hAnsi="Trebuchet MS"/>
          <w:szCs w:val="24"/>
        </w:rPr>
        <w:t>; el mantenimiento de la antigüedad de los expedientes del registro municipal si el régimen de vivienda solicitado es el mismo; y, el compromiso de ambas partes de informar a los solicitantes de vivienda del registro municipal de la posibilidad de inscribirse en el Registro de Solicitantes de Vivienda-</w:t>
      </w:r>
      <w:proofErr w:type="spellStart"/>
      <w:r>
        <w:rPr>
          <w:rFonts w:ascii="Trebuchet MS" w:hAnsi="Trebuchet MS"/>
          <w:szCs w:val="24"/>
        </w:rPr>
        <w:t>Etxebide</w:t>
      </w:r>
      <w:proofErr w:type="spellEnd"/>
      <w:r>
        <w:rPr>
          <w:rFonts w:ascii="Trebuchet MS" w:hAnsi="Trebuchet MS"/>
          <w:szCs w:val="24"/>
        </w:rPr>
        <w:t xml:space="preserve"> o de modificar su solicitud siempre que el régimen de vivienda solicitado sea el mismo.</w:t>
      </w:r>
    </w:p>
    <w:p w:rsidR="007A0F97" w:rsidRDefault="007A0F97" w:rsidP="007A0F97">
      <w:pPr>
        <w:spacing w:line="360" w:lineRule="auto"/>
        <w:jc w:val="both"/>
        <w:rPr>
          <w:rFonts w:ascii="Trebuchet MS" w:hAnsi="Trebuchet MS"/>
          <w:szCs w:val="24"/>
        </w:rPr>
      </w:pPr>
    </w:p>
    <w:p w:rsidR="007A0F97" w:rsidRPr="006443C2" w:rsidRDefault="007A0F97" w:rsidP="007A0F97">
      <w:pPr>
        <w:spacing w:line="360" w:lineRule="auto"/>
        <w:jc w:val="both"/>
        <w:rPr>
          <w:rFonts w:ascii="Trebuchet MS" w:hAnsi="Trebuchet MS"/>
          <w:i/>
          <w:szCs w:val="24"/>
        </w:rPr>
      </w:pPr>
      <w:r>
        <w:rPr>
          <w:rFonts w:ascii="Trebuchet MS" w:hAnsi="Trebuchet MS"/>
          <w:szCs w:val="24"/>
        </w:rPr>
        <w:t>El Convenio proyectado encuentra amparo en el artículo 3.2 de la Orden de 15 de octubre de 2012 del Consejero de Vivienda, Obras Públicas y Transportes, del registro de solicitantes de vivienda y de los procedimientos para la adjudicación de viviendas de protección oficial y alojamientos dotacionales de régimen autonómico (BOPV de 31.10.2012) que establece que: “</w:t>
      </w:r>
      <w:r w:rsidRPr="006443C2">
        <w:rPr>
          <w:rFonts w:ascii="Trebuchet MS" w:hAnsi="Trebuchet MS"/>
          <w:i/>
          <w:szCs w:val="24"/>
        </w:rPr>
        <w:t xml:space="preserve">Siempre que los requisitos exigidos en las ordenanzas municipales sean compatibles con el funcionamiento normal del Registro de Solicitantes de Vivienda, a solicitud de los Ayuntamientos y previo convenio suscrito al efecto, también podrán inscribirse las personas físicas o unidades </w:t>
      </w:r>
      <w:proofErr w:type="spellStart"/>
      <w:r w:rsidRPr="006443C2">
        <w:rPr>
          <w:rFonts w:ascii="Trebuchet MS" w:hAnsi="Trebuchet MS"/>
          <w:i/>
          <w:szCs w:val="24"/>
        </w:rPr>
        <w:t>convivenciales</w:t>
      </w:r>
      <w:proofErr w:type="spellEnd"/>
      <w:r w:rsidRPr="006443C2">
        <w:rPr>
          <w:rFonts w:ascii="Trebuchet MS" w:hAnsi="Trebuchet MS"/>
          <w:i/>
          <w:szCs w:val="24"/>
        </w:rPr>
        <w:t xml:space="preserve"> demandantes de viviendas tasadas y alojamientos dotaciones municipales.”</w:t>
      </w:r>
    </w:p>
    <w:p w:rsidR="007A0F97" w:rsidRDefault="007A0F97" w:rsidP="007A0F97">
      <w:pPr>
        <w:spacing w:line="360" w:lineRule="auto"/>
        <w:jc w:val="both"/>
        <w:rPr>
          <w:rFonts w:ascii="Trebuchet MS" w:hAnsi="Trebuchet MS"/>
          <w:szCs w:val="24"/>
        </w:rPr>
      </w:pPr>
    </w:p>
    <w:p w:rsidR="007A0F97" w:rsidRPr="00223AA4" w:rsidRDefault="007A0F97" w:rsidP="007A0F97">
      <w:pPr>
        <w:autoSpaceDE w:val="0"/>
        <w:autoSpaceDN w:val="0"/>
        <w:adjustRightInd w:val="0"/>
        <w:spacing w:line="360" w:lineRule="auto"/>
        <w:jc w:val="both"/>
        <w:rPr>
          <w:rFonts w:ascii="Trebuchet MS" w:hAnsi="Trebuchet MS" w:cs="5485"/>
          <w:szCs w:val="24"/>
          <w:lang w:val="es-ES" w:eastAsia="es-ES"/>
        </w:rPr>
      </w:pPr>
      <w:r>
        <w:rPr>
          <w:rFonts w:ascii="Trebuchet MS" w:hAnsi="Trebuchet MS"/>
          <w:szCs w:val="24"/>
        </w:rPr>
        <w:t>Por lo que a la transmisión de datos de carácter personal se refiere, el artículo 21.1 de la Ley Orgánica 15/1999, de 13 de diciembre, reguladora de la protección de datos de carácter personal establece que “</w:t>
      </w:r>
      <w:r w:rsidRPr="00223AA4">
        <w:rPr>
          <w:rFonts w:ascii="Trebuchet MS" w:hAnsi="Trebuchet MS" w:cs="5485"/>
          <w:i/>
          <w:szCs w:val="24"/>
          <w:lang w:val="es-ES" w:eastAsia="es-ES"/>
        </w:rPr>
        <w:t xml:space="preserve">Los datos de carácter personal recogidos o elaborados por las Administraciones públicas </w:t>
      </w:r>
      <w:r w:rsidRPr="00223AA4">
        <w:rPr>
          <w:rFonts w:ascii="Trebuchet MS" w:hAnsi="Trebuchet MS" w:cs="5485"/>
          <w:i/>
          <w:szCs w:val="24"/>
          <w:lang w:val="es-ES" w:eastAsia="es-ES"/>
        </w:rPr>
        <w:lastRenderedPageBreak/>
        <w:t xml:space="preserve">para el desempeño de sus atribuciones no serán comunicados a otras Administraciones públicas para el ejercicio de competencias diferentes o de competencias que versen sobre materias distintas, salvo cuando la comunicación hubiere sido prevista por las disposiciones de creación del fichero o por disposición de superior rango que regule su uso, o cuando la comunicación tenga por objeto el tratamiento posterior de los datos con fines históricos, estadísticos o científicos” </w:t>
      </w:r>
      <w:r w:rsidRPr="00223AA4">
        <w:rPr>
          <w:rFonts w:ascii="Trebuchet MS" w:hAnsi="Trebuchet MS" w:cs="5485"/>
          <w:szCs w:val="24"/>
          <w:lang w:val="es-ES" w:eastAsia="es-ES"/>
        </w:rPr>
        <w:t>y el apartado 4 del mismo artículo dispone, en lo que aquí interesa, que en los supuestos previstos en ese apartado 1 no será necesario el consentimiento de afectado a que se refiere el artículo 11 de la Ley.</w:t>
      </w:r>
    </w:p>
    <w:p w:rsidR="007A0F97" w:rsidRPr="00223AA4" w:rsidRDefault="007A0F97" w:rsidP="007A0F97">
      <w:pPr>
        <w:autoSpaceDE w:val="0"/>
        <w:autoSpaceDN w:val="0"/>
        <w:adjustRightInd w:val="0"/>
        <w:spacing w:line="360" w:lineRule="auto"/>
        <w:jc w:val="both"/>
        <w:rPr>
          <w:rFonts w:ascii="Arial Narrow" w:hAnsi="Arial Narrow" w:cs="5485"/>
          <w:i/>
          <w:szCs w:val="24"/>
          <w:lang w:val="es-ES" w:eastAsia="es-ES"/>
        </w:rPr>
      </w:pPr>
    </w:p>
    <w:p w:rsidR="007A0F97" w:rsidRDefault="007A0F97" w:rsidP="007A0F97">
      <w:pPr>
        <w:spacing w:line="360" w:lineRule="auto"/>
        <w:jc w:val="both"/>
        <w:rPr>
          <w:rFonts w:ascii="Trebuchet MS" w:hAnsi="Trebuchet MS"/>
          <w:szCs w:val="24"/>
        </w:rPr>
      </w:pPr>
      <w:r>
        <w:rPr>
          <w:rFonts w:ascii="Trebuchet MS" w:hAnsi="Trebuchet MS"/>
          <w:szCs w:val="24"/>
        </w:rPr>
        <w:t xml:space="preserve">En este caso, los datos se comunican entre Administraciones competentes en la misma materia –vivienda- y, además, según se indica en la parte expositiva del Convenio, todos los solicitantes de vivienda inscritos en el registro municipal han autorizado al Ayuntamiento de </w:t>
      </w:r>
      <w:proofErr w:type="spellStart"/>
      <w:r>
        <w:rPr>
          <w:rFonts w:ascii="Trebuchet MS" w:hAnsi="Trebuchet MS"/>
          <w:szCs w:val="24"/>
        </w:rPr>
        <w:t>Lasarte</w:t>
      </w:r>
      <w:proofErr w:type="spellEnd"/>
      <w:r>
        <w:rPr>
          <w:rFonts w:ascii="Trebuchet MS" w:hAnsi="Trebuchet MS"/>
          <w:szCs w:val="24"/>
        </w:rPr>
        <w:t>-Oria a ceder sus datos a otras Administraciones Públicas competentes en materia de vivienda, por lo que no existe impedimento alguno para que se produzca esa comunicación de datos.</w:t>
      </w:r>
    </w:p>
    <w:p w:rsidR="007A0F97" w:rsidRDefault="007A0F97" w:rsidP="007A0F97">
      <w:pPr>
        <w:spacing w:line="360" w:lineRule="auto"/>
        <w:jc w:val="both"/>
        <w:rPr>
          <w:rFonts w:ascii="Trebuchet MS" w:hAnsi="Trebuchet MS"/>
          <w:szCs w:val="24"/>
        </w:rPr>
      </w:pPr>
    </w:p>
    <w:p w:rsidR="007A0F97" w:rsidRDefault="007A0F97" w:rsidP="007A0F97">
      <w:pPr>
        <w:spacing w:line="360" w:lineRule="auto"/>
        <w:jc w:val="both"/>
        <w:rPr>
          <w:rFonts w:ascii="Trebuchet MS" w:hAnsi="Trebuchet MS"/>
          <w:szCs w:val="24"/>
        </w:rPr>
      </w:pPr>
      <w:r>
        <w:rPr>
          <w:rFonts w:ascii="Trebuchet MS" w:hAnsi="Trebuchet MS"/>
          <w:szCs w:val="24"/>
        </w:rPr>
        <w:t>La única observación que cabe hacer al proyecto de Convenio es que ninguna referencia se contiene en el mismo al plazo en el que se va a llevar a cabo la integración de datos que se acuerda, extremo que debería concretarse.</w:t>
      </w:r>
    </w:p>
    <w:p w:rsidR="007A0F97" w:rsidRDefault="007A0F97" w:rsidP="007A0F97">
      <w:pPr>
        <w:spacing w:line="360" w:lineRule="auto"/>
        <w:jc w:val="both"/>
        <w:rPr>
          <w:rFonts w:ascii="Trebuchet MS" w:hAnsi="Trebuchet MS"/>
          <w:szCs w:val="24"/>
        </w:rPr>
      </w:pPr>
    </w:p>
    <w:p w:rsidR="007A0F97" w:rsidRPr="00676238" w:rsidRDefault="007A0F97" w:rsidP="007A0F97">
      <w:pPr>
        <w:spacing w:line="360" w:lineRule="auto"/>
        <w:jc w:val="center"/>
        <w:rPr>
          <w:rFonts w:ascii="Trebuchet MS" w:hAnsi="Trebuchet MS"/>
          <w:b/>
          <w:szCs w:val="24"/>
        </w:rPr>
      </w:pPr>
      <w:r w:rsidRPr="00676238">
        <w:rPr>
          <w:rFonts w:ascii="Trebuchet MS" w:hAnsi="Trebuchet MS"/>
          <w:b/>
          <w:szCs w:val="24"/>
        </w:rPr>
        <w:t>I</w:t>
      </w:r>
      <w:r>
        <w:rPr>
          <w:rFonts w:ascii="Trebuchet MS" w:hAnsi="Trebuchet MS"/>
          <w:b/>
          <w:szCs w:val="24"/>
        </w:rPr>
        <w:t>II</w:t>
      </w:r>
      <w:r w:rsidRPr="00676238">
        <w:rPr>
          <w:rFonts w:ascii="Trebuchet MS" w:hAnsi="Trebuchet MS"/>
          <w:b/>
          <w:szCs w:val="24"/>
        </w:rPr>
        <w:t>. CONCLUSION</w:t>
      </w:r>
    </w:p>
    <w:p w:rsidR="007A0F97" w:rsidRPr="00676238" w:rsidRDefault="007A0F97" w:rsidP="007A0F97">
      <w:pPr>
        <w:spacing w:line="360" w:lineRule="auto"/>
        <w:jc w:val="both"/>
        <w:rPr>
          <w:rFonts w:ascii="Trebuchet MS" w:hAnsi="Trebuchet MS"/>
          <w:szCs w:val="24"/>
        </w:rPr>
      </w:pPr>
    </w:p>
    <w:p w:rsidR="007A0F97" w:rsidRDefault="007A0F97" w:rsidP="007A0F97">
      <w:pPr>
        <w:spacing w:line="360" w:lineRule="auto"/>
        <w:jc w:val="both"/>
        <w:rPr>
          <w:rFonts w:ascii="Trebuchet MS" w:hAnsi="Trebuchet MS"/>
          <w:szCs w:val="24"/>
        </w:rPr>
      </w:pPr>
      <w:r w:rsidRPr="00676238">
        <w:rPr>
          <w:rFonts w:ascii="Trebuchet MS" w:hAnsi="Trebuchet MS"/>
          <w:szCs w:val="24"/>
        </w:rPr>
        <w:t>Se informa favorablemente el Convenio de Colaboración a</w:t>
      </w:r>
      <w:r>
        <w:rPr>
          <w:rFonts w:ascii="Trebuchet MS" w:hAnsi="Trebuchet MS"/>
          <w:szCs w:val="24"/>
        </w:rPr>
        <w:t>nalizado, debiéndose tener en cuenta la observación que se realiza en cuerpo del informe.</w:t>
      </w:r>
    </w:p>
    <w:p w:rsidR="007A0F97" w:rsidRDefault="007A0F97" w:rsidP="007A0F97">
      <w:pPr>
        <w:spacing w:line="360" w:lineRule="auto"/>
        <w:jc w:val="both"/>
        <w:rPr>
          <w:rFonts w:ascii="Trebuchet MS" w:hAnsi="Trebuchet MS"/>
          <w:szCs w:val="24"/>
        </w:rPr>
      </w:pPr>
    </w:p>
    <w:p w:rsidR="007A0F97" w:rsidRDefault="007A0F97" w:rsidP="007A0F97">
      <w:pPr>
        <w:spacing w:line="360" w:lineRule="auto"/>
        <w:jc w:val="both"/>
        <w:rPr>
          <w:rFonts w:ascii="Trebuchet MS" w:hAnsi="Trebuchet MS"/>
          <w:szCs w:val="24"/>
        </w:rPr>
      </w:pPr>
      <w:r>
        <w:rPr>
          <w:rFonts w:ascii="Trebuchet MS" w:hAnsi="Trebuchet MS"/>
          <w:szCs w:val="24"/>
        </w:rPr>
        <w:t>Este es mi informe que emito en Vitoria-Gasteiz, a veintiocho de febrero de dos mil catorce, y someto a cualquier otro mejor fundado en derecho.</w:t>
      </w:r>
    </w:p>
    <w:p w:rsidR="007A0F97" w:rsidRDefault="007A0F97" w:rsidP="007A0F97">
      <w:pPr>
        <w:spacing w:line="360" w:lineRule="auto"/>
        <w:jc w:val="both"/>
        <w:rPr>
          <w:rFonts w:ascii="Trebuchet MS" w:hAnsi="Trebuchet MS"/>
          <w:szCs w:val="24"/>
        </w:rPr>
      </w:pPr>
    </w:p>
    <w:p w:rsidR="007A0F97" w:rsidRPr="00676238" w:rsidRDefault="007A0F97" w:rsidP="007A0F97">
      <w:pPr>
        <w:spacing w:line="360" w:lineRule="auto"/>
        <w:jc w:val="both"/>
        <w:rPr>
          <w:rFonts w:ascii="Trebuchet MS" w:hAnsi="Trebuchet MS"/>
          <w:szCs w:val="24"/>
          <w:lang w:val="es-ES"/>
        </w:rPr>
      </w:pPr>
    </w:p>
    <w:sectPr w:rsidR="007A0F97" w:rsidRPr="00676238">
      <w:headerReference w:type="even" r:id="rId8"/>
      <w:headerReference w:type="default" r:id="rId9"/>
      <w:footerReference w:type="even" r:id="rId10"/>
      <w:footerReference w:type="default" r:id="rId11"/>
      <w:headerReference w:type="first" r:id="rId12"/>
      <w:footerReference w:type="first" r:id="rId13"/>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0F97" w:rsidRDefault="007A0F97">
      <w:r>
        <w:separator/>
      </w:r>
    </w:p>
  </w:endnote>
  <w:endnote w:type="continuationSeparator" w:id="0">
    <w:p w:rsidR="007A0F97" w:rsidRDefault="007A0F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5485">
    <w:panose1 w:val="00000000000000000000"/>
    <w:charset w:val="00"/>
    <w:family w:val="auto"/>
    <w:notTrueType/>
    <w:pitch w:val="default"/>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E6C" w:rsidRDefault="00221E6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E6C" w:rsidRDefault="00221E6C">
    <w:pPr>
      <w:pStyle w:val="Piedepgina"/>
      <w:jc w:val="right"/>
    </w:pPr>
    <w:r>
      <w:fldChar w:fldCharType="begin"/>
    </w:r>
    <w:r>
      <w:instrText>PAGE   \* MERGEFORMAT</w:instrText>
    </w:r>
    <w:r>
      <w:fldChar w:fldCharType="separate"/>
    </w:r>
    <w:r w:rsidR="0024683E" w:rsidRPr="0024683E">
      <w:rPr>
        <w:noProof/>
        <w:lang w:val="es-ES"/>
      </w:rPr>
      <w:t>4</w:t>
    </w:r>
    <w:r>
      <w:fldChar w:fldCharType="end"/>
    </w:r>
  </w:p>
  <w:p w:rsidR="00221E6C" w:rsidRDefault="00221E6C">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0F97" w:rsidRDefault="007A0F97">
      <w:r>
        <w:separator/>
      </w:r>
    </w:p>
  </w:footnote>
  <w:footnote w:type="continuationSeparator" w:id="0">
    <w:p w:rsidR="007A0F97" w:rsidRDefault="007A0F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1E6C" w:rsidRDefault="00221E6C">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21860" r:id="rId2"/>
      </w:object>
    </w:r>
  </w:p>
  <w:p w:rsidR="00360013" w:rsidRPr="00221E6C" w:rsidRDefault="00360013">
    <w:pPr>
      <w:pStyle w:val="Encabezado"/>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221E6C">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21861"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0F97"/>
    <w:rsid w:val="00221E6C"/>
    <w:rsid w:val="0024683E"/>
    <w:rsid w:val="00360013"/>
    <w:rsid w:val="003E3E5E"/>
    <w:rsid w:val="006538E3"/>
    <w:rsid w:val="006C35DB"/>
    <w:rsid w:val="007956DD"/>
    <w:rsid w:val="007A0F97"/>
    <w:rsid w:val="00D60B32"/>
    <w:rsid w:val="00DE4B6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F97"/>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independiente2">
    <w:name w:val="Body Text 2"/>
    <w:basedOn w:val="Normal"/>
    <w:link w:val="Textoindependiente2Car"/>
    <w:rsid w:val="007A0F97"/>
    <w:pPr>
      <w:spacing w:after="120" w:line="480" w:lineRule="auto"/>
    </w:pPr>
  </w:style>
  <w:style w:type="character" w:customStyle="1" w:styleId="Textoindependiente2Car">
    <w:name w:val="Texto independiente 2 Car"/>
    <w:basedOn w:val="Fuentedeprrafopredeter"/>
    <w:link w:val="Textoindependiente2"/>
    <w:rsid w:val="007A0F97"/>
    <w:rPr>
      <w:sz w:val="24"/>
      <w:lang w:val="es-ES_tradnl" w:eastAsia="es-ES_tradnl"/>
    </w:rPr>
  </w:style>
  <w:style w:type="character" w:customStyle="1" w:styleId="PiedepginaCar">
    <w:name w:val="Pie de página Car"/>
    <w:link w:val="Piedepgina"/>
    <w:uiPriority w:val="99"/>
    <w:rsid w:val="00221E6C"/>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A0F97"/>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Textoindependiente2">
    <w:name w:val="Body Text 2"/>
    <w:basedOn w:val="Normal"/>
    <w:link w:val="Textoindependiente2Car"/>
    <w:rsid w:val="007A0F97"/>
    <w:pPr>
      <w:spacing w:after="120" w:line="480" w:lineRule="auto"/>
    </w:pPr>
  </w:style>
  <w:style w:type="character" w:customStyle="1" w:styleId="Textoindependiente2Car">
    <w:name w:val="Texto independiente 2 Car"/>
    <w:basedOn w:val="Fuentedeprrafopredeter"/>
    <w:link w:val="Textoindependiente2"/>
    <w:rsid w:val="007A0F97"/>
    <w:rPr>
      <w:sz w:val="24"/>
      <w:lang w:val="es-ES_tradnl" w:eastAsia="es-ES_tradnl"/>
    </w:rPr>
  </w:style>
  <w:style w:type="character" w:customStyle="1" w:styleId="PiedepginaCar">
    <w:name w:val="Pie de página Car"/>
    <w:link w:val="Piedepgina"/>
    <w:uiPriority w:val="99"/>
    <w:rsid w:val="00221E6C"/>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F3A655-2194-4AD5-87C0-41CD775D8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1</TotalTime>
  <Pages>4</Pages>
  <Words>1108</Words>
  <Characters>6054</Characters>
  <Application>Microsoft Office Word</Application>
  <DocSecurity>0</DocSecurity>
  <Lines>50</Lines>
  <Paragraphs>14</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7148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2014-06-02T11:44:00Z</dcterms:created>
  <dcterms:modified xsi:type="dcterms:W3CDTF">2014-06-02T11:44:00Z</dcterms:modified>
</cp:coreProperties>
</file>