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33" w:rsidRPr="00081C2B" w:rsidRDefault="003D5133" w:rsidP="001530FA">
      <w:pPr>
        <w:pageBreakBefore/>
        <w:jc w:val="both"/>
        <w:rPr>
          <w:rFonts w:ascii="Arial" w:hAnsi="Arial" w:cs="Arial"/>
          <w:b/>
          <w:sz w:val="24"/>
          <w:szCs w:val="24"/>
        </w:rPr>
      </w:pPr>
      <w:bookmarkStart w:id="0" w:name="_GoBack"/>
      <w:bookmarkEnd w:id="0"/>
      <w:r w:rsidRPr="00081C2B">
        <w:rPr>
          <w:rFonts w:ascii="Arial" w:hAnsi="Arial" w:cs="Arial"/>
          <w:b/>
          <w:sz w:val="24"/>
          <w:szCs w:val="24"/>
        </w:rPr>
        <w:t xml:space="preserve">INFORME DE LEGALIDAD SOBRE EL PROYECTO </w:t>
      </w:r>
      <w:r w:rsidR="00563B74" w:rsidRPr="00081C2B">
        <w:rPr>
          <w:rFonts w:ascii="Arial" w:hAnsi="Arial" w:cs="Arial"/>
          <w:b/>
          <w:sz w:val="24"/>
          <w:szCs w:val="24"/>
        </w:rPr>
        <w:t xml:space="preserve">DE </w:t>
      </w:r>
      <w:r w:rsidR="001530FA" w:rsidRPr="00081C2B">
        <w:rPr>
          <w:rFonts w:ascii="Arial" w:hAnsi="Arial" w:cs="Arial"/>
          <w:b/>
          <w:sz w:val="24"/>
          <w:szCs w:val="24"/>
        </w:rPr>
        <w:t>DECRETO POR EL QUE SE DESARROLLA EL PROGRAMA DE APOYO FINANCIERO A PEQUEÑAS Y MEDIANAS EMPRESAS, PERSONAS EMPRESARIAS INDIVIDUALES Y PROFESIONALES AUTONOMOS PARA EL AÑO 2014</w:t>
      </w:r>
    </w:p>
    <w:p w:rsidR="003D5133" w:rsidRPr="00081C2B" w:rsidRDefault="003D5133" w:rsidP="003D5133">
      <w:pPr>
        <w:spacing w:line="360" w:lineRule="auto"/>
        <w:jc w:val="both"/>
        <w:rPr>
          <w:rFonts w:ascii="Arial" w:hAnsi="Arial" w:cs="Arial"/>
          <w:b/>
          <w:sz w:val="24"/>
          <w:szCs w:val="24"/>
        </w:rPr>
      </w:pPr>
    </w:p>
    <w:p w:rsidR="003D5133" w:rsidRPr="00081C2B" w:rsidRDefault="003D5133" w:rsidP="003D5133">
      <w:pPr>
        <w:spacing w:line="360" w:lineRule="auto"/>
        <w:jc w:val="both"/>
        <w:rPr>
          <w:rFonts w:ascii="Arial" w:hAnsi="Arial" w:cs="Arial"/>
          <w:b/>
          <w:sz w:val="24"/>
          <w:szCs w:val="24"/>
          <w:u w:val="single"/>
        </w:rPr>
      </w:pPr>
    </w:p>
    <w:p w:rsidR="00C8517A" w:rsidRPr="00081C2B" w:rsidRDefault="00C8517A" w:rsidP="003D5133">
      <w:pPr>
        <w:spacing w:line="360" w:lineRule="auto"/>
        <w:jc w:val="center"/>
        <w:rPr>
          <w:rFonts w:ascii="Arial" w:hAnsi="Arial" w:cs="Arial"/>
          <w:b/>
          <w:sz w:val="24"/>
          <w:szCs w:val="24"/>
        </w:rPr>
      </w:pPr>
      <w:r w:rsidRPr="00081C2B">
        <w:rPr>
          <w:rFonts w:ascii="Arial" w:hAnsi="Arial" w:cs="Arial"/>
          <w:b/>
          <w:sz w:val="24"/>
          <w:szCs w:val="24"/>
        </w:rPr>
        <w:t>I</w:t>
      </w:r>
    </w:p>
    <w:p w:rsidR="003D5133" w:rsidRPr="00081C2B" w:rsidRDefault="003D5133" w:rsidP="003D5133">
      <w:pPr>
        <w:spacing w:line="360" w:lineRule="auto"/>
        <w:jc w:val="center"/>
        <w:rPr>
          <w:rFonts w:ascii="Arial" w:hAnsi="Arial" w:cs="Arial"/>
          <w:b/>
          <w:sz w:val="24"/>
          <w:szCs w:val="24"/>
        </w:rPr>
      </w:pPr>
      <w:r w:rsidRPr="00081C2B">
        <w:rPr>
          <w:rFonts w:ascii="Arial" w:hAnsi="Arial" w:cs="Arial"/>
          <w:b/>
          <w:sz w:val="24"/>
          <w:szCs w:val="24"/>
        </w:rPr>
        <w:t>ANTECEDENTES</w:t>
      </w:r>
    </w:p>
    <w:p w:rsidR="003D5133" w:rsidRPr="00081C2B" w:rsidRDefault="003D5133" w:rsidP="003D5133">
      <w:pPr>
        <w:jc w:val="both"/>
        <w:rPr>
          <w:rFonts w:ascii="Arial" w:hAnsi="Arial" w:cs="Arial"/>
          <w:sz w:val="24"/>
          <w:szCs w:val="24"/>
          <w:lang w:val="es-ES"/>
        </w:rPr>
      </w:pPr>
    </w:p>
    <w:p w:rsidR="001530FA" w:rsidRPr="00081C2B" w:rsidRDefault="003D5133" w:rsidP="001530FA">
      <w:pPr>
        <w:pStyle w:val="Default"/>
        <w:spacing w:line="360" w:lineRule="auto"/>
        <w:jc w:val="both"/>
        <w:rPr>
          <w:color w:val="auto"/>
          <w:lang w:eastAsia="es-ES_tradnl"/>
        </w:rPr>
      </w:pPr>
      <w:r w:rsidRPr="00081C2B">
        <w:rPr>
          <w:color w:val="auto"/>
          <w:lang w:eastAsia="es-ES_tradnl"/>
        </w:rPr>
        <w:tab/>
      </w:r>
      <w:r w:rsidR="0048596E" w:rsidRPr="00081C2B">
        <w:rPr>
          <w:color w:val="auto"/>
          <w:lang w:eastAsia="es-ES_tradnl"/>
        </w:rPr>
        <w:t xml:space="preserve">1.- </w:t>
      </w:r>
      <w:r w:rsidR="001530FA" w:rsidRPr="00081C2B">
        <w:rPr>
          <w:color w:val="auto"/>
          <w:lang w:eastAsia="es-ES_tradnl"/>
        </w:rPr>
        <w:t xml:space="preserve">El presente informe se emite a solicitud del Departamento de Hacienda y Finanzas respecto del Proyecto de Decreto de referencia, a los efectos previstos en el artículo 6.1 h) del Decreto  20/2012, de 15 de diciembre, del Lehendakari, de creación, supresión y modificación de los Departamentos de </w:t>
      </w:r>
      <w:smartTag w:uri="urn:schemas-microsoft-com:office:smarttags" w:element="PersonName">
        <w:smartTagPr>
          <w:attr w:name="ProductID" w:val="la Administraci￳n"/>
        </w:smartTagPr>
        <w:r w:rsidR="001530FA" w:rsidRPr="00081C2B">
          <w:rPr>
            <w:color w:val="auto"/>
            <w:lang w:eastAsia="es-ES_tradnl"/>
          </w:rPr>
          <w:t>la Administración</w:t>
        </w:r>
      </w:smartTag>
      <w:r w:rsidR="001530FA" w:rsidRPr="00081C2B">
        <w:rPr>
          <w:color w:val="auto"/>
          <w:lang w:eastAsia="es-ES_tradnl"/>
        </w:rPr>
        <w:t xml:space="preserve"> de </w:t>
      </w:r>
      <w:smartTag w:uri="urn:schemas-microsoft-com:office:smarttags" w:element="PersonName">
        <w:smartTagPr>
          <w:attr w:name="ProductID" w:val="la Comunidad Aut￳noma"/>
        </w:smartTagPr>
        <w:r w:rsidR="001530FA" w:rsidRPr="00081C2B">
          <w:rPr>
            <w:color w:val="auto"/>
            <w:lang w:eastAsia="es-ES_tradnl"/>
          </w:rPr>
          <w:t>la Comunidad Autónoma</w:t>
        </w:r>
      </w:smartTag>
      <w:r w:rsidR="001530FA" w:rsidRPr="00081C2B">
        <w:rPr>
          <w:color w:val="auto"/>
          <w:lang w:eastAsia="es-ES_tradnl"/>
        </w:rPr>
        <w:t xml:space="preserve"> del País Vasco y de determinación de funciones y áreas de actuación de los mismos, y en el artículo </w:t>
      </w:r>
      <w:smartTag w:uri="urn:schemas-microsoft-com:office:smarttags" w:element="metricconverter">
        <w:smartTagPr>
          <w:attr w:name="ProductID" w:val="11.1 a"/>
        </w:smartTagPr>
        <w:r w:rsidR="001530FA" w:rsidRPr="00081C2B">
          <w:rPr>
            <w:color w:val="auto"/>
            <w:lang w:eastAsia="es-ES_tradnl"/>
          </w:rPr>
          <w:t>11.1 a</w:t>
        </w:r>
      </w:smartTag>
      <w:r w:rsidR="001530FA" w:rsidRPr="00081C2B">
        <w:rPr>
          <w:color w:val="auto"/>
          <w:lang w:eastAsia="es-ES_tradnl"/>
        </w:rPr>
        <w:t>) del Decreto 188/2013, de 9 de abril, por el que se establece la estructura orgánica y funcional del Departamento de Administración Pública y Justicia, en relación con el Acuerdo del Consejo de Gobierno de 13 de junio de 1995 relativo a disposiciones e iniciativas en las que será preceptiva la emisión del Informe de Control de Legalidad.</w:t>
      </w:r>
    </w:p>
    <w:p w:rsidR="00FF7969" w:rsidRPr="00081C2B" w:rsidRDefault="00FF7969" w:rsidP="00FF7969">
      <w:pPr>
        <w:pStyle w:val="Default"/>
        <w:spacing w:line="360" w:lineRule="auto"/>
        <w:jc w:val="both"/>
      </w:pPr>
    </w:p>
    <w:p w:rsidR="00774813" w:rsidRPr="00081C2B" w:rsidRDefault="00774813" w:rsidP="00FF7969">
      <w:pPr>
        <w:pStyle w:val="Default"/>
        <w:spacing w:line="360" w:lineRule="auto"/>
        <w:ind w:firstLine="708"/>
        <w:jc w:val="both"/>
      </w:pPr>
    </w:p>
    <w:p w:rsidR="00EE1752" w:rsidRPr="00081C2B" w:rsidRDefault="00774813" w:rsidP="00774813">
      <w:pPr>
        <w:pStyle w:val="Default"/>
        <w:spacing w:line="360" w:lineRule="auto"/>
        <w:ind w:firstLine="708"/>
        <w:jc w:val="center"/>
        <w:rPr>
          <w:b/>
        </w:rPr>
      </w:pPr>
      <w:r w:rsidRPr="00081C2B">
        <w:rPr>
          <w:b/>
        </w:rPr>
        <w:t>II</w:t>
      </w:r>
    </w:p>
    <w:p w:rsidR="0048596E" w:rsidRPr="00081C2B" w:rsidRDefault="00774813" w:rsidP="00774813">
      <w:pPr>
        <w:pStyle w:val="Default"/>
        <w:spacing w:line="360" w:lineRule="auto"/>
        <w:ind w:firstLine="708"/>
        <w:jc w:val="center"/>
        <w:rPr>
          <w:b/>
        </w:rPr>
      </w:pPr>
      <w:r w:rsidRPr="00081C2B">
        <w:rPr>
          <w:b/>
        </w:rPr>
        <w:t>DOCUMENTACIÓN</w:t>
      </w:r>
      <w:r w:rsidR="004C03E2">
        <w:rPr>
          <w:b/>
        </w:rPr>
        <w:t xml:space="preserve"> Y TRAMITACIÓN</w:t>
      </w:r>
    </w:p>
    <w:p w:rsidR="00774813" w:rsidRPr="00081C2B" w:rsidRDefault="00774813" w:rsidP="00774813">
      <w:pPr>
        <w:pStyle w:val="Default"/>
        <w:spacing w:line="360" w:lineRule="auto"/>
        <w:ind w:firstLine="708"/>
        <w:jc w:val="center"/>
        <w:rPr>
          <w:b/>
        </w:rPr>
      </w:pPr>
    </w:p>
    <w:p w:rsidR="004C03E2" w:rsidRDefault="00774813" w:rsidP="00774813">
      <w:pPr>
        <w:pStyle w:val="Default"/>
        <w:spacing w:line="360" w:lineRule="auto"/>
        <w:ind w:firstLine="708"/>
        <w:jc w:val="both"/>
      </w:pPr>
      <w:r w:rsidRPr="00081C2B">
        <w:t>1</w:t>
      </w:r>
      <w:r w:rsidR="0048596E" w:rsidRPr="00081C2B">
        <w:t xml:space="preserve">.- </w:t>
      </w:r>
      <w:r w:rsidR="004C03E2">
        <w:t>Junto con el proyecto de Decreto s</w:t>
      </w:r>
      <w:r w:rsidR="001530FA" w:rsidRPr="00081C2B">
        <w:t xml:space="preserve">e nos ha remitido </w:t>
      </w:r>
      <w:r w:rsidR="004C03E2">
        <w:t xml:space="preserve">la documentación acreditativa de la realización de los trámites y consultas que exige la </w:t>
      </w:r>
      <w:r w:rsidR="004C03E2" w:rsidRPr="00C21EB0">
        <w:t>Ley 8/2003, de 22 de diciembre, del Procedimiento de Elaboración de las Disposiciones de Carácter General (LPEDCG)</w:t>
      </w:r>
      <w:r w:rsidR="004C03E2">
        <w:t>.</w:t>
      </w:r>
    </w:p>
    <w:p w:rsidR="004C03E2" w:rsidRDefault="004C03E2" w:rsidP="00774813">
      <w:pPr>
        <w:pStyle w:val="Default"/>
        <w:spacing w:line="360" w:lineRule="auto"/>
        <w:ind w:firstLine="708"/>
        <w:jc w:val="both"/>
      </w:pPr>
    </w:p>
    <w:p w:rsidR="00283261" w:rsidRDefault="004C03E2" w:rsidP="00774813">
      <w:pPr>
        <w:pStyle w:val="Default"/>
        <w:spacing w:line="360" w:lineRule="auto"/>
        <w:ind w:firstLine="708"/>
        <w:jc w:val="both"/>
      </w:pPr>
      <w:r>
        <w:t xml:space="preserve">2.- Se ha dictado </w:t>
      </w:r>
      <w:r w:rsidRPr="00F57EDC">
        <w:t xml:space="preserve">Orden de iniciación del procedimiento </w:t>
      </w:r>
      <w:r>
        <w:t>con los</w:t>
      </w:r>
      <w:r w:rsidRPr="00F57EDC">
        <w:t xml:space="preserve"> contenidos relevantes, a que se refiere el artículo 5 de la </w:t>
      </w:r>
      <w:r>
        <w:t xml:space="preserve">LPDCG; esto es, define el </w:t>
      </w:r>
      <w:r w:rsidRPr="00F57EDC">
        <w:t>objeto y finalidad de la norma;</w:t>
      </w:r>
      <w:r>
        <w:t xml:space="preserve"> hace referencia al marco normativo inmediato del que deriva</w:t>
      </w:r>
      <w:r w:rsidR="00DF3F91">
        <w:t>; analiza la repercusión en tal marco normativo</w:t>
      </w:r>
      <w:r>
        <w:t xml:space="preserve">; establece su conexión con los </w:t>
      </w:r>
      <w:r>
        <w:lastRenderedPageBreak/>
        <w:t xml:space="preserve">Presupuestos Generales de la Comunidad Autónoma del País </w:t>
      </w:r>
      <w:r w:rsidR="00015E77">
        <w:t>V</w:t>
      </w:r>
      <w:r>
        <w:t xml:space="preserve">asco para 2014, aprobados por Ley </w:t>
      </w:r>
      <w:r w:rsidR="00283261">
        <w:t>4/2013 (LPGCAPV 2014)</w:t>
      </w:r>
      <w:r>
        <w:t>; y prevé, en su tramitación, la emisión de los informes que son preceptivos</w:t>
      </w:r>
      <w:r w:rsidR="00283261">
        <w:t>.</w:t>
      </w:r>
    </w:p>
    <w:p w:rsidR="00283261" w:rsidRDefault="00283261" w:rsidP="00774813">
      <w:pPr>
        <w:pStyle w:val="Default"/>
        <w:spacing w:line="360" w:lineRule="auto"/>
        <w:ind w:firstLine="708"/>
        <w:jc w:val="both"/>
      </w:pPr>
    </w:p>
    <w:p w:rsidR="00283261" w:rsidRDefault="00283261" w:rsidP="00774813">
      <w:pPr>
        <w:pStyle w:val="Default"/>
        <w:spacing w:line="360" w:lineRule="auto"/>
        <w:ind w:firstLine="708"/>
        <w:jc w:val="both"/>
      </w:pPr>
      <w:r>
        <w:t>3.-. Se han emitido los siguientes informes:</w:t>
      </w:r>
    </w:p>
    <w:p w:rsidR="00283261" w:rsidRPr="003E256F" w:rsidRDefault="00283261" w:rsidP="00774813">
      <w:pPr>
        <w:pStyle w:val="Default"/>
        <w:spacing w:line="360" w:lineRule="auto"/>
        <w:ind w:firstLine="708"/>
        <w:jc w:val="both"/>
      </w:pPr>
    </w:p>
    <w:p w:rsidR="00283261" w:rsidRPr="003E256F" w:rsidRDefault="00283261" w:rsidP="00283261">
      <w:pPr>
        <w:pStyle w:val="Default"/>
        <w:numPr>
          <w:ilvl w:val="0"/>
          <w:numId w:val="47"/>
        </w:numPr>
        <w:spacing w:line="360" w:lineRule="auto"/>
        <w:jc w:val="both"/>
      </w:pPr>
      <w:r w:rsidRPr="003E256F">
        <w:t>Informe jurídico del Departamento de Hacienda y Finanzas, en el que se analiza la naturaleza normativa de la disposición y el rango, la competencia del Departamento de Hacienda y Finanzas, el encaje legal en que se suste</w:t>
      </w:r>
      <w:r w:rsidR="003E256F" w:rsidRPr="003E256F">
        <w:t>nta desde</w:t>
      </w:r>
      <w:r w:rsidRPr="003E256F">
        <w:t xml:space="preserve"> la perspectiva de la </w:t>
      </w:r>
      <w:r w:rsidRPr="003E256F">
        <w:rPr>
          <w:rFonts w:ascii="Tahoma" w:hAnsi="Tahoma" w:cs="Tahoma"/>
        </w:rPr>
        <w:t>LPGCAE 2014</w:t>
      </w:r>
      <w:r w:rsidR="003E256F" w:rsidRPr="003E256F">
        <w:rPr>
          <w:rFonts w:ascii="Tahoma" w:hAnsi="Tahoma" w:cs="Tahoma"/>
        </w:rPr>
        <w:t>;</w:t>
      </w:r>
      <w:r w:rsidRPr="003E256F">
        <w:t xml:space="preserve"> </w:t>
      </w:r>
      <w:r w:rsidRPr="003E256F">
        <w:rPr>
          <w:rFonts w:ascii="Tahoma" w:hAnsi="Tahoma" w:cs="Tahoma"/>
        </w:rPr>
        <w:t>Ley de Principios Ordenadores de la Hacienda General del País Vasco (LPOHGPV)</w:t>
      </w:r>
      <w:r w:rsidR="003E256F" w:rsidRPr="003E256F">
        <w:rPr>
          <w:rFonts w:ascii="Tahoma" w:hAnsi="Tahoma" w:cs="Tahoma"/>
        </w:rPr>
        <w:t>;</w:t>
      </w:r>
      <w:r w:rsidRPr="003E256F">
        <w:rPr>
          <w:rFonts w:ascii="Tahoma" w:hAnsi="Tahoma" w:cs="Tahoma"/>
        </w:rPr>
        <w:t xml:space="preserve"> Ley </w:t>
      </w:r>
      <w:r w:rsidR="003E256F" w:rsidRPr="003E256F">
        <w:rPr>
          <w:rFonts w:ascii="Tahoma" w:hAnsi="Tahoma" w:cs="Tahoma"/>
        </w:rPr>
        <w:t xml:space="preserve">/1996, de 8 de noviembre, </w:t>
      </w:r>
      <w:r w:rsidRPr="003E256F">
        <w:rPr>
          <w:rFonts w:ascii="Tahoma" w:hAnsi="Tahoma" w:cs="Tahoma"/>
        </w:rPr>
        <w:t>de Finanzas</w:t>
      </w:r>
      <w:r w:rsidR="003E256F" w:rsidRPr="003E256F">
        <w:rPr>
          <w:rFonts w:ascii="Tahoma" w:hAnsi="Tahoma" w:cs="Tahoma"/>
        </w:rPr>
        <w:t xml:space="preserve"> de Euskadi y Decreto 54/1997 de 18 de marzo de prestación de garant</w:t>
      </w:r>
      <w:r w:rsidR="00183B76">
        <w:rPr>
          <w:rFonts w:ascii="Tahoma" w:hAnsi="Tahoma" w:cs="Tahoma"/>
        </w:rPr>
        <w:t>í</w:t>
      </w:r>
      <w:r w:rsidR="003E256F" w:rsidRPr="003E256F">
        <w:rPr>
          <w:rFonts w:ascii="Tahoma" w:hAnsi="Tahoma" w:cs="Tahoma"/>
        </w:rPr>
        <w:t>as,  que  la desarrolla; y  Decreto Legislativo 1/2011 de, 24 de mayo por el que se aprueba el texto refundido de las disposiciones legales vigentes sobre Régimen Presupuestario de Euskadi</w:t>
      </w:r>
      <w:r w:rsidR="00015E77">
        <w:rPr>
          <w:rFonts w:ascii="Tahoma" w:hAnsi="Tahoma" w:cs="Tahoma"/>
        </w:rPr>
        <w:t>, a cuyas consideraciones nos remitimos para evitar reiteraciones innecesarias</w:t>
      </w:r>
      <w:r w:rsidR="003E256F" w:rsidRPr="003E256F">
        <w:rPr>
          <w:rFonts w:ascii="Tahoma" w:hAnsi="Tahoma" w:cs="Tahoma"/>
        </w:rPr>
        <w:t>.</w:t>
      </w:r>
    </w:p>
    <w:p w:rsidR="00283261" w:rsidRDefault="00283261" w:rsidP="00283261">
      <w:pPr>
        <w:pStyle w:val="Textoindependiente2"/>
        <w:widowControl w:val="0"/>
        <w:numPr>
          <w:ilvl w:val="0"/>
          <w:numId w:val="47"/>
        </w:numPr>
        <w:spacing w:before="120" w:line="360" w:lineRule="auto"/>
        <w:ind w:right="412"/>
        <w:jc w:val="both"/>
        <w:rPr>
          <w:rFonts w:ascii="Arial" w:hAnsi="Arial" w:cs="Arial"/>
          <w:sz w:val="24"/>
          <w:szCs w:val="24"/>
        </w:rPr>
      </w:pPr>
      <w:r>
        <w:rPr>
          <w:rFonts w:ascii="Arial" w:hAnsi="Arial" w:cs="Arial"/>
          <w:sz w:val="24"/>
          <w:szCs w:val="24"/>
        </w:rPr>
        <w:t>Evaluación previa de impacto en función del género</w:t>
      </w:r>
      <w:r w:rsidR="001B0678">
        <w:rPr>
          <w:rFonts w:ascii="Arial" w:hAnsi="Arial" w:cs="Arial"/>
          <w:sz w:val="24"/>
          <w:szCs w:val="24"/>
        </w:rPr>
        <w:t>,</w:t>
      </w:r>
      <w:r w:rsidR="001B0678" w:rsidRPr="001B0678">
        <w:rPr>
          <w:rFonts w:ascii="Arial" w:hAnsi="Arial" w:cs="Arial"/>
          <w:sz w:val="24"/>
          <w:szCs w:val="24"/>
        </w:rPr>
        <w:t xml:space="preserve"> </w:t>
      </w:r>
      <w:r w:rsidR="001B0678">
        <w:rPr>
          <w:rFonts w:ascii="Arial" w:hAnsi="Arial" w:cs="Arial"/>
          <w:sz w:val="24"/>
          <w:szCs w:val="24"/>
        </w:rPr>
        <w:t>conforme lo previsto en la le</w:t>
      </w:r>
      <w:r w:rsidR="001B0678" w:rsidRPr="00F57EDC">
        <w:rPr>
          <w:rFonts w:ascii="Arial" w:hAnsi="Arial" w:cs="Arial"/>
          <w:sz w:val="24"/>
          <w:szCs w:val="24"/>
        </w:rPr>
        <w:t xml:space="preserve">y 4/2005, de 18 de febrero, para </w:t>
      </w:r>
      <w:smartTag w:uri="urn:schemas-microsoft-com:office:smarttags" w:element="PersonName">
        <w:smartTagPr>
          <w:attr w:name="ProductID" w:val="la Igualdad"/>
        </w:smartTagPr>
        <w:r w:rsidR="001B0678" w:rsidRPr="00F57EDC">
          <w:rPr>
            <w:rFonts w:ascii="Arial" w:hAnsi="Arial" w:cs="Arial"/>
            <w:sz w:val="24"/>
            <w:szCs w:val="24"/>
          </w:rPr>
          <w:t>la Igualdad</w:t>
        </w:r>
      </w:smartTag>
      <w:r w:rsidR="001B0678" w:rsidRPr="00F57EDC">
        <w:rPr>
          <w:rFonts w:ascii="Arial" w:hAnsi="Arial" w:cs="Arial"/>
          <w:sz w:val="24"/>
          <w:szCs w:val="24"/>
        </w:rPr>
        <w:t xml:space="preserve"> de Mujeres y Hombres</w:t>
      </w:r>
      <w:r w:rsidRPr="00F57EDC">
        <w:rPr>
          <w:rFonts w:ascii="Arial" w:hAnsi="Arial" w:cs="Arial"/>
          <w:sz w:val="24"/>
          <w:szCs w:val="24"/>
        </w:rPr>
        <w:t>.</w:t>
      </w:r>
      <w:r w:rsidR="003E256F" w:rsidRPr="003E256F">
        <w:rPr>
          <w:rFonts w:ascii="Arial" w:hAnsi="Arial" w:cs="Arial"/>
          <w:sz w:val="24"/>
          <w:szCs w:val="24"/>
        </w:rPr>
        <w:t xml:space="preserve"> </w:t>
      </w:r>
      <w:r w:rsidR="001B0678">
        <w:rPr>
          <w:rFonts w:ascii="Arial" w:hAnsi="Arial" w:cs="Arial"/>
          <w:sz w:val="24"/>
          <w:szCs w:val="24"/>
        </w:rPr>
        <w:t xml:space="preserve">No consta haberse emitido, a la fecha de este informe, el </w:t>
      </w:r>
      <w:r w:rsidR="003E256F">
        <w:rPr>
          <w:rFonts w:ascii="Arial" w:hAnsi="Arial" w:cs="Arial"/>
          <w:sz w:val="24"/>
          <w:szCs w:val="24"/>
        </w:rPr>
        <w:t>i</w:t>
      </w:r>
      <w:r w:rsidR="001B0678">
        <w:rPr>
          <w:rFonts w:ascii="Arial" w:hAnsi="Arial" w:cs="Arial"/>
          <w:sz w:val="24"/>
          <w:szCs w:val="24"/>
        </w:rPr>
        <w:t>nforme de Emakunde que prevé el artículo 21.</w:t>
      </w:r>
    </w:p>
    <w:p w:rsidR="001B0678" w:rsidRDefault="001B0678" w:rsidP="001B0678">
      <w:pPr>
        <w:pStyle w:val="Textoindependiente2"/>
        <w:widowControl w:val="0"/>
        <w:spacing w:before="120" w:line="360" w:lineRule="auto"/>
        <w:ind w:left="1068" w:right="412"/>
        <w:jc w:val="both"/>
        <w:rPr>
          <w:rFonts w:ascii="Arial" w:hAnsi="Arial" w:cs="Arial"/>
          <w:sz w:val="24"/>
          <w:szCs w:val="24"/>
        </w:rPr>
      </w:pPr>
    </w:p>
    <w:p w:rsidR="003E256F" w:rsidRDefault="001B0678" w:rsidP="001B0678">
      <w:pPr>
        <w:pStyle w:val="Textoindependiente2"/>
        <w:widowControl w:val="0"/>
        <w:spacing w:before="120" w:line="360" w:lineRule="auto"/>
        <w:ind w:right="412" w:firstLine="708"/>
        <w:jc w:val="both"/>
        <w:rPr>
          <w:rFonts w:ascii="Arial" w:hAnsi="Arial" w:cs="Arial"/>
          <w:sz w:val="24"/>
          <w:szCs w:val="24"/>
        </w:rPr>
      </w:pPr>
      <w:r>
        <w:rPr>
          <w:rFonts w:ascii="Arial" w:hAnsi="Arial" w:cs="Arial"/>
          <w:sz w:val="24"/>
          <w:szCs w:val="24"/>
        </w:rPr>
        <w:t>4.- No consta emitido el in</w:t>
      </w:r>
      <w:r w:rsidR="003E256F" w:rsidRPr="00F57EDC">
        <w:rPr>
          <w:rFonts w:ascii="Arial" w:hAnsi="Arial" w:cs="Arial"/>
          <w:sz w:val="24"/>
          <w:szCs w:val="24"/>
        </w:rPr>
        <w:t>forme exigido por el artículo 2 del Decreto 233/2012, de 6 de noviembre, por el que se establece el régimen de inclusión de la perspectiva de normalización del uso del euskera en el procedimiento de elaboración de disposiciones de carácter general.</w:t>
      </w:r>
    </w:p>
    <w:p w:rsidR="001B0678" w:rsidRDefault="001B0678" w:rsidP="001B0678">
      <w:pPr>
        <w:pStyle w:val="Textoindependiente2"/>
        <w:widowControl w:val="0"/>
        <w:spacing w:before="120" w:line="360" w:lineRule="auto"/>
        <w:ind w:right="412" w:firstLine="708"/>
        <w:jc w:val="both"/>
        <w:rPr>
          <w:rFonts w:ascii="Arial" w:hAnsi="Arial" w:cs="Arial"/>
          <w:sz w:val="24"/>
          <w:szCs w:val="24"/>
        </w:rPr>
      </w:pPr>
    </w:p>
    <w:p w:rsidR="001B0678" w:rsidRDefault="001B0678" w:rsidP="001B0678">
      <w:pPr>
        <w:widowControl w:val="0"/>
        <w:spacing w:before="120" w:after="120" w:line="360" w:lineRule="auto"/>
        <w:ind w:right="412" w:firstLine="708"/>
        <w:jc w:val="both"/>
        <w:rPr>
          <w:rFonts w:ascii="Arial" w:hAnsi="Arial" w:cs="Arial"/>
          <w:sz w:val="24"/>
          <w:szCs w:val="24"/>
        </w:rPr>
      </w:pPr>
      <w:r>
        <w:rPr>
          <w:rFonts w:ascii="Arial" w:hAnsi="Arial" w:cs="Arial"/>
          <w:sz w:val="24"/>
          <w:szCs w:val="24"/>
        </w:rPr>
        <w:t xml:space="preserve">5.- Ha de observarse que no consta el proyecto de Decreto en euskera, por lo que ha se recordarse que conforme lo ordenado por </w:t>
      </w:r>
      <w:r w:rsidRPr="009A64CD">
        <w:rPr>
          <w:rFonts w:ascii="Arial" w:hAnsi="Arial" w:cs="Arial"/>
          <w:sz w:val="24"/>
          <w:szCs w:val="24"/>
        </w:rPr>
        <w:t>Acuerdo del Consejo de Gobierno de 14 de mayo de 2013</w:t>
      </w:r>
      <w:r>
        <w:rPr>
          <w:rFonts w:ascii="Arial" w:hAnsi="Arial" w:cs="Arial"/>
          <w:sz w:val="24"/>
          <w:szCs w:val="24"/>
        </w:rPr>
        <w:t>, la aprobación previa ha de realizarse sobre un texto bilingüe</w:t>
      </w:r>
      <w:r w:rsidRPr="009A64CD">
        <w:rPr>
          <w:rFonts w:ascii="Arial" w:hAnsi="Arial" w:cs="Arial"/>
          <w:sz w:val="24"/>
          <w:szCs w:val="24"/>
        </w:rPr>
        <w:t>.</w:t>
      </w:r>
    </w:p>
    <w:p w:rsidR="001B0678" w:rsidRDefault="001B0678" w:rsidP="001B0678">
      <w:pPr>
        <w:widowControl w:val="0"/>
        <w:spacing w:before="120" w:after="120" w:line="360" w:lineRule="auto"/>
        <w:ind w:right="412" w:firstLine="708"/>
        <w:jc w:val="both"/>
        <w:rPr>
          <w:rFonts w:ascii="Arial" w:hAnsi="Arial" w:cs="Arial"/>
          <w:sz w:val="24"/>
          <w:szCs w:val="24"/>
        </w:rPr>
      </w:pPr>
    </w:p>
    <w:p w:rsidR="001B0678" w:rsidRDefault="001B0678" w:rsidP="001B0678">
      <w:pPr>
        <w:widowControl w:val="0"/>
        <w:spacing w:before="120" w:after="120" w:line="360" w:lineRule="auto"/>
        <w:ind w:right="412" w:firstLine="708"/>
        <w:jc w:val="both"/>
        <w:rPr>
          <w:rFonts w:ascii="Arial" w:hAnsi="Arial" w:cs="Arial"/>
          <w:sz w:val="24"/>
          <w:szCs w:val="24"/>
        </w:rPr>
      </w:pPr>
      <w:r>
        <w:rPr>
          <w:rFonts w:ascii="Arial" w:hAnsi="Arial" w:cs="Arial"/>
          <w:sz w:val="24"/>
          <w:szCs w:val="24"/>
        </w:rPr>
        <w:t>6.- El expediente se completa con los borradores de convenio a suscribir con las SGR y las entidades financieras colaboradoras.</w:t>
      </w:r>
    </w:p>
    <w:p w:rsidR="001B0678" w:rsidRDefault="001B0678" w:rsidP="001B0678">
      <w:pPr>
        <w:widowControl w:val="0"/>
        <w:spacing w:before="120" w:after="120" w:line="360" w:lineRule="auto"/>
        <w:ind w:right="412" w:firstLine="708"/>
        <w:jc w:val="both"/>
        <w:rPr>
          <w:rFonts w:ascii="Arial" w:hAnsi="Arial" w:cs="Arial"/>
          <w:sz w:val="24"/>
          <w:szCs w:val="24"/>
        </w:rPr>
      </w:pPr>
      <w:r>
        <w:rPr>
          <w:rFonts w:ascii="Arial" w:hAnsi="Arial" w:cs="Arial"/>
          <w:sz w:val="24"/>
          <w:szCs w:val="24"/>
        </w:rPr>
        <w:t xml:space="preserve">7.- En cuanto al trámite de audiencia, la orden de inicio considera </w:t>
      </w:r>
      <w:r w:rsidR="00DF3F91">
        <w:rPr>
          <w:rFonts w:ascii="Arial" w:hAnsi="Arial" w:cs="Arial"/>
          <w:sz w:val="24"/>
          <w:szCs w:val="24"/>
        </w:rPr>
        <w:t xml:space="preserve">no necesario su realización al </w:t>
      </w:r>
      <w:r w:rsidR="00DF3F91" w:rsidRPr="00617B27">
        <w:rPr>
          <w:rFonts w:ascii="Arial" w:hAnsi="Arial" w:cs="Arial"/>
          <w:i/>
          <w:sz w:val="24"/>
          <w:szCs w:val="24"/>
        </w:rPr>
        <w:t>entender</w:t>
      </w:r>
      <w:r w:rsidR="00DF3F91">
        <w:rPr>
          <w:rFonts w:ascii="Arial" w:hAnsi="Arial" w:cs="Arial"/>
          <w:sz w:val="24"/>
          <w:szCs w:val="24"/>
        </w:rPr>
        <w:t xml:space="preserve"> que las SGR y las entidades financieras colaboradoras </w:t>
      </w:r>
      <w:r w:rsidR="00DF3F91" w:rsidRPr="00617B27">
        <w:rPr>
          <w:rFonts w:ascii="Arial" w:hAnsi="Arial" w:cs="Arial"/>
          <w:i/>
          <w:sz w:val="24"/>
          <w:szCs w:val="24"/>
        </w:rPr>
        <w:t>han participado en su tramitación al tener que suscribir el convenio de colaboración</w:t>
      </w:r>
      <w:r w:rsidR="00DF3F91">
        <w:rPr>
          <w:rFonts w:ascii="Arial" w:hAnsi="Arial" w:cs="Arial"/>
          <w:sz w:val="24"/>
          <w:szCs w:val="24"/>
        </w:rPr>
        <w:t>. Aún sin dudar que tal participación ha existido, la argumentación utilizada no puede ser admitida como suficiente para dar como efectivamente realizada la audiencia. A tal efecto, debería haberse dejado constancia explícita de la misma en el expediente, en aras de garantizar formalmente la realización de un trámite, de audiencia a los interesados, esencial en el curso del procedimiento de elaboración de disposiciones de carácter general. Ello sin perjuicio de valorar recomendable identificar como interesados a las asociaciones profesionales y empresariales representativas de los intereses de los beneficiarios del programa.</w:t>
      </w:r>
    </w:p>
    <w:p w:rsidR="00DF3F91" w:rsidRDefault="00DF3F91" w:rsidP="001B0678">
      <w:pPr>
        <w:widowControl w:val="0"/>
        <w:spacing w:before="120" w:after="120" w:line="360" w:lineRule="auto"/>
        <w:ind w:right="412" w:firstLine="708"/>
        <w:jc w:val="both"/>
        <w:rPr>
          <w:rFonts w:ascii="Arial" w:hAnsi="Arial" w:cs="Arial"/>
          <w:sz w:val="24"/>
          <w:szCs w:val="24"/>
        </w:rPr>
      </w:pPr>
    </w:p>
    <w:p w:rsidR="00C8517A" w:rsidRPr="00081C2B" w:rsidRDefault="00C8517A" w:rsidP="003D5133">
      <w:pPr>
        <w:pStyle w:val="Default"/>
        <w:spacing w:line="360" w:lineRule="auto"/>
        <w:jc w:val="center"/>
        <w:rPr>
          <w:b/>
          <w:color w:val="auto"/>
          <w:lang w:eastAsia="es-ES_tradnl"/>
        </w:rPr>
      </w:pPr>
      <w:r w:rsidRPr="00081C2B">
        <w:rPr>
          <w:b/>
          <w:color w:val="auto"/>
          <w:lang w:eastAsia="es-ES_tradnl"/>
        </w:rPr>
        <w:t>II</w:t>
      </w:r>
      <w:r w:rsidR="009135BC" w:rsidRPr="00081C2B">
        <w:rPr>
          <w:b/>
          <w:color w:val="auto"/>
          <w:lang w:eastAsia="es-ES_tradnl"/>
        </w:rPr>
        <w:t>I</w:t>
      </w:r>
    </w:p>
    <w:p w:rsidR="003D5133" w:rsidRPr="00081C2B" w:rsidRDefault="006510DF" w:rsidP="003D5133">
      <w:pPr>
        <w:pStyle w:val="Default"/>
        <w:spacing w:line="360" w:lineRule="auto"/>
        <w:jc w:val="center"/>
        <w:rPr>
          <w:b/>
          <w:color w:val="auto"/>
          <w:lang w:eastAsia="es-ES_tradnl"/>
        </w:rPr>
      </w:pPr>
      <w:r w:rsidRPr="00081C2B">
        <w:rPr>
          <w:b/>
          <w:color w:val="auto"/>
          <w:lang w:eastAsia="es-ES_tradnl"/>
        </w:rPr>
        <w:t>LEGALIDAD</w:t>
      </w:r>
    </w:p>
    <w:p w:rsidR="003D5133" w:rsidRPr="00081C2B" w:rsidRDefault="003D5133" w:rsidP="003D5133">
      <w:pPr>
        <w:pStyle w:val="Default"/>
        <w:spacing w:line="360" w:lineRule="auto"/>
        <w:jc w:val="center"/>
        <w:rPr>
          <w:b/>
          <w:color w:val="auto"/>
          <w:lang w:eastAsia="es-ES_tradnl"/>
        </w:rPr>
      </w:pPr>
    </w:p>
    <w:p w:rsidR="00D25C2F" w:rsidRPr="00081C2B" w:rsidRDefault="00EE1752" w:rsidP="00EE1752">
      <w:pPr>
        <w:pStyle w:val="Default"/>
        <w:spacing w:line="360" w:lineRule="auto"/>
        <w:ind w:firstLine="360"/>
        <w:jc w:val="both"/>
      </w:pPr>
      <w:r w:rsidRPr="00081C2B">
        <w:rPr>
          <w:color w:val="auto"/>
          <w:lang w:eastAsia="es-ES_tradnl"/>
        </w:rPr>
        <w:t xml:space="preserve">1.- </w:t>
      </w:r>
      <w:r w:rsidR="00A43231" w:rsidRPr="00081C2B">
        <w:rPr>
          <w:color w:val="auto"/>
          <w:lang w:eastAsia="es-ES_tradnl"/>
        </w:rPr>
        <w:t>El proyecto de Decreto tiene por objeto</w:t>
      </w:r>
      <w:r w:rsidR="00D25C2F" w:rsidRPr="00081C2B">
        <w:rPr>
          <w:color w:val="auto"/>
          <w:lang w:eastAsia="es-ES_tradnl"/>
        </w:rPr>
        <w:t xml:space="preserve"> reeditar para el ejercicio 2014 </w:t>
      </w:r>
      <w:r w:rsidR="00BA27DA" w:rsidRPr="00081C2B">
        <w:rPr>
          <w:color w:val="auto"/>
          <w:lang w:eastAsia="es-ES_tradnl"/>
        </w:rPr>
        <w:t>un</w:t>
      </w:r>
      <w:r w:rsidR="00D25C2F" w:rsidRPr="00081C2B">
        <w:rPr>
          <w:color w:val="auto"/>
          <w:lang w:eastAsia="es-ES_tradnl"/>
        </w:rPr>
        <w:t xml:space="preserve"> programa de ayudas </w:t>
      </w:r>
      <w:r w:rsidR="00A41D96">
        <w:rPr>
          <w:color w:val="auto"/>
          <w:lang w:eastAsia="es-ES_tradnl"/>
        </w:rPr>
        <w:t>que viene convocándose desde 2009</w:t>
      </w:r>
      <w:r w:rsidR="00BA27DA" w:rsidRPr="00081C2B">
        <w:rPr>
          <w:color w:val="auto"/>
          <w:lang w:eastAsia="es-ES_tradnl"/>
        </w:rPr>
        <w:t xml:space="preserve"> y su antecedente inmediato lo constituye</w:t>
      </w:r>
      <w:r w:rsidR="00D25C2F" w:rsidRPr="00081C2B">
        <w:rPr>
          <w:color w:val="auto"/>
          <w:lang w:eastAsia="es-ES_tradnl"/>
        </w:rPr>
        <w:t xml:space="preserve"> el Decreto 183/2013, de 18 de marzo, para la concesión de </w:t>
      </w:r>
      <w:r w:rsidR="00D25C2F" w:rsidRPr="00081C2B">
        <w:t xml:space="preserve">una línea de financiación a las pequeñas y medianas empresas, las personas empresarias individuales y profesionales autónomos. </w:t>
      </w:r>
    </w:p>
    <w:p w:rsidR="00D25C2F" w:rsidRPr="00081C2B" w:rsidRDefault="00D25C2F" w:rsidP="00EE1752">
      <w:pPr>
        <w:pStyle w:val="Default"/>
        <w:spacing w:line="360" w:lineRule="auto"/>
        <w:ind w:firstLine="360"/>
        <w:jc w:val="both"/>
      </w:pPr>
    </w:p>
    <w:p w:rsidR="002120E4" w:rsidRPr="00081C2B" w:rsidRDefault="00BA27DA" w:rsidP="00EE1752">
      <w:pPr>
        <w:pStyle w:val="Default"/>
        <w:spacing w:line="360" w:lineRule="auto"/>
        <w:ind w:firstLine="360"/>
        <w:jc w:val="both"/>
      </w:pPr>
      <w:r w:rsidRPr="00081C2B">
        <w:t>2</w:t>
      </w:r>
      <w:r w:rsidR="002120E4" w:rsidRPr="00081C2B">
        <w:t xml:space="preserve">.- </w:t>
      </w:r>
      <w:r w:rsidRPr="00081C2B">
        <w:t>En este tipo de programas resulta</w:t>
      </w:r>
      <w:r w:rsidR="002120E4" w:rsidRPr="00081C2B">
        <w:t xml:space="preserve"> especialmente relevante, </w:t>
      </w:r>
      <w:r w:rsidRPr="00081C2B">
        <w:t>su examen</w:t>
      </w:r>
      <w:r w:rsidR="002120E4" w:rsidRPr="00081C2B">
        <w:t xml:space="preserve"> desde su encaje </w:t>
      </w:r>
      <w:r w:rsidRPr="00081C2B">
        <w:t>a</w:t>
      </w:r>
      <w:r w:rsidR="002120E4" w:rsidRPr="00081C2B">
        <w:t>l Derecho de la Unión Europea en materia de mercado común y desde la perspectiva del respeto a los principios</w:t>
      </w:r>
      <w:r w:rsidR="002120E4" w:rsidRPr="00081C2B">
        <w:rPr>
          <w:color w:val="auto"/>
          <w:lang w:val="es-ES_tradnl" w:eastAsia="es-ES_tradnl"/>
        </w:rPr>
        <w:t xml:space="preserve"> de publicidad, concurrencia y objetividad</w:t>
      </w:r>
      <w:r w:rsidR="002120E4" w:rsidRPr="00081C2B">
        <w:t xml:space="preserve"> contenidos en el artículo 49.1 de la Ley de Principios Ordenadores de la Hacienda </w:t>
      </w:r>
      <w:r w:rsidR="0080129C" w:rsidRPr="00081C2B">
        <w:t>G</w:t>
      </w:r>
      <w:r w:rsidR="002120E4" w:rsidRPr="00081C2B">
        <w:t xml:space="preserve">eneral. </w:t>
      </w:r>
    </w:p>
    <w:p w:rsidR="002120E4" w:rsidRDefault="002120E4" w:rsidP="00EE1752">
      <w:pPr>
        <w:pStyle w:val="Default"/>
        <w:spacing w:line="360" w:lineRule="auto"/>
        <w:ind w:firstLine="360"/>
        <w:jc w:val="both"/>
      </w:pPr>
    </w:p>
    <w:p w:rsidR="00A41D96" w:rsidRPr="00A41D96" w:rsidRDefault="00A41D96" w:rsidP="00EE1752">
      <w:pPr>
        <w:pStyle w:val="Default"/>
        <w:spacing w:line="360" w:lineRule="auto"/>
        <w:ind w:firstLine="360"/>
        <w:jc w:val="both"/>
        <w:rPr>
          <w:b/>
          <w:i/>
        </w:rPr>
      </w:pPr>
      <w:r w:rsidRPr="00A41D96">
        <w:rPr>
          <w:b/>
          <w:i/>
        </w:rPr>
        <w:t>Sobre el encaje en el marco de ayuda de Estado</w:t>
      </w:r>
    </w:p>
    <w:p w:rsidR="00A41D96" w:rsidRPr="00081C2B" w:rsidRDefault="00A41D96" w:rsidP="00EE1752">
      <w:pPr>
        <w:pStyle w:val="Default"/>
        <w:spacing w:line="360" w:lineRule="auto"/>
        <w:ind w:firstLine="360"/>
        <w:jc w:val="both"/>
      </w:pPr>
    </w:p>
    <w:p w:rsidR="005C54B6" w:rsidRDefault="00BA27DA" w:rsidP="005C54B6">
      <w:pPr>
        <w:spacing w:line="360" w:lineRule="auto"/>
        <w:ind w:firstLine="360"/>
        <w:jc w:val="both"/>
        <w:rPr>
          <w:rFonts w:ascii="Arial" w:hAnsi="Arial" w:cs="Arial"/>
          <w:color w:val="000000"/>
          <w:sz w:val="24"/>
          <w:szCs w:val="24"/>
          <w:lang w:val="es-ES" w:eastAsia="es-ES"/>
        </w:rPr>
      </w:pPr>
      <w:r w:rsidRPr="005C54B6">
        <w:rPr>
          <w:rFonts w:ascii="Arial" w:hAnsi="Arial" w:cs="Arial"/>
          <w:color w:val="000000"/>
          <w:sz w:val="24"/>
          <w:szCs w:val="24"/>
          <w:lang w:val="es-ES" w:eastAsia="es-ES"/>
        </w:rPr>
        <w:t>3</w:t>
      </w:r>
      <w:r w:rsidR="002120E4" w:rsidRPr="005C54B6">
        <w:rPr>
          <w:rFonts w:ascii="Arial" w:hAnsi="Arial" w:cs="Arial"/>
          <w:color w:val="000000"/>
          <w:sz w:val="24"/>
          <w:szCs w:val="24"/>
          <w:lang w:val="es-ES" w:eastAsia="es-ES"/>
        </w:rPr>
        <w:t xml:space="preserve">.- </w:t>
      </w:r>
      <w:r w:rsidR="005C54B6" w:rsidRPr="005C54B6">
        <w:rPr>
          <w:rFonts w:ascii="Arial" w:hAnsi="Arial" w:cs="Arial"/>
          <w:color w:val="000000"/>
          <w:sz w:val="24"/>
          <w:szCs w:val="24"/>
          <w:lang w:val="es-ES" w:eastAsia="es-ES"/>
        </w:rPr>
        <w:t>Con arreglo al artículo 107, apartado 1 del TFUE (anterior artículo 87, apartado 1, del TCE) serán incompatibles con el mercado común, en la medida en que afecten a los intercambios comerciales entre Estados miembros, las ayudas otorgadas por los Estados o mediante fondos estatales, bajo cualquier forma, que falseen o amenacen falsear la competencia, favoreciendo a determinadas empresas o producciones. En particular, pueden tener esta naturaleza diversos tipos de garantía que implican una transferencia de riesgo a cargo de fondos públicos y, e</w:t>
      </w:r>
      <w:r w:rsidR="006B0181">
        <w:rPr>
          <w:rFonts w:ascii="Arial" w:hAnsi="Arial" w:cs="Arial"/>
          <w:color w:val="000000"/>
          <w:sz w:val="24"/>
          <w:szCs w:val="24"/>
          <w:lang w:val="es-ES" w:eastAsia="es-ES"/>
        </w:rPr>
        <w:t xml:space="preserve">n particular, </w:t>
      </w:r>
      <w:proofErr w:type="spellStart"/>
      <w:r w:rsidR="006B0181">
        <w:rPr>
          <w:rFonts w:ascii="Arial" w:hAnsi="Arial" w:cs="Arial"/>
          <w:color w:val="000000"/>
          <w:sz w:val="24"/>
          <w:szCs w:val="24"/>
          <w:lang w:val="es-ES" w:eastAsia="es-ES"/>
        </w:rPr>
        <w:t>reafianzamientos</w:t>
      </w:r>
      <w:proofErr w:type="spellEnd"/>
      <w:r w:rsidR="006B0181">
        <w:rPr>
          <w:rFonts w:ascii="Arial" w:hAnsi="Arial" w:cs="Arial"/>
          <w:color w:val="000000"/>
          <w:sz w:val="24"/>
          <w:szCs w:val="24"/>
          <w:lang w:val="es-ES" w:eastAsia="es-ES"/>
        </w:rPr>
        <w:t xml:space="preserve">, </w:t>
      </w:r>
      <w:proofErr w:type="spellStart"/>
      <w:r w:rsidR="005C54B6" w:rsidRPr="005C54B6">
        <w:rPr>
          <w:rFonts w:ascii="Arial" w:hAnsi="Arial" w:cs="Arial"/>
          <w:color w:val="000000"/>
          <w:sz w:val="24"/>
          <w:szCs w:val="24"/>
          <w:lang w:val="es-ES" w:eastAsia="es-ES"/>
        </w:rPr>
        <w:t>reavales</w:t>
      </w:r>
      <w:proofErr w:type="spellEnd"/>
      <w:r w:rsidR="005C54B6" w:rsidRPr="005C54B6">
        <w:rPr>
          <w:rFonts w:ascii="Arial" w:hAnsi="Arial" w:cs="Arial"/>
          <w:color w:val="000000"/>
          <w:sz w:val="24"/>
          <w:szCs w:val="24"/>
          <w:lang w:val="es-ES" w:eastAsia="es-ES"/>
        </w:rPr>
        <w:t xml:space="preserve"> o contragarantías prestadas directamente a un garante de primer nivel.</w:t>
      </w:r>
    </w:p>
    <w:p w:rsidR="005C54B6" w:rsidRDefault="005C54B6" w:rsidP="005C54B6">
      <w:pPr>
        <w:spacing w:line="360" w:lineRule="auto"/>
        <w:ind w:firstLine="360"/>
        <w:jc w:val="both"/>
        <w:rPr>
          <w:rFonts w:ascii="Arial" w:hAnsi="Arial" w:cs="Arial"/>
          <w:color w:val="000000"/>
          <w:sz w:val="24"/>
          <w:szCs w:val="24"/>
          <w:lang w:val="es-ES" w:eastAsia="es-ES"/>
        </w:rPr>
      </w:pPr>
    </w:p>
    <w:p w:rsidR="005C54B6" w:rsidRDefault="005C54B6" w:rsidP="005C54B6">
      <w:pPr>
        <w:spacing w:line="360" w:lineRule="auto"/>
        <w:ind w:firstLine="360"/>
        <w:jc w:val="both"/>
        <w:rPr>
          <w:rFonts w:ascii="Arial" w:hAnsi="Arial" w:cs="Arial"/>
          <w:bCs/>
          <w:sz w:val="24"/>
          <w:szCs w:val="24"/>
          <w:lang w:val="es-ES" w:eastAsia="es-ES"/>
        </w:rPr>
      </w:pPr>
      <w:r w:rsidRPr="005C54B6">
        <w:rPr>
          <w:rFonts w:ascii="Arial" w:hAnsi="Arial" w:cs="Arial"/>
          <w:color w:val="000000"/>
          <w:sz w:val="24"/>
          <w:szCs w:val="24"/>
          <w:lang w:val="es-ES" w:eastAsia="es-ES"/>
        </w:rPr>
        <w:t xml:space="preserve">4.- </w:t>
      </w:r>
      <w:r w:rsidRPr="005C54B6">
        <w:rPr>
          <w:rFonts w:ascii="Arial" w:hAnsi="Arial" w:cs="Arial"/>
          <w:bCs/>
          <w:sz w:val="24"/>
          <w:szCs w:val="24"/>
          <w:lang w:val="es-ES" w:eastAsia="es-ES"/>
        </w:rPr>
        <w:t>Dentro de un esquema de ayudas de estado prestadas en forma de garantía</w:t>
      </w:r>
      <w:r w:rsidR="00617B27">
        <w:rPr>
          <w:rFonts w:ascii="Arial" w:hAnsi="Arial" w:cs="Arial"/>
          <w:bCs/>
          <w:sz w:val="24"/>
          <w:szCs w:val="24"/>
          <w:lang w:val="es-ES" w:eastAsia="es-ES"/>
        </w:rPr>
        <w:t xml:space="preserve">, conforme criterio consolidado de la Comisión Europea, </w:t>
      </w:r>
      <w:r w:rsidRPr="005C54B6">
        <w:rPr>
          <w:rFonts w:ascii="Arial" w:hAnsi="Arial" w:cs="Arial"/>
          <w:bCs/>
          <w:sz w:val="24"/>
          <w:szCs w:val="24"/>
          <w:lang w:val="es-ES" w:eastAsia="es-ES"/>
        </w:rPr>
        <w:t xml:space="preserve">no sólo es necesario tener en cuenta la ayuda prestada al prestatario beneficiado con la garantía, sino que en ciertas circunstancias ésta pueda beneficiar directamente también al prestamista. Así, se presume que la ayuda beneficia también al prestamista si se otorga una garantía estatal sobre un préstamo u otra obligación financiera </w:t>
      </w:r>
      <w:r w:rsidRPr="005C54B6">
        <w:rPr>
          <w:rFonts w:ascii="Arial" w:hAnsi="Arial" w:cs="Arial"/>
          <w:bCs/>
          <w:i/>
          <w:sz w:val="24"/>
          <w:szCs w:val="24"/>
          <w:lang w:val="es-ES" w:eastAsia="es-ES"/>
        </w:rPr>
        <w:t>a posteriori</w:t>
      </w:r>
      <w:r w:rsidRPr="005C54B6">
        <w:rPr>
          <w:rFonts w:ascii="Arial" w:hAnsi="Arial" w:cs="Arial"/>
          <w:bCs/>
          <w:sz w:val="24"/>
          <w:szCs w:val="24"/>
          <w:lang w:val="es-ES" w:eastAsia="es-ES"/>
        </w:rPr>
        <w:t>, sin que se hayan adaptado sus condiciones, o si un préstamo garantizado se utiliza para pagar otro no garantizado a la misma entidad de crédito, ya que la garantía del préstamo aumenta reduciendo los riesgos ya asumidos por el prestamista en el pasado.</w:t>
      </w:r>
    </w:p>
    <w:p w:rsidR="005C54B6" w:rsidRDefault="005C54B6" w:rsidP="005C54B6">
      <w:pPr>
        <w:spacing w:line="360" w:lineRule="auto"/>
        <w:ind w:firstLine="360"/>
        <w:jc w:val="both"/>
        <w:rPr>
          <w:rFonts w:ascii="Arial" w:hAnsi="Arial" w:cs="Arial"/>
          <w:bCs/>
          <w:sz w:val="24"/>
          <w:szCs w:val="24"/>
          <w:lang w:val="es-ES" w:eastAsia="es-ES"/>
        </w:rPr>
      </w:pPr>
    </w:p>
    <w:p w:rsidR="005C54B6" w:rsidRPr="00A41D96" w:rsidRDefault="00617B27" w:rsidP="00617B27">
      <w:pPr>
        <w:spacing w:line="360" w:lineRule="auto"/>
        <w:ind w:firstLine="360"/>
        <w:jc w:val="both"/>
        <w:rPr>
          <w:rFonts w:ascii="Arial" w:hAnsi="Arial" w:cs="Arial"/>
          <w:bCs/>
          <w:sz w:val="24"/>
          <w:szCs w:val="24"/>
        </w:rPr>
      </w:pPr>
      <w:r>
        <w:rPr>
          <w:rFonts w:ascii="Arial" w:hAnsi="Arial" w:cs="Arial"/>
          <w:bCs/>
          <w:sz w:val="24"/>
          <w:szCs w:val="24"/>
          <w:lang w:val="es-ES" w:eastAsia="es-ES"/>
        </w:rPr>
        <w:t xml:space="preserve">5.- </w:t>
      </w:r>
      <w:r w:rsidR="005C54B6" w:rsidRPr="00A41D96">
        <w:rPr>
          <w:rFonts w:ascii="Arial" w:hAnsi="Arial" w:cs="Arial"/>
          <w:bCs/>
          <w:sz w:val="24"/>
          <w:szCs w:val="24"/>
        </w:rPr>
        <w:t>El artículo 2.4.d)</w:t>
      </w:r>
      <w:r w:rsidR="005C54B6">
        <w:rPr>
          <w:rFonts w:ascii="Arial" w:hAnsi="Arial" w:cs="Arial"/>
          <w:bCs/>
          <w:sz w:val="24"/>
          <w:szCs w:val="24"/>
        </w:rPr>
        <w:t xml:space="preserve"> del</w:t>
      </w:r>
      <w:r w:rsidR="005C54B6" w:rsidRPr="00A41D96">
        <w:rPr>
          <w:rFonts w:ascii="Arial" w:hAnsi="Arial" w:cs="Arial"/>
          <w:bCs/>
          <w:sz w:val="24"/>
          <w:szCs w:val="24"/>
        </w:rPr>
        <w:t xml:space="preserve"> Reglamento 1998/2006</w:t>
      </w:r>
      <w:r w:rsidR="005C54B6">
        <w:rPr>
          <w:rFonts w:ascii="Arial" w:hAnsi="Arial" w:cs="Arial"/>
          <w:bCs/>
          <w:sz w:val="24"/>
          <w:szCs w:val="24"/>
        </w:rPr>
        <w:t xml:space="preserve"> establece los </w:t>
      </w:r>
      <w:r w:rsidR="005C54B6" w:rsidRPr="00A41D96">
        <w:rPr>
          <w:rFonts w:ascii="Arial" w:hAnsi="Arial" w:cs="Arial"/>
          <w:bCs/>
          <w:sz w:val="24"/>
          <w:szCs w:val="24"/>
        </w:rPr>
        <w:t>umbrales</w:t>
      </w:r>
      <w:r w:rsidR="005C54B6">
        <w:rPr>
          <w:rFonts w:ascii="Arial" w:hAnsi="Arial" w:cs="Arial"/>
          <w:bCs/>
          <w:sz w:val="24"/>
          <w:szCs w:val="24"/>
        </w:rPr>
        <w:t xml:space="preserve"> para acogerse a la normativa </w:t>
      </w:r>
      <w:r w:rsidR="005C54B6" w:rsidRPr="00617B27">
        <w:rPr>
          <w:rFonts w:ascii="Arial" w:hAnsi="Arial" w:cs="Arial"/>
          <w:bCs/>
          <w:i/>
          <w:sz w:val="24"/>
          <w:szCs w:val="24"/>
        </w:rPr>
        <w:t>de</w:t>
      </w:r>
      <w:r w:rsidR="005C54B6">
        <w:rPr>
          <w:rFonts w:ascii="Arial" w:hAnsi="Arial" w:cs="Arial"/>
          <w:bCs/>
          <w:sz w:val="24"/>
          <w:szCs w:val="24"/>
        </w:rPr>
        <w:t xml:space="preserve"> </w:t>
      </w:r>
      <w:proofErr w:type="spellStart"/>
      <w:r w:rsidR="005C54B6" w:rsidRPr="00A41D96">
        <w:rPr>
          <w:rFonts w:ascii="Arial" w:hAnsi="Arial" w:cs="Arial"/>
          <w:bCs/>
          <w:i/>
          <w:sz w:val="24"/>
          <w:szCs w:val="24"/>
        </w:rPr>
        <w:t>minimis</w:t>
      </w:r>
      <w:proofErr w:type="spellEnd"/>
      <w:r w:rsidR="005C54B6" w:rsidRPr="00A41D96">
        <w:rPr>
          <w:rFonts w:ascii="Arial" w:hAnsi="Arial" w:cs="Arial"/>
          <w:bCs/>
          <w:i/>
          <w:sz w:val="24"/>
          <w:szCs w:val="24"/>
        </w:rPr>
        <w:t xml:space="preserve"> </w:t>
      </w:r>
      <w:r w:rsidR="005C54B6" w:rsidRPr="00A41D96">
        <w:rPr>
          <w:rFonts w:ascii="Arial" w:hAnsi="Arial" w:cs="Arial"/>
          <w:bCs/>
          <w:sz w:val="24"/>
          <w:szCs w:val="24"/>
        </w:rPr>
        <w:t xml:space="preserve">en el caso de ayudas en forma de garantías: </w:t>
      </w:r>
    </w:p>
    <w:p w:rsidR="005C54B6" w:rsidRPr="00A41D96" w:rsidRDefault="005C54B6" w:rsidP="00617B27">
      <w:pPr>
        <w:spacing w:before="100" w:beforeAutospacing="1" w:after="100" w:afterAutospacing="1" w:line="360" w:lineRule="auto"/>
        <w:ind w:left="540" w:right="584"/>
        <w:jc w:val="both"/>
      </w:pPr>
      <w:r w:rsidRPr="00A41D96">
        <w:rPr>
          <w:rFonts w:ascii="Arial" w:hAnsi="Arial" w:cs="Arial"/>
          <w:bCs/>
          <w:i/>
          <w:sz w:val="24"/>
          <w:szCs w:val="24"/>
        </w:rPr>
        <w:t xml:space="preserve">La ayuda individual concedida en virtud de un régimen de garantía a empresas que no sean empresas en crisis se considerará ayuda de </w:t>
      </w:r>
      <w:proofErr w:type="spellStart"/>
      <w:r w:rsidRPr="00A41D96">
        <w:rPr>
          <w:rFonts w:ascii="Arial" w:hAnsi="Arial" w:cs="Arial"/>
          <w:bCs/>
          <w:i/>
          <w:sz w:val="24"/>
          <w:szCs w:val="24"/>
        </w:rPr>
        <w:t>minimis</w:t>
      </w:r>
      <w:proofErr w:type="spellEnd"/>
      <w:r w:rsidRPr="00A41D96">
        <w:rPr>
          <w:rFonts w:ascii="Arial" w:hAnsi="Arial" w:cs="Arial"/>
          <w:bCs/>
          <w:i/>
          <w:sz w:val="24"/>
          <w:szCs w:val="24"/>
        </w:rPr>
        <w:t xml:space="preserve"> transparente cuando la parte garantizada que subyace al préstamo concedido con arreglo al régimen en cuestión no sea superior a 1.500.000 euros por empresa. Para el sector del transporte por carretera el límite es de 750.000. </w:t>
      </w:r>
    </w:p>
    <w:p w:rsidR="00A41D96" w:rsidRDefault="00617B27" w:rsidP="00D00E7F">
      <w:pPr>
        <w:spacing w:line="360" w:lineRule="auto"/>
        <w:ind w:firstLine="360"/>
        <w:jc w:val="both"/>
        <w:rPr>
          <w:sz w:val="24"/>
          <w:szCs w:val="24"/>
        </w:rPr>
      </w:pPr>
      <w:r>
        <w:rPr>
          <w:rFonts w:ascii="Arial" w:hAnsi="Arial" w:cs="Arial"/>
          <w:bCs/>
          <w:sz w:val="24"/>
          <w:szCs w:val="24"/>
        </w:rPr>
        <w:t>6</w:t>
      </w:r>
      <w:r w:rsidR="005C54B6" w:rsidRPr="00A41D96">
        <w:rPr>
          <w:rFonts w:ascii="Arial" w:hAnsi="Arial" w:cs="Arial"/>
          <w:bCs/>
          <w:sz w:val="24"/>
          <w:szCs w:val="24"/>
        </w:rPr>
        <w:t xml:space="preserve">.- Las condiciones en las que puede darse este tipo de esquema de ayudas de estado en forma de garantía son desarrolladas y aclaradas por la “Comunicación de la Comisión relativa a la aplicación de los artículos 87 y 88 del Tratado CE a las ayudas estatales otorgadas en forma de garantía” (2008/C 155/02). </w:t>
      </w:r>
      <w:r w:rsidR="005C54B6">
        <w:rPr>
          <w:rFonts w:ascii="Arial" w:hAnsi="Arial" w:cs="Arial"/>
          <w:bCs/>
          <w:sz w:val="24"/>
          <w:szCs w:val="24"/>
        </w:rPr>
        <w:t>E</w:t>
      </w:r>
      <w:r w:rsidR="005C54B6" w:rsidRPr="00A41D96">
        <w:rPr>
          <w:rFonts w:ascii="Arial" w:hAnsi="Arial" w:cs="Arial"/>
          <w:bCs/>
          <w:sz w:val="24"/>
          <w:szCs w:val="24"/>
        </w:rPr>
        <w:t xml:space="preserve">sta “Comunicación” de la Comisión Europea es aplicable a diversos tipos de garantía y, en particular, lo es también a </w:t>
      </w:r>
      <w:proofErr w:type="spellStart"/>
      <w:r w:rsidR="005C54B6" w:rsidRPr="00A41D96">
        <w:rPr>
          <w:rFonts w:ascii="Arial" w:hAnsi="Arial" w:cs="Arial"/>
          <w:bCs/>
          <w:sz w:val="24"/>
          <w:szCs w:val="24"/>
        </w:rPr>
        <w:t>reafianzamientos</w:t>
      </w:r>
      <w:proofErr w:type="spellEnd"/>
      <w:r w:rsidR="005C54B6" w:rsidRPr="00A41D96">
        <w:rPr>
          <w:rFonts w:ascii="Arial" w:hAnsi="Arial" w:cs="Arial"/>
          <w:bCs/>
          <w:sz w:val="24"/>
          <w:szCs w:val="24"/>
        </w:rPr>
        <w:t xml:space="preserve"> o contragarantías prestadas directamente a un garante de</w:t>
      </w:r>
      <w:r>
        <w:rPr>
          <w:rFonts w:ascii="Arial" w:hAnsi="Arial" w:cs="Arial"/>
          <w:bCs/>
          <w:sz w:val="24"/>
          <w:szCs w:val="24"/>
        </w:rPr>
        <w:t xml:space="preserve"> primer nivel</w:t>
      </w:r>
      <w:r w:rsidR="005C54B6">
        <w:rPr>
          <w:sz w:val="24"/>
          <w:szCs w:val="24"/>
        </w:rPr>
        <w:t>.</w:t>
      </w:r>
    </w:p>
    <w:p w:rsidR="003035F1" w:rsidRDefault="003035F1" w:rsidP="00A41D96">
      <w:pPr>
        <w:spacing w:line="360" w:lineRule="auto"/>
        <w:ind w:firstLine="360"/>
        <w:jc w:val="both"/>
        <w:rPr>
          <w:sz w:val="24"/>
          <w:szCs w:val="24"/>
        </w:rPr>
      </w:pPr>
    </w:p>
    <w:p w:rsidR="003035F1" w:rsidRDefault="00617B27" w:rsidP="00A41D96">
      <w:pPr>
        <w:spacing w:line="360" w:lineRule="auto"/>
        <w:ind w:firstLine="360"/>
        <w:jc w:val="both"/>
        <w:rPr>
          <w:rFonts w:ascii="Arial" w:hAnsi="Arial" w:cs="Arial"/>
          <w:bCs/>
          <w:sz w:val="24"/>
          <w:szCs w:val="24"/>
        </w:rPr>
      </w:pPr>
      <w:r>
        <w:rPr>
          <w:rFonts w:ascii="Arial" w:hAnsi="Arial" w:cs="Arial"/>
          <w:bCs/>
          <w:sz w:val="24"/>
          <w:szCs w:val="24"/>
        </w:rPr>
        <w:t>7</w:t>
      </w:r>
      <w:r w:rsidR="003035F1" w:rsidRPr="00D00E7F">
        <w:rPr>
          <w:rFonts w:ascii="Arial" w:hAnsi="Arial" w:cs="Arial"/>
          <w:bCs/>
          <w:sz w:val="24"/>
          <w:szCs w:val="24"/>
        </w:rPr>
        <w:t xml:space="preserve">.- </w:t>
      </w:r>
      <w:r w:rsidR="00D00E7F" w:rsidRPr="00D00E7F">
        <w:rPr>
          <w:rFonts w:ascii="Arial" w:hAnsi="Arial" w:cs="Arial"/>
          <w:bCs/>
          <w:sz w:val="24"/>
          <w:szCs w:val="24"/>
        </w:rPr>
        <w:t>Desde el encaje en el marco comunitario de ayudas de Estado y su compatibilidad con el mercado común, el proyecto</w:t>
      </w:r>
      <w:r w:rsidR="00373553">
        <w:rPr>
          <w:rFonts w:ascii="Arial" w:hAnsi="Arial" w:cs="Arial"/>
          <w:bCs/>
          <w:sz w:val="24"/>
          <w:szCs w:val="24"/>
        </w:rPr>
        <w:t xml:space="preserve"> de Decreto que se nos somete</w:t>
      </w:r>
      <w:r w:rsidR="00D00E7F" w:rsidRPr="00D00E7F">
        <w:rPr>
          <w:rFonts w:ascii="Arial" w:hAnsi="Arial" w:cs="Arial"/>
          <w:bCs/>
          <w:sz w:val="24"/>
          <w:szCs w:val="24"/>
        </w:rPr>
        <w:t xml:space="preserve"> parte de un escenario de formal sometimiento a los límites establecidos en las normas europeas </w:t>
      </w:r>
      <w:r w:rsidR="00373553">
        <w:rPr>
          <w:rFonts w:ascii="Arial" w:hAnsi="Arial" w:cs="Arial"/>
          <w:bCs/>
          <w:sz w:val="24"/>
          <w:szCs w:val="24"/>
        </w:rPr>
        <w:t xml:space="preserve">al </w:t>
      </w:r>
      <w:r w:rsidR="00D00E7F" w:rsidRPr="00D00E7F">
        <w:rPr>
          <w:rFonts w:ascii="Arial" w:hAnsi="Arial" w:cs="Arial"/>
          <w:bCs/>
          <w:sz w:val="24"/>
          <w:szCs w:val="24"/>
        </w:rPr>
        <w:t>declara</w:t>
      </w:r>
      <w:r w:rsidR="00373553">
        <w:rPr>
          <w:rFonts w:ascii="Arial" w:hAnsi="Arial" w:cs="Arial"/>
          <w:bCs/>
          <w:sz w:val="24"/>
          <w:szCs w:val="24"/>
        </w:rPr>
        <w:t>r</w:t>
      </w:r>
      <w:r w:rsidR="00D00E7F" w:rsidRPr="00D00E7F">
        <w:rPr>
          <w:rFonts w:ascii="Arial" w:hAnsi="Arial" w:cs="Arial"/>
          <w:bCs/>
          <w:sz w:val="24"/>
          <w:szCs w:val="24"/>
        </w:rPr>
        <w:t xml:space="preserve"> (artículo 15) intervenir estrictamente en el marco de las ayudas denominadas “</w:t>
      </w:r>
      <w:r w:rsidR="00D00E7F" w:rsidRPr="00373553">
        <w:rPr>
          <w:rFonts w:ascii="Arial" w:hAnsi="Arial" w:cs="Arial"/>
          <w:bCs/>
          <w:i/>
          <w:sz w:val="24"/>
          <w:szCs w:val="24"/>
        </w:rPr>
        <w:t xml:space="preserve">de </w:t>
      </w:r>
      <w:proofErr w:type="spellStart"/>
      <w:r w:rsidR="00D00E7F" w:rsidRPr="00373553">
        <w:rPr>
          <w:rFonts w:ascii="Arial" w:hAnsi="Arial" w:cs="Arial"/>
          <w:bCs/>
          <w:i/>
          <w:sz w:val="24"/>
          <w:szCs w:val="24"/>
        </w:rPr>
        <w:t>minimis</w:t>
      </w:r>
      <w:proofErr w:type="spellEnd"/>
      <w:r w:rsidR="00D00E7F" w:rsidRPr="00D00E7F">
        <w:rPr>
          <w:rFonts w:ascii="Arial" w:hAnsi="Arial" w:cs="Arial"/>
          <w:bCs/>
          <w:sz w:val="24"/>
          <w:szCs w:val="24"/>
        </w:rPr>
        <w:t>”</w:t>
      </w:r>
      <w:r w:rsidR="00D00E7F">
        <w:rPr>
          <w:rFonts w:ascii="Arial" w:hAnsi="Arial" w:cs="Arial"/>
          <w:bCs/>
          <w:sz w:val="24"/>
          <w:szCs w:val="24"/>
        </w:rPr>
        <w:t>.</w:t>
      </w:r>
    </w:p>
    <w:p w:rsidR="00D00E7F" w:rsidRDefault="00D00E7F" w:rsidP="00A41D96">
      <w:pPr>
        <w:spacing w:line="360" w:lineRule="auto"/>
        <w:ind w:firstLine="360"/>
        <w:jc w:val="both"/>
        <w:rPr>
          <w:rFonts w:ascii="Arial" w:hAnsi="Arial" w:cs="Arial"/>
          <w:bCs/>
          <w:sz w:val="24"/>
          <w:szCs w:val="24"/>
        </w:rPr>
      </w:pPr>
    </w:p>
    <w:p w:rsidR="00D00E7F" w:rsidRDefault="00617B27" w:rsidP="00316D22">
      <w:pPr>
        <w:spacing w:line="360" w:lineRule="auto"/>
        <w:ind w:firstLine="360"/>
        <w:jc w:val="both"/>
        <w:rPr>
          <w:rFonts w:ascii="Arial" w:hAnsi="Arial" w:cs="Arial"/>
          <w:i/>
          <w:iCs/>
          <w:sz w:val="24"/>
          <w:szCs w:val="24"/>
        </w:rPr>
      </w:pPr>
      <w:r>
        <w:rPr>
          <w:rFonts w:ascii="Arial" w:hAnsi="Arial" w:cs="Arial"/>
          <w:bCs/>
          <w:sz w:val="24"/>
          <w:szCs w:val="24"/>
        </w:rPr>
        <w:t>8</w:t>
      </w:r>
      <w:r w:rsidR="00D00E7F">
        <w:rPr>
          <w:rFonts w:ascii="Arial" w:hAnsi="Arial" w:cs="Arial"/>
          <w:bCs/>
          <w:sz w:val="24"/>
          <w:szCs w:val="24"/>
        </w:rPr>
        <w:t>.- A tal respecto, y dado que ni el proyecto ni los borradores de convenios a suscribir por SGR y entidades financieras y colaboradoras prevén</w:t>
      </w:r>
      <w:r w:rsidR="00C878E3">
        <w:rPr>
          <w:rFonts w:ascii="Arial" w:hAnsi="Arial" w:cs="Arial"/>
          <w:bCs/>
          <w:sz w:val="24"/>
          <w:szCs w:val="24"/>
        </w:rPr>
        <w:t xml:space="preserve"> previsión o</w:t>
      </w:r>
      <w:r w:rsidR="00D00E7F">
        <w:rPr>
          <w:rFonts w:ascii="Arial" w:hAnsi="Arial" w:cs="Arial"/>
          <w:bCs/>
          <w:sz w:val="24"/>
          <w:szCs w:val="24"/>
        </w:rPr>
        <w:t xml:space="preserve"> cautela al respecto, ha de trasladarse el conocimiento y las conclusiones que se derivaron de los contactos mantenidos con la Comisión Europea (DGC) en 2012 con ocasión del programa de ayudas que dio lugar al</w:t>
      </w:r>
      <w:r w:rsidR="00D00E7F" w:rsidRPr="00D00E7F">
        <w:rPr>
          <w:rFonts w:ascii="Arial" w:hAnsi="Arial" w:cs="Arial"/>
          <w:bCs/>
          <w:sz w:val="24"/>
          <w:szCs w:val="24"/>
        </w:rPr>
        <w:t xml:space="preserve"> Decreto 127/2012, de 10 de julio, por el que se desarrolla un programa extraordinario de concesión de avales públicos para la financiación empresarial.</w:t>
      </w:r>
      <w:r w:rsidR="00D00E7F">
        <w:rPr>
          <w:rFonts w:ascii="Arial" w:hAnsi="Arial" w:cs="Arial"/>
          <w:bCs/>
          <w:sz w:val="24"/>
          <w:szCs w:val="24"/>
        </w:rPr>
        <w:t xml:space="preserve"> Así, </w:t>
      </w:r>
      <w:r w:rsidR="00373553">
        <w:rPr>
          <w:rFonts w:ascii="Arial" w:hAnsi="Arial" w:cs="Arial"/>
          <w:bCs/>
          <w:sz w:val="24"/>
          <w:szCs w:val="24"/>
        </w:rPr>
        <w:t>conforme lo anteriormente indicado, l</w:t>
      </w:r>
      <w:r w:rsidR="00D00E7F">
        <w:rPr>
          <w:rFonts w:ascii="Arial" w:hAnsi="Arial" w:cs="Arial"/>
          <w:bCs/>
          <w:sz w:val="24"/>
          <w:szCs w:val="24"/>
        </w:rPr>
        <w:t>a Comisión</w:t>
      </w:r>
      <w:r w:rsidR="00373553">
        <w:rPr>
          <w:rFonts w:ascii="Arial" w:hAnsi="Arial" w:cs="Arial"/>
          <w:bCs/>
          <w:sz w:val="24"/>
          <w:szCs w:val="24"/>
        </w:rPr>
        <w:t>,</w:t>
      </w:r>
      <w:r w:rsidR="00D00E7F">
        <w:rPr>
          <w:rFonts w:ascii="Arial" w:hAnsi="Arial" w:cs="Arial"/>
          <w:bCs/>
          <w:sz w:val="24"/>
          <w:szCs w:val="24"/>
        </w:rPr>
        <w:t xml:space="preserve"> traslad</w:t>
      </w:r>
      <w:r w:rsidR="00373553">
        <w:rPr>
          <w:rFonts w:ascii="Arial" w:hAnsi="Arial" w:cs="Arial"/>
          <w:bCs/>
          <w:sz w:val="24"/>
          <w:szCs w:val="24"/>
        </w:rPr>
        <w:t>ó</w:t>
      </w:r>
      <w:r w:rsidR="00D00E7F">
        <w:rPr>
          <w:rFonts w:ascii="Arial" w:hAnsi="Arial" w:cs="Arial"/>
          <w:bCs/>
          <w:sz w:val="24"/>
          <w:szCs w:val="24"/>
        </w:rPr>
        <w:t xml:space="preserve"> a esta Administración</w:t>
      </w:r>
      <w:r w:rsidR="00373553">
        <w:rPr>
          <w:rFonts w:ascii="Arial" w:hAnsi="Arial" w:cs="Arial"/>
          <w:bCs/>
          <w:sz w:val="24"/>
          <w:szCs w:val="24"/>
        </w:rPr>
        <w:t>,</w:t>
      </w:r>
      <w:r w:rsidR="00D00E7F">
        <w:rPr>
          <w:rFonts w:ascii="Arial" w:hAnsi="Arial" w:cs="Arial"/>
          <w:bCs/>
          <w:sz w:val="24"/>
          <w:szCs w:val="24"/>
        </w:rPr>
        <w:t xml:space="preserve"> que </w:t>
      </w:r>
      <w:r w:rsidR="00D00E7F" w:rsidRPr="00D00E7F">
        <w:rPr>
          <w:rFonts w:ascii="Arial" w:hAnsi="Arial" w:cs="Arial"/>
          <w:iCs/>
          <w:sz w:val="24"/>
          <w:szCs w:val="24"/>
        </w:rPr>
        <w:t xml:space="preserve">el préstamo garantizado </w:t>
      </w:r>
      <w:r w:rsidR="00D00E7F" w:rsidRPr="00316D22">
        <w:rPr>
          <w:rFonts w:ascii="Arial" w:hAnsi="Arial" w:cs="Arial"/>
          <w:b/>
          <w:iCs/>
          <w:sz w:val="24"/>
          <w:szCs w:val="24"/>
        </w:rPr>
        <w:t>no puede ser</w:t>
      </w:r>
      <w:r w:rsidR="00D00E7F" w:rsidRPr="00316D22">
        <w:rPr>
          <w:rFonts w:ascii="Arial" w:hAnsi="Arial" w:cs="Arial"/>
          <w:b/>
          <w:i/>
          <w:iCs/>
          <w:sz w:val="24"/>
          <w:szCs w:val="24"/>
        </w:rPr>
        <w:t xml:space="preserve"> “empleado para la financiación de la deuda existente”</w:t>
      </w:r>
      <w:r w:rsidR="00D00E7F" w:rsidRPr="00D00E7F">
        <w:rPr>
          <w:rFonts w:ascii="Arial" w:hAnsi="Arial" w:cs="Arial"/>
          <w:i/>
          <w:iCs/>
          <w:sz w:val="24"/>
          <w:szCs w:val="24"/>
        </w:rPr>
        <w:t xml:space="preserve"> </w:t>
      </w:r>
      <w:r w:rsidR="00D00E7F" w:rsidRPr="00D00E7F">
        <w:rPr>
          <w:rFonts w:ascii="Arial" w:hAnsi="Arial" w:cs="Arial"/>
          <w:iCs/>
          <w:sz w:val="24"/>
          <w:szCs w:val="24"/>
        </w:rPr>
        <w:t>ya que “</w:t>
      </w:r>
      <w:r w:rsidR="00D00E7F" w:rsidRPr="00D00E7F">
        <w:rPr>
          <w:rFonts w:ascii="Arial" w:hAnsi="Arial" w:cs="Arial"/>
          <w:i/>
          <w:iCs/>
          <w:sz w:val="24"/>
          <w:szCs w:val="24"/>
        </w:rPr>
        <w:t>esto implicaría un ventaja indebida o excesiva para los bancos que lo solicitaran, dado que les relevaba de asumir los riesgos emprendidos en el pasado”.</w:t>
      </w:r>
      <w:r w:rsidR="00316D22">
        <w:rPr>
          <w:rFonts w:ascii="Arial" w:hAnsi="Arial" w:cs="Arial"/>
          <w:i/>
          <w:iCs/>
          <w:sz w:val="24"/>
          <w:szCs w:val="24"/>
        </w:rPr>
        <w:t xml:space="preserve"> </w:t>
      </w:r>
      <w:r w:rsidR="00D00E7F" w:rsidRPr="00D00E7F">
        <w:rPr>
          <w:rFonts w:ascii="Arial" w:hAnsi="Arial" w:cs="Arial"/>
          <w:iCs/>
          <w:sz w:val="24"/>
          <w:szCs w:val="24"/>
        </w:rPr>
        <w:t>En consecuencia,</w:t>
      </w:r>
      <w:r w:rsidR="00316D22">
        <w:rPr>
          <w:rFonts w:ascii="Arial" w:hAnsi="Arial" w:cs="Arial"/>
          <w:iCs/>
          <w:sz w:val="24"/>
          <w:szCs w:val="24"/>
        </w:rPr>
        <w:t xml:space="preserve"> la Comisión trasladó</w:t>
      </w:r>
      <w:r w:rsidR="00373553">
        <w:rPr>
          <w:rFonts w:ascii="Arial" w:hAnsi="Arial" w:cs="Arial"/>
          <w:iCs/>
          <w:sz w:val="24"/>
          <w:szCs w:val="24"/>
        </w:rPr>
        <w:t xml:space="preserve"> que</w:t>
      </w:r>
      <w:r w:rsidR="00D00E7F" w:rsidRPr="00D00E7F">
        <w:rPr>
          <w:rFonts w:ascii="Arial" w:hAnsi="Arial" w:cs="Arial"/>
          <w:i/>
          <w:iCs/>
          <w:sz w:val="24"/>
          <w:szCs w:val="24"/>
        </w:rPr>
        <w:t xml:space="preserve"> “la garantía sólo debería ser aplicable para nuevos préstamos. Los préstamos preexistentes no deberán haber alcanzado la madurez y el rescate y superposición no están permitidos”.</w:t>
      </w:r>
    </w:p>
    <w:p w:rsidR="00316D22" w:rsidRDefault="00316D22" w:rsidP="00316D22">
      <w:pPr>
        <w:spacing w:line="360" w:lineRule="auto"/>
        <w:ind w:firstLine="360"/>
        <w:jc w:val="both"/>
        <w:rPr>
          <w:rFonts w:ascii="Arial" w:hAnsi="Arial" w:cs="Arial"/>
          <w:i/>
          <w:iCs/>
          <w:sz w:val="24"/>
          <w:szCs w:val="24"/>
        </w:rPr>
      </w:pPr>
    </w:p>
    <w:p w:rsidR="00C878E3" w:rsidRDefault="00617B27" w:rsidP="00316D22">
      <w:pPr>
        <w:spacing w:line="360" w:lineRule="auto"/>
        <w:ind w:firstLine="360"/>
        <w:jc w:val="both"/>
        <w:rPr>
          <w:rFonts w:ascii="Arial" w:hAnsi="Arial" w:cs="Arial"/>
          <w:iCs/>
          <w:sz w:val="24"/>
          <w:szCs w:val="24"/>
        </w:rPr>
      </w:pPr>
      <w:r>
        <w:rPr>
          <w:rFonts w:ascii="Arial" w:hAnsi="Arial" w:cs="Arial"/>
          <w:iCs/>
          <w:sz w:val="24"/>
          <w:szCs w:val="24"/>
        </w:rPr>
        <w:t>9</w:t>
      </w:r>
      <w:r w:rsidR="00C878E3">
        <w:rPr>
          <w:rFonts w:ascii="Arial" w:hAnsi="Arial" w:cs="Arial"/>
          <w:iCs/>
          <w:sz w:val="24"/>
          <w:szCs w:val="24"/>
        </w:rPr>
        <w:t>.- A tal efecto, se recomienda que en el Proyecto de Decreto o en los Convenios a suscribir con las entidades colaboradora</w:t>
      </w:r>
      <w:r w:rsidR="00373553">
        <w:rPr>
          <w:rFonts w:ascii="Arial" w:hAnsi="Arial" w:cs="Arial"/>
          <w:iCs/>
          <w:sz w:val="24"/>
          <w:szCs w:val="24"/>
        </w:rPr>
        <w:t>s</w:t>
      </w:r>
      <w:r w:rsidR="00C878E3">
        <w:rPr>
          <w:rFonts w:ascii="Arial" w:hAnsi="Arial" w:cs="Arial"/>
          <w:iCs/>
          <w:sz w:val="24"/>
          <w:szCs w:val="24"/>
        </w:rPr>
        <w:t xml:space="preserve"> se incorpore una cautela similar a la entonces adoptada del siguiente tenor:</w:t>
      </w:r>
    </w:p>
    <w:p w:rsidR="00C878E3" w:rsidRDefault="00C878E3" w:rsidP="00316D22">
      <w:pPr>
        <w:spacing w:line="360" w:lineRule="auto"/>
        <w:ind w:firstLine="360"/>
        <w:jc w:val="both"/>
        <w:rPr>
          <w:rFonts w:ascii="Arial" w:hAnsi="Arial" w:cs="Arial"/>
          <w:iCs/>
          <w:sz w:val="24"/>
          <w:szCs w:val="24"/>
        </w:rPr>
      </w:pPr>
    </w:p>
    <w:p w:rsidR="00C878E3" w:rsidRDefault="00C878E3" w:rsidP="00316D22">
      <w:pPr>
        <w:spacing w:line="360" w:lineRule="auto"/>
        <w:ind w:firstLine="360"/>
        <w:jc w:val="both"/>
        <w:rPr>
          <w:rFonts w:ascii="Arial" w:hAnsi="Arial" w:cs="Arial"/>
          <w:i/>
          <w:sz w:val="22"/>
          <w:szCs w:val="22"/>
        </w:rPr>
      </w:pPr>
      <w:r>
        <w:rPr>
          <w:rFonts w:ascii="Arial" w:hAnsi="Arial" w:cs="Arial"/>
          <w:i/>
          <w:sz w:val="22"/>
          <w:szCs w:val="22"/>
        </w:rPr>
        <w:t>“</w:t>
      </w:r>
      <w:r w:rsidRPr="00C878E3">
        <w:rPr>
          <w:rFonts w:ascii="Arial" w:hAnsi="Arial" w:cs="Arial"/>
          <w:i/>
          <w:sz w:val="22"/>
          <w:szCs w:val="22"/>
        </w:rPr>
        <w:t xml:space="preserve">Las operaciones de financiación se instrumentarán en préstamos nuevos de acuerdo con las características fijadas en los siguientes apartados de esta Cláusula. Estos préstamos, concedidos por (Entidad Financiera), </w:t>
      </w:r>
      <w:r w:rsidRPr="00C878E3">
        <w:rPr>
          <w:rFonts w:ascii="Arial" w:hAnsi="Arial" w:cs="Arial"/>
          <w:i/>
          <w:sz w:val="22"/>
          <w:szCs w:val="22"/>
          <w:u w:val="single"/>
        </w:rPr>
        <w:t>estarán destinados a incrementar la financiación de circulante y de adquisición de activos fijos. Consiguientemente, esta nueva financiación no podrá ser utilizada para la amortización de créditos vivos</w:t>
      </w:r>
      <w:r w:rsidRPr="00C878E3">
        <w:rPr>
          <w:rFonts w:ascii="Arial" w:hAnsi="Arial" w:cs="Arial"/>
          <w:i/>
          <w:sz w:val="22"/>
          <w:szCs w:val="22"/>
        </w:rPr>
        <w:t>”.</w:t>
      </w:r>
    </w:p>
    <w:p w:rsidR="00C878E3" w:rsidRPr="00C878E3" w:rsidRDefault="00C878E3" w:rsidP="00316D22">
      <w:pPr>
        <w:spacing w:line="360" w:lineRule="auto"/>
        <w:ind w:firstLine="360"/>
        <w:jc w:val="both"/>
        <w:rPr>
          <w:rFonts w:ascii="Arial" w:hAnsi="Arial" w:cs="Arial"/>
          <w:iCs/>
          <w:sz w:val="22"/>
          <w:szCs w:val="22"/>
        </w:rPr>
      </w:pPr>
    </w:p>
    <w:p w:rsidR="00A41D96" w:rsidRDefault="00617B27" w:rsidP="00C878E3">
      <w:pPr>
        <w:spacing w:line="360" w:lineRule="auto"/>
        <w:ind w:firstLine="360"/>
        <w:jc w:val="both"/>
      </w:pPr>
      <w:r>
        <w:rPr>
          <w:rFonts w:ascii="Arial" w:hAnsi="Arial" w:cs="Arial"/>
          <w:iCs/>
          <w:sz w:val="24"/>
          <w:szCs w:val="24"/>
        </w:rPr>
        <w:t>10</w:t>
      </w:r>
      <w:r w:rsidR="00C878E3">
        <w:rPr>
          <w:rFonts w:ascii="Arial" w:hAnsi="Arial" w:cs="Arial"/>
          <w:iCs/>
          <w:sz w:val="24"/>
          <w:szCs w:val="24"/>
        </w:rPr>
        <w:t>.- Asimismo, en su caso, por u</w:t>
      </w:r>
      <w:r w:rsidR="00C878E3" w:rsidRPr="00C878E3">
        <w:rPr>
          <w:rFonts w:ascii="Arial" w:hAnsi="Arial" w:cs="Arial"/>
          <w:bCs/>
          <w:sz w:val="24"/>
          <w:szCs w:val="24"/>
        </w:rPr>
        <w:t xml:space="preserve">n principio precautorio </w:t>
      </w:r>
      <w:r w:rsidR="00C878E3">
        <w:rPr>
          <w:rFonts w:ascii="Arial" w:hAnsi="Arial" w:cs="Arial"/>
          <w:bCs/>
          <w:sz w:val="24"/>
          <w:szCs w:val="24"/>
        </w:rPr>
        <w:t>se</w:t>
      </w:r>
      <w:r w:rsidR="00373553">
        <w:rPr>
          <w:rFonts w:ascii="Arial" w:hAnsi="Arial" w:cs="Arial"/>
          <w:bCs/>
          <w:sz w:val="24"/>
          <w:szCs w:val="24"/>
        </w:rPr>
        <w:t xml:space="preserve"> recomienda consultar</w:t>
      </w:r>
      <w:r w:rsidR="00C878E3" w:rsidRPr="00C878E3">
        <w:rPr>
          <w:rFonts w:ascii="Arial" w:hAnsi="Arial" w:cs="Arial"/>
          <w:bCs/>
          <w:sz w:val="24"/>
          <w:szCs w:val="24"/>
        </w:rPr>
        <w:t xml:space="preserve"> a </w:t>
      </w:r>
      <w:smartTag w:uri="urn:schemas-microsoft-com:office:smarttags" w:element="PersonName">
        <w:smartTagPr>
          <w:attr w:name="ProductID" w:val="la Uni￳n"/>
        </w:smartTagPr>
        <w:r w:rsidR="00C878E3" w:rsidRPr="00C878E3">
          <w:rPr>
            <w:rFonts w:ascii="Arial" w:hAnsi="Arial" w:cs="Arial"/>
            <w:bCs/>
            <w:sz w:val="24"/>
            <w:szCs w:val="24"/>
          </w:rPr>
          <w:t>la Unión</w:t>
        </w:r>
      </w:smartTag>
      <w:r w:rsidR="00C878E3" w:rsidRPr="00C878E3">
        <w:rPr>
          <w:rFonts w:ascii="Arial" w:hAnsi="Arial" w:cs="Arial"/>
          <w:bCs/>
          <w:sz w:val="24"/>
          <w:szCs w:val="24"/>
        </w:rPr>
        <w:t xml:space="preserve"> Europea</w:t>
      </w:r>
      <w:r w:rsidR="00C878E3">
        <w:rPr>
          <w:rFonts w:ascii="Arial" w:hAnsi="Arial" w:cs="Arial"/>
          <w:bCs/>
          <w:sz w:val="24"/>
          <w:szCs w:val="24"/>
        </w:rPr>
        <w:t>, respecto del programa que es objeto de regulación, acerca del cumplimiento y acomodo al</w:t>
      </w:r>
      <w:r w:rsidR="00C878E3" w:rsidRPr="00C878E3">
        <w:rPr>
          <w:rFonts w:ascii="Arial" w:hAnsi="Arial" w:cs="Arial"/>
          <w:bCs/>
          <w:sz w:val="24"/>
          <w:szCs w:val="24"/>
        </w:rPr>
        <w:t xml:space="preserve"> </w:t>
      </w:r>
      <w:r w:rsidR="00C878E3">
        <w:rPr>
          <w:rFonts w:ascii="Arial" w:hAnsi="Arial" w:cs="Arial"/>
          <w:bCs/>
          <w:sz w:val="24"/>
          <w:szCs w:val="24"/>
        </w:rPr>
        <w:t>Derecho europeo o si ha de ser notificado</w:t>
      </w:r>
      <w:r w:rsidR="00C878E3" w:rsidRPr="00C878E3">
        <w:rPr>
          <w:rFonts w:ascii="Arial" w:hAnsi="Arial" w:cs="Arial"/>
          <w:bCs/>
          <w:sz w:val="24"/>
          <w:szCs w:val="24"/>
        </w:rPr>
        <w:t xml:space="preserve"> formalmente, siguiendo el procedimiento establecido al efecto</w:t>
      </w:r>
      <w:r w:rsidR="00C878E3" w:rsidRPr="006635A7">
        <w:rPr>
          <w:rFonts w:ascii="Arial" w:hAnsi="Arial" w:cs="Arial"/>
          <w:bCs/>
          <w:sz w:val="22"/>
          <w:szCs w:val="22"/>
        </w:rPr>
        <w:t>.</w:t>
      </w:r>
      <w:r w:rsidR="00C878E3">
        <w:rPr>
          <w:rFonts w:ascii="Arial" w:hAnsi="Arial" w:cs="Arial"/>
          <w:bCs/>
          <w:sz w:val="22"/>
          <w:szCs w:val="22"/>
        </w:rPr>
        <w:t xml:space="preserve"> </w:t>
      </w:r>
    </w:p>
    <w:p w:rsidR="00A41D96" w:rsidRDefault="00A41D96" w:rsidP="00EE1752">
      <w:pPr>
        <w:pStyle w:val="Default"/>
        <w:spacing w:line="360" w:lineRule="auto"/>
        <w:ind w:firstLine="360"/>
        <w:jc w:val="both"/>
      </w:pPr>
    </w:p>
    <w:p w:rsidR="00C878E3" w:rsidRPr="00C878E3" w:rsidRDefault="00EC31F9" w:rsidP="00EE1752">
      <w:pPr>
        <w:pStyle w:val="Default"/>
        <w:spacing w:line="360" w:lineRule="auto"/>
        <w:ind w:firstLine="360"/>
        <w:jc w:val="both"/>
        <w:rPr>
          <w:b/>
          <w:i/>
        </w:rPr>
      </w:pPr>
      <w:r>
        <w:rPr>
          <w:b/>
          <w:i/>
        </w:rPr>
        <w:t>Cumplimiento de los principios de publicidad, concurrencia y objetividad</w:t>
      </w:r>
    </w:p>
    <w:p w:rsidR="00A41D96" w:rsidRDefault="00A41D96" w:rsidP="00EE1752">
      <w:pPr>
        <w:pStyle w:val="Default"/>
        <w:spacing w:line="360" w:lineRule="auto"/>
        <w:ind w:firstLine="360"/>
        <w:jc w:val="both"/>
      </w:pPr>
    </w:p>
    <w:p w:rsidR="00424A8D" w:rsidRDefault="00C878E3" w:rsidP="00EE1752">
      <w:pPr>
        <w:pStyle w:val="Default"/>
        <w:spacing w:line="360" w:lineRule="auto"/>
        <w:ind w:firstLine="360"/>
        <w:jc w:val="both"/>
      </w:pPr>
      <w:r>
        <w:t>1</w:t>
      </w:r>
      <w:r w:rsidR="00617B27">
        <w:t>1</w:t>
      </w:r>
      <w:r>
        <w:t xml:space="preserve">.- </w:t>
      </w:r>
      <w:r w:rsidR="00E974F4">
        <w:t>La regulación y concesión de ayudas en forma de avales u otras garant</w:t>
      </w:r>
      <w:r w:rsidR="00373553">
        <w:t xml:space="preserve">ías, aunque excluida del régimen que regula las subvenciones, </w:t>
      </w:r>
      <w:r w:rsidR="00E974F4">
        <w:t>garantizará, en todo caso, la observancia de los principios de publicidad</w:t>
      </w:r>
      <w:r w:rsidR="00EC31F9">
        <w:t>, c</w:t>
      </w:r>
      <w:r w:rsidR="00E974F4">
        <w:t>oncurrencia y objetividad a</w:t>
      </w:r>
      <w:r w:rsidR="00E974F4" w:rsidRPr="00081C2B">
        <w:t xml:space="preserve"> que se refiere el art. 49.1</w:t>
      </w:r>
      <w:r w:rsidR="00E974F4">
        <w:t xml:space="preserve"> de </w:t>
      </w:r>
      <w:r w:rsidR="0080129C" w:rsidRPr="00081C2B">
        <w:t xml:space="preserve">la </w:t>
      </w:r>
      <w:r w:rsidR="00E974F4">
        <w:t>LOPGHPV</w:t>
      </w:r>
      <w:r w:rsidR="0080129C" w:rsidRPr="00081C2B">
        <w:t>.</w:t>
      </w:r>
    </w:p>
    <w:p w:rsidR="00A342D1" w:rsidRPr="00081C2B" w:rsidRDefault="00A342D1" w:rsidP="00EE1752">
      <w:pPr>
        <w:pStyle w:val="Default"/>
        <w:spacing w:line="360" w:lineRule="auto"/>
        <w:ind w:firstLine="360"/>
        <w:jc w:val="both"/>
      </w:pPr>
    </w:p>
    <w:p w:rsidR="00A342D1" w:rsidRDefault="00A342D1" w:rsidP="00A342D1">
      <w:pPr>
        <w:pStyle w:val="Default"/>
        <w:spacing w:line="360" w:lineRule="auto"/>
        <w:ind w:firstLine="360"/>
        <w:jc w:val="both"/>
      </w:pPr>
      <w:r>
        <w:t>1</w:t>
      </w:r>
      <w:r w:rsidR="00617B27">
        <w:t>2</w:t>
      </w:r>
      <w:r>
        <w:t xml:space="preserve">.- En el sistema que configura el proyecto, la Administración </w:t>
      </w:r>
      <w:proofErr w:type="spellStart"/>
      <w:r>
        <w:t>regarantiza</w:t>
      </w:r>
      <w:proofErr w:type="spellEnd"/>
      <w:r>
        <w:t xml:space="preserve"> los avales concedidos por las SGR, y  si bien las SGR parecen actuar con autonomía de gestión, actuando en un aparente contexto ordinario de actividad que le es propia, lo cierto es que no puede dejarse de lado que la actividad de concesión de préstamos ha necesitado del impulso de la Administración con el compromiso económico que comporta el programa. </w:t>
      </w:r>
    </w:p>
    <w:p w:rsidR="00775C58" w:rsidRDefault="00775C58" w:rsidP="00A342D1">
      <w:pPr>
        <w:pStyle w:val="Default"/>
        <w:spacing w:line="360" w:lineRule="auto"/>
        <w:jc w:val="both"/>
      </w:pPr>
    </w:p>
    <w:p w:rsidR="00A342D1" w:rsidRDefault="00A342D1" w:rsidP="00A342D1">
      <w:pPr>
        <w:pStyle w:val="Default"/>
        <w:spacing w:line="360" w:lineRule="auto"/>
        <w:ind w:firstLine="360"/>
        <w:jc w:val="both"/>
      </w:pPr>
      <w:r>
        <w:t>1</w:t>
      </w:r>
      <w:r w:rsidR="00617B27">
        <w:t>3</w:t>
      </w:r>
      <w:r>
        <w:t xml:space="preserve">.-. Siendo un programa público llamado a impulsar las iniciativas económicas por determinadas categorías de empresarios, y en aras de garantizar los principios de </w:t>
      </w:r>
      <w:r w:rsidRPr="00081C2B">
        <w:rPr>
          <w:color w:val="auto"/>
          <w:lang w:val="es-ES_tradnl" w:eastAsia="es-ES_tradnl"/>
        </w:rPr>
        <w:t>publicidad, concurrencia y objetividad</w:t>
      </w:r>
      <w:r>
        <w:t>, resulta relevante verificar que el programa incorpora los mecanismos adecuados de revisión y comprobación que han de ser ejercidos por la Administración sobre la actividad de las entidades colaboradoras,</w:t>
      </w:r>
      <w:r w:rsidRPr="00A342D1">
        <w:t xml:space="preserve"> </w:t>
      </w:r>
      <w:r>
        <w:t>comunes en cualquier programa de fomento con cargo a fondos públicos.</w:t>
      </w:r>
    </w:p>
    <w:p w:rsidR="00A342D1" w:rsidRDefault="00A342D1" w:rsidP="00A342D1">
      <w:pPr>
        <w:pStyle w:val="Default"/>
        <w:spacing w:line="360" w:lineRule="auto"/>
        <w:jc w:val="both"/>
      </w:pPr>
    </w:p>
    <w:p w:rsidR="00E974F4" w:rsidRDefault="00E974F4" w:rsidP="00A50392">
      <w:pPr>
        <w:pStyle w:val="Default"/>
        <w:spacing w:line="360" w:lineRule="auto"/>
        <w:ind w:firstLine="360"/>
        <w:jc w:val="both"/>
      </w:pPr>
      <w:r>
        <w:t>1</w:t>
      </w:r>
      <w:r w:rsidR="00617B27">
        <w:t>4</w:t>
      </w:r>
      <w:r>
        <w:t>.- El proyecto de Decreto establece un procedimiento para la concesión de la ayuda que sigue la siguiente secuencia:</w:t>
      </w:r>
    </w:p>
    <w:p w:rsidR="00E974F4" w:rsidRDefault="00E974F4" w:rsidP="00A50392">
      <w:pPr>
        <w:pStyle w:val="Default"/>
        <w:spacing w:line="360" w:lineRule="auto"/>
        <w:ind w:firstLine="360"/>
        <w:jc w:val="both"/>
      </w:pPr>
    </w:p>
    <w:p w:rsidR="00E974F4" w:rsidRDefault="00E974F4" w:rsidP="00E974F4">
      <w:pPr>
        <w:pStyle w:val="Default"/>
        <w:numPr>
          <w:ilvl w:val="0"/>
          <w:numId w:val="48"/>
        </w:numPr>
        <w:spacing w:line="360" w:lineRule="auto"/>
        <w:jc w:val="both"/>
      </w:pPr>
      <w:r>
        <w:t xml:space="preserve">Solicitud a presentar por los profesionales y empresarios destinatarios de las ayudas que </w:t>
      </w:r>
      <w:proofErr w:type="spellStart"/>
      <w:r>
        <w:t>reunan</w:t>
      </w:r>
      <w:proofErr w:type="spellEnd"/>
      <w:r>
        <w:t xml:space="preserve"> los requisitos establecidos ante la SGR colaboradora acompañada de una documentación que se relaciona en el artículo </w:t>
      </w:r>
      <w:r w:rsidR="00EC31F9">
        <w:t>8 del proyecto.</w:t>
      </w:r>
    </w:p>
    <w:p w:rsidR="00EC31F9" w:rsidRDefault="00EC31F9" w:rsidP="00EC31F9">
      <w:pPr>
        <w:pStyle w:val="Default"/>
        <w:spacing w:line="360" w:lineRule="auto"/>
        <w:jc w:val="both"/>
      </w:pPr>
    </w:p>
    <w:p w:rsidR="00EC31F9" w:rsidRDefault="00EC31F9" w:rsidP="00EC31F9">
      <w:pPr>
        <w:pStyle w:val="Default"/>
        <w:numPr>
          <w:ilvl w:val="0"/>
          <w:numId w:val="48"/>
        </w:numPr>
        <w:spacing w:line="360" w:lineRule="auto"/>
        <w:jc w:val="both"/>
      </w:pPr>
      <w:r>
        <w:t>Las SGR evaluarán las solicitudes y concederán o denegarán las solicitudes de aval con total autonomía, aplicando a estos efectos los criterios de análisis y decisión utilizados habitualmente en su actividad avalista (artículo 10).</w:t>
      </w:r>
    </w:p>
    <w:p w:rsidR="00EC31F9" w:rsidRDefault="00EC31F9" w:rsidP="00EC31F9">
      <w:pPr>
        <w:pStyle w:val="Prrafodelista"/>
      </w:pPr>
    </w:p>
    <w:p w:rsidR="00EC31F9" w:rsidRDefault="00EC31F9" w:rsidP="00EC31F9">
      <w:pPr>
        <w:pStyle w:val="Default"/>
        <w:numPr>
          <w:ilvl w:val="0"/>
          <w:numId w:val="48"/>
        </w:numPr>
        <w:spacing w:line="360" w:lineRule="auto"/>
        <w:jc w:val="both"/>
      </w:pPr>
      <w:r>
        <w:t>La SGR comunicará al Departamento de Hacienda y Finanzas las operaciones de aval concedidas y las denegadas.</w:t>
      </w:r>
    </w:p>
    <w:p w:rsidR="00EC31F9" w:rsidRDefault="00EC31F9" w:rsidP="00EC31F9">
      <w:pPr>
        <w:pStyle w:val="Prrafodelista"/>
      </w:pPr>
    </w:p>
    <w:p w:rsidR="00EC31F9" w:rsidRDefault="00EC31F9" w:rsidP="00EC31F9">
      <w:pPr>
        <w:pStyle w:val="Default"/>
        <w:numPr>
          <w:ilvl w:val="0"/>
          <w:numId w:val="48"/>
        </w:numPr>
        <w:spacing w:line="360" w:lineRule="auto"/>
        <w:jc w:val="both"/>
      </w:pPr>
      <w:r>
        <w:t xml:space="preserve">El  artículo </w:t>
      </w:r>
      <w:r w:rsidR="00A342D1">
        <w:t>13 establece una ví</w:t>
      </w:r>
      <w:r w:rsidR="00E22475">
        <w:t>a de reclamación ante el Departamento de Hacienda Y Finanzas, lo que se complementa con una facultad de comprobación y supervisión</w:t>
      </w:r>
      <w:r w:rsidR="00A342D1">
        <w:t xml:space="preserve"> (art. 14)</w:t>
      </w:r>
    </w:p>
    <w:p w:rsidR="00E22475" w:rsidRDefault="00E22475" w:rsidP="00E22475">
      <w:pPr>
        <w:pStyle w:val="Prrafodelista"/>
      </w:pPr>
    </w:p>
    <w:p w:rsidR="006C4CA5" w:rsidRDefault="006C4CA5" w:rsidP="00A342D1">
      <w:pPr>
        <w:pStyle w:val="Default"/>
        <w:spacing w:line="360" w:lineRule="auto"/>
        <w:jc w:val="both"/>
      </w:pPr>
    </w:p>
    <w:p w:rsidR="00A342D1" w:rsidRDefault="00E974F4" w:rsidP="006C4CA5">
      <w:pPr>
        <w:pStyle w:val="Default"/>
        <w:spacing w:line="360" w:lineRule="auto"/>
        <w:ind w:firstLine="360"/>
        <w:jc w:val="both"/>
      </w:pPr>
      <w:r>
        <w:t>1</w:t>
      </w:r>
      <w:r w:rsidR="00617B27">
        <w:t>5</w:t>
      </w:r>
      <w:r w:rsidR="006C4CA5">
        <w:t xml:space="preserve">.- </w:t>
      </w:r>
      <w:r w:rsidR="00A342D1">
        <w:t>Especialmente relevante a los efectos antedichos es valorar la suficiencia de las previsiones que se contienen en los artículos 13 y 14, cuya insuficiencia adelantamos.</w:t>
      </w:r>
    </w:p>
    <w:p w:rsidR="00A613D6" w:rsidRDefault="00A613D6" w:rsidP="006C4CA5">
      <w:pPr>
        <w:pStyle w:val="Default"/>
        <w:spacing w:line="360" w:lineRule="auto"/>
        <w:jc w:val="both"/>
      </w:pPr>
    </w:p>
    <w:p w:rsidR="00477C3D" w:rsidRDefault="00E974F4" w:rsidP="00A50392">
      <w:pPr>
        <w:pStyle w:val="Default"/>
        <w:spacing w:line="360" w:lineRule="auto"/>
        <w:ind w:firstLine="360"/>
        <w:jc w:val="both"/>
      </w:pPr>
      <w:r>
        <w:t>1</w:t>
      </w:r>
      <w:r w:rsidR="00617B27">
        <w:t>6</w:t>
      </w:r>
      <w:r w:rsidR="00A613D6">
        <w:t xml:space="preserve">.- </w:t>
      </w:r>
      <w:r w:rsidR="00373553">
        <w:t>Así</w:t>
      </w:r>
      <w:r w:rsidR="00124965">
        <w:t>, en atención a la efectiva satisfacción de los principios indicados,</w:t>
      </w:r>
      <w:r w:rsidR="00A613D6">
        <w:t xml:space="preserve"> </w:t>
      </w:r>
      <w:r w:rsidR="00373553">
        <w:t>valoramos necesitada de mejora</w:t>
      </w:r>
      <w:r w:rsidR="00A613D6">
        <w:t xml:space="preserve"> la previsión del artículo 13, en materia de reclamaciones</w:t>
      </w:r>
      <w:r w:rsidR="002A135A">
        <w:t xml:space="preserve">. </w:t>
      </w:r>
      <w:r w:rsidR="00477C3D">
        <w:t xml:space="preserve">En este apartado se observa que la norma se ha quedado en un punto intermedio, entre la ausencia de previsión alguna que existía en los programas anteriores a 2013, y la previsión de un mecanismo, que aun imperfecto, permitiera establecer alguna vía de reacción ante aplicaciones anómalas del programa por las entidades colaboradora. </w:t>
      </w:r>
    </w:p>
    <w:p w:rsidR="00477C3D" w:rsidRDefault="00477C3D" w:rsidP="00A50392">
      <w:pPr>
        <w:pStyle w:val="Default"/>
        <w:spacing w:line="360" w:lineRule="auto"/>
        <w:ind w:firstLine="360"/>
        <w:jc w:val="both"/>
      </w:pPr>
    </w:p>
    <w:p w:rsidR="00477C3D" w:rsidRDefault="00477C3D" w:rsidP="00A50392">
      <w:pPr>
        <w:pStyle w:val="Default"/>
        <w:spacing w:line="360" w:lineRule="auto"/>
        <w:ind w:firstLine="360"/>
        <w:jc w:val="both"/>
      </w:pPr>
      <w:r>
        <w:t>1</w:t>
      </w:r>
      <w:r w:rsidR="00617B27">
        <w:t>7</w:t>
      </w:r>
      <w:r>
        <w:t xml:space="preserve">.- Consideramos que la previsión del artículo 13 puede y debe ser mejorada para su equiparación a la completa vía de recurso ordinario a lo cual no es obstáculo el ámbito amplio de discrecionalidad técnica de que está revestida la actuación de las SGR. Así, consideramos que se dan los parámetros para facilitar una vía de recurso ordinario contra aquellas decisiones de las SGR que impidan o restrinjan el acceso al aval solicitado, permitiendo en vía administrativa, y posteriormente en vía jurisdiccional, controlar tal ámbito de discrecionalidad, </w:t>
      </w:r>
      <w:r w:rsidR="00082E02">
        <w:t xml:space="preserve">aunque sea desde la exclusión de la irracionalidad patente y la proscripción de la arbitrariedad, </w:t>
      </w:r>
      <w:r>
        <w:t>para evitar posibles supuestos de desviación.</w:t>
      </w:r>
      <w:r w:rsidR="00991F3A" w:rsidRPr="00081C2B">
        <w:t xml:space="preserve"> </w:t>
      </w:r>
    </w:p>
    <w:p w:rsidR="00477C3D" w:rsidRDefault="00477C3D" w:rsidP="00A50392">
      <w:pPr>
        <w:pStyle w:val="Default"/>
        <w:spacing w:line="360" w:lineRule="auto"/>
        <w:ind w:firstLine="360"/>
        <w:jc w:val="both"/>
      </w:pPr>
    </w:p>
    <w:p w:rsidR="004565DC" w:rsidRDefault="00617B27" w:rsidP="00A50392">
      <w:pPr>
        <w:pStyle w:val="Default"/>
        <w:spacing w:line="360" w:lineRule="auto"/>
        <w:ind w:firstLine="360"/>
        <w:jc w:val="both"/>
      </w:pPr>
      <w:r>
        <w:t>18</w:t>
      </w:r>
      <w:r w:rsidR="00477C3D">
        <w:t>.- En consecuencia,</w:t>
      </w:r>
      <w:r w:rsidR="00A50392" w:rsidRPr="00081C2B">
        <w:t xml:space="preserve"> se sugiere </w:t>
      </w:r>
      <w:r w:rsidR="0061331E">
        <w:t>reformular este precepto para proporcionar una mayor garantía y seguridad jurídica a los solicitantes de estas ayudas, conciliando el ámbito de autonomía que rige la actuación de las SGR con las posibilidades de recurso en derecho que permita reaccionar frente actuaciones eventualmente no justificadas de las entidades colaboradoras</w:t>
      </w:r>
      <w:r w:rsidR="00477C3D">
        <w:t>, con una fórmula como la que se sugiere a continuación</w:t>
      </w:r>
      <w:r w:rsidR="0061331E">
        <w:t>.</w:t>
      </w:r>
      <w:r w:rsidR="00477C3D">
        <w:t xml:space="preserve"> </w:t>
      </w:r>
    </w:p>
    <w:p w:rsidR="004565DC" w:rsidRDefault="004565DC" w:rsidP="00A50392">
      <w:pPr>
        <w:pStyle w:val="Default"/>
        <w:spacing w:line="360" w:lineRule="auto"/>
        <w:ind w:firstLine="360"/>
        <w:jc w:val="both"/>
      </w:pPr>
    </w:p>
    <w:p w:rsidR="00A06BC8" w:rsidRPr="00081C2B" w:rsidRDefault="004565DC" w:rsidP="00A50392">
      <w:pPr>
        <w:pStyle w:val="Default"/>
        <w:spacing w:line="360" w:lineRule="auto"/>
        <w:ind w:firstLine="360"/>
        <w:jc w:val="both"/>
      </w:pPr>
      <w:r w:rsidRPr="0061331E">
        <w:rPr>
          <w:i/>
        </w:rPr>
        <w:t>“</w:t>
      </w:r>
      <w:r w:rsidR="0061331E">
        <w:rPr>
          <w:i/>
        </w:rPr>
        <w:t>Sin perjuicio del ámbito de autonomía de gestión que prevé el artículo 10.3</w:t>
      </w:r>
      <w:r w:rsidR="00082E02">
        <w:rPr>
          <w:i/>
        </w:rPr>
        <w:t xml:space="preserve"> y el ámbito de discrecionalidad técnica que le es inherente</w:t>
      </w:r>
      <w:r w:rsidR="0061331E">
        <w:rPr>
          <w:i/>
        </w:rPr>
        <w:t>, c</w:t>
      </w:r>
      <w:r w:rsidRPr="0061331E">
        <w:rPr>
          <w:i/>
        </w:rPr>
        <w:t xml:space="preserve">ontra las denegaciones o la imposición de exigencias </w:t>
      </w:r>
      <w:r w:rsidR="00F31622" w:rsidRPr="0061331E">
        <w:rPr>
          <w:i/>
        </w:rPr>
        <w:t xml:space="preserve">de las entidades colaboradoras </w:t>
      </w:r>
      <w:r w:rsidRPr="0061331E">
        <w:rPr>
          <w:i/>
        </w:rPr>
        <w:t xml:space="preserve">que restrinjan </w:t>
      </w:r>
      <w:r w:rsidR="0061331E">
        <w:rPr>
          <w:i/>
        </w:rPr>
        <w:t xml:space="preserve">o impidan </w:t>
      </w:r>
      <w:r w:rsidRPr="0061331E">
        <w:rPr>
          <w:i/>
        </w:rPr>
        <w:t>el acceso a las ayudas que promueve el presente Decreto, los solicitantes podrán interponer recurso de alzada ante el</w:t>
      </w:r>
      <w:r w:rsidR="002A135A" w:rsidRPr="0061331E">
        <w:rPr>
          <w:i/>
        </w:rPr>
        <w:t xml:space="preserve"> Viceconsejero de Hacienda y Política Financiera </w:t>
      </w:r>
      <w:r w:rsidRPr="0061331E">
        <w:rPr>
          <w:i/>
        </w:rPr>
        <w:t>quien</w:t>
      </w:r>
      <w:r w:rsidR="00F31622" w:rsidRPr="0061331E">
        <w:rPr>
          <w:i/>
        </w:rPr>
        <w:t xml:space="preserve">, </w:t>
      </w:r>
      <w:r w:rsidR="002A135A" w:rsidRPr="0061331E">
        <w:rPr>
          <w:i/>
        </w:rPr>
        <w:t>oída la Sociedad de Garantía Recíproca y/o la Entidad Financiera correspondiente</w:t>
      </w:r>
      <w:r w:rsidR="00F31622" w:rsidRPr="0061331E">
        <w:rPr>
          <w:i/>
        </w:rPr>
        <w:t>,</w:t>
      </w:r>
      <w:r w:rsidRPr="0061331E">
        <w:rPr>
          <w:i/>
        </w:rPr>
        <w:t xml:space="preserve"> dictará la resolución correspondiente finalizadora del procedimiento</w:t>
      </w:r>
      <w:r w:rsidR="009510F3" w:rsidRPr="0061331E">
        <w:rPr>
          <w:i/>
        </w:rPr>
        <w:t>. La Administración vía recurso</w:t>
      </w:r>
      <w:r w:rsidR="009510F3" w:rsidRPr="009510F3">
        <w:rPr>
          <w:i/>
        </w:rPr>
        <w:t xml:space="preserve"> confirmará la decisión de la SGR cuando ésta esté fundada </w:t>
      </w:r>
      <w:r w:rsidR="0061331E">
        <w:rPr>
          <w:i/>
        </w:rPr>
        <w:t xml:space="preserve">estrictamente </w:t>
      </w:r>
      <w:r w:rsidR="009510F3" w:rsidRPr="009510F3">
        <w:rPr>
          <w:i/>
        </w:rPr>
        <w:t>en parámetros técnicos ordinarios de actuación en el mercado</w:t>
      </w:r>
      <w:r w:rsidR="0061331E">
        <w:rPr>
          <w:i/>
        </w:rPr>
        <w:t>.”</w:t>
      </w:r>
    </w:p>
    <w:p w:rsidR="00A50392" w:rsidRPr="00081C2B" w:rsidRDefault="00A50392" w:rsidP="00A50392">
      <w:pPr>
        <w:pStyle w:val="Default"/>
        <w:spacing w:line="360" w:lineRule="auto"/>
        <w:ind w:firstLine="360"/>
        <w:jc w:val="both"/>
      </w:pPr>
    </w:p>
    <w:p w:rsidR="00780324" w:rsidRDefault="009548F8" w:rsidP="00A50392">
      <w:pPr>
        <w:pStyle w:val="Default"/>
        <w:spacing w:line="360" w:lineRule="auto"/>
        <w:ind w:firstLine="360"/>
        <w:jc w:val="both"/>
      </w:pPr>
      <w:r>
        <w:t>1</w:t>
      </w:r>
      <w:r w:rsidR="00617B27">
        <w:t>9</w:t>
      </w:r>
      <w:r>
        <w:t xml:space="preserve">.- </w:t>
      </w:r>
      <w:r w:rsidR="00477C3D">
        <w:t>Por su parte, e</w:t>
      </w:r>
      <w:r w:rsidR="00731E7E">
        <w:t>l</w:t>
      </w:r>
      <w:r w:rsidR="00A50392" w:rsidRPr="00081C2B">
        <w:t xml:space="preserve"> artículo 14 prevé la realización de actuaciones de supervisión, investigación e inspección a cargo del Departamento de Hacienda y Finanzas que pueden determinar, ante la constatación de incumplimientos por los beneficiarios</w:t>
      </w:r>
      <w:r w:rsidR="00175286">
        <w:t>,</w:t>
      </w:r>
      <w:r w:rsidR="00A50392" w:rsidRPr="00081C2B">
        <w:t xml:space="preserve"> la anulación de la financiación concedida</w:t>
      </w:r>
      <w:r w:rsidR="00731E7E">
        <w:t>, que habrá de realizar la</w:t>
      </w:r>
      <w:r w:rsidR="00491F3A" w:rsidRPr="00081C2B">
        <w:t xml:space="preserve"> </w:t>
      </w:r>
      <w:r w:rsidR="0084599F">
        <w:t>SGR</w:t>
      </w:r>
      <w:r w:rsidR="00491F3A" w:rsidRPr="00081C2B">
        <w:t xml:space="preserve"> y la entidad financiera </w:t>
      </w:r>
      <w:r w:rsidR="00731E7E">
        <w:t xml:space="preserve">interviniente, a instancia de la Administración. </w:t>
      </w:r>
    </w:p>
    <w:p w:rsidR="00780324" w:rsidRDefault="00780324" w:rsidP="00A50392">
      <w:pPr>
        <w:pStyle w:val="Default"/>
        <w:spacing w:line="360" w:lineRule="auto"/>
        <w:ind w:firstLine="360"/>
        <w:jc w:val="both"/>
      </w:pPr>
    </w:p>
    <w:p w:rsidR="00C924AA" w:rsidRDefault="00617B27" w:rsidP="00A50392">
      <w:pPr>
        <w:pStyle w:val="Default"/>
        <w:spacing w:line="360" w:lineRule="auto"/>
        <w:ind w:firstLine="360"/>
        <w:jc w:val="both"/>
      </w:pPr>
      <w:r>
        <w:t>20</w:t>
      </w:r>
      <w:r w:rsidR="00780324">
        <w:t xml:space="preserve">.- El artículo 14 tiene dos párrafos. </w:t>
      </w:r>
      <w:r w:rsidR="00C924AA">
        <w:t xml:space="preserve">El primero prevé las acciones de la Administración ante incumplimientos del beneficiario detectados en la acción de supervisión. En este apartado no queda claro cuáles son tales supuestos de incumplimiento. Asimismo, llama la atención que sólo se refieran a incumplimientos del beneficiario, y no se extienda la previsión a los </w:t>
      </w:r>
      <w:r w:rsidR="00F31622">
        <w:t>que pudieran imputarse a las entidades colaboradoras.</w:t>
      </w:r>
      <w:r w:rsidR="00C924AA">
        <w:t xml:space="preserve"> </w:t>
      </w:r>
    </w:p>
    <w:p w:rsidR="00C924AA" w:rsidRDefault="00C924AA" w:rsidP="00A50392">
      <w:pPr>
        <w:pStyle w:val="Default"/>
        <w:spacing w:line="360" w:lineRule="auto"/>
        <w:ind w:firstLine="360"/>
        <w:jc w:val="both"/>
      </w:pPr>
    </w:p>
    <w:p w:rsidR="0084599F" w:rsidRDefault="00C924AA" w:rsidP="00A50392">
      <w:pPr>
        <w:pStyle w:val="Default"/>
        <w:spacing w:line="360" w:lineRule="auto"/>
        <w:ind w:firstLine="360"/>
        <w:jc w:val="both"/>
      </w:pPr>
      <w:r>
        <w:t>2</w:t>
      </w:r>
      <w:r w:rsidR="00617B27">
        <w:t>1</w:t>
      </w:r>
      <w:r>
        <w:t xml:space="preserve">.- Siendo </w:t>
      </w:r>
      <w:r w:rsidR="0084599F">
        <w:t>un programa público de fomento que tiene como destinatarios beneficiarios a determinados grupos de empresarios (destacar igualmente que las entidades financieras no son las beneficiarias del programa de ayudas)</w:t>
      </w:r>
      <w:r>
        <w:t xml:space="preserve">, </w:t>
      </w:r>
      <w:r w:rsidR="0084599F">
        <w:t xml:space="preserve">ante incumplimientos de los beneficiarios detectados </w:t>
      </w:r>
      <w:r w:rsidR="00175286">
        <w:t xml:space="preserve">por el Departamento de Hacienda y Finanzas lo relevante es salvaguardar el presupuesto público ante un uso no ajustado a las previsiones del programa. Así, </w:t>
      </w:r>
      <w:r w:rsidR="00780324">
        <w:t>en casos de incumplimiento que den lugar a la anulación de la financiación,</w:t>
      </w:r>
      <w:r w:rsidR="00175286">
        <w:t xml:space="preserve"> la actuación administrativa ha</w:t>
      </w:r>
      <w:r>
        <w:t>bría</w:t>
      </w:r>
      <w:r w:rsidR="00175286">
        <w:t xml:space="preserve"> de dirigirse a promover la retirada de la </w:t>
      </w:r>
      <w:proofErr w:type="spellStart"/>
      <w:r w:rsidR="00175286">
        <w:t>regarantía</w:t>
      </w:r>
      <w:proofErr w:type="spellEnd"/>
      <w:r w:rsidR="00175286">
        <w:t xml:space="preserve"> que proporciona, mediante la instrucción del procedimiento adecuado. Ello sin perjuicio de las acciones que hayan de adoptar las entidades financieras para promover la anulación del préstamo. Si en este contexto fuera necesaria la renuncia del beneficiario, tal compromiso debería figurar entre las obligaciones que asume en la solicitud.</w:t>
      </w:r>
    </w:p>
    <w:p w:rsidR="00780324" w:rsidRDefault="00780324" w:rsidP="00A50392">
      <w:pPr>
        <w:pStyle w:val="Default"/>
        <w:spacing w:line="360" w:lineRule="auto"/>
        <w:ind w:firstLine="360"/>
        <w:jc w:val="both"/>
      </w:pPr>
    </w:p>
    <w:p w:rsidR="00780324" w:rsidRDefault="00617B27" w:rsidP="00A50392">
      <w:pPr>
        <w:pStyle w:val="Default"/>
        <w:spacing w:line="360" w:lineRule="auto"/>
        <w:ind w:firstLine="360"/>
        <w:jc w:val="both"/>
      </w:pPr>
      <w:r>
        <w:t>22</w:t>
      </w:r>
      <w:r w:rsidR="00780324">
        <w:t xml:space="preserve">.- </w:t>
      </w:r>
      <w:r w:rsidR="00C924AA">
        <w:t>Por otra parte, la previsión d</w:t>
      </w:r>
      <w:r w:rsidR="00780324">
        <w:t xml:space="preserve">el </w:t>
      </w:r>
      <w:proofErr w:type="spellStart"/>
      <w:r w:rsidR="00780324">
        <w:t>pfo</w:t>
      </w:r>
      <w:proofErr w:type="spellEnd"/>
      <w:r w:rsidR="00780324">
        <w:t xml:space="preserve">. 2 obedece </w:t>
      </w:r>
      <w:r w:rsidR="00C924AA">
        <w:t>a la necesidad de actuar ante el supuesto de</w:t>
      </w:r>
      <w:r w:rsidR="00780324">
        <w:t xml:space="preserve"> materialización de la obligación de </w:t>
      </w:r>
      <w:proofErr w:type="spellStart"/>
      <w:r w:rsidR="00780324">
        <w:t>reafianzamiento</w:t>
      </w:r>
      <w:proofErr w:type="spellEnd"/>
      <w:r w:rsidR="00C924AA">
        <w:t>, al objeto de obtener el reintegro por el beneficiario del importe que ha tenido que abonar a la SGR. Aun cuando los ejes de la previsión son correctos, se configuran de forma excesivamente esquemática. Así, se recomienda precisar los términos de la acción de reintegro que la doten de mayor seguridad jur</w:t>
      </w:r>
      <w:r w:rsidR="006B0181">
        <w:t>ídica en aras a la consecución del interés de salvaguardar los intereses de la Hacienda Pública.</w:t>
      </w:r>
    </w:p>
    <w:p w:rsidR="00175286" w:rsidRDefault="00175286" w:rsidP="00A50392">
      <w:pPr>
        <w:pStyle w:val="Default"/>
        <w:spacing w:line="360" w:lineRule="auto"/>
        <w:ind w:firstLine="360"/>
        <w:jc w:val="both"/>
      </w:pPr>
    </w:p>
    <w:p w:rsidR="00175286" w:rsidRDefault="00175286" w:rsidP="00006DAD">
      <w:pPr>
        <w:pStyle w:val="Default"/>
        <w:spacing w:line="360" w:lineRule="auto"/>
        <w:ind w:firstLine="360"/>
        <w:jc w:val="center"/>
        <w:rPr>
          <w:b/>
        </w:rPr>
      </w:pPr>
      <w:r>
        <w:rPr>
          <w:b/>
        </w:rPr>
        <w:t>IV</w:t>
      </w:r>
    </w:p>
    <w:p w:rsidR="00006DAD" w:rsidRPr="00081C2B" w:rsidRDefault="00006DAD" w:rsidP="00006DAD">
      <w:pPr>
        <w:pStyle w:val="Default"/>
        <w:spacing w:line="360" w:lineRule="auto"/>
        <w:ind w:firstLine="360"/>
        <w:jc w:val="center"/>
        <w:rPr>
          <w:b/>
        </w:rPr>
      </w:pPr>
      <w:r w:rsidRPr="00081C2B">
        <w:rPr>
          <w:b/>
        </w:rPr>
        <w:t>OBSERVACIONES DE TÉCNICA JURIDICA</w:t>
      </w:r>
    </w:p>
    <w:p w:rsidR="00006DAD" w:rsidRPr="00081C2B" w:rsidRDefault="00006DAD" w:rsidP="00006DAD">
      <w:pPr>
        <w:pStyle w:val="Default"/>
        <w:spacing w:line="360" w:lineRule="auto"/>
        <w:ind w:firstLine="360"/>
        <w:jc w:val="center"/>
        <w:rPr>
          <w:b/>
        </w:rPr>
      </w:pPr>
    </w:p>
    <w:p w:rsidR="00BB522F" w:rsidRDefault="00006DAD" w:rsidP="00BB522F">
      <w:pPr>
        <w:pStyle w:val="Default"/>
        <w:spacing w:line="360" w:lineRule="auto"/>
        <w:ind w:firstLine="360"/>
        <w:jc w:val="both"/>
      </w:pPr>
      <w:r w:rsidRPr="00081C2B">
        <w:t xml:space="preserve">1.- </w:t>
      </w:r>
      <w:r w:rsidR="005205D9">
        <w:t xml:space="preserve">Como se ha indicado anteriormente, </w:t>
      </w:r>
      <w:r w:rsidR="006B0181">
        <w:t>l</w:t>
      </w:r>
      <w:r w:rsidR="00BA27DA" w:rsidRPr="00081C2B">
        <w:t>a norma proyectada debiera incidir en el régimen de derechos y obligaciones que han de asumir las SGR</w:t>
      </w:r>
      <w:r w:rsidR="00BB522F" w:rsidRPr="00081C2B">
        <w:t xml:space="preserve"> ante el Departamento de Hacienda y Finanzas, sin perjuicio de que tal régimen sea posteriormente ampliado y</w:t>
      </w:r>
      <w:r w:rsidRPr="00081C2B">
        <w:t xml:space="preserve"> </w:t>
      </w:r>
      <w:r w:rsidR="00BB522F" w:rsidRPr="00081C2B">
        <w:t>desarrollado en los convenios de colaboración.</w:t>
      </w:r>
    </w:p>
    <w:p w:rsidR="006B0181" w:rsidRDefault="006B0181" w:rsidP="00BB522F">
      <w:pPr>
        <w:pStyle w:val="Default"/>
        <w:spacing w:line="360" w:lineRule="auto"/>
        <w:ind w:firstLine="360"/>
        <w:jc w:val="both"/>
      </w:pPr>
    </w:p>
    <w:p w:rsidR="006B0181" w:rsidRPr="00081C2B" w:rsidRDefault="006B0181" w:rsidP="00BB522F">
      <w:pPr>
        <w:pStyle w:val="Default"/>
        <w:spacing w:line="360" w:lineRule="auto"/>
        <w:ind w:firstLine="360"/>
        <w:jc w:val="both"/>
      </w:pPr>
      <w:r>
        <w:t>2.- La referencia a “entidades beneficiarias” que se contiene en el artículo 14 debiera sustituirse por la de “personas y empresas ben</w:t>
      </w:r>
      <w:r w:rsidR="008E3737">
        <w:t>e</w:t>
      </w:r>
      <w:r>
        <w:t>ficiarias”.</w:t>
      </w:r>
    </w:p>
    <w:p w:rsidR="00BB522F" w:rsidRPr="00081C2B" w:rsidRDefault="00BB522F" w:rsidP="00BB522F">
      <w:pPr>
        <w:pStyle w:val="Prrafodelista"/>
        <w:rPr>
          <w:sz w:val="24"/>
          <w:szCs w:val="24"/>
        </w:rPr>
      </w:pPr>
    </w:p>
    <w:p w:rsidR="00BB522F" w:rsidRPr="00081C2B" w:rsidRDefault="00BB522F" w:rsidP="00BB522F">
      <w:pPr>
        <w:pStyle w:val="Default"/>
        <w:spacing w:line="360" w:lineRule="auto"/>
        <w:ind w:firstLine="360"/>
        <w:jc w:val="both"/>
      </w:pPr>
      <w:r w:rsidRPr="00081C2B">
        <w:rPr>
          <w:lang w:val="es-ES_tradnl"/>
        </w:rPr>
        <w:t>3-. En el r</w:t>
      </w:r>
      <w:proofErr w:type="spellStart"/>
      <w:r w:rsidRPr="00081C2B">
        <w:t>equisito</w:t>
      </w:r>
      <w:proofErr w:type="spellEnd"/>
      <w:r w:rsidRPr="00081C2B">
        <w:t xml:space="preserve"> del art. 8.1 c) sustituir “Obligaciones con las Diputaciones Forales” por “Obligaciones tributarias”.</w:t>
      </w:r>
    </w:p>
    <w:p w:rsidR="00BB522F" w:rsidRDefault="00BB522F" w:rsidP="00BB522F">
      <w:pPr>
        <w:pStyle w:val="Default"/>
        <w:spacing w:line="360" w:lineRule="auto"/>
        <w:ind w:firstLine="360"/>
        <w:jc w:val="both"/>
      </w:pPr>
    </w:p>
    <w:p w:rsidR="006B0181" w:rsidRDefault="006B0181" w:rsidP="00BB522F">
      <w:pPr>
        <w:pStyle w:val="Default"/>
        <w:spacing w:line="360" w:lineRule="auto"/>
        <w:ind w:firstLine="360"/>
        <w:jc w:val="both"/>
      </w:pPr>
    </w:p>
    <w:p w:rsidR="00373553" w:rsidRDefault="00373553" w:rsidP="00BB522F">
      <w:pPr>
        <w:pStyle w:val="Default"/>
        <w:spacing w:line="360" w:lineRule="auto"/>
        <w:ind w:firstLine="360"/>
        <w:jc w:val="both"/>
      </w:pPr>
    </w:p>
    <w:p w:rsidR="00373553" w:rsidRDefault="00373553" w:rsidP="00BB522F">
      <w:pPr>
        <w:pStyle w:val="Default"/>
        <w:spacing w:line="360" w:lineRule="auto"/>
        <w:ind w:firstLine="360"/>
        <w:jc w:val="both"/>
      </w:pPr>
    </w:p>
    <w:p w:rsidR="00373553" w:rsidRDefault="00373553" w:rsidP="00BB522F">
      <w:pPr>
        <w:pStyle w:val="Default"/>
        <w:spacing w:line="360" w:lineRule="auto"/>
        <w:ind w:firstLine="360"/>
        <w:jc w:val="both"/>
      </w:pPr>
    </w:p>
    <w:p w:rsidR="00373553" w:rsidRDefault="00373553" w:rsidP="00BB522F">
      <w:pPr>
        <w:pStyle w:val="Default"/>
        <w:spacing w:line="360" w:lineRule="auto"/>
        <w:ind w:firstLine="360"/>
        <w:jc w:val="both"/>
      </w:pPr>
    </w:p>
    <w:p w:rsidR="00373553" w:rsidRPr="00081C2B" w:rsidRDefault="00373553" w:rsidP="00BB522F">
      <w:pPr>
        <w:pStyle w:val="Default"/>
        <w:spacing w:line="360" w:lineRule="auto"/>
        <w:ind w:firstLine="360"/>
        <w:jc w:val="both"/>
      </w:pPr>
    </w:p>
    <w:p w:rsidR="003D5133" w:rsidRPr="00081C2B" w:rsidRDefault="003D5133" w:rsidP="003D5133">
      <w:pPr>
        <w:spacing w:line="360" w:lineRule="auto"/>
        <w:jc w:val="center"/>
        <w:rPr>
          <w:rFonts w:ascii="Arial" w:hAnsi="Arial" w:cs="Arial"/>
          <w:b/>
          <w:sz w:val="24"/>
          <w:szCs w:val="24"/>
        </w:rPr>
      </w:pPr>
      <w:r w:rsidRPr="00081C2B">
        <w:rPr>
          <w:rFonts w:ascii="Arial" w:hAnsi="Arial" w:cs="Arial"/>
          <w:b/>
          <w:sz w:val="24"/>
          <w:szCs w:val="24"/>
        </w:rPr>
        <w:t>CONCLUSIÓN</w:t>
      </w:r>
    </w:p>
    <w:p w:rsidR="00BC640B" w:rsidRPr="00081C2B" w:rsidRDefault="00BC640B" w:rsidP="003D5133">
      <w:pPr>
        <w:spacing w:line="360" w:lineRule="auto"/>
        <w:jc w:val="center"/>
        <w:rPr>
          <w:rFonts w:ascii="Arial" w:hAnsi="Arial" w:cs="Arial"/>
          <w:b/>
          <w:sz w:val="24"/>
          <w:szCs w:val="24"/>
        </w:rPr>
      </w:pPr>
    </w:p>
    <w:p w:rsidR="00635A41" w:rsidRPr="00081C2B" w:rsidRDefault="00081C2B" w:rsidP="00635A41">
      <w:pPr>
        <w:pStyle w:val="Textoindependiente2"/>
        <w:widowControl w:val="0"/>
        <w:spacing w:before="120" w:line="360" w:lineRule="auto"/>
        <w:ind w:right="56"/>
        <w:jc w:val="both"/>
        <w:rPr>
          <w:rFonts w:ascii="Arial" w:hAnsi="Arial" w:cs="Arial"/>
          <w:sz w:val="24"/>
          <w:szCs w:val="24"/>
        </w:rPr>
      </w:pPr>
      <w:r>
        <w:rPr>
          <w:rFonts w:ascii="Arial" w:hAnsi="Arial" w:cs="Arial"/>
          <w:sz w:val="24"/>
          <w:szCs w:val="24"/>
        </w:rPr>
        <w:t>Con</w:t>
      </w:r>
      <w:r w:rsidR="006B0181">
        <w:rPr>
          <w:rFonts w:ascii="Arial" w:hAnsi="Arial" w:cs="Arial"/>
          <w:sz w:val="24"/>
          <w:szCs w:val="24"/>
        </w:rPr>
        <w:t xml:space="preserve"> las observaciones indicadas, se</w:t>
      </w:r>
      <w:r w:rsidR="00A962BA" w:rsidRPr="00081C2B">
        <w:rPr>
          <w:rFonts w:ascii="Arial" w:hAnsi="Arial" w:cs="Arial"/>
          <w:sz w:val="24"/>
          <w:szCs w:val="24"/>
        </w:rPr>
        <w:t xml:space="preserve"> emite informe favorable</w:t>
      </w:r>
      <w:r w:rsidR="00635A41" w:rsidRPr="00081C2B">
        <w:rPr>
          <w:rFonts w:ascii="Arial" w:hAnsi="Arial" w:cs="Arial"/>
          <w:sz w:val="24"/>
          <w:szCs w:val="24"/>
        </w:rPr>
        <w:t>.</w:t>
      </w:r>
    </w:p>
    <w:p w:rsidR="00635A41" w:rsidRPr="00081C2B" w:rsidRDefault="00635A41" w:rsidP="00635A41">
      <w:pPr>
        <w:pStyle w:val="Textoindependiente2"/>
        <w:widowControl w:val="0"/>
        <w:spacing w:before="120" w:line="360" w:lineRule="auto"/>
        <w:ind w:right="56"/>
        <w:jc w:val="both"/>
        <w:rPr>
          <w:rFonts w:ascii="Arial" w:hAnsi="Arial" w:cs="Arial"/>
          <w:sz w:val="24"/>
          <w:szCs w:val="24"/>
        </w:rPr>
      </w:pPr>
    </w:p>
    <w:p w:rsidR="003D5133" w:rsidRPr="00081C2B" w:rsidRDefault="003D5133" w:rsidP="003D5133">
      <w:pPr>
        <w:spacing w:line="360" w:lineRule="auto"/>
        <w:ind w:firstLine="708"/>
        <w:jc w:val="both"/>
        <w:rPr>
          <w:rFonts w:ascii="Arial" w:hAnsi="Arial" w:cs="Arial"/>
          <w:sz w:val="24"/>
          <w:szCs w:val="24"/>
        </w:rPr>
      </w:pPr>
      <w:r w:rsidRPr="00081C2B">
        <w:rPr>
          <w:rFonts w:ascii="Arial" w:hAnsi="Arial" w:cs="Arial"/>
          <w:sz w:val="24"/>
          <w:szCs w:val="24"/>
        </w:rPr>
        <w:t xml:space="preserve">En Vitoria-Gasteiz, a </w:t>
      </w:r>
      <w:r w:rsidR="006B0181">
        <w:rPr>
          <w:rFonts w:ascii="Arial" w:hAnsi="Arial" w:cs="Arial"/>
          <w:sz w:val="24"/>
          <w:szCs w:val="24"/>
        </w:rPr>
        <w:t>16 de enero de 2014</w:t>
      </w:r>
    </w:p>
    <w:p w:rsidR="003D5133" w:rsidRPr="00081C2B" w:rsidRDefault="003D5133" w:rsidP="003D5133">
      <w:pPr>
        <w:spacing w:line="360" w:lineRule="auto"/>
        <w:ind w:firstLine="708"/>
        <w:jc w:val="center"/>
        <w:rPr>
          <w:rFonts w:ascii="Arial" w:hAnsi="Arial" w:cs="Arial"/>
          <w:sz w:val="24"/>
          <w:szCs w:val="24"/>
        </w:rPr>
      </w:pPr>
    </w:p>
    <w:p w:rsidR="003D5133" w:rsidRPr="00081C2B" w:rsidRDefault="003D5133" w:rsidP="003D5133">
      <w:pPr>
        <w:spacing w:line="360" w:lineRule="auto"/>
        <w:ind w:firstLine="708"/>
        <w:jc w:val="center"/>
        <w:rPr>
          <w:rFonts w:ascii="Arial" w:hAnsi="Arial" w:cs="Arial"/>
          <w:sz w:val="24"/>
          <w:szCs w:val="24"/>
        </w:rPr>
      </w:pPr>
    </w:p>
    <w:p w:rsidR="003D5133" w:rsidRPr="00081C2B" w:rsidRDefault="003D5133" w:rsidP="003D5133">
      <w:pPr>
        <w:spacing w:line="360" w:lineRule="auto"/>
        <w:ind w:firstLine="708"/>
        <w:jc w:val="center"/>
        <w:rPr>
          <w:rFonts w:ascii="Arial" w:hAnsi="Arial" w:cs="Arial"/>
          <w:sz w:val="24"/>
          <w:szCs w:val="24"/>
        </w:rPr>
      </w:pPr>
      <w:r w:rsidRPr="00081C2B">
        <w:rPr>
          <w:rFonts w:ascii="Arial" w:hAnsi="Arial" w:cs="Arial"/>
          <w:sz w:val="24"/>
          <w:szCs w:val="24"/>
        </w:rPr>
        <w:t>EL LETRADO</w:t>
      </w:r>
    </w:p>
    <w:p w:rsidR="003645F5" w:rsidRPr="00081C2B" w:rsidRDefault="003D5133" w:rsidP="00E71A51">
      <w:pPr>
        <w:spacing w:line="360" w:lineRule="auto"/>
        <w:ind w:firstLine="708"/>
        <w:jc w:val="center"/>
        <w:rPr>
          <w:rFonts w:ascii="Arial" w:hAnsi="Arial" w:cs="Arial"/>
          <w:sz w:val="24"/>
          <w:szCs w:val="24"/>
        </w:rPr>
      </w:pPr>
      <w:r w:rsidRPr="00081C2B">
        <w:rPr>
          <w:rFonts w:ascii="Arial" w:hAnsi="Arial" w:cs="Arial"/>
          <w:sz w:val="24"/>
          <w:szCs w:val="24"/>
        </w:rPr>
        <w:t>Txema González de Castro</w:t>
      </w:r>
    </w:p>
    <w:p w:rsidR="00A962BA" w:rsidRPr="00081C2B" w:rsidRDefault="00A962BA">
      <w:pPr>
        <w:spacing w:line="360" w:lineRule="auto"/>
        <w:ind w:firstLine="708"/>
        <w:jc w:val="center"/>
        <w:rPr>
          <w:rFonts w:ascii="Arial" w:hAnsi="Arial" w:cs="Arial"/>
          <w:sz w:val="24"/>
          <w:szCs w:val="24"/>
        </w:rPr>
      </w:pPr>
    </w:p>
    <w:sectPr w:rsidR="00A962BA" w:rsidRPr="00081C2B" w:rsidSect="00130F1E">
      <w:headerReference w:type="even" r:id="rId9"/>
      <w:headerReference w:type="default" r:id="rId10"/>
      <w:footerReference w:type="even" r:id="rId11"/>
      <w:footerReference w:type="default" r:id="rId12"/>
      <w:headerReference w:type="first" r:id="rId13"/>
      <w:pgSz w:w="11906" w:h="16838" w:code="9"/>
      <w:pgMar w:top="1191" w:right="1247" w:bottom="964" w:left="1247" w:header="794"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12" w:rsidRDefault="00CA6412">
      <w:r>
        <w:separator/>
      </w:r>
    </w:p>
  </w:endnote>
  <w:endnote w:type="continuationSeparator" w:id="0">
    <w:p w:rsidR="00CA6412" w:rsidRDefault="00CA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iz Quadrata St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31" w:rsidRDefault="000F2931" w:rsidP="003206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931" w:rsidRDefault="000F2931" w:rsidP="00130F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31" w:rsidRPr="00210555" w:rsidRDefault="000F2931" w:rsidP="00210555">
    <w:pPr>
      <w:pStyle w:val="Piedepgina"/>
      <w:framePr w:w="659" w:wrap="around" w:vAnchor="text" w:hAnchor="page" w:x="9708" w:y="120"/>
      <w:ind w:left="-180"/>
      <w:jc w:val="right"/>
      <w:rPr>
        <w:rStyle w:val="Nmerodepgina"/>
        <w:sz w:val="24"/>
        <w:szCs w:val="24"/>
      </w:rPr>
    </w:pPr>
    <w:r w:rsidRPr="00210555">
      <w:rPr>
        <w:rStyle w:val="Nmerodepgina"/>
        <w:sz w:val="24"/>
        <w:szCs w:val="24"/>
      </w:rPr>
      <w:fldChar w:fldCharType="begin"/>
    </w:r>
    <w:r w:rsidRPr="00210555">
      <w:rPr>
        <w:rStyle w:val="Nmerodepgina"/>
        <w:sz w:val="24"/>
        <w:szCs w:val="24"/>
      </w:rPr>
      <w:instrText xml:space="preserve">PAGE  </w:instrText>
    </w:r>
    <w:r w:rsidRPr="00210555">
      <w:rPr>
        <w:rStyle w:val="Nmerodepgina"/>
        <w:sz w:val="24"/>
        <w:szCs w:val="24"/>
      </w:rPr>
      <w:fldChar w:fldCharType="separate"/>
    </w:r>
    <w:r w:rsidR="008E5BBD">
      <w:rPr>
        <w:rStyle w:val="Nmerodepgina"/>
        <w:noProof/>
        <w:sz w:val="24"/>
        <w:szCs w:val="24"/>
      </w:rPr>
      <w:t>2</w:t>
    </w:r>
    <w:r w:rsidRPr="00210555">
      <w:rPr>
        <w:rStyle w:val="Nmerodepgina"/>
        <w:sz w:val="24"/>
        <w:szCs w:val="24"/>
      </w:rPr>
      <w:fldChar w:fldCharType="end"/>
    </w:r>
  </w:p>
  <w:p w:rsidR="000F2931" w:rsidRDefault="000F2931" w:rsidP="00210555">
    <w:pPr>
      <w:pStyle w:val="Piedepgina"/>
      <w:tabs>
        <w:tab w:val="clear" w:pos="8504"/>
      </w:tabs>
      <w:ind w:right="360"/>
      <w:jc w:val="right"/>
    </w:pPr>
  </w:p>
  <w:p w:rsidR="000F2931" w:rsidRDefault="000F2931" w:rsidP="00210555">
    <w:pPr>
      <w:pStyle w:val="Piedepgina"/>
      <w:tabs>
        <w:tab w:val="clear" w:pos="8504"/>
      </w:tabs>
      <w:ind w:right="360"/>
      <w:jc w:val="right"/>
    </w:pPr>
  </w:p>
  <w:p w:rsidR="000F2931" w:rsidRDefault="000F2931" w:rsidP="00210555">
    <w:pPr>
      <w:pStyle w:val="Piedepgina"/>
      <w:tabs>
        <w:tab w:val="clear" w:pos="8504"/>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12" w:rsidRDefault="00CA6412">
      <w:r>
        <w:separator/>
      </w:r>
    </w:p>
  </w:footnote>
  <w:footnote w:type="continuationSeparator" w:id="0">
    <w:p w:rsidR="00CA6412" w:rsidRDefault="00CA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31" w:rsidRDefault="000F2931" w:rsidP="003206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2931" w:rsidRDefault="000F2931" w:rsidP="00130F1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31" w:rsidRDefault="000F2931" w:rsidP="00130F1E">
    <w:pPr>
      <w:pStyle w:val="Encabezado"/>
      <w:ind w:right="360"/>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pt;height:23.85pt" o:ole="" fillcolor="window">
          <v:imagedata r:id="rId1" o:title=""/>
        </v:shape>
        <o:OLEObject Type="Embed" ProgID="MSPhotoEd.3" ShapeID="_x0000_i1025" DrawAspect="Content" ObjectID="_1463294303" r:id="rId2"/>
      </w:object>
    </w:r>
  </w:p>
  <w:p w:rsidR="000F2931" w:rsidRDefault="000F2931" w:rsidP="00130F1E">
    <w:pPr>
      <w:pStyle w:val="Encabezado"/>
    </w:pPr>
  </w:p>
  <w:p w:rsidR="000F2931" w:rsidRPr="00130F1E" w:rsidRDefault="000F2931" w:rsidP="00130F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931" w:rsidRDefault="00ED646C" w:rsidP="00130F1E">
    <w:pPr>
      <w:pStyle w:val="Encabezado"/>
      <w:tabs>
        <w:tab w:val="right" w:pos="9923"/>
      </w:tabs>
      <w:ind w:right="-142"/>
      <w:jc w:val="center"/>
      <w:rPr>
        <w:sz w:val="16"/>
      </w:rPr>
    </w:pPr>
    <w:r>
      <w:rPr>
        <w:noProof/>
        <w:sz w:val="16"/>
        <w:lang w:val="es-ES" w:eastAsia="es-ES"/>
      </w:rPr>
      <mc:AlternateContent>
        <mc:Choice Requires="wps">
          <w:drawing>
            <wp:anchor distT="0" distB="0" distL="114300" distR="114300" simplePos="0" relativeHeight="251657216" behindDoc="0" locked="0" layoutInCell="1" allowOverlap="1">
              <wp:simplePos x="0" y="0"/>
              <wp:positionH relativeFrom="page">
                <wp:posOffset>2049145</wp:posOffset>
              </wp:positionH>
              <wp:positionV relativeFrom="page">
                <wp:posOffset>870585</wp:posOffset>
              </wp:positionV>
              <wp:extent cx="1814195" cy="745490"/>
              <wp:effectExtent l="1270" t="3810" r="381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931" w:rsidRPr="00D12B7E" w:rsidRDefault="000F2931" w:rsidP="00130F1E">
                          <w:pPr>
                            <w:pStyle w:val="Ttulo2"/>
                            <w:rPr>
                              <w:sz w:val="12"/>
                              <w:szCs w:val="12"/>
                            </w:rPr>
                          </w:pPr>
                          <w:r w:rsidRPr="00D12B7E">
                            <w:rPr>
                              <w:sz w:val="12"/>
                              <w:szCs w:val="12"/>
                            </w:rPr>
                            <w:t>HERRI</w:t>
                          </w:r>
                          <w:r w:rsidR="00806BD2" w:rsidRPr="00D12B7E">
                            <w:rPr>
                              <w:sz w:val="12"/>
                              <w:szCs w:val="12"/>
                            </w:rPr>
                            <w:t xml:space="preserve"> ADMINISTRAZIO ETA</w:t>
                          </w:r>
                        </w:p>
                        <w:p w:rsidR="00D12B7E" w:rsidRPr="00D12B7E" w:rsidRDefault="00806BD2" w:rsidP="00D12B7E">
                          <w:pPr>
                            <w:pStyle w:val="Ttulo2"/>
                            <w:spacing w:after="35"/>
                            <w:rPr>
                              <w:sz w:val="12"/>
                              <w:szCs w:val="12"/>
                            </w:rPr>
                          </w:pPr>
                          <w:r w:rsidRPr="00D12B7E">
                            <w:rPr>
                              <w:sz w:val="12"/>
                              <w:szCs w:val="12"/>
                            </w:rPr>
                            <w:t xml:space="preserve">JUSTIZIA </w:t>
                          </w:r>
                          <w:r w:rsidR="000F2931" w:rsidRPr="00D12B7E">
                            <w:rPr>
                              <w:sz w:val="12"/>
                              <w:szCs w:val="12"/>
                            </w:rPr>
                            <w:t>SAILA</w:t>
                          </w:r>
                        </w:p>
                        <w:p w:rsidR="000F2931" w:rsidRDefault="000F2931" w:rsidP="00130F1E">
                          <w:pPr>
                            <w:spacing w:before="35"/>
                            <w:rPr>
                              <w:sz w:val="14"/>
                            </w:rPr>
                          </w:pPr>
                          <w:r>
                            <w:rPr>
                              <w:sz w:val="14"/>
                            </w:rPr>
                            <w:t>Araubide Juridikoaren Sailburuordetza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1.35pt;margin-top:68.55pt;width:142.8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OJ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kxCEqYxRhXY5iQmqaPOp9nx9qC0ec9kj+wi&#10;xwqYd+h0d6+NzYZmRxcbTMiSd51jvxPPDsBxOoHYcNXabBaOzJ9pkK6SVUI8Es1WHgmKwrstl8Sb&#10;leE8Lt4Vy2UR/rJxQ5K1vK6ZsGGOwgrJnxF3kPgkiZO0tOx4beFsSlpt1stOoR0FYZfucz0Hy9nN&#10;f56GawLU8qKkMCLBXZR65SyZe6QksZfOg8QLwvQunQUkJUX5vKR7Lti/l4TGHKdxFE9iOif9orbA&#10;fa9ro1nPDYyOjvc5Tk5ONLMSXInaUWso76b1RSts+udWAN1Hop1grUYntZr9eg8oVsVrWT+BdJUE&#10;ZYE+Yd7BopXqB0YjzI4c6+9bqhhG3QcB8k9DQuywcRsSzyPYqEvL+tJCRQVQOTYYTculmQbUdlB8&#10;00Kk6cEJeQtPpuFOzeesDg8N5oMr6jDL7AC63Duv88Rd/AYAAP//AwBQSwMEFAAGAAgAAAAhAAVs&#10;bA3fAAAACwEAAA8AAABkcnMvZG93bnJldi54bWxMj8FOwzAQRO9I/IO1SNyo3TRpS4hTIRBXUAtU&#10;6s2Nt0lEvI5itwl/z3KC42qeZt4Wm8l14oJDaD1pmM8UCKTK25ZqDR/vL3drECEasqbzhBq+McCm&#10;vL4qTG79SFu87GItuIRCbjQ0Mfa5lKFq0Jkw8z0SZyc/OBP5HGppBzNyuetkotRSOtMSLzSmx6cG&#10;q6/d2Wn4fD0d9ql6q59d1o9+UpLcvdT69mZ6fAARcYp/MPzqszqU7HT0Z7JBdBoWSbJilIPFag6C&#10;iaVapyCOGpIszUCWhfz/Q/kDAAD//wMAUEsBAi0AFAAGAAgAAAAhALaDOJL+AAAA4QEAABMAAAAA&#10;AAAAAAAAAAAAAAAAAFtDb250ZW50X1R5cGVzXS54bWxQSwECLQAUAAYACAAAACEAOP0h/9YAAACU&#10;AQAACwAAAAAAAAAAAAAAAAAvAQAAX3JlbHMvLnJlbHNQSwECLQAUAAYACAAAACEAx2aDibUCAAC5&#10;BQAADgAAAAAAAAAAAAAAAAAuAgAAZHJzL2Uyb0RvYy54bWxQSwECLQAUAAYACAAAACEABWxsDd8A&#10;AAALAQAADwAAAAAAAAAAAAAAAAAPBQAAZHJzL2Rvd25yZXYueG1sUEsFBgAAAAAEAAQA8wAAABsG&#10;AAAAAA==&#10;" filled="f" stroked="f">
              <v:textbox>
                <w:txbxContent>
                  <w:p w:rsidR="000F2931" w:rsidRPr="00D12B7E" w:rsidRDefault="000F2931" w:rsidP="00130F1E">
                    <w:pPr>
                      <w:pStyle w:val="Ttulo2"/>
                      <w:rPr>
                        <w:sz w:val="12"/>
                        <w:szCs w:val="12"/>
                      </w:rPr>
                    </w:pPr>
                    <w:r w:rsidRPr="00D12B7E">
                      <w:rPr>
                        <w:sz w:val="12"/>
                        <w:szCs w:val="12"/>
                      </w:rPr>
                      <w:t>HERRI</w:t>
                    </w:r>
                    <w:r w:rsidR="00806BD2" w:rsidRPr="00D12B7E">
                      <w:rPr>
                        <w:sz w:val="12"/>
                        <w:szCs w:val="12"/>
                      </w:rPr>
                      <w:t xml:space="preserve"> ADMINISTRAZIO ETA</w:t>
                    </w:r>
                  </w:p>
                  <w:p w:rsidR="00D12B7E" w:rsidRPr="00D12B7E" w:rsidRDefault="00806BD2" w:rsidP="00D12B7E">
                    <w:pPr>
                      <w:pStyle w:val="Ttulo2"/>
                      <w:spacing w:after="35"/>
                      <w:rPr>
                        <w:sz w:val="12"/>
                        <w:szCs w:val="12"/>
                      </w:rPr>
                    </w:pPr>
                    <w:r w:rsidRPr="00D12B7E">
                      <w:rPr>
                        <w:sz w:val="12"/>
                        <w:szCs w:val="12"/>
                      </w:rPr>
                      <w:t xml:space="preserve">JUSTIZIA </w:t>
                    </w:r>
                    <w:r w:rsidR="000F2931" w:rsidRPr="00D12B7E">
                      <w:rPr>
                        <w:sz w:val="12"/>
                        <w:szCs w:val="12"/>
                      </w:rPr>
                      <w:t>SAILA</w:t>
                    </w:r>
                  </w:p>
                  <w:p w:rsidR="000F2931" w:rsidRDefault="000F2931" w:rsidP="00130F1E">
                    <w:pPr>
                      <w:spacing w:before="35"/>
                      <w:rPr>
                        <w:sz w:val="14"/>
                      </w:rPr>
                    </w:pPr>
                    <w:proofErr w:type="spellStart"/>
                    <w:r>
                      <w:rPr>
                        <w:sz w:val="14"/>
                      </w:rPr>
                      <w:t>Araubide</w:t>
                    </w:r>
                    <w:proofErr w:type="spellEnd"/>
                    <w:r>
                      <w:rPr>
                        <w:sz w:val="14"/>
                      </w:rPr>
                      <w:t xml:space="preserve"> </w:t>
                    </w:r>
                    <w:proofErr w:type="spellStart"/>
                    <w:r>
                      <w:rPr>
                        <w:sz w:val="14"/>
                      </w:rPr>
                      <w:t>Juridikoaren</w:t>
                    </w:r>
                    <w:proofErr w:type="spellEnd"/>
                    <w:r>
                      <w:rPr>
                        <w:sz w:val="14"/>
                      </w:rPr>
                      <w:t xml:space="preserve"> </w:t>
                    </w:r>
                    <w:proofErr w:type="spellStart"/>
                    <w:r>
                      <w:rPr>
                        <w:sz w:val="14"/>
                      </w:rPr>
                      <w:t>Sailburuordetza</w:t>
                    </w:r>
                    <w:proofErr w:type="spellEnd"/>
                  </w:p>
                </w:txbxContent>
              </v:textbox>
              <w10:wrap type="square" anchorx="page" anchory="page"/>
            </v:shape>
          </w:pict>
        </mc:Fallback>
      </mc:AlternateContent>
    </w: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65405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BD2" w:rsidRPr="00D12B7E" w:rsidRDefault="00806BD2" w:rsidP="00806BD2">
                          <w:pPr>
                            <w:pStyle w:val="Ttulo2"/>
                            <w:spacing w:after="35"/>
                            <w:rPr>
                              <w:sz w:val="12"/>
                              <w:szCs w:val="12"/>
                            </w:rPr>
                          </w:pPr>
                          <w:r w:rsidRPr="00D12B7E">
                            <w:rPr>
                              <w:sz w:val="12"/>
                              <w:szCs w:val="12"/>
                            </w:rPr>
                            <w:t xml:space="preserve">DEPARTAMENTO DE ADMINISTRACION PUBLICA Y JUSTICIA </w:t>
                          </w:r>
                        </w:p>
                        <w:p w:rsidR="000F2931" w:rsidRDefault="000F2931" w:rsidP="00130F1E">
                          <w:pPr>
                            <w:spacing w:before="35"/>
                            <w:rPr>
                              <w:sz w:val="14"/>
                            </w:rPr>
                          </w:pPr>
                          <w:r>
                            <w:rPr>
                              <w:sz w:val="14"/>
                            </w:rPr>
                            <w:t>Viceconsejería de Régimen Jurídico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21.75pt;margin-top:67.2pt;width:146.25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uAIAAMA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gF&#10;vcNI0A5a9MhGg+7kiIitztDrFJweenAzIxxbT8tU9/ey/KaRkKuGii27VUoODaMVZBfam/7F1QlH&#10;W5DN8FFWEIbujHRAY606CwjFQIAOXXo6dcamUtqQcbR4t4gwKsE2j0gQudb5ND3e7pU275nskF1k&#10;WEHnHTrd32tjs6Hp0cUGE7Lgbeu634pnB+A4nUBsuGptNgvXzJ9JkKzjdUw8MpuvPRLkuXdbrIg3&#10;L8JFlL/LV6s8/GXjhiRteFUxYcMchRWSP2vcQeKTJE7S0rLllYWzKWm13axahfYUhF24z9UcLGc3&#10;/3kargjA5QWlcEaCu1niFfN44ZGCRF6yCGIvCJO7ZB6QhOTFc0r3XLB/p4SGDCfRLJrEdE76BbfA&#10;fa+50bTjBkZHy7sMxycnmloJrkXlWmsob6f1RSls+udSQLuPjXaCtRqd1GrGzXh4GQBmxbyR1RMo&#10;WEkQGMgUxh4sGql+YDTACMmw/r6jimHUfhDwCpKQEDtz3IZEixls1KVlc2mhogSoDBuMpuXKTHNq&#10;1yu+bSDS9O6EvIWXU3Mn6nNWh/cGY8JxO4w0O4cu987rPHiXvwEAAP//AwBQSwMEFAAGAAgAAAAh&#10;AGky98bfAAAACwEAAA8AAABkcnMvZG93bnJldi54bWxMj8tOwzAQRfdI/IM1SOyoTeMGGuJUCMQW&#10;1PKQ2LnxNImIx1HsNuHvGVawHN2jO+eWm9n34oRj7AIZuF4oEEh1cB01Bt5en65uQcRkydk+EBr4&#10;xgib6vystIULE23xtEuN4BKKhTXQpjQUUsa6RW/jIgxInB3C6G3ic2ykG+3E5b6XS6Vy6W1H/KG1&#10;Az60WH/tjt7A+/Ph80Orl+bRr4YpzEqSX0tjLi/m+zsQCef0B8OvPqtDxU77cCQXRW8g19mKUQ4y&#10;rUEwsc5yXrc3sMxuNMiqlP83VD8AAAD//wMAUEsBAi0AFAAGAAgAAAAhALaDOJL+AAAA4QEAABMA&#10;AAAAAAAAAAAAAAAAAAAAAFtDb250ZW50X1R5cGVzXS54bWxQSwECLQAUAAYACAAAACEAOP0h/9YA&#10;AACUAQAACwAAAAAAAAAAAAAAAAAvAQAAX3JlbHMvLnJlbHNQSwECLQAUAAYACAAAACEARv1Mf7gC&#10;AADABQAADgAAAAAAAAAAAAAAAAAuAgAAZHJzL2Uyb0RvYy54bWxQSwECLQAUAAYACAAAACEAaTL3&#10;xt8AAAALAQAADwAAAAAAAAAAAAAAAAASBQAAZHJzL2Rvd25yZXYueG1sUEsFBgAAAAAEAAQA8wAA&#10;AB4GAAAAAA==&#10;" o:allowincell="f" filled="f" stroked="f">
              <v:textbox>
                <w:txbxContent>
                  <w:p w:rsidR="00806BD2" w:rsidRPr="00D12B7E" w:rsidRDefault="00806BD2" w:rsidP="00806BD2">
                    <w:pPr>
                      <w:pStyle w:val="Ttulo2"/>
                      <w:spacing w:after="35"/>
                      <w:rPr>
                        <w:sz w:val="12"/>
                        <w:szCs w:val="12"/>
                      </w:rPr>
                    </w:pPr>
                    <w:r w:rsidRPr="00D12B7E">
                      <w:rPr>
                        <w:sz w:val="12"/>
                        <w:szCs w:val="12"/>
                      </w:rPr>
                      <w:t xml:space="preserve">DEPARTAMENTO DE ADMINISTRACION PUBLICA Y JUSTICIA </w:t>
                    </w:r>
                  </w:p>
                  <w:p w:rsidR="000F2931" w:rsidRDefault="000F2931" w:rsidP="00130F1E">
                    <w:pPr>
                      <w:spacing w:before="35"/>
                      <w:rPr>
                        <w:sz w:val="14"/>
                      </w:rPr>
                    </w:pPr>
                    <w:proofErr w:type="spellStart"/>
                    <w:r>
                      <w:rPr>
                        <w:sz w:val="14"/>
                      </w:rPr>
                      <w:t>Viceconsejería</w:t>
                    </w:r>
                    <w:proofErr w:type="spellEnd"/>
                    <w:r>
                      <w:rPr>
                        <w:sz w:val="14"/>
                      </w:rPr>
                      <w:t xml:space="preserve"> de Régimen Jurídico</w:t>
                    </w:r>
                  </w:p>
                </w:txbxContent>
              </v:textbox>
              <w10:wrap type="square" anchorx="page" anchory="page"/>
            </v:shape>
          </w:pict>
        </mc:Fallback>
      </mc:AlternateContent>
    </w:r>
    <w:r w:rsidR="000F2931">
      <w:rPr>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45pt;height:37.25pt" o:ole="" fillcolor="window">
          <v:imagedata r:id="rId1" o:title=""/>
        </v:shape>
        <o:OLEObject Type="Embed" ProgID="MSPhotoEd.3" ShapeID="_x0000_i1026" DrawAspect="Content" ObjectID="_1463294304" r:id="rId2"/>
      </w:object>
    </w:r>
  </w:p>
  <w:p w:rsidR="000F2931" w:rsidRDefault="000F2931" w:rsidP="00130F1E">
    <w:pPr>
      <w:pStyle w:val="Encabezado"/>
      <w:tabs>
        <w:tab w:val="right" w:pos="9923"/>
      </w:tabs>
      <w:ind w:right="-142"/>
      <w:jc w:val="center"/>
      <w:rPr>
        <w:sz w:val="16"/>
      </w:rPr>
    </w:pPr>
  </w:p>
  <w:p w:rsidR="000F2931" w:rsidRDefault="000F2931" w:rsidP="00130F1E">
    <w:pPr>
      <w:pStyle w:val="Encabezado"/>
      <w:tabs>
        <w:tab w:val="right" w:pos="9923"/>
      </w:tabs>
      <w:ind w:right="-142"/>
      <w:jc w:val="center"/>
      <w:rPr>
        <w:sz w:val="16"/>
      </w:rPr>
    </w:pPr>
  </w:p>
  <w:p w:rsidR="000F2931" w:rsidRDefault="000F2931" w:rsidP="00130F1E">
    <w:pPr>
      <w:pStyle w:val="Encabezado"/>
      <w:tabs>
        <w:tab w:val="right" w:pos="9923"/>
      </w:tabs>
      <w:ind w:right="-142"/>
      <w:jc w:val="center"/>
      <w:rPr>
        <w:sz w:val="16"/>
      </w:rPr>
    </w:pPr>
  </w:p>
  <w:p w:rsidR="000F2931" w:rsidRDefault="000F2931" w:rsidP="00130F1E">
    <w:pPr>
      <w:pStyle w:val="Encabezado"/>
      <w:tabs>
        <w:tab w:val="right" w:pos="9923"/>
      </w:tabs>
      <w:ind w:right="-142"/>
      <w:jc w:val="center"/>
      <w:rPr>
        <w:sz w:val="16"/>
      </w:rPr>
    </w:pPr>
  </w:p>
  <w:p w:rsidR="000F2931" w:rsidRDefault="000F2931" w:rsidP="00130F1E">
    <w:pPr>
      <w:pStyle w:val="Encabezado"/>
      <w:tabs>
        <w:tab w:val="right" w:pos="9923"/>
      </w:tabs>
      <w:ind w:right="-142"/>
      <w:jc w:val="center"/>
      <w:rPr>
        <w:sz w:val="16"/>
      </w:rPr>
    </w:pPr>
  </w:p>
  <w:p w:rsidR="000F2931" w:rsidRDefault="000F2931" w:rsidP="00130F1E">
    <w:pPr>
      <w:pStyle w:val="Encabezado"/>
      <w:tabs>
        <w:tab w:val="right" w:pos="9923"/>
      </w:tabs>
      <w:ind w:right="-142"/>
      <w:rPr>
        <w:sz w:val="16"/>
      </w:rPr>
    </w:pPr>
  </w:p>
  <w:p w:rsidR="000F2931" w:rsidRDefault="000F29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476"/>
    <w:multiLevelType w:val="hybridMultilevel"/>
    <w:tmpl w:val="0F6AC124"/>
    <w:lvl w:ilvl="0" w:tplc="040A000F">
      <w:start w:val="1"/>
      <w:numFmt w:val="decimal"/>
      <w:lvlText w:val="%1."/>
      <w:lvlJc w:val="left"/>
      <w:pPr>
        <w:tabs>
          <w:tab w:val="num" w:pos="1800"/>
        </w:tabs>
        <w:ind w:left="1800" w:hanging="360"/>
      </w:pPr>
    </w:lvl>
    <w:lvl w:ilvl="1" w:tplc="040A0019" w:tentative="1">
      <w:start w:val="1"/>
      <w:numFmt w:val="lowerLetter"/>
      <w:lvlText w:val="%2."/>
      <w:lvlJc w:val="left"/>
      <w:pPr>
        <w:tabs>
          <w:tab w:val="num" w:pos="2520"/>
        </w:tabs>
        <w:ind w:left="2520" w:hanging="360"/>
      </w:pPr>
    </w:lvl>
    <w:lvl w:ilvl="2" w:tplc="040A001B" w:tentative="1">
      <w:start w:val="1"/>
      <w:numFmt w:val="lowerRoman"/>
      <w:lvlText w:val="%3."/>
      <w:lvlJc w:val="right"/>
      <w:pPr>
        <w:tabs>
          <w:tab w:val="num" w:pos="3240"/>
        </w:tabs>
        <w:ind w:left="3240" w:hanging="180"/>
      </w:pPr>
    </w:lvl>
    <w:lvl w:ilvl="3" w:tplc="040A000F" w:tentative="1">
      <w:start w:val="1"/>
      <w:numFmt w:val="decimal"/>
      <w:lvlText w:val="%4."/>
      <w:lvlJc w:val="left"/>
      <w:pPr>
        <w:tabs>
          <w:tab w:val="num" w:pos="3960"/>
        </w:tabs>
        <w:ind w:left="3960" w:hanging="360"/>
      </w:pPr>
    </w:lvl>
    <w:lvl w:ilvl="4" w:tplc="040A0019" w:tentative="1">
      <w:start w:val="1"/>
      <w:numFmt w:val="lowerLetter"/>
      <w:lvlText w:val="%5."/>
      <w:lvlJc w:val="left"/>
      <w:pPr>
        <w:tabs>
          <w:tab w:val="num" w:pos="4680"/>
        </w:tabs>
        <w:ind w:left="4680" w:hanging="360"/>
      </w:pPr>
    </w:lvl>
    <w:lvl w:ilvl="5" w:tplc="040A001B" w:tentative="1">
      <w:start w:val="1"/>
      <w:numFmt w:val="lowerRoman"/>
      <w:lvlText w:val="%6."/>
      <w:lvlJc w:val="right"/>
      <w:pPr>
        <w:tabs>
          <w:tab w:val="num" w:pos="5400"/>
        </w:tabs>
        <w:ind w:left="5400" w:hanging="180"/>
      </w:pPr>
    </w:lvl>
    <w:lvl w:ilvl="6" w:tplc="040A000F" w:tentative="1">
      <w:start w:val="1"/>
      <w:numFmt w:val="decimal"/>
      <w:lvlText w:val="%7."/>
      <w:lvlJc w:val="left"/>
      <w:pPr>
        <w:tabs>
          <w:tab w:val="num" w:pos="6120"/>
        </w:tabs>
        <w:ind w:left="6120" w:hanging="360"/>
      </w:pPr>
    </w:lvl>
    <w:lvl w:ilvl="7" w:tplc="040A0019" w:tentative="1">
      <w:start w:val="1"/>
      <w:numFmt w:val="lowerLetter"/>
      <w:lvlText w:val="%8."/>
      <w:lvlJc w:val="left"/>
      <w:pPr>
        <w:tabs>
          <w:tab w:val="num" w:pos="6840"/>
        </w:tabs>
        <w:ind w:left="6840" w:hanging="360"/>
      </w:pPr>
    </w:lvl>
    <w:lvl w:ilvl="8" w:tplc="040A001B" w:tentative="1">
      <w:start w:val="1"/>
      <w:numFmt w:val="lowerRoman"/>
      <w:lvlText w:val="%9."/>
      <w:lvlJc w:val="right"/>
      <w:pPr>
        <w:tabs>
          <w:tab w:val="num" w:pos="7560"/>
        </w:tabs>
        <w:ind w:left="7560" w:hanging="180"/>
      </w:pPr>
    </w:lvl>
  </w:abstractNum>
  <w:abstractNum w:abstractNumId="1">
    <w:nsid w:val="056068C7"/>
    <w:multiLevelType w:val="hybridMultilevel"/>
    <w:tmpl w:val="662E7330"/>
    <w:lvl w:ilvl="0" w:tplc="B64C2364">
      <w:start w:val="2"/>
      <w:numFmt w:val="bullet"/>
      <w:lvlText w:val="-"/>
      <w:lvlJc w:val="left"/>
      <w:pPr>
        <w:tabs>
          <w:tab w:val="num" w:pos="855"/>
        </w:tabs>
        <w:ind w:left="855" w:hanging="495"/>
      </w:pPr>
      <w:rPr>
        <w:rFonts w:ascii="Arial Narrow" w:eastAsia="Times New Roman" w:hAnsi="Arial Narrow" w:cs="Times New Roman" w:hint="default"/>
      </w:rPr>
    </w:lvl>
    <w:lvl w:ilvl="1" w:tplc="040A000F">
      <w:start w:val="1"/>
      <w:numFmt w:val="decimal"/>
      <w:lvlText w:val="%2."/>
      <w:lvlJc w:val="left"/>
      <w:pPr>
        <w:tabs>
          <w:tab w:val="num" w:pos="1440"/>
        </w:tabs>
        <w:ind w:left="1440" w:hanging="360"/>
      </w:pPr>
      <w:rPr>
        <w:rFonts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632603A"/>
    <w:multiLevelType w:val="hybridMultilevel"/>
    <w:tmpl w:val="957E6A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6EB065B"/>
    <w:multiLevelType w:val="hybridMultilevel"/>
    <w:tmpl w:val="2EFCF64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BC41274"/>
    <w:multiLevelType w:val="multilevel"/>
    <w:tmpl w:val="E230DE1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FD2324"/>
    <w:multiLevelType w:val="hybridMultilevel"/>
    <w:tmpl w:val="BF387232"/>
    <w:lvl w:ilvl="0" w:tplc="952C2CB4">
      <w:start w:val="3"/>
      <w:numFmt w:val="lowerLetter"/>
      <w:lvlText w:val="%1)"/>
      <w:lvlJc w:val="left"/>
      <w:pPr>
        <w:tabs>
          <w:tab w:val="num" w:pos="720"/>
        </w:tabs>
        <w:ind w:left="720" w:hanging="36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nsid w:val="0F932976"/>
    <w:multiLevelType w:val="multilevel"/>
    <w:tmpl w:val="947853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110D54FA"/>
    <w:multiLevelType w:val="hybridMultilevel"/>
    <w:tmpl w:val="61B6FFF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2FA2FA2"/>
    <w:multiLevelType w:val="hybridMultilevel"/>
    <w:tmpl w:val="530664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4B4028C"/>
    <w:multiLevelType w:val="hybridMultilevel"/>
    <w:tmpl w:val="C17096C4"/>
    <w:lvl w:ilvl="0" w:tplc="0C0A0001">
      <w:start w:val="1"/>
      <w:numFmt w:val="bullet"/>
      <w:lvlText w:val=""/>
      <w:lvlJc w:val="left"/>
      <w:pPr>
        <w:ind w:left="1137" w:hanging="360"/>
      </w:pPr>
      <w:rPr>
        <w:rFonts w:ascii="Symbol" w:hAnsi="Symbol" w:hint="default"/>
      </w:rPr>
    </w:lvl>
    <w:lvl w:ilvl="1" w:tplc="0C0A0003" w:tentative="1">
      <w:start w:val="1"/>
      <w:numFmt w:val="bullet"/>
      <w:lvlText w:val="o"/>
      <w:lvlJc w:val="left"/>
      <w:pPr>
        <w:ind w:left="1857" w:hanging="360"/>
      </w:pPr>
      <w:rPr>
        <w:rFonts w:ascii="Courier New" w:hAnsi="Courier New" w:cs="Courier New" w:hint="default"/>
      </w:rPr>
    </w:lvl>
    <w:lvl w:ilvl="2" w:tplc="0C0A0005" w:tentative="1">
      <w:start w:val="1"/>
      <w:numFmt w:val="bullet"/>
      <w:lvlText w:val=""/>
      <w:lvlJc w:val="left"/>
      <w:pPr>
        <w:ind w:left="2577" w:hanging="360"/>
      </w:pPr>
      <w:rPr>
        <w:rFonts w:ascii="Wingdings" w:hAnsi="Wingdings" w:hint="default"/>
      </w:rPr>
    </w:lvl>
    <w:lvl w:ilvl="3" w:tplc="0C0A0001" w:tentative="1">
      <w:start w:val="1"/>
      <w:numFmt w:val="bullet"/>
      <w:lvlText w:val=""/>
      <w:lvlJc w:val="left"/>
      <w:pPr>
        <w:ind w:left="3297" w:hanging="360"/>
      </w:pPr>
      <w:rPr>
        <w:rFonts w:ascii="Symbol" w:hAnsi="Symbol" w:hint="default"/>
      </w:rPr>
    </w:lvl>
    <w:lvl w:ilvl="4" w:tplc="0C0A0003" w:tentative="1">
      <w:start w:val="1"/>
      <w:numFmt w:val="bullet"/>
      <w:lvlText w:val="o"/>
      <w:lvlJc w:val="left"/>
      <w:pPr>
        <w:ind w:left="4017" w:hanging="360"/>
      </w:pPr>
      <w:rPr>
        <w:rFonts w:ascii="Courier New" w:hAnsi="Courier New" w:cs="Courier New" w:hint="default"/>
      </w:rPr>
    </w:lvl>
    <w:lvl w:ilvl="5" w:tplc="0C0A0005" w:tentative="1">
      <w:start w:val="1"/>
      <w:numFmt w:val="bullet"/>
      <w:lvlText w:val=""/>
      <w:lvlJc w:val="left"/>
      <w:pPr>
        <w:ind w:left="4737" w:hanging="360"/>
      </w:pPr>
      <w:rPr>
        <w:rFonts w:ascii="Wingdings" w:hAnsi="Wingdings" w:hint="default"/>
      </w:rPr>
    </w:lvl>
    <w:lvl w:ilvl="6" w:tplc="0C0A0001" w:tentative="1">
      <w:start w:val="1"/>
      <w:numFmt w:val="bullet"/>
      <w:lvlText w:val=""/>
      <w:lvlJc w:val="left"/>
      <w:pPr>
        <w:ind w:left="5457" w:hanging="360"/>
      </w:pPr>
      <w:rPr>
        <w:rFonts w:ascii="Symbol" w:hAnsi="Symbol" w:hint="default"/>
      </w:rPr>
    </w:lvl>
    <w:lvl w:ilvl="7" w:tplc="0C0A0003" w:tentative="1">
      <w:start w:val="1"/>
      <w:numFmt w:val="bullet"/>
      <w:lvlText w:val="o"/>
      <w:lvlJc w:val="left"/>
      <w:pPr>
        <w:ind w:left="6177" w:hanging="360"/>
      </w:pPr>
      <w:rPr>
        <w:rFonts w:ascii="Courier New" w:hAnsi="Courier New" w:cs="Courier New" w:hint="default"/>
      </w:rPr>
    </w:lvl>
    <w:lvl w:ilvl="8" w:tplc="0C0A0005" w:tentative="1">
      <w:start w:val="1"/>
      <w:numFmt w:val="bullet"/>
      <w:lvlText w:val=""/>
      <w:lvlJc w:val="left"/>
      <w:pPr>
        <w:ind w:left="6897" w:hanging="360"/>
      </w:pPr>
      <w:rPr>
        <w:rFonts w:ascii="Wingdings" w:hAnsi="Wingdings" w:hint="default"/>
      </w:rPr>
    </w:lvl>
  </w:abstractNum>
  <w:abstractNum w:abstractNumId="10">
    <w:nsid w:val="17D338D8"/>
    <w:multiLevelType w:val="hybridMultilevel"/>
    <w:tmpl w:val="DFAA400A"/>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nsid w:val="1DEE61A1"/>
    <w:multiLevelType w:val="hybridMultilevel"/>
    <w:tmpl w:val="C3264282"/>
    <w:lvl w:ilvl="0" w:tplc="0C0A0017">
      <w:start w:val="1"/>
      <w:numFmt w:val="lowerLetter"/>
      <w:lvlText w:val="%1)"/>
      <w:lvlJc w:val="left"/>
      <w:pPr>
        <w:tabs>
          <w:tab w:val="num" w:pos="1069"/>
        </w:tabs>
        <w:ind w:left="1069" w:hanging="360"/>
      </w:p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nsid w:val="1EFE26D6"/>
    <w:multiLevelType w:val="hybridMultilevel"/>
    <w:tmpl w:val="17B26402"/>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3">
    <w:nsid w:val="209E10FD"/>
    <w:multiLevelType w:val="hybridMultilevel"/>
    <w:tmpl w:val="E238083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1F973E2"/>
    <w:multiLevelType w:val="hybridMultilevel"/>
    <w:tmpl w:val="FD925BE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27E945EC"/>
    <w:multiLevelType w:val="hybridMultilevel"/>
    <w:tmpl w:val="2BEC601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86028F3"/>
    <w:multiLevelType w:val="hybridMultilevel"/>
    <w:tmpl w:val="460A3F9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nsid w:val="299D20B9"/>
    <w:multiLevelType w:val="hybridMultilevel"/>
    <w:tmpl w:val="24F63C5A"/>
    <w:lvl w:ilvl="0" w:tplc="4B42730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C127C1C"/>
    <w:multiLevelType w:val="hybridMultilevel"/>
    <w:tmpl w:val="FFB2EB9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2D0301C2"/>
    <w:multiLevelType w:val="hybridMultilevel"/>
    <w:tmpl w:val="3D2E62BC"/>
    <w:lvl w:ilvl="0" w:tplc="040A0001">
      <w:start w:val="1"/>
      <w:numFmt w:val="bullet"/>
      <w:lvlText w:val=""/>
      <w:lvlJc w:val="left"/>
      <w:pPr>
        <w:tabs>
          <w:tab w:val="num" w:pos="784"/>
        </w:tabs>
        <w:ind w:left="784" w:hanging="360"/>
      </w:pPr>
      <w:rPr>
        <w:rFonts w:ascii="Symbol" w:hAnsi="Symbol" w:hint="default"/>
      </w:rPr>
    </w:lvl>
    <w:lvl w:ilvl="1" w:tplc="040A0003" w:tentative="1">
      <w:start w:val="1"/>
      <w:numFmt w:val="bullet"/>
      <w:lvlText w:val="o"/>
      <w:lvlJc w:val="left"/>
      <w:pPr>
        <w:tabs>
          <w:tab w:val="num" w:pos="1504"/>
        </w:tabs>
        <w:ind w:left="1504" w:hanging="360"/>
      </w:pPr>
      <w:rPr>
        <w:rFonts w:ascii="Courier New" w:hAnsi="Courier New" w:cs="Courier New" w:hint="default"/>
      </w:rPr>
    </w:lvl>
    <w:lvl w:ilvl="2" w:tplc="040A0005" w:tentative="1">
      <w:start w:val="1"/>
      <w:numFmt w:val="bullet"/>
      <w:lvlText w:val=""/>
      <w:lvlJc w:val="left"/>
      <w:pPr>
        <w:tabs>
          <w:tab w:val="num" w:pos="2224"/>
        </w:tabs>
        <w:ind w:left="2224" w:hanging="360"/>
      </w:pPr>
      <w:rPr>
        <w:rFonts w:ascii="Wingdings" w:hAnsi="Wingdings" w:hint="default"/>
      </w:rPr>
    </w:lvl>
    <w:lvl w:ilvl="3" w:tplc="040A0001" w:tentative="1">
      <w:start w:val="1"/>
      <w:numFmt w:val="bullet"/>
      <w:lvlText w:val=""/>
      <w:lvlJc w:val="left"/>
      <w:pPr>
        <w:tabs>
          <w:tab w:val="num" w:pos="2944"/>
        </w:tabs>
        <w:ind w:left="2944" w:hanging="360"/>
      </w:pPr>
      <w:rPr>
        <w:rFonts w:ascii="Symbol" w:hAnsi="Symbol" w:hint="default"/>
      </w:rPr>
    </w:lvl>
    <w:lvl w:ilvl="4" w:tplc="040A0003" w:tentative="1">
      <w:start w:val="1"/>
      <w:numFmt w:val="bullet"/>
      <w:lvlText w:val="o"/>
      <w:lvlJc w:val="left"/>
      <w:pPr>
        <w:tabs>
          <w:tab w:val="num" w:pos="3664"/>
        </w:tabs>
        <w:ind w:left="3664" w:hanging="360"/>
      </w:pPr>
      <w:rPr>
        <w:rFonts w:ascii="Courier New" w:hAnsi="Courier New" w:cs="Courier New" w:hint="default"/>
      </w:rPr>
    </w:lvl>
    <w:lvl w:ilvl="5" w:tplc="040A0005" w:tentative="1">
      <w:start w:val="1"/>
      <w:numFmt w:val="bullet"/>
      <w:lvlText w:val=""/>
      <w:lvlJc w:val="left"/>
      <w:pPr>
        <w:tabs>
          <w:tab w:val="num" w:pos="4384"/>
        </w:tabs>
        <w:ind w:left="4384" w:hanging="360"/>
      </w:pPr>
      <w:rPr>
        <w:rFonts w:ascii="Wingdings" w:hAnsi="Wingdings" w:hint="default"/>
      </w:rPr>
    </w:lvl>
    <w:lvl w:ilvl="6" w:tplc="040A0001" w:tentative="1">
      <w:start w:val="1"/>
      <w:numFmt w:val="bullet"/>
      <w:lvlText w:val=""/>
      <w:lvlJc w:val="left"/>
      <w:pPr>
        <w:tabs>
          <w:tab w:val="num" w:pos="5104"/>
        </w:tabs>
        <w:ind w:left="5104" w:hanging="360"/>
      </w:pPr>
      <w:rPr>
        <w:rFonts w:ascii="Symbol" w:hAnsi="Symbol" w:hint="default"/>
      </w:rPr>
    </w:lvl>
    <w:lvl w:ilvl="7" w:tplc="040A0003" w:tentative="1">
      <w:start w:val="1"/>
      <w:numFmt w:val="bullet"/>
      <w:lvlText w:val="o"/>
      <w:lvlJc w:val="left"/>
      <w:pPr>
        <w:tabs>
          <w:tab w:val="num" w:pos="5824"/>
        </w:tabs>
        <w:ind w:left="5824" w:hanging="360"/>
      </w:pPr>
      <w:rPr>
        <w:rFonts w:ascii="Courier New" w:hAnsi="Courier New" w:cs="Courier New" w:hint="default"/>
      </w:rPr>
    </w:lvl>
    <w:lvl w:ilvl="8" w:tplc="040A0005" w:tentative="1">
      <w:start w:val="1"/>
      <w:numFmt w:val="bullet"/>
      <w:lvlText w:val=""/>
      <w:lvlJc w:val="left"/>
      <w:pPr>
        <w:tabs>
          <w:tab w:val="num" w:pos="6544"/>
        </w:tabs>
        <w:ind w:left="6544" w:hanging="360"/>
      </w:pPr>
      <w:rPr>
        <w:rFonts w:ascii="Wingdings" w:hAnsi="Wingdings" w:hint="default"/>
      </w:rPr>
    </w:lvl>
  </w:abstractNum>
  <w:abstractNum w:abstractNumId="20">
    <w:nsid w:val="2E146C32"/>
    <w:multiLevelType w:val="hybridMultilevel"/>
    <w:tmpl w:val="342C056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3145517C"/>
    <w:multiLevelType w:val="hybridMultilevel"/>
    <w:tmpl w:val="CE3422B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39E0075"/>
    <w:multiLevelType w:val="hybridMultilevel"/>
    <w:tmpl w:val="46A818EC"/>
    <w:lvl w:ilvl="0" w:tplc="D2EE9EB6">
      <w:start w:val="3"/>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nsid w:val="38107F3E"/>
    <w:multiLevelType w:val="multilevel"/>
    <w:tmpl w:val="639CD18C"/>
    <w:lvl w:ilvl="0">
      <w:start w:val="1"/>
      <w:numFmt w:val="decimal"/>
      <w:pStyle w:val="Parrafonumerado"/>
      <w:lvlText w:val="%1."/>
      <w:lvlJc w:val="left"/>
      <w:pPr>
        <w:tabs>
          <w:tab w:val="num" w:pos="454"/>
        </w:tabs>
        <w:ind w:left="454" w:hanging="454"/>
      </w:pPr>
      <w:rPr>
        <w:rFonts w:ascii="Friz Quadrata Std" w:hAnsi="Friz Quadrata Std" w:hint="default"/>
        <w:sz w:val="19"/>
        <w:szCs w:val="19"/>
      </w:rPr>
    </w:lvl>
    <w:lvl w:ilvl="1">
      <w:start w:val="1"/>
      <w:numFmt w:val="lowerLetter"/>
      <w:pStyle w:val="Letraindentada"/>
      <w:lvlText w:val="%2)"/>
      <w:lvlJc w:val="left"/>
      <w:pPr>
        <w:tabs>
          <w:tab w:val="num" w:pos="792"/>
        </w:tabs>
        <w:ind w:left="792" w:hanging="432"/>
      </w:pPr>
      <w:rPr>
        <w:rFonts w:ascii="Friz Quadrata Std" w:hAnsi="Friz Quadrata Std" w:hint="default"/>
        <w:sz w:val="22"/>
        <w:szCs w:val="22"/>
      </w:rPr>
    </w:lvl>
    <w:lvl w:ilvl="2">
      <w:start w:val="1"/>
      <w:numFmt w:val="none"/>
      <w:lvlRestart w:val="0"/>
      <w:pStyle w:val="guion"/>
      <w:lvlText w:val="-"/>
      <w:lvlJc w:val="left"/>
      <w:pPr>
        <w:tabs>
          <w:tab w:val="num" w:pos="1171"/>
        </w:tabs>
        <w:ind w:left="1171" w:hanging="284"/>
      </w:pPr>
      <w:rPr>
        <w:rFonts w:ascii="Friz Quadrata Std" w:hAnsi="Friz Quadrata Std"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38891685"/>
    <w:multiLevelType w:val="hybridMultilevel"/>
    <w:tmpl w:val="66AE786A"/>
    <w:lvl w:ilvl="0" w:tplc="03EE174C">
      <w:start w:val="1008"/>
      <w:numFmt w:val="bullet"/>
      <w:lvlText w:val="-"/>
      <w:lvlJc w:val="left"/>
      <w:pPr>
        <w:tabs>
          <w:tab w:val="num" w:pos="1352"/>
        </w:tabs>
        <w:ind w:left="1352" w:hanging="360"/>
      </w:pPr>
      <w:rPr>
        <w:rFonts w:ascii="Times New Roman" w:eastAsia="Times New Roman" w:hAnsi="Times New Roman" w:cs="Times New Roman"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5">
    <w:nsid w:val="39286C14"/>
    <w:multiLevelType w:val="hybridMultilevel"/>
    <w:tmpl w:val="7A1C000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3C444117"/>
    <w:multiLevelType w:val="hybridMultilevel"/>
    <w:tmpl w:val="9710C0FE"/>
    <w:lvl w:ilvl="0" w:tplc="C1986EA2">
      <w:start w:val="1"/>
      <w:numFmt w:val="lowerLetter"/>
      <w:lvlText w:val="%1)"/>
      <w:lvlJc w:val="left"/>
      <w:pPr>
        <w:tabs>
          <w:tab w:val="num" w:pos="720"/>
        </w:tabs>
        <w:ind w:left="720" w:hanging="360"/>
      </w:pPr>
      <w:rPr>
        <w:rFonts w:hint="default"/>
        <w:b/>
        <w:i w:val="0"/>
      </w:rPr>
    </w:lvl>
    <w:lvl w:ilvl="1" w:tplc="040A000F">
      <w:start w:val="1"/>
      <w:numFmt w:val="decimal"/>
      <w:lvlText w:val="%2."/>
      <w:lvlJc w:val="left"/>
      <w:pPr>
        <w:tabs>
          <w:tab w:val="num" w:pos="1440"/>
        </w:tabs>
        <w:ind w:left="1440" w:hanging="360"/>
      </w:pPr>
      <w:rPr>
        <w:rFonts w:hint="default"/>
        <w:b/>
        <w:i w:val="0"/>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7">
    <w:nsid w:val="3DF22ED9"/>
    <w:multiLevelType w:val="hybridMultilevel"/>
    <w:tmpl w:val="E230DE10"/>
    <w:lvl w:ilvl="0" w:tplc="5D1EA666">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DF64E1E"/>
    <w:multiLevelType w:val="hybridMultilevel"/>
    <w:tmpl w:val="18A4A9B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41256FA9"/>
    <w:multiLevelType w:val="hybridMultilevel"/>
    <w:tmpl w:val="CD84E8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43E73B49"/>
    <w:multiLevelType w:val="hybridMultilevel"/>
    <w:tmpl w:val="46F47E6A"/>
    <w:lvl w:ilvl="0" w:tplc="A4840D0A">
      <w:start w:val="4"/>
      <w:numFmt w:val="lowerLetter"/>
      <w:lvlText w:val="%1)"/>
      <w:lvlJc w:val="left"/>
      <w:pPr>
        <w:tabs>
          <w:tab w:val="num" w:pos="720"/>
        </w:tabs>
        <w:ind w:left="720" w:hanging="36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1">
    <w:nsid w:val="445A7F57"/>
    <w:multiLevelType w:val="hybridMultilevel"/>
    <w:tmpl w:val="049C20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45DE1DC8"/>
    <w:multiLevelType w:val="multilevel"/>
    <w:tmpl w:val="C3226D5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
    <w:nsid w:val="4DC41ECB"/>
    <w:multiLevelType w:val="hybridMultilevel"/>
    <w:tmpl w:val="36D02B8C"/>
    <w:lvl w:ilvl="0" w:tplc="040A000F">
      <w:start w:val="1"/>
      <w:numFmt w:val="decimal"/>
      <w:lvlText w:val="%1."/>
      <w:lvlJc w:val="left"/>
      <w:pPr>
        <w:tabs>
          <w:tab w:val="num" w:pos="1800"/>
        </w:tabs>
        <w:ind w:left="1800" w:hanging="360"/>
      </w:pPr>
    </w:lvl>
    <w:lvl w:ilvl="1" w:tplc="040A0019" w:tentative="1">
      <w:start w:val="1"/>
      <w:numFmt w:val="lowerLetter"/>
      <w:lvlText w:val="%2."/>
      <w:lvlJc w:val="left"/>
      <w:pPr>
        <w:tabs>
          <w:tab w:val="num" w:pos="2520"/>
        </w:tabs>
        <w:ind w:left="2520" w:hanging="360"/>
      </w:pPr>
    </w:lvl>
    <w:lvl w:ilvl="2" w:tplc="040A001B" w:tentative="1">
      <w:start w:val="1"/>
      <w:numFmt w:val="lowerRoman"/>
      <w:lvlText w:val="%3."/>
      <w:lvlJc w:val="right"/>
      <w:pPr>
        <w:tabs>
          <w:tab w:val="num" w:pos="3240"/>
        </w:tabs>
        <w:ind w:left="3240" w:hanging="180"/>
      </w:pPr>
    </w:lvl>
    <w:lvl w:ilvl="3" w:tplc="040A000F" w:tentative="1">
      <w:start w:val="1"/>
      <w:numFmt w:val="decimal"/>
      <w:lvlText w:val="%4."/>
      <w:lvlJc w:val="left"/>
      <w:pPr>
        <w:tabs>
          <w:tab w:val="num" w:pos="3960"/>
        </w:tabs>
        <w:ind w:left="3960" w:hanging="360"/>
      </w:pPr>
    </w:lvl>
    <w:lvl w:ilvl="4" w:tplc="040A0019" w:tentative="1">
      <w:start w:val="1"/>
      <w:numFmt w:val="lowerLetter"/>
      <w:lvlText w:val="%5."/>
      <w:lvlJc w:val="left"/>
      <w:pPr>
        <w:tabs>
          <w:tab w:val="num" w:pos="4680"/>
        </w:tabs>
        <w:ind w:left="4680" w:hanging="360"/>
      </w:pPr>
    </w:lvl>
    <w:lvl w:ilvl="5" w:tplc="040A001B" w:tentative="1">
      <w:start w:val="1"/>
      <w:numFmt w:val="lowerRoman"/>
      <w:lvlText w:val="%6."/>
      <w:lvlJc w:val="right"/>
      <w:pPr>
        <w:tabs>
          <w:tab w:val="num" w:pos="5400"/>
        </w:tabs>
        <w:ind w:left="5400" w:hanging="180"/>
      </w:pPr>
    </w:lvl>
    <w:lvl w:ilvl="6" w:tplc="040A000F" w:tentative="1">
      <w:start w:val="1"/>
      <w:numFmt w:val="decimal"/>
      <w:lvlText w:val="%7."/>
      <w:lvlJc w:val="left"/>
      <w:pPr>
        <w:tabs>
          <w:tab w:val="num" w:pos="6120"/>
        </w:tabs>
        <w:ind w:left="6120" w:hanging="360"/>
      </w:pPr>
    </w:lvl>
    <w:lvl w:ilvl="7" w:tplc="040A0019" w:tentative="1">
      <w:start w:val="1"/>
      <w:numFmt w:val="lowerLetter"/>
      <w:lvlText w:val="%8."/>
      <w:lvlJc w:val="left"/>
      <w:pPr>
        <w:tabs>
          <w:tab w:val="num" w:pos="6840"/>
        </w:tabs>
        <w:ind w:left="6840" w:hanging="360"/>
      </w:pPr>
    </w:lvl>
    <w:lvl w:ilvl="8" w:tplc="040A001B" w:tentative="1">
      <w:start w:val="1"/>
      <w:numFmt w:val="lowerRoman"/>
      <w:lvlText w:val="%9."/>
      <w:lvlJc w:val="right"/>
      <w:pPr>
        <w:tabs>
          <w:tab w:val="num" w:pos="7560"/>
        </w:tabs>
        <w:ind w:left="7560" w:hanging="180"/>
      </w:pPr>
    </w:lvl>
  </w:abstractNum>
  <w:abstractNum w:abstractNumId="34">
    <w:nsid w:val="563E55FF"/>
    <w:multiLevelType w:val="hybridMultilevel"/>
    <w:tmpl w:val="BEC07B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nsid w:val="594879E4"/>
    <w:multiLevelType w:val="hybridMultilevel"/>
    <w:tmpl w:val="E0ACAD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5D0015F8"/>
    <w:multiLevelType w:val="hybridMultilevel"/>
    <w:tmpl w:val="0610F590"/>
    <w:lvl w:ilvl="0" w:tplc="A4840D0A">
      <w:start w:val="4"/>
      <w:numFmt w:val="lowerLetter"/>
      <w:lvlText w:val="%1)"/>
      <w:lvlJc w:val="left"/>
      <w:pPr>
        <w:tabs>
          <w:tab w:val="num" w:pos="720"/>
        </w:tabs>
        <w:ind w:left="720" w:hanging="360"/>
      </w:pPr>
      <w:rPr>
        <w:rFonts w:hint="default"/>
        <w:b/>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7">
    <w:nsid w:val="5EE8374C"/>
    <w:multiLevelType w:val="hybridMultilevel"/>
    <w:tmpl w:val="D6DAE5B2"/>
    <w:lvl w:ilvl="0" w:tplc="B64C2364">
      <w:start w:val="2"/>
      <w:numFmt w:val="bullet"/>
      <w:lvlText w:val="-"/>
      <w:lvlJc w:val="left"/>
      <w:pPr>
        <w:tabs>
          <w:tab w:val="num" w:pos="855"/>
        </w:tabs>
        <w:ind w:left="855" w:hanging="495"/>
      </w:pPr>
      <w:rPr>
        <w:rFonts w:ascii="Arial Narrow" w:eastAsia="Times New Roman" w:hAnsi="Arial Narrow"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8">
    <w:nsid w:val="5EF117DC"/>
    <w:multiLevelType w:val="hybridMultilevel"/>
    <w:tmpl w:val="0FE08B6E"/>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9">
    <w:nsid w:val="5F3A7A0E"/>
    <w:multiLevelType w:val="hybridMultilevel"/>
    <w:tmpl w:val="2B12D9DA"/>
    <w:lvl w:ilvl="0" w:tplc="FD9E3F8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647120B9"/>
    <w:multiLevelType w:val="hybridMultilevel"/>
    <w:tmpl w:val="585064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5803B34"/>
    <w:multiLevelType w:val="hybridMultilevel"/>
    <w:tmpl w:val="FB160488"/>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2">
    <w:nsid w:val="65926FFD"/>
    <w:multiLevelType w:val="multilevel"/>
    <w:tmpl w:val="947853D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3">
    <w:nsid w:val="69EC523E"/>
    <w:multiLevelType w:val="hybridMultilevel"/>
    <w:tmpl w:val="1C903404"/>
    <w:lvl w:ilvl="0" w:tplc="D2EE9EB6">
      <w:start w:val="3"/>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nsid w:val="6BDD4843"/>
    <w:multiLevelType w:val="hybridMultilevel"/>
    <w:tmpl w:val="116A8F1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FF839E2"/>
    <w:multiLevelType w:val="hybridMultilevel"/>
    <w:tmpl w:val="B82E35E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6">
    <w:nsid w:val="786A5881"/>
    <w:multiLevelType w:val="hybridMultilevel"/>
    <w:tmpl w:val="1584EF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7CA52B50"/>
    <w:multiLevelType w:val="hybridMultilevel"/>
    <w:tmpl w:val="8C8674FA"/>
    <w:lvl w:ilvl="0" w:tplc="03EE174C">
      <w:start w:val="1008"/>
      <w:numFmt w:val="bullet"/>
      <w:lvlText w:val="-"/>
      <w:lvlJc w:val="left"/>
      <w:pPr>
        <w:tabs>
          <w:tab w:val="num" w:pos="1210"/>
        </w:tabs>
        <w:ind w:left="1210" w:hanging="360"/>
      </w:pPr>
      <w:rPr>
        <w:rFonts w:ascii="Times New Roman" w:eastAsia="Times New Roman" w:hAnsi="Times New Roman" w:cs="Times New Roman"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num w:numId="1">
    <w:abstractNumId w:val="14"/>
  </w:num>
  <w:num w:numId="2">
    <w:abstractNumId w:val="13"/>
  </w:num>
  <w:num w:numId="3">
    <w:abstractNumId w:val="18"/>
  </w:num>
  <w:num w:numId="4">
    <w:abstractNumId w:val="38"/>
  </w:num>
  <w:num w:numId="5">
    <w:abstractNumId w:val="28"/>
  </w:num>
  <w:num w:numId="6">
    <w:abstractNumId w:val="31"/>
  </w:num>
  <w:num w:numId="7">
    <w:abstractNumId w:val="19"/>
  </w:num>
  <w:num w:numId="8">
    <w:abstractNumId w:val="26"/>
  </w:num>
  <w:num w:numId="9">
    <w:abstractNumId w:val="45"/>
  </w:num>
  <w:num w:numId="10">
    <w:abstractNumId w:val="12"/>
  </w:num>
  <w:num w:numId="11">
    <w:abstractNumId w:val="16"/>
  </w:num>
  <w:num w:numId="12">
    <w:abstractNumId w:val="33"/>
  </w:num>
  <w:num w:numId="13">
    <w:abstractNumId w:val="0"/>
  </w:num>
  <w:num w:numId="14">
    <w:abstractNumId w:val="5"/>
  </w:num>
  <w:num w:numId="15">
    <w:abstractNumId w:val="29"/>
  </w:num>
  <w:num w:numId="16">
    <w:abstractNumId w:val="41"/>
  </w:num>
  <w:num w:numId="17">
    <w:abstractNumId w:val="36"/>
  </w:num>
  <w:num w:numId="18">
    <w:abstractNumId w:val="37"/>
  </w:num>
  <w:num w:numId="19">
    <w:abstractNumId w:val="1"/>
  </w:num>
  <w:num w:numId="20">
    <w:abstractNumId w:val="30"/>
  </w:num>
  <w:num w:numId="21">
    <w:abstractNumId w:val="23"/>
  </w:num>
  <w:num w:numId="22">
    <w:abstractNumId w:val="10"/>
  </w:num>
  <w:num w:numId="23">
    <w:abstractNumId w:val="24"/>
  </w:num>
  <w:num w:numId="24">
    <w:abstractNumId w:val="47"/>
  </w:num>
  <w:num w:numId="25">
    <w:abstractNumId w:val="21"/>
  </w:num>
  <w:num w:numId="26">
    <w:abstractNumId w:val="39"/>
  </w:num>
  <w:num w:numId="27">
    <w:abstractNumId w:val="44"/>
  </w:num>
  <w:num w:numId="28">
    <w:abstractNumId w:val="32"/>
  </w:num>
  <w:num w:numId="29">
    <w:abstractNumId w:val="6"/>
  </w:num>
  <w:num w:numId="30">
    <w:abstractNumId w:val="27"/>
  </w:num>
  <w:num w:numId="31">
    <w:abstractNumId w:val="4"/>
  </w:num>
  <w:num w:numId="32">
    <w:abstractNumId w:val="17"/>
  </w:num>
  <w:num w:numId="33">
    <w:abstractNumId w:val="42"/>
  </w:num>
  <w:num w:numId="34">
    <w:abstractNumId w:val="15"/>
  </w:num>
  <w:num w:numId="35">
    <w:abstractNumId w:val="9"/>
  </w:num>
  <w:num w:numId="36">
    <w:abstractNumId w:val="25"/>
  </w:num>
  <w:num w:numId="37">
    <w:abstractNumId w:val="3"/>
  </w:num>
  <w:num w:numId="38">
    <w:abstractNumId w:val="8"/>
  </w:num>
  <w:num w:numId="39">
    <w:abstractNumId w:val="46"/>
  </w:num>
  <w:num w:numId="40">
    <w:abstractNumId w:val="11"/>
  </w:num>
  <w:num w:numId="41">
    <w:abstractNumId w:val="40"/>
  </w:num>
  <w:num w:numId="42">
    <w:abstractNumId w:val="20"/>
  </w:num>
  <w:num w:numId="43">
    <w:abstractNumId w:val="2"/>
  </w:num>
  <w:num w:numId="44">
    <w:abstractNumId w:val="7"/>
  </w:num>
  <w:num w:numId="45">
    <w:abstractNumId w:val="35"/>
  </w:num>
  <w:num w:numId="46">
    <w:abstractNumId w:val="34"/>
  </w:num>
  <w:num w:numId="47">
    <w:abstractNumId w:val="43"/>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133"/>
    <w:rsid w:val="00003801"/>
    <w:rsid w:val="00006DAD"/>
    <w:rsid w:val="00013F94"/>
    <w:rsid w:val="00015E77"/>
    <w:rsid w:val="00033131"/>
    <w:rsid w:val="00035D2A"/>
    <w:rsid w:val="0004167D"/>
    <w:rsid w:val="00043C73"/>
    <w:rsid w:val="0004454E"/>
    <w:rsid w:val="00061E6F"/>
    <w:rsid w:val="00062712"/>
    <w:rsid w:val="00063840"/>
    <w:rsid w:val="00071F2C"/>
    <w:rsid w:val="00081C2B"/>
    <w:rsid w:val="00082E02"/>
    <w:rsid w:val="0008302B"/>
    <w:rsid w:val="0009021D"/>
    <w:rsid w:val="000920E2"/>
    <w:rsid w:val="000A7D03"/>
    <w:rsid w:val="000B1BD9"/>
    <w:rsid w:val="000D339D"/>
    <w:rsid w:val="000E48B5"/>
    <w:rsid w:val="000F0FA6"/>
    <w:rsid w:val="000F2931"/>
    <w:rsid w:val="000F5ABC"/>
    <w:rsid w:val="000F6C51"/>
    <w:rsid w:val="0010575D"/>
    <w:rsid w:val="00106EAF"/>
    <w:rsid w:val="001219A2"/>
    <w:rsid w:val="00121D8A"/>
    <w:rsid w:val="00124965"/>
    <w:rsid w:val="00127205"/>
    <w:rsid w:val="001303FB"/>
    <w:rsid w:val="00130F1E"/>
    <w:rsid w:val="00131308"/>
    <w:rsid w:val="00136CC5"/>
    <w:rsid w:val="00140EB7"/>
    <w:rsid w:val="00143320"/>
    <w:rsid w:val="001524DC"/>
    <w:rsid w:val="001530FA"/>
    <w:rsid w:val="00161218"/>
    <w:rsid w:val="001614C4"/>
    <w:rsid w:val="00167060"/>
    <w:rsid w:val="00175286"/>
    <w:rsid w:val="00181596"/>
    <w:rsid w:val="00181BCE"/>
    <w:rsid w:val="00183B76"/>
    <w:rsid w:val="001A1230"/>
    <w:rsid w:val="001B0678"/>
    <w:rsid w:val="001D029F"/>
    <w:rsid w:val="001D0AFB"/>
    <w:rsid w:val="001D3682"/>
    <w:rsid w:val="001D6749"/>
    <w:rsid w:val="001D7A69"/>
    <w:rsid w:val="001E00A4"/>
    <w:rsid w:val="001E0AF4"/>
    <w:rsid w:val="00206044"/>
    <w:rsid w:val="00210555"/>
    <w:rsid w:val="002120E4"/>
    <w:rsid w:val="002129DD"/>
    <w:rsid w:val="0021679A"/>
    <w:rsid w:val="002211CD"/>
    <w:rsid w:val="002218F4"/>
    <w:rsid w:val="00250A24"/>
    <w:rsid w:val="002705C0"/>
    <w:rsid w:val="00282CC4"/>
    <w:rsid w:val="00283261"/>
    <w:rsid w:val="00284DD8"/>
    <w:rsid w:val="002850AC"/>
    <w:rsid w:val="00287BDC"/>
    <w:rsid w:val="00292921"/>
    <w:rsid w:val="002A135A"/>
    <w:rsid w:val="002D4189"/>
    <w:rsid w:val="002E6E09"/>
    <w:rsid w:val="002E7400"/>
    <w:rsid w:val="002F4835"/>
    <w:rsid w:val="002F5323"/>
    <w:rsid w:val="003013C4"/>
    <w:rsid w:val="00302404"/>
    <w:rsid w:val="003035F1"/>
    <w:rsid w:val="00303B78"/>
    <w:rsid w:val="00310A1E"/>
    <w:rsid w:val="00311E75"/>
    <w:rsid w:val="00315083"/>
    <w:rsid w:val="00316D22"/>
    <w:rsid w:val="00320313"/>
    <w:rsid w:val="0032060A"/>
    <w:rsid w:val="00320DF2"/>
    <w:rsid w:val="00334B19"/>
    <w:rsid w:val="003353E7"/>
    <w:rsid w:val="0034081C"/>
    <w:rsid w:val="003555BB"/>
    <w:rsid w:val="00355BDD"/>
    <w:rsid w:val="003645F5"/>
    <w:rsid w:val="00373553"/>
    <w:rsid w:val="003826D2"/>
    <w:rsid w:val="00393458"/>
    <w:rsid w:val="003938E8"/>
    <w:rsid w:val="003938FC"/>
    <w:rsid w:val="00396292"/>
    <w:rsid w:val="003A2202"/>
    <w:rsid w:val="003D1029"/>
    <w:rsid w:val="003D1A93"/>
    <w:rsid w:val="003D5133"/>
    <w:rsid w:val="003E256F"/>
    <w:rsid w:val="003F341B"/>
    <w:rsid w:val="003F6B01"/>
    <w:rsid w:val="004010BC"/>
    <w:rsid w:val="00403F86"/>
    <w:rsid w:val="00413481"/>
    <w:rsid w:val="00415CAC"/>
    <w:rsid w:val="00421239"/>
    <w:rsid w:val="00424A8D"/>
    <w:rsid w:val="004273FC"/>
    <w:rsid w:val="00453FB8"/>
    <w:rsid w:val="004565DC"/>
    <w:rsid w:val="0046168D"/>
    <w:rsid w:val="004619BB"/>
    <w:rsid w:val="0046331E"/>
    <w:rsid w:val="004635C3"/>
    <w:rsid w:val="00465DDD"/>
    <w:rsid w:val="0047380F"/>
    <w:rsid w:val="00477C3D"/>
    <w:rsid w:val="0048026A"/>
    <w:rsid w:val="0048310C"/>
    <w:rsid w:val="0048596E"/>
    <w:rsid w:val="004919EB"/>
    <w:rsid w:val="00491D4E"/>
    <w:rsid w:val="00491F3A"/>
    <w:rsid w:val="004A4823"/>
    <w:rsid w:val="004B4FA7"/>
    <w:rsid w:val="004C03E2"/>
    <w:rsid w:val="004C12AA"/>
    <w:rsid w:val="004C5155"/>
    <w:rsid w:val="004C553F"/>
    <w:rsid w:val="004D00AE"/>
    <w:rsid w:val="004E2289"/>
    <w:rsid w:val="004E6214"/>
    <w:rsid w:val="004F125B"/>
    <w:rsid w:val="004F359E"/>
    <w:rsid w:val="004F6DB4"/>
    <w:rsid w:val="00500ED0"/>
    <w:rsid w:val="0050272F"/>
    <w:rsid w:val="00506FA4"/>
    <w:rsid w:val="00513762"/>
    <w:rsid w:val="005205D9"/>
    <w:rsid w:val="00520A91"/>
    <w:rsid w:val="005405F8"/>
    <w:rsid w:val="00543DF9"/>
    <w:rsid w:val="00562DB2"/>
    <w:rsid w:val="00563B74"/>
    <w:rsid w:val="00564FA1"/>
    <w:rsid w:val="005715F4"/>
    <w:rsid w:val="005725FF"/>
    <w:rsid w:val="00575F91"/>
    <w:rsid w:val="0057618C"/>
    <w:rsid w:val="0058059B"/>
    <w:rsid w:val="005A0D97"/>
    <w:rsid w:val="005A478B"/>
    <w:rsid w:val="005C2F69"/>
    <w:rsid w:val="005C54B6"/>
    <w:rsid w:val="005D2649"/>
    <w:rsid w:val="005F03C7"/>
    <w:rsid w:val="005F3F16"/>
    <w:rsid w:val="006037AA"/>
    <w:rsid w:val="00603E66"/>
    <w:rsid w:val="006064BC"/>
    <w:rsid w:val="0061331E"/>
    <w:rsid w:val="00617B27"/>
    <w:rsid w:val="006221C1"/>
    <w:rsid w:val="00627F33"/>
    <w:rsid w:val="006329CC"/>
    <w:rsid w:val="00635A41"/>
    <w:rsid w:val="00635F85"/>
    <w:rsid w:val="00644EC1"/>
    <w:rsid w:val="006453F6"/>
    <w:rsid w:val="00646A60"/>
    <w:rsid w:val="00650FFF"/>
    <w:rsid w:val="006510DF"/>
    <w:rsid w:val="00652A0C"/>
    <w:rsid w:val="006562AC"/>
    <w:rsid w:val="00663CCD"/>
    <w:rsid w:val="00671F07"/>
    <w:rsid w:val="00680E8D"/>
    <w:rsid w:val="006829BE"/>
    <w:rsid w:val="00684E05"/>
    <w:rsid w:val="00686AD0"/>
    <w:rsid w:val="00686FF9"/>
    <w:rsid w:val="00695E93"/>
    <w:rsid w:val="0069771D"/>
    <w:rsid w:val="006A432D"/>
    <w:rsid w:val="006B0181"/>
    <w:rsid w:val="006B1D05"/>
    <w:rsid w:val="006B3530"/>
    <w:rsid w:val="006C2BDA"/>
    <w:rsid w:val="006C4CA5"/>
    <w:rsid w:val="006C4FD5"/>
    <w:rsid w:val="006C5186"/>
    <w:rsid w:val="006C71BA"/>
    <w:rsid w:val="006D5B6C"/>
    <w:rsid w:val="006E1825"/>
    <w:rsid w:val="006F22DB"/>
    <w:rsid w:val="00705421"/>
    <w:rsid w:val="00711C3A"/>
    <w:rsid w:val="00724A41"/>
    <w:rsid w:val="00724DEB"/>
    <w:rsid w:val="00730A52"/>
    <w:rsid w:val="00731DA0"/>
    <w:rsid w:val="00731E7E"/>
    <w:rsid w:val="00741B8D"/>
    <w:rsid w:val="00755D72"/>
    <w:rsid w:val="00757156"/>
    <w:rsid w:val="007621D1"/>
    <w:rsid w:val="00764B04"/>
    <w:rsid w:val="007659CE"/>
    <w:rsid w:val="00774813"/>
    <w:rsid w:val="00775C58"/>
    <w:rsid w:val="00780324"/>
    <w:rsid w:val="0078793F"/>
    <w:rsid w:val="007929F9"/>
    <w:rsid w:val="00796475"/>
    <w:rsid w:val="007A2F72"/>
    <w:rsid w:val="007A5585"/>
    <w:rsid w:val="007B138F"/>
    <w:rsid w:val="007B3B5A"/>
    <w:rsid w:val="007E4919"/>
    <w:rsid w:val="007E4CD9"/>
    <w:rsid w:val="0080129C"/>
    <w:rsid w:val="00803119"/>
    <w:rsid w:val="00806BD2"/>
    <w:rsid w:val="00810E53"/>
    <w:rsid w:val="00822103"/>
    <w:rsid w:val="008225BB"/>
    <w:rsid w:val="00827AF6"/>
    <w:rsid w:val="0084599F"/>
    <w:rsid w:val="00851470"/>
    <w:rsid w:val="0085562F"/>
    <w:rsid w:val="00862237"/>
    <w:rsid w:val="008630F1"/>
    <w:rsid w:val="00882CF0"/>
    <w:rsid w:val="00882D2D"/>
    <w:rsid w:val="00884D22"/>
    <w:rsid w:val="00887F0C"/>
    <w:rsid w:val="008932E9"/>
    <w:rsid w:val="00893342"/>
    <w:rsid w:val="008A20C5"/>
    <w:rsid w:val="008A2139"/>
    <w:rsid w:val="008A537E"/>
    <w:rsid w:val="008A74C4"/>
    <w:rsid w:val="008B5548"/>
    <w:rsid w:val="008D0CD6"/>
    <w:rsid w:val="008D2F81"/>
    <w:rsid w:val="008D3183"/>
    <w:rsid w:val="008D6382"/>
    <w:rsid w:val="008E09FF"/>
    <w:rsid w:val="008E0CAE"/>
    <w:rsid w:val="008E3737"/>
    <w:rsid w:val="008E5BBD"/>
    <w:rsid w:val="008E6C59"/>
    <w:rsid w:val="009020BB"/>
    <w:rsid w:val="009135BC"/>
    <w:rsid w:val="00914A50"/>
    <w:rsid w:val="009177A4"/>
    <w:rsid w:val="00926DE5"/>
    <w:rsid w:val="00933309"/>
    <w:rsid w:val="00933350"/>
    <w:rsid w:val="00935649"/>
    <w:rsid w:val="00940F9F"/>
    <w:rsid w:val="009510F3"/>
    <w:rsid w:val="00952E73"/>
    <w:rsid w:val="009548F8"/>
    <w:rsid w:val="00955BF2"/>
    <w:rsid w:val="0095705A"/>
    <w:rsid w:val="00957EC7"/>
    <w:rsid w:val="0096152F"/>
    <w:rsid w:val="009811B0"/>
    <w:rsid w:val="0098135C"/>
    <w:rsid w:val="00983AB3"/>
    <w:rsid w:val="009859F4"/>
    <w:rsid w:val="009876FC"/>
    <w:rsid w:val="00991F3A"/>
    <w:rsid w:val="009A1A39"/>
    <w:rsid w:val="009A4620"/>
    <w:rsid w:val="009A7E86"/>
    <w:rsid w:val="009B47C3"/>
    <w:rsid w:val="009E7AB1"/>
    <w:rsid w:val="009F1E4A"/>
    <w:rsid w:val="009F210F"/>
    <w:rsid w:val="00A01DCE"/>
    <w:rsid w:val="00A020FF"/>
    <w:rsid w:val="00A04107"/>
    <w:rsid w:val="00A06BC8"/>
    <w:rsid w:val="00A079B5"/>
    <w:rsid w:val="00A14007"/>
    <w:rsid w:val="00A17429"/>
    <w:rsid w:val="00A329A3"/>
    <w:rsid w:val="00A342D1"/>
    <w:rsid w:val="00A3694E"/>
    <w:rsid w:val="00A41D96"/>
    <w:rsid w:val="00A43231"/>
    <w:rsid w:val="00A50392"/>
    <w:rsid w:val="00A52202"/>
    <w:rsid w:val="00A52B4E"/>
    <w:rsid w:val="00A613D6"/>
    <w:rsid w:val="00A61EED"/>
    <w:rsid w:val="00A70D2D"/>
    <w:rsid w:val="00A7125D"/>
    <w:rsid w:val="00A82369"/>
    <w:rsid w:val="00A95D67"/>
    <w:rsid w:val="00A962BA"/>
    <w:rsid w:val="00AA0F05"/>
    <w:rsid w:val="00AA4886"/>
    <w:rsid w:val="00AB3AC8"/>
    <w:rsid w:val="00AC0C64"/>
    <w:rsid w:val="00AC0D0A"/>
    <w:rsid w:val="00AD4F83"/>
    <w:rsid w:val="00AD50B6"/>
    <w:rsid w:val="00AE1996"/>
    <w:rsid w:val="00AE29A0"/>
    <w:rsid w:val="00AE465F"/>
    <w:rsid w:val="00AF03B2"/>
    <w:rsid w:val="00AF1A08"/>
    <w:rsid w:val="00AF7A2F"/>
    <w:rsid w:val="00AF7FC0"/>
    <w:rsid w:val="00B072DA"/>
    <w:rsid w:val="00B11C45"/>
    <w:rsid w:val="00B20B1E"/>
    <w:rsid w:val="00B23AB7"/>
    <w:rsid w:val="00B2751A"/>
    <w:rsid w:val="00B30E63"/>
    <w:rsid w:val="00B40328"/>
    <w:rsid w:val="00B44D6A"/>
    <w:rsid w:val="00B5518A"/>
    <w:rsid w:val="00B55C78"/>
    <w:rsid w:val="00B56364"/>
    <w:rsid w:val="00B577EA"/>
    <w:rsid w:val="00B617B8"/>
    <w:rsid w:val="00B661BE"/>
    <w:rsid w:val="00B76CE5"/>
    <w:rsid w:val="00B87EF7"/>
    <w:rsid w:val="00B92D4E"/>
    <w:rsid w:val="00B93F08"/>
    <w:rsid w:val="00BA27DA"/>
    <w:rsid w:val="00BB522F"/>
    <w:rsid w:val="00BC017B"/>
    <w:rsid w:val="00BC640B"/>
    <w:rsid w:val="00BD1B07"/>
    <w:rsid w:val="00BD2CDA"/>
    <w:rsid w:val="00BD2D73"/>
    <w:rsid w:val="00BE39D6"/>
    <w:rsid w:val="00BE452E"/>
    <w:rsid w:val="00BE7EF8"/>
    <w:rsid w:val="00BF3DB6"/>
    <w:rsid w:val="00C169CB"/>
    <w:rsid w:val="00C20CD1"/>
    <w:rsid w:val="00C3196D"/>
    <w:rsid w:val="00C43450"/>
    <w:rsid w:val="00C44A15"/>
    <w:rsid w:val="00C461CA"/>
    <w:rsid w:val="00C473DF"/>
    <w:rsid w:val="00C53E37"/>
    <w:rsid w:val="00C57CFA"/>
    <w:rsid w:val="00C620E0"/>
    <w:rsid w:val="00C63839"/>
    <w:rsid w:val="00C72ECA"/>
    <w:rsid w:val="00C8517A"/>
    <w:rsid w:val="00C878E3"/>
    <w:rsid w:val="00C92436"/>
    <w:rsid w:val="00C924AA"/>
    <w:rsid w:val="00C951F0"/>
    <w:rsid w:val="00CA5CE6"/>
    <w:rsid w:val="00CA6412"/>
    <w:rsid w:val="00CB04A7"/>
    <w:rsid w:val="00CB1955"/>
    <w:rsid w:val="00CB23AA"/>
    <w:rsid w:val="00CB2FA7"/>
    <w:rsid w:val="00CB7661"/>
    <w:rsid w:val="00CD6690"/>
    <w:rsid w:val="00CE14D3"/>
    <w:rsid w:val="00CE4EC9"/>
    <w:rsid w:val="00D00E7F"/>
    <w:rsid w:val="00D01DAB"/>
    <w:rsid w:val="00D0304A"/>
    <w:rsid w:val="00D12B7E"/>
    <w:rsid w:val="00D25C2F"/>
    <w:rsid w:val="00D2788F"/>
    <w:rsid w:val="00D27CE4"/>
    <w:rsid w:val="00D33007"/>
    <w:rsid w:val="00D36F17"/>
    <w:rsid w:val="00D43FEF"/>
    <w:rsid w:val="00D51BFD"/>
    <w:rsid w:val="00D64A2C"/>
    <w:rsid w:val="00D715DD"/>
    <w:rsid w:val="00D71EF0"/>
    <w:rsid w:val="00D72601"/>
    <w:rsid w:val="00D8363F"/>
    <w:rsid w:val="00D90F60"/>
    <w:rsid w:val="00DA4E92"/>
    <w:rsid w:val="00DB6A15"/>
    <w:rsid w:val="00DB701B"/>
    <w:rsid w:val="00DC057A"/>
    <w:rsid w:val="00DC1FB3"/>
    <w:rsid w:val="00DC681E"/>
    <w:rsid w:val="00DD779D"/>
    <w:rsid w:val="00DE4BC3"/>
    <w:rsid w:val="00DF0643"/>
    <w:rsid w:val="00DF3F91"/>
    <w:rsid w:val="00DF5556"/>
    <w:rsid w:val="00DF69F9"/>
    <w:rsid w:val="00E141C6"/>
    <w:rsid w:val="00E217FA"/>
    <w:rsid w:val="00E22475"/>
    <w:rsid w:val="00E239A7"/>
    <w:rsid w:val="00E25DAA"/>
    <w:rsid w:val="00E33E07"/>
    <w:rsid w:val="00E356AA"/>
    <w:rsid w:val="00E41117"/>
    <w:rsid w:val="00E52729"/>
    <w:rsid w:val="00E5475D"/>
    <w:rsid w:val="00E666B5"/>
    <w:rsid w:val="00E71A51"/>
    <w:rsid w:val="00E72D3B"/>
    <w:rsid w:val="00E85CA8"/>
    <w:rsid w:val="00E974F4"/>
    <w:rsid w:val="00EA19AE"/>
    <w:rsid w:val="00EA2227"/>
    <w:rsid w:val="00EB01F1"/>
    <w:rsid w:val="00EB1C6A"/>
    <w:rsid w:val="00EB2B13"/>
    <w:rsid w:val="00EC31F9"/>
    <w:rsid w:val="00ED0C7B"/>
    <w:rsid w:val="00ED34EE"/>
    <w:rsid w:val="00ED3FCF"/>
    <w:rsid w:val="00ED646C"/>
    <w:rsid w:val="00EE1752"/>
    <w:rsid w:val="00EE7DF4"/>
    <w:rsid w:val="00EF10D0"/>
    <w:rsid w:val="00EF3233"/>
    <w:rsid w:val="00F02DC2"/>
    <w:rsid w:val="00F14120"/>
    <w:rsid w:val="00F204B5"/>
    <w:rsid w:val="00F20828"/>
    <w:rsid w:val="00F24FDF"/>
    <w:rsid w:val="00F27029"/>
    <w:rsid w:val="00F303CA"/>
    <w:rsid w:val="00F31622"/>
    <w:rsid w:val="00F46BD7"/>
    <w:rsid w:val="00F47BCC"/>
    <w:rsid w:val="00F6080D"/>
    <w:rsid w:val="00F82150"/>
    <w:rsid w:val="00F964F8"/>
    <w:rsid w:val="00F9691F"/>
    <w:rsid w:val="00FA2041"/>
    <w:rsid w:val="00FA3614"/>
    <w:rsid w:val="00FA52D5"/>
    <w:rsid w:val="00FA78D4"/>
    <w:rsid w:val="00FB1B29"/>
    <w:rsid w:val="00FB6CE0"/>
    <w:rsid w:val="00FB727B"/>
    <w:rsid w:val="00FC30F1"/>
    <w:rsid w:val="00FC4068"/>
    <w:rsid w:val="00FF1AF4"/>
    <w:rsid w:val="00FF79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133"/>
    <w:rPr>
      <w:lang w:val="es-ES_tradnl" w:eastAsia="es-ES_tradnl"/>
    </w:rPr>
  </w:style>
  <w:style w:type="paragraph" w:styleId="Ttulo2">
    <w:name w:val="heading 2"/>
    <w:basedOn w:val="Normal"/>
    <w:next w:val="Normal"/>
    <w:qFormat/>
    <w:rsid w:val="00F20828"/>
    <w:pPr>
      <w:keepNext/>
      <w:outlineLvl w:val="1"/>
    </w:pPr>
    <w:rPr>
      <w:b/>
      <w:sz w:val="14"/>
    </w:rPr>
  </w:style>
  <w:style w:type="paragraph" w:styleId="Ttulo4">
    <w:name w:val="heading 4"/>
    <w:basedOn w:val="Normal"/>
    <w:next w:val="Normal"/>
    <w:qFormat/>
    <w:rsid w:val="00F20828"/>
    <w:pPr>
      <w:keepNext/>
      <w:spacing w:before="35"/>
      <w:outlineLvl w:val="3"/>
    </w:pPr>
    <w:rPr>
      <w:i/>
      <w:sz w:val="14"/>
    </w:rPr>
  </w:style>
  <w:style w:type="paragraph" w:styleId="Ttulo6">
    <w:name w:val="heading 6"/>
    <w:basedOn w:val="Normal"/>
    <w:next w:val="Normal"/>
    <w:qFormat/>
    <w:rsid w:val="00D2788F"/>
    <w:pPr>
      <w:spacing w:before="240" w:after="60"/>
      <w:outlineLvl w:val="5"/>
    </w:pPr>
    <w:rPr>
      <w:b/>
      <w:bCs/>
      <w:sz w:val="22"/>
      <w:szCs w:val="22"/>
    </w:rPr>
  </w:style>
  <w:style w:type="paragraph" w:styleId="Ttulo7">
    <w:name w:val="heading 7"/>
    <w:basedOn w:val="Normal"/>
    <w:next w:val="Normal"/>
    <w:qFormat/>
    <w:rsid w:val="00D2788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20828"/>
    <w:pPr>
      <w:tabs>
        <w:tab w:val="center" w:pos="4252"/>
        <w:tab w:val="right" w:pos="8504"/>
      </w:tabs>
    </w:pPr>
  </w:style>
  <w:style w:type="paragraph" w:styleId="Piedepgina">
    <w:name w:val="footer"/>
    <w:basedOn w:val="Normal"/>
    <w:rsid w:val="00F20828"/>
    <w:pPr>
      <w:tabs>
        <w:tab w:val="center" w:pos="4252"/>
        <w:tab w:val="right" w:pos="8504"/>
      </w:tabs>
    </w:pPr>
  </w:style>
  <w:style w:type="character" w:styleId="Nmerodepgina">
    <w:name w:val="page number"/>
    <w:basedOn w:val="Fuentedeprrafopredeter"/>
    <w:rsid w:val="00F20828"/>
  </w:style>
  <w:style w:type="paragraph" w:styleId="Textoindependiente">
    <w:name w:val="Body Text"/>
    <w:basedOn w:val="Normal"/>
    <w:rsid w:val="00851470"/>
    <w:pPr>
      <w:jc w:val="both"/>
    </w:pPr>
    <w:rPr>
      <w:b/>
      <w:color w:val="0000FF"/>
      <w:sz w:val="24"/>
    </w:rPr>
  </w:style>
  <w:style w:type="paragraph" w:styleId="Textoindependiente2">
    <w:name w:val="Body Text 2"/>
    <w:basedOn w:val="Normal"/>
    <w:link w:val="Textoindependiente2Car"/>
    <w:rsid w:val="00851470"/>
    <w:pPr>
      <w:spacing w:after="120" w:line="480" w:lineRule="auto"/>
    </w:pPr>
  </w:style>
  <w:style w:type="character" w:styleId="Hipervnculo">
    <w:name w:val="Hyperlink"/>
    <w:basedOn w:val="Fuentedeprrafopredeter"/>
    <w:rsid w:val="00B30E63"/>
    <w:rPr>
      <w:color w:val="0000FF"/>
      <w:u w:val="single"/>
    </w:rPr>
  </w:style>
  <w:style w:type="paragraph" w:styleId="Textodeglobo">
    <w:name w:val="Balloon Text"/>
    <w:basedOn w:val="Normal"/>
    <w:semiHidden/>
    <w:rsid w:val="002D4189"/>
    <w:rPr>
      <w:rFonts w:ascii="Tahoma" w:hAnsi="Tahoma" w:cs="Tahoma"/>
      <w:sz w:val="16"/>
      <w:szCs w:val="16"/>
    </w:rPr>
  </w:style>
  <w:style w:type="paragraph" w:styleId="Sangradetextonormal">
    <w:name w:val="Body Text Indent"/>
    <w:basedOn w:val="Normal"/>
    <w:rsid w:val="00D2788F"/>
    <w:pPr>
      <w:spacing w:after="120"/>
      <w:ind w:left="283"/>
    </w:pPr>
  </w:style>
  <w:style w:type="paragraph" w:styleId="Sangra3detindependiente">
    <w:name w:val="Body Text Indent 3"/>
    <w:basedOn w:val="Normal"/>
    <w:rsid w:val="00D2788F"/>
    <w:pPr>
      <w:spacing w:after="120"/>
      <w:ind w:left="283"/>
    </w:pPr>
    <w:rPr>
      <w:sz w:val="16"/>
      <w:szCs w:val="16"/>
    </w:rPr>
  </w:style>
  <w:style w:type="paragraph" w:customStyle="1" w:styleId="leyes">
    <w:name w:val="leyes"/>
    <w:basedOn w:val="Normal"/>
    <w:rsid w:val="00D2788F"/>
    <w:pPr>
      <w:spacing w:after="240" w:line="360" w:lineRule="atLeast"/>
      <w:ind w:firstLine="567"/>
      <w:jc w:val="both"/>
    </w:pPr>
    <w:rPr>
      <w:sz w:val="24"/>
      <w:szCs w:val="24"/>
    </w:rPr>
  </w:style>
  <w:style w:type="paragraph" w:styleId="HTMLconformatoprevio">
    <w:name w:val="HTML Preformatted"/>
    <w:basedOn w:val="Normal"/>
    <w:rsid w:val="00D2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arrafonumerado">
    <w:name w:val="Parrafo numerado"/>
    <w:basedOn w:val="Normal"/>
    <w:link w:val="ParrafonumeradoCarCar"/>
    <w:rsid w:val="00AA4886"/>
    <w:pPr>
      <w:numPr>
        <w:numId w:val="21"/>
      </w:numPr>
      <w:spacing w:after="240" w:line="300" w:lineRule="atLeast"/>
      <w:jc w:val="both"/>
    </w:pPr>
    <w:rPr>
      <w:rFonts w:ascii="Friz Quadrata Std" w:hAnsi="Friz Quadrata Std"/>
      <w:sz w:val="22"/>
      <w:szCs w:val="22"/>
    </w:rPr>
  </w:style>
  <w:style w:type="character" w:customStyle="1" w:styleId="ParrafonumeradoCarCar">
    <w:name w:val="Parrafo numerado Car Car"/>
    <w:basedOn w:val="Fuentedeprrafopredeter"/>
    <w:link w:val="Parrafonumerado"/>
    <w:rsid w:val="00AA4886"/>
    <w:rPr>
      <w:rFonts w:ascii="Friz Quadrata Std" w:hAnsi="Friz Quadrata Std"/>
      <w:sz w:val="22"/>
      <w:szCs w:val="22"/>
      <w:lang w:val="es-ES_tradnl" w:eastAsia="es-ES_tradnl" w:bidi="ar-SA"/>
    </w:rPr>
  </w:style>
  <w:style w:type="paragraph" w:customStyle="1" w:styleId="guion">
    <w:name w:val="guion"/>
    <w:basedOn w:val="Normal"/>
    <w:rsid w:val="00AA4886"/>
    <w:pPr>
      <w:numPr>
        <w:ilvl w:val="2"/>
        <w:numId w:val="21"/>
      </w:numPr>
      <w:spacing w:after="240" w:line="300" w:lineRule="atLeast"/>
      <w:jc w:val="both"/>
    </w:pPr>
    <w:rPr>
      <w:rFonts w:ascii="Friz Quadrata Std" w:hAnsi="Friz Quadrata Std"/>
      <w:sz w:val="22"/>
    </w:rPr>
  </w:style>
  <w:style w:type="paragraph" w:customStyle="1" w:styleId="Letraindentada">
    <w:name w:val="Letra indentada"/>
    <w:basedOn w:val="Normal"/>
    <w:rsid w:val="00AA4886"/>
    <w:pPr>
      <w:numPr>
        <w:ilvl w:val="1"/>
        <w:numId w:val="21"/>
      </w:numPr>
      <w:spacing w:after="240" w:line="300" w:lineRule="atLeast"/>
      <w:jc w:val="both"/>
    </w:pPr>
    <w:rPr>
      <w:rFonts w:ascii="Friz Quadrata Std" w:hAnsi="Friz Quadrata Std" w:cs="Arial"/>
      <w:sz w:val="22"/>
      <w:szCs w:val="21"/>
    </w:rPr>
  </w:style>
  <w:style w:type="paragraph" w:customStyle="1" w:styleId="citadentroprrafo">
    <w:name w:val="cita dentro párrafo"/>
    <w:basedOn w:val="Parrafonumerado"/>
    <w:link w:val="citadentroprrafoCar"/>
    <w:rsid w:val="00AA4886"/>
    <w:pPr>
      <w:numPr>
        <w:numId w:val="0"/>
      </w:numPr>
    </w:pPr>
    <w:rPr>
      <w:sz w:val="19"/>
      <w:szCs w:val="19"/>
    </w:rPr>
  </w:style>
  <w:style w:type="character" w:customStyle="1" w:styleId="citadentroprrafoCar">
    <w:name w:val="cita dentro párrafo Car"/>
    <w:basedOn w:val="Fuentedeprrafopredeter"/>
    <w:link w:val="citadentroprrafo"/>
    <w:rsid w:val="00AA4886"/>
    <w:rPr>
      <w:rFonts w:ascii="Friz Quadrata Std" w:hAnsi="Friz Quadrata Std"/>
      <w:sz w:val="19"/>
      <w:szCs w:val="19"/>
      <w:lang w:val="es-ES_tradnl" w:eastAsia="es-ES_tradnl" w:bidi="ar-SA"/>
    </w:rPr>
  </w:style>
  <w:style w:type="character" w:customStyle="1" w:styleId="marginal">
    <w:name w:val="marginal"/>
    <w:basedOn w:val="Fuentedeprrafopredeter"/>
    <w:rsid w:val="00F6080D"/>
  </w:style>
  <w:style w:type="paragraph" w:customStyle="1" w:styleId="Pa4">
    <w:name w:val="Pa4"/>
    <w:basedOn w:val="Normal"/>
    <w:next w:val="Normal"/>
    <w:rsid w:val="00AF03B2"/>
    <w:pPr>
      <w:autoSpaceDE w:val="0"/>
      <w:autoSpaceDN w:val="0"/>
      <w:adjustRightInd w:val="0"/>
      <w:spacing w:line="213" w:lineRule="atLeast"/>
    </w:pPr>
    <w:rPr>
      <w:rFonts w:ascii="Adobe Garamond Pro Bold" w:hAnsi="Adobe Garamond Pro Bold"/>
      <w:sz w:val="24"/>
      <w:szCs w:val="24"/>
      <w:lang w:eastAsia="es-ES"/>
    </w:rPr>
  </w:style>
  <w:style w:type="character" w:customStyle="1" w:styleId="apple-converted-space">
    <w:name w:val="apple-converted-space"/>
    <w:rsid w:val="004F6DB4"/>
  </w:style>
  <w:style w:type="character" w:customStyle="1" w:styleId="ca">
    <w:name w:val="ca"/>
    <w:rsid w:val="004F6DB4"/>
  </w:style>
  <w:style w:type="character" w:customStyle="1" w:styleId="Textoindependiente2Car">
    <w:name w:val="Texto independiente 2 Car"/>
    <w:link w:val="Textoindependiente2"/>
    <w:rsid w:val="003D5133"/>
    <w:rPr>
      <w:rFonts w:ascii="Arial" w:hAnsi="Arial"/>
      <w:sz w:val="28"/>
      <w:lang w:eastAsia="es-ES_tradnl"/>
    </w:rPr>
  </w:style>
  <w:style w:type="paragraph" w:customStyle="1" w:styleId="Default">
    <w:name w:val="Default"/>
    <w:rsid w:val="003D513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D5133"/>
    <w:pPr>
      <w:ind w:left="708"/>
    </w:pPr>
  </w:style>
  <w:style w:type="character" w:styleId="Textoennegrita">
    <w:name w:val="Strong"/>
    <w:qFormat/>
    <w:rsid w:val="001530FA"/>
    <w:rPr>
      <w:b/>
      <w:bCs w:val="0"/>
    </w:rPr>
  </w:style>
  <w:style w:type="paragraph" w:customStyle="1" w:styleId="CarCarCar1CarCarCarCar">
    <w:name w:val="Car Car Car1 Car Car Car Car"/>
    <w:basedOn w:val="Normal"/>
    <w:rsid w:val="001530FA"/>
    <w:pPr>
      <w:spacing w:after="160" w:line="240" w:lineRule="exact"/>
    </w:pPr>
    <w:rPr>
      <w:rFonts w:ascii="Tahoma" w:hAnsi="Tahoma"/>
      <w:lang w:val="en-US" w:eastAsia="en-US"/>
    </w:rPr>
  </w:style>
  <w:style w:type="paragraph" w:customStyle="1" w:styleId="CarCarKarKar">
    <w:name w:val="Car Car Kar Kar"/>
    <w:basedOn w:val="Normal"/>
    <w:rsid w:val="004C03E2"/>
    <w:pPr>
      <w:spacing w:after="160" w:line="240" w:lineRule="exact"/>
    </w:pPr>
    <w:rPr>
      <w:rFonts w:ascii="Tahoma" w:hAnsi="Tahoma"/>
      <w:lang w:val="en-US" w:eastAsia="en-US"/>
    </w:rPr>
  </w:style>
  <w:style w:type="character" w:styleId="Refdenotaalpie">
    <w:name w:val="footnote reference"/>
    <w:unhideWhenUsed/>
    <w:rsid w:val="00A41D96"/>
    <w:rPr>
      <w:vertAlign w:val="superscript"/>
    </w:rPr>
  </w:style>
  <w:style w:type="paragraph" w:customStyle="1" w:styleId="CarCarCarCarCarCarCarCarCarCar">
    <w:name w:val="Car Car Car Car Car Car Car Car Car Car"/>
    <w:basedOn w:val="Normal"/>
    <w:rsid w:val="005C54B6"/>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5133"/>
    <w:rPr>
      <w:lang w:val="es-ES_tradnl" w:eastAsia="es-ES_tradnl"/>
    </w:rPr>
  </w:style>
  <w:style w:type="paragraph" w:styleId="Ttulo2">
    <w:name w:val="heading 2"/>
    <w:basedOn w:val="Normal"/>
    <w:next w:val="Normal"/>
    <w:qFormat/>
    <w:rsid w:val="00F20828"/>
    <w:pPr>
      <w:keepNext/>
      <w:outlineLvl w:val="1"/>
    </w:pPr>
    <w:rPr>
      <w:b/>
      <w:sz w:val="14"/>
    </w:rPr>
  </w:style>
  <w:style w:type="paragraph" w:styleId="Ttulo4">
    <w:name w:val="heading 4"/>
    <w:basedOn w:val="Normal"/>
    <w:next w:val="Normal"/>
    <w:qFormat/>
    <w:rsid w:val="00F20828"/>
    <w:pPr>
      <w:keepNext/>
      <w:spacing w:before="35"/>
      <w:outlineLvl w:val="3"/>
    </w:pPr>
    <w:rPr>
      <w:i/>
      <w:sz w:val="14"/>
    </w:rPr>
  </w:style>
  <w:style w:type="paragraph" w:styleId="Ttulo6">
    <w:name w:val="heading 6"/>
    <w:basedOn w:val="Normal"/>
    <w:next w:val="Normal"/>
    <w:qFormat/>
    <w:rsid w:val="00D2788F"/>
    <w:pPr>
      <w:spacing w:before="240" w:after="60"/>
      <w:outlineLvl w:val="5"/>
    </w:pPr>
    <w:rPr>
      <w:b/>
      <w:bCs/>
      <w:sz w:val="22"/>
      <w:szCs w:val="22"/>
    </w:rPr>
  </w:style>
  <w:style w:type="paragraph" w:styleId="Ttulo7">
    <w:name w:val="heading 7"/>
    <w:basedOn w:val="Normal"/>
    <w:next w:val="Normal"/>
    <w:qFormat/>
    <w:rsid w:val="00D2788F"/>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20828"/>
    <w:pPr>
      <w:tabs>
        <w:tab w:val="center" w:pos="4252"/>
        <w:tab w:val="right" w:pos="8504"/>
      </w:tabs>
    </w:pPr>
  </w:style>
  <w:style w:type="paragraph" w:styleId="Piedepgina">
    <w:name w:val="footer"/>
    <w:basedOn w:val="Normal"/>
    <w:rsid w:val="00F20828"/>
    <w:pPr>
      <w:tabs>
        <w:tab w:val="center" w:pos="4252"/>
        <w:tab w:val="right" w:pos="8504"/>
      </w:tabs>
    </w:pPr>
  </w:style>
  <w:style w:type="character" w:styleId="Nmerodepgina">
    <w:name w:val="page number"/>
    <w:basedOn w:val="Fuentedeprrafopredeter"/>
    <w:rsid w:val="00F20828"/>
  </w:style>
  <w:style w:type="paragraph" w:styleId="Textoindependiente">
    <w:name w:val="Body Text"/>
    <w:basedOn w:val="Normal"/>
    <w:rsid w:val="00851470"/>
    <w:pPr>
      <w:jc w:val="both"/>
    </w:pPr>
    <w:rPr>
      <w:b/>
      <w:color w:val="0000FF"/>
      <w:sz w:val="24"/>
    </w:rPr>
  </w:style>
  <w:style w:type="paragraph" w:styleId="Textoindependiente2">
    <w:name w:val="Body Text 2"/>
    <w:basedOn w:val="Normal"/>
    <w:link w:val="Textoindependiente2Car"/>
    <w:rsid w:val="00851470"/>
    <w:pPr>
      <w:spacing w:after="120" w:line="480" w:lineRule="auto"/>
    </w:pPr>
  </w:style>
  <w:style w:type="character" w:styleId="Hipervnculo">
    <w:name w:val="Hyperlink"/>
    <w:basedOn w:val="Fuentedeprrafopredeter"/>
    <w:rsid w:val="00B30E63"/>
    <w:rPr>
      <w:color w:val="0000FF"/>
      <w:u w:val="single"/>
    </w:rPr>
  </w:style>
  <w:style w:type="paragraph" w:styleId="Textodeglobo">
    <w:name w:val="Balloon Text"/>
    <w:basedOn w:val="Normal"/>
    <w:semiHidden/>
    <w:rsid w:val="002D4189"/>
    <w:rPr>
      <w:rFonts w:ascii="Tahoma" w:hAnsi="Tahoma" w:cs="Tahoma"/>
      <w:sz w:val="16"/>
      <w:szCs w:val="16"/>
    </w:rPr>
  </w:style>
  <w:style w:type="paragraph" w:styleId="Sangradetextonormal">
    <w:name w:val="Body Text Indent"/>
    <w:basedOn w:val="Normal"/>
    <w:rsid w:val="00D2788F"/>
    <w:pPr>
      <w:spacing w:after="120"/>
      <w:ind w:left="283"/>
    </w:pPr>
  </w:style>
  <w:style w:type="paragraph" w:styleId="Sangra3detindependiente">
    <w:name w:val="Body Text Indent 3"/>
    <w:basedOn w:val="Normal"/>
    <w:rsid w:val="00D2788F"/>
    <w:pPr>
      <w:spacing w:after="120"/>
      <w:ind w:left="283"/>
    </w:pPr>
    <w:rPr>
      <w:sz w:val="16"/>
      <w:szCs w:val="16"/>
    </w:rPr>
  </w:style>
  <w:style w:type="paragraph" w:customStyle="1" w:styleId="leyes">
    <w:name w:val="leyes"/>
    <w:basedOn w:val="Normal"/>
    <w:rsid w:val="00D2788F"/>
    <w:pPr>
      <w:spacing w:after="240" w:line="360" w:lineRule="atLeast"/>
      <w:ind w:firstLine="567"/>
      <w:jc w:val="both"/>
    </w:pPr>
    <w:rPr>
      <w:sz w:val="24"/>
      <w:szCs w:val="24"/>
    </w:rPr>
  </w:style>
  <w:style w:type="paragraph" w:styleId="HTMLconformatoprevio">
    <w:name w:val="HTML Preformatted"/>
    <w:basedOn w:val="Normal"/>
    <w:rsid w:val="00D27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arrafonumerado">
    <w:name w:val="Parrafo numerado"/>
    <w:basedOn w:val="Normal"/>
    <w:link w:val="ParrafonumeradoCarCar"/>
    <w:rsid w:val="00AA4886"/>
    <w:pPr>
      <w:numPr>
        <w:numId w:val="21"/>
      </w:numPr>
      <w:spacing w:after="240" w:line="300" w:lineRule="atLeast"/>
      <w:jc w:val="both"/>
    </w:pPr>
    <w:rPr>
      <w:rFonts w:ascii="Friz Quadrata Std" w:hAnsi="Friz Quadrata Std"/>
      <w:sz w:val="22"/>
      <w:szCs w:val="22"/>
    </w:rPr>
  </w:style>
  <w:style w:type="character" w:customStyle="1" w:styleId="ParrafonumeradoCarCar">
    <w:name w:val="Parrafo numerado Car Car"/>
    <w:basedOn w:val="Fuentedeprrafopredeter"/>
    <w:link w:val="Parrafonumerado"/>
    <w:rsid w:val="00AA4886"/>
    <w:rPr>
      <w:rFonts w:ascii="Friz Quadrata Std" w:hAnsi="Friz Quadrata Std"/>
      <w:sz w:val="22"/>
      <w:szCs w:val="22"/>
      <w:lang w:val="es-ES_tradnl" w:eastAsia="es-ES_tradnl" w:bidi="ar-SA"/>
    </w:rPr>
  </w:style>
  <w:style w:type="paragraph" w:customStyle="1" w:styleId="guion">
    <w:name w:val="guion"/>
    <w:basedOn w:val="Normal"/>
    <w:rsid w:val="00AA4886"/>
    <w:pPr>
      <w:numPr>
        <w:ilvl w:val="2"/>
        <w:numId w:val="21"/>
      </w:numPr>
      <w:spacing w:after="240" w:line="300" w:lineRule="atLeast"/>
      <w:jc w:val="both"/>
    </w:pPr>
    <w:rPr>
      <w:rFonts w:ascii="Friz Quadrata Std" w:hAnsi="Friz Quadrata Std"/>
      <w:sz w:val="22"/>
    </w:rPr>
  </w:style>
  <w:style w:type="paragraph" w:customStyle="1" w:styleId="Letraindentada">
    <w:name w:val="Letra indentada"/>
    <w:basedOn w:val="Normal"/>
    <w:rsid w:val="00AA4886"/>
    <w:pPr>
      <w:numPr>
        <w:ilvl w:val="1"/>
        <w:numId w:val="21"/>
      </w:numPr>
      <w:spacing w:after="240" w:line="300" w:lineRule="atLeast"/>
      <w:jc w:val="both"/>
    </w:pPr>
    <w:rPr>
      <w:rFonts w:ascii="Friz Quadrata Std" w:hAnsi="Friz Quadrata Std" w:cs="Arial"/>
      <w:sz w:val="22"/>
      <w:szCs w:val="21"/>
    </w:rPr>
  </w:style>
  <w:style w:type="paragraph" w:customStyle="1" w:styleId="citadentroprrafo">
    <w:name w:val="cita dentro párrafo"/>
    <w:basedOn w:val="Parrafonumerado"/>
    <w:link w:val="citadentroprrafoCar"/>
    <w:rsid w:val="00AA4886"/>
    <w:pPr>
      <w:numPr>
        <w:numId w:val="0"/>
      </w:numPr>
    </w:pPr>
    <w:rPr>
      <w:sz w:val="19"/>
      <w:szCs w:val="19"/>
    </w:rPr>
  </w:style>
  <w:style w:type="character" w:customStyle="1" w:styleId="citadentroprrafoCar">
    <w:name w:val="cita dentro párrafo Car"/>
    <w:basedOn w:val="Fuentedeprrafopredeter"/>
    <w:link w:val="citadentroprrafo"/>
    <w:rsid w:val="00AA4886"/>
    <w:rPr>
      <w:rFonts w:ascii="Friz Quadrata Std" w:hAnsi="Friz Quadrata Std"/>
      <w:sz w:val="19"/>
      <w:szCs w:val="19"/>
      <w:lang w:val="es-ES_tradnl" w:eastAsia="es-ES_tradnl" w:bidi="ar-SA"/>
    </w:rPr>
  </w:style>
  <w:style w:type="character" w:customStyle="1" w:styleId="marginal">
    <w:name w:val="marginal"/>
    <w:basedOn w:val="Fuentedeprrafopredeter"/>
    <w:rsid w:val="00F6080D"/>
  </w:style>
  <w:style w:type="paragraph" w:customStyle="1" w:styleId="Pa4">
    <w:name w:val="Pa4"/>
    <w:basedOn w:val="Normal"/>
    <w:next w:val="Normal"/>
    <w:rsid w:val="00AF03B2"/>
    <w:pPr>
      <w:autoSpaceDE w:val="0"/>
      <w:autoSpaceDN w:val="0"/>
      <w:adjustRightInd w:val="0"/>
      <w:spacing w:line="213" w:lineRule="atLeast"/>
    </w:pPr>
    <w:rPr>
      <w:rFonts w:ascii="Adobe Garamond Pro Bold" w:hAnsi="Adobe Garamond Pro Bold"/>
      <w:sz w:val="24"/>
      <w:szCs w:val="24"/>
      <w:lang w:eastAsia="es-ES"/>
    </w:rPr>
  </w:style>
  <w:style w:type="character" w:customStyle="1" w:styleId="apple-converted-space">
    <w:name w:val="apple-converted-space"/>
    <w:rsid w:val="004F6DB4"/>
  </w:style>
  <w:style w:type="character" w:customStyle="1" w:styleId="ca">
    <w:name w:val="ca"/>
    <w:rsid w:val="004F6DB4"/>
  </w:style>
  <w:style w:type="character" w:customStyle="1" w:styleId="Textoindependiente2Car">
    <w:name w:val="Texto independiente 2 Car"/>
    <w:link w:val="Textoindependiente2"/>
    <w:rsid w:val="003D5133"/>
    <w:rPr>
      <w:rFonts w:ascii="Arial" w:hAnsi="Arial"/>
      <w:sz w:val="28"/>
      <w:lang w:eastAsia="es-ES_tradnl"/>
    </w:rPr>
  </w:style>
  <w:style w:type="paragraph" w:customStyle="1" w:styleId="Default">
    <w:name w:val="Default"/>
    <w:rsid w:val="003D5133"/>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D5133"/>
    <w:pPr>
      <w:ind w:left="708"/>
    </w:pPr>
  </w:style>
  <w:style w:type="character" w:styleId="Textoennegrita">
    <w:name w:val="Strong"/>
    <w:qFormat/>
    <w:rsid w:val="001530FA"/>
    <w:rPr>
      <w:b/>
      <w:bCs w:val="0"/>
    </w:rPr>
  </w:style>
  <w:style w:type="paragraph" w:customStyle="1" w:styleId="CarCarCar1CarCarCarCar">
    <w:name w:val="Car Car Car1 Car Car Car Car"/>
    <w:basedOn w:val="Normal"/>
    <w:rsid w:val="001530FA"/>
    <w:pPr>
      <w:spacing w:after="160" w:line="240" w:lineRule="exact"/>
    </w:pPr>
    <w:rPr>
      <w:rFonts w:ascii="Tahoma" w:hAnsi="Tahoma"/>
      <w:lang w:val="en-US" w:eastAsia="en-US"/>
    </w:rPr>
  </w:style>
  <w:style w:type="paragraph" w:customStyle="1" w:styleId="CarCarKarKar">
    <w:name w:val="Car Car Kar Kar"/>
    <w:basedOn w:val="Normal"/>
    <w:rsid w:val="004C03E2"/>
    <w:pPr>
      <w:spacing w:after="160" w:line="240" w:lineRule="exact"/>
    </w:pPr>
    <w:rPr>
      <w:rFonts w:ascii="Tahoma" w:hAnsi="Tahoma"/>
      <w:lang w:val="en-US" w:eastAsia="en-US"/>
    </w:rPr>
  </w:style>
  <w:style w:type="character" w:styleId="Refdenotaalpie">
    <w:name w:val="footnote reference"/>
    <w:unhideWhenUsed/>
    <w:rsid w:val="00A41D96"/>
    <w:rPr>
      <w:vertAlign w:val="superscript"/>
    </w:rPr>
  </w:style>
  <w:style w:type="paragraph" w:customStyle="1" w:styleId="CarCarCarCarCarCarCarCarCarCar">
    <w:name w:val="Car Car Car Car Car Car Car Car Car Car"/>
    <w:basedOn w:val="Normal"/>
    <w:rsid w:val="005C54B6"/>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2001">
      <w:bodyDiv w:val="1"/>
      <w:marLeft w:val="0"/>
      <w:marRight w:val="0"/>
      <w:marTop w:val="0"/>
      <w:marBottom w:val="0"/>
      <w:divBdr>
        <w:top w:val="none" w:sz="0" w:space="0" w:color="auto"/>
        <w:left w:val="none" w:sz="0" w:space="0" w:color="auto"/>
        <w:bottom w:val="none" w:sz="0" w:space="0" w:color="auto"/>
        <w:right w:val="none" w:sz="0" w:space="0" w:color="auto"/>
      </w:divBdr>
    </w:div>
    <w:div w:id="408843187">
      <w:bodyDiv w:val="1"/>
      <w:marLeft w:val="0"/>
      <w:marRight w:val="0"/>
      <w:marTop w:val="0"/>
      <w:marBottom w:val="0"/>
      <w:divBdr>
        <w:top w:val="none" w:sz="0" w:space="0" w:color="auto"/>
        <w:left w:val="none" w:sz="0" w:space="0" w:color="auto"/>
        <w:bottom w:val="none" w:sz="0" w:space="0" w:color="auto"/>
        <w:right w:val="none" w:sz="0" w:space="0" w:color="auto"/>
      </w:divBdr>
    </w:div>
    <w:div w:id="529224624">
      <w:bodyDiv w:val="1"/>
      <w:marLeft w:val="0"/>
      <w:marRight w:val="0"/>
      <w:marTop w:val="0"/>
      <w:marBottom w:val="0"/>
      <w:divBdr>
        <w:top w:val="none" w:sz="0" w:space="0" w:color="auto"/>
        <w:left w:val="none" w:sz="0" w:space="0" w:color="auto"/>
        <w:bottom w:val="none" w:sz="0" w:space="0" w:color="auto"/>
        <w:right w:val="none" w:sz="0" w:space="0" w:color="auto"/>
      </w:divBdr>
    </w:div>
    <w:div w:id="605502218">
      <w:bodyDiv w:val="1"/>
      <w:marLeft w:val="0"/>
      <w:marRight w:val="0"/>
      <w:marTop w:val="0"/>
      <w:marBottom w:val="0"/>
      <w:divBdr>
        <w:top w:val="none" w:sz="0" w:space="0" w:color="auto"/>
        <w:left w:val="none" w:sz="0" w:space="0" w:color="auto"/>
        <w:bottom w:val="none" w:sz="0" w:space="0" w:color="auto"/>
        <w:right w:val="none" w:sz="0" w:space="0" w:color="auto"/>
      </w:divBdr>
    </w:div>
    <w:div w:id="915088851">
      <w:bodyDiv w:val="1"/>
      <w:marLeft w:val="0"/>
      <w:marRight w:val="0"/>
      <w:marTop w:val="0"/>
      <w:marBottom w:val="0"/>
      <w:divBdr>
        <w:top w:val="none" w:sz="0" w:space="0" w:color="auto"/>
        <w:left w:val="none" w:sz="0" w:space="0" w:color="auto"/>
        <w:bottom w:val="none" w:sz="0" w:space="0" w:color="auto"/>
        <w:right w:val="none" w:sz="0" w:space="0" w:color="auto"/>
      </w:divBdr>
    </w:div>
    <w:div w:id="186516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tgonzalc\AppData\Roaming\Microsoft\Plantillas\Direccion%20Contencios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8710-0ECE-4EC9-BF2C-B0B706FA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Direccion Contencioso.dot</Template>
  <TotalTime>0</TotalTime>
  <Pages>10</Pages>
  <Words>2721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INFORME DE LEGALIDAD SOBRE EL BORRADOR DE “CONVENIO DE COLABORACIÓN ENTRE EL AYUNTAMIENTO DE VITORIA-GASTEIZ, EL DEPARTAMENTO DE MEDIO AMBIENTE, PLANIFICACIÓN TERITORIAL, AGRICULTURA Y PESCA DEL GOBIERNO VASO Y LA FUNDACIÓN LABEIN-TECNALIA”</vt:lpstr>
    </vt:vector>
  </TitlesOfParts>
  <Company>EJIE</Company>
  <LinksUpToDate>false</LinksUpToDate>
  <CharactersWithSpaces>17652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LEGALIDAD SOBRE EL BORRADOR DE “CONVENIO DE COLABORACIÓN ENTRE EL AYUNTAMIENTO DE VITORIA-GASTEIZ, EL DEPARTAMENTO DE MEDIO AMBIENTE, PLANIFICACIÓN TERITORIAL, AGRICULTURA Y PESCA DEL GOBIERNO VASO Y LA FUNDACIÓN LABEIN-TECNALIA”</dc:title>
  <dc:creator>González De Castro, Txema</dc:creator>
  <cp:lastModifiedBy>Olabegoya Echevarria, Arantxa</cp:lastModifiedBy>
  <cp:revision>2</cp:revision>
  <cp:lastPrinted>2013-12-17T15:35:00Z</cp:lastPrinted>
  <dcterms:created xsi:type="dcterms:W3CDTF">2014-06-03T07:52:00Z</dcterms:created>
  <dcterms:modified xsi:type="dcterms:W3CDTF">2014-06-03T07:52:00Z</dcterms:modified>
</cp:coreProperties>
</file>