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79AB1" w14:textId="77777777" w:rsidR="003F223C" w:rsidRDefault="003F223C">
      <w:pPr>
        <w:pStyle w:val="Standard"/>
        <w:keepNext/>
        <w:keepLines/>
        <w:spacing w:after="198" w:line="288" w:lineRule="auto"/>
        <w:jc w:val="center"/>
        <w:outlineLvl w:val="0"/>
      </w:pPr>
    </w:p>
    <w:p w14:paraId="00863380" w14:textId="77777777" w:rsidR="003F223C" w:rsidRDefault="00B66A92">
      <w:pPr>
        <w:pStyle w:val="Standard"/>
        <w:keepNext/>
        <w:keepLines/>
        <w:spacing w:after="198" w:line="288" w:lineRule="auto"/>
        <w:jc w:val="center"/>
        <w:outlineLvl w:val="0"/>
        <w:rPr>
          <w:b/>
          <w:bCs/>
          <w:color w:val="365F91"/>
          <w:sz w:val="32"/>
          <w:szCs w:val="32"/>
        </w:rPr>
      </w:pPr>
      <w:r>
        <w:rPr>
          <w:rStyle w:val="Ninguno"/>
          <w:b/>
          <w:bCs/>
          <w:color w:val="365F91"/>
          <w:sz w:val="32"/>
          <w:szCs w:val="32"/>
        </w:rPr>
        <w:t>OBSERVATORIO VASCO DE DERECHO LOCAL</w:t>
      </w:r>
    </w:p>
    <w:p w14:paraId="377255A5" w14:textId="77777777" w:rsidR="003F223C" w:rsidRDefault="00B66A92">
      <w:pPr>
        <w:pStyle w:val="Standard"/>
        <w:keepNext/>
        <w:keepLines/>
        <w:spacing w:after="198" w:line="288" w:lineRule="auto"/>
        <w:jc w:val="center"/>
        <w:outlineLvl w:val="0"/>
      </w:pPr>
      <w:r>
        <w:rPr>
          <w:rStyle w:val="Ninguno"/>
          <w:b/>
          <w:bCs/>
          <w:color w:val="auto"/>
          <w:sz w:val="32"/>
          <w:szCs w:val="32"/>
        </w:rPr>
        <w:t>(</w:t>
      </w:r>
      <w:proofErr w:type="gramStart"/>
      <w:r>
        <w:rPr>
          <w:rStyle w:val="Ninguno"/>
          <w:b/>
          <w:bCs/>
          <w:color w:val="auto"/>
          <w:sz w:val="32"/>
          <w:szCs w:val="32"/>
        </w:rPr>
        <w:t>Mayo</w:t>
      </w:r>
      <w:proofErr w:type="gramEnd"/>
      <w:r>
        <w:rPr>
          <w:rStyle w:val="Ninguno"/>
          <w:b/>
          <w:bCs/>
          <w:color w:val="auto"/>
          <w:sz w:val="32"/>
          <w:szCs w:val="32"/>
        </w:rPr>
        <w:t>, 2026)</w:t>
      </w:r>
    </w:p>
    <w:p w14:paraId="384C71DC" w14:textId="77777777" w:rsidR="003F223C" w:rsidRDefault="003F223C">
      <w:pPr>
        <w:pStyle w:val="Standard"/>
        <w:keepNext/>
        <w:keepLines/>
        <w:spacing w:after="198" w:line="288" w:lineRule="auto"/>
        <w:jc w:val="both"/>
        <w:outlineLvl w:val="0"/>
        <w:rPr>
          <w:b/>
          <w:bCs/>
          <w:color w:val="365F91"/>
          <w:sz w:val="28"/>
          <w:szCs w:val="28"/>
        </w:rPr>
      </w:pPr>
    </w:p>
    <w:p w14:paraId="67B8DED5" w14:textId="77777777" w:rsidR="003F223C" w:rsidRDefault="00B66A92">
      <w:pPr>
        <w:pStyle w:val="Standard"/>
        <w:keepNext/>
        <w:keepLines/>
        <w:spacing w:after="198" w:line="288" w:lineRule="auto"/>
        <w:jc w:val="both"/>
        <w:outlineLvl w:val="0"/>
        <w:rPr>
          <w:b/>
          <w:bCs/>
          <w:color w:val="365F91"/>
          <w:sz w:val="28"/>
          <w:szCs w:val="28"/>
        </w:rPr>
      </w:pPr>
      <w:r>
        <w:rPr>
          <w:rStyle w:val="Ninguno"/>
          <w:b/>
          <w:bCs/>
          <w:color w:val="365F91"/>
          <w:sz w:val="28"/>
          <w:szCs w:val="28"/>
        </w:rPr>
        <w:t>PROYECTOS NORMATIVOS</w:t>
      </w:r>
    </w:p>
    <w:p w14:paraId="3A499062" w14:textId="77777777" w:rsidR="003F223C" w:rsidRDefault="00B66A92">
      <w:pPr>
        <w:pStyle w:val="Standard"/>
        <w:spacing w:after="198" w:line="288" w:lineRule="auto"/>
        <w:jc w:val="both"/>
        <w:outlineLvl w:val="0"/>
        <w:rPr>
          <w:b/>
          <w:bCs/>
          <w:color w:val="365F91"/>
          <w:sz w:val="28"/>
          <w:szCs w:val="28"/>
        </w:rPr>
      </w:pPr>
      <w:r>
        <w:rPr>
          <w:rStyle w:val="Ninguno"/>
          <w:b/>
          <w:bCs/>
          <w:color w:val="365F91"/>
          <w:sz w:val="28"/>
          <w:szCs w:val="28"/>
        </w:rPr>
        <w:t>Congreso de los Diputados:</w:t>
      </w:r>
    </w:p>
    <w:p w14:paraId="3334D4DF" w14:textId="77777777" w:rsidR="003F223C" w:rsidRPr="0062002E" w:rsidRDefault="00B66A92" w:rsidP="009954D2">
      <w:pPr>
        <w:pStyle w:val="Standard"/>
        <w:spacing w:after="80" w:line="288" w:lineRule="auto"/>
        <w:jc w:val="both"/>
        <w:outlineLvl w:val="0"/>
        <w:rPr>
          <w:b/>
          <w:bCs/>
        </w:rPr>
      </w:pPr>
      <w:r w:rsidRPr="0062002E">
        <w:rPr>
          <w:rStyle w:val="Ninguno"/>
          <w:b/>
          <w:bCs/>
          <w:color w:val="auto"/>
        </w:rPr>
        <w:t>- Proyecto de Ley de protección y resiliencia de las entidades críticas.</w:t>
      </w:r>
    </w:p>
    <w:p w14:paraId="0CD73D9D" w14:textId="77777777" w:rsidR="003F223C" w:rsidRPr="004F1741" w:rsidRDefault="00B66A92">
      <w:pPr>
        <w:pStyle w:val="Standard"/>
        <w:spacing w:after="198" w:line="288" w:lineRule="auto"/>
        <w:jc w:val="both"/>
        <w:outlineLvl w:val="0"/>
        <w:rPr>
          <w:rStyle w:val="Hyperlink0"/>
        </w:rPr>
      </w:pPr>
      <w:hyperlink r:id="rId7">
        <w:r w:rsidRPr="004F1741">
          <w:rPr>
            <w:rStyle w:val="Hyperlink0"/>
          </w:rPr>
          <w:t>https://www.congreso.es/webpublica/documentacion/docs_trabajo/leg15/121_000088/121_000088_dosier.pdf</w:t>
        </w:r>
      </w:hyperlink>
    </w:p>
    <w:p w14:paraId="38637844" w14:textId="77777777" w:rsidR="003F223C" w:rsidRDefault="003F223C">
      <w:pPr>
        <w:pStyle w:val="Standard"/>
        <w:spacing w:after="198" w:line="288" w:lineRule="auto"/>
        <w:jc w:val="both"/>
        <w:outlineLvl w:val="0"/>
      </w:pPr>
    </w:p>
    <w:p w14:paraId="5B09A670" w14:textId="77777777" w:rsidR="003F223C" w:rsidRDefault="00B66A92">
      <w:pPr>
        <w:pStyle w:val="Standard"/>
        <w:spacing w:after="198" w:line="288" w:lineRule="auto"/>
        <w:jc w:val="both"/>
        <w:outlineLvl w:val="0"/>
        <w:rPr>
          <w:b/>
          <w:bCs/>
          <w:color w:val="365F91"/>
          <w:sz w:val="28"/>
          <w:szCs w:val="28"/>
        </w:rPr>
      </w:pPr>
      <w:r>
        <w:rPr>
          <w:rStyle w:val="Ninguno"/>
          <w:b/>
          <w:bCs/>
          <w:color w:val="365F91"/>
          <w:sz w:val="28"/>
          <w:szCs w:val="28"/>
        </w:rPr>
        <w:t>OTROS DOCUMENTOS DE INTERÉS</w:t>
      </w:r>
    </w:p>
    <w:p w14:paraId="1C42F972" w14:textId="77777777" w:rsidR="003F223C" w:rsidRDefault="00B66A92" w:rsidP="0062002E">
      <w:pPr>
        <w:pStyle w:val="Standard"/>
        <w:spacing w:after="80" w:line="288" w:lineRule="auto"/>
        <w:jc w:val="both"/>
        <w:outlineLvl w:val="0"/>
        <w:rPr>
          <w:b/>
          <w:bCs/>
        </w:rPr>
      </w:pPr>
      <w:r>
        <w:rPr>
          <w:rStyle w:val="Ninguno"/>
          <w:b/>
          <w:bCs/>
          <w:color w:val="365F91"/>
          <w:sz w:val="28"/>
          <w:szCs w:val="28"/>
        </w:rPr>
        <w:t xml:space="preserve">- </w:t>
      </w:r>
      <w:r>
        <w:rPr>
          <w:b/>
          <w:bCs/>
        </w:rPr>
        <w:t>Orden TES/1573/2025, de 31 de diciembre, por la que se actualiza el contenido del anexo 2 del Real Decreto 713/2010, de 28 de mayo, sobre registro y depósito de convenios colectivos, acuerdos colectivos de trabajo y planes de igualdad. (BOE de 3 de enero de 2026)</w:t>
      </w:r>
    </w:p>
    <w:p w14:paraId="50684D53" w14:textId="77777777" w:rsidR="003F223C" w:rsidRDefault="00B66A92">
      <w:pPr>
        <w:pStyle w:val="Standard"/>
        <w:spacing w:after="198" w:line="288" w:lineRule="auto"/>
        <w:jc w:val="both"/>
        <w:outlineLvl w:val="0"/>
      </w:pPr>
      <w:hyperlink r:id="rId8">
        <w:r>
          <w:rPr>
            <w:rStyle w:val="Hyperlink0"/>
          </w:rPr>
          <w:t>https://www.boe.es/boe/dias/2026/01/03/pdfs/BOE-A-2026-158.pdf</w:t>
        </w:r>
      </w:hyperlink>
    </w:p>
    <w:p w14:paraId="4C6B4ADC" w14:textId="77777777" w:rsidR="003F223C" w:rsidRDefault="00B66A92" w:rsidP="0062002E">
      <w:pPr>
        <w:pStyle w:val="Standard"/>
        <w:spacing w:after="80" w:line="288" w:lineRule="auto"/>
        <w:jc w:val="both"/>
        <w:outlineLvl w:val="0"/>
        <w:rPr>
          <w:b/>
          <w:bCs/>
        </w:rPr>
      </w:pPr>
      <w:r>
        <w:rPr>
          <w:b/>
          <w:bCs/>
        </w:rPr>
        <w:t>- Orden TES/1582/2025, de 30 de diciembre, por la que se modifica la Orden TMS/368/2019, de 28 de marzo, por la que se desarrolla el Real Decreto 694/2017, de 3 de julio, por el que se desarrolla la Ley 30/2015, de 9 de septiembre, por la que se regula el Sistema de Formación Profesional para el Empleo en el ámbito laboral, en relación con la oferta formativa de las administraciones competentes y su financiación, y se establecen las bases reguladoras para la concesión de subvenciones públicas destinadas a su financiación. (BOE de 4 de enero de 2026)</w:t>
      </w:r>
    </w:p>
    <w:p w14:paraId="4B23AE5E" w14:textId="77777777" w:rsidR="003F223C" w:rsidRDefault="00B66A92">
      <w:pPr>
        <w:pStyle w:val="Standard"/>
        <w:spacing w:after="198" w:line="288" w:lineRule="auto"/>
        <w:jc w:val="both"/>
        <w:outlineLvl w:val="0"/>
      </w:pPr>
      <w:hyperlink r:id="rId9">
        <w:r>
          <w:rPr>
            <w:rStyle w:val="Hyperlink0"/>
          </w:rPr>
          <w:t>https://www.boe.es/boe/dias/2026/01/06/pdfs/BOE-A-2026-326.pdf</w:t>
        </w:r>
      </w:hyperlink>
    </w:p>
    <w:p w14:paraId="32E51AD3" w14:textId="77777777" w:rsidR="003F223C" w:rsidRDefault="00B66A92" w:rsidP="0062002E">
      <w:pPr>
        <w:pStyle w:val="Standard"/>
        <w:spacing w:after="80" w:line="288" w:lineRule="auto"/>
        <w:jc w:val="both"/>
        <w:outlineLvl w:val="0"/>
        <w:rPr>
          <w:b/>
          <w:bCs/>
        </w:rPr>
      </w:pPr>
      <w:r>
        <w:rPr>
          <w:b/>
          <w:bCs/>
        </w:rPr>
        <w:t>- Orden ECM/2/2026, de 9 de enero, por la que se dispone la creación de Deuda del Estado durante el año 2026 y enero de 2027. (BOE de 13 de enero de 2026)</w:t>
      </w:r>
    </w:p>
    <w:p w14:paraId="1A42DFDB" w14:textId="77777777" w:rsidR="003F223C" w:rsidRDefault="00B66A92">
      <w:pPr>
        <w:pStyle w:val="Standard"/>
        <w:spacing w:after="198" w:line="288" w:lineRule="auto"/>
        <w:jc w:val="both"/>
        <w:outlineLvl w:val="0"/>
      </w:pPr>
      <w:hyperlink r:id="rId10">
        <w:r>
          <w:rPr>
            <w:rStyle w:val="Hyperlink0"/>
          </w:rPr>
          <w:t>https://www.boe.es/boe/dias/2026/01/13/pdfs/BOE-A-2026-678.pdf</w:t>
        </w:r>
      </w:hyperlink>
    </w:p>
    <w:p w14:paraId="129287D0" w14:textId="77777777" w:rsidR="003F223C" w:rsidRDefault="00B66A92" w:rsidP="0062002E">
      <w:pPr>
        <w:pStyle w:val="Standard"/>
        <w:spacing w:after="80" w:line="288" w:lineRule="auto"/>
        <w:jc w:val="both"/>
        <w:outlineLvl w:val="0"/>
        <w:rPr>
          <w:b/>
          <w:bCs/>
        </w:rPr>
      </w:pPr>
      <w:r>
        <w:rPr>
          <w:b/>
          <w:bCs/>
        </w:rPr>
        <w:t>- Resolución de 8 de enero de 2026, de la Secretaría General del Tesoro y Financiación Internacional, por la que se actualiza el Anexo 1 incluido en la Resolución de 4 de julio de 2017, de la Secretaría General del Tesoro y Política Financiera, por la que se define el principio de pru</w:t>
      </w:r>
      <w:r>
        <w:rPr>
          <w:b/>
          <w:bCs/>
        </w:rPr>
        <w:lastRenderedPageBreak/>
        <w:t>dencia financiera aplicable a las operaciones de endeudamiento y derivados de las comunidades autónomas y entidades locales. (BOE de 13 de enero de 2026)</w:t>
      </w:r>
    </w:p>
    <w:p w14:paraId="1A70F355" w14:textId="77777777" w:rsidR="003F223C" w:rsidRDefault="00B66A92">
      <w:pPr>
        <w:pStyle w:val="Standard"/>
        <w:spacing w:after="198" w:line="288" w:lineRule="auto"/>
        <w:jc w:val="both"/>
        <w:outlineLvl w:val="0"/>
      </w:pPr>
      <w:hyperlink r:id="rId11">
        <w:r>
          <w:rPr>
            <w:rStyle w:val="Hyperlink0"/>
          </w:rPr>
          <w:t>https://www.boe.es/boe/dias/2026/01/13/pdfs/BOE-A-2026-679.pdf</w:t>
        </w:r>
      </w:hyperlink>
    </w:p>
    <w:p w14:paraId="7A33C344" w14:textId="77777777" w:rsidR="003F223C" w:rsidRDefault="00B66A92" w:rsidP="0062002E">
      <w:pPr>
        <w:pStyle w:val="Standard"/>
        <w:spacing w:after="80" w:line="288" w:lineRule="auto"/>
        <w:jc w:val="both"/>
        <w:outlineLvl w:val="0"/>
        <w:rPr>
          <w:b/>
          <w:bCs/>
        </w:rPr>
      </w:pPr>
      <w:r>
        <w:rPr>
          <w:b/>
          <w:bCs/>
        </w:rPr>
        <w:t>- Real Decreto 37/2026, de 19 de enero, por el que se declara luto oficial por los fallecidos en el accidente ferroviario acaecido en Adamuz (Córdoba). (BOE de 19 de enero de 2026)</w:t>
      </w:r>
    </w:p>
    <w:p w14:paraId="2ED6FB2B" w14:textId="77777777" w:rsidR="003F223C" w:rsidRDefault="00B66A92">
      <w:pPr>
        <w:pStyle w:val="Standard"/>
        <w:spacing w:after="198" w:line="288" w:lineRule="auto"/>
        <w:jc w:val="both"/>
        <w:outlineLvl w:val="0"/>
      </w:pPr>
      <w:hyperlink r:id="rId12">
        <w:r>
          <w:rPr>
            <w:rStyle w:val="Hyperlink0"/>
          </w:rPr>
          <w:t>https://www.boe.es/boe/dias/2026/01/19/pdfs/BOE-A-2026-1254.pdf</w:t>
        </w:r>
      </w:hyperlink>
    </w:p>
    <w:p w14:paraId="086E7704" w14:textId="77777777" w:rsidR="003F223C" w:rsidRDefault="00B66A92" w:rsidP="0062002E">
      <w:pPr>
        <w:pStyle w:val="Standard"/>
        <w:spacing w:after="80" w:line="288" w:lineRule="auto"/>
        <w:jc w:val="both"/>
        <w:outlineLvl w:val="0"/>
        <w:rPr>
          <w:b/>
          <w:bCs/>
        </w:rPr>
      </w:pPr>
      <w:r>
        <w:rPr>
          <w:b/>
          <w:bCs/>
        </w:rPr>
        <w:t>- Resolución de 14 de enero de 2026, de la Dirección General de Tráfico, por la que se establecen medidas especiales de regulación de tráfico durante el año 2026. (BOE de 19 de enero de 2026)</w:t>
      </w:r>
    </w:p>
    <w:p w14:paraId="10D8987E" w14:textId="77777777" w:rsidR="003F223C" w:rsidRDefault="00B66A92">
      <w:pPr>
        <w:pStyle w:val="Standard"/>
        <w:spacing w:after="198" w:line="288" w:lineRule="auto"/>
        <w:jc w:val="both"/>
        <w:outlineLvl w:val="0"/>
      </w:pPr>
      <w:hyperlink r:id="rId13">
        <w:r>
          <w:rPr>
            <w:rStyle w:val="Hyperlink0"/>
          </w:rPr>
          <w:t>https://www.boe.es/boe/dias/2026/01/20/pdfs/BOE-A-2026-1255.pdf</w:t>
        </w:r>
      </w:hyperlink>
    </w:p>
    <w:p w14:paraId="605ECA8D" w14:textId="77777777" w:rsidR="003F223C" w:rsidRDefault="00B66A92" w:rsidP="0062002E">
      <w:pPr>
        <w:pStyle w:val="Standard"/>
        <w:spacing w:after="80" w:line="288" w:lineRule="auto"/>
        <w:jc w:val="both"/>
        <w:outlineLvl w:val="0"/>
        <w:rPr>
          <w:b/>
          <w:bCs/>
        </w:rPr>
      </w:pPr>
      <w:r>
        <w:rPr>
          <w:b/>
          <w:bCs/>
        </w:rPr>
        <w:t>- Real Decreto 55/2026, de 3 de febrero, por el que se aprueba el Programa anual 2026 del Plan Estadístico Nacional 2025-2028. (BOE de 4 de febrero de 2026)</w:t>
      </w:r>
    </w:p>
    <w:p w14:paraId="2F8D6694" w14:textId="77777777" w:rsidR="003F223C" w:rsidRDefault="00B66A92">
      <w:pPr>
        <w:pStyle w:val="Standard"/>
        <w:spacing w:after="198" w:line="288" w:lineRule="auto"/>
        <w:jc w:val="both"/>
        <w:outlineLvl w:val="0"/>
      </w:pPr>
      <w:hyperlink r:id="rId14">
        <w:r>
          <w:rPr>
            <w:rStyle w:val="Hyperlink0"/>
          </w:rPr>
          <w:t>https://www.boe.es/boe/dias/2026/02/04/pdfs/BOE-A-2026-2555.pdf</w:t>
        </w:r>
      </w:hyperlink>
    </w:p>
    <w:p w14:paraId="5EA5100F" w14:textId="77777777" w:rsidR="003F223C" w:rsidRDefault="00B66A92" w:rsidP="0062002E">
      <w:pPr>
        <w:pStyle w:val="Standard"/>
        <w:spacing w:after="80" w:line="288" w:lineRule="auto"/>
        <w:jc w:val="both"/>
        <w:outlineLvl w:val="0"/>
      </w:pPr>
      <w:r>
        <w:rPr>
          <w:rStyle w:val="Ninguno"/>
          <w:b/>
          <w:bCs/>
          <w:shd w:val="clear" w:color="auto" w:fill="FFFFFF"/>
        </w:rPr>
        <w:t>- Instrucción 1/2026, de 26 de marzo, de la Junta Electoral Central, sobre el acceso telemático a las copias del censo electoral por los representantes de las candidaturas electorales proclamadas. (BOE de 31 de marzo de 2026)</w:t>
      </w:r>
    </w:p>
    <w:p w14:paraId="7D65F68C" w14:textId="77777777" w:rsidR="003F223C" w:rsidRPr="004F1741" w:rsidRDefault="00B66A92">
      <w:pPr>
        <w:pStyle w:val="Standard"/>
        <w:spacing w:after="198" w:line="288" w:lineRule="auto"/>
        <w:jc w:val="both"/>
        <w:outlineLvl w:val="0"/>
        <w:rPr>
          <w:rStyle w:val="Hyperlink0"/>
        </w:rPr>
      </w:pPr>
      <w:hyperlink r:id="rId15">
        <w:r w:rsidRPr="004F1741">
          <w:rPr>
            <w:rStyle w:val="Hyperlink0"/>
          </w:rPr>
          <w:t>https://www.boe.es/boe/dias/2026/03/31/pdfs/BOE-A-2026-7297.pdf</w:t>
        </w:r>
      </w:hyperlink>
    </w:p>
    <w:p w14:paraId="4BB056AA" w14:textId="77777777" w:rsidR="003F223C" w:rsidRPr="001E0B18" w:rsidRDefault="00B66A92" w:rsidP="0062002E">
      <w:pPr>
        <w:pStyle w:val="Standard"/>
        <w:spacing w:after="80" w:line="288" w:lineRule="auto"/>
        <w:jc w:val="both"/>
        <w:outlineLvl w:val="0"/>
        <w:rPr>
          <w:rStyle w:val="Hyperlink0"/>
        </w:rPr>
      </w:pPr>
      <w:r>
        <w:rPr>
          <w:rStyle w:val="Ninguno"/>
          <w:b/>
          <w:bCs/>
          <w:shd w:val="clear" w:color="auto" w:fill="FFFFFF"/>
        </w:rPr>
        <w:t xml:space="preserve">- </w:t>
      </w:r>
      <w:r>
        <w:rPr>
          <w:rStyle w:val="Ninguno"/>
          <w:b/>
          <w:bCs/>
        </w:rPr>
        <w:t>Resolución de 14 de abril de 2026, de la Secretaría de Estado de Función Pública, por la que se dictan instrucciones sobre jornada y horarios de trabajo del personal al servicio de la Administración General del Estado y sus organismos públicos.</w:t>
      </w:r>
      <w:r>
        <w:rPr>
          <w:rStyle w:val="Ninguno"/>
        </w:rPr>
        <w:t xml:space="preserve"> (</w:t>
      </w:r>
      <w:r>
        <w:rPr>
          <w:rStyle w:val="Ninguno"/>
          <w:b/>
          <w:bCs/>
          <w:shd w:val="clear" w:color="auto" w:fill="FFFFFF"/>
        </w:rPr>
        <w:t>BOE de 14 d</w:t>
      </w:r>
      <w:r w:rsidRPr="001E0B18">
        <w:rPr>
          <w:rStyle w:val="Hyperlink0"/>
        </w:rPr>
        <w:t>e abril de 2026)</w:t>
      </w:r>
    </w:p>
    <w:p w14:paraId="46F990B3" w14:textId="59F9F16B" w:rsidR="003F223C" w:rsidRPr="004F1741" w:rsidRDefault="00B66A92">
      <w:pPr>
        <w:pStyle w:val="Standard"/>
        <w:spacing w:after="198" w:line="288" w:lineRule="auto"/>
        <w:jc w:val="both"/>
        <w:outlineLvl w:val="0"/>
        <w:rPr>
          <w:rStyle w:val="Hyperlink0"/>
        </w:rPr>
      </w:pPr>
      <w:hyperlink r:id="rId16" w:history="1">
        <w:r w:rsidRPr="001E0B18">
          <w:rPr>
            <w:rStyle w:val="Hyperlink0"/>
          </w:rPr>
          <w:t>https://www.boe.es/boe/dias/2026/04/15/pdfs/BOE-A-2026-8287.pdf</w:t>
        </w:r>
      </w:hyperlink>
    </w:p>
    <w:p w14:paraId="6D14EAFA" w14:textId="77777777" w:rsidR="003F223C" w:rsidRDefault="003F223C">
      <w:pPr>
        <w:pStyle w:val="Standard"/>
        <w:spacing w:after="198" w:line="288" w:lineRule="auto"/>
        <w:jc w:val="both"/>
        <w:outlineLvl w:val="0"/>
        <w:rPr>
          <w:b/>
          <w:bCs/>
          <w:shd w:val="clear" w:color="auto" w:fill="FFFFFF"/>
        </w:rPr>
      </w:pPr>
    </w:p>
    <w:p w14:paraId="56876ED5" w14:textId="77777777" w:rsidR="003F223C" w:rsidRDefault="00B66A92">
      <w:pPr>
        <w:pStyle w:val="Standard"/>
        <w:spacing w:after="120" w:line="288" w:lineRule="auto"/>
        <w:jc w:val="both"/>
        <w:rPr>
          <w:b/>
          <w:bCs/>
          <w:color w:val="1F497D"/>
          <w:sz w:val="28"/>
          <w:szCs w:val="28"/>
        </w:rPr>
      </w:pPr>
      <w:r>
        <w:rPr>
          <w:rStyle w:val="Ninguno"/>
          <w:b/>
          <w:bCs/>
          <w:color w:val="1F497D"/>
          <w:sz w:val="28"/>
          <w:szCs w:val="28"/>
        </w:rPr>
        <w:t>Artículos/Estudios doctrinales</w:t>
      </w:r>
    </w:p>
    <w:p w14:paraId="24B3BE84" w14:textId="77777777" w:rsidR="003F223C" w:rsidRDefault="00B66A92" w:rsidP="0062002E">
      <w:pPr>
        <w:pStyle w:val="Gorputz-testua"/>
        <w:spacing w:after="80" w:line="288" w:lineRule="auto"/>
      </w:pPr>
      <w:r>
        <w:rPr>
          <w:rStyle w:val="Ninguno"/>
          <w:rFonts w:ascii="Calibri" w:eastAsia="Calibri" w:hAnsi="Calibri" w:cs="Calibri"/>
          <w:b/>
          <w:bCs/>
          <w:i/>
          <w:iCs/>
          <w:sz w:val="22"/>
          <w:szCs w:val="22"/>
        </w:rPr>
        <w:t xml:space="preserve">- El juego del </w:t>
      </w:r>
      <w:proofErr w:type="spellStart"/>
      <w:r>
        <w:rPr>
          <w:rStyle w:val="Ninguno"/>
          <w:rFonts w:ascii="Calibri" w:eastAsia="Calibri" w:hAnsi="Calibri" w:cs="Calibri"/>
          <w:b/>
          <w:bCs/>
          <w:i/>
          <w:iCs/>
          <w:sz w:val="22"/>
          <w:szCs w:val="22"/>
        </w:rPr>
        <w:t>silencio</w:t>
      </w:r>
      <w:proofErr w:type="spellEnd"/>
      <w:r>
        <w:rPr>
          <w:rStyle w:val="Ninguno"/>
          <w:rFonts w:ascii="Calibri" w:eastAsia="Calibri" w:hAnsi="Calibri" w:cs="Calibri"/>
          <w:b/>
          <w:bCs/>
          <w:i/>
          <w:iCs/>
          <w:sz w:val="22"/>
          <w:szCs w:val="22"/>
        </w:rPr>
        <w:t xml:space="preserve"> </w:t>
      </w:r>
      <w:proofErr w:type="spellStart"/>
      <w:r>
        <w:rPr>
          <w:rStyle w:val="Ninguno"/>
          <w:rFonts w:ascii="Calibri" w:eastAsia="Calibri" w:hAnsi="Calibri" w:cs="Calibri"/>
          <w:b/>
          <w:bCs/>
          <w:i/>
          <w:iCs/>
          <w:sz w:val="22"/>
          <w:szCs w:val="22"/>
        </w:rPr>
        <w:t>administrativo</w:t>
      </w:r>
      <w:proofErr w:type="spellEnd"/>
      <w:r>
        <w:rPr>
          <w:rStyle w:val="Ninguno"/>
          <w:rFonts w:ascii="Calibri" w:eastAsia="Calibri" w:hAnsi="Calibri" w:cs="Calibri"/>
          <w:b/>
          <w:bCs/>
          <w:i/>
          <w:iCs/>
          <w:sz w:val="22"/>
          <w:szCs w:val="22"/>
        </w:rPr>
        <w:t xml:space="preserve"> </w:t>
      </w:r>
      <w:proofErr w:type="spellStart"/>
      <w:r>
        <w:rPr>
          <w:rStyle w:val="Ninguno"/>
          <w:rFonts w:ascii="Calibri" w:eastAsia="Calibri" w:hAnsi="Calibri" w:cs="Calibri"/>
          <w:b/>
          <w:bCs/>
          <w:i/>
          <w:iCs/>
          <w:sz w:val="22"/>
          <w:szCs w:val="22"/>
        </w:rPr>
        <w:t>en</w:t>
      </w:r>
      <w:proofErr w:type="spellEnd"/>
      <w:r>
        <w:rPr>
          <w:rStyle w:val="Ninguno"/>
          <w:rFonts w:ascii="Calibri" w:eastAsia="Calibri" w:hAnsi="Calibri" w:cs="Calibri"/>
          <w:b/>
          <w:bCs/>
          <w:i/>
          <w:iCs/>
          <w:sz w:val="22"/>
          <w:szCs w:val="22"/>
        </w:rPr>
        <w:t xml:space="preserve"> las solicitudes de </w:t>
      </w:r>
      <w:proofErr w:type="spellStart"/>
      <w:r>
        <w:rPr>
          <w:rStyle w:val="Ninguno"/>
          <w:rFonts w:ascii="Calibri" w:eastAsia="Calibri" w:hAnsi="Calibri" w:cs="Calibri"/>
          <w:b/>
          <w:bCs/>
          <w:i/>
          <w:iCs/>
          <w:sz w:val="22"/>
          <w:szCs w:val="22"/>
        </w:rPr>
        <w:t>información</w:t>
      </w:r>
      <w:proofErr w:type="spellEnd"/>
      <w:r>
        <w:rPr>
          <w:rStyle w:val="Ninguno"/>
          <w:rFonts w:ascii="Calibri" w:eastAsia="Calibri" w:hAnsi="Calibri" w:cs="Calibri"/>
          <w:b/>
          <w:bCs/>
          <w:i/>
          <w:iCs/>
          <w:sz w:val="22"/>
          <w:szCs w:val="22"/>
        </w:rPr>
        <w:t xml:space="preserve"> </w:t>
      </w:r>
      <w:proofErr w:type="spellStart"/>
      <w:r>
        <w:rPr>
          <w:rStyle w:val="Ninguno"/>
          <w:rFonts w:ascii="Calibri" w:eastAsia="Calibri" w:hAnsi="Calibri" w:cs="Calibri"/>
          <w:b/>
          <w:bCs/>
          <w:i/>
          <w:iCs/>
          <w:sz w:val="22"/>
          <w:szCs w:val="22"/>
        </w:rPr>
        <w:t>ambiental</w:t>
      </w:r>
      <w:proofErr w:type="spellEnd"/>
      <w:r>
        <w:rPr>
          <w:rStyle w:val="Ninguno"/>
          <w:rFonts w:ascii="Calibri" w:eastAsia="Calibri" w:hAnsi="Calibri" w:cs="Calibri"/>
          <w:b/>
          <w:bCs/>
          <w:i/>
          <w:iCs/>
          <w:sz w:val="22"/>
          <w:szCs w:val="22"/>
        </w:rPr>
        <w:t xml:space="preserve">, </w:t>
      </w:r>
      <w:r>
        <w:rPr>
          <w:rStyle w:val="Ninguno"/>
          <w:rFonts w:ascii="Calibri" w:eastAsia="Calibri" w:hAnsi="Calibri" w:cs="Calibri"/>
          <w:b/>
          <w:bCs/>
          <w:sz w:val="22"/>
          <w:szCs w:val="22"/>
        </w:rPr>
        <w:t>Javier Calvo García (</w:t>
      </w:r>
      <w:proofErr w:type="spellStart"/>
      <w:r>
        <w:rPr>
          <w:rStyle w:val="Ninguno"/>
          <w:rFonts w:ascii="Calibri" w:eastAsia="Calibri" w:hAnsi="Calibri" w:cs="Calibri"/>
          <w:b/>
          <w:bCs/>
          <w:sz w:val="22"/>
          <w:szCs w:val="22"/>
        </w:rPr>
        <w:t>publicado</w:t>
      </w:r>
      <w:proofErr w:type="spellEnd"/>
      <w:r>
        <w:rPr>
          <w:rStyle w:val="Ninguno"/>
          <w:rFonts w:ascii="Calibri" w:eastAsia="Calibri" w:hAnsi="Calibri" w:cs="Calibri"/>
          <w:b/>
          <w:bCs/>
          <w:sz w:val="22"/>
          <w:szCs w:val="22"/>
        </w:rPr>
        <w:t xml:space="preserve"> </w:t>
      </w:r>
      <w:proofErr w:type="spellStart"/>
      <w:r>
        <w:rPr>
          <w:rStyle w:val="Ninguno"/>
          <w:rFonts w:ascii="Calibri" w:eastAsia="Calibri" w:hAnsi="Calibri" w:cs="Calibri"/>
          <w:b/>
          <w:bCs/>
          <w:sz w:val="22"/>
          <w:szCs w:val="22"/>
        </w:rPr>
        <w:t>en</w:t>
      </w:r>
      <w:proofErr w:type="spellEnd"/>
      <w:r>
        <w:rPr>
          <w:rStyle w:val="Ninguno"/>
          <w:rFonts w:ascii="Calibri" w:eastAsia="Calibri" w:hAnsi="Calibri" w:cs="Calibri"/>
          <w:b/>
          <w:bCs/>
          <w:sz w:val="22"/>
          <w:szCs w:val="22"/>
        </w:rPr>
        <w:t xml:space="preserve"> </w:t>
      </w:r>
      <w:proofErr w:type="spellStart"/>
      <w:r>
        <w:rPr>
          <w:rStyle w:val="Ninguno"/>
          <w:rFonts w:ascii="Calibri" w:eastAsia="Calibri" w:hAnsi="Calibri" w:cs="Calibri"/>
          <w:b/>
          <w:bCs/>
          <w:sz w:val="22"/>
          <w:szCs w:val="22"/>
        </w:rPr>
        <w:t>el</w:t>
      </w:r>
      <w:proofErr w:type="spellEnd"/>
      <w:r>
        <w:rPr>
          <w:rStyle w:val="Ninguno"/>
          <w:rFonts w:ascii="Calibri" w:eastAsia="Calibri" w:hAnsi="Calibri" w:cs="Calibri"/>
          <w:b/>
          <w:bCs/>
          <w:sz w:val="22"/>
          <w:szCs w:val="22"/>
        </w:rPr>
        <w:t xml:space="preserve"> blog </w:t>
      </w:r>
      <w:proofErr w:type="spellStart"/>
      <w:r>
        <w:rPr>
          <w:rStyle w:val="Ninguno"/>
          <w:rFonts w:ascii="Calibri" w:eastAsia="Calibri" w:hAnsi="Calibri" w:cs="Calibri"/>
          <w:b/>
          <w:bCs/>
          <w:sz w:val="22"/>
          <w:szCs w:val="22"/>
        </w:rPr>
        <w:t>Acento</w:t>
      </w:r>
      <w:proofErr w:type="spellEnd"/>
      <w:r>
        <w:rPr>
          <w:rStyle w:val="Ninguno"/>
          <w:rFonts w:ascii="Calibri" w:eastAsia="Calibri" w:hAnsi="Calibri" w:cs="Calibri"/>
          <w:b/>
          <w:bCs/>
          <w:sz w:val="22"/>
          <w:szCs w:val="22"/>
        </w:rPr>
        <w:t xml:space="preserve"> Local, 22 de </w:t>
      </w:r>
      <w:proofErr w:type="spellStart"/>
      <w:r>
        <w:rPr>
          <w:rStyle w:val="Ninguno"/>
          <w:rFonts w:ascii="Calibri" w:eastAsia="Calibri" w:hAnsi="Calibri" w:cs="Calibri"/>
          <w:b/>
          <w:bCs/>
          <w:sz w:val="22"/>
          <w:szCs w:val="22"/>
        </w:rPr>
        <w:t>abril</w:t>
      </w:r>
      <w:proofErr w:type="spellEnd"/>
      <w:r>
        <w:rPr>
          <w:rStyle w:val="Ninguno"/>
          <w:rFonts w:ascii="Calibri" w:eastAsia="Calibri" w:hAnsi="Calibri" w:cs="Calibri"/>
          <w:b/>
          <w:bCs/>
          <w:sz w:val="22"/>
          <w:szCs w:val="22"/>
        </w:rPr>
        <w:t xml:space="preserve"> de 2026)</w:t>
      </w:r>
    </w:p>
    <w:p w14:paraId="1EA09F54" w14:textId="77777777" w:rsidR="003F223C" w:rsidRPr="004F1741" w:rsidRDefault="00B66A92" w:rsidP="004F1741">
      <w:pPr>
        <w:pStyle w:val="Standard"/>
        <w:spacing w:after="198" w:line="288" w:lineRule="auto"/>
        <w:jc w:val="both"/>
        <w:outlineLvl w:val="0"/>
        <w:rPr>
          <w:rStyle w:val="Hyperlink0"/>
        </w:rPr>
      </w:pPr>
      <w:hyperlink r:id="rId17">
        <w:r w:rsidRPr="004F1741">
          <w:rPr>
            <w:rStyle w:val="Hyperlink0"/>
          </w:rPr>
          <w:t>https://www.gobiernolocal.org/acento-local/el-juego-del-silencio-administrativo-en-las-solicitudes-de-informacion-ambiental/</w:t>
        </w:r>
      </w:hyperlink>
    </w:p>
    <w:p w14:paraId="130D1709" w14:textId="77777777" w:rsidR="003F223C" w:rsidRDefault="00B66A92" w:rsidP="0062002E">
      <w:pPr>
        <w:pStyle w:val="Gorputz-testua"/>
        <w:spacing w:after="80" w:line="288" w:lineRule="auto"/>
        <w:jc w:val="both"/>
      </w:pPr>
      <w:r>
        <w:rPr>
          <w:rStyle w:val="Ninguno"/>
          <w:rFonts w:ascii="Calibri" w:eastAsia="Calibri" w:hAnsi="Calibri" w:cs="Calibri"/>
          <w:b/>
          <w:bCs/>
          <w:i/>
          <w:iCs/>
          <w:sz w:val="22"/>
          <w:szCs w:val="22"/>
        </w:rPr>
        <w:t xml:space="preserve">- Publicidad </w:t>
      </w:r>
      <w:proofErr w:type="spellStart"/>
      <w:r>
        <w:rPr>
          <w:rStyle w:val="Ninguno"/>
          <w:rFonts w:ascii="Calibri" w:eastAsia="Calibri" w:hAnsi="Calibri" w:cs="Calibri"/>
          <w:b/>
          <w:bCs/>
          <w:i/>
          <w:iCs/>
          <w:sz w:val="22"/>
          <w:szCs w:val="22"/>
        </w:rPr>
        <w:t>sancionadora</w:t>
      </w:r>
      <w:proofErr w:type="spellEnd"/>
      <w:r>
        <w:rPr>
          <w:rStyle w:val="Ninguno"/>
          <w:rFonts w:ascii="Calibri" w:eastAsia="Calibri" w:hAnsi="Calibri" w:cs="Calibri"/>
          <w:b/>
          <w:bCs/>
          <w:i/>
          <w:iCs/>
          <w:sz w:val="22"/>
          <w:szCs w:val="22"/>
        </w:rPr>
        <w:t xml:space="preserve">, </w:t>
      </w:r>
      <w:proofErr w:type="spellStart"/>
      <w:r>
        <w:rPr>
          <w:rStyle w:val="Ninguno"/>
          <w:rFonts w:ascii="Calibri" w:eastAsia="Calibri" w:hAnsi="Calibri" w:cs="Calibri"/>
          <w:b/>
          <w:bCs/>
          <w:i/>
          <w:iCs/>
          <w:sz w:val="22"/>
          <w:szCs w:val="22"/>
        </w:rPr>
        <w:t>pena</w:t>
      </w:r>
      <w:proofErr w:type="spellEnd"/>
      <w:r>
        <w:rPr>
          <w:rStyle w:val="Ninguno"/>
          <w:rFonts w:ascii="Calibri" w:eastAsia="Calibri" w:hAnsi="Calibri" w:cs="Calibri"/>
          <w:b/>
          <w:bCs/>
          <w:i/>
          <w:iCs/>
          <w:sz w:val="22"/>
          <w:szCs w:val="22"/>
        </w:rPr>
        <w:t xml:space="preserve"> </w:t>
      </w:r>
      <w:proofErr w:type="spellStart"/>
      <w:r>
        <w:rPr>
          <w:rStyle w:val="Ninguno"/>
          <w:rFonts w:ascii="Calibri" w:eastAsia="Calibri" w:hAnsi="Calibri" w:cs="Calibri"/>
          <w:b/>
          <w:bCs/>
          <w:i/>
          <w:iCs/>
          <w:sz w:val="22"/>
          <w:szCs w:val="22"/>
        </w:rPr>
        <w:t>reputacional</w:t>
      </w:r>
      <w:proofErr w:type="spellEnd"/>
      <w:r>
        <w:rPr>
          <w:rStyle w:val="Ninguno"/>
          <w:rFonts w:ascii="Calibri" w:eastAsia="Calibri" w:hAnsi="Calibri" w:cs="Calibri"/>
          <w:b/>
          <w:bCs/>
          <w:i/>
          <w:iCs/>
          <w:sz w:val="22"/>
          <w:szCs w:val="22"/>
        </w:rPr>
        <w:t xml:space="preserve"> y tutela </w:t>
      </w:r>
      <w:proofErr w:type="spellStart"/>
      <w:r>
        <w:rPr>
          <w:rStyle w:val="Ninguno"/>
          <w:rFonts w:ascii="Calibri" w:eastAsia="Calibri" w:hAnsi="Calibri" w:cs="Calibri"/>
          <w:b/>
          <w:bCs/>
          <w:i/>
          <w:iCs/>
          <w:sz w:val="22"/>
          <w:szCs w:val="22"/>
        </w:rPr>
        <w:t>cautelar</w:t>
      </w:r>
      <w:proofErr w:type="spellEnd"/>
      <w:r>
        <w:rPr>
          <w:rStyle w:val="Ninguno"/>
          <w:rFonts w:ascii="Calibri" w:eastAsia="Calibri" w:hAnsi="Calibri" w:cs="Calibri"/>
          <w:b/>
          <w:bCs/>
          <w:i/>
          <w:iCs/>
          <w:sz w:val="22"/>
          <w:szCs w:val="22"/>
        </w:rPr>
        <w:t xml:space="preserve">, </w:t>
      </w:r>
      <w:r>
        <w:rPr>
          <w:rStyle w:val="Ninguno"/>
          <w:rFonts w:ascii="Calibri" w:eastAsia="Calibri" w:hAnsi="Calibri" w:cs="Calibri"/>
          <w:b/>
          <w:bCs/>
          <w:sz w:val="22"/>
          <w:szCs w:val="22"/>
        </w:rPr>
        <w:t>Mónica Domínguez Martin (</w:t>
      </w:r>
      <w:proofErr w:type="spellStart"/>
      <w:r>
        <w:rPr>
          <w:rStyle w:val="Ninguno"/>
          <w:rFonts w:ascii="Calibri" w:eastAsia="Calibri" w:hAnsi="Calibri" w:cs="Calibri"/>
          <w:b/>
          <w:bCs/>
          <w:sz w:val="22"/>
          <w:szCs w:val="22"/>
        </w:rPr>
        <w:t>publicado</w:t>
      </w:r>
      <w:proofErr w:type="spellEnd"/>
      <w:r>
        <w:rPr>
          <w:rStyle w:val="Ninguno"/>
          <w:rFonts w:ascii="Calibri" w:eastAsia="Calibri" w:hAnsi="Calibri" w:cs="Calibri"/>
          <w:b/>
          <w:bCs/>
          <w:sz w:val="22"/>
          <w:szCs w:val="22"/>
        </w:rPr>
        <w:t xml:space="preserve"> </w:t>
      </w:r>
      <w:proofErr w:type="spellStart"/>
      <w:r>
        <w:rPr>
          <w:rStyle w:val="Ninguno"/>
          <w:rFonts w:ascii="Calibri" w:eastAsia="Calibri" w:hAnsi="Calibri" w:cs="Calibri"/>
          <w:b/>
          <w:bCs/>
          <w:sz w:val="22"/>
          <w:szCs w:val="22"/>
        </w:rPr>
        <w:t>en</w:t>
      </w:r>
      <w:proofErr w:type="spellEnd"/>
      <w:r>
        <w:rPr>
          <w:rStyle w:val="Ninguno"/>
          <w:rFonts w:ascii="Calibri" w:eastAsia="Calibri" w:hAnsi="Calibri" w:cs="Calibri"/>
          <w:b/>
          <w:bCs/>
          <w:sz w:val="22"/>
          <w:szCs w:val="22"/>
        </w:rPr>
        <w:t xml:space="preserve"> </w:t>
      </w:r>
      <w:proofErr w:type="spellStart"/>
      <w:r>
        <w:rPr>
          <w:rStyle w:val="Ninguno"/>
          <w:rFonts w:ascii="Calibri" w:eastAsia="Calibri" w:hAnsi="Calibri" w:cs="Calibri"/>
          <w:b/>
          <w:bCs/>
          <w:sz w:val="22"/>
          <w:szCs w:val="22"/>
        </w:rPr>
        <w:t>el</w:t>
      </w:r>
      <w:proofErr w:type="spellEnd"/>
      <w:r>
        <w:rPr>
          <w:rStyle w:val="Ninguno"/>
          <w:rFonts w:ascii="Calibri" w:eastAsia="Calibri" w:hAnsi="Calibri" w:cs="Calibri"/>
          <w:b/>
          <w:bCs/>
          <w:sz w:val="22"/>
          <w:szCs w:val="22"/>
        </w:rPr>
        <w:t xml:space="preserve"> blog </w:t>
      </w:r>
      <w:proofErr w:type="spellStart"/>
      <w:r>
        <w:rPr>
          <w:rStyle w:val="Ninguno"/>
          <w:rFonts w:ascii="Calibri" w:eastAsia="Calibri" w:hAnsi="Calibri" w:cs="Calibri"/>
          <w:b/>
          <w:bCs/>
          <w:sz w:val="22"/>
          <w:szCs w:val="22"/>
        </w:rPr>
        <w:t>Acento</w:t>
      </w:r>
      <w:proofErr w:type="spellEnd"/>
      <w:r>
        <w:rPr>
          <w:rStyle w:val="Ninguno"/>
          <w:rFonts w:ascii="Calibri" w:eastAsia="Calibri" w:hAnsi="Calibri" w:cs="Calibri"/>
          <w:b/>
          <w:bCs/>
          <w:sz w:val="22"/>
          <w:szCs w:val="22"/>
        </w:rPr>
        <w:t xml:space="preserve"> Local, 15 de </w:t>
      </w:r>
      <w:proofErr w:type="spellStart"/>
      <w:r>
        <w:rPr>
          <w:rStyle w:val="Ninguno"/>
          <w:rFonts w:ascii="Calibri" w:eastAsia="Calibri" w:hAnsi="Calibri" w:cs="Calibri"/>
          <w:b/>
          <w:bCs/>
          <w:sz w:val="22"/>
          <w:szCs w:val="22"/>
        </w:rPr>
        <w:t>abril</w:t>
      </w:r>
      <w:proofErr w:type="spellEnd"/>
      <w:r>
        <w:rPr>
          <w:rStyle w:val="Ninguno"/>
          <w:rFonts w:ascii="Calibri" w:eastAsia="Calibri" w:hAnsi="Calibri" w:cs="Calibri"/>
          <w:b/>
          <w:bCs/>
          <w:sz w:val="22"/>
          <w:szCs w:val="22"/>
        </w:rPr>
        <w:t xml:space="preserve"> de 2026)</w:t>
      </w:r>
    </w:p>
    <w:p w14:paraId="78396C9D" w14:textId="77777777" w:rsidR="003F223C" w:rsidRPr="004F1741" w:rsidRDefault="00B66A92" w:rsidP="004F1741">
      <w:pPr>
        <w:pStyle w:val="Standard"/>
        <w:spacing w:after="198" w:line="288" w:lineRule="auto"/>
        <w:jc w:val="both"/>
        <w:outlineLvl w:val="0"/>
        <w:rPr>
          <w:rStyle w:val="Hyperlink0"/>
        </w:rPr>
      </w:pPr>
      <w:hyperlink r:id="rId18">
        <w:r w:rsidRPr="004F1741">
          <w:rPr>
            <w:rStyle w:val="Hyperlink0"/>
          </w:rPr>
          <w:t>https://www.gobiernolocal.org/acento-local/publicidad-sancionadora-pena-reputacional-y-tutela-cautelar/</w:t>
        </w:r>
      </w:hyperlink>
    </w:p>
    <w:p w14:paraId="4E08B3A7" w14:textId="77777777" w:rsidR="003F223C" w:rsidRDefault="00B66A92" w:rsidP="0062002E">
      <w:pPr>
        <w:pStyle w:val="Gorputz-testua"/>
        <w:spacing w:after="80" w:line="288" w:lineRule="auto"/>
        <w:jc w:val="both"/>
      </w:pPr>
      <w:r>
        <w:rPr>
          <w:rStyle w:val="Ninguno"/>
          <w:rFonts w:ascii="Calibri" w:eastAsia="Calibri" w:hAnsi="Calibri" w:cs="Calibri"/>
          <w:b/>
          <w:bCs/>
          <w:i/>
          <w:iCs/>
          <w:sz w:val="22"/>
          <w:szCs w:val="22"/>
        </w:rPr>
        <w:lastRenderedPageBreak/>
        <w:t xml:space="preserve">- Las </w:t>
      </w:r>
      <w:proofErr w:type="spellStart"/>
      <w:r>
        <w:rPr>
          <w:rStyle w:val="Ninguno"/>
          <w:rFonts w:ascii="Calibri" w:eastAsia="Calibri" w:hAnsi="Calibri" w:cs="Calibri"/>
          <w:b/>
          <w:bCs/>
          <w:i/>
          <w:iCs/>
          <w:sz w:val="22"/>
          <w:szCs w:val="22"/>
        </w:rPr>
        <w:t>declaraciones</w:t>
      </w:r>
      <w:proofErr w:type="spellEnd"/>
      <w:r>
        <w:rPr>
          <w:rStyle w:val="Ninguno"/>
          <w:rFonts w:ascii="Calibri" w:eastAsia="Calibri" w:hAnsi="Calibri" w:cs="Calibri"/>
          <w:b/>
          <w:bCs/>
          <w:i/>
          <w:iCs/>
          <w:sz w:val="22"/>
          <w:szCs w:val="22"/>
        </w:rPr>
        <w:t xml:space="preserve"> </w:t>
      </w:r>
      <w:proofErr w:type="spellStart"/>
      <w:r>
        <w:rPr>
          <w:rStyle w:val="Ninguno"/>
          <w:rFonts w:ascii="Calibri" w:eastAsia="Calibri" w:hAnsi="Calibri" w:cs="Calibri"/>
          <w:b/>
          <w:bCs/>
          <w:i/>
          <w:iCs/>
          <w:sz w:val="22"/>
          <w:szCs w:val="22"/>
        </w:rPr>
        <w:t>institucionales</w:t>
      </w:r>
      <w:proofErr w:type="spellEnd"/>
      <w:r>
        <w:rPr>
          <w:rStyle w:val="Ninguno"/>
          <w:rFonts w:ascii="Calibri" w:eastAsia="Calibri" w:hAnsi="Calibri" w:cs="Calibri"/>
          <w:b/>
          <w:bCs/>
          <w:i/>
          <w:iCs/>
          <w:sz w:val="22"/>
          <w:szCs w:val="22"/>
        </w:rPr>
        <w:t xml:space="preserve"> de </w:t>
      </w:r>
      <w:proofErr w:type="spellStart"/>
      <w:r>
        <w:rPr>
          <w:rStyle w:val="Ninguno"/>
          <w:rFonts w:ascii="Calibri" w:eastAsia="Calibri" w:hAnsi="Calibri" w:cs="Calibri"/>
          <w:b/>
          <w:bCs/>
          <w:i/>
          <w:iCs/>
          <w:sz w:val="22"/>
          <w:szCs w:val="22"/>
        </w:rPr>
        <w:t>los</w:t>
      </w:r>
      <w:proofErr w:type="spellEnd"/>
      <w:r>
        <w:rPr>
          <w:rStyle w:val="Ninguno"/>
          <w:rFonts w:ascii="Calibri" w:eastAsia="Calibri" w:hAnsi="Calibri" w:cs="Calibri"/>
          <w:b/>
          <w:bCs/>
          <w:i/>
          <w:iCs/>
          <w:sz w:val="22"/>
          <w:szCs w:val="22"/>
        </w:rPr>
        <w:t xml:space="preserve"> </w:t>
      </w:r>
      <w:proofErr w:type="spellStart"/>
      <w:r>
        <w:rPr>
          <w:rStyle w:val="Ninguno"/>
          <w:rFonts w:ascii="Calibri" w:eastAsia="Calibri" w:hAnsi="Calibri" w:cs="Calibri"/>
          <w:b/>
          <w:bCs/>
          <w:i/>
          <w:iCs/>
          <w:sz w:val="22"/>
          <w:szCs w:val="22"/>
        </w:rPr>
        <w:t>Gobiernos</w:t>
      </w:r>
      <w:proofErr w:type="spellEnd"/>
      <w:r>
        <w:rPr>
          <w:rStyle w:val="Ninguno"/>
          <w:rFonts w:ascii="Calibri" w:eastAsia="Calibri" w:hAnsi="Calibri" w:cs="Calibri"/>
          <w:b/>
          <w:bCs/>
          <w:i/>
          <w:iCs/>
          <w:sz w:val="22"/>
          <w:szCs w:val="22"/>
        </w:rPr>
        <w:t xml:space="preserve"> locales </w:t>
      </w:r>
      <w:proofErr w:type="spellStart"/>
      <w:r>
        <w:rPr>
          <w:rStyle w:val="Ninguno"/>
          <w:rFonts w:ascii="Calibri" w:eastAsia="Calibri" w:hAnsi="Calibri" w:cs="Calibri"/>
          <w:b/>
          <w:bCs/>
          <w:i/>
          <w:iCs/>
          <w:sz w:val="22"/>
          <w:szCs w:val="22"/>
        </w:rPr>
        <w:t>como</w:t>
      </w:r>
      <w:proofErr w:type="spellEnd"/>
      <w:r>
        <w:rPr>
          <w:rStyle w:val="Ninguno"/>
          <w:rFonts w:ascii="Calibri" w:eastAsia="Calibri" w:hAnsi="Calibri" w:cs="Calibri"/>
          <w:b/>
          <w:bCs/>
          <w:i/>
          <w:iCs/>
          <w:sz w:val="22"/>
          <w:szCs w:val="22"/>
        </w:rPr>
        <w:t xml:space="preserve"> </w:t>
      </w:r>
      <w:proofErr w:type="spellStart"/>
      <w:r>
        <w:rPr>
          <w:rStyle w:val="Ninguno"/>
          <w:rFonts w:ascii="Calibri" w:eastAsia="Calibri" w:hAnsi="Calibri" w:cs="Calibri"/>
          <w:b/>
          <w:bCs/>
          <w:i/>
          <w:iCs/>
          <w:sz w:val="22"/>
          <w:szCs w:val="22"/>
        </w:rPr>
        <w:t>manifestación</w:t>
      </w:r>
      <w:proofErr w:type="spellEnd"/>
      <w:r>
        <w:rPr>
          <w:rStyle w:val="Ninguno"/>
          <w:rFonts w:ascii="Calibri" w:eastAsia="Calibri" w:hAnsi="Calibri" w:cs="Calibri"/>
          <w:b/>
          <w:bCs/>
          <w:i/>
          <w:iCs/>
          <w:sz w:val="22"/>
          <w:szCs w:val="22"/>
        </w:rPr>
        <w:t xml:space="preserve"> </w:t>
      </w:r>
      <w:proofErr w:type="spellStart"/>
      <w:r>
        <w:rPr>
          <w:rStyle w:val="Ninguno"/>
          <w:rFonts w:ascii="Calibri" w:eastAsia="Calibri" w:hAnsi="Calibri" w:cs="Calibri"/>
          <w:b/>
          <w:bCs/>
          <w:i/>
          <w:iCs/>
          <w:sz w:val="22"/>
          <w:szCs w:val="22"/>
        </w:rPr>
        <w:t>específica</w:t>
      </w:r>
      <w:proofErr w:type="spellEnd"/>
      <w:r>
        <w:rPr>
          <w:rStyle w:val="Ninguno"/>
          <w:rFonts w:ascii="Calibri" w:eastAsia="Calibri" w:hAnsi="Calibri" w:cs="Calibri"/>
          <w:b/>
          <w:bCs/>
          <w:i/>
          <w:iCs/>
          <w:sz w:val="22"/>
          <w:szCs w:val="22"/>
        </w:rPr>
        <w:t xml:space="preserve"> de </w:t>
      </w:r>
      <w:proofErr w:type="spellStart"/>
      <w:r>
        <w:rPr>
          <w:rStyle w:val="Ninguno"/>
          <w:rFonts w:ascii="Calibri" w:eastAsia="Calibri" w:hAnsi="Calibri" w:cs="Calibri"/>
          <w:b/>
          <w:bCs/>
          <w:i/>
          <w:iCs/>
          <w:sz w:val="22"/>
          <w:szCs w:val="22"/>
        </w:rPr>
        <w:t>su</w:t>
      </w:r>
      <w:proofErr w:type="spellEnd"/>
      <w:r>
        <w:rPr>
          <w:rStyle w:val="Ninguno"/>
          <w:rFonts w:ascii="Calibri" w:eastAsia="Calibri" w:hAnsi="Calibri" w:cs="Calibri"/>
          <w:b/>
          <w:bCs/>
          <w:i/>
          <w:iCs/>
          <w:sz w:val="22"/>
          <w:szCs w:val="22"/>
        </w:rPr>
        <w:t xml:space="preserve"> </w:t>
      </w:r>
      <w:proofErr w:type="spellStart"/>
      <w:r>
        <w:rPr>
          <w:rStyle w:val="Ninguno"/>
          <w:rFonts w:ascii="Calibri" w:eastAsia="Calibri" w:hAnsi="Calibri" w:cs="Calibri"/>
          <w:b/>
          <w:bCs/>
          <w:i/>
          <w:iCs/>
          <w:sz w:val="22"/>
          <w:szCs w:val="22"/>
        </w:rPr>
        <w:t>actuación</w:t>
      </w:r>
      <w:proofErr w:type="spellEnd"/>
      <w:r>
        <w:rPr>
          <w:rStyle w:val="Ninguno"/>
          <w:rFonts w:ascii="Calibri" w:eastAsia="Calibri" w:hAnsi="Calibri" w:cs="Calibri"/>
          <w:b/>
          <w:bCs/>
          <w:i/>
          <w:iCs/>
          <w:sz w:val="22"/>
          <w:szCs w:val="22"/>
        </w:rPr>
        <w:t xml:space="preserve"> “</w:t>
      </w:r>
      <w:proofErr w:type="spellStart"/>
      <w:r>
        <w:rPr>
          <w:rStyle w:val="Ninguno"/>
          <w:rFonts w:ascii="Calibri" w:eastAsia="Calibri" w:hAnsi="Calibri" w:cs="Calibri"/>
          <w:b/>
          <w:bCs/>
          <w:i/>
          <w:iCs/>
          <w:sz w:val="22"/>
          <w:szCs w:val="22"/>
        </w:rPr>
        <w:t>internacional</w:t>
      </w:r>
      <w:proofErr w:type="spellEnd"/>
      <w:r>
        <w:rPr>
          <w:rStyle w:val="Ninguno"/>
          <w:rFonts w:ascii="Calibri" w:eastAsia="Calibri" w:hAnsi="Calibri" w:cs="Calibri"/>
          <w:b/>
          <w:bCs/>
          <w:i/>
          <w:iCs/>
          <w:sz w:val="22"/>
          <w:szCs w:val="22"/>
        </w:rPr>
        <w:t>”</w:t>
      </w:r>
      <w:r>
        <w:rPr>
          <w:rStyle w:val="Ninguno"/>
          <w:rFonts w:ascii="Calibri" w:eastAsia="Calibri" w:hAnsi="Calibri" w:cs="Calibri"/>
          <w:b/>
          <w:bCs/>
          <w:sz w:val="22"/>
          <w:szCs w:val="22"/>
        </w:rPr>
        <w:t>, Gustavo Manuel Díaz González (</w:t>
      </w:r>
      <w:proofErr w:type="spellStart"/>
      <w:r>
        <w:rPr>
          <w:rStyle w:val="Ninguno"/>
          <w:rFonts w:ascii="Calibri" w:eastAsia="Calibri" w:hAnsi="Calibri" w:cs="Calibri"/>
          <w:b/>
          <w:bCs/>
          <w:sz w:val="22"/>
          <w:szCs w:val="22"/>
        </w:rPr>
        <w:t>publicado</w:t>
      </w:r>
      <w:proofErr w:type="spellEnd"/>
      <w:r>
        <w:rPr>
          <w:rStyle w:val="Ninguno"/>
          <w:rFonts w:ascii="Calibri" w:eastAsia="Calibri" w:hAnsi="Calibri" w:cs="Calibri"/>
          <w:b/>
          <w:bCs/>
          <w:sz w:val="22"/>
          <w:szCs w:val="22"/>
        </w:rPr>
        <w:t xml:space="preserve"> </w:t>
      </w:r>
      <w:proofErr w:type="spellStart"/>
      <w:r>
        <w:rPr>
          <w:rStyle w:val="Ninguno"/>
          <w:rFonts w:ascii="Calibri" w:eastAsia="Calibri" w:hAnsi="Calibri" w:cs="Calibri"/>
          <w:b/>
          <w:bCs/>
          <w:sz w:val="22"/>
          <w:szCs w:val="22"/>
        </w:rPr>
        <w:t>en</w:t>
      </w:r>
      <w:proofErr w:type="spellEnd"/>
      <w:r>
        <w:rPr>
          <w:rStyle w:val="Ninguno"/>
          <w:rFonts w:ascii="Calibri" w:eastAsia="Calibri" w:hAnsi="Calibri" w:cs="Calibri"/>
          <w:b/>
          <w:bCs/>
          <w:sz w:val="22"/>
          <w:szCs w:val="22"/>
        </w:rPr>
        <w:t xml:space="preserve"> </w:t>
      </w:r>
      <w:proofErr w:type="spellStart"/>
      <w:r>
        <w:rPr>
          <w:rStyle w:val="Ninguno"/>
          <w:rFonts w:ascii="Calibri" w:eastAsia="Calibri" w:hAnsi="Calibri" w:cs="Calibri"/>
          <w:b/>
          <w:bCs/>
          <w:sz w:val="22"/>
          <w:szCs w:val="22"/>
        </w:rPr>
        <w:t>el</w:t>
      </w:r>
      <w:proofErr w:type="spellEnd"/>
      <w:r>
        <w:rPr>
          <w:rStyle w:val="Ninguno"/>
          <w:rFonts w:ascii="Calibri" w:eastAsia="Calibri" w:hAnsi="Calibri" w:cs="Calibri"/>
          <w:b/>
          <w:bCs/>
          <w:sz w:val="22"/>
          <w:szCs w:val="22"/>
        </w:rPr>
        <w:t xml:space="preserve"> blog </w:t>
      </w:r>
      <w:proofErr w:type="spellStart"/>
      <w:r>
        <w:rPr>
          <w:rStyle w:val="Ninguno"/>
          <w:rFonts w:ascii="Calibri" w:eastAsia="Calibri" w:hAnsi="Calibri" w:cs="Calibri"/>
          <w:b/>
          <w:bCs/>
          <w:sz w:val="22"/>
          <w:szCs w:val="22"/>
        </w:rPr>
        <w:t>Acento</w:t>
      </w:r>
      <w:proofErr w:type="spellEnd"/>
      <w:r>
        <w:rPr>
          <w:rStyle w:val="Ninguno"/>
          <w:rFonts w:ascii="Calibri" w:eastAsia="Calibri" w:hAnsi="Calibri" w:cs="Calibri"/>
          <w:b/>
          <w:bCs/>
          <w:sz w:val="22"/>
          <w:szCs w:val="22"/>
        </w:rPr>
        <w:t xml:space="preserve"> Local, 1 de </w:t>
      </w:r>
      <w:proofErr w:type="spellStart"/>
      <w:r>
        <w:rPr>
          <w:rStyle w:val="Ninguno"/>
          <w:rFonts w:ascii="Calibri" w:eastAsia="Calibri" w:hAnsi="Calibri" w:cs="Calibri"/>
          <w:b/>
          <w:bCs/>
          <w:sz w:val="22"/>
          <w:szCs w:val="22"/>
        </w:rPr>
        <w:t>abril</w:t>
      </w:r>
      <w:proofErr w:type="spellEnd"/>
      <w:r>
        <w:rPr>
          <w:rStyle w:val="Ninguno"/>
          <w:rFonts w:ascii="Calibri" w:eastAsia="Calibri" w:hAnsi="Calibri" w:cs="Calibri"/>
          <w:b/>
          <w:bCs/>
          <w:sz w:val="22"/>
          <w:szCs w:val="22"/>
        </w:rPr>
        <w:t xml:space="preserve"> de 2026)</w:t>
      </w:r>
    </w:p>
    <w:p w14:paraId="3EE0E7CF" w14:textId="77777777" w:rsidR="003F223C" w:rsidRPr="004F1741" w:rsidRDefault="00B66A92" w:rsidP="004F1741">
      <w:pPr>
        <w:pStyle w:val="Standard"/>
        <w:spacing w:after="198" w:line="288" w:lineRule="auto"/>
        <w:jc w:val="both"/>
        <w:outlineLvl w:val="0"/>
        <w:rPr>
          <w:rStyle w:val="Hyperlink0"/>
        </w:rPr>
      </w:pPr>
      <w:hyperlink r:id="rId19">
        <w:r w:rsidRPr="004F1741">
          <w:rPr>
            <w:rStyle w:val="Hyperlink0"/>
          </w:rPr>
          <w:t>https://www.gobiernolocal.org/acento-local/las-declaraciones-institucionales-de-los-gobiernos-locales-como-manifestacion-especifica-de-su-actuacion-internacional/</w:t>
        </w:r>
      </w:hyperlink>
    </w:p>
    <w:p w14:paraId="5529B761" w14:textId="77777777" w:rsidR="003F223C" w:rsidRPr="00D05A02" w:rsidRDefault="00B66A92" w:rsidP="0062002E">
      <w:pPr>
        <w:pStyle w:val="Gorputz-testua"/>
        <w:spacing w:after="80" w:line="288" w:lineRule="auto"/>
        <w:jc w:val="both"/>
        <w:rPr>
          <w:lang w:val="es-ES"/>
        </w:rPr>
      </w:pPr>
      <w:r w:rsidRPr="00D05A02">
        <w:rPr>
          <w:rStyle w:val="Ninguno"/>
          <w:rFonts w:ascii="Calibri" w:eastAsia="Calibri" w:hAnsi="Calibri" w:cs="Calibri"/>
          <w:b/>
          <w:bCs/>
          <w:i/>
          <w:iCs/>
          <w:sz w:val="22"/>
          <w:szCs w:val="22"/>
          <w:lang w:val="es-ES"/>
        </w:rPr>
        <w:t>- ¿Es posible la revisión de oficio de los convenios interadministrativos?,</w:t>
      </w:r>
      <w:r w:rsidRPr="00D05A02">
        <w:rPr>
          <w:rStyle w:val="Ninguno"/>
          <w:rFonts w:ascii="Calibri" w:eastAsia="Calibri" w:hAnsi="Calibri" w:cs="Calibri"/>
          <w:b/>
          <w:bCs/>
          <w:sz w:val="22"/>
          <w:szCs w:val="22"/>
          <w:lang w:val="es-ES"/>
        </w:rPr>
        <w:t xml:space="preserve"> Fernando Luque Regueiro</w:t>
      </w:r>
      <w:r w:rsidRPr="00D05A02">
        <w:rPr>
          <w:rStyle w:val="Ninguno"/>
          <w:rFonts w:ascii="Calibri" w:eastAsia="Calibri" w:hAnsi="Calibri" w:cs="Calibri"/>
          <w:sz w:val="22"/>
          <w:szCs w:val="22"/>
          <w:lang w:val="es-ES"/>
        </w:rPr>
        <w:t xml:space="preserve"> </w:t>
      </w:r>
      <w:r w:rsidRPr="00D05A02">
        <w:rPr>
          <w:rStyle w:val="Ninguno"/>
          <w:rFonts w:ascii="Calibri" w:eastAsia="Calibri" w:hAnsi="Calibri" w:cs="Calibri"/>
          <w:b/>
          <w:bCs/>
          <w:sz w:val="22"/>
          <w:szCs w:val="22"/>
          <w:lang w:val="es-ES"/>
        </w:rPr>
        <w:t>(publicado en el blog Acento Local, 25 de marzo de 2026)</w:t>
      </w:r>
    </w:p>
    <w:p w14:paraId="3C6CF382" w14:textId="3E9269E4" w:rsidR="003F223C" w:rsidRPr="004F1741" w:rsidRDefault="00B66A92" w:rsidP="004F1741">
      <w:pPr>
        <w:pStyle w:val="Standard"/>
        <w:spacing w:after="198" w:line="288" w:lineRule="auto"/>
        <w:jc w:val="both"/>
        <w:outlineLvl w:val="0"/>
        <w:rPr>
          <w:rStyle w:val="Hyperlink0"/>
        </w:rPr>
      </w:pPr>
      <w:hyperlink r:id="rId20" w:history="1">
        <w:r w:rsidRPr="001E0B18">
          <w:rPr>
            <w:rStyle w:val="Hyperlink0"/>
          </w:rPr>
          <w:t>https://www.gobiernolocal.org/acento-local/es-posible-la-revision-de-oficio-de-los-convenios-interadministrativos/</w:t>
        </w:r>
      </w:hyperlink>
    </w:p>
    <w:p w14:paraId="01599A3A" w14:textId="61B64B86" w:rsidR="003F223C" w:rsidRPr="00D05A02" w:rsidRDefault="003F223C">
      <w:pPr>
        <w:pStyle w:val="Gorputz-testua"/>
        <w:spacing w:line="288" w:lineRule="auto"/>
        <w:rPr>
          <w:rFonts w:ascii="Calibri" w:eastAsia="Calibri" w:hAnsi="Calibri" w:cs="Calibri"/>
          <w:i/>
          <w:iCs/>
          <w:sz w:val="22"/>
          <w:szCs w:val="22"/>
          <w:lang w:val="es-ES"/>
        </w:rPr>
      </w:pPr>
    </w:p>
    <w:p w14:paraId="657E4D1A" w14:textId="77777777" w:rsidR="003F223C" w:rsidRDefault="00B66A92">
      <w:pPr>
        <w:pStyle w:val="Gorputz-testua"/>
        <w:spacing w:line="288" w:lineRule="auto"/>
        <w:ind w:right="225"/>
      </w:pPr>
      <w:r>
        <w:rPr>
          <w:rStyle w:val="Ninguno"/>
          <w:rFonts w:ascii="Calibri" w:hAnsi="Calibri"/>
          <w:b/>
          <w:bCs/>
          <w:i/>
          <w:iCs/>
          <w:color w:val="1F497D"/>
          <w:sz w:val="28"/>
          <w:szCs w:val="28"/>
          <w:lang w:val="es-ES_tradnl"/>
        </w:rPr>
        <w:t>Sobre la Ley de Contratos Sector Público</w:t>
      </w:r>
    </w:p>
    <w:p w14:paraId="3960DAD4" w14:textId="77777777" w:rsidR="003F223C" w:rsidRDefault="00B66A92" w:rsidP="0062002E">
      <w:pPr>
        <w:pStyle w:val="Standard"/>
        <w:spacing w:after="80" w:line="288" w:lineRule="auto"/>
        <w:jc w:val="both"/>
      </w:pPr>
      <w:r>
        <w:rPr>
          <w:rStyle w:val="Ninguno"/>
          <w:b/>
          <w:bCs/>
          <w:i/>
          <w:iCs/>
        </w:rPr>
        <w:t xml:space="preserve">- A vueltas con el informe jurídico preceptivo (o no) en los contratos menores, </w:t>
      </w:r>
      <w:r>
        <w:rPr>
          <w:rStyle w:val="Ninguno"/>
          <w:b/>
          <w:bCs/>
        </w:rPr>
        <w:t>Concepción Campos Acuña (</w:t>
      </w:r>
      <w:r>
        <w:rPr>
          <w:rStyle w:val="Ninguno"/>
        </w:rPr>
        <w:t>publicado en el blog de la autora, enero 2026)</w:t>
      </w:r>
    </w:p>
    <w:p w14:paraId="53B7CA09" w14:textId="334B9A3F" w:rsidR="003F223C" w:rsidRPr="00DF2EAC" w:rsidRDefault="00DF2EAC" w:rsidP="004F1741">
      <w:pPr>
        <w:pStyle w:val="Standard"/>
        <w:spacing w:after="198" w:line="288" w:lineRule="auto"/>
        <w:jc w:val="both"/>
        <w:outlineLvl w:val="0"/>
        <w:rPr>
          <w:rStyle w:val="Hyperlink0"/>
        </w:rPr>
      </w:pPr>
      <w:r w:rsidRPr="00DF2EAC">
        <w:rPr>
          <w:rStyle w:val="Hyperlink0"/>
        </w:rPr>
        <w:fldChar w:fldCharType="begin"/>
      </w:r>
      <w:r w:rsidRPr="00DF2EAC">
        <w:rPr>
          <w:rStyle w:val="Hyperlink0"/>
        </w:rPr>
        <w:instrText>HYPERLINK "https://concepcioncampos.org/a-vueltas-con-el-informe-juridico-preceptivo-o-no-en-los-contratos-menores/"</w:instrText>
      </w:r>
      <w:r w:rsidRPr="00DF2EAC">
        <w:rPr>
          <w:rStyle w:val="Hyperlink0"/>
        </w:rPr>
      </w:r>
      <w:r w:rsidRPr="00DF2EAC">
        <w:rPr>
          <w:rStyle w:val="Hyperlink0"/>
        </w:rPr>
        <w:fldChar w:fldCharType="separate"/>
      </w:r>
      <w:r w:rsidR="00B66A92" w:rsidRPr="00DF2EAC">
        <w:rPr>
          <w:rStyle w:val="Hyperlink0"/>
        </w:rPr>
        <w:t>https://concepcioncampos.org/a-vueltas-con-el-informe-juridico-preceptivo-o-no-en-los-contratos-menores/</w:t>
      </w:r>
    </w:p>
    <w:p w14:paraId="4CCE9F00" w14:textId="53BD7D37" w:rsidR="003F223C" w:rsidRDefault="00DF2EAC" w:rsidP="0062002E">
      <w:pPr>
        <w:pStyle w:val="Standard"/>
        <w:spacing w:after="80" w:line="288" w:lineRule="auto"/>
        <w:jc w:val="both"/>
      </w:pPr>
      <w:r w:rsidRPr="00DF2EAC">
        <w:rPr>
          <w:rStyle w:val="Hyperlink0"/>
        </w:rPr>
        <w:fldChar w:fldCharType="end"/>
      </w:r>
      <w:r w:rsidR="00B66A92">
        <w:rPr>
          <w:rStyle w:val="Ninguno"/>
          <w:b/>
          <w:bCs/>
          <w:i/>
          <w:iCs/>
        </w:rPr>
        <w:t>- Procede la inadmisión del recurso especial cuando el recurrente, previamente excluido de la licitación, pretende reproducir sus argumentos al impugnar el acto de adjudicación,</w:t>
      </w:r>
      <w:r w:rsidR="00B66A92">
        <w:rPr>
          <w:rStyle w:val="Ninguno"/>
          <w:b/>
          <w:bCs/>
        </w:rPr>
        <w:t xml:space="preserve"> Juan Antonio Carrillo Donaire</w:t>
      </w:r>
      <w:r w:rsidR="00B66A92">
        <w:rPr>
          <w:rStyle w:val="Ninguno"/>
        </w:rPr>
        <w:t xml:space="preserve"> (publicado en el blog del </w:t>
      </w:r>
      <w:proofErr w:type="spellStart"/>
      <w:r w:rsidR="00B66A92">
        <w:rPr>
          <w:rStyle w:val="Ninguno"/>
        </w:rPr>
        <w:t>ObCP</w:t>
      </w:r>
      <w:proofErr w:type="spellEnd"/>
      <w:r w:rsidR="00B66A92">
        <w:rPr>
          <w:rStyle w:val="Ninguno"/>
        </w:rPr>
        <w:t>, 25 de febrero de 2026)</w:t>
      </w:r>
    </w:p>
    <w:p w14:paraId="2DB693C6" w14:textId="77777777" w:rsidR="003F223C" w:rsidRPr="004F1741" w:rsidRDefault="00B66A92" w:rsidP="004F1741">
      <w:pPr>
        <w:pStyle w:val="Standard"/>
        <w:spacing w:after="198" w:line="288" w:lineRule="auto"/>
        <w:jc w:val="both"/>
        <w:outlineLvl w:val="0"/>
        <w:rPr>
          <w:rStyle w:val="Hyperlink0"/>
        </w:rPr>
      </w:pPr>
      <w:hyperlink r:id="rId21">
        <w:r w:rsidRPr="004F1741">
          <w:rPr>
            <w:rStyle w:val="Hyperlink0"/>
          </w:rPr>
          <w:t>https://obcp.es/opiniones/procede-la-inadmision-del-recurso-especial-cuando-el-recurrente-previamente-excluido-de</w:t>
        </w:r>
      </w:hyperlink>
    </w:p>
    <w:p w14:paraId="504FE56D" w14:textId="77777777" w:rsidR="003F223C" w:rsidRDefault="00B66A92" w:rsidP="0062002E">
      <w:pPr>
        <w:pStyle w:val="Standard"/>
        <w:spacing w:after="80" w:line="288" w:lineRule="auto"/>
        <w:jc w:val="both"/>
        <w:rPr>
          <w:b/>
          <w:bCs/>
        </w:rPr>
      </w:pPr>
      <w:r>
        <w:rPr>
          <w:b/>
          <w:bCs/>
        </w:rPr>
        <w:t xml:space="preserve">- </w:t>
      </w:r>
      <w:r>
        <w:rPr>
          <w:b/>
          <w:bCs/>
          <w:i/>
          <w:iCs/>
        </w:rPr>
        <w:t>Uso de la Inteligencia artificial en la Contratación Pública</w:t>
      </w:r>
      <w:r>
        <w:rPr>
          <w:b/>
          <w:bCs/>
        </w:rPr>
        <w:t>, Rafael Dickson Morales</w:t>
      </w:r>
      <w:r>
        <w:rPr>
          <w:rStyle w:val="Ninguno"/>
          <w:b/>
          <w:bCs/>
        </w:rPr>
        <w:t xml:space="preserve"> </w:t>
      </w:r>
      <w:r>
        <w:rPr>
          <w:rStyle w:val="Ninguno"/>
        </w:rPr>
        <w:t xml:space="preserve">(publicado en el blog del </w:t>
      </w:r>
      <w:proofErr w:type="spellStart"/>
      <w:r>
        <w:rPr>
          <w:rStyle w:val="Ninguno"/>
        </w:rPr>
        <w:t>ObCP</w:t>
      </w:r>
      <w:proofErr w:type="spellEnd"/>
      <w:r>
        <w:rPr>
          <w:rStyle w:val="Ninguno"/>
        </w:rPr>
        <w:t>, 20 de febrero de 2026)</w:t>
      </w:r>
    </w:p>
    <w:p w14:paraId="24215FEA" w14:textId="77777777" w:rsidR="003F223C" w:rsidRPr="004F1741" w:rsidRDefault="00B66A92" w:rsidP="004F1741">
      <w:pPr>
        <w:pStyle w:val="Standard"/>
        <w:spacing w:after="198" w:line="288" w:lineRule="auto"/>
        <w:jc w:val="both"/>
        <w:outlineLvl w:val="0"/>
        <w:rPr>
          <w:rStyle w:val="Hyperlink0"/>
        </w:rPr>
      </w:pPr>
      <w:hyperlink r:id="rId22">
        <w:r w:rsidRPr="004F1741">
          <w:rPr>
            <w:rStyle w:val="Hyperlink0"/>
          </w:rPr>
          <w:t>https://obcp.es/opiniones/uso-de-la-inteligencia-artificial-en-la-contratacion-publica</w:t>
        </w:r>
      </w:hyperlink>
    </w:p>
    <w:p w14:paraId="2F695B44" w14:textId="77777777" w:rsidR="003F223C" w:rsidRDefault="00B66A92" w:rsidP="0062002E">
      <w:pPr>
        <w:pStyle w:val="Standard"/>
        <w:spacing w:after="80" w:line="288" w:lineRule="auto"/>
        <w:jc w:val="both"/>
        <w:rPr>
          <w:b/>
          <w:bCs/>
          <w:color w:val="1F497D"/>
          <w:sz w:val="24"/>
          <w:szCs w:val="24"/>
        </w:rPr>
      </w:pPr>
      <w:r>
        <w:rPr>
          <w:rStyle w:val="Ninguno"/>
          <w:b/>
          <w:bCs/>
          <w:i/>
          <w:iCs/>
          <w:color w:val="auto"/>
        </w:rPr>
        <w:t>- Propuesta integral para la reforma estructural del sistema europeo de Contratación Pública,</w:t>
      </w:r>
      <w:r>
        <w:rPr>
          <w:rStyle w:val="Ninguno"/>
          <w:color w:val="auto"/>
        </w:rPr>
        <w:t xml:space="preserve"> </w:t>
      </w:r>
      <w:proofErr w:type="spellStart"/>
      <w:r>
        <w:rPr>
          <w:rStyle w:val="Ninguno"/>
          <w:color w:val="auto"/>
        </w:rPr>
        <w:t>ObCP</w:t>
      </w:r>
      <w:proofErr w:type="spellEnd"/>
      <w:r>
        <w:rPr>
          <w:rStyle w:val="Ninguno"/>
          <w:color w:val="auto"/>
        </w:rPr>
        <w:t xml:space="preserve"> (Documento de análisis y propuesta normativa en el marco de la consulta pública de la Comisión Europea)</w:t>
      </w:r>
    </w:p>
    <w:p w14:paraId="77DF0F93" w14:textId="77777777" w:rsidR="003F223C" w:rsidRPr="004F1741" w:rsidRDefault="00B66A92" w:rsidP="004F1741">
      <w:pPr>
        <w:pStyle w:val="Standard"/>
        <w:spacing w:after="198" w:line="288" w:lineRule="auto"/>
        <w:jc w:val="both"/>
        <w:outlineLvl w:val="0"/>
        <w:rPr>
          <w:rStyle w:val="Hyperlink0"/>
        </w:rPr>
      </w:pPr>
      <w:hyperlink r:id="rId23">
        <w:r w:rsidRPr="004F1741">
          <w:rPr>
            <w:rStyle w:val="Hyperlink0"/>
          </w:rPr>
          <w:t>https://obcp.es/sites/default/files/2026-01/PROPUESTA%20INTEGRAL%20PARA%20LA%20REFORMA%20ESTRUCTURAL%20DEL%20SISTEMA%20EUROPEO%20DE%20CONTRATACI%C3%93N%20P%C3%9ABLICA.pdf</w:t>
        </w:r>
      </w:hyperlink>
    </w:p>
    <w:p w14:paraId="49E31C53" w14:textId="77777777" w:rsidR="009954D2" w:rsidRDefault="009954D2">
      <w:pPr>
        <w:suppressAutoHyphens/>
        <w:overflowPunct/>
        <w:rPr>
          <w:rStyle w:val="Ninguno"/>
          <w:rFonts w:ascii="Calibri" w:eastAsia="Calibri" w:hAnsi="Calibri" w:cs="Calibri"/>
          <w:b/>
          <w:bCs/>
          <w:color w:val="1F497D"/>
          <w:lang w:val="es-ES_tradnl" w:eastAsia="zh-CN" w:bidi="hi-IN"/>
        </w:rPr>
      </w:pPr>
      <w:r>
        <w:rPr>
          <w:rStyle w:val="Ninguno"/>
          <w:b/>
          <w:bCs/>
          <w:color w:val="1F497D"/>
        </w:rPr>
        <w:br w:type="page"/>
      </w:r>
    </w:p>
    <w:p w14:paraId="44CE4A16" w14:textId="77777777" w:rsidR="009954D2" w:rsidRDefault="009954D2">
      <w:pPr>
        <w:pStyle w:val="Standard"/>
        <w:spacing w:after="198" w:line="288" w:lineRule="auto"/>
        <w:jc w:val="both"/>
        <w:rPr>
          <w:rStyle w:val="Ninguno"/>
          <w:b/>
          <w:bCs/>
          <w:color w:val="1F497D"/>
          <w:sz w:val="24"/>
          <w:szCs w:val="24"/>
        </w:rPr>
      </w:pPr>
    </w:p>
    <w:p w14:paraId="24FB36A1" w14:textId="38FCFEEA" w:rsidR="003F223C" w:rsidRDefault="00B66A92">
      <w:pPr>
        <w:pStyle w:val="Standard"/>
        <w:spacing w:after="198" w:line="288" w:lineRule="auto"/>
        <w:jc w:val="both"/>
        <w:rPr>
          <w:b/>
          <w:bCs/>
          <w:color w:val="1F497D"/>
          <w:sz w:val="24"/>
          <w:szCs w:val="24"/>
        </w:rPr>
      </w:pPr>
      <w:r>
        <w:rPr>
          <w:rStyle w:val="Ninguno"/>
          <w:b/>
          <w:bCs/>
          <w:color w:val="1F497D"/>
          <w:sz w:val="24"/>
          <w:szCs w:val="24"/>
        </w:rPr>
        <w:t>Órgano de Recursos Contractuales de Euskadi</w:t>
      </w:r>
    </w:p>
    <w:p w14:paraId="546B8838" w14:textId="77777777" w:rsidR="003F223C" w:rsidRPr="00945392" w:rsidRDefault="00B66A92" w:rsidP="0062002E">
      <w:pPr>
        <w:pStyle w:val="Standard"/>
        <w:spacing w:after="80" w:line="288" w:lineRule="auto"/>
        <w:jc w:val="both"/>
      </w:pPr>
      <w:r>
        <w:rPr>
          <w:rStyle w:val="Ninguno"/>
          <w:b/>
          <w:bCs/>
          <w:color w:val="auto"/>
        </w:rPr>
        <w:t>- Reso</w:t>
      </w:r>
      <w:r w:rsidRPr="00945392">
        <w:rPr>
          <w:rStyle w:val="Ninguno"/>
          <w:b/>
          <w:bCs/>
          <w:color w:val="auto"/>
        </w:rPr>
        <w:t>lución 2/2026, de 8 de enero de 2026. L</w:t>
      </w:r>
      <w:r w:rsidRPr="00945392">
        <w:rPr>
          <w:rStyle w:val="Ninguno"/>
          <w:color w:val="auto"/>
        </w:rPr>
        <w:t xml:space="preserve">egitimación activa: la tiene el licitador excluido sin carácter firme si pretende obtener la declaración de licitación desierta que le posibilitaría presentar su oferta en un nuevo procedimiento, jurisprudencia europea. Prescripciones técnicas: doctrina general sobre la apreciación de su incumplimiento, prescripción descrita en términos numéricos; acreditación extemporánea de una prescripción técnica, la oferta es clara y no precisaba de subsanación o aclaración, principios de transparencia e igualdad de trato. </w:t>
      </w:r>
    </w:p>
    <w:p w14:paraId="3C559BFE" w14:textId="77777777" w:rsidR="003F223C" w:rsidRPr="00945392" w:rsidRDefault="00B66A92">
      <w:pPr>
        <w:pStyle w:val="Gorputz-testua"/>
        <w:spacing w:after="198" w:line="288" w:lineRule="auto"/>
        <w:jc w:val="both"/>
        <w:rPr>
          <w:rStyle w:val="Hyperlink0"/>
          <w:rFonts w:ascii="Calibri" w:hAnsi="Calibri" w:cs="Calibri"/>
          <w:sz w:val="22"/>
          <w:szCs w:val="22"/>
          <w:lang w:val="es-ES_tradnl"/>
        </w:rPr>
      </w:pPr>
      <w:hyperlink r:id="rId24">
        <w:r w:rsidRPr="00945392">
          <w:rPr>
            <w:rStyle w:val="Hyperlink0"/>
            <w:rFonts w:ascii="Calibri" w:hAnsi="Calibri" w:cs="Calibri"/>
            <w:sz w:val="22"/>
            <w:szCs w:val="22"/>
            <w:lang w:val="es-ES_tradnl"/>
          </w:rPr>
          <w:t>https://www.contratacion.euskadi.eus/contenidos/resolucion_oarc/2_2026/es_def/adjuntos/Resolucion2_2026.pdf</w:t>
        </w:r>
      </w:hyperlink>
    </w:p>
    <w:p w14:paraId="3B4E3C56" w14:textId="77777777" w:rsidR="003F223C" w:rsidRPr="00945392" w:rsidRDefault="00B66A92" w:rsidP="0062002E">
      <w:pPr>
        <w:pStyle w:val="Gorputz-testua"/>
        <w:spacing w:after="80" w:line="288" w:lineRule="auto"/>
        <w:jc w:val="both"/>
        <w:rPr>
          <w:rFonts w:ascii="Calibri" w:hAnsi="Calibri" w:cs="Calibri"/>
          <w:sz w:val="22"/>
          <w:szCs w:val="22"/>
        </w:rPr>
      </w:pPr>
      <w:r w:rsidRPr="00945392">
        <w:rPr>
          <w:rStyle w:val="Ninguno"/>
          <w:rFonts w:ascii="Calibri" w:eastAsia="Calibri" w:hAnsi="Calibri" w:cs="Calibri"/>
          <w:b/>
          <w:bCs/>
          <w:sz w:val="22"/>
          <w:szCs w:val="22"/>
        </w:rPr>
        <w:t xml:space="preserve">- </w:t>
      </w:r>
      <w:proofErr w:type="spellStart"/>
      <w:r w:rsidRPr="00945392">
        <w:rPr>
          <w:rStyle w:val="Ninguno"/>
          <w:rFonts w:ascii="Calibri" w:eastAsia="Calibri" w:hAnsi="Calibri" w:cs="Calibri"/>
          <w:b/>
          <w:bCs/>
          <w:sz w:val="22"/>
          <w:szCs w:val="22"/>
        </w:rPr>
        <w:t>Resolución</w:t>
      </w:r>
      <w:proofErr w:type="spellEnd"/>
      <w:r w:rsidRPr="00945392">
        <w:rPr>
          <w:rStyle w:val="Ninguno"/>
          <w:rFonts w:ascii="Calibri" w:eastAsia="Calibri" w:hAnsi="Calibri" w:cs="Calibri"/>
          <w:b/>
          <w:bCs/>
          <w:sz w:val="22"/>
          <w:szCs w:val="22"/>
        </w:rPr>
        <w:t xml:space="preserve"> 7/2026, de 14 de </w:t>
      </w:r>
      <w:proofErr w:type="spellStart"/>
      <w:r w:rsidRPr="00945392">
        <w:rPr>
          <w:rStyle w:val="Ninguno"/>
          <w:rFonts w:ascii="Calibri" w:eastAsia="Calibri" w:hAnsi="Calibri" w:cs="Calibri"/>
          <w:b/>
          <w:bCs/>
          <w:sz w:val="22"/>
          <w:szCs w:val="22"/>
        </w:rPr>
        <w:t>enero</w:t>
      </w:r>
      <w:proofErr w:type="spellEnd"/>
      <w:r w:rsidRPr="00945392">
        <w:rPr>
          <w:rStyle w:val="Ninguno"/>
          <w:rFonts w:ascii="Calibri" w:eastAsia="Calibri" w:hAnsi="Calibri" w:cs="Calibri"/>
          <w:b/>
          <w:bCs/>
          <w:sz w:val="22"/>
          <w:szCs w:val="22"/>
        </w:rPr>
        <w:t xml:space="preserve"> de 2026.</w:t>
      </w:r>
      <w:r w:rsidRPr="00945392">
        <w:rPr>
          <w:rStyle w:val="Ninguno"/>
          <w:rFonts w:ascii="Calibri" w:eastAsia="Calibri" w:hAnsi="Calibri" w:cs="Calibri"/>
          <w:sz w:val="22"/>
          <w:szCs w:val="22"/>
        </w:rPr>
        <w:t xml:space="preserve"> </w:t>
      </w:r>
      <w:proofErr w:type="spellStart"/>
      <w:r w:rsidRPr="00945392">
        <w:rPr>
          <w:rStyle w:val="Ninguno"/>
          <w:rFonts w:ascii="Calibri" w:hAnsi="Calibri" w:cs="Calibri"/>
          <w:sz w:val="22"/>
          <w:szCs w:val="22"/>
        </w:rPr>
        <w:t>Adjudicación</w:t>
      </w:r>
      <w:proofErr w:type="spellEnd"/>
      <w:r w:rsidRPr="00945392">
        <w:rPr>
          <w:rStyle w:val="Ninguno"/>
          <w:rFonts w:ascii="Calibri" w:hAnsi="Calibri" w:cs="Calibri"/>
          <w:sz w:val="22"/>
          <w:szCs w:val="22"/>
        </w:rPr>
        <w:t xml:space="preserve">. </w:t>
      </w:r>
      <w:proofErr w:type="spellStart"/>
      <w:r w:rsidRPr="00945392">
        <w:rPr>
          <w:rStyle w:val="Ninguno"/>
          <w:rFonts w:ascii="Calibri" w:hAnsi="Calibri" w:cs="Calibri"/>
          <w:sz w:val="22"/>
          <w:szCs w:val="22"/>
        </w:rPr>
        <w:t>Prohibición</w:t>
      </w:r>
      <w:proofErr w:type="spellEnd"/>
      <w:r w:rsidRPr="00945392">
        <w:rPr>
          <w:rStyle w:val="Ninguno"/>
          <w:rFonts w:ascii="Calibri" w:hAnsi="Calibri" w:cs="Calibri"/>
          <w:sz w:val="22"/>
          <w:szCs w:val="22"/>
        </w:rPr>
        <w:t xml:space="preserve"> de </w:t>
      </w:r>
      <w:proofErr w:type="spellStart"/>
      <w:r w:rsidRPr="00945392">
        <w:rPr>
          <w:rStyle w:val="Ninguno"/>
          <w:rFonts w:ascii="Calibri" w:hAnsi="Calibri" w:cs="Calibri"/>
          <w:sz w:val="22"/>
          <w:szCs w:val="22"/>
        </w:rPr>
        <w:t>contratar</w:t>
      </w:r>
      <w:proofErr w:type="spellEnd"/>
      <w:r w:rsidRPr="00945392">
        <w:rPr>
          <w:rStyle w:val="Ninguno"/>
          <w:rFonts w:ascii="Calibri" w:hAnsi="Calibri" w:cs="Calibri"/>
          <w:sz w:val="22"/>
          <w:szCs w:val="22"/>
        </w:rPr>
        <w:t xml:space="preserve">: plan de </w:t>
      </w:r>
      <w:proofErr w:type="spellStart"/>
      <w:r w:rsidRPr="00945392">
        <w:rPr>
          <w:rStyle w:val="Ninguno"/>
          <w:rFonts w:ascii="Calibri" w:hAnsi="Calibri" w:cs="Calibri"/>
          <w:sz w:val="22"/>
          <w:szCs w:val="22"/>
        </w:rPr>
        <w:t>igualdad</w:t>
      </w:r>
      <w:proofErr w:type="spellEnd"/>
      <w:r w:rsidRPr="00945392">
        <w:rPr>
          <w:rStyle w:val="Ninguno"/>
          <w:rFonts w:ascii="Calibri" w:hAnsi="Calibri" w:cs="Calibri"/>
          <w:sz w:val="22"/>
          <w:szCs w:val="22"/>
        </w:rPr>
        <w:t xml:space="preserve">, </w:t>
      </w:r>
      <w:proofErr w:type="spellStart"/>
      <w:r w:rsidRPr="00945392">
        <w:rPr>
          <w:rStyle w:val="Ninguno"/>
          <w:rFonts w:ascii="Calibri" w:hAnsi="Calibri" w:cs="Calibri"/>
          <w:sz w:val="22"/>
          <w:szCs w:val="22"/>
        </w:rPr>
        <w:t>el</w:t>
      </w:r>
      <w:proofErr w:type="spellEnd"/>
      <w:r w:rsidRPr="00945392">
        <w:rPr>
          <w:rStyle w:val="Ninguno"/>
          <w:rFonts w:ascii="Calibri" w:hAnsi="Calibri" w:cs="Calibri"/>
          <w:sz w:val="22"/>
          <w:szCs w:val="22"/>
        </w:rPr>
        <w:t xml:space="preserve"> </w:t>
      </w:r>
      <w:proofErr w:type="spellStart"/>
      <w:r w:rsidRPr="00945392">
        <w:rPr>
          <w:rStyle w:val="Ninguno"/>
          <w:rFonts w:ascii="Calibri" w:hAnsi="Calibri" w:cs="Calibri"/>
          <w:sz w:val="22"/>
          <w:szCs w:val="22"/>
        </w:rPr>
        <w:t>licitador</w:t>
      </w:r>
      <w:proofErr w:type="spellEnd"/>
      <w:r w:rsidRPr="00945392">
        <w:rPr>
          <w:rStyle w:val="Ninguno"/>
          <w:rFonts w:ascii="Calibri" w:hAnsi="Calibri" w:cs="Calibri"/>
          <w:sz w:val="22"/>
          <w:szCs w:val="22"/>
        </w:rPr>
        <w:t xml:space="preserve"> no </w:t>
      </w:r>
      <w:proofErr w:type="spellStart"/>
      <w:r w:rsidRPr="00945392">
        <w:rPr>
          <w:rStyle w:val="Ninguno"/>
          <w:rFonts w:ascii="Calibri" w:hAnsi="Calibri" w:cs="Calibri"/>
          <w:sz w:val="22"/>
          <w:szCs w:val="22"/>
        </w:rPr>
        <w:t>disponía</w:t>
      </w:r>
      <w:proofErr w:type="spellEnd"/>
      <w:r w:rsidRPr="00945392">
        <w:rPr>
          <w:rStyle w:val="Ninguno"/>
          <w:rFonts w:ascii="Calibri" w:hAnsi="Calibri" w:cs="Calibri"/>
          <w:sz w:val="22"/>
          <w:szCs w:val="22"/>
        </w:rPr>
        <w:t xml:space="preserve"> de un plan de </w:t>
      </w:r>
      <w:proofErr w:type="spellStart"/>
      <w:r w:rsidRPr="00945392">
        <w:rPr>
          <w:rStyle w:val="Ninguno"/>
          <w:rFonts w:ascii="Calibri" w:hAnsi="Calibri" w:cs="Calibri"/>
          <w:sz w:val="22"/>
          <w:szCs w:val="22"/>
        </w:rPr>
        <w:t>igualdad</w:t>
      </w:r>
      <w:proofErr w:type="spellEnd"/>
      <w:r w:rsidRPr="00945392">
        <w:rPr>
          <w:rStyle w:val="Ninguno"/>
          <w:rFonts w:ascii="Calibri" w:hAnsi="Calibri" w:cs="Calibri"/>
          <w:sz w:val="22"/>
          <w:szCs w:val="22"/>
        </w:rPr>
        <w:t xml:space="preserve"> </w:t>
      </w:r>
      <w:proofErr w:type="spellStart"/>
      <w:r w:rsidRPr="00945392">
        <w:rPr>
          <w:rStyle w:val="Ninguno"/>
          <w:rFonts w:ascii="Calibri" w:hAnsi="Calibri" w:cs="Calibri"/>
          <w:sz w:val="22"/>
          <w:szCs w:val="22"/>
        </w:rPr>
        <w:t>inscrito</w:t>
      </w:r>
      <w:proofErr w:type="spellEnd"/>
      <w:r w:rsidRPr="00945392">
        <w:rPr>
          <w:rStyle w:val="Ninguno"/>
          <w:rFonts w:ascii="Calibri" w:hAnsi="Calibri" w:cs="Calibri"/>
          <w:sz w:val="22"/>
          <w:szCs w:val="22"/>
        </w:rPr>
        <w:t xml:space="preserve"> </w:t>
      </w:r>
      <w:proofErr w:type="spellStart"/>
      <w:r w:rsidRPr="00945392">
        <w:rPr>
          <w:rStyle w:val="Ninguno"/>
          <w:rFonts w:ascii="Calibri" w:hAnsi="Calibri" w:cs="Calibri"/>
          <w:sz w:val="22"/>
          <w:szCs w:val="22"/>
        </w:rPr>
        <w:t>en</w:t>
      </w:r>
      <w:proofErr w:type="spellEnd"/>
      <w:r w:rsidRPr="00945392">
        <w:rPr>
          <w:rStyle w:val="Ninguno"/>
          <w:rFonts w:ascii="Calibri" w:hAnsi="Calibri" w:cs="Calibri"/>
          <w:sz w:val="22"/>
          <w:szCs w:val="22"/>
        </w:rPr>
        <w:t xml:space="preserve"> </w:t>
      </w:r>
      <w:proofErr w:type="spellStart"/>
      <w:r w:rsidRPr="00945392">
        <w:rPr>
          <w:rStyle w:val="Ninguno"/>
          <w:rFonts w:ascii="Calibri" w:hAnsi="Calibri" w:cs="Calibri"/>
          <w:sz w:val="22"/>
          <w:szCs w:val="22"/>
        </w:rPr>
        <w:t>el</w:t>
      </w:r>
      <w:proofErr w:type="spellEnd"/>
      <w:r w:rsidRPr="00945392">
        <w:rPr>
          <w:rStyle w:val="Ninguno"/>
          <w:rFonts w:ascii="Calibri" w:hAnsi="Calibri" w:cs="Calibri"/>
          <w:sz w:val="22"/>
          <w:szCs w:val="22"/>
        </w:rPr>
        <w:t xml:space="preserve"> REGCON a la </w:t>
      </w:r>
      <w:proofErr w:type="spellStart"/>
      <w:r w:rsidRPr="00945392">
        <w:rPr>
          <w:rStyle w:val="Ninguno"/>
          <w:rFonts w:ascii="Calibri" w:hAnsi="Calibri" w:cs="Calibri"/>
          <w:sz w:val="22"/>
          <w:szCs w:val="22"/>
        </w:rPr>
        <w:t>fecha</w:t>
      </w:r>
      <w:proofErr w:type="spellEnd"/>
      <w:r w:rsidRPr="00945392">
        <w:rPr>
          <w:rStyle w:val="Ninguno"/>
          <w:rFonts w:ascii="Calibri" w:hAnsi="Calibri" w:cs="Calibri"/>
          <w:sz w:val="22"/>
          <w:szCs w:val="22"/>
        </w:rPr>
        <w:t xml:space="preserve"> de </w:t>
      </w:r>
      <w:proofErr w:type="spellStart"/>
      <w:r w:rsidRPr="00945392">
        <w:rPr>
          <w:rStyle w:val="Ninguno"/>
          <w:rFonts w:ascii="Calibri" w:hAnsi="Calibri" w:cs="Calibri"/>
          <w:sz w:val="22"/>
          <w:szCs w:val="22"/>
        </w:rPr>
        <w:t>finalización</w:t>
      </w:r>
      <w:proofErr w:type="spellEnd"/>
      <w:r w:rsidRPr="00945392">
        <w:rPr>
          <w:rStyle w:val="Ninguno"/>
          <w:rFonts w:ascii="Calibri" w:hAnsi="Calibri" w:cs="Calibri"/>
          <w:sz w:val="22"/>
          <w:szCs w:val="22"/>
        </w:rPr>
        <w:t xml:space="preserve"> del </w:t>
      </w:r>
      <w:proofErr w:type="spellStart"/>
      <w:r w:rsidRPr="00945392">
        <w:rPr>
          <w:rStyle w:val="Ninguno"/>
          <w:rFonts w:ascii="Calibri" w:hAnsi="Calibri" w:cs="Calibri"/>
          <w:sz w:val="22"/>
          <w:szCs w:val="22"/>
        </w:rPr>
        <w:t>plazo</w:t>
      </w:r>
      <w:proofErr w:type="spellEnd"/>
      <w:r w:rsidRPr="00945392">
        <w:rPr>
          <w:rStyle w:val="Ninguno"/>
          <w:rFonts w:ascii="Calibri" w:hAnsi="Calibri" w:cs="Calibri"/>
          <w:sz w:val="22"/>
          <w:szCs w:val="22"/>
        </w:rPr>
        <w:t xml:space="preserve"> de </w:t>
      </w:r>
      <w:proofErr w:type="spellStart"/>
      <w:r w:rsidRPr="00945392">
        <w:rPr>
          <w:rStyle w:val="Ninguno"/>
          <w:rFonts w:ascii="Calibri" w:hAnsi="Calibri" w:cs="Calibri"/>
          <w:sz w:val="22"/>
          <w:szCs w:val="22"/>
        </w:rPr>
        <w:t>presentación</w:t>
      </w:r>
      <w:proofErr w:type="spellEnd"/>
      <w:r w:rsidRPr="00945392">
        <w:rPr>
          <w:rStyle w:val="Ninguno"/>
          <w:rFonts w:ascii="Calibri" w:hAnsi="Calibri" w:cs="Calibri"/>
          <w:sz w:val="22"/>
          <w:szCs w:val="22"/>
        </w:rPr>
        <w:t xml:space="preserve"> de </w:t>
      </w:r>
      <w:proofErr w:type="spellStart"/>
      <w:r w:rsidRPr="00945392">
        <w:rPr>
          <w:rStyle w:val="Ninguno"/>
          <w:rFonts w:ascii="Calibri" w:hAnsi="Calibri" w:cs="Calibri"/>
          <w:sz w:val="22"/>
          <w:szCs w:val="22"/>
        </w:rPr>
        <w:t>ofertas</w:t>
      </w:r>
      <w:proofErr w:type="spellEnd"/>
      <w:r w:rsidRPr="00945392">
        <w:rPr>
          <w:rStyle w:val="Ninguno"/>
          <w:rFonts w:ascii="Calibri" w:hAnsi="Calibri" w:cs="Calibri"/>
          <w:sz w:val="22"/>
          <w:szCs w:val="22"/>
        </w:rPr>
        <w:t xml:space="preserve"> </w:t>
      </w:r>
      <w:proofErr w:type="spellStart"/>
      <w:r w:rsidRPr="00945392">
        <w:rPr>
          <w:rStyle w:val="Ninguno"/>
          <w:rFonts w:ascii="Calibri" w:hAnsi="Calibri" w:cs="Calibri"/>
          <w:sz w:val="22"/>
          <w:szCs w:val="22"/>
        </w:rPr>
        <w:t>pero</w:t>
      </w:r>
      <w:proofErr w:type="spellEnd"/>
      <w:r w:rsidRPr="00945392">
        <w:rPr>
          <w:rStyle w:val="Ninguno"/>
          <w:rFonts w:ascii="Calibri" w:hAnsi="Calibri" w:cs="Calibri"/>
          <w:sz w:val="22"/>
          <w:szCs w:val="22"/>
        </w:rPr>
        <w:t xml:space="preserve"> </w:t>
      </w:r>
      <w:proofErr w:type="spellStart"/>
      <w:r w:rsidRPr="00945392">
        <w:rPr>
          <w:rStyle w:val="Ninguno"/>
          <w:rFonts w:ascii="Calibri" w:hAnsi="Calibri" w:cs="Calibri"/>
          <w:sz w:val="22"/>
          <w:szCs w:val="22"/>
        </w:rPr>
        <w:t>disponía</w:t>
      </w:r>
      <w:proofErr w:type="spellEnd"/>
      <w:r w:rsidRPr="00945392">
        <w:rPr>
          <w:rStyle w:val="Ninguno"/>
          <w:rFonts w:ascii="Calibri" w:hAnsi="Calibri" w:cs="Calibri"/>
          <w:sz w:val="22"/>
          <w:szCs w:val="22"/>
        </w:rPr>
        <w:t xml:space="preserve"> de uno </w:t>
      </w:r>
      <w:proofErr w:type="spellStart"/>
      <w:r w:rsidRPr="00945392">
        <w:rPr>
          <w:rStyle w:val="Ninguno"/>
          <w:rFonts w:ascii="Calibri" w:hAnsi="Calibri" w:cs="Calibri"/>
          <w:sz w:val="22"/>
          <w:szCs w:val="22"/>
        </w:rPr>
        <w:t>aprobado</w:t>
      </w:r>
      <w:proofErr w:type="spellEnd"/>
      <w:r w:rsidRPr="00945392">
        <w:rPr>
          <w:rStyle w:val="Ninguno"/>
          <w:rFonts w:ascii="Calibri" w:hAnsi="Calibri" w:cs="Calibri"/>
          <w:sz w:val="22"/>
          <w:szCs w:val="22"/>
        </w:rPr>
        <w:t xml:space="preserve"> y </w:t>
      </w:r>
      <w:proofErr w:type="spellStart"/>
      <w:r w:rsidRPr="00945392">
        <w:rPr>
          <w:rStyle w:val="Ninguno"/>
          <w:rFonts w:ascii="Calibri" w:hAnsi="Calibri" w:cs="Calibri"/>
          <w:sz w:val="22"/>
          <w:szCs w:val="22"/>
        </w:rPr>
        <w:t>vigente</w:t>
      </w:r>
      <w:proofErr w:type="spellEnd"/>
      <w:r w:rsidRPr="00945392">
        <w:rPr>
          <w:rStyle w:val="Ninguno"/>
          <w:rFonts w:ascii="Calibri" w:hAnsi="Calibri" w:cs="Calibri"/>
          <w:sz w:val="22"/>
          <w:szCs w:val="22"/>
        </w:rPr>
        <w:t xml:space="preserve">, </w:t>
      </w:r>
      <w:proofErr w:type="spellStart"/>
      <w:r w:rsidRPr="00945392">
        <w:rPr>
          <w:rStyle w:val="Ninguno"/>
          <w:rFonts w:ascii="Calibri" w:hAnsi="Calibri" w:cs="Calibri"/>
          <w:sz w:val="22"/>
          <w:szCs w:val="22"/>
        </w:rPr>
        <w:t>medidas</w:t>
      </w:r>
      <w:proofErr w:type="spellEnd"/>
      <w:r w:rsidRPr="00945392">
        <w:rPr>
          <w:rStyle w:val="Ninguno"/>
          <w:rFonts w:ascii="Calibri" w:hAnsi="Calibri" w:cs="Calibri"/>
          <w:sz w:val="22"/>
          <w:szCs w:val="22"/>
        </w:rPr>
        <w:t xml:space="preserve"> de </w:t>
      </w:r>
      <w:proofErr w:type="spellStart"/>
      <w:r w:rsidRPr="00945392">
        <w:rPr>
          <w:rStyle w:val="Ninguno"/>
          <w:rFonts w:ascii="Calibri" w:hAnsi="Calibri" w:cs="Calibri"/>
          <w:sz w:val="22"/>
          <w:szCs w:val="22"/>
        </w:rPr>
        <w:t>corrección</w:t>
      </w:r>
      <w:proofErr w:type="spellEnd"/>
      <w:r w:rsidRPr="00945392">
        <w:rPr>
          <w:rStyle w:val="Ninguno"/>
          <w:rFonts w:ascii="Calibri" w:hAnsi="Calibri" w:cs="Calibri"/>
          <w:sz w:val="22"/>
          <w:szCs w:val="22"/>
        </w:rPr>
        <w:t xml:space="preserve"> ("</w:t>
      </w:r>
      <w:proofErr w:type="spellStart"/>
      <w:r w:rsidRPr="00945392">
        <w:rPr>
          <w:rStyle w:val="Ninguno"/>
          <w:rFonts w:ascii="Calibri" w:hAnsi="Calibri" w:cs="Calibri"/>
          <w:sz w:val="22"/>
          <w:szCs w:val="22"/>
        </w:rPr>
        <w:t>self cleaning</w:t>
      </w:r>
      <w:proofErr w:type="spellEnd"/>
      <w:r w:rsidRPr="00945392">
        <w:rPr>
          <w:rStyle w:val="Ninguno"/>
          <w:rFonts w:ascii="Calibri" w:hAnsi="Calibri" w:cs="Calibri"/>
          <w:sz w:val="22"/>
          <w:szCs w:val="22"/>
        </w:rPr>
        <w:t xml:space="preserve">"), </w:t>
      </w:r>
      <w:proofErr w:type="spellStart"/>
      <w:r w:rsidRPr="00945392">
        <w:rPr>
          <w:rStyle w:val="Ninguno"/>
          <w:rFonts w:ascii="Calibri" w:hAnsi="Calibri" w:cs="Calibri"/>
          <w:sz w:val="22"/>
          <w:szCs w:val="22"/>
        </w:rPr>
        <w:t>inscripción</w:t>
      </w:r>
      <w:proofErr w:type="spellEnd"/>
      <w:r w:rsidRPr="00945392">
        <w:rPr>
          <w:rStyle w:val="Ninguno"/>
          <w:rFonts w:ascii="Calibri" w:hAnsi="Calibri" w:cs="Calibri"/>
          <w:sz w:val="22"/>
          <w:szCs w:val="22"/>
        </w:rPr>
        <w:t xml:space="preserve"> con </w:t>
      </w:r>
      <w:proofErr w:type="spellStart"/>
      <w:r w:rsidRPr="00945392">
        <w:rPr>
          <w:rStyle w:val="Ninguno"/>
          <w:rFonts w:ascii="Calibri" w:hAnsi="Calibri" w:cs="Calibri"/>
          <w:sz w:val="22"/>
          <w:szCs w:val="22"/>
        </w:rPr>
        <w:t>anterioridad</w:t>
      </w:r>
      <w:proofErr w:type="spellEnd"/>
      <w:r w:rsidRPr="00945392">
        <w:rPr>
          <w:rStyle w:val="Ninguno"/>
          <w:rFonts w:ascii="Calibri" w:hAnsi="Calibri" w:cs="Calibri"/>
          <w:sz w:val="22"/>
          <w:szCs w:val="22"/>
        </w:rPr>
        <w:t xml:space="preserve"> a la </w:t>
      </w:r>
      <w:proofErr w:type="spellStart"/>
      <w:r w:rsidRPr="00945392">
        <w:rPr>
          <w:rStyle w:val="Ninguno"/>
          <w:rFonts w:ascii="Calibri" w:hAnsi="Calibri" w:cs="Calibri"/>
          <w:sz w:val="22"/>
          <w:szCs w:val="22"/>
        </w:rPr>
        <w:t>adjudicación</w:t>
      </w:r>
      <w:proofErr w:type="spellEnd"/>
      <w:r w:rsidRPr="00945392">
        <w:rPr>
          <w:rStyle w:val="Ninguno"/>
          <w:rFonts w:ascii="Calibri" w:hAnsi="Calibri" w:cs="Calibri"/>
          <w:sz w:val="22"/>
          <w:szCs w:val="22"/>
        </w:rPr>
        <w:t xml:space="preserve">, </w:t>
      </w:r>
      <w:proofErr w:type="spellStart"/>
      <w:r w:rsidRPr="00945392">
        <w:rPr>
          <w:rStyle w:val="Ninguno"/>
          <w:rFonts w:ascii="Calibri" w:hAnsi="Calibri" w:cs="Calibri"/>
          <w:sz w:val="22"/>
          <w:szCs w:val="22"/>
        </w:rPr>
        <w:t>el</w:t>
      </w:r>
      <w:proofErr w:type="spellEnd"/>
      <w:r w:rsidRPr="00945392">
        <w:rPr>
          <w:rStyle w:val="Ninguno"/>
          <w:rFonts w:ascii="Calibri" w:hAnsi="Calibri" w:cs="Calibri"/>
          <w:sz w:val="22"/>
          <w:szCs w:val="22"/>
        </w:rPr>
        <w:t xml:space="preserve"> derecho a </w:t>
      </w:r>
      <w:proofErr w:type="spellStart"/>
      <w:r w:rsidRPr="00945392">
        <w:rPr>
          <w:rStyle w:val="Ninguno"/>
          <w:rFonts w:ascii="Calibri" w:hAnsi="Calibri" w:cs="Calibri"/>
          <w:sz w:val="22"/>
          <w:szCs w:val="22"/>
        </w:rPr>
        <w:t>presentar</w:t>
      </w:r>
      <w:proofErr w:type="spellEnd"/>
      <w:r w:rsidRPr="00945392">
        <w:rPr>
          <w:rStyle w:val="Ninguno"/>
          <w:rFonts w:ascii="Calibri" w:hAnsi="Calibri" w:cs="Calibri"/>
          <w:sz w:val="22"/>
          <w:szCs w:val="22"/>
        </w:rPr>
        <w:t xml:space="preserve"> </w:t>
      </w:r>
      <w:proofErr w:type="spellStart"/>
      <w:r w:rsidRPr="00945392">
        <w:rPr>
          <w:rStyle w:val="Ninguno"/>
          <w:rFonts w:ascii="Calibri" w:hAnsi="Calibri" w:cs="Calibri"/>
          <w:sz w:val="22"/>
          <w:szCs w:val="22"/>
        </w:rPr>
        <w:t>medidas</w:t>
      </w:r>
      <w:proofErr w:type="spellEnd"/>
      <w:r w:rsidRPr="00945392">
        <w:rPr>
          <w:rStyle w:val="Ninguno"/>
          <w:rFonts w:ascii="Calibri" w:hAnsi="Calibri" w:cs="Calibri"/>
          <w:sz w:val="22"/>
          <w:szCs w:val="22"/>
        </w:rPr>
        <w:t xml:space="preserve"> de </w:t>
      </w:r>
      <w:proofErr w:type="spellStart"/>
      <w:r w:rsidRPr="00945392">
        <w:rPr>
          <w:rStyle w:val="Ninguno"/>
          <w:rFonts w:ascii="Calibri" w:hAnsi="Calibri" w:cs="Calibri"/>
          <w:sz w:val="22"/>
          <w:szCs w:val="22"/>
        </w:rPr>
        <w:t>corrección</w:t>
      </w:r>
      <w:proofErr w:type="spellEnd"/>
      <w:r w:rsidRPr="00945392">
        <w:rPr>
          <w:rStyle w:val="Ninguno"/>
          <w:rFonts w:ascii="Calibri" w:hAnsi="Calibri" w:cs="Calibri"/>
          <w:sz w:val="22"/>
          <w:szCs w:val="22"/>
        </w:rPr>
        <w:t xml:space="preserve"> se </w:t>
      </w:r>
      <w:proofErr w:type="spellStart"/>
      <w:r w:rsidRPr="00945392">
        <w:rPr>
          <w:rStyle w:val="Ninguno"/>
          <w:rFonts w:ascii="Calibri" w:hAnsi="Calibri" w:cs="Calibri"/>
          <w:sz w:val="22"/>
          <w:szCs w:val="22"/>
        </w:rPr>
        <w:t>extiende</w:t>
      </w:r>
      <w:proofErr w:type="spellEnd"/>
      <w:r w:rsidRPr="00945392">
        <w:rPr>
          <w:rStyle w:val="Ninguno"/>
          <w:rFonts w:ascii="Calibri" w:hAnsi="Calibri" w:cs="Calibri"/>
          <w:sz w:val="22"/>
          <w:szCs w:val="22"/>
        </w:rPr>
        <w:t xml:space="preserve"> a </w:t>
      </w:r>
      <w:proofErr w:type="spellStart"/>
      <w:r w:rsidRPr="00945392">
        <w:rPr>
          <w:rStyle w:val="Ninguno"/>
          <w:rFonts w:ascii="Calibri" w:hAnsi="Calibri" w:cs="Calibri"/>
          <w:sz w:val="22"/>
          <w:szCs w:val="22"/>
        </w:rPr>
        <w:t>cualquier</w:t>
      </w:r>
      <w:proofErr w:type="spellEnd"/>
      <w:r w:rsidRPr="00945392">
        <w:rPr>
          <w:rStyle w:val="Ninguno"/>
          <w:rFonts w:ascii="Calibri" w:hAnsi="Calibri" w:cs="Calibri"/>
          <w:sz w:val="22"/>
          <w:szCs w:val="22"/>
        </w:rPr>
        <w:t xml:space="preserve"> </w:t>
      </w:r>
      <w:proofErr w:type="spellStart"/>
      <w:r w:rsidRPr="00945392">
        <w:rPr>
          <w:rStyle w:val="Ninguno"/>
          <w:rFonts w:ascii="Calibri" w:hAnsi="Calibri" w:cs="Calibri"/>
          <w:sz w:val="22"/>
          <w:szCs w:val="22"/>
        </w:rPr>
        <w:t>momento</w:t>
      </w:r>
      <w:proofErr w:type="spellEnd"/>
      <w:r w:rsidRPr="00945392">
        <w:rPr>
          <w:rStyle w:val="Ninguno"/>
          <w:rFonts w:ascii="Calibri" w:hAnsi="Calibri" w:cs="Calibri"/>
          <w:sz w:val="22"/>
          <w:szCs w:val="22"/>
        </w:rPr>
        <w:t xml:space="preserve"> anterior a la </w:t>
      </w:r>
      <w:proofErr w:type="spellStart"/>
      <w:r w:rsidRPr="00945392">
        <w:rPr>
          <w:rStyle w:val="Ninguno"/>
          <w:rFonts w:ascii="Calibri" w:hAnsi="Calibri" w:cs="Calibri"/>
          <w:sz w:val="22"/>
          <w:szCs w:val="22"/>
        </w:rPr>
        <w:t>decisión</w:t>
      </w:r>
      <w:proofErr w:type="spellEnd"/>
      <w:r w:rsidRPr="00945392">
        <w:rPr>
          <w:rStyle w:val="Ninguno"/>
          <w:rFonts w:ascii="Calibri" w:hAnsi="Calibri" w:cs="Calibri"/>
          <w:sz w:val="22"/>
          <w:szCs w:val="22"/>
        </w:rPr>
        <w:t xml:space="preserve"> de </w:t>
      </w:r>
      <w:proofErr w:type="spellStart"/>
      <w:r w:rsidRPr="00945392">
        <w:rPr>
          <w:rStyle w:val="Ninguno"/>
          <w:rFonts w:ascii="Calibri" w:hAnsi="Calibri" w:cs="Calibri"/>
          <w:sz w:val="22"/>
          <w:szCs w:val="22"/>
        </w:rPr>
        <w:t>exclusión</w:t>
      </w:r>
      <w:proofErr w:type="spellEnd"/>
      <w:r w:rsidRPr="00945392">
        <w:rPr>
          <w:rStyle w:val="Ninguno"/>
          <w:rFonts w:ascii="Calibri" w:hAnsi="Calibri" w:cs="Calibri"/>
          <w:sz w:val="22"/>
          <w:szCs w:val="22"/>
        </w:rPr>
        <w:t xml:space="preserve"> de la </w:t>
      </w:r>
      <w:proofErr w:type="spellStart"/>
      <w:r w:rsidRPr="00945392">
        <w:rPr>
          <w:rStyle w:val="Ninguno"/>
          <w:rFonts w:ascii="Calibri" w:hAnsi="Calibri" w:cs="Calibri"/>
          <w:sz w:val="22"/>
          <w:szCs w:val="22"/>
        </w:rPr>
        <w:t>proposición</w:t>
      </w:r>
      <w:proofErr w:type="spellEnd"/>
      <w:r w:rsidRPr="00945392">
        <w:rPr>
          <w:rStyle w:val="Ninguno"/>
          <w:rFonts w:ascii="Calibri" w:hAnsi="Calibri" w:cs="Calibri"/>
          <w:sz w:val="22"/>
          <w:szCs w:val="22"/>
        </w:rPr>
        <w:t xml:space="preserve">; </w:t>
      </w:r>
      <w:proofErr w:type="spellStart"/>
      <w:r w:rsidRPr="00945392">
        <w:rPr>
          <w:rStyle w:val="Ninguno"/>
          <w:rFonts w:ascii="Calibri" w:hAnsi="Calibri" w:cs="Calibri"/>
          <w:sz w:val="22"/>
          <w:szCs w:val="22"/>
        </w:rPr>
        <w:t>falsedad</w:t>
      </w:r>
      <w:proofErr w:type="spellEnd"/>
      <w:r w:rsidRPr="00945392">
        <w:rPr>
          <w:rStyle w:val="Ninguno"/>
          <w:rFonts w:ascii="Calibri" w:hAnsi="Calibri" w:cs="Calibri"/>
          <w:sz w:val="22"/>
          <w:szCs w:val="22"/>
        </w:rPr>
        <w:t xml:space="preserve"> </w:t>
      </w:r>
      <w:proofErr w:type="spellStart"/>
      <w:r w:rsidRPr="00945392">
        <w:rPr>
          <w:rStyle w:val="Ninguno"/>
          <w:rFonts w:ascii="Calibri" w:hAnsi="Calibri" w:cs="Calibri"/>
          <w:sz w:val="22"/>
          <w:szCs w:val="22"/>
        </w:rPr>
        <w:t>en</w:t>
      </w:r>
      <w:proofErr w:type="spellEnd"/>
      <w:r w:rsidRPr="00945392">
        <w:rPr>
          <w:rStyle w:val="Ninguno"/>
          <w:rFonts w:ascii="Calibri" w:hAnsi="Calibri" w:cs="Calibri"/>
          <w:sz w:val="22"/>
          <w:szCs w:val="22"/>
        </w:rPr>
        <w:t xml:space="preserve"> la </w:t>
      </w:r>
      <w:proofErr w:type="spellStart"/>
      <w:r w:rsidRPr="00945392">
        <w:rPr>
          <w:rStyle w:val="Ninguno"/>
          <w:rFonts w:ascii="Calibri" w:hAnsi="Calibri" w:cs="Calibri"/>
          <w:sz w:val="22"/>
          <w:szCs w:val="22"/>
        </w:rPr>
        <w:t>declaración</w:t>
      </w:r>
      <w:proofErr w:type="spellEnd"/>
      <w:r w:rsidRPr="00945392">
        <w:rPr>
          <w:rStyle w:val="Ninguno"/>
          <w:rFonts w:ascii="Calibri" w:hAnsi="Calibri" w:cs="Calibri"/>
          <w:sz w:val="22"/>
          <w:szCs w:val="22"/>
        </w:rPr>
        <w:t xml:space="preserve"> </w:t>
      </w:r>
      <w:proofErr w:type="spellStart"/>
      <w:r w:rsidRPr="00945392">
        <w:rPr>
          <w:rStyle w:val="Ninguno"/>
          <w:rFonts w:ascii="Calibri" w:hAnsi="Calibri" w:cs="Calibri"/>
          <w:sz w:val="22"/>
          <w:szCs w:val="22"/>
        </w:rPr>
        <w:t>responsable</w:t>
      </w:r>
      <w:proofErr w:type="spellEnd"/>
      <w:r w:rsidRPr="00945392">
        <w:rPr>
          <w:rStyle w:val="Ninguno"/>
          <w:rFonts w:ascii="Calibri" w:hAnsi="Calibri" w:cs="Calibri"/>
          <w:sz w:val="22"/>
          <w:szCs w:val="22"/>
        </w:rPr>
        <w:t xml:space="preserve"> </w:t>
      </w:r>
      <w:proofErr w:type="spellStart"/>
      <w:r w:rsidRPr="00945392">
        <w:rPr>
          <w:rStyle w:val="Ninguno"/>
          <w:rFonts w:ascii="Calibri" w:hAnsi="Calibri" w:cs="Calibri"/>
          <w:sz w:val="22"/>
          <w:szCs w:val="22"/>
        </w:rPr>
        <w:t>como</w:t>
      </w:r>
      <w:proofErr w:type="spellEnd"/>
      <w:r w:rsidRPr="00945392">
        <w:rPr>
          <w:rStyle w:val="Ninguno"/>
          <w:rFonts w:ascii="Calibri" w:hAnsi="Calibri" w:cs="Calibri"/>
          <w:sz w:val="22"/>
          <w:szCs w:val="22"/>
        </w:rPr>
        <w:t xml:space="preserve"> causa de </w:t>
      </w:r>
      <w:proofErr w:type="spellStart"/>
      <w:r w:rsidRPr="00945392">
        <w:rPr>
          <w:rStyle w:val="Ninguno"/>
          <w:rFonts w:ascii="Calibri" w:hAnsi="Calibri" w:cs="Calibri"/>
          <w:sz w:val="22"/>
          <w:szCs w:val="22"/>
        </w:rPr>
        <w:t>exclusión</w:t>
      </w:r>
      <w:proofErr w:type="spellEnd"/>
      <w:r w:rsidRPr="00945392">
        <w:rPr>
          <w:rStyle w:val="Ninguno"/>
          <w:rFonts w:ascii="Calibri" w:hAnsi="Calibri" w:cs="Calibri"/>
          <w:sz w:val="22"/>
          <w:szCs w:val="22"/>
        </w:rPr>
        <w:t xml:space="preserve">, </w:t>
      </w:r>
      <w:proofErr w:type="spellStart"/>
      <w:r w:rsidRPr="00945392">
        <w:rPr>
          <w:rStyle w:val="Ninguno"/>
          <w:rFonts w:ascii="Calibri" w:hAnsi="Calibri" w:cs="Calibri"/>
          <w:sz w:val="22"/>
          <w:szCs w:val="22"/>
        </w:rPr>
        <w:t>doctrina</w:t>
      </w:r>
      <w:proofErr w:type="spellEnd"/>
      <w:r w:rsidRPr="00945392">
        <w:rPr>
          <w:rStyle w:val="Ninguno"/>
          <w:rFonts w:ascii="Calibri" w:hAnsi="Calibri" w:cs="Calibri"/>
          <w:sz w:val="22"/>
          <w:szCs w:val="22"/>
        </w:rPr>
        <w:t xml:space="preserve"> general, la </w:t>
      </w:r>
      <w:proofErr w:type="spellStart"/>
      <w:r w:rsidRPr="00945392">
        <w:rPr>
          <w:rStyle w:val="Ninguno"/>
          <w:rFonts w:ascii="Calibri" w:hAnsi="Calibri" w:cs="Calibri"/>
          <w:sz w:val="22"/>
          <w:szCs w:val="22"/>
        </w:rPr>
        <w:t>falsedad</w:t>
      </w:r>
      <w:proofErr w:type="spellEnd"/>
      <w:r w:rsidRPr="00945392">
        <w:rPr>
          <w:rStyle w:val="Ninguno"/>
          <w:rFonts w:ascii="Calibri" w:hAnsi="Calibri" w:cs="Calibri"/>
          <w:sz w:val="22"/>
          <w:szCs w:val="22"/>
        </w:rPr>
        <w:t xml:space="preserve"> es </w:t>
      </w:r>
      <w:proofErr w:type="spellStart"/>
      <w:r w:rsidRPr="00945392">
        <w:rPr>
          <w:rStyle w:val="Ninguno"/>
          <w:rFonts w:ascii="Calibri" w:hAnsi="Calibri" w:cs="Calibri"/>
          <w:sz w:val="22"/>
          <w:szCs w:val="22"/>
        </w:rPr>
        <w:t>ineficaz</w:t>
      </w:r>
      <w:proofErr w:type="spellEnd"/>
      <w:r w:rsidRPr="00945392">
        <w:rPr>
          <w:rStyle w:val="Ninguno"/>
          <w:rFonts w:ascii="Calibri" w:hAnsi="Calibri" w:cs="Calibri"/>
          <w:sz w:val="22"/>
          <w:szCs w:val="22"/>
        </w:rPr>
        <w:t xml:space="preserve"> para </w:t>
      </w:r>
      <w:proofErr w:type="spellStart"/>
      <w:r w:rsidRPr="00945392">
        <w:rPr>
          <w:rStyle w:val="Ninguno"/>
          <w:rFonts w:ascii="Calibri" w:hAnsi="Calibri" w:cs="Calibri"/>
          <w:sz w:val="22"/>
          <w:szCs w:val="22"/>
        </w:rPr>
        <w:t>alterar</w:t>
      </w:r>
      <w:proofErr w:type="spellEnd"/>
      <w:r w:rsidRPr="00945392">
        <w:rPr>
          <w:rStyle w:val="Ninguno"/>
          <w:rFonts w:ascii="Calibri" w:hAnsi="Calibri" w:cs="Calibri"/>
          <w:sz w:val="22"/>
          <w:szCs w:val="22"/>
        </w:rPr>
        <w:t xml:space="preserve"> </w:t>
      </w:r>
      <w:proofErr w:type="spellStart"/>
      <w:r w:rsidRPr="00945392">
        <w:rPr>
          <w:rStyle w:val="Ninguno"/>
          <w:rFonts w:ascii="Calibri" w:hAnsi="Calibri" w:cs="Calibri"/>
          <w:sz w:val="22"/>
          <w:szCs w:val="22"/>
        </w:rPr>
        <w:t>el</w:t>
      </w:r>
      <w:proofErr w:type="spellEnd"/>
      <w:r w:rsidRPr="00945392">
        <w:rPr>
          <w:rStyle w:val="Ninguno"/>
          <w:rFonts w:ascii="Calibri" w:hAnsi="Calibri" w:cs="Calibri"/>
          <w:sz w:val="22"/>
          <w:szCs w:val="22"/>
        </w:rPr>
        <w:t xml:space="preserve"> </w:t>
      </w:r>
      <w:proofErr w:type="spellStart"/>
      <w:r w:rsidRPr="00945392">
        <w:rPr>
          <w:rStyle w:val="Ninguno"/>
          <w:rFonts w:ascii="Calibri" w:hAnsi="Calibri" w:cs="Calibri"/>
          <w:sz w:val="22"/>
          <w:szCs w:val="22"/>
        </w:rPr>
        <w:t>procedimiento</w:t>
      </w:r>
      <w:proofErr w:type="spellEnd"/>
      <w:r w:rsidRPr="00945392">
        <w:rPr>
          <w:rStyle w:val="Ninguno"/>
          <w:rFonts w:ascii="Calibri" w:hAnsi="Calibri" w:cs="Calibri"/>
          <w:sz w:val="22"/>
          <w:szCs w:val="22"/>
        </w:rPr>
        <w:t xml:space="preserve"> de </w:t>
      </w:r>
      <w:proofErr w:type="spellStart"/>
      <w:r w:rsidRPr="00945392">
        <w:rPr>
          <w:rStyle w:val="Ninguno"/>
          <w:rFonts w:ascii="Calibri" w:hAnsi="Calibri" w:cs="Calibri"/>
          <w:sz w:val="22"/>
          <w:szCs w:val="22"/>
        </w:rPr>
        <w:t>adjudicación</w:t>
      </w:r>
      <w:proofErr w:type="spellEnd"/>
      <w:r w:rsidRPr="00945392">
        <w:rPr>
          <w:rStyle w:val="Ninguno"/>
          <w:rFonts w:ascii="Calibri" w:hAnsi="Calibri" w:cs="Calibri"/>
          <w:sz w:val="22"/>
          <w:szCs w:val="22"/>
        </w:rPr>
        <w:t xml:space="preserve"> </w:t>
      </w:r>
      <w:proofErr w:type="spellStart"/>
      <w:r w:rsidRPr="00945392">
        <w:rPr>
          <w:rStyle w:val="Ninguno"/>
          <w:rFonts w:ascii="Calibri" w:hAnsi="Calibri" w:cs="Calibri"/>
          <w:sz w:val="22"/>
          <w:szCs w:val="22"/>
        </w:rPr>
        <w:t>porque</w:t>
      </w:r>
      <w:proofErr w:type="spellEnd"/>
      <w:r w:rsidRPr="00945392">
        <w:rPr>
          <w:rStyle w:val="Ninguno"/>
          <w:rFonts w:ascii="Calibri" w:hAnsi="Calibri" w:cs="Calibri"/>
          <w:sz w:val="22"/>
          <w:szCs w:val="22"/>
        </w:rPr>
        <w:t xml:space="preserve"> </w:t>
      </w:r>
      <w:proofErr w:type="spellStart"/>
      <w:r w:rsidRPr="00945392">
        <w:rPr>
          <w:rStyle w:val="Ninguno"/>
          <w:rFonts w:ascii="Calibri" w:hAnsi="Calibri" w:cs="Calibri"/>
          <w:sz w:val="22"/>
          <w:szCs w:val="22"/>
        </w:rPr>
        <w:t>el</w:t>
      </w:r>
      <w:proofErr w:type="spellEnd"/>
      <w:r w:rsidRPr="00945392">
        <w:rPr>
          <w:rStyle w:val="Ninguno"/>
          <w:rFonts w:ascii="Calibri" w:hAnsi="Calibri" w:cs="Calibri"/>
          <w:sz w:val="22"/>
          <w:szCs w:val="22"/>
        </w:rPr>
        <w:t xml:space="preserve"> </w:t>
      </w:r>
      <w:proofErr w:type="spellStart"/>
      <w:r w:rsidRPr="00945392">
        <w:rPr>
          <w:rStyle w:val="Ninguno"/>
          <w:rFonts w:ascii="Calibri" w:hAnsi="Calibri" w:cs="Calibri"/>
          <w:sz w:val="22"/>
          <w:szCs w:val="22"/>
        </w:rPr>
        <w:t>contraste</w:t>
      </w:r>
      <w:proofErr w:type="spellEnd"/>
      <w:r w:rsidRPr="00945392">
        <w:rPr>
          <w:rStyle w:val="Ninguno"/>
          <w:rFonts w:ascii="Calibri" w:hAnsi="Calibri" w:cs="Calibri"/>
          <w:sz w:val="22"/>
          <w:szCs w:val="22"/>
        </w:rPr>
        <w:t xml:space="preserve"> de </w:t>
      </w:r>
      <w:proofErr w:type="spellStart"/>
      <w:r w:rsidRPr="00945392">
        <w:rPr>
          <w:rStyle w:val="Ninguno"/>
          <w:rFonts w:ascii="Calibri" w:hAnsi="Calibri" w:cs="Calibri"/>
          <w:sz w:val="22"/>
          <w:szCs w:val="22"/>
        </w:rPr>
        <w:t>su</w:t>
      </w:r>
      <w:proofErr w:type="spellEnd"/>
      <w:r w:rsidRPr="00945392">
        <w:rPr>
          <w:rStyle w:val="Ninguno"/>
          <w:rFonts w:ascii="Calibri" w:hAnsi="Calibri" w:cs="Calibri"/>
          <w:sz w:val="22"/>
          <w:szCs w:val="22"/>
        </w:rPr>
        <w:t xml:space="preserve"> </w:t>
      </w:r>
      <w:proofErr w:type="spellStart"/>
      <w:r w:rsidRPr="00945392">
        <w:rPr>
          <w:rStyle w:val="Ninguno"/>
          <w:rFonts w:ascii="Calibri" w:hAnsi="Calibri" w:cs="Calibri"/>
          <w:sz w:val="22"/>
          <w:szCs w:val="22"/>
        </w:rPr>
        <w:t>veracidad</w:t>
      </w:r>
      <w:proofErr w:type="spellEnd"/>
      <w:r w:rsidRPr="00945392">
        <w:rPr>
          <w:rStyle w:val="Ninguno"/>
          <w:rFonts w:ascii="Calibri" w:hAnsi="Calibri" w:cs="Calibri"/>
          <w:sz w:val="22"/>
          <w:szCs w:val="22"/>
        </w:rPr>
        <w:t xml:space="preserve"> es </w:t>
      </w:r>
      <w:proofErr w:type="spellStart"/>
      <w:r w:rsidRPr="00945392">
        <w:rPr>
          <w:rStyle w:val="Ninguno"/>
          <w:rFonts w:ascii="Calibri" w:hAnsi="Calibri" w:cs="Calibri"/>
          <w:sz w:val="22"/>
          <w:szCs w:val="22"/>
        </w:rPr>
        <w:t>sencillo</w:t>
      </w:r>
      <w:proofErr w:type="spellEnd"/>
      <w:r w:rsidRPr="00945392">
        <w:rPr>
          <w:rStyle w:val="Ninguno"/>
          <w:rFonts w:ascii="Calibri" w:hAnsi="Calibri" w:cs="Calibri"/>
          <w:sz w:val="22"/>
          <w:szCs w:val="22"/>
        </w:rPr>
        <w:t xml:space="preserve"> (</w:t>
      </w:r>
      <w:proofErr w:type="spellStart"/>
      <w:r w:rsidRPr="00945392">
        <w:rPr>
          <w:rStyle w:val="Ninguno"/>
          <w:rFonts w:ascii="Calibri" w:hAnsi="Calibri" w:cs="Calibri"/>
          <w:sz w:val="22"/>
          <w:szCs w:val="22"/>
        </w:rPr>
        <w:t>mediante</w:t>
      </w:r>
      <w:proofErr w:type="spellEnd"/>
      <w:r w:rsidRPr="00945392">
        <w:rPr>
          <w:rStyle w:val="Ninguno"/>
          <w:rFonts w:ascii="Calibri" w:hAnsi="Calibri" w:cs="Calibri"/>
          <w:sz w:val="22"/>
          <w:szCs w:val="22"/>
        </w:rPr>
        <w:t xml:space="preserve"> </w:t>
      </w:r>
      <w:proofErr w:type="spellStart"/>
      <w:r w:rsidRPr="00945392">
        <w:rPr>
          <w:rStyle w:val="Ninguno"/>
          <w:rFonts w:ascii="Calibri" w:hAnsi="Calibri" w:cs="Calibri"/>
          <w:sz w:val="22"/>
          <w:szCs w:val="22"/>
        </w:rPr>
        <w:t>el</w:t>
      </w:r>
      <w:proofErr w:type="spellEnd"/>
      <w:r w:rsidRPr="00945392">
        <w:rPr>
          <w:rStyle w:val="Ninguno"/>
          <w:rFonts w:ascii="Calibri" w:hAnsi="Calibri" w:cs="Calibri"/>
          <w:sz w:val="22"/>
          <w:szCs w:val="22"/>
        </w:rPr>
        <w:t xml:space="preserve"> </w:t>
      </w:r>
      <w:proofErr w:type="spellStart"/>
      <w:r w:rsidRPr="00945392">
        <w:rPr>
          <w:rStyle w:val="Ninguno"/>
          <w:rFonts w:ascii="Calibri" w:hAnsi="Calibri" w:cs="Calibri"/>
          <w:sz w:val="22"/>
          <w:szCs w:val="22"/>
        </w:rPr>
        <w:t>acceso</w:t>
      </w:r>
      <w:proofErr w:type="spellEnd"/>
      <w:r w:rsidRPr="00945392">
        <w:rPr>
          <w:rStyle w:val="Ninguno"/>
          <w:rFonts w:ascii="Calibri" w:hAnsi="Calibri" w:cs="Calibri"/>
          <w:sz w:val="22"/>
          <w:szCs w:val="22"/>
        </w:rPr>
        <w:t xml:space="preserve"> a un </w:t>
      </w:r>
      <w:proofErr w:type="spellStart"/>
      <w:r w:rsidRPr="00945392">
        <w:rPr>
          <w:rStyle w:val="Ninguno"/>
          <w:rFonts w:ascii="Calibri" w:hAnsi="Calibri" w:cs="Calibri"/>
          <w:sz w:val="22"/>
          <w:szCs w:val="22"/>
        </w:rPr>
        <w:t>registro</w:t>
      </w:r>
      <w:proofErr w:type="spellEnd"/>
      <w:r w:rsidRPr="00945392">
        <w:rPr>
          <w:rStyle w:val="Ninguno"/>
          <w:rFonts w:ascii="Calibri" w:hAnsi="Calibri" w:cs="Calibri"/>
          <w:sz w:val="22"/>
          <w:szCs w:val="22"/>
        </w:rPr>
        <w:t xml:space="preserve"> </w:t>
      </w:r>
      <w:proofErr w:type="spellStart"/>
      <w:r w:rsidRPr="00945392">
        <w:rPr>
          <w:rStyle w:val="Ninguno"/>
          <w:rFonts w:ascii="Calibri" w:hAnsi="Calibri" w:cs="Calibri"/>
          <w:sz w:val="22"/>
          <w:szCs w:val="22"/>
        </w:rPr>
        <w:t>público</w:t>
      </w:r>
      <w:proofErr w:type="spellEnd"/>
      <w:r w:rsidRPr="00945392">
        <w:rPr>
          <w:rStyle w:val="Ninguno"/>
          <w:rFonts w:ascii="Calibri" w:hAnsi="Calibri" w:cs="Calibri"/>
          <w:sz w:val="22"/>
          <w:szCs w:val="22"/>
        </w:rPr>
        <w:t>).</w:t>
      </w:r>
    </w:p>
    <w:p w14:paraId="436D79A5" w14:textId="77777777" w:rsidR="003F223C" w:rsidRPr="00945392" w:rsidRDefault="00B66A92" w:rsidP="004F1741">
      <w:pPr>
        <w:pStyle w:val="Standard"/>
        <w:spacing w:after="198" w:line="288" w:lineRule="auto"/>
        <w:jc w:val="both"/>
        <w:outlineLvl w:val="0"/>
        <w:rPr>
          <w:rStyle w:val="Hyperlink0"/>
        </w:rPr>
      </w:pPr>
      <w:hyperlink r:id="rId25">
        <w:r w:rsidRPr="00945392">
          <w:rPr>
            <w:rStyle w:val="Hyperlink0"/>
          </w:rPr>
          <w:t>https://www.contratacion.euskadi.eus/contenidos/resolucion_oarc/7_2026/es_def/adjuntos/Resolucion7_2026.pdf</w:t>
        </w:r>
      </w:hyperlink>
    </w:p>
    <w:p w14:paraId="59E096F1" w14:textId="616FEA3E" w:rsidR="003F223C" w:rsidRDefault="00B66A92" w:rsidP="0062002E">
      <w:pPr>
        <w:pStyle w:val="Gorputz-testua"/>
        <w:spacing w:after="80" w:line="288" w:lineRule="auto"/>
        <w:jc w:val="both"/>
      </w:pPr>
      <w:r>
        <w:rPr>
          <w:rStyle w:val="Ninguno"/>
          <w:rFonts w:ascii="Calibri" w:hAnsi="Calibri"/>
          <w:b/>
          <w:bCs/>
          <w:sz w:val="22"/>
          <w:szCs w:val="22"/>
        </w:rPr>
        <w:t xml:space="preserve">- </w:t>
      </w:r>
      <w:proofErr w:type="spellStart"/>
      <w:r>
        <w:rPr>
          <w:rStyle w:val="Ninguno"/>
          <w:rFonts w:ascii="Calibri" w:hAnsi="Calibri"/>
          <w:b/>
          <w:bCs/>
          <w:sz w:val="22"/>
          <w:szCs w:val="22"/>
        </w:rPr>
        <w:t>Resolución</w:t>
      </w:r>
      <w:proofErr w:type="spellEnd"/>
      <w:r>
        <w:rPr>
          <w:rStyle w:val="Ninguno"/>
          <w:rFonts w:ascii="Calibri" w:hAnsi="Calibri"/>
          <w:b/>
          <w:bCs/>
          <w:sz w:val="22"/>
          <w:szCs w:val="22"/>
        </w:rPr>
        <w:t xml:space="preserve"> 9/2026, de 19 de </w:t>
      </w:r>
      <w:proofErr w:type="spellStart"/>
      <w:r>
        <w:rPr>
          <w:rStyle w:val="Ninguno"/>
          <w:rFonts w:ascii="Calibri" w:hAnsi="Calibri"/>
          <w:b/>
          <w:bCs/>
          <w:sz w:val="22"/>
          <w:szCs w:val="22"/>
        </w:rPr>
        <w:t>enero</w:t>
      </w:r>
      <w:proofErr w:type="spellEnd"/>
      <w:r>
        <w:rPr>
          <w:rStyle w:val="Ninguno"/>
          <w:rFonts w:ascii="Calibri" w:hAnsi="Calibri"/>
          <w:b/>
          <w:bCs/>
          <w:sz w:val="22"/>
          <w:szCs w:val="22"/>
        </w:rPr>
        <w:t xml:space="preserve"> de 2026. </w:t>
      </w:r>
      <w:proofErr w:type="spellStart"/>
      <w:r>
        <w:rPr>
          <w:rStyle w:val="Ninguno"/>
          <w:rFonts w:ascii="Calibri" w:hAnsi="Calibri"/>
          <w:sz w:val="22"/>
          <w:szCs w:val="22"/>
        </w:rPr>
        <w:t>Acuerdo</w:t>
      </w:r>
      <w:proofErr w:type="spellEnd"/>
      <w:r>
        <w:rPr>
          <w:rStyle w:val="Ninguno"/>
          <w:rFonts w:ascii="Calibri" w:hAnsi="Calibri"/>
          <w:sz w:val="22"/>
          <w:szCs w:val="22"/>
        </w:rPr>
        <w:t xml:space="preserve"> de "</w:t>
      </w:r>
      <w:proofErr w:type="spellStart"/>
      <w:r>
        <w:rPr>
          <w:rStyle w:val="Ninguno"/>
          <w:rFonts w:ascii="Calibri" w:hAnsi="Calibri"/>
          <w:sz w:val="22"/>
          <w:szCs w:val="22"/>
        </w:rPr>
        <w:t>dejar</w:t>
      </w:r>
      <w:proofErr w:type="spellEnd"/>
      <w:r>
        <w:rPr>
          <w:rStyle w:val="Ninguno"/>
          <w:rFonts w:ascii="Calibri" w:hAnsi="Calibri"/>
          <w:sz w:val="22"/>
          <w:szCs w:val="22"/>
        </w:rPr>
        <w:t xml:space="preserve"> sin </w:t>
      </w:r>
      <w:proofErr w:type="spellStart"/>
      <w:r>
        <w:rPr>
          <w:rStyle w:val="Ninguno"/>
          <w:rFonts w:ascii="Calibri" w:hAnsi="Calibri"/>
          <w:sz w:val="22"/>
          <w:szCs w:val="22"/>
        </w:rPr>
        <w:t>efecto</w:t>
      </w:r>
      <w:proofErr w:type="spellEnd"/>
      <w:r>
        <w:rPr>
          <w:rStyle w:val="Ninguno"/>
          <w:rFonts w:ascii="Calibri" w:hAnsi="Calibri"/>
          <w:sz w:val="22"/>
          <w:szCs w:val="22"/>
        </w:rPr>
        <w:t xml:space="preserve"> </w:t>
      </w:r>
      <w:proofErr w:type="spellStart"/>
      <w:r>
        <w:rPr>
          <w:rStyle w:val="Ninguno"/>
          <w:rFonts w:ascii="Calibri" w:hAnsi="Calibri"/>
          <w:sz w:val="22"/>
          <w:szCs w:val="22"/>
        </w:rPr>
        <w:t>el</w:t>
      </w:r>
      <w:proofErr w:type="spellEnd"/>
      <w:r>
        <w:rPr>
          <w:rStyle w:val="Ninguno"/>
          <w:rFonts w:ascii="Calibri" w:hAnsi="Calibri"/>
          <w:sz w:val="22"/>
          <w:szCs w:val="22"/>
        </w:rPr>
        <w:t xml:space="preserve"> </w:t>
      </w:r>
      <w:proofErr w:type="spellStart"/>
      <w:r>
        <w:rPr>
          <w:rStyle w:val="Ninguno"/>
          <w:rFonts w:ascii="Calibri" w:hAnsi="Calibri"/>
          <w:sz w:val="22"/>
          <w:szCs w:val="22"/>
        </w:rPr>
        <w:t>expediente</w:t>
      </w:r>
      <w:proofErr w:type="spellEnd"/>
      <w:r>
        <w:rPr>
          <w:rStyle w:val="Ninguno"/>
          <w:rFonts w:ascii="Calibri" w:hAnsi="Calibri"/>
          <w:sz w:val="22"/>
          <w:szCs w:val="22"/>
        </w:rPr>
        <w:t xml:space="preserve">". </w:t>
      </w:r>
      <w:proofErr w:type="spellStart"/>
      <w:r>
        <w:rPr>
          <w:rStyle w:val="Ninguno"/>
          <w:rFonts w:ascii="Calibri" w:hAnsi="Calibri"/>
          <w:sz w:val="22"/>
          <w:szCs w:val="22"/>
        </w:rPr>
        <w:t>Acto</w:t>
      </w:r>
      <w:proofErr w:type="spellEnd"/>
      <w:r>
        <w:rPr>
          <w:rStyle w:val="Ninguno"/>
          <w:rFonts w:ascii="Calibri" w:hAnsi="Calibri"/>
          <w:sz w:val="22"/>
          <w:szCs w:val="22"/>
        </w:rPr>
        <w:t xml:space="preserve"> impugnable: </w:t>
      </w:r>
      <w:proofErr w:type="spellStart"/>
      <w:r>
        <w:rPr>
          <w:rStyle w:val="Ninguno"/>
          <w:rFonts w:ascii="Calibri" w:hAnsi="Calibri"/>
          <w:sz w:val="22"/>
          <w:szCs w:val="22"/>
        </w:rPr>
        <w:t>el</w:t>
      </w:r>
      <w:proofErr w:type="spellEnd"/>
      <w:r>
        <w:rPr>
          <w:rStyle w:val="Ninguno"/>
          <w:rFonts w:ascii="Calibri" w:hAnsi="Calibri"/>
          <w:sz w:val="22"/>
          <w:szCs w:val="22"/>
        </w:rPr>
        <w:t xml:space="preserve"> </w:t>
      </w:r>
      <w:proofErr w:type="spellStart"/>
      <w:r>
        <w:rPr>
          <w:rStyle w:val="Ninguno"/>
          <w:rFonts w:ascii="Calibri" w:hAnsi="Calibri"/>
          <w:sz w:val="22"/>
          <w:szCs w:val="22"/>
        </w:rPr>
        <w:t>desistimiento</w:t>
      </w:r>
      <w:proofErr w:type="spellEnd"/>
      <w:r>
        <w:rPr>
          <w:rStyle w:val="Ninguno"/>
          <w:rFonts w:ascii="Calibri" w:hAnsi="Calibri"/>
          <w:sz w:val="22"/>
          <w:szCs w:val="22"/>
        </w:rPr>
        <w:t xml:space="preserve"> del </w:t>
      </w:r>
      <w:proofErr w:type="spellStart"/>
      <w:r>
        <w:rPr>
          <w:rStyle w:val="Ninguno"/>
          <w:rFonts w:ascii="Calibri" w:hAnsi="Calibri"/>
          <w:sz w:val="22"/>
          <w:szCs w:val="22"/>
        </w:rPr>
        <w:t>procedimiento</w:t>
      </w:r>
      <w:proofErr w:type="spellEnd"/>
      <w:r>
        <w:rPr>
          <w:rStyle w:val="Ninguno"/>
          <w:rFonts w:ascii="Calibri" w:hAnsi="Calibri"/>
          <w:sz w:val="22"/>
          <w:szCs w:val="22"/>
        </w:rPr>
        <w:t xml:space="preserve"> de </w:t>
      </w:r>
      <w:proofErr w:type="spellStart"/>
      <w:r>
        <w:rPr>
          <w:rStyle w:val="Ninguno"/>
          <w:rFonts w:ascii="Calibri" w:hAnsi="Calibri"/>
          <w:sz w:val="22"/>
          <w:szCs w:val="22"/>
        </w:rPr>
        <w:t>adjudicación</w:t>
      </w:r>
      <w:proofErr w:type="spellEnd"/>
      <w:r>
        <w:rPr>
          <w:rStyle w:val="Ninguno"/>
          <w:rFonts w:ascii="Calibri" w:hAnsi="Calibri"/>
          <w:sz w:val="22"/>
          <w:szCs w:val="22"/>
        </w:rPr>
        <w:t xml:space="preserve"> es un </w:t>
      </w:r>
      <w:proofErr w:type="spellStart"/>
      <w:r>
        <w:rPr>
          <w:rStyle w:val="Ninguno"/>
          <w:rFonts w:ascii="Calibri" w:hAnsi="Calibri"/>
          <w:sz w:val="22"/>
          <w:szCs w:val="22"/>
        </w:rPr>
        <w:t>acto</w:t>
      </w:r>
      <w:proofErr w:type="spellEnd"/>
      <w:r>
        <w:rPr>
          <w:rStyle w:val="Ninguno"/>
          <w:rFonts w:ascii="Calibri" w:hAnsi="Calibri"/>
          <w:sz w:val="22"/>
          <w:szCs w:val="22"/>
        </w:rPr>
        <w:t xml:space="preserve"> impugnable. </w:t>
      </w:r>
      <w:proofErr w:type="spellStart"/>
      <w:r>
        <w:rPr>
          <w:rStyle w:val="Ninguno"/>
          <w:rFonts w:ascii="Calibri" w:hAnsi="Calibri"/>
          <w:sz w:val="22"/>
          <w:szCs w:val="22"/>
        </w:rPr>
        <w:t>Desistimiento</w:t>
      </w:r>
      <w:proofErr w:type="spellEnd"/>
      <w:r>
        <w:rPr>
          <w:rStyle w:val="Ninguno"/>
          <w:rFonts w:ascii="Calibri" w:hAnsi="Calibri"/>
          <w:sz w:val="22"/>
          <w:szCs w:val="22"/>
        </w:rPr>
        <w:t xml:space="preserve"> del </w:t>
      </w:r>
      <w:proofErr w:type="spellStart"/>
      <w:r>
        <w:rPr>
          <w:rStyle w:val="Ninguno"/>
          <w:rFonts w:ascii="Calibri" w:hAnsi="Calibri"/>
          <w:sz w:val="22"/>
          <w:szCs w:val="22"/>
        </w:rPr>
        <w:t>procedimiento</w:t>
      </w:r>
      <w:proofErr w:type="spellEnd"/>
      <w:r>
        <w:rPr>
          <w:rStyle w:val="Ninguno"/>
          <w:rFonts w:ascii="Calibri" w:hAnsi="Calibri"/>
          <w:sz w:val="22"/>
          <w:szCs w:val="22"/>
        </w:rPr>
        <w:t xml:space="preserve"> de </w:t>
      </w:r>
      <w:proofErr w:type="spellStart"/>
      <w:r>
        <w:rPr>
          <w:rStyle w:val="Ninguno"/>
          <w:rFonts w:ascii="Calibri" w:hAnsi="Calibri"/>
          <w:sz w:val="22"/>
          <w:szCs w:val="22"/>
        </w:rPr>
        <w:t>adjudicación</w:t>
      </w:r>
      <w:proofErr w:type="spellEnd"/>
      <w:r>
        <w:rPr>
          <w:rStyle w:val="Ninguno"/>
          <w:rFonts w:ascii="Calibri" w:hAnsi="Calibri"/>
          <w:sz w:val="22"/>
          <w:szCs w:val="22"/>
        </w:rPr>
        <w:t xml:space="preserve">: del </w:t>
      </w:r>
      <w:proofErr w:type="spellStart"/>
      <w:r>
        <w:rPr>
          <w:rStyle w:val="Ninguno"/>
          <w:rFonts w:ascii="Calibri" w:hAnsi="Calibri"/>
          <w:sz w:val="22"/>
          <w:szCs w:val="22"/>
        </w:rPr>
        <w:t>contenido</w:t>
      </w:r>
      <w:proofErr w:type="spellEnd"/>
      <w:r>
        <w:rPr>
          <w:rStyle w:val="Ninguno"/>
          <w:rFonts w:ascii="Calibri" w:hAnsi="Calibri"/>
          <w:sz w:val="22"/>
          <w:szCs w:val="22"/>
        </w:rPr>
        <w:t xml:space="preserve"> del </w:t>
      </w:r>
      <w:proofErr w:type="spellStart"/>
      <w:r>
        <w:rPr>
          <w:rStyle w:val="Ninguno"/>
          <w:rFonts w:ascii="Calibri" w:hAnsi="Calibri"/>
          <w:sz w:val="22"/>
          <w:szCs w:val="22"/>
        </w:rPr>
        <w:t>expediente</w:t>
      </w:r>
      <w:proofErr w:type="spellEnd"/>
      <w:r>
        <w:rPr>
          <w:rStyle w:val="Ninguno"/>
          <w:rFonts w:ascii="Calibri" w:hAnsi="Calibri"/>
          <w:sz w:val="22"/>
          <w:szCs w:val="22"/>
        </w:rPr>
        <w:t xml:space="preserve"> se deduce que se </w:t>
      </w:r>
      <w:proofErr w:type="spellStart"/>
      <w:r>
        <w:rPr>
          <w:rStyle w:val="Ninguno"/>
          <w:rFonts w:ascii="Calibri" w:hAnsi="Calibri"/>
          <w:sz w:val="22"/>
          <w:szCs w:val="22"/>
        </w:rPr>
        <w:t>trata</w:t>
      </w:r>
      <w:proofErr w:type="spellEnd"/>
      <w:r>
        <w:rPr>
          <w:rStyle w:val="Ninguno"/>
          <w:rFonts w:ascii="Calibri" w:hAnsi="Calibri"/>
          <w:sz w:val="22"/>
          <w:szCs w:val="22"/>
        </w:rPr>
        <w:t xml:space="preserve"> de un </w:t>
      </w:r>
      <w:proofErr w:type="spellStart"/>
      <w:r>
        <w:rPr>
          <w:rStyle w:val="Ninguno"/>
          <w:rFonts w:ascii="Calibri" w:hAnsi="Calibri"/>
          <w:sz w:val="22"/>
          <w:szCs w:val="22"/>
        </w:rPr>
        <w:t>desistimiento</w:t>
      </w:r>
      <w:proofErr w:type="spellEnd"/>
      <w:r>
        <w:rPr>
          <w:rStyle w:val="Ninguno"/>
          <w:rFonts w:ascii="Calibri" w:hAnsi="Calibri"/>
          <w:sz w:val="22"/>
          <w:szCs w:val="22"/>
        </w:rPr>
        <w:t xml:space="preserve"> del </w:t>
      </w:r>
      <w:proofErr w:type="spellStart"/>
      <w:r>
        <w:rPr>
          <w:rStyle w:val="Ninguno"/>
          <w:rFonts w:ascii="Calibri" w:hAnsi="Calibri"/>
          <w:sz w:val="22"/>
          <w:szCs w:val="22"/>
        </w:rPr>
        <w:t>procedimiento</w:t>
      </w:r>
      <w:proofErr w:type="spellEnd"/>
      <w:r>
        <w:rPr>
          <w:rStyle w:val="Ninguno"/>
          <w:rFonts w:ascii="Calibri" w:hAnsi="Calibri"/>
          <w:sz w:val="22"/>
          <w:szCs w:val="22"/>
        </w:rPr>
        <w:t xml:space="preserve"> de </w:t>
      </w:r>
      <w:proofErr w:type="spellStart"/>
      <w:r>
        <w:rPr>
          <w:rStyle w:val="Ninguno"/>
          <w:rFonts w:ascii="Calibri" w:hAnsi="Calibri"/>
          <w:sz w:val="22"/>
          <w:szCs w:val="22"/>
        </w:rPr>
        <w:t>adjudicación</w:t>
      </w:r>
      <w:proofErr w:type="spellEnd"/>
      <w:r>
        <w:rPr>
          <w:rStyle w:val="Ninguno"/>
          <w:rFonts w:ascii="Calibri" w:hAnsi="Calibri"/>
          <w:sz w:val="22"/>
          <w:szCs w:val="22"/>
        </w:rPr>
        <w:t xml:space="preserve">; </w:t>
      </w:r>
      <w:proofErr w:type="spellStart"/>
      <w:r>
        <w:rPr>
          <w:rStyle w:val="Ninguno"/>
          <w:rFonts w:ascii="Calibri" w:hAnsi="Calibri"/>
          <w:sz w:val="22"/>
          <w:szCs w:val="22"/>
        </w:rPr>
        <w:t>doctrina</w:t>
      </w:r>
      <w:proofErr w:type="spellEnd"/>
      <w:r>
        <w:rPr>
          <w:rStyle w:val="Ninguno"/>
          <w:rFonts w:ascii="Calibri" w:hAnsi="Calibri"/>
          <w:sz w:val="22"/>
          <w:szCs w:val="22"/>
        </w:rPr>
        <w:t xml:space="preserve"> general, la </w:t>
      </w:r>
      <w:proofErr w:type="spellStart"/>
      <w:r>
        <w:rPr>
          <w:rStyle w:val="Ninguno"/>
          <w:rFonts w:ascii="Calibri" w:hAnsi="Calibri"/>
          <w:sz w:val="22"/>
          <w:szCs w:val="22"/>
        </w:rPr>
        <w:t>única</w:t>
      </w:r>
      <w:proofErr w:type="spellEnd"/>
      <w:r>
        <w:rPr>
          <w:rStyle w:val="Ninguno"/>
          <w:rFonts w:ascii="Calibri" w:hAnsi="Calibri"/>
          <w:sz w:val="22"/>
          <w:szCs w:val="22"/>
        </w:rPr>
        <w:t xml:space="preserve"> </w:t>
      </w:r>
      <w:proofErr w:type="spellStart"/>
      <w:r>
        <w:rPr>
          <w:rStyle w:val="Ninguno"/>
          <w:rFonts w:ascii="Calibri" w:hAnsi="Calibri"/>
          <w:sz w:val="22"/>
          <w:szCs w:val="22"/>
        </w:rPr>
        <w:t>infracción</w:t>
      </w:r>
      <w:proofErr w:type="spellEnd"/>
      <w:r>
        <w:rPr>
          <w:rStyle w:val="Ninguno"/>
          <w:rFonts w:ascii="Calibri" w:hAnsi="Calibri"/>
          <w:sz w:val="22"/>
          <w:szCs w:val="22"/>
        </w:rPr>
        <w:t xml:space="preserve"> legal </w:t>
      </w:r>
      <w:proofErr w:type="spellStart"/>
      <w:r>
        <w:rPr>
          <w:rStyle w:val="Ninguno"/>
          <w:rFonts w:ascii="Calibri" w:hAnsi="Calibri"/>
          <w:sz w:val="22"/>
          <w:szCs w:val="22"/>
        </w:rPr>
        <w:t>alegada</w:t>
      </w:r>
      <w:proofErr w:type="spellEnd"/>
      <w:r>
        <w:rPr>
          <w:rStyle w:val="Ninguno"/>
          <w:rFonts w:ascii="Calibri" w:hAnsi="Calibri"/>
          <w:sz w:val="22"/>
          <w:szCs w:val="22"/>
        </w:rPr>
        <w:t xml:space="preserve"> es la </w:t>
      </w:r>
      <w:proofErr w:type="spellStart"/>
      <w:r>
        <w:rPr>
          <w:rStyle w:val="Ninguno"/>
          <w:rFonts w:ascii="Calibri" w:hAnsi="Calibri"/>
          <w:sz w:val="22"/>
          <w:szCs w:val="22"/>
        </w:rPr>
        <w:t>falta</w:t>
      </w:r>
      <w:proofErr w:type="spellEnd"/>
      <w:r>
        <w:rPr>
          <w:rStyle w:val="Ninguno"/>
          <w:rFonts w:ascii="Calibri" w:hAnsi="Calibri"/>
          <w:sz w:val="22"/>
          <w:szCs w:val="22"/>
        </w:rPr>
        <w:t xml:space="preserve"> de </w:t>
      </w:r>
      <w:proofErr w:type="spellStart"/>
      <w:r>
        <w:rPr>
          <w:rStyle w:val="Ninguno"/>
          <w:rFonts w:ascii="Calibri" w:hAnsi="Calibri"/>
          <w:sz w:val="22"/>
          <w:szCs w:val="22"/>
        </w:rPr>
        <w:t>justificación</w:t>
      </w:r>
      <w:proofErr w:type="spellEnd"/>
      <w:r>
        <w:rPr>
          <w:rStyle w:val="Ninguno"/>
          <w:rFonts w:ascii="Calibri" w:hAnsi="Calibri"/>
          <w:sz w:val="22"/>
          <w:szCs w:val="22"/>
        </w:rPr>
        <w:t xml:space="preserve"> </w:t>
      </w:r>
      <w:proofErr w:type="spellStart"/>
      <w:r>
        <w:rPr>
          <w:rStyle w:val="Ninguno"/>
          <w:rFonts w:ascii="Calibri" w:hAnsi="Calibri"/>
          <w:sz w:val="22"/>
          <w:szCs w:val="22"/>
        </w:rPr>
        <w:t>en</w:t>
      </w:r>
      <w:proofErr w:type="spellEnd"/>
      <w:r>
        <w:rPr>
          <w:rStyle w:val="Ninguno"/>
          <w:rFonts w:ascii="Calibri" w:hAnsi="Calibri"/>
          <w:sz w:val="22"/>
          <w:szCs w:val="22"/>
        </w:rPr>
        <w:t xml:space="preserve"> </w:t>
      </w:r>
      <w:proofErr w:type="spellStart"/>
      <w:r>
        <w:rPr>
          <w:rStyle w:val="Ninguno"/>
          <w:rFonts w:ascii="Calibri" w:hAnsi="Calibri"/>
          <w:sz w:val="22"/>
          <w:szCs w:val="22"/>
        </w:rPr>
        <w:t>el</w:t>
      </w:r>
      <w:proofErr w:type="spellEnd"/>
      <w:r>
        <w:rPr>
          <w:rStyle w:val="Ninguno"/>
          <w:rFonts w:ascii="Calibri" w:hAnsi="Calibri"/>
          <w:sz w:val="22"/>
          <w:szCs w:val="22"/>
        </w:rPr>
        <w:t xml:space="preserve"> </w:t>
      </w:r>
      <w:proofErr w:type="spellStart"/>
      <w:r>
        <w:rPr>
          <w:rStyle w:val="Ninguno"/>
          <w:rFonts w:ascii="Calibri" w:hAnsi="Calibri"/>
          <w:sz w:val="22"/>
          <w:szCs w:val="22"/>
        </w:rPr>
        <w:t>expediente</w:t>
      </w:r>
      <w:proofErr w:type="spellEnd"/>
      <w:r>
        <w:rPr>
          <w:rStyle w:val="Ninguno"/>
          <w:rFonts w:ascii="Calibri" w:hAnsi="Calibri"/>
          <w:sz w:val="22"/>
          <w:szCs w:val="22"/>
        </w:rPr>
        <w:t xml:space="preserve"> del </w:t>
      </w:r>
      <w:proofErr w:type="spellStart"/>
      <w:r>
        <w:rPr>
          <w:rStyle w:val="Ninguno"/>
          <w:rFonts w:ascii="Calibri" w:hAnsi="Calibri"/>
          <w:sz w:val="22"/>
          <w:szCs w:val="22"/>
        </w:rPr>
        <w:t>presupuesto</w:t>
      </w:r>
      <w:proofErr w:type="spellEnd"/>
      <w:r>
        <w:rPr>
          <w:rStyle w:val="Ninguno"/>
          <w:rFonts w:ascii="Calibri" w:hAnsi="Calibri"/>
          <w:sz w:val="22"/>
          <w:szCs w:val="22"/>
        </w:rPr>
        <w:t xml:space="preserve"> base de </w:t>
      </w:r>
      <w:proofErr w:type="spellStart"/>
      <w:r>
        <w:rPr>
          <w:rStyle w:val="Ninguno"/>
          <w:rFonts w:ascii="Calibri" w:hAnsi="Calibri"/>
          <w:sz w:val="22"/>
          <w:szCs w:val="22"/>
        </w:rPr>
        <w:t>licitación</w:t>
      </w:r>
      <w:proofErr w:type="spellEnd"/>
      <w:r>
        <w:rPr>
          <w:rStyle w:val="Ninguno"/>
          <w:rFonts w:ascii="Calibri" w:hAnsi="Calibri"/>
          <w:sz w:val="22"/>
          <w:szCs w:val="22"/>
        </w:rPr>
        <w:t xml:space="preserve"> (PBL), la </w:t>
      </w:r>
      <w:proofErr w:type="spellStart"/>
      <w:r>
        <w:rPr>
          <w:rStyle w:val="Ninguno"/>
          <w:rFonts w:ascii="Calibri" w:hAnsi="Calibri"/>
          <w:sz w:val="22"/>
          <w:szCs w:val="22"/>
        </w:rPr>
        <w:t>infracción</w:t>
      </w:r>
      <w:proofErr w:type="spellEnd"/>
      <w:r>
        <w:rPr>
          <w:rStyle w:val="Ninguno"/>
          <w:rFonts w:ascii="Calibri" w:hAnsi="Calibri"/>
          <w:sz w:val="22"/>
          <w:szCs w:val="22"/>
        </w:rPr>
        <w:t xml:space="preserve"> </w:t>
      </w:r>
      <w:proofErr w:type="spellStart"/>
      <w:r>
        <w:rPr>
          <w:rStyle w:val="Ninguno"/>
          <w:rFonts w:ascii="Calibri" w:hAnsi="Calibri"/>
          <w:sz w:val="22"/>
          <w:szCs w:val="22"/>
        </w:rPr>
        <w:t>alegada</w:t>
      </w:r>
      <w:proofErr w:type="spellEnd"/>
      <w:r>
        <w:rPr>
          <w:rStyle w:val="Ninguno"/>
          <w:rFonts w:ascii="Calibri" w:hAnsi="Calibri"/>
          <w:sz w:val="22"/>
          <w:szCs w:val="22"/>
        </w:rPr>
        <w:t xml:space="preserve"> es </w:t>
      </w:r>
      <w:proofErr w:type="spellStart"/>
      <w:r>
        <w:rPr>
          <w:rStyle w:val="Ninguno"/>
          <w:rFonts w:ascii="Calibri" w:hAnsi="Calibri"/>
          <w:sz w:val="22"/>
          <w:szCs w:val="22"/>
        </w:rPr>
        <w:t>irrelevante</w:t>
      </w:r>
      <w:proofErr w:type="spellEnd"/>
      <w:r>
        <w:rPr>
          <w:rStyle w:val="Ninguno"/>
          <w:rFonts w:ascii="Calibri" w:hAnsi="Calibri"/>
          <w:sz w:val="22"/>
          <w:szCs w:val="22"/>
        </w:rPr>
        <w:t xml:space="preserve">, no se </w:t>
      </w:r>
      <w:proofErr w:type="spellStart"/>
      <w:r>
        <w:rPr>
          <w:rStyle w:val="Ninguno"/>
          <w:rFonts w:ascii="Calibri" w:hAnsi="Calibri"/>
          <w:sz w:val="22"/>
          <w:szCs w:val="22"/>
        </w:rPr>
        <w:t>discute</w:t>
      </w:r>
      <w:proofErr w:type="spellEnd"/>
      <w:r>
        <w:rPr>
          <w:rStyle w:val="Ninguno"/>
          <w:rFonts w:ascii="Calibri" w:hAnsi="Calibri"/>
          <w:sz w:val="22"/>
          <w:szCs w:val="22"/>
        </w:rPr>
        <w:t xml:space="preserve"> la </w:t>
      </w:r>
      <w:proofErr w:type="spellStart"/>
      <w:r>
        <w:rPr>
          <w:rStyle w:val="Ninguno"/>
          <w:rFonts w:ascii="Calibri" w:hAnsi="Calibri"/>
          <w:sz w:val="22"/>
          <w:szCs w:val="22"/>
        </w:rPr>
        <w:t>adecuación</w:t>
      </w:r>
      <w:proofErr w:type="spellEnd"/>
      <w:r>
        <w:rPr>
          <w:rStyle w:val="Ninguno"/>
          <w:rFonts w:ascii="Calibri" w:hAnsi="Calibri"/>
          <w:sz w:val="22"/>
          <w:szCs w:val="22"/>
        </w:rPr>
        <w:t xml:space="preserve"> o </w:t>
      </w:r>
      <w:proofErr w:type="spellStart"/>
      <w:r>
        <w:rPr>
          <w:rStyle w:val="Ninguno"/>
          <w:rFonts w:ascii="Calibri" w:hAnsi="Calibri"/>
          <w:sz w:val="22"/>
          <w:szCs w:val="22"/>
        </w:rPr>
        <w:t>suficiencia</w:t>
      </w:r>
      <w:proofErr w:type="spellEnd"/>
      <w:r>
        <w:rPr>
          <w:rStyle w:val="Ninguno"/>
          <w:rFonts w:ascii="Calibri" w:hAnsi="Calibri"/>
          <w:sz w:val="22"/>
          <w:szCs w:val="22"/>
        </w:rPr>
        <w:t xml:space="preserve"> del </w:t>
      </w:r>
      <w:proofErr w:type="spellStart"/>
      <w:r>
        <w:rPr>
          <w:rStyle w:val="Ninguno"/>
          <w:rFonts w:ascii="Calibri" w:hAnsi="Calibri"/>
          <w:sz w:val="22"/>
          <w:szCs w:val="22"/>
        </w:rPr>
        <w:t>importe</w:t>
      </w:r>
      <w:proofErr w:type="spellEnd"/>
      <w:r>
        <w:rPr>
          <w:rStyle w:val="Ninguno"/>
          <w:rFonts w:ascii="Calibri" w:hAnsi="Calibri"/>
          <w:sz w:val="22"/>
          <w:szCs w:val="22"/>
        </w:rPr>
        <w:t xml:space="preserve"> del PBL, no </w:t>
      </w:r>
      <w:proofErr w:type="spellStart"/>
      <w:r>
        <w:rPr>
          <w:rStyle w:val="Ninguno"/>
          <w:rFonts w:ascii="Calibri" w:hAnsi="Calibri"/>
          <w:sz w:val="22"/>
          <w:szCs w:val="22"/>
        </w:rPr>
        <w:t>tiene</w:t>
      </w:r>
      <w:proofErr w:type="spellEnd"/>
      <w:r>
        <w:rPr>
          <w:rStyle w:val="Ninguno"/>
          <w:rFonts w:ascii="Calibri" w:hAnsi="Calibri"/>
          <w:sz w:val="22"/>
          <w:szCs w:val="22"/>
        </w:rPr>
        <w:t xml:space="preserve"> </w:t>
      </w:r>
      <w:proofErr w:type="spellStart"/>
      <w:r>
        <w:rPr>
          <w:rStyle w:val="Ninguno"/>
          <w:rFonts w:ascii="Calibri" w:hAnsi="Calibri"/>
          <w:sz w:val="22"/>
          <w:szCs w:val="22"/>
        </w:rPr>
        <w:t>sentido</w:t>
      </w:r>
      <w:proofErr w:type="spellEnd"/>
      <w:r>
        <w:rPr>
          <w:rStyle w:val="Ninguno"/>
          <w:rFonts w:ascii="Calibri" w:hAnsi="Calibri"/>
          <w:sz w:val="22"/>
          <w:szCs w:val="22"/>
        </w:rPr>
        <w:t xml:space="preserve"> </w:t>
      </w:r>
      <w:proofErr w:type="spellStart"/>
      <w:r>
        <w:rPr>
          <w:rStyle w:val="Ninguno"/>
          <w:rFonts w:ascii="Calibri" w:hAnsi="Calibri"/>
          <w:sz w:val="22"/>
          <w:szCs w:val="22"/>
        </w:rPr>
        <w:t>iniciar</w:t>
      </w:r>
      <w:proofErr w:type="spellEnd"/>
      <w:r>
        <w:rPr>
          <w:rStyle w:val="Ninguno"/>
          <w:rFonts w:ascii="Calibri" w:hAnsi="Calibri"/>
          <w:sz w:val="22"/>
          <w:szCs w:val="22"/>
        </w:rPr>
        <w:t xml:space="preserve"> un nuevo </w:t>
      </w:r>
      <w:proofErr w:type="spellStart"/>
      <w:r>
        <w:rPr>
          <w:rStyle w:val="Ninguno"/>
          <w:rFonts w:ascii="Calibri" w:hAnsi="Calibri"/>
          <w:sz w:val="22"/>
          <w:szCs w:val="22"/>
        </w:rPr>
        <w:t>procedimiento</w:t>
      </w:r>
      <w:proofErr w:type="spellEnd"/>
      <w:r>
        <w:rPr>
          <w:rStyle w:val="Ninguno"/>
          <w:rFonts w:ascii="Calibri" w:hAnsi="Calibri"/>
          <w:sz w:val="22"/>
          <w:szCs w:val="22"/>
        </w:rPr>
        <w:t xml:space="preserve"> solo para </w:t>
      </w:r>
      <w:proofErr w:type="spellStart"/>
      <w:r>
        <w:rPr>
          <w:rStyle w:val="Ninguno"/>
          <w:rFonts w:ascii="Calibri" w:hAnsi="Calibri"/>
          <w:sz w:val="22"/>
          <w:szCs w:val="22"/>
        </w:rPr>
        <w:t>introducir</w:t>
      </w:r>
      <w:proofErr w:type="spellEnd"/>
      <w:r>
        <w:rPr>
          <w:rStyle w:val="Ninguno"/>
          <w:rFonts w:ascii="Calibri" w:hAnsi="Calibri"/>
          <w:sz w:val="22"/>
          <w:szCs w:val="22"/>
        </w:rPr>
        <w:t xml:space="preserve"> la </w:t>
      </w:r>
      <w:proofErr w:type="spellStart"/>
      <w:r>
        <w:rPr>
          <w:rStyle w:val="Ninguno"/>
          <w:rFonts w:ascii="Calibri" w:hAnsi="Calibri"/>
          <w:sz w:val="22"/>
          <w:szCs w:val="22"/>
        </w:rPr>
        <w:t>justificación</w:t>
      </w:r>
      <w:proofErr w:type="spellEnd"/>
      <w:r>
        <w:rPr>
          <w:rStyle w:val="Ninguno"/>
          <w:rFonts w:ascii="Calibri" w:hAnsi="Calibri"/>
          <w:sz w:val="22"/>
          <w:szCs w:val="22"/>
        </w:rPr>
        <w:t xml:space="preserve"> del PBL. </w:t>
      </w:r>
      <w:proofErr w:type="spellStart"/>
      <w:r>
        <w:rPr>
          <w:rStyle w:val="Ninguno"/>
          <w:rFonts w:ascii="Calibri" w:hAnsi="Calibri"/>
          <w:sz w:val="22"/>
          <w:szCs w:val="22"/>
        </w:rPr>
        <w:t>Recurso</w:t>
      </w:r>
      <w:proofErr w:type="spellEnd"/>
      <w:r>
        <w:rPr>
          <w:rStyle w:val="Ninguno"/>
          <w:rFonts w:ascii="Calibri" w:hAnsi="Calibri"/>
          <w:sz w:val="22"/>
          <w:szCs w:val="22"/>
        </w:rPr>
        <w:t xml:space="preserve"> </w:t>
      </w:r>
      <w:proofErr w:type="spellStart"/>
      <w:r>
        <w:rPr>
          <w:rStyle w:val="Ninguno"/>
          <w:rFonts w:ascii="Calibri" w:hAnsi="Calibri"/>
          <w:sz w:val="22"/>
          <w:szCs w:val="22"/>
        </w:rPr>
        <w:t>planteado</w:t>
      </w:r>
      <w:proofErr w:type="spellEnd"/>
      <w:r>
        <w:rPr>
          <w:rStyle w:val="Ninguno"/>
          <w:rFonts w:ascii="Calibri" w:hAnsi="Calibri"/>
          <w:sz w:val="22"/>
          <w:szCs w:val="22"/>
        </w:rPr>
        <w:t xml:space="preserve"> contra </w:t>
      </w:r>
      <w:proofErr w:type="spellStart"/>
      <w:r>
        <w:rPr>
          <w:rStyle w:val="Ninguno"/>
          <w:rFonts w:ascii="Calibri" w:hAnsi="Calibri"/>
          <w:sz w:val="22"/>
          <w:szCs w:val="22"/>
        </w:rPr>
        <w:t>los</w:t>
      </w:r>
      <w:proofErr w:type="spellEnd"/>
      <w:r>
        <w:rPr>
          <w:rStyle w:val="Ninguno"/>
          <w:rFonts w:ascii="Calibri" w:hAnsi="Calibri"/>
          <w:sz w:val="22"/>
          <w:szCs w:val="22"/>
        </w:rPr>
        <w:t xml:space="preserve"> </w:t>
      </w:r>
      <w:proofErr w:type="spellStart"/>
      <w:r>
        <w:rPr>
          <w:rStyle w:val="Ninguno"/>
          <w:rFonts w:ascii="Calibri" w:hAnsi="Calibri"/>
          <w:sz w:val="22"/>
          <w:szCs w:val="22"/>
        </w:rPr>
        <w:t>pliegos</w:t>
      </w:r>
      <w:proofErr w:type="spellEnd"/>
      <w:r>
        <w:rPr>
          <w:rStyle w:val="Ninguno"/>
          <w:rFonts w:ascii="Calibri" w:hAnsi="Calibri"/>
          <w:sz w:val="22"/>
          <w:szCs w:val="22"/>
        </w:rPr>
        <w:t xml:space="preserve"> y </w:t>
      </w:r>
      <w:proofErr w:type="spellStart"/>
      <w:r>
        <w:rPr>
          <w:rStyle w:val="Ninguno"/>
          <w:rFonts w:ascii="Calibri" w:hAnsi="Calibri"/>
          <w:sz w:val="22"/>
          <w:szCs w:val="22"/>
        </w:rPr>
        <w:t>declaración</w:t>
      </w:r>
      <w:proofErr w:type="spellEnd"/>
      <w:r>
        <w:rPr>
          <w:rStyle w:val="Ninguno"/>
          <w:rFonts w:ascii="Calibri" w:hAnsi="Calibri"/>
          <w:sz w:val="22"/>
          <w:szCs w:val="22"/>
        </w:rPr>
        <w:t xml:space="preserve"> de </w:t>
      </w:r>
      <w:proofErr w:type="spellStart"/>
      <w:r>
        <w:rPr>
          <w:rStyle w:val="Ninguno"/>
          <w:rFonts w:ascii="Calibri" w:hAnsi="Calibri"/>
          <w:sz w:val="22"/>
          <w:szCs w:val="22"/>
        </w:rPr>
        <w:t>procedimiento</w:t>
      </w:r>
      <w:proofErr w:type="spellEnd"/>
      <w:r>
        <w:rPr>
          <w:rStyle w:val="Ninguno"/>
          <w:rFonts w:ascii="Calibri" w:hAnsi="Calibri"/>
          <w:sz w:val="22"/>
          <w:szCs w:val="22"/>
        </w:rPr>
        <w:t xml:space="preserve"> </w:t>
      </w:r>
      <w:proofErr w:type="spellStart"/>
      <w:r>
        <w:rPr>
          <w:rStyle w:val="Ninguno"/>
          <w:rFonts w:ascii="Calibri" w:hAnsi="Calibri"/>
          <w:sz w:val="22"/>
          <w:szCs w:val="22"/>
        </w:rPr>
        <w:t>concluso</w:t>
      </w:r>
      <w:proofErr w:type="spellEnd"/>
      <w:r>
        <w:rPr>
          <w:rStyle w:val="Ninguno"/>
          <w:rFonts w:ascii="Calibri" w:hAnsi="Calibri"/>
          <w:sz w:val="22"/>
          <w:szCs w:val="22"/>
        </w:rPr>
        <w:t xml:space="preserve"> </w:t>
      </w:r>
      <w:proofErr w:type="spellStart"/>
      <w:r>
        <w:rPr>
          <w:rStyle w:val="Ninguno"/>
          <w:rFonts w:ascii="Calibri" w:hAnsi="Calibri"/>
          <w:sz w:val="22"/>
          <w:szCs w:val="22"/>
        </w:rPr>
        <w:t>por</w:t>
      </w:r>
      <w:proofErr w:type="spellEnd"/>
      <w:r>
        <w:rPr>
          <w:rStyle w:val="Ninguno"/>
          <w:rFonts w:ascii="Calibri" w:hAnsi="Calibri"/>
          <w:sz w:val="22"/>
          <w:szCs w:val="22"/>
        </w:rPr>
        <w:t xml:space="preserve"> causa del </w:t>
      </w:r>
      <w:proofErr w:type="spellStart"/>
      <w:r>
        <w:rPr>
          <w:rStyle w:val="Ninguno"/>
          <w:rFonts w:ascii="Calibri" w:hAnsi="Calibri"/>
          <w:sz w:val="22"/>
          <w:szCs w:val="22"/>
        </w:rPr>
        <w:t>desistimiento</w:t>
      </w:r>
      <w:proofErr w:type="spellEnd"/>
      <w:r>
        <w:rPr>
          <w:rStyle w:val="Ninguno"/>
          <w:rFonts w:ascii="Calibri" w:hAnsi="Calibri"/>
          <w:sz w:val="22"/>
          <w:szCs w:val="22"/>
        </w:rPr>
        <w:t xml:space="preserve"> </w:t>
      </w:r>
      <w:proofErr w:type="spellStart"/>
      <w:r>
        <w:rPr>
          <w:rStyle w:val="Ninguno"/>
          <w:rFonts w:ascii="Calibri" w:hAnsi="Calibri"/>
          <w:sz w:val="22"/>
          <w:szCs w:val="22"/>
        </w:rPr>
        <w:t>ahora</w:t>
      </w:r>
      <w:proofErr w:type="spellEnd"/>
      <w:r>
        <w:rPr>
          <w:rStyle w:val="Ninguno"/>
          <w:rFonts w:ascii="Calibri" w:hAnsi="Calibri"/>
          <w:sz w:val="22"/>
          <w:szCs w:val="22"/>
        </w:rPr>
        <w:t xml:space="preserve"> </w:t>
      </w:r>
      <w:proofErr w:type="spellStart"/>
      <w:r>
        <w:rPr>
          <w:rStyle w:val="Ninguno"/>
          <w:rFonts w:ascii="Calibri" w:hAnsi="Calibri"/>
          <w:sz w:val="22"/>
          <w:szCs w:val="22"/>
        </w:rPr>
        <w:t>anulado</w:t>
      </w:r>
      <w:proofErr w:type="spellEnd"/>
      <w:r>
        <w:rPr>
          <w:rStyle w:val="Ninguno"/>
          <w:rFonts w:ascii="Calibri" w:hAnsi="Calibri"/>
          <w:sz w:val="22"/>
          <w:szCs w:val="22"/>
        </w:rPr>
        <w:t xml:space="preserve">, </w:t>
      </w:r>
      <w:proofErr w:type="spellStart"/>
      <w:r>
        <w:rPr>
          <w:rStyle w:val="Ninguno"/>
          <w:rFonts w:ascii="Calibri" w:hAnsi="Calibri"/>
          <w:sz w:val="22"/>
          <w:szCs w:val="22"/>
        </w:rPr>
        <w:t>posibilidad</w:t>
      </w:r>
      <w:proofErr w:type="spellEnd"/>
      <w:r>
        <w:rPr>
          <w:rStyle w:val="Ninguno"/>
          <w:rFonts w:ascii="Calibri" w:hAnsi="Calibri"/>
          <w:sz w:val="22"/>
          <w:szCs w:val="22"/>
        </w:rPr>
        <w:t xml:space="preserve"> de </w:t>
      </w:r>
      <w:proofErr w:type="spellStart"/>
      <w:r>
        <w:rPr>
          <w:rStyle w:val="Ninguno"/>
          <w:rFonts w:ascii="Calibri" w:hAnsi="Calibri"/>
          <w:sz w:val="22"/>
          <w:szCs w:val="22"/>
        </w:rPr>
        <w:t>volver</w:t>
      </w:r>
      <w:proofErr w:type="spellEnd"/>
      <w:r>
        <w:rPr>
          <w:rStyle w:val="Ninguno"/>
          <w:rFonts w:ascii="Calibri" w:hAnsi="Calibri"/>
          <w:sz w:val="22"/>
          <w:szCs w:val="22"/>
        </w:rPr>
        <w:t xml:space="preserve"> a </w:t>
      </w:r>
      <w:proofErr w:type="spellStart"/>
      <w:r>
        <w:rPr>
          <w:rStyle w:val="Ninguno"/>
          <w:rFonts w:ascii="Calibri" w:hAnsi="Calibri"/>
          <w:sz w:val="22"/>
          <w:szCs w:val="22"/>
        </w:rPr>
        <w:t>tomar</w:t>
      </w:r>
      <w:proofErr w:type="spellEnd"/>
      <w:r>
        <w:rPr>
          <w:rStyle w:val="Ninguno"/>
          <w:rFonts w:ascii="Calibri" w:hAnsi="Calibri"/>
          <w:sz w:val="22"/>
          <w:szCs w:val="22"/>
        </w:rPr>
        <w:t xml:space="preserve"> </w:t>
      </w:r>
      <w:proofErr w:type="spellStart"/>
      <w:r>
        <w:rPr>
          <w:rStyle w:val="Ninguno"/>
          <w:rFonts w:ascii="Calibri" w:hAnsi="Calibri"/>
          <w:sz w:val="22"/>
          <w:szCs w:val="22"/>
        </w:rPr>
        <w:t>en</w:t>
      </w:r>
      <w:proofErr w:type="spellEnd"/>
      <w:r>
        <w:rPr>
          <w:rStyle w:val="Ninguno"/>
          <w:rFonts w:ascii="Calibri" w:hAnsi="Calibri"/>
          <w:sz w:val="22"/>
          <w:szCs w:val="22"/>
        </w:rPr>
        <w:t xml:space="preserve"> </w:t>
      </w:r>
      <w:proofErr w:type="spellStart"/>
      <w:r>
        <w:rPr>
          <w:rStyle w:val="Ninguno"/>
          <w:rFonts w:ascii="Calibri" w:hAnsi="Calibri"/>
          <w:sz w:val="22"/>
          <w:szCs w:val="22"/>
        </w:rPr>
        <w:t>consideración</w:t>
      </w:r>
      <w:proofErr w:type="spellEnd"/>
      <w:r>
        <w:rPr>
          <w:rStyle w:val="Ninguno"/>
          <w:rFonts w:ascii="Calibri" w:hAnsi="Calibri"/>
          <w:sz w:val="22"/>
          <w:szCs w:val="22"/>
        </w:rPr>
        <w:t xml:space="preserve"> </w:t>
      </w:r>
      <w:proofErr w:type="spellStart"/>
      <w:r>
        <w:rPr>
          <w:rStyle w:val="Ninguno"/>
          <w:rFonts w:ascii="Calibri" w:hAnsi="Calibri"/>
          <w:sz w:val="22"/>
          <w:szCs w:val="22"/>
        </w:rPr>
        <w:t>el</w:t>
      </w:r>
      <w:proofErr w:type="spellEnd"/>
      <w:r>
        <w:rPr>
          <w:rStyle w:val="Ninguno"/>
          <w:rFonts w:ascii="Calibri" w:hAnsi="Calibri"/>
          <w:sz w:val="22"/>
          <w:szCs w:val="22"/>
        </w:rPr>
        <w:t xml:space="preserve"> </w:t>
      </w:r>
      <w:proofErr w:type="spellStart"/>
      <w:r>
        <w:rPr>
          <w:rStyle w:val="Ninguno"/>
          <w:rFonts w:ascii="Calibri" w:hAnsi="Calibri"/>
          <w:sz w:val="22"/>
          <w:szCs w:val="22"/>
        </w:rPr>
        <w:t>recurso</w:t>
      </w:r>
      <w:proofErr w:type="spellEnd"/>
      <w:r>
        <w:rPr>
          <w:rStyle w:val="Ninguno"/>
          <w:rFonts w:ascii="Calibri" w:hAnsi="Calibri"/>
          <w:sz w:val="22"/>
          <w:szCs w:val="22"/>
        </w:rPr>
        <w:t xml:space="preserve">, </w:t>
      </w:r>
      <w:proofErr w:type="spellStart"/>
      <w:r>
        <w:rPr>
          <w:rStyle w:val="Ninguno"/>
          <w:rFonts w:ascii="Calibri" w:hAnsi="Calibri"/>
          <w:sz w:val="22"/>
          <w:szCs w:val="22"/>
        </w:rPr>
        <w:t>falta</w:t>
      </w:r>
      <w:proofErr w:type="spellEnd"/>
      <w:r>
        <w:rPr>
          <w:rStyle w:val="Ninguno"/>
          <w:rFonts w:ascii="Calibri" w:hAnsi="Calibri"/>
          <w:sz w:val="22"/>
          <w:szCs w:val="22"/>
        </w:rPr>
        <w:t xml:space="preserve"> de </w:t>
      </w:r>
      <w:proofErr w:type="spellStart"/>
      <w:r>
        <w:rPr>
          <w:rStyle w:val="Ninguno"/>
          <w:rFonts w:ascii="Calibri" w:hAnsi="Calibri"/>
          <w:sz w:val="22"/>
          <w:szCs w:val="22"/>
        </w:rPr>
        <w:t>legitimación</w:t>
      </w:r>
      <w:proofErr w:type="spellEnd"/>
      <w:r>
        <w:rPr>
          <w:rStyle w:val="Ninguno"/>
          <w:rFonts w:ascii="Calibri" w:hAnsi="Calibri"/>
          <w:sz w:val="22"/>
          <w:szCs w:val="22"/>
        </w:rPr>
        <w:t xml:space="preserve"> </w:t>
      </w:r>
      <w:proofErr w:type="spellStart"/>
      <w:r>
        <w:rPr>
          <w:rStyle w:val="Ninguno"/>
          <w:rFonts w:ascii="Calibri" w:hAnsi="Calibri"/>
          <w:sz w:val="22"/>
          <w:szCs w:val="22"/>
        </w:rPr>
        <w:t>activa</w:t>
      </w:r>
      <w:proofErr w:type="spellEnd"/>
      <w:r>
        <w:rPr>
          <w:rStyle w:val="Ninguno"/>
          <w:rFonts w:ascii="Calibri" w:hAnsi="Calibri"/>
          <w:sz w:val="22"/>
          <w:szCs w:val="22"/>
        </w:rPr>
        <w:t xml:space="preserve"> del </w:t>
      </w:r>
      <w:proofErr w:type="spellStart"/>
      <w:r>
        <w:rPr>
          <w:rStyle w:val="Ninguno"/>
          <w:rFonts w:ascii="Calibri" w:hAnsi="Calibri"/>
          <w:sz w:val="22"/>
          <w:szCs w:val="22"/>
        </w:rPr>
        <w:t>único</w:t>
      </w:r>
      <w:proofErr w:type="spellEnd"/>
      <w:r>
        <w:rPr>
          <w:rStyle w:val="Ninguno"/>
          <w:rFonts w:ascii="Calibri" w:hAnsi="Calibri"/>
          <w:sz w:val="22"/>
          <w:szCs w:val="22"/>
        </w:rPr>
        <w:t xml:space="preserve"> </w:t>
      </w:r>
      <w:proofErr w:type="spellStart"/>
      <w:r>
        <w:rPr>
          <w:rStyle w:val="Ninguno"/>
          <w:rFonts w:ascii="Calibri" w:hAnsi="Calibri"/>
          <w:sz w:val="22"/>
          <w:szCs w:val="22"/>
        </w:rPr>
        <w:t>licitador</w:t>
      </w:r>
      <w:proofErr w:type="spellEnd"/>
      <w:r>
        <w:rPr>
          <w:rStyle w:val="Ninguno"/>
          <w:rFonts w:ascii="Calibri" w:hAnsi="Calibri"/>
          <w:sz w:val="22"/>
          <w:szCs w:val="22"/>
        </w:rPr>
        <w:t xml:space="preserve"> no </w:t>
      </w:r>
      <w:proofErr w:type="spellStart"/>
      <w:r>
        <w:rPr>
          <w:rStyle w:val="Ninguno"/>
          <w:rFonts w:ascii="Calibri" w:hAnsi="Calibri"/>
          <w:sz w:val="22"/>
          <w:szCs w:val="22"/>
        </w:rPr>
        <w:t>excluido</w:t>
      </w:r>
      <w:proofErr w:type="spellEnd"/>
      <w:r>
        <w:rPr>
          <w:rStyle w:val="Ninguno"/>
          <w:rFonts w:ascii="Calibri" w:hAnsi="Calibri"/>
          <w:sz w:val="22"/>
          <w:szCs w:val="22"/>
        </w:rPr>
        <w:t xml:space="preserve"> para </w:t>
      </w:r>
      <w:proofErr w:type="spellStart"/>
      <w:r>
        <w:rPr>
          <w:rStyle w:val="Ninguno"/>
          <w:rFonts w:ascii="Calibri" w:hAnsi="Calibri"/>
          <w:sz w:val="22"/>
          <w:szCs w:val="22"/>
        </w:rPr>
        <w:t>pedir</w:t>
      </w:r>
      <w:proofErr w:type="spellEnd"/>
      <w:r>
        <w:rPr>
          <w:rStyle w:val="Ninguno"/>
          <w:rFonts w:ascii="Calibri" w:hAnsi="Calibri"/>
          <w:sz w:val="22"/>
          <w:szCs w:val="22"/>
        </w:rPr>
        <w:t xml:space="preserve"> la "</w:t>
      </w:r>
      <w:proofErr w:type="spellStart"/>
      <w:r>
        <w:rPr>
          <w:rStyle w:val="Ninguno"/>
          <w:rFonts w:ascii="Calibri" w:hAnsi="Calibri"/>
          <w:sz w:val="22"/>
          <w:szCs w:val="22"/>
        </w:rPr>
        <w:t>reanudación</w:t>
      </w:r>
      <w:proofErr w:type="spellEnd"/>
      <w:r>
        <w:rPr>
          <w:rStyle w:val="Ninguno"/>
          <w:rFonts w:ascii="Calibri" w:hAnsi="Calibri"/>
          <w:sz w:val="22"/>
          <w:szCs w:val="22"/>
        </w:rPr>
        <w:t xml:space="preserve">" del </w:t>
      </w:r>
      <w:proofErr w:type="spellStart"/>
      <w:r>
        <w:rPr>
          <w:rStyle w:val="Ninguno"/>
          <w:rFonts w:ascii="Calibri" w:hAnsi="Calibri"/>
          <w:sz w:val="22"/>
          <w:szCs w:val="22"/>
        </w:rPr>
        <w:t>procedimiento</w:t>
      </w:r>
      <w:proofErr w:type="spellEnd"/>
      <w:r>
        <w:rPr>
          <w:rStyle w:val="Ninguno"/>
          <w:rFonts w:ascii="Calibri" w:hAnsi="Calibri"/>
          <w:sz w:val="22"/>
          <w:szCs w:val="22"/>
        </w:rPr>
        <w:t xml:space="preserve"> de </w:t>
      </w:r>
      <w:proofErr w:type="spellStart"/>
      <w:r>
        <w:rPr>
          <w:rStyle w:val="Ninguno"/>
          <w:rFonts w:ascii="Calibri" w:hAnsi="Calibri"/>
          <w:sz w:val="22"/>
          <w:szCs w:val="22"/>
        </w:rPr>
        <w:t>recurso</w:t>
      </w:r>
      <w:proofErr w:type="spellEnd"/>
      <w:r>
        <w:rPr>
          <w:rStyle w:val="Ninguno"/>
          <w:rFonts w:ascii="Calibri" w:hAnsi="Calibri"/>
          <w:sz w:val="22"/>
          <w:szCs w:val="22"/>
        </w:rPr>
        <w:t xml:space="preserve">, la </w:t>
      </w:r>
      <w:proofErr w:type="spellStart"/>
      <w:r>
        <w:rPr>
          <w:rStyle w:val="Ninguno"/>
          <w:rFonts w:ascii="Calibri" w:hAnsi="Calibri"/>
          <w:sz w:val="22"/>
          <w:szCs w:val="22"/>
        </w:rPr>
        <w:t>petición</w:t>
      </w:r>
      <w:proofErr w:type="spellEnd"/>
      <w:r>
        <w:rPr>
          <w:rStyle w:val="Ninguno"/>
          <w:rFonts w:ascii="Calibri" w:hAnsi="Calibri"/>
          <w:sz w:val="22"/>
          <w:szCs w:val="22"/>
        </w:rPr>
        <w:t xml:space="preserve"> del primer </w:t>
      </w:r>
      <w:proofErr w:type="spellStart"/>
      <w:r>
        <w:rPr>
          <w:rStyle w:val="Ninguno"/>
          <w:rFonts w:ascii="Calibri" w:hAnsi="Calibri"/>
          <w:sz w:val="22"/>
          <w:szCs w:val="22"/>
        </w:rPr>
        <w:t>recurrente</w:t>
      </w:r>
      <w:proofErr w:type="spellEnd"/>
      <w:r>
        <w:rPr>
          <w:rStyle w:val="Ninguno"/>
          <w:rFonts w:ascii="Calibri" w:hAnsi="Calibri"/>
          <w:sz w:val="22"/>
          <w:szCs w:val="22"/>
        </w:rPr>
        <w:t xml:space="preserve"> (y </w:t>
      </w:r>
      <w:proofErr w:type="spellStart"/>
      <w:r>
        <w:rPr>
          <w:rStyle w:val="Ninguno"/>
          <w:rFonts w:ascii="Calibri" w:hAnsi="Calibri"/>
          <w:sz w:val="22"/>
          <w:szCs w:val="22"/>
        </w:rPr>
        <w:t>alegante</w:t>
      </w:r>
      <w:proofErr w:type="spellEnd"/>
      <w:r>
        <w:rPr>
          <w:rStyle w:val="Ninguno"/>
          <w:rFonts w:ascii="Calibri" w:hAnsi="Calibri"/>
          <w:sz w:val="22"/>
          <w:szCs w:val="22"/>
        </w:rPr>
        <w:t xml:space="preserve"> </w:t>
      </w:r>
      <w:proofErr w:type="spellStart"/>
      <w:r>
        <w:rPr>
          <w:rStyle w:val="Ninguno"/>
          <w:rFonts w:ascii="Calibri" w:hAnsi="Calibri"/>
          <w:sz w:val="22"/>
          <w:szCs w:val="22"/>
        </w:rPr>
        <w:t>en</w:t>
      </w:r>
      <w:proofErr w:type="spellEnd"/>
      <w:r>
        <w:rPr>
          <w:rStyle w:val="Ninguno"/>
          <w:rFonts w:ascii="Calibri" w:hAnsi="Calibri"/>
          <w:sz w:val="22"/>
          <w:szCs w:val="22"/>
        </w:rPr>
        <w:t xml:space="preserve"> </w:t>
      </w:r>
      <w:proofErr w:type="spellStart"/>
      <w:r>
        <w:rPr>
          <w:rStyle w:val="Ninguno"/>
          <w:rFonts w:ascii="Calibri" w:hAnsi="Calibri"/>
          <w:sz w:val="22"/>
          <w:szCs w:val="22"/>
        </w:rPr>
        <w:t>el</w:t>
      </w:r>
      <w:proofErr w:type="spellEnd"/>
      <w:r>
        <w:rPr>
          <w:rStyle w:val="Ninguno"/>
          <w:rFonts w:ascii="Calibri" w:hAnsi="Calibri"/>
          <w:sz w:val="22"/>
          <w:szCs w:val="22"/>
        </w:rPr>
        <w:t xml:space="preserve"> </w:t>
      </w:r>
      <w:proofErr w:type="spellStart"/>
      <w:r>
        <w:rPr>
          <w:rStyle w:val="Ninguno"/>
          <w:rFonts w:ascii="Calibri" w:hAnsi="Calibri"/>
          <w:sz w:val="22"/>
          <w:szCs w:val="22"/>
        </w:rPr>
        <w:t>recurso</w:t>
      </w:r>
      <w:proofErr w:type="spellEnd"/>
      <w:r>
        <w:rPr>
          <w:rStyle w:val="Ninguno"/>
          <w:rFonts w:ascii="Calibri" w:hAnsi="Calibri"/>
          <w:sz w:val="22"/>
          <w:szCs w:val="22"/>
        </w:rPr>
        <w:t xml:space="preserve">) no </w:t>
      </w:r>
      <w:proofErr w:type="spellStart"/>
      <w:r>
        <w:rPr>
          <w:rStyle w:val="Ninguno"/>
          <w:rFonts w:ascii="Calibri" w:hAnsi="Calibri"/>
          <w:sz w:val="22"/>
          <w:szCs w:val="22"/>
        </w:rPr>
        <w:t>puede</w:t>
      </w:r>
      <w:proofErr w:type="spellEnd"/>
      <w:r>
        <w:rPr>
          <w:rStyle w:val="Ninguno"/>
          <w:rFonts w:ascii="Calibri" w:hAnsi="Calibri"/>
          <w:sz w:val="22"/>
          <w:szCs w:val="22"/>
        </w:rPr>
        <w:t xml:space="preserve"> </w:t>
      </w:r>
      <w:proofErr w:type="spellStart"/>
      <w:r>
        <w:rPr>
          <w:rStyle w:val="Ninguno"/>
          <w:rFonts w:ascii="Calibri" w:hAnsi="Calibri"/>
          <w:sz w:val="22"/>
          <w:szCs w:val="22"/>
        </w:rPr>
        <w:t>integrarse</w:t>
      </w:r>
      <w:proofErr w:type="spellEnd"/>
      <w:r>
        <w:rPr>
          <w:rStyle w:val="Ninguno"/>
          <w:rFonts w:ascii="Calibri" w:hAnsi="Calibri"/>
          <w:sz w:val="22"/>
          <w:szCs w:val="22"/>
        </w:rPr>
        <w:t xml:space="preserve"> </w:t>
      </w:r>
      <w:proofErr w:type="spellStart"/>
      <w:r>
        <w:rPr>
          <w:rStyle w:val="Ninguno"/>
          <w:rFonts w:ascii="Calibri" w:hAnsi="Calibri"/>
          <w:sz w:val="22"/>
          <w:szCs w:val="22"/>
        </w:rPr>
        <w:t>en</w:t>
      </w:r>
      <w:proofErr w:type="spellEnd"/>
      <w:r>
        <w:rPr>
          <w:rStyle w:val="Ninguno"/>
          <w:rFonts w:ascii="Calibri" w:hAnsi="Calibri"/>
          <w:sz w:val="22"/>
          <w:szCs w:val="22"/>
        </w:rPr>
        <w:t xml:space="preserve"> la </w:t>
      </w:r>
      <w:proofErr w:type="spellStart"/>
      <w:r>
        <w:rPr>
          <w:rStyle w:val="Ninguno"/>
          <w:rFonts w:ascii="Calibri" w:hAnsi="Calibri"/>
          <w:sz w:val="22"/>
          <w:szCs w:val="22"/>
        </w:rPr>
        <w:t>parte</w:t>
      </w:r>
      <w:proofErr w:type="spellEnd"/>
      <w:r>
        <w:rPr>
          <w:rStyle w:val="Ninguno"/>
          <w:rFonts w:ascii="Calibri" w:hAnsi="Calibri"/>
          <w:sz w:val="22"/>
          <w:szCs w:val="22"/>
        </w:rPr>
        <w:t xml:space="preserve"> </w:t>
      </w:r>
      <w:proofErr w:type="spellStart"/>
      <w:r>
        <w:rPr>
          <w:rStyle w:val="Ninguno"/>
          <w:rFonts w:ascii="Calibri" w:hAnsi="Calibri"/>
          <w:sz w:val="22"/>
          <w:szCs w:val="22"/>
        </w:rPr>
        <w:t>dispositiva</w:t>
      </w:r>
      <w:proofErr w:type="spellEnd"/>
      <w:r>
        <w:rPr>
          <w:rStyle w:val="Ninguno"/>
          <w:rFonts w:ascii="Calibri" w:hAnsi="Calibri"/>
          <w:sz w:val="22"/>
          <w:szCs w:val="22"/>
        </w:rPr>
        <w:t xml:space="preserve"> de la </w:t>
      </w:r>
      <w:proofErr w:type="spellStart"/>
      <w:r>
        <w:rPr>
          <w:rStyle w:val="Ninguno"/>
          <w:rFonts w:ascii="Calibri" w:hAnsi="Calibri"/>
          <w:sz w:val="22"/>
          <w:szCs w:val="22"/>
        </w:rPr>
        <w:t>Resolución</w:t>
      </w:r>
      <w:proofErr w:type="spellEnd"/>
      <w:r>
        <w:rPr>
          <w:rStyle w:val="Ninguno"/>
          <w:rFonts w:ascii="Calibri" w:hAnsi="Calibri"/>
          <w:sz w:val="22"/>
          <w:szCs w:val="22"/>
        </w:rPr>
        <w:t xml:space="preserve">, </w:t>
      </w:r>
      <w:proofErr w:type="spellStart"/>
      <w:r>
        <w:rPr>
          <w:rStyle w:val="Ninguno"/>
          <w:rFonts w:ascii="Calibri" w:hAnsi="Calibri"/>
          <w:sz w:val="22"/>
          <w:szCs w:val="22"/>
        </w:rPr>
        <w:t>cuestión</w:t>
      </w:r>
      <w:proofErr w:type="spellEnd"/>
      <w:r>
        <w:rPr>
          <w:rStyle w:val="Ninguno"/>
          <w:rFonts w:ascii="Calibri" w:hAnsi="Calibri"/>
          <w:sz w:val="22"/>
          <w:szCs w:val="22"/>
        </w:rPr>
        <w:t xml:space="preserve"> </w:t>
      </w:r>
      <w:proofErr w:type="spellStart"/>
      <w:r>
        <w:rPr>
          <w:rStyle w:val="Ninguno"/>
          <w:rFonts w:ascii="Calibri" w:hAnsi="Calibri"/>
          <w:sz w:val="22"/>
          <w:szCs w:val="22"/>
        </w:rPr>
        <w:t>planteada</w:t>
      </w:r>
      <w:proofErr w:type="spellEnd"/>
      <w:r>
        <w:rPr>
          <w:rStyle w:val="Ninguno"/>
          <w:rFonts w:ascii="Calibri" w:hAnsi="Calibri"/>
          <w:sz w:val="22"/>
          <w:szCs w:val="22"/>
        </w:rPr>
        <w:t xml:space="preserve"> </w:t>
      </w:r>
      <w:proofErr w:type="spellStart"/>
      <w:r>
        <w:rPr>
          <w:rStyle w:val="Ninguno"/>
          <w:rFonts w:ascii="Calibri" w:hAnsi="Calibri"/>
          <w:sz w:val="22"/>
          <w:szCs w:val="22"/>
        </w:rPr>
        <w:t>sobre</w:t>
      </w:r>
      <w:proofErr w:type="spellEnd"/>
      <w:r>
        <w:rPr>
          <w:rStyle w:val="Ninguno"/>
          <w:rFonts w:ascii="Calibri" w:hAnsi="Calibri"/>
          <w:sz w:val="22"/>
          <w:szCs w:val="22"/>
        </w:rPr>
        <w:t xml:space="preserve"> la que </w:t>
      </w:r>
      <w:proofErr w:type="spellStart"/>
      <w:r>
        <w:rPr>
          <w:rStyle w:val="Ninguno"/>
          <w:rFonts w:ascii="Calibri" w:hAnsi="Calibri"/>
          <w:sz w:val="22"/>
          <w:szCs w:val="22"/>
        </w:rPr>
        <w:t>debe</w:t>
      </w:r>
      <w:proofErr w:type="spellEnd"/>
      <w:r>
        <w:rPr>
          <w:rStyle w:val="Ninguno"/>
          <w:rFonts w:ascii="Calibri" w:hAnsi="Calibri"/>
          <w:sz w:val="22"/>
          <w:szCs w:val="22"/>
        </w:rPr>
        <w:t xml:space="preserve"> </w:t>
      </w:r>
      <w:proofErr w:type="spellStart"/>
      <w:r>
        <w:rPr>
          <w:rStyle w:val="Ninguno"/>
          <w:rFonts w:ascii="Calibri" w:hAnsi="Calibri"/>
          <w:sz w:val="22"/>
          <w:szCs w:val="22"/>
        </w:rPr>
        <w:t>pronunciarse</w:t>
      </w:r>
      <w:proofErr w:type="spellEnd"/>
      <w:r>
        <w:rPr>
          <w:rStyle w:val="Ninguno"/>
          <w:rFonts w:ascii="Calibri" w:hAnsi="Calibri"/>
          <w:sz w:val="22"/>
          <w:szCs w:val="22"/>
        </w:rPr>
        <w:t xml:space="preserve"> </w:t>
      </w:r>
      <w:proofErr w:type="spellStart"/>
      <w:r>
        <w:rPr>
          <w:rStyle w:val="Ninguno"/>
          <w:rFonts w:ascii="Calibri" w:hAnsi="Calibri"/>
          <w:sz w:val="22"/>
          <w:szCs w:val="22"/>
        </w:rPr>
        <w:t>el</w:t>
      </w:r>
      <w:proofErr w:type="spellEnd"/>
      <w:r>
        <w:rPr>
          <w:rStyle w:val="Ninguno"/>
          <w:rFonts w:ascii="Calibri" w:hAnsi="Calibri"/>
          <w:sz w:val="22"/>
          <w:szCs w:val="22"/>
        </w:rPr>
        <w:t xml:space="preserve"> OARC / KEAO, no </w:t>
      </w:r>
      <w:proofErr w:type="spellStart"/>
      <w:r>
        <w:rPr>
          <w:rStyle w:val="Ninguno"/>
          <w:rFonts w:ascii="Calibri" w:hAnsi="Calibri"/>
          <w:sz w:val="22"/>
          <w:szCs w:val="22"/>
        </w:rPr>
        <w:t>cabe</w:t>
      </w:r>
      <w:proofErr w:type="spellEnd"/>
      <w:r>
        <w:rPr>
          <w:rStyle w:val="Ninguno"/>
          <w:rFonts w:ascii="Calibri" w:hAnsi="Calibri"/>
          <w:sz w:val="22"/>
          <w:szCs w:val="22"/>
        </w:rPr>
        <w:t xml:space="preserve"> </w:t>
      </w:r>
      <w:proofErr w:type="spellStart"/>
      <w:r>
        <w:rPr>
          <w:rStyle w:val="Ninguno"/>
          <w:rFonts w:ascii="Calibri" w:hAnsi="Calibri"/>
          <w:sz w:val="22"/>
          <w:szCs w:val="22"/>
        </w:rPr>
        <w:t>recuperar</w:t>
      </w:r>
      <w:proofErr w:type="spellEnd"/>
      <w:r>
        <w:rPr>
          <w:rStyle w:val="Ninguno"/>
          <w:rFonts w:ascii="Calibri" w:hAnsi="Calibri"/>
          <w:sz w:val="22"/>
          <w:szCs w:val="22"/>
        </w:rPr>
        <w:t xml:space="preserve"> un </w:t>
      </w:r>
      <w:proofErr w:type="spellStart"/>
      <w:r>
        <w:rPr>
          <w:rStyle w:val="Ninguno"/>
          <w:rFonts w:ascii="Calibri" w:hAnsi="Calibri"/>
          <w:sz w:val="22"/>
          <w:szCs w:val="22"/>
        </w:rPr>
        <w:t>procedimiento</w:t>
      </w:r>
      <w:proofErr w:type="spellEnd"/>
      <w:r>
        <w:rPr>
          <w:rStyle w:val="Ninguno"/>
          <w:rFonts w:ascii="Calibri" w:hAnsi="Calibri"/>
          <w:sz w:val="22"/>
          <w:szCs w:val="22"/>
        </w:rPr>
        <w:t xml:space="preserve"> de </w:t>
      </w:r>
      <w:proofErr w:type="spellStart"/>
      <w:r>
        <w:rPr>
          <w:rStyle w:val="Ninguno"/>
          <w:rFonts w:ascii="Calibri" w:hAnsi="Calibri"/>
          <w:sz w:val="22"/>
          <w:szCs w:val="22"/>
        </w:rPr>
        <w:t>recurso</w:t>
      </w:r>
      <w:proofErr w:type="spellEnd"/>
      <w:r>
        <w:rPr>
          <w:rStyle w:val="Ninguno"/>
          <w:rFonts w:ascii="Calibri" w:hAnsi="Calibri"/>
          <w:sz w:val="22"/>
          <w:szCs w:val="22"/>
        </w:rPr>
        <w:t xml:space="preserve"> </w:t>
      </w:r>
      <w:proofErr w:type="spellStart"/>
      <w:r>
        <w:rPr>
          <w:rStyle w:val="Ninguno"/>
          <w:rFonts w:ascii="Calibri" w:hAnsi="Calibri"/>
          <w:sz w:val="22"/>
          <w:szCs w:val="22"/>
        </w:rPr>
        <w:t>ya</w:t>
      </w:r>
      <w:proofErr w:type="spellEnd"/>
      <w:r>
        <w:rPr>
          <w:rStyle w:val="Ninguno"/>
          <w:rFonts w:ascii="Calibri" w:hAnsi="Calibri"/>
          <w:sz w:val="22"/>
          <w:szCs w:val="22"/>
        </w:rPr>
        <w:t xml:space="preserve"> </w:t>
      </w:r>
      <w:proofErr w:type="spellStart"/>
      <w:r>
        <w:rPr>
          <w:rStyle w:val="Ninguno"/>
          <w:rFonts w:ascii="Calibri" w:hAnsi="Calibri"/>
          <w:sz w:val="22"/>
          <w:szCs w:val="22"/>
        </w:rPr>
        <w:t>finalizado</w:t>
      </w:r>
      <w:proofErr w:type="spellEnd"/>
      <w:r>
        <w:rPr>
          <w:rStyle w:val="Ninguno"/>
          <w:rFonts w:ascii="Calibri" w:hAnsi="Calibri"/>
          <w:sz w:val="22"/>
          <w:szCs w:val="22"/>
        </w:rPr>
        <w:t xml:space="preserve">, no </w:t>
      </w:r>
      <w:proofErr w:type="spellStart"/>
      <w:r>
        <w:rPr>
          <w:rStyle w:val="Ninguno"/>
          <w:rFonts w:ascii="Calibri" w:hAnsi="Calibri"/>
          <w:sz w:val="22"/>
          <w:szCs w:val="22"/>
        </w:rPr>
        <w:t>hubo</w:t>
      </w:r>
      <w:proofErr w:type="spellEnd"/>
      <w:r>
        <w:rPr>
          <w:rStyle w:val="Ninguno"/>
          <w:rFonts w:ascii="Calibri" w:hAnsi="Calibri"/>
          <w:sz w:val="22"/>
          <w:szCs w:val="22"/>
        </w:rPr>
        <w:t xml:space="preserve"> pronunciamiento </w:t>
      </w:r>
      <w:proofErr w:type="spellStart"/>
      <w:r>
        <w:rPr>
          <w:rStyle w:val="Ninguno"/>
          <w:rFonts w:ascii="Calibri" w:hAnsi="Calibri"/>
          <w:sz w:val="22"/>
          <w:szCs w:val="22"/>
        </w:rPr>
        <w:t>sobre</w:t>
      </w:r>
      <w:proofErr w:type="spellEnd"/>
      <w:r>
        <w:rPr>
          <w:rStyle w:val="Ninguno"/>
          <w:rFonts w:ascii="Calibri" w:hAnsi="Calibri"/>
          <w:sz w:val="22"/>
          <w:szCs w:val="22"/>
        </w:rPr>
        <w:t xml:space="preserve"> </w:t>
      </w:r>
      <w:proofErr w:type="spellStart"/>
      <w:r>
        <w:rPr>
          <w:rStyle w:val="Ninguno"/>
          <w:rFonts w:ascii="Calibri" w:hAnsi="Calibri"/>
          <w:sz w:val="22"/>
          <w:szCs w:val="22"/>
        </w:rPr>
        <w:t>el</w:t>
      </w:r>
      <w:proofErr w:type="spellEnd"/>
      <w:r>
        <w:rPr>
          <w:rStyle w:val="Ninguno"/>
          <w:rFonts w:ascii="Calibri" w:hAnsi="Calibri"/>
          <w:sz w:val="22"/>
          <w:szCs w:val="22"/>
        </w:rPr>
        <w:t xml:space="preserve"> </w:t>
      </w:r>
      <w:proofErr w:type="spellStart"/>
      <w:r>
        <w:rPr>
          <w:rStyle w:val="Ninguno"/>
          <w:rFonts w:ascii="Calibri" w:hAnsi="Calibri"/>
          <w:sz w:val="22"/>
          <w:szCs w:val="22"/>
        </w:rPr>
        <w:t>fondo</w:t>
      </w:r>
      <w:proofErr w:type="spellEnd"/>
      <w:r>
        <w:rPr>
          <w:rStyle w:val="Ninguno"/>
          <w:rFonts w:ascii="Calibri" w:hAnsi="Calibri"/>
          <w:sz w:val="22"/>
          <w:szCs w:val="22"/>
        </w:rPr>
        <w:t xml:space="preserve"> y no hay "</w:t>
      </w:r>
      <w:proofErr w:type="spellStart"/>
      <w:r>
        <w:rPr>
          <w:rStyle w:val="Ninguno"/>
          <w:rFonts w:ascii="Calibri" w:hAnsi="Calibri"/>
          <w:sz w:val="22"/>
          <w:szCs w:val="22"/>
        </w:rPr>
        <w:t>cosa</w:t>
      </w:r>
      <w:proofErr w:type="spellEnd"/>
      <w:r>
        <w:rPr>
          <w:rStyle w:val="Ninguno"/>
          <w:rFonts w:ascii="Calibri" w:hAnsi="Calibri"/>
          <w:sz w:val="22"/>
          <w:szCs w:val="22"/>
        </w:rPr>
        <w:t xml:space="preserve"> </w:t>
      </w:r>
      <w:proofErr w:type="spellStart"/>
      <w:r>
        <w:rPr>
          <w:rStyle w:val="Ninguno"/>
          <w:rFonts w:ascii="Calibri" w:hAnsi="Calibri"/>
          <w:sz w:val="22"/>
          <w:szCs w:val="22"/>
        </w:rPr>
        <w:t>juzgada</w:t>
      </w:r>
      <w:proofErr w:type="spellEnd"/>
      <w:r>
        <w:rPr>
          <w:rStyle w:val="Ninguno"/>
          <w:rFonts w:ascii="Calibri" w:hAnsi="Calibri"/>
          <w:sz w:val="22"/>
          <w:szCs w:val="22"/>
        </w:rPr>
        <w:t xml:space="preserve"> </w:t>
      </w:r>
      <w:proofErr w:type="spellStart"/>
      <w:r>
        <w:rPr>
          <w:rStyle w:val="Ninguno"/>
          <w:rFonts w:ascii="Calibri" w:hAnsi="Calibri"/>
          <w:sz w:val="22"/>
          <w:szCs w:val="22"/>
        </w:rPr>
        <w:t>administrativa</w:t>
      </w:r>
      <w:proofErr w:type="spellEnd"/>
      <w:r>
        <w:rPr>
          <w:rStyle w:val="Ninguno"/>
          <w:rFonts w:ascii="Calibri" w:hAnsi="Calibri"/>
          <w:sz w:val="22"/>
          <w:szCs w:val="22"/>
        </w:rPr>
        <w:t xml:space="preserve">", </w:t>
      </w:r>
      <w:proofErr w:type="spellStart"/>
      <w:r>
        <w:rPr>
          <w:rStyle w:val="Ninguno"/>
          <w:rFonts w:ascii="Calibri" w:hAnsi="Calibri"/>
          <w:sz w:val="22"/>
          <w:szCs w:val="22"/>
        </w:rPr>
        <w:t>oponer</w:t>
      </w:r>
      <w:proofErr w:type="spellEnd"/>
      <w:r>
        <w:rPr>
          <w:rStyle w:val="Ninguno"/>
          <w:rFonts w:ascii="Calibri" w:hAnsi="Calibri"/>
          <w:sz w:val="22"/>
          <w:szCs w:val="22"/>
        </w:rPr>
        <w:t xml:space="preserve"> un </w:t>
      </w:r>
      <w:proofErr w:type="spellStart"/>
      <w:r>
        <w:rPr>
          <w:rStyle w:val="Ninguno"/>
          <w:rFonts w:ascii="Calibri" w:hAnsi="Calibri"/>
          <w:sz w:val="22"/>
          <w:szCs w:val="22"/>
        </w:rPr>
        <w:t>plazo</w:t>
      </w:r>
      <w:proofErr w:type="spellEnd"/>
      <w:r>
        <w:rPr>
          <w:rStyle w:val="Ninguno"/>
          <w:rFonts w:ascii="Calibri" w:hAnsi="Calibri"/>
          <w:sz w:val="22"/>
          <w:szCs w:val="22"/>
        </w:rPr>
        <w:t xml:space="preserve"> </w:t>
      </w:r>
      <w:proofErr w:type="spellStart"/>
      <w:r>
        <w:rPr>
          <w:rStyle w:val="Ninguno"/>
          <w:rFonts w:ascii="Calibri" w:hAnsi="Calibri"/>
          <w:sz w:val="22"/>
          <w:szCs w:val="22"/>
        </w:rPr>
        <w:t>preclusivo</w:t>
      </w:r>
      <w:proofErr w:type="spellEnd"/>
      <w:r>
        <w:rPr>
          <w:rStyle w:val="Ninguno"/>
          <w:rFonts w:ascii="Calibri" w:hAnsi="Calibri"/>
          <w:sz w:val="22"/>
          <w:szCs w:val="22"/>
        </w:rPr>
        <w:t xml:space="preserve"> a un </w:t>
      </w:r>
      <w:proofErr w:type="spellStart"/>
      <w:r>
        <w:rPr>
          <w:rStyle w:val="Ninguno"/>
          <w:rFonts w:ascii="Calibri" w:hAnsi="Calibri"/>
          <w:sz w:val="22"/>
          <w:szCs w:val="22"/>
        </w:rPr>
        <w:t>hipotético</w:t>
      </w:r>
      <w:proofErr w:type="spellEnd"/>
      <w:r>
        <w:rPr>
          <w:rStyle w:val="Ninguno"/>
          <w:rFonts w:ascii="Calibri" w:hAnsi="Calibri"/>
          <w:sz w:val="22"/>
          <w:szCs w:val="22"/>
        </w:rPr>
        <w:t xml:space="preserve"> nuevo </w:t>
      </w:r>
      <w:proofErr w:type="spellStart"/>
      <w:r>
        <w:rPr>
          <w:rStyle w:val="Ninguno"/>
          <w:rFonts w:ascii="Calibri" w:hAnsi="Calibri"/>
          <w:sz w:val="22"/>
          <w:szCs w:val="22"/>
        </w:rPr>
        <w:t>recurso</w:t>
      </w:r>
      <w:proofErr w:type="spellEnd"/>
      <w:r>
        <w:rPr>
          <w:rStyle w:val="Ninguno"/>
          <w:rFonts w:ascii="Calibri" w:hAnsi="Calibri"/>
          <w:sz w:val="22"/>
          <w:szCs w:val="22"/>
        </w:rPr>
        <w:t xml:space="preserve"> contra </w:t>
      </w:r>
      <w:proofErr w:type="spellStart"/>
      <w:r>
        <w:rPr>
          <w:rStyle w:val="Ninguno"/>
          <w:rFonts w:ascii="Calibri" w:hAnsi="Calibri"/>
          <w:sz w:val="22"/>
          <w:szCs w:val="22"/>
        </w:rPr>
        <w:t>los</w:t>
      </w:r>
      <w:proofErr w:type="spellEnd"/>
      <w:r>
        <w:rPr>
          <w:rStyle w:val="Ninguno"/>
          <w:rFonts w:ascii="Calibri" w:hAnsi="Calibri"/>
          <w:sz w:val="22"/>
          <w:szCs w:val="22"/>
        </w:rPr>
        <w:t xml:space="preserve"> </w:t>
      </w:r>
      <w:proofErr w:type="spellStart"/>
      <w:r>
        <w:rPr>
          <w:rStyle w:val="Ninguno"/>
          <w:rFonts w:ascii="Calibri" w:hAnsi="Calibri"/>
          <w:sz w:val="22"/>
          <w:szCs w:val="22"/>
        </w:rPr>
        <w:t>pliegos</w:t>
      </w:r>
      <w:proofErr w:type="spellEnd"/>
      <w:r>
        <w:rPr>
          <w:rStyle w:val="Ninguno"/>
          <w:rFonts w:ascii="Calibri" w:hAnsi="Calibri"/>
          <w:sz w:val="22"/>
          <w:szCs w:val="22"/>
        </w:rPr>
        <w:t xml:space="preserve"> </w:t>
      </w:r>
      <w:proofErr w:type="spellStart"/>
      <w:r>
        <w:rPr>
          <w:rStyle w:val="Ninguno"/>
          <w:rFonts w:ascii="Calibri" w:hAnsi="Calibri"/>
          <w:sz w:val="22"/>
          <w:szCs w:val="22"/>
        </w:rPr>
        <w:t>sería</w:t>
      </w:r>
      <w:proofErr w:type="spellEnd"/>
      <w:r>
        <w:rPr>
          <w:rStyle w:val="Ninguno"/>
          <w:rFonts w:ascii="Calibri" w:hAnsi="Calibri"/>
          <w:sz w:val="22"/>
          <w:szCs w:val="22"/>
        </w:rPr>
        <w:t xml:space="preserve"> </w:t>
      </w:r>
      <w:proofErr w:type="spellStart"/>
      <w:r>
        <w:rPr>
          <w:rStyle w:val="Ninguno"/>
          <w:rFonts w:ascii="Calibri" w:hAnsi="Calibri"/>
          <w:sz w:val="22"/>
          <w:szCs w:val="22"/>
        </w:rPr>
        <w:t>contrario</w:t>
      </w:r>
      <w:proofErr w:type="spellEnd"/>
      <w:r>
        <w:rPr>
          <w:rStyle w:val="Ninguno"/>
          <w:rFonts w:ascii="Calibri" w:hAnsi="Calibri"/>
          <w:sz w:val="22"/>
          <w:szCs w:val="22"/>
        </w:rPr>
        <w:t xml:space="preserve"> al </w:t>
      </w:r>
      <w:proofErr w:type="spellStart"/>
      <w:r>
        <w:rPr>
          <w:rStyle w:val="Ninguno"/>
          <w:rFonts w:ascii="Calibri" w:hAnsi="Calibri"/>
          <w:sz w:val="22"/>
          <w:szCs w:val="22"/>
        </w:rPr>
        <w:t>efecto</w:t>
      </w:r>
      <w:proofErr w:type="spellEnd"/>
      <w:r>
        <w:rPr>
          <w:rStyle w:val="Ninguno"/>
          <w:rFonts w:ascii="Calibri" w:hAnsi="Calibri"/>
          <w:sz w:val="22"/>
          <w:szCs w:val="22"/>
        </w:rPr>
        <w:t xml:space="preserve"> </w:t>
      </w:r>
      <w:proofErr w:type="spellStart"/>
      <w:r>
        <w:rPr>
          <w:rStyle w:val="Ninguno"/>
          <w:rFonts w:ascii="Calibri" w:hAnsi="Calibri"/>
          <w:sz w:val="22"/>
          <w:szCs w:val="22"/>
        </w:rPr>
        <w:t>útil</w:t>
      </w:r>
      <w:proofErr w:type="spellEnd"/>
      <w:r>
        <w:rPr>
          <w:rStyle w:val="Ninguno"/>
          <w:rFonts w:ascii="Calibri" w:hAnsi="Calibri"/>
          <w:sz w:val="22"/>
          <w:szCs w:val="22"/>
        </w:rPr>
        <w:t xml:space="preserve"> del </w:t>
      </w:r>
      <w:proofErr w:type="spellStart"/>
      <w:r>
        <w:rPr>
          <w:rStyle w:val="Ninguno"/>
          <w:rFonts w:ascii="Calibri" w:hAnsi="Calibri"/>
          <w:sz w:val="22"/>
          <w:szCs w:val="22"/>
        </w:rPr>
        <w:t>recurso</w:t>
      </w:r>
      <w:proofErr w:type="spellEnd"/>
      <w:r>
        <w:rPr>
          <w:rStyle w:val="Ninguno"/>
          <w:rFonts w:ascii="Calibri" w:hAnsi="Calibri"/>
          <w:sz w:val="22"/>
          <w:szCs w:val="22"/>
        </w:rPr>
        <w:t xml:space="preserve"> especial, </w:t>
      </w:r>
      <w:proofErr w:type="spellStart"/>
      <w:r>
        <w:rPr>
          <w:rStyle w:val="Ninguno"/>
          <w:rFonts w:ascii="Calibri" w:hAnsi="Calibri"/>
          <w:sz w:val="22"/>
          <w:szCs w:val="22"/>
        </w:rPr>
        <w:t>cabe</w:t>
      </w:r>
      <w:proofErr w:type="spellEnd"/>
      <w:r>
        <w:rPr>
          <w:rStyle w:val="Ninguno"/>
          <w:rFonts w:ascii="Calibri" w:hAnsi="Calibri"/>
          <w:sz w:val="22"/>
          <w:szCs w:val="22"/>
        </w:rPr>
        <w:t xml:space="preserve"> un </w:t>
      </w:r>
      <w:r>
        <w:rPr>
          <w:rStyle w:val="Ninguno"/>
          <w:rFonts w:ascii="Calibri" w:hAnsi="Calibri"/>
          <w:sz w:val="22"/>
          <w:szCs w:val="22"/>
        </w:rPr>
        <w:lastRenderedPageBreak/>
        <w:t xml:space="preserve">nuevo </w:t>
      </w:r>
      <w:proofErr w:type="spellStart"/>
      <w:r>
        <w:rPr>
          <w:rStyle w:val="Ninguno"/>
          <w:rFonts w:ascii="Calibri" w:hAnsi="Calibri"/>
          <w:sz w:val="22"/>
          <w:szCs w:val="22"/>
        </w:rPr>
        <w:t>recurso</w:t>
      </w:r>
      <w:proofErr w:type="spellEnd"/>
      <w:r>
        <w:rPr>
          <w:rStyle w:val="Ninguno"/>
          <w:rFonts w:ascii="Calibri" w:hAnsi="Calibri"/>
          <w:sz w:val="22"/>
          <w:szCs w:val="22"/>
        </w:rPr>
        <w:t xml:space="preserve"> contra </w:t>
      </w:r>
      <w:proofErr w:type="spellStart"/>
      <w:r>
        <w:rPr>
          <w:rStyle w:val="Ninguno"/>
          <w:rFonts w:ascii="Calibri" w:hAnsi="Calibri"/>
          <w:sz w:val="22"/>
          <w:szCs w:val="22"/>
        </w:rPr>
        <w:t>los</w:t>
      </w:r>
      <w:proofErr w:type="spellEnd"/>
      <w:r>
        <w:rPr>
          <w:rStyle w:val="Ninguno"/>
          <w:rFonts w:ascii="Calibri" w:hAnsi="Calibri"/>
          <w:sz w:val="22"/>
          <w:szCs w:val="22"/>
        </w:rPr>
        <w:t xml:space="preserve"> </w:t>
      </w:r>
      <w:proofErr w:type="spellStart"/>
      <w:r>
        <w:rPr>
          <w:rStyle w:val="Ninguno"/>
          <w:rFonts w:ascii="Calibri" w:hAnsi="Calibri"/>
          <w:sz w:val="22"/>
          <w:szCs w:val="22"/>
        </w:rPr>
        <w:t>pliegos</w:t>
      </w:r>
      <w:proofErr w:type="spellEnd"/>
      <w:r>
        <w:rPr>
          <w:rStyle w:val="Ninguno"/>
          <w:rFonts w:ascii="Calibri" w:hAnsi="Calibri"/>
          <w:sz w:val="22"/>
          <w:szCs w:val="22"/>
        </w:rPr>
        <w:t xml:space="preserve"> y </w:t>
      </w:r>
      <w:proofErr w:type="spellStart"/>
      <w:r>
        <w:rPr>
          <w:rStyle w:val="Ninguno"/>
          <w:rFonts w:ascii="Calibri" w:hAnsi="Calibri"/>
          <w:sz w:val="22"/>
          <w:szCs w:val="22"/>
        </w:rPr>
        <w:t>el</w:t>
      </w:r>
      <w:proofErr w:type="spellEnd"/>
      <w:r>
        <w:rPr>
          <w:rStyle w:val="Ninguno"/>
          <w:rFonts w:ascii="Calibri" w:hAnsi="Calibri"/>
          <w:sz w:val="22"/>
          <w:szCs w:val="22"/>
        </w:rPr>
        <w:t xml:space="preserve"> </w:t>
      </w:r>
      <w:proofErr w:type="spellStart"/>
      <w:r>
        <w:rPr>
          <w:rStyle w:val="Ninguno"/>
          <w:rFonts w:ascii="Calibri" w:hAnsi="Calibri"/>
          <w:sz w:val="22"/>
          <w:szCs w:val="22"/>
        </w:rPr>
        <w:t>plazo</w:t>
      </w:r>
      <w:proofErr w:type="spellEnd"/>
      <w:r>
        <w:rPr>
          <w:rStyle w:val="Ninguno"/>
          <w:rFonts w:ascii="Calibri" w:hAnsi="Calibri"/>
          <w:sz w:val="22"/>
          <w:szCs w:val="22"/>
        </w:rPr>
        <w:t xml:space="preserve"> de </w:t>
      </w:r>
      <w:proofErr w:type="spellStart"/>
      <w:r>
        <w:rPr>
          <w:rStyle w:val="Ninguno"/>
          <w:rFonts w:ascii="Calibri" w:hAnsi="Calibri"/>
          <w:sz w:val="22"/>
          <w:szCs w:val="22"/>
        </w:rPr>
        <w:t>interposición</w:t>
      </w:r>
      <w:proofErr w:type="spellEnd"/>
      <w:r>
        <w:rPr>
          <w:rStyle w:val="Ninguno"/>
          <w:rFonts w:ascii="Calibri" w:hAnsi="Calibri"/>
          <w:sz w:val="22"/>
          <w:szCs w:val="22"/>
        </w:rPr>
        <w:t xml:space="preserve"> se </w:t>
      </w:r>
      <w:proofErr w:type="spellStart"/>
      <w:r>
        <w:rPr>
          <w:rStyle w:val="Ninguno"/>
          <w:rFonts w:ascii="Calibri" w:hAnsi="Calibri"/>
          <w:sz w:val="22"/>
          <w:szCs w:val="22"/>
        </w:rPr>
        <w:t>inicia</w:t>
      </w:r>
      <w:proofErr w:type="spellEnd"/>
      <w:r>
        <w:rPr>
          <w:rStyle w:val="Ninguno"/>
          <w:rFonts w:ascii="Calibri" w:hAnsi="Calibri"/>
          <w:sz w:val="22"/>
          <w:szCs w:val="22"/>
        </w:rPr>
        <w:t xml:space="preserve"> </w:t>
      </w:r>
      <w:proofErr w:type="spellStart"/>
      <w:r>
        <w:rPr>
          <w:rStyle w:val="Ninguno"/>
          <w:rFonts w:ascii="Calibri" w:hAnsi="Calibri"/>
          <w:sz w:val="22"/>
          <w:szCs w:val="22"/>
        </w:rPr>
        <w:t>desde</w:t>
      </w:r>
      <w:proofErr w:type="spellEnd"/>
      <w:r>
        <w:rPr>
          <w:rStyle w:val="Ninguno"/>
          <w:rFonts w:ascii="Calibri" w:hAnsi="Calibri"/>
          <w:sz w:val="22"/>
          <w:szCs w:val="22"/>
        </w:rPr>
        <w:t xml:space="preserve"> que </w:t>
      </w:r>
      <w:proofErr w:type="spellStart"/>
      <w:r>
        <w:rPr>
          <w:rStyle w:val="Ninguno"/>
          <w:rFonts w:ascii="Calibri" w:hAnsi="Calibri"/>
          <w:sz w:val="22"/>
          <w:szCs w:val="22"/>
        </w:rPr>
        <w:t>el</w:t>
      </w:r>
      <w:proofErr w:type="spellEnd"/>
      <w:r>
        <w:rPr>
          <w:rStyle w:val="Ninguno"/>
          <w:rFonts w:ascii="Calibri" w:hAnsi="Calibri"/>
          <w:sz w:val="22"/>
          <w:szCs w:val="22"/>
        </w:rPr>
        <w:t xml:space="preserve"> </w:t>
      </w:r>
      <w:proofErr w:type="spellStart"/>
      <w:r>
        <w:rPr>
          <w:rStyle w:val="Ninguno"/>
          <w:rFonts w:ascii="Calibri" w:hAnsi="Calibri"/>
          <w:sz w:val="22"/>
          <w:szCs w:val="22"/>
        </w:rPr>
        <w:t>recurrente</w:t>
      </w:r>
      <w:proofErr w:type="spellEnd"/>
      <w:r>
        <w:rPr>
          <w:rStyle w:val="Ninguno"/>
          <w:rFonts w:ascii="Calibri" w:hAnsi="Calibri"/>
          <w:sz w:val="22"/>
          <w:szCs w:val="22"/>
        </w:rPr>
        <w:t xml:space="preserve"> </w:t>
      </w:r>
      <w:proofErr w:type="spellStart"/>
      <w:r>
        <w:rPr>
          <w:rStyle w:val="Ninguno"/>
          <w:rFonts w:ascii="Calibri" w:hAnsi="Calibri"/>
          <w:sz w:val="22"/>
          <w:szCs w:val="22"/>
        </w:rPr>
        <w:t>tenga</w:t>
      </w:r>
      <w:proofErr w:type="spellEnd"/>
      <w:r>
        <w:rPr>
          <w:rStyle w:val="Ninguno"/>
          <w:rFonts w:ascii="Calibri" w:hAnsi="Calibri"/>
          <w:sz w:val="22"/>
          <w:szCs w:val="22"/>
        </w:rPr>
        <w:t xml:space="preserve"> </w:t>
      </w:r>
      <w:proofErr w:type="spellStart"/>
      <w:r>
        <w:rPr>
          <w:rStyle w:val="Ninguno"/>
          <w:rFonts w:ascii="Calibri" w:hAnsi="Calibri"/>
          <w:sz w:val="22"/>
          <w:szCs w:val="22"/>
        </w:rPr>
        <w:t>conocimiento</w:t>
      </w:r>
      <w:proofErr w:type="spellEnd"/>
      <w:r>
        <w:rPr>
          <w:rStyle w:val="Ninguno"/>
          <w:rFonts w:ascii="Calibri" w:hAnsi="Calibri"/>
          <w:sz w:val="22"/>
          <w:szCs w:val="22"/>
        </w:rPr>
        <w:t xml:space="preserve"> de la </w:t>
      </w:r>
      <w:proofErr w:type="spellStart"/>
      <w:r>
        <w:rPr>
          <w:rStyle w:val="Ninguno"/>
          <w:rFonts w:ascii="Calibri" w:hAnsi="Calibri"/>
          <w:sz w:val="22"/>
          <w:szCs w:val="22"/>
        </w:rPr>
        <w:t>anulación</w:t>
      </w:r>
      <w:proofErr w:type="spellEnd"/>
      <w:r>
        <w:rPr>
          <w:rStyle w:val="Ninguno"/>
          <w:rFonts w:ascii="Calibri" w:hAnsi="Calibri"/>
          <w:sz w:val="22"/>
          <w:szCs w:val="22"/>
        </w:rPr>
        <w:t xml:space="preserve"> del </w:t>
      </w:r>
      <w:proofErr w:type="spellStart"/>
      <w:r>
        <w:rPr>
          <w:rStyle w:val="Ninguno"/>
          <w:rFonts w:ascii="Calibri" w:hAnsi="Calibri"/>
          <w:sz w:val="22"/>
          <w:szCs w:val="22"/>
        </w:rPr>
        <w:t>desistimiento</w:t>
      </w:r>
      <w:proofErr w:type="spellEnd"/>
      <w:r>
        <w:rPr>
          <w:rStyle w:val="Ninguno"/>
          <w:rFonts w:ascii="Calibri" w:hAnsi="Calibri"/>
          <w:sz w:val="22"/>
          <w:szCs w:val="22"/>
        </w:rPr>
        <w:t xml:space="preserve">. No </w:t>
      </w:r>
      <w:proofErr w:type="spellStart"/>
      <w:r>
        <w:rPr>
          <w:rStyle w:val="Ninguno"/>
          <w:rFonts w:ascii="Calibri" w:hAnsi="Calibri"/>
          <w:sz w:val="22"/>
          <w:szCs w:val="22"/>
        </w:rPr>
        <w:t>cabe</w:t>
      </w:r>
      <w:proofErr w:type="spellEnd"/>
      <w:r>
        <w:rPr>
          <w:rStyle w:val="Ninguno"/>
          <w:rFonts w:ascii="Calibri" w:hAnsi="Calibri"/>
          <w:sz w:val="22"/>
          <w:szCs w:val="22"/>
        </w:rPr>
        <w:t xml:space="preserve"> acceder a la </w:t>
      </w:r>
      <w:proofErr w:type="spellStart"/>
      <w:r>
        <w:rPr>
          <w:rStyle w:val="Ninguno"/>
          <w:rFonts w:ascii="Calibri" w:hAnsi="Calibri"/>
          <w:sz w:val="22"/>
          <w:szCs w:val="22"/>
        </w:rPr>
        <w:t>solicitud</w:t>
      </w:r>
      <w:proofErr w:type="spellEnd"/>
      <w:r>
        <w:rPr>
          <w:rStyle w:val="Ninguno"/>
          <w:rFonts w:ascii="Calibri" w:hAnsi="Calibri"/>
          <w:sz w:val="22"/>
          <w:szCs w:val="22"/>
        </w:rPr>
        <w:t xml:space="preserve"> de </w:t>
      </w:r>
      <w:proofErr w:type="spellStart"/>
      <w:r>
        <w:rPr>
          <w:rStyle w:val="Ninguno"/>
          <w:rFonts w:ascii="Calibri" w:hAnsi="Calibri"/>
          <w:sz w:val="22"/>
          <w:szCs w:val="22"/>
        </w:rPr>
        <w:t>prueba</w:t>
      </w:r>
      <w:proofErr w:type="spellEnd"/>
      <w:r>
        <w:rPr>
          <w:rStyle w:val="Ninguno"/>
          <w:rFonts w:ascii="Calibri" w:hAnsi="Calibri"/>
          <w:sz w:val="22"/>
          <w:szCs w:val="22"/>
        </w:rPr>
        <w:t xml:space="preserve"> </w:t>
      </w:r>
      <w:proofErr w:type="spellStart"/>
      <w:r>
        <w:rPr>
          <w:rStyle w:val="Ninguno"/>
          <w:rFonts w:ascii="Calibri" w:hAnsi="Calibri"/>
          <w:sz w:val="22"/>
          <w:szCs w:val="22"/>
        </w:rPr>
        <w:t>por</w:t>
      </w:r>
      <w:proofErr w:type="spellEnd"/>
      <w:r>
        <w:rPr>
          <w:rStyle w:val="Ninguno"/>
          <w:rFonts w:ascii="Calibri" w:hAnsi="Calibri"/>
          <w:sz w:val="22"/>
          <w:szCs w:val="22"/>
        </w:rPr>
        <w:t xml:space="preserve"> ser </w:t>
      </w:r>
      <w:proofErr w:type="spellStart"/>
      <w:r>
        <w:rPr>
          <w:rStyle w:val="Ninguno"/>
          <w:rFonts w:ascii="Calibri" w:hAnsi="Calibri"/>
          <w:sz w:val="22"/>
          <w:szCs w:val="22"/>
        </w:rPr>
        <w:t>el</w:t>
      </w:r>
      <w:proofErr w:type="spellEnd"/>
      <w:r>
        <w:rPr>
          <w:rStyle w:val="Ninguno"/>
          <w:rFonts w:ascii="Calibri" w:hAnsi="Calibri"/>
          <w:sz w:val="22"/>
          <w:szCs w:val="22"/>
        </w:rPr>
        <w:t xml:space="preserve"> </w:t>
      </w:r>
      <w:proofErr w:type="spellStart"/>
      <w:r>
        <w:rPr>
          <w:rStyle w:val="Ninguno"/>
          <w:rFonts w:ascii="Calibri" w:hAnsi="Calibri"/>
          <w:sz w:val="22"/>
          <w:szCs w:val="22"/>
        </w:rPr>
        <w:t>objeto</w:t>
      </w:r>
      <w:proofErr w:type="spellEnd"/>
      <w:r>
        <w:rPr>
          <w:rStyle w:val="Ninguno"/>
          <w:rFonts w:ascii="Calibri" w:hAnsi="Calibri"/>
          <w:sz w:val="22"/>
          <w:szCs w:val="22"/>
        </w:rPr>
        <w:t xml:space="preserve"> del </w:t>
      </w:r>
      <w:proofErr w:type="spellStart"/>
      <w:r>
        <w:rPr>
          <w:rStyle w:val="Ninguno"/>
          <w:rFonts w:ascii="Calibri" w:hAnsi="Calibri"/>
          <w:sz w:val="22"/>
          <w:szCs w:val="22"/>
        </w:rPr>
        <w:t>recurso</w:t>
      </w:r>
      <w:proofErr w:type="spellEnd"/>
      <w:r>
        <w:rPr>
          <w:rStyle w:val="Ninguno"/>
          <w:rFonts w:ascii="Calibri" w:hAnsi="Calibri"/>
          <w:sz w:val="22"/>
          <w:szCs w:val="22"/>
        </w:rPr>
        <w:t xml:space="preserve"> </w:t>
      </w:r>
      <w:proofErr w:type="spellStart"/>
      <w:r>
        <w:rPr>
          <w:rStyle w:val="Ninguno"/>
          <w:rFonts w:ascii="Calibri" w:hAnsi="Calibri"/>
          <w:sz w:val="22"/>
          <w:szCs w:val="22"/>
        </w:rPr>
        <w:t>una</w:t>
      </w:r>
      <w:proofErr w:type="spellEnd"/>
      <w:r>
        <w:rPr>
          <w:rStyle w:val="Ninguno"/>
          <w:rFonts w:ascii="Calibri" w:hAnsi="Calibri"/>
          <w:sz w:val="22"/>
          <w:szCs w:val="22"/>
        </w:rPr>
        <w:t xml:space="preserve"> </w:t>
      </w:r>
      <w:proofErr w:type="spellStart"/>
      <w:r>
        <w:rPr>
          <w:rStyle w:val="Ninguno"/>
          <w:rFonts w:ascii="Calibri" w:hAnsi="Calibri"/>
          <w:sz w:val="22"/>
          <w:szCs w:val="22"/>
        </w:rPr>
        <w:t>cuestión</w:t>
      </w:r>
      <w:proofErr w:type="spellEnd"/>
      <w:r>
        <w:rPr>
          <w:rStyle w:val="Ninguno"/>
          <w:rFonts w:ascii="Calibri" w:hAnsi="Calibri"/>
          <w:sz w:val="22"/>
          <w:szCs w:val="22"/>
        </w:rPr>
        <w:t xml:space="preserve"> </w:t>
      </w:r>
      <w:proofErr w:type="spellStart"/>
      <w:r>
        <w:rPr>
          <w:rStyle w:val="Ninguno"/>
          <w:rFonts w:ascii="Calibri" w:hAnsi="Calibri"/>
          <w:sz w:val="22"/>
          <w:szCs w:val="22"/>
        </w:rPr>
        <w:t>básicamente</w:t>
      </w:r>
      <w:proofErr w:type="spellEnd"/>
      <w:r>
        <w:rPr>
          <w:rStyle w:val="Ninguno"/>
          <w:rFonts w:ascii="Calibri" w:hAnsi="Calibri"/>
          <w:sz w:val="22"/>
          <w:szCs w:val="22"/>
        </w:rPr>
        <w:t xml:space="preserve"> </w:t>
      </w:r>
      <w:proofErr w:type="spellStart"/>
      <w:r>
        <w:rPr>
          <w:rStyle w:val="Ninguno"/>
          <w:rFonts w:ascii="Calibri" w:hAnsi="Calibri"/>
          <w:sz w:val="22"/>
          <w:szCs w:val="22"/>
        </w:rPr>
        <w:t>jurídica</w:t>
      </w:r>
      <w:proofErr w:type="spellEnd"/>
      <w:r>
        <w:rPr>
          <w:rStyle w:val="Ninguno"/>
          <w:rFonts w:ascii="Calibri" w:hAnsi="Calibri"/>
          <w:sz w:val="22"/>
          <w:szCs w:val="22"/>
        </w:rPr>
        <w:t xml:space="preserve"> y </w:t>
      </w:r>
      <w:proofErr w:type="spellStart"/>
      <w:r>
        <w:rPr>
          <w:rStyle w:val="Ninguno"/>
          <w:rFonts w:ascii="Calibri" w:hAnsi="Calibri"/>
          <w:sz w:val="22"/>
          <w:szCs w:val="22"/>
        </w:rPr>
        <w:t>constar</w:t>
      </w:r>
      <w:proofErr w:type="spellEnd"/>
      <w:r>
        <w:rPr>
          <w:rStyle w:val="Ninguno"/>
          <w:rFonts w:ascii="Calibri" w:hAnsi="Calibri"/>
          <w:sz w:val="22"/>
          <w:szCs w:val="22"/>
        </w:rPr>
        <w:t xml:space="preserve"> </w:t>
      </w:r>
      <w:proofErr w:type="spellStart"/>
      <w:r>
        <w:rPr>
          <w:rStyle w:val="Ninguno"/>
          <w:rFonts w:ascii="Calibri" w:hAnsi="Calibri"/>
          <w:sz w:val="22"/>
          <w:szCs w:val="22"/>
        </w:rPr>
        <w:t>en</w:t>
      </w:r>
      <w:proofErr w:type="spellEnd"/>
      <w:r>
        <w:rPr>
          <w:rStyle w:val="Ninguno"/>
          <w:rFonts w:ascii="Calibri" w:hAnsi="Calibri"/>
          <w:sz w:val="22"/>
          <w:szCs w:val="22"/>
        </w:rPr>
        <w:t xml:space="preserve"> </w:t>
      </w:r>
      <w:proofErr w:type="spellStart"/>
      <w:r>
        <w:rPr>
          <w:rStyle w:val="Ninguno"/>
          <w:rFonts w:ascii="Calibri" w:hAnsi="Calibri"/>
          <w:sz w:val="22"/>
          <w:szCs w:val="22"/>
        </w:rPr>
        <w:t>el</w:t>
      </w:r>
      <w:proofErr w:type="spellEnd"/>
      <w:r>
        <w:rPr>
          <w:rStyle w:val="Ninguno"/>
          <w:rFonts w:ascii="Calibri" w:hAnsi="Calibri"/>
          <w:sz w:val="22"/>
          <w:szCs w:val="22"/>
        </w:rPr>
        <w:t xml:space="preserve"> </w:t>
      </w:r>
      <w:proofErr w:type="spellStart"/>
      <w:r>
        <w:rPr>
          <w:rStyle w:val="Ninguno"/>
          <w:rFonts w:ascii="Calibri" w:hAnsi="Calibri"/>
          <w:sz w:val="22"/>
          <w:szCs w:val="22"/>
        </w:rPr>
        <w:t>expediente</w:t>
      </w:r>
      <w:proofErr w:type="spellEnd"/>
      <w:r>
        <w:rPr>
          <w:rStyle w:val="Ninguno"/>
          <w:rFonts w:ascii="Calibri" w:hAnsi="Calibri"/>
          <w:sz w:val="22"/>
          <w:szCs w:val="22"/>
        </w:rPr>
        <w:t xml:space="preserve"> </w:t>
      </w:r>
      <w:proofErr w:type="spellStart"/>
      <w:r>
        <w:rPr>
          <w:rStyle w:val="Ninguno"/>
          <w:rFonts w:ascii="Calibri" w:hAnsi="Calibri"/>
          <w:sz w:val="22"/>
          <w:szCs w:val="22"/>
        </w:rPr>
        <w:t>los</w:t>
      </w:r>
      <w:proofErr w:type="spellEnd"/>
      <w:r>
        <w:rPr>
          <w:rStyle w:val="Ninguno"/>
          <w:rFonts w:ascii="Calibri" w:hAnsi="Calibri"/>
          <w:sz w:val="22"/>
          <w:szCs w:val="22"/>
        </w:rPr>
        <w:t xml:space="preserve"> </w:t>
      </w:r>
      <w:proofErr w:type="spellStart"/>
      <w:r>
        <w:rPr>
          <w:rStyle w:val="Ninguno"/>
          <w:rFonts w:ascii="Calibri" w:hAnsi="Calibri"/>
          <w:sz w:val="22"/>
          <w:szCs w:val="22"/>
        </w:rPr>
        <w:t>datos</w:t>
      </w:r>
      <w:proofErr w:type="spellEnd"/>
      <w:r>
        <w:rPr>
          <w:rStyle w:val="Ninguno"/>
          <w:rFonts w:ascii="Calibri" w:hAnsi="Calibri"/>
          <w:sz w:val="22"/>
          <w:szCs w:val="22"/>
        </w:rPr>
        <w:t xml:space="preserve"> </w:t>
      </w:r>
      <w:proofErr w:type="spellStart"/>
      <w:r>
        <w:rPr>
          <w:rStyle w:val="Ninguno"/>
          <w:rFonts w:ascii="Calibri" w:hAnsi="Calibri"/>
          <w:sz w:val="22"/>
          <w:szCs w:val="22"/>
        </w:rPr>
        <w:t>necesarios</w:t>
      </w:r>
      <w:proofErr w:type="spellEnd"/>
      <w:r>
        <w:rPr>
          <w:rStyle w:val="Ninguno"/>
          <w:rFonts w:ascii="Calibri" w:hAnsi="Calibri"/>
          <w:sz w:val="22"/>
          <w:szCs w:val="22"/>
        </w:rPr>
        <w:t xml:space="preserve"> para </w:t>
      </w:r>
      <w:proofErr w:type="spellStart"/>
      <w:r>
        <w:rPr>
          <w:rStyle w:val="Ninguno"/>
          <w:rFonts w:ascii="Calibri" w:hAnsi="Calibri"/>
          <w:sz w:val="22"/>
          <w:szCs w:val="22"/>
        </w:rPr>
        <w:t>su</w:t>
      </w:r>
      <w:proofErr w:type="spellEnd"/>
      <w:r>
        <w:rPr>
          <w:rStyle w:val="Ninguno"/>
          <w:rFonts w:ascii="Calibri" w:hAnsi="Calibri"/>
          <w:sz w:val="22"/>
          <w:szCs w:val="22"/>
        </w:rPr>
        <w:t xml:space="preserve"> </w:t>
      </w:r>
      <w:proofErr w:type="spellStart"/>
      <w:r>
        <w:rPr>
          <w:rStyle w:val="Ninguno"/>
          <w:rFonts w:ascii="Calibri" w:hAnsi="Calibri"/>
          <w:sz w:val="22"/>
          <w:szCs w:val="22"/>
        </w:rPr>
        <w:t>resolución</w:t>
      </w:r>
      <w:proofErr w:type="spellEnd"/>
      <w:r>
        <w:rPr>
          <w:rStyle w:val="Ninguno"/>
          <w:rFonts w:ascii="Calibri" w:hAnsi="Calibri"/>
          <w:sz w:val="22"/>
          <w:szCs w:val="22"/>
        </w:rPr>
        <w:t>.</w:t>
      </w:r>
    </w:p>
    <w:p w14:paraId="180B79E3" w14:textId="77777777" w:rsidR="003F223C" w:rsidRPr="004F1741" w:rsidRDefault="00B66A92" w:rsidP="004F1741">
      <w:pPr>
        <w:pStyle w:val="Standard"/>
        <w:spacing w:after="198" w:line="288" w:lineRule="auto"/>
        <w:jc w:val="both"/>
        <w:outlineLvl w:val="0"/>
        <w:rPr>
          <w:rStyle w:val="Hyperlink0"/>
        </w:rPr>
      </w:pPr>
      <w:hyperlink r:id="rId26">
        <w:r w:rsidRPr="004F1741">
          <w:rPr>
            <w:rStyle w:val="Hyperlink0"/>
          </w:rPr>
          <w:t>https://www.contratacion.euskadi.eus/contenidos/resolucion_oarc/9_2026/es_def/adjuntos/Resolucion9_2026.pdf</w:t>
        </w:r>
      </w:hyperlink>
    </w:p>
    <w:p w14:paraId="0B4FC73E" w14:textId="77777777" w:rsidR="003F223C" w:rsidRDefault="00B66A92" w:rsidP="0062002E">
      <w:pPr>
        <w:pStyle w:val="Gorputz-testua"/>
        <w:spacing w:after="80" w:line="288" w:lineRule="auto"/>
        <w:jc w:val="both"/>
      </w:pPr>
      <w:r>
        <w:rPr>
          <w:rStyle w:val="Ninguno"/>
          <w:rFonts w:ascii="Calibri" w:hAnsi="Calibri"/>
          <w:b/>
          <w:bCs/>
          <w:sz w:val="22"/>
          <w:szCs w:val="22"/>
        </w:rPr>
        <w:t xml:space="preserve">- </w:t>
      </w:r>
      <w:proofErr w:type="spellStart"/>
      <w:r>
        <w:rPr>
          <w:rStyle w:val="Ninguno"/>
          <w:rFonts w:ascii="Calibri" w:hAnsi="Calibri"/>
          <w:b/>
          <w:bCs/>
          <w:sz w:val="22"/>
          <w:szCs w:val="22"/>
        </w:rPr>
        <w:t>Resolución</w:t>
      </w:r>
      <w:proofErr w:type="spellEnd"/>
      <w:r>
        <w:rPr>
          <w:rStyle w:val="Ninguno"/>
          <w:rFonts w:ascii="Calibri" w:hAnsi="Calibri"/>
          <w:b/>
          <w:bCs/>
          <w:sz w:val="22"/>
          <w:szCs w:val="22"/>
        </w:rPr>
        <w:t xml:space="preserve"> 10/2026, de 20 de </w:t>
      </w:r>
      <w:proofErr w:type="spellStart"/>
      <w:r>
        <w:rPr>
          <w:rStyle w:val="Ninguno"/>
          <w:rFonts w:ascii="Calibri" w:hAnsi="Calibri"/>
          <w:b/>
          <w:bCs/>
          <w:sz w:val="22"/>
          <w:szCs w:val="22"/>
        </w:rPr>
        <w:t>enero</w:t>
      </w:r>
      <w:proofErr w:type="spellEnd"/>
      <w:r>
        <w:rPr>
          <w:rStyle w:val="Ninguno"/>
          <w:rFonts w:ascii="Calibri" w:hAnsi="Calibri"/>
          <w:b/>
          <w:bCs/>
          <w:sz w:val="22"/>
          <w:szCs w:val="22"/>
        </w:rPr>
        <w:t xml:space="preserve"> de 2026.</w:t>
      </w:r>
      <w:r>
        <w:rPr>
          <w:rStyle w:val="Ninguno"/>
          <w:rFonts w:ascii="Calibri" w:hAnsi="Calibri"/>
          <w:sz w:val="22"/>
          <w:szCs w:val="22"/>
        </w:rPr>
        <w:t xml:space="preserve"> </w:t>
      </w:r>
      <w:proofErr w:type="spellStart"/>
      <w:r>
        <w:rPr>
          <w:rStyle w:val="Ninguno"/>
          <w:rFonts w:ascii="Calibri" w:hAnsi="Calibri"/>
          <w:sz w:val="22"/>
          <w:szCs w:val="22"/>
        </w:rPr>
        <w:t>Solvencia</w:t>
      </w:r>
      <w:proofErr w:type="spellEnd"/>
      <w:r>
        <w:rPr>
          <w:rStyle w:val="Ninguno"/>
          <w:rFonts w:ascii="Calibri" w:hAnsi="Calibri"/>
          <w:sz w:val="22"/>
          <w:szCs w:val="22"/>
        </w:rPr>
        <w:t xml:space="preserve">: </w:t>
      </w:r>
      <w:proofErr w:type="spellStart"/>
      <w:r>
        <w:rPr>
          <w:rStyle w:val="Ninguno"/>
          <w:rFonts w:ascii="Calibri" w:hAnsi="Calibri"/>
          <w:sz w:val="22"/>
          <w:szCs w:val="22"/>
        </w:rPr>
        <w:t>el</w:t>
      </w:r>
      <w:proofErr w:type="spellEnd"/>
      <w:r>
        <w:rPr>
          <w:rStyle w:val="Ninguno"/>
          <w:rFonts w:ascii="Calibri" w:hAnsi="Calibri"/>
          <w:sz w:val="22"/>
          <w:szCs w:val="22"/>
        </w:rPr>
        <w:t xml:space="preserve"> </w:t>
      </w:r>
      <w:proofErr w:type="spellStart"/>
      <w:r>
        <w:rPr>
          <w:rStyle w:val="Ninguno"/>
          <w:rFonts w:ascii="Calibri" w:hAnsi="Calibri"/>
          <w:sz w:val="22"/>
          <w:szCs w:val="22"/>
        </w:rPr>
        <w:t>licitador</w:t>
      </w:r>
      <w:proofErr w:type="spellEnd"/>
      <w:r>
        <w:rPr>
          <w:rStyle w:val="Ninguno"/>
          <w:rFonts w:ascii="Calibri" w:hAnsi="Calibri"/>
          <w:sz w:val="22"/>
          <w:szCs w:val="22"/>
        </w:rPr>
        <w:t xml:space="preserve"> no </w:t>
      </w:r>
      <w:proofErr w:type="spellStart"/>
      <w:r>
        <w:rPr>
          <w:rStyle w:val="Ninguno"/>
          <w:rFonts w:ascii="Calibri" w:hAnsi="Calibri"/>
          <w:sz w:val="22"/>
          <w:szCs w:val="22"/>
        </w:rPr>
        <w:t>satisface</w:t>
      </w:r>
      <w:proofErr w:type="spellEnd"/>
      <w:r>
        <w:rPr>
          <w:rStyle w:val="Ninguno"/>
          <w:rFonts w:ascii="Calibri" w:hAnsi="Calibri"/>
          <w:sz w:val="22"/>
          <w:szCs w:val="22"/>
        </w:rPr>
        <w:t xml:space="preserve"> </w:t>
      </w:r>
      <w:proofErr w:type="spellStart"/>
      <w:r>
        <w:rPr>
          <w:rStyle w:val="Ninguno"/>
          <w:rFonts w:ascii="Calibri" w:hAnsi="Calibri"/>
          <w:sz w:val="22"/>
          <w:szCs w:val="22"/>
        </w:rPr>
        <w:t>el</w:t>
      </w:r>
      <w:proofErr w:type="spellEnd"/>
      <w:r>
        <w:rPr>
          <w:rStyle w:val="Ninguno"/>
          <w:rFonts w:ascii="Calibri" w:hAnsi="Calibri"/>
          <w:sz w:val="22"/>
          <w:szCs w:val="22"/>
        </w:rPr>
        <w:t xml:space="preserve"> </w:t>
      </w:r>
      <w:proofErr w:type="spellStart"/>
      <w:r>
        <w:rPr>
          <w:rStyle w:val="Ninguno"/>
          <w:rFonts w:ascii="Calibri" w:hAnsi="Calibri"/>
          <w:sz w:val="22"/>
          <w:szCs w:val="22"/>
        </w:rPr>
        <w:t>criterio</w:t>
      </w:r>
      <w:proofErr w:type="spellEnd"/>
      <w:r>
        <w:rPr>
          <w:rStyle w:val="Ninguno"/>
          <w:rFonts w:ascii="Calibri" w:hAnsi="Calibri"/>
          <w:sz w:val="22"/>
          <w:szCs w:val="22"/>
        </w:rPr>
        <w:t xml:space="preserve"> de </w:t>
      </w:r>
      <w:proofErr w:type="spellStart"/>
      <w:r>
        <w:rPr>
          <w:rStyle w:val="Ninguno"/>
          <w:rFonts w:ascii="Calibri" w:hAnsi="Calibri"/>
          <w:sz w:val="22"/>
          <w:szCs w:val="22"/>
        </w:rPr>
        <w:t>solvencia</w:t>
      </w:r>
      <w:proofErr w:type="spellEnd"/>
      <w:r>
        <w:rPr>
          <w:rStyle w:val="Ninguno"/>
          <w:rFonts w:ascii="Calibri" w:hAnsi="Calibri"/>
          <w:sz w:val="22"/>
          <w:szCs w:val="22"/>
        </w:rPr>
        <w:t xml:space="preserve"> </w:t>
      </w:r>
      <w:proofErr w:type="spellStart"/>
      <w:r>
        <w:rPr>
          <w:rStyle w:val="Ninguno"/>
          <w:rFonts w:ascii="Calibri" w:hAnsi="Calibri"/>
          <w:sz w:val="22"/>
          <w:szCs w:val="22"/>
        </w:rPr>
        <w:t>fijado</w:t>
      </w:r>
      <w:proofErr w:type="spellEnd"/>
      <w:r>
        <w:rPr>
          <w:rStyle w:val="Ninguno"/>
          <w:rFonts w:ascii="Calibri" w:hAnsi="Calibri"/>
          <w:sz w:val="22"/>
          <w:szCs w:val="22"/>
        </w:rPr>
        <w:t xml:space="preserve"> </w:t>
      </w:r>
      <w:proofErr w:type="spellStart"/>
      <w:r>
        <w:rPr>
          <w:rStyle w:val="Ninguno"/>
          <w:rFonts w:ascii="Calibri" w:hAnsi="Calibri"/>
          <w:sz w:val="22"/>
          <w:szCs w:val="22"/>
        </w:rPr>
        <w:t>en</w:t>
      </w:r>
      <w:proofErr w:type="spellEnd"/>
      <w:r>
        <w:rPr>
          <w:rStyle w:val="Ninguno"/>
          <w:rFonts w:ascii="Calibri" w:hAnsi="Calibri"/>
          <w:sz w:val="22"/>
          <w:szCs w:val="22"/>
        </w:rPr>
        <w:t xml:space="preserve"> </w:t>
      </w:r>
      <w:proofErr w:type="spellStart"/>
      <w:r>
        <w:rPr>
          <w:rStyle w:val="Ninguno"/>
          <w:rFonts w:ascii="Calibri" w:hAnsi="Calibri"/>
          <w:sz w:val="22"/>
          <w:szCs w:val="22"/>
        </w:rPr>
        <w:t>los</w:t>
      </w:r>
      <w:proofErr w:type="spellEnd"/>
      <w:r>
        <w:rPr>
          <w:rStyle w:val="Ninguno"/>
          <w:rFonts w:ascii="Calibri" w:hAnsi="Calibri"/>
          <w:sz w:val="22"/>
          <w:szCs w:val="22"/>
        </w:rPr>
        <w:t xml:space="preserve"> </w:t>
      </w:r>
      <w:proofErr w:type="spellStart"/>
      <w:r>
        <w:rPr>
          <w:rStyle w:val="Ninguno"/>
          <w:rFonts w:ascii="Calibri" w:hAnsi="Calibri"/>
          <w:sz w:val="22"/>
          <w:szCs w:val="22"/>
        </w:rPr>
        <w:t>pliegos</w:t>
      </w:r>
      <w:proofErr w:type="spellEnd"/>
      <w:r>
        <w:rPr>
          <w:rStyle w:val="Ninguno"/>
          <w:rFonts w:ascii="Calibri" w:hAnsi="Calibri"/>
          <w:sz w:val="22"/>
          <w:szCs w:val="22"/>
        </w:rPr>
        <w:t xml:space="preserve">, </w:t>
      </w:r>
      <w:proofErr w:type="spellStart"/>
      <w:r>
        <w:rPr>
          <w:rStyle w:val="Ninguno"/>
          <w:rFonts w:ascii="Calibri" w:hAnsi="Calibri"/>
          <w:sz w:val="22"/>
          <w:szCs w:val="22"/>
        </w:rPr>
        <w:t>servicios</w:t>
      </w:r>
      <w:proofErr w:type="spellEnd"/>
      <w:r>
        <w:rPr>
          <w:rStyle w:val="Ninguno"/>
          <w:rFonts w:ascii="Calibri" w:hAnsi="Calibri"/>
          <w:sz w:val="22"/>
          <w:szCs w:val="22"/>
        </w:rPr>
        <w:t xml:space="preserve"> </w:t>
      </w:r>
      <w:proofErr w:type="spellStart"/>
      <w:r>
        <w:rPr>
          <w:rStyle w:val="Ninguno"/>
          <w:rFonts w:ascii="Calibri" w:hAnsi="Calibri"/>
          <w:sz w:val="22"/>
          <w:szCs w:val="22"/>
        </w:rPr>
        <w:t>educativos</w:t>
      </w:r>
      <w:proofErr w:type="spellEnd"/>
      <w:r>
        <w:rPr>
          <w:rStyle w:val="Ninguno"/>
          <w:rFonts w:ascii="Calibri" w:hAnsi="Calibri"/>
          <w:sz w:val="22"/>
          <w:szCs w:val="22"/>
        </w:rPr>
        <w:t xml:space="preserve"> y </w:t>
      </w:r>
      <w:proofErr w:type="spellStart"/>
      <w:r>
        <w:rPr>
          <w:rStyle w:val="Ninguno"/>
          <w:rFonts w:ascii="Calibri" w:hAnsi="Calibri"/>
          <w:sz w:val="22"/>
          <w:szCs w:val="22"/>
        </w:rPr>
        <w:t>servicios</w:t>
      </w:r>
      <w:proofErr w:type="spellEnd"/>
      <w:r>
        <w:rPr>
          <w:rStyle w:val="Ninguno"/>
          <w:rFonts w:ascii="Calibri" w:hAnsi="Calibri"/>
          <w:sz w:val="22"/>
          <w:szCs w:val="22"/>
        </w:rPr>
        <w:t xml:space="preserve"> de </w:t>
      </w:r>
      <w:proofErr w:type="spellStart"/>
      <w:r>
        <w:rPr>
          <w:rStyle w:val="Ninguno"/>
          <w:rFonts w:ascii="Calibri" w:hAnsi="Calibri"/>
          <w:sz w:val="22"/>
          <w:szCs w:val="22"/>
        </w:rPr>
        <w:t>tiempo</w:t>
      </w:r>
      <w:proofErr w:type="spellEnd"/>
      <w:r>
        <w:rPr>
          <w:rStyle w:val="Ninguno"/>
          <w:rFonts w:ascii="Calibri" w:hAnsi="Calibri"/>
          <w:sz w:val="22"/>
          <w:szCs w:val="22"/>
        </w:rPr>
        <w:t xml:space="preserve"> libre, la </w:t>
      </w:r>
      <w:proofErr w:type="spellStart"/>
      <w:r>
        <w:rPr>
          <w:rStyle w:val="Ninguno"/>
          <w:rFonts w:ascii="Calibri" w:hAnsi="Calibri"/>
          <w:sz w:val="22"/>
          <w:szCs w:val="22"/>
        </w:rPr>
        <w:t>exclusión</w:t>
      </w:r>
      <w:proofErr w:type="spellEnd"/>
      <w:r>
        <w:rPr>
          <w:rStyle w:val="Ninguno"/>
          <w:rFonts w:ascii="Calibri" w:hAnsi="Calibri"/>
          <w:sz w:val="22"/>
          <w:szCs w:val="22"/>
        </w:rPr>
        <w:t xml:space="preserve"> es </w:t>
      </w:r>
      <w:proofErr w:type="spellStart"/>
      <w:r>
        <w:rPr>
          <w:rStyle w:val="Ninguno"/>
          <w:rFonts w:ascii="Calibri" w:hAnsi="Calibri"/>
          <w:sz w:val="22"/>
          <w:szCs w:val="22"/>
        </w:rPr>
        <w:t>correcta</w:t>
      </w:r>
      <w:proofErr w:type="spellEnd"/>
      <w:r>
        <w:rPr>
          <w:rStyle w:val="Ninguno"/>
          <w:rFonts w:ascii="Calibri" w:hAnsi="Calibri"/>
          <w:sz w:val="22"/>
          <w:szCs w:val="22"/>
        </w:rPr>
        <w:t xml:space="preserve">. </w:t>
      </w:r>
      <w:proofErr w:type="spellStart"/>
      <w:r>
        <w:rPr>
          <w:rStyle w:val="Ninguno"/>
          <w:rFonts w:ascii="Calibri" w:hAnsi="Calibri"/>
          <w:sz w:val="22"/>
          <w:szCs w:val="22"/>
        </w:rPr>
        <w:t>Subsanación</w:t>
      </w:r>
      <w:proofErr w:type="spellEnd"/>
      <w:r>
        <w:rPr>
          <w:rStyle w:val="Ninguno"/>
          <w:rFonts w:ascii="Calibri" w:hAnsi="Calibri"/>
          <w:sz w:val="22"/>
          <w:szCs w:val="22"/>
        </w:rPr>
        <w:t xml:space="preserve"> y </w:t>
      </w:r>
      <w:proofErr w:type="spellStart"/>
      <w:r>
        <w:rPr>
          <w:rStyle w:val="Ninguno"/>
          <w:rFonts w:ascii="Calibri" w:hAnsi="Calibri"/>
          <w:sz w:val="22"/>
          <w:szCs w:val="22"/>
        </w:rPr>
        <w:t>aclaraciones</w:t>
      </w:r>
      <w:proofErr w:type="spellEnd"/>
      <w:r>
        <w:rPr>
          <w:rStyle w:val="Ninguno"/>
          <w:rFonts w:ascii="Calibri" w:hAnsi="Calibri"/>
          <w:sz w:val="22"/>
          <w:szCs w:val="22"/>
        </w:rPr>
        <w:t xml:space="preserve">: la base del </w:t>
      </w:r>
      <w:proofErr w:type="spellStart"/>
      <w:r>
        <w:rPr>
          <w:rStyle w:val="Ninguno"/>
          <w:rFonts w:ascii="Calibri" w:hAnsi="Calibri"/>
          <w:sz w:val="22"/>
          <w:szCs w:val="22"/>
        </w:rPr>
        <w:t>trámite</w:t>
      </w:r>
      <w:proofErr w:type="spellEnd"/>
      <w:r>
        <w:rPr>
          <w:rStyle w:val="Ninguno"/>
          <w:rFonts w:ascii="Calibri" w:hAnsi="Calibri"/>
          <w:sz w:val="22"/>
          <w:szCs w:val="22"/>
        </w:rPr>
        <w:t xml:space="preserve"> de </w:t>
      </w:r>
      <w:proofErr w:type="spellStart"/>
      <w:r>
        <w:rPr>
          <w:rStyle w:val="Ninguno"/>
          <w:rFonts w:ascii="Calibri" w:hAnsi="Calibri"/>
          <w:sz w:val="22"/>
          <w:szCs w:val="22"/>
        </w:rPr>
        <w:t>subsanación</w:t>
      </w:r>
      <w:proofErr w:type="spellEnd"/>
      <w:r>
        <w:rPr>
          <w:rStyle w:val="Ninguno"/>
          <w:rFonts w:ascii="Calibri" w:hAnsi="Calibri"/>
          <w:sz w:val="22"/>
          <w:szCs w:val="22"/>
        </w:rPr>
        <w:t xml:space="preserve"> o </w:t>
      </w:r>
      <w:proofErr w:type="spellStart"/>
      <w:r>
        <w:rPr>
          <w:rStyle w:val="Ninguno"/>
          <w:rFonts w:ascii="Calibri" w:hAnsi="Calibri"/>
          <w:sz w:val="22"/>
          <w:szCs w:val="22"/>
        </w:rPr>
        <w:t>aclaración</w:t>
      </w:r>
      <w:proofErr w:type="spellEnd"/>
      <w:r>
        <w:rPr>
          <w:rStyle w:val="Ninguno"/>
          <w:rFonts w:ascii="Calibri" w:hAnsi="Calibri"/>
          <w:sz w:val="22"/>
          <w:szCs w:val="22"/>
        </w:rPr>
        <w:t xml:space="preserve"> es que la </w:t>
      </w:r>
      <w:proofErr w:type="spellStart"/>
      <w:r>
        <w:rPr>
          <w:rStyle w:val="Ninguno"/>
          <w:rFonts w:ascii="Calibri" w:hAnsi="Calibri"/>
          <w:sz w:val="22"/>
          <w:szCs w:val="22"/>
        </w:rPr>
        <w:t>documentación</w:t>
      </w:r>
      <w:proofErr w:type="spellEnd"/>
      <w:r>
        <w:rPr>
          <w:rStyle w:val="Ninguno"/>
          <w:rFonts w:ascii="Calibri" w:hAnsi="Calibri"/>
          <w:sz w:val="22"/>
          <w:szCs w:val="22"/>
        </w:rPr>
        <w:t xml:space="preserve"> sea o </w:t>
      </w:r>
      <w:proofErr w:type="spellStart"/>
      <w:r>
        <w:rPr>
          <w:rStyle w:val="Ninguno"/>
          <w:rFonts w:ascii="Calibri" w:hAnsi="Calibri"/>
          <w:sz w:val="22"/>
          <w:szCs w:val="22"/>
        </w:rPr>
        <w:t>parezca</w:t>
      </w:r>
      <w:proofErr w:type="spellEnd"/>
      <w:r>
        <w:rPr>
          <w:rStyle w:val="Ninguno"/>
          <w:rFonts w:ascii="Calibri" w:hAnsi="Calibri"/>
          <w:sz w:val="22"/>
          <w:szCs w:val="22"/>
        </w:rPr>
        <w:t xml:space="preserve"> ser </w:t>
      </w:r>
      <w:proofErr w:type="spellStart"/>
      <w:r>
        <w:rPr>
          <w:rStyle w:val="Ninguno"/>
          <w:rFonts w:ascii="Calibri" w:hAnsi="Calibri"/>
          <w:sz w:val="22"/>
          <w:szCs w:val="22"/>
        </w:rPr>
        <w:t>incompleta</w:t>
      </w:r>
      <w:proofErr w:type="spellEnd"/>
      <w:r>
        <w:rPr>
          <w:rStyle w:val="Ninguno"/>
          <w:rFonts w:ascii="Calibri" w:hAnsi="Calibri"/>
          <w:sz w:val="22"/>
          <w:szCs w:val="22"/>
        </w:rPr>
        <w:t xml:space="preserve"> o </w:t>
      </w:r>
      <w:proofErr w:type="spellStart"/>
      <w:r>
        <w:rPr>
          <w:rStyle w:val="Ninguno"/>
          <w:rFonts w:ascii="Calibri" w:hAnsi="Calibri"/>
          <w:sz w:val="22"/>
          <w:szCs w:val="22"/>
        </w:rPr>
        <w:t>errónea</w:t>
      </w:r>
      <w:proofErr w:type="spellEnd"/>
      <w:r>
        <w:rPr>
          <w:rStyle w:val="Ninguno"/>
          <w:rFonts w:ascii="Calibri" w:hAnsi="Calibri"/>
          <w:sz w:val="22"/>
          <w:szCs w:val="22"/>
        </w:rPr>
        <w:t xml:space="preserve"> o </w:t>
      </w:r>
      <w:proofErr w:type="spellStart"/>
      <w:r>
        <w:rPr>
          <w:rStyle w:val="Ninguno"/>
          <w:rFonts w:ascii="Calibri" w:hAnsi="Calibri"/>
          <w:sz w:val="22"/>
          <w:szCs w:val="22"/>
        </w:rPr>
        <w:t>falten</w:t>
      </w:r>
      <w:proofErr w:type="spellEnd"/>
      <w:r>
        <w:rPr>
          <w:rStyle w:val="Ninguno"/>
          <w:rFonts w:ascii="Calibri" w:hAnsi="Calibri"/>
          <w:sz w:val="22"/>
          <w:szCs w:val="22"/>
        </w:rPr>
        <w:t xml:space="preserve"> </w:t>
      </w:r>
      <w:proofErr w:type="spellStart"/>
      <w:r>
        <w:rPr>
          <w:rStyle w:val="Ninguno"/>
          <w:rFonts w:ascii="Calibri" w:hAnsi="Calibri"/>
          <w:sz w:val="22"/>
          <w:szCs w:val="22"/>
        </w:rPr>
        <w:t>determinados</w:t>
      </w:r>
      <w:proofErr w:type="spellEnd"/>
      <w:r>
        <w:rPr>
          <w:rStyle w:val="Ninguno"/>
          <w:rFonts w:ascii="Calibri" w:hAnsi="Calibri"/>
          <w:sz w:val="22"/>
          <w:szCs w:val="22"/>
        </w:rPr>
        <w:t xml:space="preserve"> </w:t>
      </w:r>
      <w:proofErr w:type="spellStart"/>
      <w:r>
        <w:rPr>
          <w:rStyle w:val="Ninguno"/>
          <w:rFonts w:ascii="Calibri" w:hAnsi="Calibri"/>
          <w:sz w:val="22"/>
          <w:szCs w:val="22"/>
        </w:rPr>
        <w:t>documentos</w:t>
      </w:r>
      <w:proofErr w:type="spellEnd"/>
      <w:r>
        <w:rPr>
          <w:rStyle w:val="Ninguno"/>
          <w:rFonts w:ascii="Calibri" w:hAnsi="Calibri"/>
          <w:sz w:val="22"/>
          <w:szCs w:val="22"/>
        </w:rPr>
        <w:t xml:space="preserve">, no </w:t>
      </w:r>
      <w:proofErr w:type="spellStart"/>
      <w:r>
        <w:rPr>
          <w:rStyle w:val="Ninguno"/>
          <w:rFonts w:ascii="Calibri" w:hAnsi="Calibri"/>
          <w:sz w:val="22"/>
          <w:szCs w:val="22"/>
        </w:rPr>
        <w:t>cabe</w:t>
      </w:r>
      <w:proofErr w:type="spellEnd"/>
      <w:r>
        <w:rPr>
          <w:rStyle w:val="Ninguno"/>
          <w:rFonts w:ascii="Calibri" w:hAnsi="Calibri"/>
          <w:sz w:val="22"/>
          <w:szCs w:val="22"/>
        </w:rPr>
        <w:t xml:space="preserve"> </w:t>
      </w:r>
      <w:proofErr w:type="spellStart"/>
      <w:r>
        <w:rPr>
          <w:rStyle w:val="Ninguno"/>
          <w:rFonts w:ascii="Calibri" w:hAnsi="Calibri"/>
          <w:sz w:val="22"/>
          <w:szCs w:val="22"/>
        </w:rPr>
        <w:t>cuando</w:t>
      </w:r>
      <w:proofErr w:type="spellEnd"/>
      <w:r>
        <w:rPr>
          <w:rStyle w:val="Ninguno"/>
          <w:rFonts w:ascii="Calibri" w:hAnsi="Calibri"/>
          <w:sz w:val="22"/>
          <w:szCs w:val="22"/>
        </w:rPr>
        <w:t xml:space="preserve"> la </w:t>
      </w:r>
      <w:proofErr w:type="spellStart"/>
      <w:r>
        <w:rPr>
          <w:rStyle w:val="Ninguno"/>
          <w:rFonts w:ascii="Calibri" w:hAnsi="Calibri"/>
          <w:sz w:val="22"/>
          <w:szCs w:val="22"/>
        </w:rPr>
        <w:t>solvencia</w:t>
      </w:r>
      <w:proofErr w:type="spellEnd"/>
      <w:r>
        <w:rPr>
          <w:rStyle w:val="Ninguno"/>
          <w:rFonts w:ascii="Calibri" w:hAnsi="Calibri"/>
          <w:sz w:val="22"/>
          <w:szCs w:val="22"/>
        </w:rPr>
        <w:t xml:space="preserve"> </w:t>
      </w:r>
      <w:proofErr w:type="spellStart"/>
      <w:r>
        <w:rPr>
          <w:rStyle w:val="Ninguno"/>
          <w:rFonts w:ascii="Calibri" w:hAnsi="Calibri"/>
          <w:sz w:val="22"/>
          <w:szCs w:val="22"/>
        </w:rPr>
        <w:t>acreditada</w:t>
      </w:r>
      <w:proofErr w:type="spellEnd"/>
      <w:r>
        <w:rPr>
          <w:rStyle w:val="Ninguno"/>
          <w:rFonts w:ascii="Calibri" w:hAnsi="Calibri"/>
          <w:sz w:val="22"/>
          <w:szCs w:val="22"/>
        </w:rPr>
        <w:t xml:space="preserve"> es </w:t>
      </w:r>
      <w:proofErr w:type="spellStart"/>
      <w:r>
        <w:rPr>
          <w:rStyle w:val="Ninguno"/>
          <w:rFonts w:ascii="Calibri" w:hAnsi="Calibri"/>
          <w:sz w:val="22"/>
          <w:szCs w:val="22"/>
        </w:rPr>
        <w:t>diferente</w:t>
      </w:r>
      <w:proofErr w:type="spellEnd"/>
      <w:r>
        <w:rPr>
          <w:rStyle w:val="Ninguno"/>
          <w:rFonts w:ascii="Calibri" w:hAnsi="Calibri"/>
          <w:sz w:val="22"/>
          <w:szCs w:val="22"/>
        </w:rPr>
        <w:t xml:space="preserve"> de la </w:t>
      </w:r>
      <w:proofErr w:type="spellStart"/>
      <w:r>
        <w:rPr>
          <w:rStyle w:val="Ninguno"/>
          <w:rFonts w:ascii="Calibri" w:hAnsi="Calibri"/>
          <w:sz w:val="22"/>
          <w:szCs w:val="22"/>
        </w:rPr>
        <w:t>requerida</w:t>
      </w:r>
      <w:proofErr w:type="spellEnd"/>
      <w:r>
        <w:rPr>
          <w:rStyle w:val="Ninguno"/>
          <w:rFonts w:ascii="Calibri" w:hAnsi="Calibri"/>
          <w:sz w:val="22"/>
          <w:szCs w:val="22"/>
        </w:rPr>
        <w:t>.</w:t>
      </w:r>
    </w:p>
    <w:p w14:paraId="0E9B5DD5" w14:textId="77777777" w:rsidR="003F223C" w:rsidRPr="004F1741" w:rsidRDefault="00B66A92" w:rsidP="004F1741">
      <w:pPr>
        <w:pStyle w:val="Standard"/>
        <w:spacing w:after="198" w:line="288" w:lineRule="auto"/>
        <w:jc w:val="both"/>
        <w:outlineLvl w:val="0"/>
        <w:rPr>
          <w:rStyle w:val="Hyperlink0"/>
        </w:rPr>
      </w:pPr>
      <w:hyperlink r:id="rId27">
        <w:r w:rsidRPr="004F1741">
          <w:rPr>
            <w:rStyle w:val="Hyperlink0"/>
          </w:rPr>
          <w:t>https://www.contratacion.euskadi.eus/contenidos/resolucion_oarc/10_2026/es_def/adjuntos/Resolucion10_2026.pdf</w:t>
        </w:r>
      </w:hyperlink>
    </w:p>
    <w:p w14:paraId="796B72B7" w14:textId="77777777" w:rsidR="003F223C" w:rsidRDefault="00B66A92" w:rsidP="0062002E">
      <w:pPr>
        <w:pStyle w:val="Gorputz-testua"/>
        <w:spacing w:after="80" w:line="288" w:lineRule="auto"/>
        <w:jc w:val="both"/>
      </w:pPr>
      <w:r>
        <w:rPr>
          <w:rStyle w:val="Ninguno"/>
          <w:rFonts w:ascii="Calibri" w:hAnsi="Calibri"/>
          <w:b/>
          <w:bCs/>
          <w:sz w:val="22"/>
          <w:szCs w:val="22"/>
        </w:rPr>
        <w:t xml:space="preserve">- </w:t>
      </w:r>
      <w:proofErr w:type="spellStart"/>
      <w:r>
        <w:rPr>
          <w:rStyle w:val="Ninguno"/>
          <w:rFonts w:ascii="Calibri" w:hAnsi="Calibri"/>
          <w:b/>
          <w:bCs/>
          <w:sz w:val="22"/>
          <w:szCs w:val="22"/>
        </w:rPr>
        <w:t>Resolución</w:t>
      </w:r>
      <w:proofErr w:type="spellEnd"/>
      <w:r>
        <w:rPr>
          <w:rStyle w:val="Ninguno"/>
          <w:rFonts w:ascii="Calibri" w:hAnsi="Calibri"/>
          <w:b/>
          <w:bCs/>
          <w:sz w:val="22"/>
          <w:szCs w:val="22"/>
        </w:rPr>
        <w:t xml:space="preserve"> 17/2026, de 30 de </w:t>
      </w:r>
      <w:proofErr w:type="spellStart"/>
      <w:r>
        <w:rPr>
          <w:rStyle w:val="Ninguno"/>
          <w:rFonts w:ascii="Calibri" w:hAnsi="Calibri"/>
          <w:b/>
          <w:bCs/>
          <w:sz w:val="22"/>
          <w:szCs w:val="22"/>
        </w:rPr>
        <w:t>enero</w:t>
      </w:r>
      <w:proofErr w:type="spellEnd"/>
      <w:r>
        <w:rPr>
          <w:rStyle w:val="Ninguno"/>
          <w:rFonts w:ascii="Calibri" w:hAnsi="Calibri"/>
          <w:b/>
          <w:bCs/>
          <w:sz w:val="22"/>
          <w:szCs w:val="22"/>
        </w:rPr>
        <w:t xml:space="preserve"> de 2026</w:t>
      </w:r>
      <w:r>
        <w:rPr>
          <w:rStyle w:val="Ninguno"/>
          <w:rFonts w:ascii="Calibri" w:hAnsi="Calibri"/>
          <w:sz w:val="22"/>
          <w:szCs w:val="22"/>
        </w:rPr>
        <w:t xml:space="preserve">. Secreto de la </w:t>
      </w:r>
      <w:proofErr w:type="spellStart"/>
      <w:r>
        <w:rPr>
          <w:rStyle w:val="Ninguno"/>
          <w:rFonts w:ascii="Calibri" w:hAnsi="Calibri"/>
          <w:sz w:val="22"/>
          <w:szCs w:val="22"/>
        </w:rPr>
        <w:t>oferta</w:t>
      </w:r>
      <w:proofErr w:type="spellEnd"/>
      <w:r>
        <w:rPr>
          <w:rStyle w:val="Ninguno"/>
          <w:rFonts w:ascii="Calibri" w:hAnsi="Calibri"/>
          <w:sz w:val="22"/>
          <w:szCs w:val="22"/>
        </w:rPr>
        <w:t xml:space="preserve">: </w:t>
      </w:r>
      <w:proofErr w:type="spellStart"/>
      <w:r>
        <w:rPr>
          <w:rStyle w:val="Ninguno"/>
          <w:rFonts w:ascii="Calibri" w:hAnsi="Calibri"/>
          <w:sz w:val="22"/>
          <w:szCs w:val="22"/>
        </w:rPr>
        <w:t>introducción</w:t>
      </w:r>
      <w:proofErr w:type="spellEnd"/>
      <w:r>
        <w:rPr>
          <w:rStyle w:val="Ninguno"/>
          <w:rFonts w:ascii="Calibri" w:hAnsi="Calibri"/>
          <w:sz w:val="22"/>
          <w:szCs w:val="22"/>
        </w:rPr>
        <w:t xml:space="preserve"> de </w:t>
      </w:r>
      <w:proofErr w:type="spellStart"/>
      <w:r>
        <w:rPr>
          <w:rStyle w:val="Ninguno"/>
          <w:rFonts w:ascii="Calibri" w:hAnsi="Calibri"/>
          <w:sz w:val="22"/>
          <w:szCs w:val="22"/>
        </w:rPr>
        <w:t>datos</w:t>
      </w:r>
      <w:proofErr w:type="spellEnd"/>
      <w:r>
        <w:rPr>
          <w:rStyle w:val="Ninguno"/>
          <w:rFonts w:ascii="Calibri" w:hAnsi="Calibri"/>
          <w:sz w:val="22"/>
          <w:szCs w:val="22"/>
        </w:rPr>
        <w:t xml:space="preserve"> </w:t>
      </w:r>
      <w:proofErr w:type="spellStart"/>
      <w:r>
        <w:rPr>
          <w:rStyle w:val="Ninguno"/>
          <w:rFonts w:ascii="Calibri" w:hAnsi="Calibri"/>
          <w:sz w:val="22"/>
          <w:szCs w:val="22"/>
        </w:rPr>
        <w:t>relativos</w:t>
      </w:r>
      <w:proofErr w:type="spellEnd"/>
      <w:r>
        <w:rPr>
          <w:rStyle w:val="Ninguno"/>
          <w:rFonts w:ascii="Calibri" w:hAnsi="Calibri"/>
          <w:sz w:val="22"/>
          <w:szCs w:val="22"/>
        </w:rPr>
        <w:t xml:space="preserve"> a </w:t>
      </w:r>
      <w:proofErr w:type="spellStart"/>
      <w:r>
        <w:rPr>
          <w:rStyle w:val="Ninguno"/>
          <w:rFonts w:ascii="Calibri" w:hAnsi="Calibri"/>
          <w:sz w:val="22"/>
          <w:szCs w:val="22"/>
        </w:rPr>
        <w:t>los</w:t>
      </w:r>
      <w:proofErr w:type="spellEnd"/>
      <w:r>
        <w:rPr>
          <w:rStyle w:val="Ninguno"/>
          <w:rFonts w:ascii="Calibri" w:hAnsi="Calibri"/>
          <w:sz w:val="22"/>
          <w:szCs w:val="22"/>
        </w:rPr>
        <w:t xml:space="preserve"> </w:t>
      </w:r>
      <w:proofErr w:type="spellStart"/>
      <w:r>
        <w:rPr>
          <w:rStyle w:val="Ninguno"/>
          <w:rFonts w:ascii="Calibri" w:hAnsi="Calibri"/>
          <w:sz w:val="22"/>
          <w:szCs w:val="22"/>
        </w:rPr>
        <w:t>criterios</w:t>
      </w:r>
      <w:proofErr w:type="spellEnd"/>
      <w:r>
        <w:rPr>
          <w:rStyle w:val="Ninguno"/>
          <w:rFonts w:ascii="Calibri" w:hAnsi="Calibri"/>
          <w:sz w:val="22"/>
          <w:szCs w:val="22"/>
        </w:rPr>
        <w:t xml:space="preserve"> de </w:t>
      </w:r>
      <w:proofErr w:type="spellStart"/>
      <w:r>
        <w:rPr>
          <w:rStyle w:val="Ninguno"/>
          <w:rFonts w:ascii="Calibri" w:hAnsi="Calibri"/>
          <w:sz w:val="22"/>
          <w:szCs w:val="22"/>
        </w:rPr>
        <w:t>adjudicación</w:t>
      </w:r>
      <w:proofErr w:type="spellEnd"/>
      <w:r>
        <w:rPr>
          <w:rStyle w:val="Ninguno"/>
          <w:rFonts w:ascii="Calibri" w:hAnsi="Calibri"/>
          <w:sz w:val="22"/>
          <w:szCs w:val="22"/>
        </w:rPr>
        <w:t xml:space="preserve"> </w:t>
      </w:r>
      <w:proofErr w:type="spellStart"/>
      <w:r>
        <w:rPr>
          <w:rStyle w:val="Ninguno"/>
          <w:rFonts w:ascii="Calibri" w:hAnsi="Calibri"/>
          <w:sz w:val="22"/>
          <w:szCs w:val="22"/>
        </w:rPr>
        <w:t>sujetos</w:t>
      </w:r>
      <w:proofErr w:type="spellEnd"/>
      <w:r>
        <w:rPr>
          <w:rStyle w:val="Ninguno"/>
          <w:rFonts w:ascii="Calibri" w:hAnsi="Calibri"/>
          <w:sz w:val="22"/>
          <w:szCs w:val="22"/>
        </w:rPr>
        <w:t xml:space="preserve"> a </w:t>
      </w:r>
      <w:proofErr w:type="spellStart"/>
      <w:r>
        <w:rPr>
          <w:rStyle w:val="Ninguno"/>
          <w:rFonts w:ascii="Calibri" w:hAnsi="Calibri"/>
          <w:sz w:val="22"/>
          <w:szCs w:val="22"/>
        </w:rPr>
        <w:t>juicio</w:t>
      </w:r>
      <w:proofErr w:type="spellEnd"/>
      <w:r>
        <w:rPr>
          <w:rStyle w:val="Ninguno"/>
          <w:rFonts w:ascii="Calibri" w:hAnsi="Calibri"/>
          <w:sz w:val="22"/>
          <w:szCs w:val="22"/>
        </w:rPr>
        <w:t xml:space="preserve"> de valor </w:t>
      </w:r>
      <w:proofErr w:type="spellStart"/>
      <w:r>
        <w:rPr>
          <w:rStyle w:val="Ninguno"/>
          <w:rFonts w:ascii="Calibri" w:hAnsi="Calibri"/>
          <w:sz w:val="22"/>
          <w:szCs w:val="22"/>
        </w:rPr>
        <w:t>en</w:t>
      </w:r>
      <w:proofErr w:type="spellEnd"/>
      <w:r>
        <w:rPr>
          <w:rStyle w:val="Ninguno"/>
          <w:rFonts w:ascii="Calibri" w:hAnsi="Calibri"/>
          <w:sz w:val="22"/>
          <w:szCs w:val="22"/>
        </w:rPr>
        <w:t xml:space="preserve"> </w:t>
      </w:r>
      <w:proofErr w:type="spellStart"/>
      <w:r>
        <w:rPr>
          <w:rStyle w:val="Ninguno"/>
          <w:rFonts w:ascii="Calibri" w:hAnsi="Calibri"/>
          <w:sz w:val="22"/>
          <w:szCs w:val="22"/>
        </w:rPr>
        <w:t>el</w:t>
      </w:r>
      <w:proofErr w:type="spellEnd"/>
      <w:r>
        <w:rPr>
          <w:rStyle w:val="Ninguno"/>
          <w:rFonts w:ascii="Calibri" w:hAnsi="Calibri"/>
          <w:sz w:val="22"/>
          <w:szCs w:val="22"/>
        </w:rPr>
        <w:t xml:space="preserve"> </w:t>
      </w:r>
      <w:proofErr w:type="spellStart"/>
      <w:r>
        <w:rPr>
          <w:rStyle w:val="Ninguno"/>
          <w:rFonts w:ascii="Calibri" w:hAnsi="Calibri"/>
          <w:sz w:val="22"/>
          <w:szCs w:val="22"/>
        </w:rPr>
        <w:t>sobre</w:t>
      </w:r>
      <w:proofErr w:type="spellEnd"/>
      <w:r>
        <w:rPr>
          <w:rStyle w:val="Ninguno"/>
          <w:rFonts w:ascii="Calibri" w:hAnsi="Calibri"/>
          <w:sz w:val="22"/>
          <w:szCs w:val="22"/>
        </w:rPr>
        <w:t xml:space="preserve"> de la </w:t>
      </w:r>
      <w:proofErr w:type="spellStart"/>
      <w:r>
        <w:rPr>
          <w:rStyle w:val="Ninguno"/>
          <w:rFonts w:ascii="Calibri" w:hAnsi="Calibri"/>
          <w:sz w:val="22"/>
          <w:szCs w:val="22"/>
        </w:rPr>
        <w:t>documentación</w:t>
      </w:r>
      <w:proofErr w:type="spellEnd"/>
      <w:r>
        <w:rPr>
          <w:rStyle w:val="Ninguno"/>
          <w:rFonts w:ascii="Calibri" w:hAnsi="Calibri"/>
          <w:sz w:val="22"/>
          <w:szCs w:val="22"/>
        </w:rPr>
        <w:t xml:space="preserve"> </w:t>
      </w:r>
      <w:proofErr w:type="spellStart"/>
      <w:r>
        <w:rPr>
          <w:rStyle w:val="Ninguno"/>
          <w:rFonts w:ascii="Calibri" w:hAnsi="Calibri"/>
          <w:sz w:val="22"/>
          <w:szCs w:val="22"/>
        </w:rPr>
        <w:t>acreditativa</w:t>
      </w:r>
      <w:proofErr w:type="spellEnd"/>
      <w:r>
        <w:rPr>
          <w:rStyle w:val="Ninguno"/>
          <w:rFonts w:ascii="Calibri" w:hAnsi="Calibri"/>
          <w:sz w:val="22"/>
          <w:szCs w:val="22"/>
        </w:rPr>
        <w:t xml:space="preserve"> de </w:t>
      </w:r>
      <w:proofErr w:type="spellStart"/>
      <w:r>
        <w:rPr>
          <w:rStyle w:val="Ninguno"/>
          <w:rFonts w:ascii="Calibri" w:hAnsi="Calibri"/>
          <w:sz w:val="22"/>
          <w:szCs w:val="22"/>
        </w:rPr>
        <w:t>los</w:t>
      </w:r>
      <w:proofErr w:type="spellEnd"/>
      <w:r>
        <w:rPr>
          <w:rStyle w:val="Ninguno"/>
          <w:rFonts w:ascii="Calibri" w:hAnsi="Calibri"/>
          <w:sz w:val="22"/>
          <w:szCs w:val="22"/>
        </w:rPr>
        <w:t xml:space="preserve"> </w:t>
      </w:r>
      <w:proofErr w:type="spellStart"/>
      <w:r>
        <w:rPr>
          <w:rStyle w:val="Ninguno"/>
          <w:rFonts w:ascii="Calibri" w:hAnsi="Calibri"/>
          <w:sz w:val="22"/>
          <w:szCs w:val="22"/>
        </w:rPr>
        <w:t>requisitos</w:t>
      </w:r>
      <w:proofErr w:type="spellEnd"/>
      <w:r>
        <w:rPr>
          <w:rStyle w:val="Ninguno"/>
          <w:rFonts w:ascii="Calibri" w:hAnsi="Calibri"/>
          <w:sz w:val="22"/>
          <w:szCs w:val="22"/>
        </w:rPr>
        <w:t xml:space="preserve"> </w:t>
      </w:r>
      <w:proofErr w:type="spellStart"/>
      <w:r>
        <w:rPr>
          <w:rStyle w:val="Ninguno"/>
          <w:rFonts w:ascii="Calibri" w:hAnsi="Calibri"/>
          <w:sz w:val="22"/>
          <w:szCs w:val="22"/>
        </w:rPr>
        <w:t>previos</w:t>
      </w:r>
      <w:proofErr w:type="spellEnd"/>
      <w:r>
        <w:rPr>
          <w:rStyle w:val="Ninguno"/>
          <w:rFonts w:ascii="Calibri" w:hAnsi="Calibri"/>
          <w:sz w:val="22"/>
          <w:szCs w:val="22"/>
        </w:rPr>
        <w:t xml:space="preserve">, </w:t>
      </w:r>
      <w:proofErr w:type="spellStart"/>
      <w:r>
        <w:rPr>
          <w:rStyle w:val="Ninguno"/>
          <w:rFonts w:ascii="Calibri" w:hAnsi="Calibri"/>
          <w:sz w:val="22"/>
          <w:szCs w:val="22"/>
        </w:rPr>
        <w:t>infracción</w:t>
      </w:r>
      <w:proofErr w:type="spellEnd"/>
      <w:r>
        <w:rPr>
          <w:rStyle w:val="Ninguno"/>
          <w:rFonts w:ascii="Calibri" w:hAnsi="Calibri"/>
          <w:sz w:val="22"/>
          <w:szCs w:val="22"/>
        </w:rPr>
        <w:t xml:space="preserve"> del </w:t>
      </w:r>
      <w:proofErr w:type="spellStart"/>
      <w:r>
        <w:rPr>
          <w:rStyle w:val="Ninguno"/>
          <w:rFonts w:ascii="Calibri" w:hAnsi="Calibri"/>
          <w:sz w:val="22"/>
          <w:szCs w:val="22"/>
        </w:rPr>
        <w:t>secreto</w:t>
      </w:r>
      <w:proofErr w:type="spellEnd"/>
      <w:r>
        <w:rPr>
          <w:rStyle w:val="Ninguno"/>
          <w:rFonts w:ascii="Calibri" w:hAnsi="Calibri"/>
          <w:sz w:val="22"/>
          <w:szCs w:val="22"/>
        </w:rPr>
        <w:t xml:space="preserve"> de la </w:t>
      </w:r>
      <w:proofErr w:type="spellStart"/>
      <w:r>
        <w:rPr>
          <w:rStyle w:val="Ninguno"/>
          <w:rFonts w:ascii="Calibri" w:hAnsi="Calibri"/>
          <w:sz w:val="22"/>
          <w:szCs w:val="22"/>
        </w:rPr>
        <w:t>oferta</w:t>
      </w:r>
      <w:proofErr w:type="spellEnd"/>
      <w:r>
        <w:rPr>
          <w:rStyle w:val="Ninguno"/>
          <w:rFonts w:ascii="Calibri" w:hAnsi="Calibri"/>
          <w:sz w:val="22"/>
          <w:szCs w:val="22"/>
        </w:rPr>
        <w:t xml:space="preserve"> </w:t>
      </w:r>
      <w:proofErr w:type="spellStart"/>
      <w:r>
        <w:rPr>
          <w:rStyle w:val="Ninguno"/>
          <w:rFonts w:ascii="Calibri" w:hAnsi="Calibri"/>
          <w:sz w:val="22"/>
          <w:szCs w:val="22"/>
        </w:rPr>
        <w:t>provocada</w:t>
      </w:r>
      <w:proofErr w:type="spellEnd"/>
      <w:r>
        <w:rPr>
          <w:rStyle w:val="Ninguno"/>
          <w:rFonts w:ascii="Calibri" w:hAnsi="Calibri"/>
          <w:sz w:val="22"/>
          <w:szCs w:val="22"/>
        </w:rPr>
        <w:t xml:space="preserve"> </w:t>
      </w:r>
      <w:proofErr w:type="spellStart"/>
      <w:r>
        <w:rPr>
          <w:rStyle w:val="Ninguno"/>
          <w:rFonts w:ascii="Calibri" w:hAnsi="Calibri"/>
          <w:sz w:val="22"/>
          <w:szCs w:val="22"/>
        </w:rPr>
        <w:t>por</w:t>
      </w:r>
      <w:proofErr w:type="spellEnd"/>
      <w:r>
        <w:rPr>
          <w:rStyle w:val="Ninguno"/>
          <w:rFonts w:ascii="Calibri" w:hAnsi="Calibri"/>
          <w:sz w:val="22"/>
          <w:szCs w:val="22"/>
        </w:rPr>
        <w:t xml:space="preserve"> la </w:t>
      </w:r>
      <w:proofErr w:type="spellStart"/>
      <w:r>
        <w:rPr>
          <w:rStyle w:val="Ninguno"/>
          <w:rFonts w:ascii="Calibri" w:hAnsi="Calibri"/>
          <w:sz w:val="22"/>
          <w:szCs w:val="22"/>
        </w:rPr>
        <w:t>configuración</w:t>
      </w:r>
      <w:proofErr w:type="spellEnd"/>
      <w:r>
        <w:rPr>
          <w:rStyle w:val="Ninguno"/>
          <w:rFonts w:ascii="Calibri" w:hAnsi="Calibri"/>
          <w:sz w:val="22"/>
          <w:szCs w:val="22"/>
        </w:rPr>
        <w:t xml:space="preserve"> </w:t>
      </w:r>
      <w:proofErr w:type="spellStart"/>
      <w:r>
        <w:rPr>
          <w:rStyle w:val="Ninguno"/>
          <w:rFonts w:ascii="Calibri" w:hAnsi="Calibri"/>
          <w:sz w:val="22"/>
          <w:szCs w:val="22"/>
        </w:rPr>
        <w:t>en</w:t>
      </w:r>
      <w:proofErr w:type="spellEnd"/>
      <w:r>
        <w:rPr>
          <w:rStyle w:val="Ninguno"/>
          <w:rFonts w:ascii="Calibri" w:hAnsi="Calibri"/>
          <w:sz w:val="22"/>
          <w:szCs w:val="22"/>
        </w:rPr>
        <w:t xml:space="preserve"> </w:t>
      </w:r>
      <w:proofErr w:type="spellStart"/>
      <w:r>
        <w:rPr>
          <w:rStyle w:val="Ninguno"/>
          <w:rFonts w:ascii="Calibri" w:hAnsi="Calibri"/>
          <w:sz w:val="22"/>
          <w:szCs w:val="22"/>
        </w:rPr>
        <w:t>los</w:t>
      </w:r>
      <w:proofErr w:type="spellEnd"/>
      <w:r>
        <w:rPr>
          <w:rStyle w:val="Ninguno"/>
          <w:rFonts w:ascii="Calibri" w:hAnsi="Calibri"/>
          <w:sz w:val="22"/>
          <w:szCs w:val="22"/>
        </w:rPr>
        <w:t xml:space="preserve"> </w:t>
      </w:r>
      <w:proofErr w:type="spellStart"/>
      <w:r>
        <w:rPr>
          <w:rStyle w:val="Ninguno"/>
          <w:rFonts w:ascii="Calibri" w:hAnsi="Calibri"/>
          <w:sz w:val="22"/>
          <w:szCs w:val="22"/>
        </w:rPr>
        <w:t>pliegos</w:t>
      </w:r>
      <w:proofErr w:type="spellEnd"/>
      <w:r>
        <w:rPr>
          <w:rStyle w:val="Ninguno"/>
          <w:rFonts w:ascii="Calibri" w:hAnsi="Calibri"/>
          <w:sz w:val="22"/>
          <w:szCs w:val="22"/>
        </w:rPr>
        <w:t xml:space="preserve"> de la </w:t>
      </w:r>
      <w:proofErr w:type="spellStart"/>
      <w:r>
        <w:rPr>
          <w:rStyle w:val="Ninguno"/>
          <w:rFonts w:ascii="Calibri" w:hAnsi="Calibri"/>
          <w:sz w:val="22"/>
          <w:szCs w:val="22"/>
        </w:rPr>
        <w:t>documentación</w:t>
      </w:r>
      <w:proofErr w:type="spellEnd"/>
      <w:r>
        <w:rPr>
          <w:rStyle w:val="Ninguno"/>
          <w:rFonts w:ascii="Calibri" w:hAnsi="Calibri"/>
          <w:sz w:val="22"/>
          <w:szCs w:val="22"/>
        </w:rPr>
        <w:t xml:space="preserve"> </w:t>
      </w:r>
      <w:proofErr w:type="spellStart"/>
      <w:r>
        <w:rPr>
          <w:rStyle w:val="Ninguno"/>
          <w:rFonts w:ascii="Calibri" w:hAnsi="Calibri"/>
          <w:sz w:val="22"/>
          <w:szCs w:val="22"/>
        </w:rPr>
        <w:t>requerida</w:t>
      </w:r>
      <w:proofErr w:type="spellEnd"/>
      <w:r>
        <w:rPr>
          <w:rStyle w:val="Ninguno"/>
          <w:rFonts w:ascii="Calibri" w:hAnsi="Calibri"/>
          <w:sz w:val="22"/>
          <w:szCs w:val="22"/>
        </w:rPr>
        <w:t xml:space="preserve"> a </w:t>
      </w:r>
      <w:proofErr w:type="spellStart"/>
      <w:r>
        <w:rPr>
          <w:rStyle w:val="Ninguno"/>
          <w:rFonts w:ascii="Calibri" w:hAnsi="Calibri"/>
          <w:sz w:val="22"/>
          <w:szCs w:val="22"/>
        </w:rPr>
        <w:t>los</w:t>
      </w:r>
      <w:proofErr w:type="spellEnd"/>
      <w:r>
        <w:rPr>
          <w:rStyle w:val="Ninguno"/>
          <w:rFonts w:ascii="Calibri" w:hAnsi="Calibri"/>
          <w:sz w:val="22"/>
          <w:szCs w:val="22"/>
        </w:rPr>
        <w:t xml:space="preserve"> </w:t>
      </w:r>
      <w:proofErr w:type="spellStart"/>
      <w:r>
        <w:rPr>
          <w:rStyle w:val="Ninguno"/>
          <w:rFonts w:ascii="Calibri" w:hAnsi="Calibri"/>
          <w:sz w:val="22"/>
          <w:szCs w:val="22"/>
        </w:rPr>
        <w:t>licitadores</w:t>
      </w:r>
      <w:proofErr w:type="spellEnd"/>
      <w:r>
        <w:rPr>
          <w:rStyle w:val="Ninguno"/>
          <w:rFonts w:ascii="Calibri" w:hAnsi="Calibri"/>
          <w:sz w:val="22"/>
          <w:szCs w:val="22"/>
        </w:rPr>
        <w:t xml:space="preserve">, principio de </w:t>
      </w:r>
      <w:proofErr w:type="spellStart"/>
      <w:r>
        <w:rPr>
          <w:rStyle w:val="Ninguno"/>
          <w:rFonts w:ascii="Calibri" w:hAnsi="Calibri"/>
          <w:sz w:val="22"/>
          <w:szCs w:val="22"/>
        </w:rPr>
        <w:t>transparencia</w:t>
      </w:r>
      <w:proofErr w:type="spellEnd"/>
      <w:r>
        <w:rPr>
          <w:rStyle w:val="Ninguno"/>
          <w:rFonts w:ascii="Calibri" w:hAnsi="Calibri"/>
          <w:sz w:val="22"/>
          <w:szCs w:val="22"/>
        </w:rPr>
        <w:t>.</w:t>
      </w:r>
    </w:p>
    <w:p w14:paraId="2A1CDB7B" w14:textId="77777777" w:rsidR="003F223C" w:rsidRPr="004F1741" w:rsidRDefault="00B66A92" w:rsidP="004F1741">
      <w:pPr>
        <w:pStyle w:val="Standard"/>
        <w:spacing w:after="198" w:line="288" w:lineRule="auto"/>
        <w:jc w:val="both"/>
        <w:outlineLvl w:val="0"/>
        <w:rPr>
          <w:rStyle w:val="Hyperlink0"/>
        </w:rPr>
      </w:pPr>
      <w:hyperlink r:id="rId28">
        <w:r w:rsidRPr="004F1741">
          <w:rPr>
            <w:rStyle w:val="Hyperlink0"/>
          </w:rPr>
          <w:t>https://www.contratacion.euskadi.eus/contenidos/resolucion_oarc/17_2026/es_def/adjuntos/Resolucion17_2026.pdf</w:t>
        </w:r>
      </w:hyperlink>
    </w:p>
    <w:p w14:paraId="301CC10C" w14:textId="77777777" w:rsidR="003F223C" w:rsidRPr="00D05A02" w:rsidRDefault="00B66A92" w:rsidP="0062002E">
      <w:pPr>
        <w:pStyle w:val="Gorputz-testua"/>
        <w:spacing w:after="80" w:line="288" w:lineRule="auto"/>
        <w:jc w:val="both"/>
        <w:rPr>
          <w:lang w:val="es-ES"/>
        </w:rPr>
      </w:pPr>
      <w:r w:rsidRPr="00D05A02">
        <w:rPr>
          <w:rStyle w:val="Ninguno"/>
          <w:rFonts w:ascii="Calibri" w:hAnsi="Calibri"/>
          <w:b/>
          <w:bCs/>
          <w:sz w:val="22"/>
          <w:szCs w:val="22"/>
          <w:lang w:val="es-ES"/>
        </w:rPr>
        <w:t xml:space="preserve">- Resolución 18/2026, de 2 de febrero de 2026. </w:t>
      </w:r>
      <w:r w:rsidRPr="00D05A02">
        <w:rPr>
          <w:rStyle w:val="Ninguno"/>
          <w:rFonts w:ascii="Calibri" w:hAnsi="Calibri"/>
          <w:sz w:val="22"/>
          <w:szCs w:val="22"/>
          <w:lang w:val="es-ES"/>
        </w:rPr>
        <w:t xml:space="preserve">Adjudicación. Prohibiciones de contratar: plan de igualdad, momento en el que debe constar la ausencia de prohibiciones de contratar, revisión de planes de igualdad en el caso de operación societaria o alteración del estatuto jurídico de la empresa, grupo de empresas, la adjudicataria tenía un plan de igualdad debidamente inscrito. </w:t>
      </w:r>
    </w:p>
    <w:p w14:paraId="5A26A826" w14:textId="77777777" w:rsidR="003F223C" w:rsidRPr="004F1741" w:rsidRDefault="00B66A92" w:rsidP="004F1741">
      <w:pPr>
        <w:pStyle w:val="Standard"/>
        <w:spacing w:after="198" w:line="288" w:lineRule="auto"/>
        <w:jc w:val="both"/>
        <w:outlineLvl w:val="0"/>
        <w:rPr>
          <w:rStyle w:val="Hyperlink0"/>
        </w:rPr>
      </w:pPr>
      <w:hyperlink r:id="rId29">
        <w:r w:rsidRPr="004F1741">
          <w:rPr>
            <w:rStyle w:val="Hyperlink0"/>
          </w:rPr>
          <w:t>https://www.contratacion.euskadi.eus/contenidos/resolucion_oarc/18_2026/es_def/adjuntos/Resolucion18_2026.pdf</w:t>
        </w:r>
      </w:hyperlink>
    </w:p>
    <w:p w14:paraId="49AC671B" w14:textId="77777777" w:rsidR="00B207FE" w:rsidRDefault="00B66A92" w:rsidP="0062002E">
      <w:pPr>
        <w:pStyle w:val="Gorputz-testua"/>
        <w:spacing w:after="80" w:line="288" w:lineRule="auto"/>
        <w:jc w:val="both"/>
        <w:rPr>
          <w:rStyle w:val="Ninguno"/>
          <w:rFonts w:ascii="Calibri" w:hAnsi="Calibri"/>
          <w:sz w:val="22"/>
          <w:szCs w:val="22"/>
        </w:rPr>
      </w:pPr>
      <w:r>
        <w:rPr>
          <w:rStyle w:val="Ninguno"/>
          <w:rFonts w:ascii="Calibri" w:hAnsi="Calibri"/>
          <w:b/>
          <w:bCs/>
          <w:sz w:val="22"/>
          <w:szCs w:val="22"/>
        </w:rPr>
        <w:t xml:space="preserve">- </w:t>
      </w:r>
      <w:proofErr w:type="spellStart"/>
      <w:r>
        <w:rPr>
          <w:rStyle w:val="Ninguno"/>
          <w:rFonts w:ascii="Calibri" w:hAnsi="Calibri"/>
          <w:b/>
          <w:bCs/>
          <w:sz w:val="22"/>
          <w:szCs w:val="22"/>
        </w:rPr>
        <w:t>Resolución</w:t>
      </w:r>
      <w:proofErr w:type="spellEnd"/>
      <w:r>
        <w:rPr>
          <w:rStyle w:val="Ninguno"/>
          <w:rFonts w:ascii="Calibri" w:hAnsi="Calibri"/>
          <w:b/>
          <w:bCs/>
          <w:sz w:val="22"/>
          <w:szCs w:val="22"/>
        </w:rPr>
        <w:t xml:space="preserve"> 26/2026, de 12 de </w:t>
      </w:r>
      <w:proofErr w:type="spellStart"/>
      <w:r>
        <w:rPr>
          <w:rStyle w:val="Ninguno"/>
          <w:rFonts w:ascii="Calibri" w:hAnsi="Calibri"/>
          <w:b/>
          <w:bCs/>
          <w:sz w:val="22"/>
          <w:szCs w:val="22"/>
        </w:rPr>
        <w:t>febrero</w:t>
      </w:r>
      <w:proofErr w:type="spellEnd"/>
      <w:r>
        <w:rPr>
          <w:rStyle w:val="Ninguno"/>
          <w:rFonts w:ascii="Calibri" w:hAnsi="Calibri"/>
          <w:b/>
          <w:bCs/>
          <w:sz w:val="22"/>
          <w:szCs w:val="22"/>
        </w:rPr>
        <w:t xml:space="preserve"> de 2026</w:t>
      </w:r>
      <w:r>
        <w:rPr>
          <w:rStyle w:val="Ninguno"/>
          <w:rFonts w:ascii="Calibri" w:hAnsi="Calibri"/>
          <w:sz w:val="22"/>
          <w:szCs w:val="22"/>
        </w:rPr>
        <w:t xml:space="preserve">. </w:t>
      </w:r>
      <w:proofErr w:type="spellStart"/>
      <w:r>
        <w:rPr>
          <w:rStyle w:val="Ninguno"/>
          <w:rFonts w:ascii="Calibri" w:hAnsi="Calibri"/>
          <w:sz w:val="22"/>
          <w:szCs w:val="22"/>
        </w:rPr>
        <w:t>Adjudicación</w:t>
      </w:r>
      <w:proofErr w:type="spellEnd"/>
      <w:r>
        <w:rPr>
          <w:rStyle w:val="Ninguno"/>
          <w:rFonts w:ascii="Calibri" w:hAnsi="Calibri"/>
          <w:sz w:val="22"/>
          <w:szCs w:val="22"/>
        </w:rPr>
        <w:t xml:space="preserve">. </w:t>
      </w:r>
      <w:proofErr w:type="spellStart"/>
      <w:r>
        <w:rPr>
          <w:rStyle w:val="Ninguno"/>
          <w:rFonts w:ascii="Calibri" w:hAnsi="Calibri"/>
          <w:sz w:val="22"/>
          <w:szCs w:val="22"/>
        </w:rPr>
        <w:t>Discrecionalidad</w:t>
      </w:r>
      <w:proofErr w:type="spellEnd"/>
      <w:r>
        <w:rPr>
          <w:rStyle w:val="Ninguno"/>
          <w:rFonts w:ascii="Calibri" w:hAnsi="Calibri"/>
          <w:sz w:val="22"/>
          <w:szCs w:val="22"/>
        </w:rPr>
        <w:t xml:space="preserve"> y </w:t>
      </w:r>
      <w:proofErr w:type="spellStart"/>
      <w:r>
        <w:rPr>
          <w:rStyle w:val="Ninguno"/>
          <w:rFonts w:ascii="Calibri" w:hAnsi="Calibri"/>
          <w:sz w:val="22"/>
          <w:szCs w:val="22"/>
        </w:rPr>
        <w:t>motivación</w:t>
      </w:r>
      <w:proofErr w:type="spellEnd"/>
      <w:r>
        <w:rPr>
          <w:rStyle w:val="Ninguno"/>
          <w:rFonts w:ascii="Calibri" w:hAnsi="Calibri"/>
          <w:sz w:val="22"/>
          <w:szCs w:val="22"/>
        </w:rPr>
        <w:t xml:space="preserve">: </w:t>
      </w:r>
      <w:proofErr w:type="spellStart"/>
      <w:r>
        <w:rPr>
          <w:rStyle w:val="Ninguno"/>
          <w:rFonts w:ascii="Calibri" w:hAnsi="Calibri"/>
          <w:sz w:val="22"/>
          <w:szCs w:val="22"/>
        </w:rPr>
        <w:t>aplicación</w:t>
      </w:r>
      <w:proofErr w:type="spellEnd"/>
      <w:r>
        <w:rPr>
          <w:rStyle w:val="Ninguno"/>
          <w:rFonts w:ascii="Calibri" w:hAnsi="Calibri"/>
          <w:sz w:val="22"/>
          <w:szCs w:val="22"/>
        </w:rPr>
        <w:t xml:space="preserve"> de un </w:t>
      </w:r>
      <w:proofErr w:type="spellStart"/>
      <w:r>
        <w:rPr>
          <w:rStyle w:val="Ninguno"/>
          <w:rFonts w:ascii="Calibri" w:hAnsi="Calibri"/>
          <w:sz w:val="22"/>
          <w:szCs w:val="22"/>
        </w:rPr>
        <w:t>criterio</w:t>
      </w:r>
      <w:proofErr w:type="spellEnd"/>
      <w:r>
        <w:rPr>
          <w:rStyle w:val="Ninguno"/>
          <w:rFonts w:ascii="Calibri" w:hAnsi="Calibri"/>
          <w:sz w:val="22"/>
          <w:szCs w:val="22"/>
        </w:rPr>
        <w:t xml:space="preserve"> de </w:t>
      </w:r>
      <w:proofErr w:type="spellStart"/>
      <w:r>
        <w:rPr>
          <w:rStyle w:val="Ninguno"/>
          <w:rFonts w:ascii="Calibri" w:hAnsi="Calibri"/>
          <w:sz w:val="22"/>
          <w:szCs w:val="22"/>
        </w:rPr>
        <w:t>adjudicación</w:t>
      </w:r>
      <w:proofErr w:type="spellEnd"/>
      <w:r>
        <w:rPr>
          <w:rStyle w:val="Ninguno"/>
          <w:rFonts w:ascii="Calibri" w:hAnsi="Calibri"/>
          <w:sz w:val="22"/>
          <w:szCs w:val="22"/>
        </w:rPr>
        <w:t xml:space="preserve"> </w:t>
      </w:r>
      <w:proofErr w:type="spellStart"/>
      <w:r>
        <w:rPr>
          <w:rStyle w:val="Ninguno"/>
          <w:rFonts w:ascii="Calibri" w:hAnsi="Calibri"/>
          <w:sz w:val="22"/>
          <w:szCs w:val="22"/>
        </w:rPr>
        <w:t>sujeto</w:t>
      </w:r>
      <w:proofErr w:type="spellEnd"/>
      <w:r>
        <w:rPr>
          <w:rStyle w:val="Ninguno"/>
          <w:rFonts w:ascii="Calibri" w:hAnsi="Calibri"/>
          <w:sz w:val="22"/>
          <w:szCs w:val="22"/>
        </w:rPr>
        <w:t xml:space="preserve"> a </w:t>
      </w:r>
      <w:proofErr w:type="spellStart"/>
      <w:r>
        <w:rPr>
          <w:rStyle w:val="Ninguno"/>
          <w:rFonts w:ascii="Calibri" w:hAnsi="Calibri"/>
          <w:sz w:val="22"/>
          <w:szCs w:val="22"/>
        </w:rPr>
        <w:t>juicio</w:t>
      </w:r>
      <w:proofErr w:type="spellEnd"/>
      <w:r>
        <w:rPr>
          <w:rStyle w:val="Ninguno"/>
          <w:rFonts w:ascii="Calibri" w:hAnsi="Calibri"/>
          <w:sz w:val="22"/>
          <w:szCs w:val="22"/>
        </w:rPr>
        <w:t xml:space="preserve"> de valor </w:t>
      </w:r>
      <w:proofErr w:type="spellStart"/>
      <w:r>
        <w:rPr>
          <w:rStyle w:val="Ninguno"/>
          <w:rFonts w:ascii="Calibri" w:hAnsi="Calibri"/>
          <w:sz w:val="22"/>
          <w:szCs w:val="22"/>
        </w:rPr>
        <w:t>dividido</w:t>
      </w:r>
      <w:proofErr w:type="spellEnd"/>
      <w:r>
        <w:rPr>
          <w:rStyle w:val="Ninguno"/>
          <w:rFonts w:ascii="Calibri" w:hAnsi="Calibri"/>
          <w:sz w:val="22"/>
          <w:szCs w:val="22"/>
        </w:rPr>
        <w:t xml:space="preserve"> </w:t>
      </w:r>
      <w:proofErr w:type="spellStart"/>
      <w:r>
        <w:rPr>
          <w:rStyle w:val="Ninguno"/>
          <w:rFonts w:ascii="Calibri" w:hAnsi="Calibri"/>
          <w:sz w:val="22"/>
          <w:szCs w:val="22"/>
        </w:rPr>
        <w:t>en</w:t>
      </w:r>
      <w:proofErr w:type="spellEnd"/>
      <w:r>
        <w:rPr>
          <w:rStyle w:val="Ninguno"/>
          <w:rFonts w:ascii="Calibri" w:hAnsi="Calibri"/>
          <w:sz w:val="22"/>
          <w:szCs w:val="22"/>
        </w:rPr>
        <w:t xml:space="preserve"> </w:t>
      </w:r>
      <w:proofErr w:type="spellStart"/>
      <w:r>
        <w:rPr>
          <w:rStyle w:val="Ninguno"/>
          <w:rFonts w:ascii="Calibri" w:hAnsi="Calibri"/>
          <w:sz w:val="22"/>
          <w:szCs w:val="22"/>
        </w:rPr>
        <w:t>subcriterios</w:t>
      </w:r>
      <w:proofErr w:type="spellEnd"/>
      <w:r>
        <w:rPr>
          <w:rStyle w:val="Ninguno"/>
          <w:rFonts w:ascii="Calibri" w:hAnsi="Calibri"/>
          <w:sz w:val="22"/>
          <w:szCs w:val="22"/>
        </w:rPr>
        <w:t xml:space="preserve"> con </w:t>
      </w:r>
      <w:proofErr w:type="spellStart"/>
      <w:r>
        <w:rPr>
          <w:rStyle w:val="Ninguno"/>
          <w:rFonts w:ascii="Calibri" w:hAnsi="Calibri"/>
          <w:sz w:val="22"/>
          <w:szCs w:val="22"/>
        </w:rPr>
        <w:t>ponderación</w:t>
      </w:r>
      <w:proofErr w:type="spellEnd"/>
      <w:r>
        <w:rPr>
          <w:rStyle w:val="Ninguno"/>
          <w:rFonts w:ascii="Calibri" w:hAnsi="Calibri"/>
          <w:sz w:val="22"/>
          <w:szCs w:val="22"/>
        </w:rPr>
        <w:t xml:space="preserve"> </w:t>
      </w:r>
      <w:proofErr w:type="spellStart"/>
      <w:r>
        <w:rPr>
          <w:rStyle w:val="Ninguno"/>
          <w:rFonts w:ascii="Calibri" w:hAnsi="Calibri"/>
          <w:sz w:val="22"/>
          <w:szCs w:val="22"/>
        </w:rPr>
        <w:t>diferenciada</w:t>
      </w:r>
      <w:proofErr w:type="spellEnd"/>
      <w:r>
        <w:rPr>
          <w:rStyle w:val="Ninguno"/>
          <w:rFonts w:ascii="Calibri" w:hAnsi="Calibri"/>
          <w:sz w:val="22"/>
          <w:szCs w:val="22"/>
        </w:rPr>
        <w:t xml:space="preserve"> </w:t>
      </w:r>
      <w:proofErr w:type="spellStart"/>
      <w:r>
        <w:rPr>
          <w:rStyle w:val="Ninguno"/>
          <w:rFonts w:ascii="Calibri" w:hAnsi="Calibri"/>
          <w:sz w:val="22"/>
          <w:szCs w:val="22"/>
        </w:rPr>
        <w:t>atribuida</w:t>
      </w:r>
      <w:proofErr w:type="spellEnd"/>
      <w:r>
        <w:rPr>
          <w:rStyle w:val="Ninguno"/>
          <w:rFonts w:ascii="Calibri" w:hAnsi="Calibri"/>
          <w:sz w:val="22"/>
          <w:szCs w:val="22"/>
        </w:rPr>
        <w:t xml:space="preserve">, </w:t>
      </w:r>
      <w:proofErr w:type="spellStart"/>
      <w:r>
        <w:rPr>
          <w:rStyle w:val="Ninguno"/>
          <w:rFonts w:ascii="Calibri" w:hAnsi="Calibri"/>
          <w:sz w:val="22"/>
          <w:szCs w:val="22"/>
        </w:rPr>
        <w:t>fondo</w:t>
      </w:r>
      <w:proofErr w:type="spellEnd"/>
      <w:r>
        <w:rPr>
          <w:rStyle w:val="Ninguno"/>
          <w:rFonts w:ascii="Calibri" w:hAnsi="Calibri"/>
          <w:sz w:val="22"/>
          <w:szCs w:val="22"/>
        </w:rPr>
        <w:t xml:space="preserve"> </w:t>
      </w:r>
      <w:proofErr w:type="spellStart"/>
      <w:r>
        <w:rPr>
          <w:rStyle w:val="Ninguno"/>
          <w:rFonts w:ascii="Calibri" w:hAnsi="Calibri"/>
          <w:sz w:val="22"/>
          <w:szCs w:val="22"/>
        </w:rPr>
        <w:t>reglado</w:t>
      </w:r>
      <w:proofErr w:type="spellEnd"/>
      <w:r>
        <w:rPr>
          <w:rStyle w:val="Ninguno"/>
          <w:rFonts w:ascii="Calibri" w:hAnsi="Calibri"/>
          <w:sz w:val="22"/>
          <w:szCs w:val="22"/>
        </w:rPr>
        <w:t xml:space="preserve"> del </w:t>
      </w:r>
      <w:proofErr w:type="spellStart"/>
      <w:r>
        <w:rPr>
          <w:rStyle w:val="Ninguno"/>
          <w:rFonts w:ascii="Calibri" w:hAnsi="Calibri"/>
          <w:sz w:val="22"/>
          <w:szCs w:val="22"/>
        </w:rPr>
        <w:t>criterio</w:t>
      </w:r>
      <w:proofErr w:type="spellEnd"/>
      <w:r>
        <w:rPr>
          <w:rStyle w:val="Ninguno"/>
          <w:rFonts w:ascii="Calibri" w:hAnsi="Calibri"/>
          <w:sz w:val="22"/>
          <w:szCs w:val="22"/>
        </w:rPr>
        <w:t xml:space="preserve"> principal no </w:t>
      </w:r>
      <w:proofErr w:type="spellStart"/>
      <w:r>
        <w:rPr>
          <w:rStyle w:val="Ninguno"/>
          <w:rFonts w:ascii="Calibri" w:hAnsi="Calibri"/>
          <w:sz w:val="22"/>
          <w:szCs w:val="22"/>
        </w:rPr>
        <w:t>respetado</w:t>
      </w:r>
      <w:proofErr w:type="spellEnd"/>
      <w:r>
        <w:rPr>
          <w:rStyle w:val="Ninguno"/>
          <w:rFonts w:ascii="Calibri" w:hAnsi="Calibri"/>
          <w:sz w:val="22"/>
          <w:szCs w:val="22"/>
        </w:rPr>
        <w:t xml:space="preserve"> </w:t>
      </w:r>
      <w:proofErr w:type="spellStart"/>
      <w:r>
        <w:rPr>
          <w:rStyle w:val="Ninguno"/>
          <w:rFonts w:ascii="Calibri" w:hAnsi="Calibri"/>
          <w:sz w:val="22"/>
          <w:szCs w:val="22"/>
        </w:rPr>
        <w:t>por</w:t>
      </w:r>
      <w:proofErr w:type="spellEnd"/>
      <w:r>
        <w:rPr>
          <w:rStyle w:val="Ninguno"/>
          <w:rFonts w:ascii="Calibri" w:hAnsi="Calibri"/>
          <w:sz w:val="22"/>
          <w:szCs w:val="22"/>
        </w:rPr>
        <w:t xml:space="preserve"> la </w:t>
      </w:r>
      <w:proofErr w:type="spellStart"/>
      <w:r>
        <w:rPr>
          <w:rStyle w:val="Ninguno"/>
          <w:rFonts w:ascii="Calibri" w:hAnsi="Calibri"/>
          <w:sz w:val="22"/>
          <w:szCs w:val="22"/>
        </w:rPr>
        <w:t>evaluación</w:t>
      </w:r>
      <w:proofErr w:type="spellEnd"/>
      <w:r>
        <w:rPr>
          <w:rStyle w:val="Ninguno"/>
          <w:rFonts w:ascii="Calibri" w:hAnsi="Calibri"/>
          <w:sz w:val="22"/>
          <w:szCs w:val="22"/>
        </w:rPr>
        <w:t xml:space="preserve"> del </w:t>
      </w:r>
      <w:proofErr w:type="spellStart"/>
      <w:r>
        <w:rPr>
          <w:rStyle w:val="Ninguno"/>
          <w:rFonts w:ascii="Calibri" w:hAnsi="Calibri"/>
          <w:sz w:val="22"/>
          <w:szCs w:val="22"/>
        </w:rPr>
        <w:t>criterio</w:t>
      </w:r>
      <w:proofErr w:type="spellEnd"/>
      <w:r>
        <w:rPr>
          <w:rStyle w:val="Ninguno"/>
          <w:rFonts w:ascii="Calibri" w:hAnsi="Calibri"/>
          <w:sz w:val="22"/>
          <w:szCs w:val="22"/>
        </w:rPr>
        <w:t xml:space="preserve"> de </w:t>
      </w:r>
      <w:proofErr w:type="spellStart"/>
      <w:r>
        <w:rPr>
          <w:rStyle w:val="Ninguno"/>
          <w:rFonts w:ascii="Calibri" w:hAnsi="Calibri"/>
          <w:sz w:val="22"/>
          <w:szCs w:val="22"/>
        </w:rPr>
        <w:t>adjudicación</w:t>
      </w:r>
      <w:proofErr w:type="spellEnd"/>
      <w:r>
        <w:rPr>
          <w:rStyle w:val="Ninguno"/>
          <w:rFonts w:ascii="Calibri" w:hAnsi="Calibri"/>
          <w:sz w:val="22"/>
          <w:szCs w:val="22"/>
        </w:rPr>
        <w:t xml:space="preserve">, no se </w:t>
      </w:r>
      <w:proofErr w:type="spellStart"/>
      <w:r>
        <w:rPr>
          <w:rStyle w:val="Ninguno"/>
          <w:rFonts w:ascii="Calibri" w:hAnsi="Calibri"/>
          <w:sz w:val="22"/>
          <w:szCs w:val="22"/>
        </w:rPr>
        <w:t>trata</w:t>
      </w:r>
      <w:proofErr w:type="spellEnd"/>
      <w:r>
        <w:rPr>
          <w:rStyle w:val="Ninguno"/>
          <w:rFonts w:ascii="Calibri" w:hAnsi="Calibri"/>
          <w:sz w:val="22"/>
          <w:szCs w:val="22"/>
        </w:rPr>
        <w:t xml:space="preserve"> de </w:t>
      </w:r>
      <w:proofErr w:type="spellStart"/>
      <w:r>
        <w:rPr>
          <w:rStyle w:val="Ninguno"/>
          <w:rFonts w:ascii="Calibri" w:hAnsi="Calibri"/>
          <w:sz w:val="22"/>
          <w:szCs w:val="22"/>
        </w:rPr>
        <w:t>una</w:t>
      </w:r>
      <w:proofErr w:type="spellEnd"/>
      <w:r>
        <w:rPr>
          <w:rStyle w:val="Ninguno"/>
          <w:rFonts w:ascii="Calibri" w:hAnsi="Calibri"/>
          <w:sz w:val="22"/>
          <w:szCs w:val="22"/>
        </w:rPr>
        <w:t xml:space="preserve"> </w:t>
      </w:r>
      <w:proofErr w:type="spellStart"/>
      <w:r>
        <w:rPr>
          <w:rStyle w:val="Ninguno"/>
          <w:rFonts w:ascii="Calibri" w:hAnsi="Calibri"/>
          <w:sz w:val="22"/>
          <w:szCs w:val="22"/>
        </w:rPr>
        <w:t>irregularidad</w:t>
      </w:r>
      <w:proofErr w:type="spellEnd"/>
      <w:r>
        <w:rPr>
          <w:rStyle w:val="Ninguno"/>
          <w:rFonts w:ascii="Calibri" w:hAnsi="Calibri"/>
          <w:sz w:val="22"/>
          <w:szCs w:val="22"/>
        </w:rPr>
        <w:t xml:space="preserve"> </w:t>
      </w:r>
      <w:proofErr w:type="spellStart"/>
      <w:r>
        <w:rPr>
          <w:rStyle w:val="Ninguno"/>
          <w:rFonts w:ascii="Calibri" w:hAnsi="Calibri"/>
          <w:sz w:val="22"/>
          <w:szCs w:val="22"/>
        </w:rPr>
        <w:t>subsanable</w:t>
      </w:r>
      <w:proofErr w:type="spellEnd"/>
      <w:r>
        <w:rPr>
          <w:rStyle w:val="Ninguno"/>
          <w:rFonts w:ascii="Calibri" w:hAnsi="Calibri"/>
          <w:sz w:val="22"/>
          <w:szCs w:val="22"/>
        </w:rPr>
        <w:t xml:space="preserve"> </w:t>
      </w:r>
      <w:proofErr w:type="spellStart"/>
      <w:r>
        <w:rPr>
          <w:rStyle w:val="Ninguno"/>
          <w:rFonts w:ascii="Calibri" w:hAnsi="Calibri"/>
          <w:sz w:val="22"/>
          <w:szCs w:val="22"/>
        </w:rPr>
        <w:t>ni</w:t>
      </w:r>
      <w:proofErr w:type="spellEnd"/>
      <w:r>
        <w:rPr>
          <w:rStyle w:val="Ninguno"/>
          <w:rFonts w:ascii="Calibri" w:hAnsi="Calibri"/>
          <w:sz w:val="22"/>
          <w:szCs w:val="22"/>
        </w:rPr>
        <w:t xml:space="preserve"> de </w:t>
      </w:r>
      <w:proofErr w:type="spellStart"/>
      <w:r>
        <w:rPr>
          <w:rStyle w:val="Ninguno"/>
          <w:rFonts w:ascii="Calibri" w:hAnsi="Calibri"/>
          <w:sz w:val="22"/>
          <w:szCs w:val="22"/>
        </w:rPr>
        <w:t>una</w:t>
      </w:r>
      <w:proofErr w:type="spellEnd"/>
      <w:r>
        <w:rPr>
          <w:rStyle w:val="Ninguno"/>
          <w:rFonts w:ascii="Calibri" w:hAnsi="Calibri"/>
          <w:sz w:val="22"/>
          <w:szCs w:val="22"/>
        </w:rPr>
        <w:t xml:space="preserve"> </w:t>
      </w:r>
      <w:proofErr w:type="spellStart"/>
      <w:r>
        <w:rPr>
          <w:rStyle w:val="Ninguno"/>
          <w:rFonts w:ascii="Calibri" w:hAnsi="Calibri"/>
          <w:sz w:val="22"/>
          <w:szCs w:val="22"/>
        </w:rPr>
        <w:t>carencia</w:t>
      </w:r>
      <w:proofErr w:type="spellEnd"/>
      <w:r>
        <w:rPr>
          <w:rStyle w:val="Ninguno"/>
          <w:rFonts w:ascii="Calibri" w:hAnsi="Calibri"/>
          <w:sz w:val="22"/>
          <w:szCs w:val="22"/>
        </w:rPr>
        <w:t xml:space="preserve"> de </w:t>
      </w:r>
      <w:proofErr w:type="spellStart"/>
      <w:r>
        <w:rPr>
          <w:rStyle w:val="Ninguno"/>
          <w:rFonts w:ascii="Calibri" w:hAnsi="Calibri"/>
          <w:sz w:val="22"/>
          <w:szCs w:val="22"/>
        </w:rPr>
        <w:t>motivación</w:t>
      </w:r>
      <w:proofErr w:type="spellEnd"/>
      <w:r>
        <w:rPr>
          <w:rStyle w:val="Ninguno"/>
          <w:rFonts w:ascii="Calibri" w:hAnsi="Calibri"/>
          <w:sz w:val="22"/>
          <w:szCs w:val="22"/>
        </w:rPr>
        <w:t xml:space="preserve">, no </w:t>
      </w:r>
      <w:proofErr w:type="spellStart"/>
      <w:r>
        <w:rPr>
          <w:rStyle w:val="Ninguno"/>
          <w:rFonts w:ascii="Calibri" w:hAnsi="Calibri"/>
          <w:sz w:val="22"/>
          <w:szCs w:val="22"/>
        </w:rPr>
        <w:t>cabe</w:t>
      </w:r>
      <w:proofErr w:type="spellEnd"/>
      <w:r>
        <w:rPr>
          <w:rStyle w:val="Ninguno"/>
          <w:rFonts w:ascii="Calibri" w:hAnsi="Calibri"/>
          <w:sz w:val="22"/>
          <w:szCs w:val="22"/>
        </w:rPr>
        <w:t xml:space="preserve"> </w:t>
      </w:r>
      <w:proofErr w:type="spellStart"/>
      <w:r>
        <w:rPr>
          <w:rStyle w:val="Ninguno"/>
          <w:rFonts w:ascii="Calibri" w:hAnsi="Calibri"/>
          <w:sz w:val="22"/>
          <w:szCs w:val="22"/>
        </w:rPr>
        <w:t>una</w:t>
      </w:r>
      <w:proofErr w:type="spellEnd"/>
      <w:r>
        <w:rPr>
          <w:rStyle w:val="Ninguno"/>
          <w:rFonts w:ascii="Calibri" w:hAnsi="Calibri"/>
          <w:sz w:val="22"/>
          <w:szCs w:val="22"/>
        </w:rPr>
        <w:t xml:space="preserve"> </w:t>
      </w:r>
      <w:proofErr w:type="spellStart"/>
      <w:r>
        <w:rPr>
          <w:rStyle w:val="Ninguno"/>
          <w:rFonts w:ascii="Calibri" w:hAnsi="Calibri"/>
          <w:sz w:val="22"/>
          <w:szCs w:val="22"/>
        </w:rPr>
        <w:t>nueva</w:t>
      </w:r>
      <w:proofErr w:type="spellEnd"/>
      <w:r>
        <w:rPr>
          <w:rStyle w:val="Ninguno"/>
          <w:rFonts w:ascii="Calibri" w:hAnsi="Calibri"/>
          <w:sz w:val="22"/>
          <w:szCs w:val="22"/>
        </w:rPr>
        <w:t xml:space="preserve"> </w:t>
      </w:r>
      <w:proofErr w:type="spellStart"/>
      <w:r>
        <w:rPr>
          <w:rStyle w:val="Ninguno"/>
          <w:rFonts w:ascii="Calibri" w:hAnsi="Calibri"/>
          <w:sz w:val="22"/>
          <w:szCs w:val="22"/>
        </w:rPr>
        <w:t>valoración</w:t>
      </w:r>
      <w:proofErr w:type="spellEnd"/>
      <w:r>
        <w:rPr>
          <w:rStyle w:val="Ninguno"/>
          <w:rFonts w:ascii="Calibri" w:hAnsi="Calibri"/>
          <w:sz w:val="22"/>
          <w:szCs w:val="22"/>
        </w:rPr>
        <w:t xml:space="preserve"> y </w:t>
      </w:r>
      <w:proofErr w:type="spellStart"/>
      <w:r>
        <w:rPr>
          <w:rStyle w:val="Ninguno"/>
          <w:rFonts w:ascii="Calibri" w:hAnsi="Calibri"/>
          <w:sz w:val="22"/>
          <w:szCs w:val="22"/>
        </w:rPr>
        <w:t>menos</w:t>
      </w:r>
      <w:proofErr w:type="spellEnd"/>
      <w:r>
        <w:rPr>
          <w:rStyle w:val="Ninguno"/>
          <w:rFonts w:ascii="Calibri" w:hAnsi="Calibri"/>
          <w:sz w:val="22"/>
          <w:szCs w:val="22"/>
        </w:rPr>
        <w:t xml:space="preserve"> con un </w:t>
      </w:r>
      <w:proofErr w:type="spellStart"/>
      <w:r>
        <w:rPr>
          <w:rStyle w:val="Ninguno"/>
          <w:rFonts w:ascii="Calibri" w:hAnsi="Calibri"/>
          <w:sz w:val="22"/>
          <w:szCs w:val="22"/>
        </w:rPr>
        <w:t>resultado</w:t>
      </w:r>
      <w:proofErr w:type="spellEnd"/>
      <w:r>
        <w:rPr>
          <w:rStyle w:val="Ninguno"/>
          <w:rFonts w:ascii="Calibri" w:hAnsi="Calibri"/>
          <w:sz w:val="22"/>
          <w:szCs w:val="22"/>
        </w:rPr>
        <w:t xml:space="preserve"> </w:t>
      </w:r>
      <w:proofErr w:type="spellStart"/>
      <w:r>
        <w:rPr>
          <w:rStyle w:val="Ninguno"/>
          <w:rFonts w:ascii="Calibri" w:hAnsi="Calibri"/>
          <w:sz w:val="22"/>
          <w:szCs w:val="22"/>
        </w:rPr>
        <w:t>distinto</w:t>
      </w:r>
      <w:proofErr w:type="spellEnd"/>
      <w:r>
        <w:rPr>
          <w:rStyle w:val="Ninguno"/>
          <w:rFonts w:ascii="Calibri" w:hAnsi="Calibri"/>
          <w:sz w:val="22"/>
          <w:szCs w:val="22"/>
        </w:rPr>
        <w:t xml:space="preserve">, </w:t>
      </w:r>
      <w:proofErr w:type="spellStart"/>
      <w:r>
        <w:rPr>
          <w:rStyle w:val="Ninguno"/>
          <w:rFonts w:ascii="Calibri" w:hAnsi="Calibri"/>
          <w:sz w:val="22"/>
          <w:szCs w:val="22"/>
        </w:rPr>
        <w:t>revisión</w:t>
      </w:r>
      <w:proofErr w:type="spellEnd"/>
      <w:r>
        <w:rPr>
          <w:rStyle w:val="Ninguno"/>
          <w:rFonts w:ascii="Calibri" w:hAnsi="Calibri"/>
          <w:sz w:val="22"/>
          <w:szCs w:val="22"/>
        </w:rPr>
        <w:t xml:space="preserve"> de un </w:t>
      </w:r>
      <w:proofErr w:type="spellStart"/>
      <w:r>
        <w:rPr>
          <w:rStyle w:val="Ninguno"/>
          <w:rFonts w:ascii="Calibri" w:hAnsi="Calibri"/>
          <w:sz w:val="22"/>
          <w:szCs w:val="22"/>
        </w:rPr>
        <w:t>acto</w:t>
      </w:r>
      <w:proofErr w:type="spellEnd"/>
      <w:r>
        <w:rPr>
          <w:rStyle w:val="Ninguno"/>
          <w:rFonts w:ascii="Calibri" w:hAnsi="Calibri"/>
          <w:sz w:val="22"/>
          <w:szCs w:val="22"/>
        </w:rPr>
        <w:t xml:space="preserve"> </w:t>
      </w:r>
      <w:proofErr w:type="spellStart"/>
      <w:r>
        <w:rPr>
          <w:rStyle w:val="Ninguno"/>
          <w:rFonts w:ascii="Calibri" w:hAnsi="Calibri"/>
          <w:sz w:val="22"/>
          <w:szCs w:val="22"/>
        </w:rPr>
        <w:t>declarativo</w:t>
      </w:r>
      <w:proofErr w:type="spellEnd"/>
      <w:r>
        <w:rPr>
          <w:rStyle w:val="Ninguno"/>
          <w:rFonts w:ascii="Calibri" w:hAnsi="Calibri"/>
          <w:sz w:val="22"/>
          <w:szCs w:val="22"/>
        </w:rPr>
        <w:t xml:space="preserve"> de derechos sin </w:t>
      </w:r>
      <w:proofErr w:type="spellStart"/>
      <w:r>
        <w:rPr>
          <w:rStyle w:val="Ninguno"/>
          <w:rFonts w:ascii="Calibri" w:hAnsi="Calibri"/>
          <w:sz w:val="22"/>
          <w:szCs w:val="22"/>
        </w:rPr>
        <w:t>sujetarse</w:t>
      </w:r>
      <w:proofErr w:type="spellEnd"/>
      <w:r>
        <w:rPr>
          <w:rStyle w:val="Ninguno"/>
          <w:rFonts w:ascii="Calibri" w:hAnsi="Calibri"/>
          <w:sz w:val="22"/>
          <w:szCs w:val="22"/>
        </w:rPr>
        <w:t xml:space="preserve"> al </w:t>
      </w:r>
      <w:proofErr w:type="spellStart"/>
      <w:r>
        <w:rPr>
          <w:rStyle w:val="Ninguno"/>
          <w:rFonts w:ascii="Calibri" w:hAnsi="Calibri"/>
          <w:sz w:val="22"/>
          <w:szCs w:val="22"/>
        </w:rPr>
        <w:t>procedimiento</w:t>
      </w:r>
      <w:proofErr w:type="spellEnd"/>
      <w:r>
        <w:rPr>
          <w:rStyle w:val="Ninguno"/>
          <w:rFonts w:ascii="Calibri" w:hAnsi="Calibri"/>
          <w:sz w:val="22"/>
          <w:szCs w:val="22"/>
        </w:rPr>
        <w:t xml:space="preserve"> legal, </w:t>
      </w:r>
      <w:proofErr w:type="spellStart"/>
      <w:r>
        <w:rPr>
          <w:rStyle w:val="Ninguno"/>
          <w:rFonts w:ascii="Calibri" w:hAnsi="Calibri"/>
          <w:sz w:val="22"/>
          <w:szCs w:val="22"/>
        </w:rPr>
        <w:t>el</w:t>
      </w:r>
      <w:proofErr w:type="spellEnd"/>
      <w:r>
        <w:rPr>
          <w:rStyle w:val="Ninguno"/>
          <w:rFonts w:ascii="Calibri" w:hAnsi="Calibri"/>
          <w:sz w:val="22"/>
          <w:szCs w:val="22"/>
        </w:rPr>
        <w:t xml:space="preserve"> OARC / KEAO no </w:t>
      </w:r>
      <w:proofErr w:type="spellStart"/>
      <w:r>
        <w:rPr>
          <w:rStyle w:val="Ninguno"/>
          <w:rFonts w:ascii="Calibri" w:hAnsi="Calibri"/>
          <w:sz w:val="22"/>
          <w:szCs w:val="22"/>
        </w:rPr>
        <w:t>puede</w:t>
      </w:r>
      <w:proofErr w:type="spellEnd"/>
      <w:r>
        <w:rPr>
          <w:rStyle w:val="Ninguno"/>
          <w:rFonts w:ascii="Calibri" w:hAnsi="Calibri"/>
          <w:sz w:val="22"/>
          <w:szCs w:val="22"/>
        </w:rPr>
        <w:t xml:space="preserve"> </w:t>
      </w:r>
      <w:proofErr w:type="spellStart"/>
      <w:r>
        <w:rPr>
          <w:rStyle w:val="Ninguno"/>
          <w:rFonts w:ascii="Calibri" w:hAnsi="Calibri"/>
          <w:sz w:val="22"/>
          <w:szCs w:val="22"/>
        </w:rPr>
        <w:t>sustituir</w:t>
      </w:r>
      <w:proofErr w:type="spellEnd"/>
      <w:r>
        <w:rPr>
          <w:rStyle w:val="Ninguno"/>
          <w:rFonts w:ascii="Calibri" w:hAnsi="Calibri"/>
          <w:sz w:val="22"/>
          <w:szCs w:val="22"/>
        </w:rPr>
        <w:t xml:space="preserve"> la </w:t>
      </w:r>
      <w:proofErr w:type="spellStart"/>
      <w:r>
        <w:rPr>
          <w:rStyle w:val="Ninguno"/>
          <w:rFonts w:ascii="Calibri" w:hAnsi="Calibri"/>
          <w:sz w:val="22"/>
          <w:szCs w:val="22"/>
        </w:rPr>
        <w:t>discrecionalidad</w:t>
      </w:r>
      <w:proofErr w:type="spellEnd"/>
      <w:r>
        <w:rPr>
          <w:rStyle w:val="Ninguno"/>
          <w:rFonts w:ascii="Calibri" w:hAnsi="Calibri"/>
          <w:sz w:val="22"/>
          <w:szCs w:val="22"/>
        </w:rPr>
        <w:t xml:space="preserve"> del </w:t>
      </w:r>
      <w:proofErr w:type="spellStart"/>
      <w:r>
        <w:rPr>
          <w:rStyle w:val="Ninguno"/>
          <w:rFonts w:ascii="Calibri" w:hAnsi="Calibri"/>
          <w:sz w:val="22"/>
          <w:szCs w:val="22"/>
        </w:rPr>
        <w:t>poder</w:t>
      </w:r>
      <w:proofErr w:type="spellEnd"/>
      <w:r>
        <w:rPr>
          <w:rStyle w:val="Ninguno"/>
          <w:rFonts w:ascii="Calibri" w:hAnsi="Calibri"/>
          <w:sz w:val="22"/>
          <w:szCs w:val="22"/>
        </w:rPr>
        <w:t xml:space="preserve"> </w:t>
      </w:r>
      <w:proofErr w:type="spellStart"/>
      <w:r>
        <w:rPr>
          <w:rStyle w:val="Ninguno"/>
          <w:rFonts w:ascii="Calibri" w:hAnsi="Calibri"/>
          <w:sz w:val="22"/>
          <w:szCs w:val="22"/>
        </w:rPr>
        <w:t>adjudicador</w:t>
      </w:r>
      <w:proofErr w:type="spellEnd"/>
      <w:r>
        <w:rPr>
          <w:rStyle w:val="Ninguno"/>
          <w:rFonts w:ascii="Calibri" w:hAnsi="Calibri"/>
          <w:sz w:val="22"/>
          <w:szCs w:val="22"/>
        </w:rPr>
        <w:t xml:space="preserve">. </w:t>
      </w:r>
      <w:proofErr w:type="spellStart"/>
      <w:r>
        <w:rPr>
          <w:rStyle w:val="Ninguno"/>
          <w:rFonts w:ascii="Calibri" w:hAnsi="Calibri"/>
          <w:sz w:val="22"/>
          <w:szCs w:val="22"/>
        </w:rPr>
        <w:t>Efectos</w:t>
      </w:r>
      <w:proofErr w:type="spellEnd"/>
      <w:r>
        <w:rPr>
          <w:rStyle w:val="Ninguno"/>
          <w:rFonts w:ascii="Calibri" w:hAnsi="Calibri"/>
          <w:sz w:val="22"/>
          <w:szCs w:val="22"/>
        </w:rPr>
        <w:t xml:space="preserve"> de la </w:t>
      </w:r>
      <w:proofErr w:type="spellStart"/>
      <w:r>
        <w:rPr>
          <w:rStyle w:val="Ninguno"/>
          <w:rFonts w:ascii="Calibri" w:hAnsi="Calibri"/>
          <w:sz w:val="22"/>
          <w:szCs w:val="22"/>
        </w:rPr>
        <w:t>Resolución</w:t>
      </w:r>
      <w:proofErr w:type="spellEnd"/>
      <w:r>
        <w:rPr>
          <w:rStyle w:val="Ninguno"/>
          <w:rFonts w:ascii="Calibri" w:hAnsi="Calibri"/>
          <w:sz w:val="22"/>
          <w:szCs w:val="22"/>
        </w:rPr>
        <w:t xml:space="preserve">: </w:t>
      </w:r>
      <w:proofErr w:type="spellStart"/>
      <w:r>
        <w:rPr>
          <w:rStyle w:val="Ninguno"/>
          <w:rFonts w:ascii="Calibri" w:hAnsi="Calibri"/>
          <w:sz w:val="22"/>
          <w:szCs w:val="22"/>
        </w:rPr>
        <w:t>cancelación</w:t>
      </w:r>
      <w:proofErr w:type="spellEnd"/>
      <w:r>
        <w:rPr>
          <w:rStyle w:val="Ninguno"/>
          <w:rFonts w:ascii="Calibri" w:hAnsi="Calibri"/>
          <w:sz w:val="22"/>
          <w:szCs w:val="22"/>
        </w:rPr>
        <w:t xml:space="preserve"> del </w:t>
      </w:r>
      <w:proofErr w:type="spellStart"/>
      <w:r>
        <w:rPr>
          <w:rStyle w:val="Ninguno"/>
          <w:rFonts w:ascii="Calibri" w:hAnsi="Calibri"/>
          <w:sz w:val="22"/>
          <w:szCs w:val="22"/>
        </w:rPr>
        <w:t>procedimiento</w:t>
      </w:r>
      <w:proofErr w:type="spellEnd"/>
      <w:r>
        <w:rPr>
          <w:rStyle w:val="Ninguno"/>
          <w:rFonts w:ascii="Calibri" w:hAnsi="Calibri"/>
          <w:sz w:val="22"/>
          <w:szCs w:val="22"/>
        </w:rPr>
        <w:t xml:space="preserve"> de </w:t>
      </w:r>
      <w:proofErr w:type="spellStart"/>
      <w:r>
        <w:rPr>
          <w:rStyle w:val="Ninguno"/>
          <w:rFonts w:ascii="Calibri" w:hAnsi="Calibri"/>
          <w:sz w:val="22"/>
          <w:szCs w:val="22"/>
        </w:rPr>
        <w:t>adjudicación</w:t>
      </w:r>
      <w:proofErr w:type="spellEnd"/>
      <w:r>
        <w:rPr>
          <w:rStyle w:val="Ninguno"/>
          <w:rFonts w:ascii="Calibri" w:hAnsi="Calibri"/>
          <w:sz w:val="22"/>
          <w:szCs w:val="22"/>
        </w:rPr>
        <w:t xml:space="preserve">, no </w:t>
      </w:r>
      <w:proofErr w:type="spellStart"/>
      <w:r>
        <w:rPr>
          <w:rStyle w:val="Ninguno"/>
          <w:rFonts w:ascii="Calibri" w:hAnsi="Calibri"/>
          <w:sz w:val="22"/>
          <w:szCs w:val="22"/>
        </w:rPr>
        <w:t>cabe</w:t>
      </w:r>
      <w:proofErr w:type="spellEnd"/>
      <w:r>
        <w:rPr>
          <w:rStyle w:val="Ninguno"/>
          <w:rFonts w:ascii="Calibri" w:hAnsi="Calibri"/>
          <w:sz w:val="22"/>
          <w:szCs w:val="22"/>
        </w:rPr>
        <w:t xml:space="preserve"> la </w:t>
      </w:r>
      <w:proofErr w:type="spellStart"/>
      <w:r>
        <w:rPr>
          <w:rStyle w:val="Ninguno"/>
          <w:rFonts w:ascii="Calibri" w:hAnsi="Calibri"/>
          <w:sz w:val="22"/>
          <w:szCs w:val="22"/>
        </w:rPr>
        <w:t>retroacción</w:t>
      </w:r>
      <w:proofErr w:type="spellEnd"/>
      <w:r>
        <w:rPr>
          <w:rStyle w:val="Ninguno"/>
          <w:rFonts w:ascii="Calibri" w:hAnsi="Calibri"/>
          <w:sz w:val="22"/>
          <w:szCs w:val="22"/>
        </w:rPr>
        <w:t xml:space="preserve"> </w:t>
      </w:r>
      <w:proofErr w:type="spellStart"/>
      <w:r>
        <w:rPr>
          <w:rStyle w:val="Ninguno"/>
          <w:rFonts w:ascii="Calibri" w:hAnsi="Calibri"/>
          <w:sz w:val="22"/>
          <w:szCs w:val="22"/>
        </w:rPr>
        <w:t>porque</w:t>
      </w:r>
      <w:proofErr w:type="spellEnd"/>
      <w:r>
        <w:rPr>
          <w:rStyle w:val="Ninguno"/>
          <w:rFonts w:ascii="Calibri" w:hAnsi="Calibri"/>
          <w:sz w:val="22"/>
          <w:szCs w:val="22"/>
        </w:rPr>
        <w:t xml:space="preserve"> </w:t>
      </w:r>
      <w:proofErr w:type="spellStart"/>
      <w:r>
        <w:rPr>
          <w:rStyle w:val="Ninguno"/>
          <w:rFonts w:ascii="Calibri" w:hAnsi="Calibri"/>
          <w:sz w:val="22"/>
          <w:szCs w:val="22"/>
        </w:rPr>
        <w:t>ya</w:t>
      </w:r>
      <w:proofErr w:type="spellEnd"/>
      <w:r>
        <w:rPr>
          <w:rStyle w:val="Ninguno"/>
          <w:rFonts w:ascii="Calibri" w:hAnsi="Calibri"/>
          <w:sz w:val="22"/>
          <w:szCs w:val="22"/>
        </w:rPr>
        <w:t xml:space="preserve"> no es </w:t>
      </w:r>
      <w:proofErr w:type="spellStart"/>
      <w:r>
        <w:rPr>
          <w:rStyle w:val="Ninguno"/>
          <w:rFonts w:ascii="Calibri" w:hAnsi="Calibri"/>
          <w:sz w:val="22"/>
          <w:szCs w:val="22"/>
        </w:rPr>
        <w:t>posible</w:t>
      </w:r>
      <w:proofErr w:type="spellEnd"/>
      <w:r>
        <w:rPr>
          <w:rStyle w:val="Ninguno"/>
          <w:rFonts w:ascii="Calibri" w:hAnsi="Calibri"/>
          <w:sz w:val="22"/>
          <w:szCs w:val="22"/>
        </w:rPr>
        <w:t xml:space="preserve"> la </w:t>
      </w:r>
      <w:proofErr w:type="spellStart"/>
      <w:r>
        <w:rPr>
          <w:rStyle w:val="Ninguno"/>
          <w:rFonts w:ascii="Calibri" w:hAnsi="Calibri"/>
          <w:sz w:val="22"/>
          <w:szCs w:val="22"/>
        </w:rPr>
        <w:t>valoración</w:t>
      </w:r>
      <w:proofErr w:type="spellEnd"/>
      <w:r>
        <w:rPr>
          <w:rStyle w:val="Ninguno"/>
          <w:rFonts w:ascii="Calibri" w:hAnsi="Calibri"/>
          <w:sz w:val="22"/>
          <w:szCs w:val="22"/>
        </w:rPr>
        <w:t xml:space="preserve"> </w:t>
      </w:r>
    </w:p>
    <w:p w14:paraId="180D9BE3" w14:textId="7EC93C4E" w:rsidR="003F223C" w:rsidRPr="00D05A02" w:rsidRDefault="00B207FE" w:rsidP="0062002E">
      <w:pPr>
        <w:pStyle w:val="Gorputz-testua"/>
        <w:spacing w:after="80" w:line="288" w:lineRule="auto"/>
        <w:jc w:val="both"/>
        <w:rPr>
          <w:lang w:val="es-ES"/>
        </w:rPr>
      </w:pPr>
      <w:r w:rsidRPr="00D05A02">
        <w:rPr>
          <w:rStyle w:val="Ninguno"/>
          <w:rFonts w:ascii="Calibri" w:hAnsi="Calibri"/>
          <w:sz w:val="22"/>
          <w:szCs w:val="22"/>
          <w:lang w:val="es-ES"/>
        </w:rPr>
        <w:lastRenderedPageBreak/>
        <w:t>sep</w:t>
      </w:r>
      <w:r w:rsidR="00B66A92" w:rsidRPr="00D05A02">
        <w:rPr>
          <w:rStyle w:val="Ninguno"/>
          <w:rFonts w:ascii="Calibri" w:hAnsi="Calibri"/>
          <w:sz w:val="22"/>
          <w:szCs w:val="22"/>
          <w:lang w:val="es-ES"/>
        </w:rPr>
        <w:t>arada de los criterios discrecionales y los sujetos a evaluación mediante fórmula, congruencia, no hay "</w:t>
      </w:r>
      <w:proofErr w:type="spellStart"/>
      <w:r w:rsidR="00B66A92" w:rsidRPr="00D05A02">
        <w:rPr>
          <w:rStyle w:val="Ninguno"/>
          <w:rFonts w:ascii="Calibri" w:hAnsi="Calibri"/>
          <w:sz w:val="22"/>
          <w:szCs w:val="22"/>
          <w:lang w:val="es-ES"/>
        </w:rPr>
        <w:t>reformatio</w:t>
      </w:r>
      <w:proofErr w:type="spellEnd"/>
      <w:r w:rsidR="00B66A92" w:rsidRPr="00D05A02">
        <w:rPr>
          <w:rStyle w:val="Ninguno"/>
          <w:rFonts w:ascii="Calibri" w:hAnsi="Calibri"/>
          <w:sz w:val="22"/>
          <w:szCs w:val="22"/>
          <w:lang w:val="es-ES"/>
        </w:rPr>
        <w:t xml:space="preserve"> in </w:t>
      </w:r>
      <w:proofErr w:type="spellStart"/>
      <w:r w:rsidR="00B66A92" w:rsidRPr="00D05A02">
        <w:rPr>
          <w:rStyle w:val="Ninguno"/>
          <w:rFonts w:ascii="Calibri" w:hAnsi="Calibri"/>
          <w:sz w:val="22"/>
          <w:szCs w:val="22"/>
          <w:lang w:val="es-ES"/>
        </w:rPr>
        <w:t>peius</w:t>
      </w:r>
      <w:proofErr w:type="spellEnd"/>
      <w:r w:rsidR="00B66A92" w:rsidRPr="00D05A02">
        <w:rPr>
          <w:rStyle w:val="Ninguno"/>
          <w:rFonts w:ascii="Calibri" w:hAnsi="Calibri"/>
          <w:sz w:val="22"/>
          <w:szCs w:val="22"/>
          <w:lang w:val="es-ES"/>
        </w:rPr>
        <w:t>".</w:t>
      </w:r>
    </w:p>
    <w:p w14:paraId="5D222463" w14:textId="4A46AA27" w:rsidR="003F223C" w:rsidRPr="004F1741" w:rsidRDefault="00B66A92" w:rsidP="004F1741">
      <w:pPr>
        <w:pStyle w:val="Standard"/>
        <w:spacing w:after="198" w:line="288" w:lineRule="auto"/>
        <w:jc w:val="both"/>
        <w:outlineLvl w:val="0"/>
        <w:rPr>
          <w:rStyle w:val="Hyperlink0"/>
        </w:rPr>
      </w:pPr>
      <w:hyperlink r:id="rId30" w:history="1">
        <w:r w:rsidRPr="00DF2EAC">
          <w:rPr>
            <w:rStyle w:val="Hyperlink0"/>
          </w:rPr>
          <w:t>https://www.contratacion.euskadi.eus/contenidos/resolucion_oarc/26_2026/es_def/adjuntos/Resolucion26_2026.pdf</w:t>
        </w:r>
      </w:hyperlink>
    </w:p>
    <w:p w14:paraId="01DACA67" w14:textId="77777777" w:rsidR="003F223C" w:rsidRDefault="00B66A92" w:rsidP="0062002E">
      <w:pPr>
        <w:pStyle w:val="Gorputz-testua"/>
        <w:spacing w:after="80" w:line="288" w:lineRule="auto"/>
        <w:jc w:val="both"/>
      </w:pPr>
      <w:r>
        <w:rPr>
          <w:rStyle w:val="Ninguno"/>
          <w:rFonts w:ascii="Calibri" w:hAnsi="Calibri"/>
          <w:b/>
          <w:bCs/>
          <w:sz w:val="22"/>
          <w:szCs w:val="22"/>
        </w:rPr>
        <w:t xml:space="preserve">- </w:t>
      </w:r>
      <w:proofErr w:type="spellStart"/>
      <w:r>
        <w:rPr>
          <w:rStyle w:val="Ninguno"/>
          <w:rFonts w:ascii="Calibri" w:hAnsi="Calibri"/>
          <w:b/>
          <w:bCs/>
          <w:sz w:val="22"/>
          <w:szCs w:val="22"/>
        </w:rPr>
        <w:t>Resolución</w:t>
      </w:r>
      <w:proofErr w:type="spellEnd"/>
      <w:r>
        <w:rPr>
          <w:rStyle w:val="Ninguno"/>
          <w:rFonts w:ascii="Calibri" w:hAnsi="Calibri"/>
          <w:b/>
          <w:bCs/>
          <w:sz w:val="22"/>
          <w:szCs w:val="22"/>
        </w:rPr>
        <w:t xml:space="preserve"> 44/2026, de 24 de </w:t>
      </w:r>
      <w:proofErr w:type="spellStart"/>
      <w:r>
        <w:rPr>
          <w:rStyle w:val="Ninguno"/>
          <w:rFonts w:ascii="Calibri" w:hAnsi="Calibri"/>
          <w:b/>
          <w:bCs/>
          <w:sz w:val="22"/>
          <w:szCs w:val="22"/>
        </w:rPr>
        <w:t>febrero</w:t>
      </w:r>
      <w:proofErr w:type="spellEnd"/>
      <w:r>
        <w:rPr>
          <w:rStyle w:val="Ninguno"/>
          <w:rFonts w:ascii="Calibri" w:hAnsi="Calibri"/>
          <w:b/>
          <w:bCs/>
          <w:sz w:val="22"/>
          <w:szCs w:val="22"/>
        </w:rPr>
        <w:t xml:space="preserve"> de 2026. </w:t>
      </w:r>
      <w:proofErr w:type="spellStart"/>
      <w:r>
        <w:rPr>
          <w:rStyle w:val="Ninguno"/>
          <w:rFonts w:ascii="Calibri" w:hAnsi="Calibri"/>
          <w:sz w:val="22"/>
          <w:szCs w:val="22"/>
        </w:rPr>
        <w:t>Adjudicación</w:t>
      </w:r>
      <w:proofErr w:type="spellEnd"/>
      <w:r>
        <w:rPr>
          <w:rStyle w:val="Ninguno"/>
          <w:rFonts w:ascii="Calibri" w:hAnsi="Calibri"/>
          <w:sz w:val="22"/>
          <w:szCs w:val="22"/>
        </w:rPr>
        <w:t xml:space="preserve">. </w:t>
      </w:r>
      <w:proofErr w:type="spellStart"/>
      <w:r>
        <w:rPr>
          <w:rStyle w:val="Ninguno"/>
          <w:rFonts w:ascii="Calibri" w:hAnsi="Calibri"/>
          <w:sz w:val="22"/>
          <w:szCs w:val="22"/>
        </w:rPr>
        <w:t>Motivación</w:t>
      </w:r>
      <w:proofErr w:type="spellEnd"/>
      <w:r>
        <w:rPr>
          <w:rStyle w:val="Ninguno"/>
          <w:rFonts w:ascii="Calibri" w:hAnsi="Calibri"/>
          <w:sz w:val="22"/>
          <w:szCs w:val="22"/>
        </w:rPr>
        <w:t xml:space="preserve"> y </w:t>
      </w:r>
      <w:proofErr w:type="spellStart"/>
      <w:r>
        <w:rPr>
          <w:rStyle w:val="Ninguno"/>
          <w:rFonts w:ascii="Calibri" w:hAnsi="Calibri"/>
          <w:sz w:val="22"/>
          <w:szCs w:val="22"/>
        </w:rPr>
        <w:t>discrecionalidad</w:t>
      </w:r>
      <w:proofErr w:type="spellEnd"/>
      <w:r>
        <w:rPr>
          <w:rStyle w:val="Ninguno"/>
          <w:rFonts w:ascii="Calibri" w:hAnsi="Calibri"/>
          <w:sz w:val="22"/>
          <w:szCs w:val="22"/>
        </w:rPr>
        <w:t xml:space="preserve">: </w:t>
      </w:r>
      <w:proofErr w:type="spellStart"/>
      <w:r>
        <w:rPr>
          <w:rStyle w:val="Ninguno"/>
          <w:rFonts w:ascii="Calibri" w:hAnsi="Calibri"/>
          <w:sz w:val="22"/>
          <w:szCs w:val="22"/>
        </w:rPr>
        <w:t>doctrina</w:t>
      </w:r>
      <w:proofErr w:type="spellEnd"/>
      <w:r>
        <w:rPr>
          <w:rStyle w:val="Ninguno"/>
          <w:rFonts w:ascii="Calibri" w:hAnsi="Calibri"/>
          <w:sz w:val="22"/>
          <w:szCs w:val="22"/>
        </w:rPr>
        <w:t xml:space="preserve"> general; no hay </w:t>
      </w:r>
      <w:proofErr w:type="spellStart"/>
      <w:r>
        <w:rPr>
          <w:rStyle w:val="Ninguno"/>
          <w:rFonts w:ascii="Calibri" w:hAnsi="Calibri"/>
          <w:sz w:val="22"/>
          <w:szCs w:val="22"/>
        </w:rPr>
        <w:t>juicio</w:t>
      </w:r>
      <w:proofErr w:type="spellEnd"/>
      <w:r>
        <w:rPr>
          <w:rStyle w:val="Ninguno"/>
          <w:rFonts w:ascii="Calibri" w:hAnsi="Calibri"/>
          <w:sz w:val="22"/>
          <w:szCs w:val="22"/>
        </w:rPr>
        <w:t xml:space="preserve"> </w:t>
      </w:r>
      <w:proofErr w:type="spellStart"/>
      <w:r>
        <w:rPr>
          <w:rStyle w:val="Ninguno"/>
          <w:rFonts w:ascii="Calibri" w:hAnsi="Calibri"/>
          <w:sz w:val="22"/>
          <w:szCs w:val="22"/>
        </w:rPr>
        <w:t>valorativo</w:t>
      </w:r>
      <w:proofErr w:type="spellEnd"/>
      <w:r>
        <w:rPr>
          <w:rStyle w:val="Ninguno"/>
          <w:rFonts w:ascii="Calibri" w:hAnsi="Calibri"/>
          <w:sz w:val="22"/>
          <w:szCs w:val="22"/>
        </w:rPr>
        <w:t xml:space="preserve"> </w:t>
      </w:r>
      <w:proofErr w:type="spellStart"/>
      <w:r>
        <w:rPr>
          <w:rStyle w:val="Ninguno"/>
          <w:rFonts w:ascii="Calibri" w:hAnsi="Calibri"/>
          <w:sz w:val="22"/>
          <w:szCs w:val="22"/>
        </w:rPr>
        <w:t>en</w:t>
      </w:r>
      <w:proofErr w:type="spellEnd"/>
      <w:r>
        <w:rPr>
          <w:rStyle w:val="Ninguno"/>
          <w:rFonts w:ascii="Calibri" w:hAnsi="Calibri"/>
          <w:sz w:val="22"/>
          <w:szCs w:val="22"/>
        </w:rPr>
        <w:t xml:space="preserve"> la </w:t>
      </w:r>
      <w:proofErr w:type="spellStart"/>
      <w:r>
        <w:rPr>
          <w:rStyle w:val="Ninguno"/>
          <w:rFonts w:ascii="Calibri" w:hAnsi="Calibri"/>
          <w:sz w:val="22"/>
          <w:szCs w:val="22"/>
        </w:rPr>
        <w:t>evaluación</w:t>
      </w:r>
      <w:proofErr w:type="spellEnd"/>
      <w:r>
        <w:rPr>
          <w:rStyle w:val="Ninguno"/>
          <w:rFonts w:ascii="Calibri" w:hAnsi="Calibri"/>
          <w:sz w:val="22"/>
          <w:szCs w:val="22"/>
        </w:rPr>
        <w:t xml:space="preserve"> de </w:t>
      </w:r>
      <w:proofErr w:type="spellStart"/>
      <w:r>
        <w:rPr>
          <w:rStyle w:val="Ninguno"/>
          <w:rFonts w:ascii="Calibri" w:hAnsi="Calibri"/>
          <w:sz w:val="22"/>
          <w:szCs w:val="22"/>
        </w:rPr>
        <w:t>los</w:t>
      </w:r>
      <w:proofErr w:type="spellEnd"/>
      <w:r>
        <w:rPr>
          <w:rStyle w:val="Ninguno"/>
          <w:rFonts w:ascii="Calibri" w:hAnsi="Calibri"/>
          <w:sz w:val="22"/>
          <w:szCs w:val="22"/>
        </w:rPr>
        <w:t xml:space="preserve"> </w:t>
      </w:r>
      <w:proofErr w:type="spellStart"/>
      <w:r>
        <w:rPr>
          <w:rStyle w:val="Ninguno"/>
          <w:rFonts w:ascii="Calibri" w:hAnsi="Calibri"/>
          <w:sz w:val="22"/>
          <w:szCs w:val="22"/>
        </w:rPr>
        <w:t>criterios</w:t>
      </w:r>
      <w:proofErr w:type="spellEnd"/>
      <w:r>
        <w:rPr>
          <w:rStyle w:val="Ninguno"/>
          <w:rFonts w:ascii="Calibri" w:hAnsi="Calibri"/>
          <w:sz w:val="22"/>
          <w:szCs w:val="22"/>
        </w:rPr>
        <w:t xml:space="preserve"> de </w:t>
      </w:r>
      <w:proofErr w:type="spellStart"/>
      <w:r>
        <w:rPr>
          <w:rStyle w:val="Ninguno"/>
          <w:rFonts w:ascii="Calibri" w:hAnsi="Calibri"/>
          <w:sz w:val="22"/>
          <w:szCs w:val="22"/>
        </w:rPr>
        <w:t>adjudicación</w:t>
      </w:r>
      <w:proofErr w:type="spellEnd"/>
      <w:r>
        <w:rPr>
          <w:rStyle w:val="Ninguno"/>
          <w:rFonts w:ascii="Calibri" w:hAnsi="Calibri"/>
          <w:sz w:val="22"/>
          <w:szCs w:val="22"/>
        </w:rPr>
        <w:t xml:space="preserve">, no se </w:t>
      </w:r>
      <w:proofErr w:type="spellStart"/>
      <w:r>
        <w:rPr>
          <w:rStyle w:val="Ninguno"/>
          <w:rFonts w:ascii="Calibri" w:hAnsi="Calibri"/>
          <w:sz w:val="22"/>
          <w:szCs w:val="22"/>
        </w:rPr>
        <w:t>explican</w:t>
      </w:r>
      <w:proofErr w:type="spellEnd"/>
      <w:r>
        <w:rPr>
          <w:rStyle w:val="Ninguno"/>
          <w:rFonts w:ascii="Calibri" w:hAnsi="Calibri"/>
          <w:sz w:val="22"/>
          <w:szCs w:val="22"/>
        </w:rPr>
        <w:t xml:space="preserve"> las </w:t>
      </w:r>
      <w:proofErr w:type="spellStart"/>
      <w:r>
        <w:rPr>
          <w:rStyle w:val="Ninguno"/>
          <w:rFonts w:ascii="Calibri" w:hAnsi="Calibri"/>
          <w:sz w:val="22"/>
          <w:szCs w:val="22"/>
        </w:rPr>
        <w:t>puntuaciones</w:t>
      </w:r>
      <w:proofErr w:type="spellEnd"/>
      <w:r>
        <w:rPr>
          <w:rStyle w:val="Ninguno"/>
          <w:rFonts w:ascii="Calibri" w:hAnsi="Calibri"/>
          <w:sz w:val="22"/>
          <w:szCs w:val="22"/>
        </w:rPr>
        <w:t xml:space="preserve"> </w:t>
      </w:r>
      <w:proofErr w:type="spellStart"/>
      <w:r>
        <w:rPr>
          <w:rStyle w:val="Ninguno"/>
          <w:rFonts w:ascii="Calibri" w:hAnsi="Calibri"/>
          <w:sz w:val="22"/>
          <w:szCs w:val="22"/>
        </w:rPr>
        <w:t>otorgadas</w:t>
      </w:r>
      <w:proofErr w:type="spellEnd"/>
      <w:r>
        <w:rPr>
          <w:rStyle w:val="Ninguno"/>
          <w:rFonts w:ascii="Calibri" w:hAnsi="Calibri"/>
          <w:sz w:val="22"/>
          <w:szCs w:val="22"/>
        </w:rPr>
        <w:t xml:space="preserve">, no </w:t>
      </w:r>
      <w:proofErr w:type="spellStart"/>
      <w:r>
        <w:rPr>
          <w:rStyle w:val="Ninguno"/>
          <w:rFonts w:ascii="Calibri" w:hAnsi="Calibri"/>
          <w:sz w:val="22"/>
          <w:szCs w:val="22"/>
        </w:rPr>
        <w:t>cabe</w:t>
      </w:r>
      <w:proofErr w:type="spellEnd"/>
      <w:r>
        <w:rPr>
          <w:rStyle w:val="Ninguno"/>
          <w:rFonts w:ascii="Calibri" w:hAnsi="Calibri"/>
          <w:sz w:val="22"/>
          <w:szCs w:val="22"/>
        </w:rPr>
        <w:t xml:space="preserve"> la </w:t>
      </w:r>
      <w:proofErr w:type="spellStart"/>
      <w:r>
        <w:rPr>
          <w:rStyle w:val="Ninguno"/>
          <w:rFonts w:ascii="Calibri" w:hAnsi="Calibri"/>
          <w:sz w:val="22"/>
          <w:szCs w:val="22"/>
        </w:rPr>
        <w:t>motivación</w:t>
      </w:r>
      <w:proofErr w:type="spellEnd"/>
      <w:r>
        <w:rPr>
          <w:rStyle w:val="Ninguno"/>
          <w:rFonts w:ascii="Calibri" w:hAnsi="Calibri"/>
          <w:sz w:val="22"/>
          <w:szCs w:val="22"/>
        </w:rPr>
        <w:t xml:space="preserve"> </w:t>
      </w:r>
      <w:proofErr w:type="spellStart"/>
      <w:r>
        <w:rPr>
          <w:rStyle w:val="Ninguno"/>
          <w:rFonts w:ascii="Calibri" w:hAnsi="Calibri"/>
          <w:sz w:val="22"/>
          <w:szCs w:val="22"/>
        </w:rPr>
        <w:t>extemporánea</w:t>
      </w:r>
      <w:proofErr w:type="spellEnd"/>
      <w:r>
        <w:rPr>
          <w:rStyle w:val="Ninguno"/>
          <w:rFonts w:ascii="Calibri" w:hAnsi="Calibri"/>
          <w:sz w:val="22"/>
          <w:szCs w:val="22"/>
        </w:rPr>
        <w:t xml:space="preserve"> </w:t>
      </w:r>
      <w:proofErr w:type="spellStart"/>
      <w:r>
        <w:rPr>
          <w:rStyle w:val="Ninguno"/>
          <w:rFonts w:ascii="Calibri" w:hAnsi="Calibri"/>
          <w:sz w:val="22"/>
          <w:szCs w:val="22"/>
        </w:rPr>
        <w:t>porque</w:t>
      </w:r>
      <w:proofErr w:type="spellEnd"/>
      <w:r>
        <w:rPr>
          <w:rStyle w:val="Ninguno"/>
          <w:rFonts w:ascii="Calibri" w:hAnsi="Calibri"/>
          <w:sz w:val="22"/>
          <w:szCs w:val="22"/>
        </w:rPr>
        <w:t xml:space="preserve"> </w:t>
      </w:r>
      <w:proofErr w:type="spellStart"/>
      <w:r>
        <w:rPr>
          <w:rStyle w:val="Ninguno"/>
          <w:rFonts w:ascii="Calibri" w:hAnsi="Calibri"/>
          <w:sz w:val="22"/>
          <w:szCs w:val="22"/>
        </w:rPr>
        <w:t>el</w:t>
      </w:r>
      <w:proofErr w:type="spellEnd"/>
      <w:r>
        <w:rPr>
          <w:rStyle w:val="Ninguno"/>
          <w:rFonts w:ascii="Calibri" w:hAnsi="Calibri"/>
          <w:sz w:val="22"/>
          <w:szCs w:val="22"/>
        </w:rPr>
        <w:t xml:space="preserve"> </w:t>
      </w:r>
      <w:proofErr w:type="spellStart"/>
      <w:r>
        <w:rPr>
          <w:rStyle w:val="Ninguno"/>
          <w:rFonts w:ascii="Calibri" w:hAnsi="Calibri"/>
          <w:sz w:val="22"/>
          <w:szCs w:val="22"/>
        </w:rPr>
        <w:t>recurrente</w:t>
      </w:r>
      <w:proofErr w:type="spellEnd"/>
      <w:r>
        <w:rPr>
          <w:rStyle w:val="Ninguno"/>
          <w:rFonts w:ascii="Calibri" w:hAnsi="Calibri"/>
          <w:sz w:val="22"/>
          <w:szCs w:val="22"/>
        </w:rPr>
        <w:t xml:space="preserve"> no </w:t>
      </w:r>
      <w:proofErr w:type="spellStart"/>
      <w:r>
        <w:rPr>
          <w:rStyle w:val="Ninguno"/>
          <w:rFonts w:ascii="Calibri" w:hAnsi="Calibri"/>
          <w:sz w:val="22"/>
          <w:szCs w:val="22"/>
        </w:rPr>
        <w:t>pudo</w:t>
      </w:r>
      <w:proofErr w:type="spellEnd"/>
      <w:r>
        <w:rPr>
          <w:rStyle w:val="Ninguno"/>
          <w:rFonts w:ascii="Calibri" w:hAnsi="Calibri"/>
          <w:sz w:val="22"/>
          <w:szCs w:val="22"/>
        </w:rPr>
        <w:t xml:space="preserve"> </w:t>
      </w:r>
      <w:proofErr w:type="spellStart"/>
      <w:r>
        <w:rPr>
          <w:rStyle w:val="Ninguno"/>
          <w:rFonts w:ascii="Calibri" w:hAnsi="Calibri"/>
          <w:sz w:val="22"/>
          <w:szCs w:val="22"/>
        </w:rPr>
        <w:t>basar</w:t>
      </w:r>
      <w:proofErr w:type="spellEnd"/>
      <w:r>
        <w:rPr>
          <w:rStyle w:val="Ninguno"/>
          <w:rFonts w:ascii="Calibri" w:hAnsi="Calibri"/>
          <w:sz w:val="22"/>
          <w:szCs w:val="22"/>
        </w:rPr>
        <w:t xml:space="preserve"> </w:t>
      </w:r>
      <w:proofErr w:type="spellStart"/>
      <w:r>
        <w:rPr>
          <w:rStyle w:val="Ninguno"/>
          <w:rFonts w:ascii="Calibri" w:hAnsi="Calibri"/>
          <w:sz w:val="22"/>
          <w:szCs w:val="22"/>
        </w:rPr>
        <w:t>en</w:t>
      </w:r>
      <w:proofErr w:type="spellEnd"/>
      <w:r>
        <w:rPr>
          <w:rStyle w:val="Ninguno"/>
          <w:rFonts w:ascii="Calibri" w:hAnsi="Calibri"/>
          <w:sz w:val="22"/>
          <w:szCs w:val="22"/>
        </w:rPr>
        <w:t xml:space="preserve"> </w:t>
      </w:r>
      <w:proofErr w:type="spellStart"/>
      <w:r>
        <w:rPr>
          <w:rStyle w:val="Ninguno"/>
          <w:rFonts w:ascii="Calibri" w:hAnsi="Calibri"/>
          <w:sz w:val="22"/>
          <w:szCs w:val="22"/>
        </w:rPr>
        <w:t>ella</w:t>
      </w:r>
      <w:proofErr w:type="spellEnd"/>
      <w:r>
        <w:rPr>
          <w:rStyle w:val="Ninguno"/>
          <w:rFonts w:ascii="Calibri" w:hAnsi="Calibri"/>
          <w:sz w:val="22"/>
          <w:szCs w:val="22"/>
        </w:rPr>
        <w:t xml:space="preserve"> </w:t>
      </w:r>
      <w:proofErr w:type="spellStart"/>
      <w:r>
        <w:rPr>
          <w:rStyle w:val="Ninguno"/>
          <w:rFonts w:ascii="Calibri" w:hAnsi="Calibri"/>
          <w:sz w:val="22"/>
          <w:szCs w:val="22"/>
        </w:rPr>
        <w:t>su</w:t>
      </w:r>
      <w:proofErr w:type="spellEnd"/>
      <w:r>
        <w:rPr>
          <w:rStyle w:val="Ninguno"/>
          <w:rFonts w:ascii="Calibri" w:hAnsi="Calibri"/>
          <w:sz w:val="22"/>
          <w:szCs w:val="22"/>
        </w:rPr>
        <w:t xml:space="preserve"> </w:t>
      </w:r>
      <w:proofErr w:type="spellStart"/>
      <w:r>
        <w:rPr>
          <w:rStyle w:val="Ninguno"/>
          <w:rFonts w:ascii="Calibri" w:hAnsi="Calibri"/>
          <w:sz w:val="22"/>
          <w:szCs w:val="22"/>
        </w:rPr>
        <w:t>impugnación</w:t>
      </w:r>
      <w:proofErr w:type="spellEnd"/>
      <w:r>
        <w:rPr>
          <w:rStyle w:val="Ninguno"/>
          <w:rFonts w:ascii="Calibri" w:hAnsi="Calibri"/>
          <w:sz w:val="22"/>
          <w:szCs w:val="22"/>
        </w:rPr>
        <w:t xml:space="preserve">, </w:t>
      </w:r>
      <w:proofErr w:type="spellStart"/>
      <w:r>
        <w:rPr>
          <w:rStyle w:val="Ninguno"/>
          <w:rFonts w:ascii="Calibri" w:hAnsi="Calibri"/>
          <w:sz w:val="22"/>
          <w:szCs w:val="22"/>
        </w:rPr>
        <w:t>aplicación</w:t>
      </w:r>
      <w:proofErr w:type="spellEnd"/>
      <w:r>
        <w:rPr>
          <w:rStyle w:val="Ninguno"/>
          <w:rFonts w:ascii="Calibri" w:hAnsi="Calibri"/>
          <w:sz w:val="22"/>
          <w:szCs w:val="22"/>
        </w:rPr>
        <w:t xml:space="preserve"> </w:t>
      </w:r>
      <w:proofErr w:type="spellStart"/>
      <w:r>
        <w:rPr>
          <w:rStyle w:val="Ninguno"/>
          <w:rFonts w:ascii="Calibri" w:hAnsi="Calibri"/>
          <w:sz w:val="22"/>
          <w:szCs w:val="22"/>
        </w:rPr>
        <w:t>arbitraria</w:t>
      </w:r>
      <w:proofErr w:type="spellEnd"/>
      <w:r>
        <w:rPr>
          <w:rStyle w:val="Ninguno"/>
          <w:rFonts w:ascii="Calibri" w:hAnsi="Calibri"/>
          <w:sz w:val="22"/>
          <w:szCs w:val="22"/>
        </w:rPr>
        <w:t xml:space="preserve"> de </w:t>
      </w:r>
      <w:proofErr w:type="spellStart"/>
      <w:r>
        <w:rPr>
          <w:rStyle w:val="Ninguno"/>
          <w:rFonts w:ascii="Calibri" w:hAnsi="Calibri"/>
          <w:sz w:val="22"/>
          <w:szCs w:val="22"/>
        </w:rPr>
        <w:t>los</w:t>
      </w:r>
      <w:proofErr w:type="spellEnd"/>
      <w:r>
        <w:rPr>
          <w:rStyle w:val="Ninguno"/>
          <w:rFonts w:ascii="Calibri" w:hAnsi="Calibri"/>
          <w:sz w:val="22"/>
          <w:szCs w:val="22"/>
        </w:rPr>
        <w:t xml:space="preserve"> </w:t>
      </w:r>
      <w:proofErr w:type="spellStart"/>
      <w:r>
        <w:rPr>
          <w:rStyle w:val="Ninguno"/>
          <w:rFonts w:ascii="Calibri" w:hAnsi="Calibri"/>
          <w:sz w:val="22"/>
          <w:szCs w:val="22"/>
        </w:rPr>
        <w:t>subcriterios</w:t>
      </w:r>
      <w:proofErr w:type="spellEnd"/>
      <w:r>
        <w:rPr>
          <w:rStyle w:val="Ninguno"/>
          <w:rFonts w:ascii="Calibri" w:hAnsi="Calibri"/>
          <w:sz w:val="22"/>
          <w:szCs w:val="22"/>
        </w:rPr>
        <w:t xml:space="preserve"> de </w:t>
      </w:r>
      <w:proofErr w:type="spellStart"/>
      <w:r>
        <w:rPr>
          <w:rStyle w:val="Ninguno"/>
          <w:rFonts w:ascii="Calibri" w:hAnsi="Calibri"/>
          <w:sz w:val="22"/>
          <w:szCs w:val="22"/>
        </w:rPr>
        <w:t>adjudicación</w:t>
      </w:r>
      <w:proofErr w:type="spellEnd"/>
      <w:r>
        <w:rPr>
          <w:rStyle w:val="Ninguno"/>
          <w:rFonts w:ascii="Calibri" w:hAnsi="Calibri"/>
          <w:sz w:val="22"/>
          <w:szCs w:val="22"/>
        </w:rPr>
        <w:t xml:space="preserve"> </w:t>
      </w:r>
      <w:proofErr w:type="spellStart"/>
      <w:r>
        <w:rPr>
          <w:rStyle w:val="Ninguno"/>
          <w:rFonts w:ascii="Calibri" w:hAnsi="Calibri"/>
          <w:sz w:val="22"/>
          <w:szCs w:val="22"/>
        </w:rPr>
        <w:t>contraria</w:t>
      </w:r>
      <w:proofErr w:type="spellEnd"/>
      <w:r>
        <w:rPr>
          <w:rStyle w:val="Ninguno"/>
          <w:rFonts w:ascii="Calibri" w:hAnsi="Calibri"/>
          <w:sz w:val="22"/>
          <w:szCs w:val="22"/>
        </w:rPr>
        <w:t xml:space="preserve"> a </w:t>
      </w:r>
      <w:proofErr w:type="spellStart"/>
      <w:r>
        <w:rPr>
          <w:rStyle w:val="Ninguno"/>
          <w:rFonts w:ascii="Calibri" w:hAnsi="Calibri"/>
          <w:sz w:val="22"/>
          <w:szCs w:val="22"/>
        </w:rPr>
        <w:t>los</w:t>
      </w:r>
      <w:proofErr w:type="spellEnd"/>
      <w:r>
        <w:rPr>
          <w:rStyle w:val="Ninguno"/>
          <w:rFonts w:ascii="Calibri" w:hAnsi="Calibri"/>
          <w:sz w:val="22"/>
          <w:szCs w:val="22"/>
        </w:rPr>
        <w:t xml:space="preserve"> </w:t>
      </w:r>
      <w:proofErr w:type="spellStart"/>
      <w:r>
        <w:rPr>
          <w:rStyle w:val="Ninguno"/>
          <w:rFonts w:ascii="Calibri" w:hAnsi="Calibri"/>
          <w:sz w:val="22"/>
          <w:szCs w:val="22"/>
        </w:rPr>
        <w:t>pliegos</w:t>
      </w:r>
      <w:proofErr w:type="spellEnd"/>
      <w:r>
        <w:rPr>
          <w:rStyle w:val="Ninguno"/>
          <w:rFonts w:ascii="Calibri" w:hAnsi="Calibri"/>
          <w:sz w:val="22"/>
          <w:szCs w:val="22"/>
        </w:rPr>
        <w:t xml:space="preserve">, </w:t>
      </w:r>
      <w:proofErr w:type="spellStart"/>
      <w:r>
        <w:rPr>
          <w:rStyle w:val="Ninguno"/>
          <w:rFonts w:ascii="Calibri" w:hAnsi="Calibri"/>
          <w:sz w:val="22"/>
          <w:szCs w:val="22"/>
        </w:rPr>
        <w:t>los</w:t>
      </w:r>
      <w:proofErr w:type="spellEnd"/>
      <w:r>
        <w:rPr>
          <w:rStyle w:val="Ninguno"/>
          <w:rFonts w:ascii="Calibri" w:hAnsi="Calibri"/>
          <w:sz w:val="22"/>
          <w:szCs w:val="22"/>
        </w:rPr>
        <w:t xml:space="preserve"> </w:t>
      </w:r>
      <w:proofErr w:type="spellStart"/>
      <w:r>
        <w:rPr>
          <w:rStyle w:val="Ninguno"/>
          <w:rFonts w:ascii="Calibri" w:hAnsi="Calibri"/>
          <w:sz w:val="22"/>
          <w:szCs w:val="22"/>
        </w:rPr>
        <w:t>subcriterios</w:t>
      </w:r>
      <w:proofErr w:type="spellEnd"/>
      <w:r>
        <w:rPr>
          <w:rStyle w:val="Ninguno"/>
          <w:rFonts w:ascii="Calibri" w:hAnsi="Calibri"/>
          <w:sz w:val="22"/>
          <w:szCs w:val="22"/>
        </w:rPr>
        <w:t xml:space="preserve"> de </w:t>
      </w:r>
      <w:proofErr w:type="spellStart"/>
      <w:r>
        <w:rPr>
          <w:rStyle w:val="Ninguno"/>
          <w:rFonts w:ascii="Calibri" w:hAnsi="Calibri"/>
          <w:sz w:val="22"/>
          <w:szCs w:val="22"/>
        </w:rPr>
        <w:t>adjudicación</w:t>
      </w:r>
      <w:proofErr w:type="spellEnd"/>
      <w:r>
        <w:rPr>
          <w:rStyle w:val="Ninguno"/>
          <w:rFonts w:ascii="Calibri" w:hAnsi="Calibri"/>
          <w:sz w:val="22"/>
          <w:szCs w:val="22"/>
        </w:rPr>
        <w:t xml:space="preserve"> con </w:t>
      </w:r>
      <w:proofErr w:type="spellStart"/>
      <w:r>
        <w:rPr>
          <w:rStyle w:val="Ninguno"/>
          <w:rFonts w:ascii="Calibri" w:hAnsi="Calibri"/>
          <w:sz w:val="22"/>
          <w:szCs w:val="22"/>
        </w:rPr>
        <w:t>puntuación</w:t>
      </w:r>
      <w:proofErr w:type="spellEnd"/>
      <w:r>
        <w:rPr>
          <w:rStyle w:val="Ninguno"/>
          <w:rFonts w:ascii="Calibri" w:hAnsi="Calibri"/>
          <w:sz w:val="22"/>
          <w:szCs w:val="22"/>
        </w:rPr>
        <w:t xml:space="preserve"> </w:t>
      </w:r>
      <w:proofErr w:type="spellStart"/>
      <w:r>
        <w:rPr>
          <w:rStyle w:val="Ninguno"/>
          <w:rFonts w:ascii="Calibri" w:hAnsi="Calibri"/>
          <w:sz w:val="22"/>
          <w:szCs w:val="22"/>
        </w:rPr>
        <w:t>específica</w:t>
      </w:r>
      <w:proofErr w:type="spellEnd"/>
      <w:r>
        <w:rPr>
          <w:rStyle w:val="Ninguno"/>
          <w:rFonts w:ascii="Calibri" w:hAnsi="Calibri"/>
          <w:sz w:val="22"/>
          <w:szCs w:val="22"/>
        </w:rPr>
        <w:t xml:space="preserve"> es </w:t>
      </w:r>
      <w:proofErr w:type="spellStart"/>
      <w:r>
        <w:rPr>
          <w:rStyle w:val="Ninguno"/>
          <w:rFonts w:ascii="Calibri" w:hAnsi="Calibri"/>
          <w:sz w:val="22"/>
          <w:szCs w:val="22"/>
        </w:rPr>
        <w:t>parte</w:t>
      </w:r>
      <w:proofErr w:type="spellEnd"/>
      <w:r>
        <w:rPr>
          <w:rStyle w:val="Ninguno"/>
          <w:rFonts w:ascii="Calibri" w:hAnsi="Calibri"/>
          <w:sz w:val="22"/>
          <w:szCs w:val="22"/>
        </w:rPr>
        <w:t xml:space="preserve"> del </w:t>
      </w:r>
      <w:proofErr w:type="spellStart"/>
      <w:r>
        <w:rPr>
          <w:rStyle w:val="Ninguno"/>
          <w:rFonts w:ascii="Calibri" w:hAnsi="Calibri"/>
          <w:sz w:val="22"/>
          <w:szCs w:val="22"/>
        </w:rPr>
        <w:t>fondo</w:t>
      </w:r>
      <w:proofErr w:type="spellEnd"/>
      <w:r>
        <w:rPr>
          <w:rStyle w:val="Ninguno"/>
          <w:rFonts w:ascii="Calibri" w:hAnsi="Calibri"/>
          <w:sz w:val="22"/>
          <w:szCs w:val="22"/>
        </w:rPr>
        <w:t xml:space="preserve"> </w:t>
      </w:r>
      <w:proofErr w:type="spellStart"/>
      <w:r>
        <w:rPr>
          <w:rStyle w:val="Ninguno"/>
          <w:rFonts w:ascii="Calibri" w:hAnsi="Calibri"/>
          <w:sz w:val="22"/>
          <w:szCs w:val="22"/>
        </w:rPr>
        <w:t>reglado</w:t>
      </w:r>
      <w:proofErr w:type="spellEnd"/>
      <w:r>
        <w:rPr>
          <w:rStyle w:val="Ninguno"/>
          <w:rFonts w:ascii="Calibri" w:hAnsi="Calibri"/>
          <w:sz w:val="22"/>
          <w:szCs w:val="22"/>
        </w:rPr>
        <w:t xml:space="preserve"> del </w:t>
      </w:r>
      <w:proofErr w:type="spellStart"/>
      <w:r>
        <w:rPr>
          <w:rStyle w:val="Ninguno"/>
          <w:rFonts w:ascii="Calibri" w:hAnsi="Calibri"/>
          <w:sz w:val="22"/>
          <w:szCs w:val="22"/>
        </w:rPr>
        <w:t>criterio</w:t>
      </w:r>
      <w:proofErr w:type="spellEnd"/>
      <w:r>
        <w:rPr>
          <w:rStyle w:val="Ninguno"/>
          <w:rFonts w:ascii="Calibri" w:hAnsi="Calibri"/>
          <w:sz w:val="22"/>
          <w:szCs w:val="22"/>
        </w:rPr>
        <w:t xml:space="preserve"> de </w:t>
      </w:r>
      <w:proofErr w:type="spellStart"/>
      <w:r>
        <w:rPr>
          <w:rStyle w:val="Ninguno"/>
          <w:rFonts w:ascii="Calibri" w:hAnsi="Calibri"/>
          <w:sz w:val="22"/>
          <w:szCs w:val="22"/>
        </w:rPr>
        <w:t>adjudicación</w:t>
      </w:r>
      <w:proofErr w:type="spellEnd"/>
      <w:r>
        <w:rPr>
          <w:rStyle w:val="Ninguno"/>
          <w:rFonts w:ascii="Calibri" w:hAnsi="Calibri"/>
          <w:sz w:val="22"/>
          <w:szCs w:val="22"/>
        </w:rPr>
        <w:t xml:space="preserve">. </w:t>
      </w:r>
      <w:proofErr w:type="spellStart"/>
      <w:r>
        <w:rPr>
          <w:rStyle w:val="Ninguno"/>
          <w:rFonts w:ascii="Calibri" w:hAnsi="Calibri"/>
          <w:sz w:val="22"/>
          <w:szCs w:val="22"/>
        </w:rPr>
        <w:t>Efectos</w:t>
      </w:r>
      <w:proofErr w:type="spellEnd"/>
      <w:r>
        <w:rPr>
          <w:rStyle w:val="Ninguno"/>
          <w:rFonts w:ascii="Calibri" w:hAnsi="Calibri"/>
          <w:sz w:val="22"/>
          <w:szCs w:val="22"/>
        </w:rPr>
        <w:t xml:space="preserve"> de la </w:t>
      </w:r>
      <w:proofErr w:type="spellStart"/>
      <w:r>
        <w:rPr>
          <w:rStyle w:val="Ninguno"/>
          <w:rFonts w:ascii="Calibri" w:hAnsi="Calibri"/>
          <w:sz w:val="22"/>
          <w:szCs w:val="22"/>
        </w:rPr>
        <w:t>Resolución</w:t>
      </w:r>
      <w:proofErr w:type="spellEnd"/>
      <w:r>
        <w:rPr>
          <w:rStyle w:val="Ninguno"/>
          <w:rFonts w:ascii="Calibri" w:hAnsi="Calibri"/>
          <w:sz w:val="22"/>
          <w:szCs w:val="22"/>
        </w:rPr>
        <w:t xml:space="preserve">: no </w:t>
      </w:r>
      <w:proofErr w:type="spellStart"/>
      <w:r>
        <w:rPr>
          <w:rStyle w:val="Ninguno"/>
          <w:rFonts w:ascii="Calibri" w:hAnsi="Calibri"/>
          <w:sz w:val="22"/>
          <w:szCs w:val="22"/>
        </w:rPr>
        <w:t>cabe</w:t>
      </w:r>
      <w:proofErr w:type="spellEnd"/>
      <w:r>
        <w:rPr>
          <w:rStyle w:val="Ninguno"/>
          <w:rFonts w:ascii="Calibri" w:hAnsi="Calibri"/>
          <w:sz w:val="22"/>
          <w:szCs w:val="22"/>
        </w:rPr>
        <w:t xml:space="preserve"> la </w:t>
      </w:r>
      <w:proofErr w:type="spellStart"/>
      <w:r>
        <w:rPr>
          <w:rStyle w:val="Ninguno"/>
          <w:rFonts w:ascii="Calibri" w:hAnsi="Calibri"/>
          <w:sz w:val="22"/>
          <w:szCs w:val="22"/>
        </w:rPr>
        <w:t>retroacción</w:t>
      </w:r>
      <w:proofErr w:type="spellEnd"/>
      <w:r>
        <w:rPr>
          <w:rStyle w:val="Ninguno"/>
          <w:rFonts w:ascii="Calibri" w:hAnsi="Calibri"/>
          <w:sz w:val="22"/>
          <w:szCs w:val="22"/>
        </w:rPr>
        <w:t xml:space="preserve"> de </w:t>
      </w:r>
      <w:proofErr w:type="spellStart"/>
      <w:r>
        <w:rPr>
          <w:rStyle w:val="Ninguno"/>
          <w:rFonts w:ascii="Calibri" w:hAnsi="Calibri"/>
          <w:sz w:val="22"/>
          <w:szCs w:val="22"/>
        </w:rPr>
        <w:t>actuaciones</w:t>
      </w:r>
      <w:proofErr w:type="spellEnd"/>
      <w:r>
        <w:rPr>
          <w:rStyle w:val="Ninguno"/>
          <w:rFonts w:ascii="Calibri" w:hAnsi="Calibri"/>
          <w:sz w:val="22"/>
          <w:szCs w:val="22"/>
        </w:rPr>
        <w:t xml:space="preserve"> </w:t>
      </w:r>
      <w:proofErr w:type="spellStart"/>
      <w:r>
        <w:rPr>
          <w:rStyle w:val="Ninguno"/>
          <w:rFonts w:ascii="Calibri" w:hAnsi="Calibri"/>
          <w:sz w:val="22"/>
          <w:szCs w:val="22"/>
        </w:rPr>
        <w:t>porque</w:t>
      </w:r>
      <w:proofErr w:type="spellEnd"/>
      <w:r>
        <w:rPr>
          <w:rStyle w:val="Ninguno"/>
          <w:rFonts w:ascii="Calibri" w:hAnsi="Calibri"/>
          <w:sz w:val="22"/>
          <w:szCs w:val="22"/>
        </w:rPr>
        <w:t xml:space="preserve"> </w:t>
      </w:r>
      <w:proofErr w:type="spellStart"/>
      <w:r>
        <w:rPr>
          <w:rStyle w:val="Ninguno"/>
          <w:rFonts w:ascii="Calibri" w:hAnsi="Calibri"/>
          <w:sz w:val="22"/>
          <w:szCs w:val="22"/>
        </w:rPr>
        <w:t>ya</w:t>
      </w:r>
      <w:proofErr w:type="spellEnd"/>
      <w:r>
        <w:rPr>
          <w:rStyle w:val="Ninguno"/>
          <w:rFonts w:ascii="Calibri" w:hAnsi="Calibri"/>
          <w:sz w:val="22"/>
          <w:szCs w:val="22"/>
        </w:rPr>
        <w:t xml:space="preserve"> no es </w:t>
      </w:r>
      <w:proofErr w:type="spellStart"/>
      <w:r>
        <w:rPr>
          <w:rStyle w:val="Ninguno"/>
          <w:rFonts w:ascii="Calibri" w:hAnsi="Calibri"/>
          <w:sz w:val="22"/>
          <w:szCs w:val="22"/>
        </w:rPr>
        <w:t>posible</w:t>
      </w:r>
      <w:proofErr w:type="spellEnd"/>
      <w:r>
        <w:rPr>
          <w:rStyle w:val="Ninguno"/>
          <w:rFonts w:ascii="Calibri" w:hAnsi="Calibri"/>
          <w:sz w:val="22"/>
          <w:szCs w:val="22"/>
        </w:rPr>
        <w:t xml:space="preserve"> la </w:t>
      </w:r>
      <w:proofErr w:type="spellStart"/>
      <w:r>
        <w:rPr>
          <w:rStyle w:val="Ninguno"/>
          <w:rFonts w:ascii="Calibri" w:hAnsi="Calibri"/>
          <w:sz w:val="22"/>
          <w:szCs w:val="22"/>
        </w:rPr>
        <w:t>valoración</w:t>
      </w:r>
      <w:proofErr w:type="spellEnd"/>
      <w:r>
        <w:rPr>
          <w:rStyle w:val="Ninguno"/>
          <w:rFonts w:ascii="Calibri" w:hAnsi="Calibri"/>
          <w:sz w:val="22"/>
          <w:szCs w:val="22"/>
        </w:rPr>
        <w:t xml:space="preserve"> </w:t>
      </w:r>
      <w:proofErr w:type="spellStart"/>
      <w:r>
        <w:rPr>
          <w:rStyle w:val="Ninguno"/>
          <w:rFonts w:ascii="Calibri" w:hAnsi="Calibri"/>
          <w:sz w:val="22"/>
          <w:szCs w:val="22"/>
        </w:rPr>
        <w:t>separada</w:t>
      </w:r>
      <w:proofErr w:type="spellEnd"/>
      <w:r>
        <w:rPr>
          <w:rStyle w:val="Ninguno"/>
          <w:rFonts w:ascii="Calibri" w:hAnsi="Calibri"/>
          <w:sz w:val="22"/>
          <w:szCs w:val="22"/>
        </w:rPr>
        <w:t xml:space="preserve"> de </w:t>
      </w:r>
      <w:proofErr w:type="spellStart"/>
      <w:r>
        <w:rPr>
          <w:rStyle w:val="Ninguno"/>
          <w:rFonts w:ascii="Calibri" w:hAnsi="Calibri"/>
          <w:sz w:val="22"/>
          <w:szCs w:val="22"/>
        </w:rPr>
        <w:t>los</w:t>
      </w:r>
      <w:proofErr w:type="spellEnd"/>
      <w:r>
        <w:rPr>
          <w:rStyle w:val="Ninguno"/>
          <w:rFonts w:ascii="Calibri" w:hAnsi="Calibri"/>
          <w:sz w:val="22"/>
          <w:szCs w:val="22"/>
        </w:rPr>
        <w:t xml:space="preserve"> </w:t>
      </w:r>
      <w:proofErr w:type="spellStart"/>
      <w:r>
        <w:rPr>
          <w:rStyle w:val="Ninguno"/>
          <w:rFonts w:ascii="Calibri" w:hAnsi="Calibri"/>
          <w:sz w:val="22"/>
          <w:szCs w:val="22"/>
        </w:rPr>
        <w:t>criterios</w:t>
      </w:r>
      <w:proofErr w:type="spellEnd"/>
      <w:r>
        <w:rPr>
          <w:rStyle w:val="Ninguno"/>
          <w:rFonts w:ascii="Calibri" w:hAnsi="Calibri"/>
          <w:sz w:val="22"/>
          <w:szCs w:val="22"/>
        </w:rPr>
        <w:t xml:space="preserve"> de </w:t>
      </w:r>
      <w:proofErr w:type="spellStart"/>
      <w:r>
        <w:rPr>
          <w:rStyle w:val="Ninguno"/>
          <w:rFonts w:ascii="Calibri" w:hAnsi="Calibri"/>
          <w:sz w:val="22"/>
          <w:szCs w:val="22"/>
        </w:rPr>
        <w:t>adjudicación</w:t>
      </w:r>
      <w:proofErr w:type="spellEnd"/>
      <w:r>
        <w:rPr>
          <w:rStyle w:val="Ninguno"/>
          <w:rFonts w:ascii="Calibri" w:hAnsi="Calibri"/>
          <w:sz w:val="22"/>
          <w:szCs w:val="22"/>
        </w:rPr>
        <w:t xml:space="preserve"> </w:t>
      </w:r>
      <w:proofErr w:type="spellStart"/>
      <w:r>
        <w:rPr>
          <w:rStyle w:val="Ninguno"/>
          <w:rFonts w:ascii="Calibri" w:hAnsi="Calibri"/>
          <w:sz w:val="22"/>
          <w:szCs w:val="22"/>
        </w:rPr>
        <w:t>discrecionales</w:t>
      </w:r>
      <w:proofErr w:type="spellEnd"/>
      <w:r>
        <w:rPr>
          <w:rStyle w:val="Ninguno"/>
          <w:rFonts w:ascii="Calibri" w:hAnsi="Calibri"/>
          <w:sz w:val="22"/>
          <w:szCs w:val="22"/>
        </w:rPr>
        <w:t xml:space="preserve"> y </w:t>
      </w:r>
      <w:proofErr w:type="spellStart"/>
      <w:r>
        <w:rPr>
          <w:rStyle w:val="Ninguno"/>
          <w:rFonts w:ascii="Calibri" w:hAnsi="Calibri"/>
          <w:sz w:val="22"/>
          <w:szCs w:val="22"/>
        </w:rPr>
        <w:t>automáticos</w:t>
      </w:r>
      <w:proofErr w:type="spellEnd"/>
      <w:r>
        <w:rPr>
          <w:rStyle w:val="Ninguno"/>
          <w:rFonts w:ascii="Calibri" w:hAnsi="Calibri"/>
          <w:sz w:val="22"/>
          <w:szCs w:val="22"/>
        </w:rPr>
        <w:t xml:space="preserve">, principio de </w:t>
      </w:r>
      <w:proofErr w:type="spellStart"/>
      <w:r>
        <w:rPr>
          <w:rStyle w:val="Ninguno"/>
          <w:rFonts w:ascii="Calibri" w:hAnsi="Calibri"/>
          <w:sz w:val="22"/>
          <w:szCs w:val="22"/>
        </w:rPr>
        <w:t>congruencia</w:t>
      </w:r>
      <w:proofErr w:type="spellEnd"/>
      <w:r>
        <w:rPr>
          <w:rStyle w:val="Ninguno"/>
          <w:rFonts w:ascii="Calibri" w:hAnsi="Calibri"/>
          <w:sz w:val="22"/>
          <w:szCs w:val="22"/>
        </w:rPr>
        <w:t>, "</w:t>
      </w:r>
      <w:proofErr w:type="spellStart"/>
      <w:r>
        <w:rPr>
          <w:rStyle w:val="Ninguno"/>
          <w:rFonts w:ascii="Calibri" w:hAnsi="Calibri"/>
          <w:sz w:val="22"/>
          <w:szCs w:val="22"/>
        </w:rPr>
        <w:t>reformatio</w:t>
      </w:r>
      <w:proofErr w:type="spellEnd"/>
      <w:r>
        <w:rPr>
          <w:rStyle w:val="Ninguno"/>
          <w:rFonts w:ascii="Calibri" w:hAnsi="Calibri"/>
          <w:sz w:val="22"/>
          <w:szCs w:val="22"/>
        </w:rPr>
        <w:t xml:space="preserve"> in </w:t>
      </w:r>
      <w:proofErr w:type="spellStart"/>
      <w:r>
        <w:rPr>
          <w:rStyle w:val="Ninguno"/>
          <w:rFonts w:ascii="Calibri" w:hAnsi="Calibri"/>
          <w:sz w:val="22"/>
          <w:szCs w:val="22"/>
        </w:rPr>
        <w:t>peius</w:t>
      </w:r>
      <w:proofErr w:type="spellEnd"/>
      <w:r>
        <w:rPr>
          <w:rStyle w:val="Ninguno"/>
          <w:rFonts w:ascii="Calibri" w:hAnsi="Calibri"/>
          <w:sz w:val="22"/>
          <w:szCs w:val="22"/>
        </w:rPr>
        <w:t>".</w:t>
      </w:r>
    </w:p>
    <w:p w14:paraId="41937C21" w14:textId="77777777" w:rsidR="003F223C" w:rsidRPr="004F1741" w:rsidRDefault="00B66A92" w:rsidP="004F1741">
      <w:pPr>
        <w:pStyle w:val="Standard"/>
        <w:spacing w:after="198" w:line="288" w:lineRule="auto"/>
        <w:jc w:val="both"/>
        <w:outlineLvl w:val="0"/>
        <w:rPr>
          <w:rStyle w:val="Hyperlink0"/>
        </w:rPr>
      </w:pPr>
      <w:hyperlink r:id="rId31">
        <w:r w:rsidRPr="004F1741">
          <w:rPr>
            <w:rStyle w:val="Hyperlink0"/>
          </w:rPr>
          <w:t>https://www.contratacion.euskadi.eus/contenidos/resolucion_oarc/44_2026/es_def/adjuntos/Resolucion44_2026.pdf</w:t>
        </w:r>
      </w:hyperlink>
    </w:p>
    <w:p w14:paraId="520DC5FF" w14:textId="77777777" w:rsidR="003F223C" w:rsidRDefault="00B66A92" w:rsidP="0062002E">
      <w:pPr>
        <w:pStyle w:val="Gorputz-testua"/>
        <w:spacing w:after="80" w:line="288" w:lineRule="auto"/>
        <w:jc w:val="both"/>
      </w:pPr>
      <w:r>
        <w:rPr>
          <w:rStyle w:val="Ninguno"/>
          <w:rFonts w:ascii="Calibri" w:hAnsi="Calibri"/>
          <w:b/>
          <w:bCs/>
          <w:sz w:val="22"/>
          <w:szCs w:val="22"/>
        </w:rPr>
        <w:t xml:space="preserve">- </w:t>
      </w:r>
      <w:proofErr w:type="spellStart"/>
      <w:r>
        <w:rPr>
          <w:rStyle w:val="Ninguno"/>
          <w:rFonts w:ascii="Calibri" w:hAnsi="Calibri"/>
          <w:b/>
          <w:bCs/>
          <w:sz w:val="22"/>
          <w:szCs w:val="22"/>
        </w:rPr>
        <w:t>Resolución</w:t>
      </w:r>
      <w:proofErr w:type="spellEnd"/>
      <w:r>
        <w:rPr>
          <w:rStyle w:val="Ninguno"/>
          <w:rFonts w:ascii="Calibri" w:hAnsi="Calibri"/>
          <w:b/>
          <w:bCs/>
          <w:sz w:val="22"/>
          <w:szCs w:val="22"/>
        </w:rPr>
        <w:t xml:space="preserve"> 47/2026, de 26 de </w:t>
      </w:r>
      <w:proofErr w:type="spellStart"/>
      <w:r>
        <w:rPr>
          <w:rStyle w:val="Ninguno"/>
          <w:rFonts w:ascii="Calibri" w:hAnsi="Calibri"/>
          <w:b/>
          <w:bCs/>
          <w:sz w:val="22"/>
          <w:szCs w:val="22"/>
        </w:rPr>
        <w:t>febrero</w:t>
      </w:r>
      <w:proofErr w:type="spellEnd"/>
      <w:r>
        <w:rPr>
          <w:rStyle w:val="Ninguno"/>
          <w:rFonts w:ascii="Calibri" w:hAnsi="Calibri"/>
          <w:b/>
          <w:bCs/>
          <w:sz w:val="22"/>
          <w:szCs w:val="22"/>
        </w:rPr>
        <w:t xml:space="preserve"> de 2026. </w:t>
      </w:r>
      <w:proofErr w:type="spellStart"/>
      <w:r>
        <w:rPr>
          <w:rStyle w:val="Ninguno"/>
          <w:rFonts w:ascii="Calibri" w:hAnsi="Calibri"/>
          <w:sz w:val="22"/>
          <w:szCs w:val="22"/>
        </w:rPr>
        <w:t>Adjudicación</w:t>
      </w:r>
      <w:proofErr w:type="spellEnd"/>
      <w:r>
        <w:rPr>
          <w:rStyle w:val="Ninguno"/>
          <w:rFonts w:ascii="Calibri" w:hAnsi="Calibri"/>
          <w:sz w:val="22"/>
          <w:szCs w:val="22"/>
        </w:rPr>
        <w:t xml:space="preserve">. </w:t>
      </w:r>
      <w:proofErr w:type="spellStart"/>
      <w:r>
        <w:rPr>
          <w:rStyle w:val="Ninguno"/>
          <w:rFonts w:ascii="Calibri" w:hAnsi="Calibri"/>
          <w:sz w:val="22"/>
          <w:szCs w:val="22"/>
        </w:rPr>
        <w:t>Criterio</w:t>
      </w:r>
      <w:proofErr w:type="spellEnd"/>
      <w:r>
        <w:rPr>
          <w:rStyle w:val="Ninguno"/>
          <w:rFonts w:ascii="Calibri" w:hAnsi="Calibri"/>
          <w:sz w:val="22"/>
          <w:szCs w:val="22"/>
        </w:rPr>
        <w:t xml:space="preserve"> de </w:t>
      </w:r>
      <w:proofErr w:type="spellStart"/>
      <w:r>
        <w:rPr>
          <w:rStyle w:val="Ninguno"/>
          <w:rFonts w:ascii="Calibri" w:hAnsi="Calibri"/>
          <w:sz w:val="22"/>
          <w:szCs w:val="22"/>
        </w:rPr>
        <w:t>adjudicación</w:t>
      </w:r>
      <w:proofErr w:type="spellEnd"/>
      <w:r>
        <w:rPr>
          <w:rStyle w:val="Ninguno"/>
          <w:rFonts w:ascii="Calibri" w:hAnsi="Calibri"/>
          <w:sz w:val="22"/>
          <w:szCs w:val="22"/>
        </w:rPr>
        <w:t xml:space="preserve"> </w:t>
      </w:r>
      <w:proofErr w:type="spellStart"/>
      <w:r>
        <w:rPr>
          <w:rStyle w:val="Ninguno"/>
          <w:rFonts w:ascii="Calibri" w:hAnsi="Calibri"/>
          <w:sz w:val="22"/>
          <w:szCs w:val="22"/>
        </w:rPr>
        <w:t>sujeto</w:t>
      </w:r>
      <w:proofErr w:type="spellEnd"/>
      <w:r>
        <w:rPr>
          <w:rStyle w:val="Ninguno"/>
          <w:rFonts w:ascii="Calibri" w:hAnsi="Calibri"/>
          <w:sz w:val="22"/>
          <w:szCs w:val="22"/>
        </w:rPr>
        <w:t xml:space="preserve"> a </w:t>
      </w:r>
      <w:proofErr w:type="spellStart"/>
      <w:r>
        <w:rPr>
          <w:rStyle w:val="Ninguno"/>
          <w:rFonts w:ascii="Calibri" w:hAnsi="Calibri"/>
          <w:sz w:val="22"/>
          <w:szCs w:val="22"/>
        </w:rPr>
        <w:t>fórmula</w:t>
      </w:r>
      <w:proofErr w:type="spellEnd"/>
      <w:r>
        <w:rPr>
          <w:rStyle w:val="Ninguno"/>
          <w:rFonts w:ascii="Calibri" w:hAnsi="Calibri"/>
          <w:sz w:val="22"/>
          <w:szCs w:val="22"/>
        </w:rPr>
        <w:t xml:space="preserve">; </w:t>
      </w:r>
      <w:proofErr w:type="spellStart"/>
      <w:r>
        <w:rPr>
          <w:rStyle w:val="Ninguno"/>
          <w:rFonts w:ascii="Calibri" w:hAnsi="Calibri"/>
          <w:sz w:val="22"/>
          <w:szCs w:val="22"/>
        </w:rPr>
        <w:t>criterio</w:t>
      </w:r>
      <w:proofErr w:type="spellEnd"/>
      <w:r>
        <w:rPr>
          <w:rStyle w:val="Ninguno"/>
          <w:rFonts w:ascii="Calibri" w:hAnsi="Calibri"/>
          <w:sz w:val="22"/>
          <w:szCs w:val="22"/>
        </w:rPr>
        <w:t xml:space="preserve"> </w:t>
      </w:r>
      <w:proofErr w:type="spellStart"/>
      <w:r>
        <w:rPr>
          <w:rStyle w:val="Ninguno"/>
          <w:rFonts w:ascii="Calibri" w:hAnsi="Calibri"/>
          <w:sz w:val="22"/>
          <w:szCs w:val="22"/>
        </w:rPr>
        <w:t>descrito</w:t>
      </w:r>
      <w:proofErr w:type="spellEnd"/>
      <w:r>
        <w:rPr>
          <w:rStyle w:val="Ninguno"/>
          <w:rFonts w:ascii="Calibri" w:hAnsi="Calibri"/>
          <w:sz w:val="22"/>
          <w:szCs w:val="22"/>
        </w:rPr>
        <w:t xml:space="preserve"> con </w:t>
      </w:r>
      <w:proofErr w:type="spellStart"/>
      <w:r>
        <w:rPr>
          <w:rStyle w:val="Ninguno"/>
          <w:rFonts w:ascii="Calibri" w:hAnsi="Calibri"/>
          <w:sz w:val="22"/>
          <w:szCs w:val="22"/>
        </w:rPr>
        <w:t>funcionamiento</w:t>
      </w:r>
      <w:proofErr w:type="spellEnd"/>
      <w:r>
        <w:rPr>
          <w:rStyle w:val="Ninguno"/>
          <w:rFonts w:ascii="Calibri" w:hAnsi="Calibri"/>
          <w:sz w:val="22"/>
          <w:szCs w:val="22"/>
        </w:rPr>
        <w:t xml:space="preserve"> </w:t>
      </w:r>
      <w:proofErr w:type="spellStart"/>
      <w:r>
        <w:rPr>
          <w:rStyle w:val="Ninguno"/>
          <w:rFonts w:ascii="Calibri" w:hAnsi="Calibri"/>
          <w:sz w:val="22"/>
          <w:szCs w:val="22"/>
        </w:rPr>
        <w:t>binario</w:t>
      </w:r>
      <w:proofErr w:type="spellEnd"/>
      <w:r>
        <w:rPr>
          <w:rStyle w:val="Ninguno"/>
          <w:rFonts w:ascii="Calibri" w:hAnsi="Calibri"/>
          <w:sz w:val="22"/>
          <w:szCs w:val="22"/>
        </w:rPr>
        <w:t xml:space="preserve"> sin </w:t>
      </w:r>
      <w:proofErr w:type="spellStart"/>
      <w:r>
        <w:rPr>
          <w:rStyle w:val="Ninguno"/>
          <w:rFonts w:ascii="Calibri" w:hAnsi="Calibri"/>
          <w:sz w:val="22"/>
          <w:szCs w:val="22"/>
        </w:rPr>
        <w:t>posibilidad</w:t>
      </w:r>
      <w:proofErr w:type="spellEnd"/>
      <w:r>
        <w:rPr>
          <w:rStyle w:val="Ninguno"/>
          <w:rFonts w:ascii="Calibri" w:hAnsi="Calibri"/>
          <w:sz w:val="22"/>
          <w:szCs w:val="22"/>
        </w:rPr>
        <w:t xml:space="preserve"> de </w:t>
      </w:r>
      <w:proofErr w:type="spellStart"/>
      <w:r>
        <w:rPr>
          <w:rStyle w:val="Ninguno"/>
          <w:rFonts w:ascii="Calibri" w:hAnsi="Calibri"/>
          <w:sz w:val="22"/>
          <w:szCs w:val="22"/>
        </w:rPr>
        <w:t>graduación</w:t>
      </w:r>
      <w:proofErr w:type="spellEnd"/>
      <w:r>
        <w:rPr>
          <w:rStyle w:val="Ninguno"/>
          <w:rFonts w:ascii="Calibri" w:hAnsi="Calibri"/>
          <w:sz w:val="22"/>
          <w:szCs w:val="22"/>
        </w:rPr>
        <w:t xml:space="preserve"> </w:t>
      </w:r>
      <w:proofErr w:type="spellStart"/>
      <w:r>
        <w:rPr>
          <w:rStyle w:val="Ninguno"/>
          <w:rFonts w:ascii="Calibri" w:hAnsi="Calibri"/>
          <w:sz w:val="22"/>
          <w:szCs w:val="22"/>
        </w:rPr>
        <w:t>por</w:t>
      </w:r>
      <w:proofErr w:type="spellEnd"/>
      <w:r>
        <w:rPr>
          <w:rStyle w:val="Ninguno"/>
          <w:rFonts w:ascii="Calibri" w:hAnsi="Calibri"/>
          <w:sz w:val="22"/>
          <w:szCs w:val="22"/>
        </w:rPr>
        <w:t xml:space="preserve"> </w:t>
      </w:r>
      <w:proofErr w:type="spellStart"/>
      <w:r>
        <w:rPr>
          <w:rStyle w:val="Ninguno"/>
          <w:rFonts w:ascii="Calibri" w:hAnsi="Calibri"/>
          <w:sz w:val="22"/>
          <w:szCs w:val="22"/>
        </w:rPr>
        <w:t>el</w:t>
      </w:r>
      <w:proofErr w:type="spellEnd"/>
      <w:r>
        <w:rPr>
          <w:rStyle w:val="Ninguno"/>
          <w:rFonts w:ascii="Calibri" w:hAnsi="Calibri"/>
          <w:sz w:val="22"/>
          <w:szCs w:val="22"/>
        </w:rPr>
        <w:t xml:space="preserve"> </w:t>
      </w:r>
      <w:proofErr w:type="spellStart"/>
      <w:r>
        <w:rPr>
          <w:rStyle w:val="Ninguno"/>
          <w:rFonts w:ascii="Calibri" w:hAnsi="Calibri"/>
          <w:sz w:val="22"/>
          <w:szCs w:val="22"/>
        </w:rPr>
        <w:t>órgano</w:t>
      </w:r>
      <w:proofErr w:type="spellEnd"/>
      <w:r>
        <w:rPr>
          <w:rStyle w:val="Ninguno"/>
          <w:rFonts w:ascii="Calibri" w:hAnsi="Calibri"/>
          <w:sz w:val="22"/>
          <w:szCs w:val="22"/>
        </w:rPr>
        <w:t xml:space="preserve"> de </w:t>
      </w:r>
      <w:proofErr w:type="spellStart"/>
      <w:r>
        <w:rPr>
          <w:rStyle w:val="Ninguno"/>
          <w:rFonts w:ascii="Calibri" w:hAnsi="Calibri"/>
          <w:sz w:val="22"/>
          <w:szCs w:val="22"/>
        </w:rPr>
        <w:t>contratación</w:t>
      </w:r>
      <w:proofErr w:type="spellEnd"/>
      <w:r>
        <w:rPr>
          <w:rStyle w:val="Ninguno"/>
          <w:rFonts w:ascii="Calibri" w:hAnsi="Calibri"/>
          <w:sz w:val="22"/>
          <w:szCs w:val="22"/>
        </w:rPr>
        <w:t xml:space="preserve">, </w:t>
      </w:r>
      <w:proofErr w:type="spellStart"/>
      <w:r>
        <w:rPr>
          <w:rStyle w:val="Ninguno"/>
          <w:rFonts w:ascii="Calibri" w:hAnsi="Calibri"/>
          <w:sz w:val="22"/>
          <w:szCs w:val="22"/>
        </w:rPr>
        <w:t>el</w:t>
      </w:r>
      <w:proofErr w:type="spellEnd"/>
      <w:r>
        <w:rPr>
          <w:rStyle w:val="Ninguno"/>
          <w:rFonts w:ascii="Calibri" w:hAnsi="Calibri"/>
          <w:sz w:val="22"/>
          <w:szCs w:val="22"/>
        </w:rPr>
        <w:t xml:space="preserve"> </w:t>
      </w:r>
      <w:proofErr w:type="spellStart"/>
      <w:r>
        <w:rPr>
          <w:rStyle w:val="Ninguno"/>
          <w:rFonts w:ascii="Calibri" w:hAnsi="Calibri"/>
          <w:sz w:val="22"/>
          <w:szCs w:val="22"/>
        </w:rPr>
        <w:t>criterio</w:t>
      </w:r>
      <w:proofErr w:type="spellEnd"/>
      <w:r>
        <w:rPr>
          <w:rStyle w:val="Ninguno"/>
          <w:rFonts w:ascii="Calibri" w:hAnsi="Calibri"/>
          <w:sz w:val="22"/>
          <w:szCs w:val="22"/>
        </w:rPr>
        <w:t xml:space="preserve"> no </w:t>
      </w:r>
      <w:proofErr w:type="spellStart"/>
      <w:r>
        <w:rPr>
          <w:rStyle w:val="Ninguno"/>
          <w:rFonts w:ascii="Calibri" w:hAnsi="Calibri"/>
          <w:sz w:val="22"/>
          <w:szCs w:val="22"/>
        </w:rPr>
        <w:t>tiene</w:t>
      </w:r>
      <w:proofErr w:type="spellEnd"/>
      <w:r>
        <w:rPr>
          <w:rStyle w:val="Ninguno"/>
          <w:rFonts w:ascii="Calibri" w:hAnsi="Calibri"/>
          <w:sz w:val="22"/>
          <w:szCs w:val="22"/>
        </w:rPr>
        <w:t xml:space="preserve"> "umbral de </w:t>
      </w:r>
      <w:proofErr w:type="spellStart"/>
      <w:r>
        <w:rPr>
          <w:rStyle w:val="Ninguno"/>
          <w:rFonts w:ascii="Calibri" w:hAnsi="Calibri"/>
          <w:sz w:val="22"/>
          <w:szCs w:val="22"/>
        </w:rPr>
        <w:t>saciedad</w:t>
      </w:r>
      <w:proofErr w:type="spellEnd"/>
      <w:r>
        <w:rPr>
          <w:rStyle w:val="Ninguno"/>
          <w:rFonts w:ascii="Calibri" w:hAnsi="Calibri"/>
          <w:sz w:val="22"/>
          <w:szCs w:val="22"/>
        </w:rPr>
        <w:t xml:space="preserve">"; </w:t>
      </w:r>
      <w:proofErr w:type="spellStart"/>
      <w:r>
        <w:rPr>
          <w:rStyle w:val="Ninguno"/>
          <w:rFonts w:ascii="Calibri" w:hAnsi="Calibri"/>
          <w:sz w:val="22"/>
          <w:szCs w:val="22"/>
        </w:rPr>
        <w:t>respuesta</w:t>
      </w:r>
      <w:proofErr w:type="spellEnd"/>
      <w:r>
        <w:rPr>
          <w:rStyle w:val="Ninguno"/>
          <w:rFonts w:ascii="Calibri" w:hAnsi="Calibri"/>
          <w:sz w:val="22"/>
          <w:szCs w:val="22"/>
        </w:rPr>
        <w:t xml:space="preserve"> del </w:t>
      </w:r>
      <w:proofErr w:type="spellStart"/>
      <w:r>
        <w:rPr>
          <w:rStyle w:val="Ninguno"/>
          <w:rFonts w:ascii="Calibri" w:hAnsi="Calibri"/>
          <w:sz w:val="22"/>
          <w:szCs w:val="22"/>
        </w:rPr>
        <w:t>poder</w:t>
      </w:r>
      <w:proofErr w:type="spellEnd"/>
      <w:r>
        <w:rPr>
          <w:rStyle w:val="Ninguno"/>
          <w:rFonts w:ascii="Calibri" w:hAnsi="Calibri"/>
          <w:sz w:val="22"/>
          <w:szCs w:val="22"/>
        </w:rPr>
        <w:t xml:space="preserve"> </w:t>
      </w:r>
      <w:proofErr w:type="spellStart"/>
      <w:r>
        <w:rPr>
          <w:rStyle w:val="Ninguno"/>
          <w:rFonts w:ascii="Calibri" w:hAnsi="Calibri"/>
          <w:sz w:val="22"/>
          <w:szCs w:val="22"/>
        </w:rPr>
        <w:t>adjudicador</w:t>
      </w:r>
      <w:proofErr w:type="spellEnd"/>
      <w:r>
        <w:rPr>
          <w:rStyle w:val="Ninguno"/>
          <w:rFonts w:ascii="Calibri" w:hAnsi="Calibri"/>
          <w:sz w:val="22"/>
          <w:szCs w:val="22"/>
        </w:rPr>
        <w:t xml:space="preserve"> a </w:t>
      </w:r>
      <w:proofErr w:type="spellStart"/>
      <w:r>
        <w:rPr>
          <w:rStyle w:val="Ninguno"/>
          <w:rFonts w:ascii="Calibri" w:hAnsi="Calibri"/>
          <w:sz w:val="22"/>
          <w:szCs w:val="22"/>
        </w:rPr>
        <w:t>una</w:t>
      </w:r>
      <w:proofErr w:type="spellEnd"/>
      <w:r>
        <w:rPr>
          <w:rStyle w:val="Ninguno"/>
          <w:rFonts w:ascii="Calibri" w:hAnsi="Calibri"/>
          <w:sz w:val="22"/>
          <w:szCs w:val="22"/>
        </w:rPr>
        <w:t xml:space="preserve"> consulta de un </w:t>
      </w:r>
      <w:proofErr w:type="spellStart"/>
      <w:r>
        <w:rPr>
          <w:rStyle w:val="Ninguno"/>
          <w:rFonts w:ascii="Calibri" w:hAnsi="Calibri"/>
          <w:sz w:val="22"/>
          <w:szCs w:val="22"/>
        </w:rPr>
        <w:t>operador</w:t>
      </w:r>
      <w:proofErr w:type="spellEnd"/>
      <w:r>
        <w:rPr>
          <w:rStyle w:val="Ninguno"/>
          <w:rFonts w:ascii="Calibri" w:hAnsi="Calibri"/>
          <w:sz w:val="22"/>
          <w:szCs w:val="22"/>
        </w:rPr>
        <w:t xml:space="preserve"> </w:t>
      </w:r>
      <w:proofErr w:type="spellStart"/>
      <w:r>
        <w:rPr>
          <w:rStyle w:val="Ninguno"/>
          <w:rFonts w:ascii="Calibri" w:hAnsi="Calibri"/>
          <w:sz w:val="22"/>
          <w:szCs w:val="22"/>
        </w:rPr>
        <w:t>económico</w:t>
      </w:r>
      <w:proofErr w:type="spellEnd"/>
      <w:r>
        <w:rPr>
          <w:rStyle w:val="Ninguno"/>
          <w:rFonts w:ascii="Calibri" w:hAnsi="Calibri"/>
          <w:sz w:val="22"/>
          <w:szCs w:val="22"/>
        </w:rPr>
        <w:t xml:space="preserve">, la </w:t>
      </w:r>
      <w:proofErr w:type="spellStart"/>
      <w:r>
        <w:rPr>
          <w:rStyle w:val="Ninguno"/>
          <w:rFonts w:ascii="Calibri" w:hAnsi="Calibri"/>
          <w:sz w:val="22"/>
          <w:szCs w:val="22"/>
        </w:rPr>
        <w:t>respuesta</w:t>
      </w:r>
      <w:proofErr w:type="spellEnd"/>
      <w:r>
        <w:rPr>
          <w:rStyle w:val="Ninguno"/>
          <w:rFonts w:ascii="Calibri" w:hAnsi="Calibri"/>
          <w:sz w:val="22"/>
          <w:szCs w:val="22"/>
        </w:rPr>
        <w:t xml:space="preserve"> no altera </w:t>
      </w:r>
      <w:proofErr w:type="spellStart"/>
      <w:r>
        <w:rPr>
          <w:rStyle w:val="Ninguno"/>
          <w:rFonts w:ascii="Calibri" w:hAnsi="Calibri"/>
          <w:sz w:val="22"/>
          <w:szCs w:val="22"/>
        </w:rPr>
        <w:t>el</w:t>
      </w:r>
      <w:proofErr w:type="spellEnd"/>
      <w:r>
        <w:rPr>
          <w:rStyle w:val="Ninguno"/>
          <w:rFonts w:ascii="Calibri" w:hAnsi="Calibri"/>
          <w:sz w:val="22"/>
          <w:szCs w:val="22"/>
        </w:rPr>
        <w:t xml:space="preserve"> </w:t>
      </w:r>
      <w:proofErr w:type="spellStart"/>
      <w:r>
        <w:rPr>
          <w:rStyle w:val="Ninguno"/>
          <w:rFonts w:ascii="Calibri" w:hAnsi="Calibri"/>
          <w:sz w:val="22"/>
          <w:szCs w:val="22"/>
        </w:rPr>
        <w:t>contenido</w:t>
      </w:r>
      <w:proofErr w:type="spellEnd"/>
      <w:r>
        <w:rPr>
          <w:rStyle w:val="Ninguno"/>
          <w:rFonts w:ascii="Calibri" w:hAnsi="Calibri"/>
          <w:sz w:val="22"/>
          <w:szCs w:val="22"/>
        </w:rPr>
        <w:t xml:space="preserve"> del </w:t>
      </w:r>
      <w:proofErr w:type="spellStart"/>
      <w:r>
        <w:rPr>
          <w:rStyle w:val="Ninguno"/>
          <w:rFonts w:ascii="Calibri" w:hAnsi="Calibri"/>
          <w:sz w:val="22"/>
          <w:szCs w:val="22"/>
        </w:rPr>
        <w:t>criterio</w:t>
      </w:r>
      <w:proofErr w:type="spellEnd"/>
      <w:r>
        <w:rPr>
          <w:rStyle w:val="Ninguno"/>
          <w:rFonts w:ascii="Calibri" w:hAnsi="Calibri"/>
          <w:sz w:val="22"/>
          <w:szCs w:val="22"/>
        </w:rPr>
        <w:t xml:space="preserve"> de </w:t>
      </w:r>
      <w:proofErr w:type="spellStart"/>
      <w:r>
        <w:rPr>
          <w:rStyle w:val="Ninguno"/>
          <w:rFonts w:ascii="Calibri" w:hAnsi="Calibri"/>
          <w:sz w:val="22"/>
          <w:szCs w:val="22"/>
        </w:rPr>
        <w:t>adjudicación</w:t>
      </w:r>
      <w:proofErr w:type="spellEnd"/>
      <w:r>
        <w:rPr>
          <w:rStyle w:val="Ninguno"/>
          <w:rFonts w:ascii="Calibri" w:hAnsi="Calibri"/>
          <w:sz w:val="22"/>
          <w:szCs w:val="22"/>
        </w:rPr>
        <w:t xml:space="preserve">, no </w:t>
      </w:r>
      <w:proofErr w:type="spellStart"/>
      <w:r>
        <w:rPr>
          <w:rStyle w:val="Ninguno"/>
          <w:rFonts w:ascii="Calibri" w:hAnsi="Calibri"/>
          <w:sz w:val="22"/>
          <w:szCs w:val="22"/>
        </w:rPr>
        <w:t>cabe</w:t>
      </w:r>
      <w:proofErr w:type="spellEnd"/>
      <w:r>
        <w:rPr>
          <w:rStyle w:val="Ninguno"/>
          <w:rFonts w:ascii="Calibri" w:hAnsi="Calibri"/>
          <w:sz w:val="22"/>
          <w:szCs w:val="22"/>
        </w:rPr>
        <w:t xml:space="preserve"> </w:t>
      </w:r>
      <w:proofErr w:type="spellStart"/>
      <w:r>
        <w:rPr>
          <w:rStyle w:val="Ninguno"/>
          <w:rFonts w:ascii="Calibri" w:hAnsi="Calibri"/>
          <w:sz w:val="22"/>
          <w:szCs w:val="22"/>
        </w:rPr>
        <w:t>modificar</w:t>
      </w:r>
      <w:proofErr w:type="spellEnd"/>
      <w:r>
        <w:rPr>
          <w:rStyle w:val="Ninguno"/>
          <w:rFonts w:ascii="Calibri" w:hAnsi="Calibri"/>
          <w:sz w:val="22"/>
          <w:szCs w:val="22"/>
        </w:rPr>
        <w:t xml:space="preserve"> </w:t>
      </w:r>
      <w:proofErr w:type="spellStart"/>
      <w:r>
        <w:rPr>
          <w:rStyle w:val="Ninguno"/>
          <w:rFonts w:ascii="Calibri" w:hAnsi="Calibri"/>
          <w:sz w:val="22"/>
          <w:szCs w:val="22"/>
        </w:rPr>
        <w:t>los</w:t>
      </w:r>
      <w:proofErr w:type="spellEnd"/>
      <w:r>
        <w:rPr>
          <w:rStyle w:val="Ninguno"/>
          <w:rFonts w:ascii="Calibri" w:hAnsi="Calibri"/>
          <w:sz w:val="22"/>
          <w:szCs w:val="22"/>
        </w:rPr>
        <w:t xml:space="preserve"> </w:t>
      </w:r>
      <w:proofErr w:type="spellStart"/>
      <w:r>
        <w:rPr>
          <w:rStyle w:val="Ninguno"/>
          <w:rFonts w:ascii="Calibri" w:hAnsi="Calibri"/>
          <w:sz w:val="22"/>
          <w:szCs w:val="22"/>
        </w:rPr>
        <w:t>pliegos</w:t>
      </w:r>
      <w:proofErr w:type="spellEnd"/>
      <w:r>
        <w:rPr>
          <w:rStyle w:val="Ninguno"/>
          <w:rFonts w:ascii="Calibri" w:hAnsi="Calibri"/>
          <w:sz w:val="22"/>
          <w:szCs w:val="22"/>
        </w:rPr>
        <w:t xml:space="preserve"> </w:t>
      </w:r>
      <w:proofErr w:type="spellStart"/>
      <w:r>
        <w:rPr>
          <w:rStyle w:val="Ninguno"/>
          <w:rFonts w:ascii="Calibri" w:hAnsi="Calibri"/>
          <w:sz w:val="22"/>
          <w:szCs w:val="22"/>
        </w:rPr>
        <w:t>mediante</w:t>
      </w:r>
      <w:proofErr w:type="spellEnd"/>
      <w:r>
        <w:rPr>
          <w:rStyle w:val="Ninguno"/>
          <w:rFonts w:ascii="Calibri" w:hAnsi="Calibri"/>
          <w:sz w:val="22"/>
          <w:szCs w:val="22"/>
        </w:rPr>
        <w:t xml:space="preserve"> la </w:t>
      </w:r>
      <w:proofErr w:type="spellStart"/>
      <w:r>
        <w:rPr>
          <w:rStyle w:val="Ninguno"/>
          <w:rFonts w:ascii="Calibri" w:hAnsi="Calibri"/>
          <w:sz w:val="22"/>
          <w:szCs w:val="22"/>
        </w:rPr>
        <w:t>respuesta</w:t>
      </w:r>
      <w:proofErr w:type="spellEnd"/>
      <w:r>
        <w:rPr>
          <w:rStyle w:val="Ninguno"/>
          <w:rFonts w:ascii="Calibri" w:hAnsi="Calibri"/>
          <w:sz w:val="22"/>
          <w:szCs w:val="22"/>
        </w:rPr>
        <w:t xml:space="preserve"> a </w:t>
      </w:r>
      <w:proofErr w:type="spellStart"/>
      <w:r>
        <w:rPr>
          <w:rStyle w:val="Ninguno"/>
          <w:rFonts w:ascii="Calibri" w:hAnsi="Calibri"/>
          <w:sz w:val="22"/>
          <w:szCs w:val="22"/>
        </w:rPr>
        <w:t>una</w:t>
      </w:r>
      <w:proofErr w:type="spellEnd"/>
      <w:r>
        <w:rPr>
          <w:rStyle w:val="Ninguno"/>
          <w:rFonts w:ascii="Calibri" w:hAnsi="Calibri"/>
          <w:sz w:val="22"/>
          <w:szCs w:val="22"/>
        </w:rPr>
        <w:t xml:space="preserve"> consulta, principio de </w:t>
      </w:r>
      <w:proofErr w:type="spellStart"/>
      <w:r>
        <w:rPr>
          <w:rStyle w:val="Ninguno"/>
          <w:rFonts w:ascii="Calibri" w:hAnsi="Calibri"/>
          <w:sz w:val="22"/>
          <w:szCs w:val="22"/>
        </w:rPr>
        <w:t>transparencia</w:t>
      </w:r>
      <w:proofErr w:type="spellEnd"/>
      <w:r>
        <w:rPr>
          <w:rStyle w:val="Ninguno"/>
          <w:rFonts w:ascii="Calibri" w:hAnsi="Calibri"/>
          <w:sz w:val="22"/>
          <w:szCs w:val="22"/>
        </w:rPr>
        <w:t xml:space="preserve">, no </w:t>
      </w:r>
      <w:proofErr w:type="spellStart"/>
      <w:r>
        <w:rPr>
          <w:rStyle w:val="Ninguno"/>
          <w:rFonts w:ascii="Calibri" w:hAnsi="Calibri"/>
          <w:sz w:val="22"/>
          <w:szCs w:val="22"/>
        </w:rPr>
        <w:t>cabe</w:t>
      </w:r>
      <w:proofErr w:type="spellEnd"/>
      <w:r>
        <w:rPr>
          <w:rStyle w:val="Ninguno"/>
          <w:rFonts w:ascii="Calibri" w:hAnsi="Calibri"/>
          <w:sz w:val="22"/>
          <w:szCs w:val="22"/>
        </w:rPr>
        <w:t xml:space="preserve"> </w:t>
      </w:r>
      <w:proofErr w:type="spellStart"/>
      <w:r>
        <w:rPr>
          <w:rStyle w:val="Ninguno"/>
          <w:rFonts w:ascii="Calibri" w:hAnsi="Calibri"/>
          <w:sz w:val="22"/>
          <w:szCs w:val="22"/>
        </w:rPr>
        <w:t>atribuir</w:t>
      </w:r>
      <w:proofErr w:type="spellEnd"/>
      <w:r>
        <w:rPr>
          <w:rStyle w:val="Ninguno"/>
          <w:rFonts w:ascii="Calibri" w:hAnsi="Calibri"/>
          <w:sz w:val="22"/>
          <w:szCs w:val="22"/>
        </w:rPr>
        <w:t xml:space="preserve"> puntos a la </w:t>
      </w:r>
      <w:proofErr w:type="spellStart"/>
      <w:r>
        <w:rPr>
          <w:rStyle w:val="Ninguno"/>
          <w:rFonts w:ascii="Calibri" w:hAnsi="Calibri"/>
          <w:sz w:val="22"/>
          <w:szCs w:val="22"/>
        </w:rPr>
        <w:t>oferta</w:t>
      </w:r>
      <w:proofErr w:type="spellEnd"/>
      <w:r>
        <w:rPr>
          <w:rStyle w:val="Ninguno"/>
          <w:rFonts w:ascii="Calibri" w:hAnsi="Calibri"/>
          <w:sz w:val="22"/>
          <w:szCs w:val="22"/>
        </w:rPr>
        <w:t xml:space="preserve"> </w:t>
      </w:r>
      <w:proofErr w:type="spellStart"/>
      <w:r>
        <w:rPr>
          <w:rStyle w:val="Ninguno"/>
          <w:rFonts w:ascii="Calibri" w:hAnsi="Calibri"/>
          <w:sz w:val="22"/>
          <w:szCs w:val="22"/>
        </w:rPr>
        <w:t>impugnada</w:t>
      </w:r>
      <w:proofErr w:type="spellEnd"/>
      <w:r>
        <w:rPr>
          <w:rStyle w:val="Ninguno"/>
          <w:rFonts w:ascii="Calibri" w:hAnsi="Calibri"/>
          <w:sz w:val="22"/>
          <w:szCs w:val="22"/>
        </w:rPr>
        <w:t>.</w:t>
      </w:r>
    </w:p>
    <w:bookmarkStart w:id="0" w:name="_Hlk229057580"/>
    <w:p w14:paraId="7571A778" w14:textId="159F7B41" w:rsidR="003F223C" w:rsidRPr="00D05A02" w:rsidRDefault="00004204" w:rsidP="004F1741">
      <w:pPr>
        <w:pStyle w:val="Standard"/>
        <w:spacing w:after="198" w:line="288" w:lineRule="auto"/>
        <w:jc w:val="both"/>
        <w:outlineLvl w:val="0"/>
        <w:rPr>
          <w:rStyle w:val="Hyperlink0"/>
          <w:lang w:val="en-US"/>
        </w:rPr>
      </w:pPr>
      <w:r w:rsidRPr="00004204">
        <w:rPr>
          <w:rStyle w:val="Hyperlink0"/>
        </w:rPr>
        <w:fldChar w:fldCharType="begin"/>
      </w:r>
      <w:r w:rsidRPr="00D05A02">
        <w:rPr>
          <w:rStyle w:val="Hyperlink0"/>
          <w:lang w:val="en-US"/>
        </w:rPr>
        <w:instrText>HYPERLINK "https://www.contratacion.euskadi.eus/contenidos/resolucion_oarc/47_2026/es_def/adjuntos/Resolucion47_2026.pdf"</w:instrText>
      </w:r>
      <w:r w:rsidRPr="00004204">
        <w:rPr>
          <w:rStyle w:val="Hyperlink0"/>
        </w:rPr>
      </w:r>
      <w:r w:rsidRPr="00004204">
        <w:rPr>
          <w:rStyle w:val="Hyperlink0"/>
        </w:rPr>
        <w:fldChar w:fldCharType="separate"/>
      </w:r>
      <w:r w:rsidRPr="00D05A02">
        <w:rPr>
          <w:rStyle w:val="Hyperlink0"/>
          <w:lang w:val="en-US"/>
        </w:rPr>
        <w:t>https://www.contratacion.euskadi.eus/contenidos/resolucion_oarc/47_2026/es_def/adjuntos/Resolucion47_2026.pdf</w:t>
      </w:r>
      <w:r w:rsidRPr="00004204">
        <w:rPr>
          <w:rStyle w:val="Hyperlink0"/>
        </w:rPr>
        <w:fldChar w:fldCharType="end"/>
      </w:r>
    </w:p>
    <w:bookmarkEnd w:id="0"/>
    <w:p w14:paraId="24328CA6" w14:textId="77777777" w:rsidR="003F223C" w:rsidRPr="00D05A02" w:rsidRDefault="003F223C">
      <w:pPr>
        <w:pStyle w:val="Standard"/>
        <w:spacing w:after="198" w:line="288" w:lineRule="auto"/>
        <w:jc w:val="both"/>
        <w:rPr>
          <w:b/>
          <w:bCs/>
          <w:color w:val="1F497D"/>
          <w:sz w:val="24"/>
          <w:szCs w:val="24"/>
          <w:lang w:val="en-US"/>
        </w:rPr>
      </w:pPr>
    </w:p>
    <w:p w14:paraId="424A7F11" w14:textId="77777777" w:rsidR="003F223C" w:rsidRDefault="00B66A92">
      <w:pPr>
        <w:pStyle w:val="Standard"/>
        <w:spacing w:after="198" w:line="288" w:lineRule="auto"/>
        <w:jc w:val="both"/>
        <w:rPr>
          <w:b/>
          <w:bCs/>
          <w:color w:val="1F497D"/>
          <w:sz w:val="24"/>
          <w:szCs w:val="24"/>
        </w:rPr>
      </w:pPr>
      <w:r>
        <w:rPr>
          <w:rStyle w:val="Ninguno"/>
          <w:b/>
          <w:bCs/>
          <w:color w:val="1F497D"/>
          <w:sz w:val="24"/>
          <w:szCs w:val="24"/>
        </w:rPr>
        <w:t>Tribunal Administrativo Central de Recursos Contractuales</w:t>
      </w:r>
    </w:p>
    <w:p w14:paraId="3EF982F2" w14:textId="77777777" w:rsidR="003F223C" w:rsidRDefault="00B66A92" w:rsidP="0062002E">
      <w:pPr>
        <w:pStyle w:val="Poromisin"/>
        <w:suppressAutoHyphens/>
        <w:spacing w:before="0" w:after="80"/>
        <w:jc w:val="both"/>
      </w:pPr>
      <w:r>
        <w:rPr>
          <w:rStyle w:val="Ninguno"/>
          <w:rFonts w:ascii="Calibri" w:eastAsia="Calibri" w:hAnsi="Calibri" w:cs="Calibri"/>
          <w:b/>
          <w:bCs/>
          <w:sz w:val="22"/>
          <w:szCs w:val="22"/>
          <w:shd w:val="clear" w:color="auto" w:fill="FFFFFF"/>
        </w:rPr>
        <w:t xml:space="preserve">- Resolución 398/2026, de 5 de marzo de 2025. </w:t>
      </w:r>
      <w:r>
        <w:rPr>
          <w:rStyle w:val="Ninguno"/>
          <w:rFonts w:ascii="Calibri" w:eastAsia="Calibri" w:hAnsi="Calibri" w:cs="Calibri"/>
          <w:sz w:val="22"/>
          <w:szCs w:val="22"/>
          <w:shd w:val="clear" w:color="auto" w:fill="FFFFFF"/>
        </w:rPr>
        <w:t>Recurso contra adjudicación en contrato de servicios, LCSP. Estimación parcial. Falta de motivación por no haberse publicado el informe técnico antes de la adjudicación. No hay vulneración del principio de objetividad e imparcialidad en la medida en que la fecha de los informes obrantes en el expediente hace prueba de que la valoración de criterios subjetivos se produjo antes de la de los automáticos. Valoración efectuada por los servicios dependientes del OC. No procede anular la licitación, sino la retroacción de actuaciones.</w:t>
      </w:r>
    </w:p>
    <w:p w14:paraId="6B9D93DE" w14:textId="4B2C2C80" w:rsidR="003F223C" w:rsidRPr="00004204" w:rsidRDefault="00004204">
      <w:pPr>
        <w:pStyle w:val="Poromisin"/>
        <w:suppressAutoHyphens/>
        <w:spacing w:before="0"/>
        <w:jc w:val="both"/>
        <w:rPr>
          <w:rStyle w:val="Hyperlink0"/>
          <w:rFonts w:ascii="Calibri" w:eastAsia="Calibri" w:hAnsi="Calibri" w:cs="Calibri"/>
          <w:sz w:val="22"/>
          <w:szCs w:val="22"/>
        </w:rPr>
      </w:pPr>
      <w:hyperlink r:id="rId32" w:history="1">
        <w:r w:rsidRPr="00004204">
          <w:rPr>
            <w:rStyle w:val="Hyperlink0"/>
            <w:rFonts w:ascii="Calibri" w:hAnsi="Calibri" w:cs="Calibri"/>
            <w:sz w:val="22"/>
            <w:szCs w:val="22"/>
          </w:rPr>
          <w:t>https://www.hacienda.gob.es/tacrc/resoluciones/a%C3%B1o%202026/recurso%202018-2025%20(res%20398)%2005-03-2026.pdf</w:t>
        </w:r>
      </w:hyperlink>
    </w:p>
    <w:p w14:paraId="173EA842" w14:textId="77777777" w:rsidR="003F223C" w:rsidRDefault="00B66A92" w:rsidP="0062002E">
      <w:pPr>
        <w:pStyle w:val="Poromisin"/>
        <w:suppressAutoHyphens/>
        <w:spacing w:before="0" w:after="80"/>
        <w:jc w:val="both"/>
      </w:pPr>
      <w:r>
        <w:rPr>
          <w:rStyle w:val="Ninguno"/>
          <w:rFonts w:ascii="Calibri" w:eastAsia="Calibri" w:hAnsi="Calibri" w:cs="Calibri"/>
          <w:b/>
          <w:bCs/>
          <w:sz w:val="22"/>
          <w:szCs w:val="22"/>
          <w:shd w:val="clear" w:color="auto" w:fill="FFFFFF"/>
        </w:rPr>
        <w:lastRenderedPageBreak/>
        <w:t xml:space="preserve">- Resolución 387/2026, de 5 de marzo de 2026. </w:t>
      </w:r>
      <w:r>
        <w:rPr>
          <w:rStyle w:val="Ninguno"/>
          <w:rFonts w:ascii="Calibri" w:eastAsia="Calibri" w:hAnsi="Calibri" w:cs="Calibri"/>
          <w:sz w:val="22"/>
          <w:szCs w:val="22"/>
          <w:shd w:val="clear" w:color="auto" w:fill="FFFFFF"/>
        </w:rPr>
        <w:t>Recurso contra pliegos en contrato de servicios, LCSP. Desestimación. Legitimación de licitador que no ha presentado oferta. La cláusula impugnada del PPT se ajusta a los límites de los artículos 125 y 126 de la LCSP. Doctrina del TJUE sobre formulación de especificaciones técnicas. No es preceptivo que los licitadores deban acreditar en el momento de la presentación de sus ofertas que ya poseen los medios o recursos necesarios para ejecutar el contrato que se especifican en el PPT. Discrecionalidad técnica del órgano de contratación para configurar los criterios de adjudicación del contrato. Los licitadores son tratados con las mismas reglas, sin favorecer ni perjudicar indebidamente a ninguno.</w:t>
      </w:r>
    </w:p>
    <w:p w14:paraId="59C9A226" w14:textId="77777777" w:rsidR="003F223C" w:rsidRPr="004F1741" w:rsidRDefault="00B66A92" w:rsidP="004F1741">
      <w:pPr>
        <w:pStyle w:val="Standard"/>
        <w:spacing w:after="198" w:line="288" w:lineRule="auto"/>
        <w:jc w:val="both"/>
        <w:outlineLvl w:val="0"/>
        <w:rPr>
          <w:rStyle w:val="Hyperlink0"/>
        </w:rPr>
      </w:pPr>
      <w:hyperlink r:id="rId33">
        <w:r w:rsidRPr="004F1741">
          <w:rPr>
            <w:rStyle w:val="Hyperlink0"/>
          </w:rPr>
          <w:t>https://www.hacienda.gob.es/tacrc/resoluciones/a%C3%B1o%202026/recurso%201978-2025%20(res%20387)%2005-03-2026.pdf</w:t>
        </w:r>
      </w:hyperlink>
    </w:p>
    <w:p w14:paraId="275E7229" w14:textId="77777777" w:rsidR="003F223C" w:rsidRDefault="003F223C">
      <w:pPr>
        <w:pStyle w:val="Poromisin"/>
        <w:suppressAutoHyphens/>
        <w:spacing w:before="0"/>
        <w:jc w:val="both"/>
        <w:rPr>
          <w:rStyle w:val="Ninguno"/>
          <w:rFonts w:ascii="Calibri" w:eastAsia="Calibri" w:hAnsi="Calibri" w:cs="Calibri"/>
          <w:b/>
          <w:bCs/>
          <w:sz w:val="22"/>
          <w:szCs w:val="22"/>
          <w:shd w:val="clear" w:color="auto" w:fill="FFFFFF"/>
        </w:rPr>
      </w:pPr>
    </w:p>
    <w:p w14:paraId="6D4E4703" w14:textId="77777777" w:rsidR="003F223C" w:rsidRDefault="00B66A92" w:rsidP="0062002E">
      <w:pPr>
        <w:pStyle w:val="Poromisin"/>
        <w:suppressAutoHyphens/>
        <w:spacing w:before="0" w:after="80"/>
        <w:jc w:val="both"/>
      </w:pPr>
      <w:r>
        <w:rPr>
          <w:rStyle w:val="Ninguno"/>
          <w:rFonts w:ascii="Calibri" w:eastAsia="Calibri" w:hAnsi="Calibri" w:cs="Calibri"/>
          <w:b/>
          <w:bCs/>
          <w:sz w:val="22"/>
          <w:szCs w:val="22"/>
          <w:shd w:val="clear" w:color="auto" w:fill="FFFFFF"/>
        </w:rPr>
        <w:t xml:space="preserve">- Resolución 470/2026, de 12 de marzo de 2026. </w:t>
      </w:r>
      <w:r>
        <w:rPr>
          <w:rStyle w:val="Ninguno"/>
          <w:rFonts w:ascii="Calibri" w:eastAsia="Calibri" w:hAnsi="Calibri" w:cs="Calibri"/>
          <w:sz w:val="22"/>
          <w:szCs w:val="22"/>
          <w:shd w:val="clear" w:color="auto" w:fill="FFFFFF"/>
        </w:rPr>
        <w:t xml:space="preserve">Recurso contra adjudicación en contrato de servicios, LCSP. Estimación parcial. La omisión en la memoria técnica del contenido exigido por el PCAP no supone, salvo expresa previsión, la exclusión del </w:t>
      </w:r>
      <w:proofErr w:type="gramStart"/>
      <w:r>
        <w:rPr>
          <w:rStyle w:val="Ninguno"/>
          <w:rFonts w:ascii="Calibri" w:eastAsia="Calibri" w:hAnsi="Calibri" w:cs="Calibri"/>
          <w:sz w:val="22"/>
          <w:szCs w:val="22"/>
          <w:shd w:val="clear" w:color="auto" w:fill="FFFFFF"/>
        </w:rPr>
        <w:t>licitador</w:t>
      </w:r>
      <w:proofErr w:type="gramEnd"/>
      <w:r>
        <w:rPr>
          <w:rStyle w:val="Ninguno"/>
          <w:rFonts w:ascii="Calibri" w:eastAsia="Calibri" w:hAnsi="Calibri" w:cs="Calibri"/>
          <w:sz w:val="22"/>
          <w:szCs w:val="22"/>
          <w:shd w:val="clear" w:color="auto" w:fill="FFFFFF"/>
        </w:rPr>
        <w:t xml:space="preserve"> sino que su oferta reciba cero puntos en el criterio afectado por la omisión. La motivación de la valoración debe ser correlativa al nivel de detalle contenido en el pliego al enumerar los aspectos a valorar y las pautas para su valoración. Las facturas son, salvo prueba en contrario, documento bastante para acreditar la existencia de una relación profesional a efectos de la solvencia técnica. Principio de minimización de datos, solamente procede conceder acceso a los datos personales indispensables para lograr el fin pretendido. No es válida la genérica protesta de insuficiente acceso al </w:t>
      </w:r>
      <w:proofErr w:type="gramStart"/>
      <w:r>
        <w:rPr>
          <w:rStyle w:val="Ninguno"/>
          <w:rFonts w:ascii="Calibri" w:eastAsia="Calibri" w:hAnsi="Calibri" w:cs="Calibri"/>
          <w:sz w:val="22"/>
          <w:szCs w:val="22"/>
          <w:shd w:val="clear" w:color="auto" w:fill="FFFFFF"/>
        </w:rPr>
        <w:t>expediente</w:t>
      </w:r>
      <w:proofErr w:type="gramEnd"/>
      <w:r>
        <w:rPr>
          <w:rStyle w:val="Ninguno"/>
          <w:rFonts w:ascii="Calibri" w:eastAsia="Calibri" w:hAnsi="Calibri" w:cs="Calibri"/>
          <w:sz w:val="22"/>
          <w:szCs w:val="22"/>
          <w:shd w:val="clear" w:color="auto" w:fill="FFFFFF"/>
        </w:rPr>
        <w:t xml:space="preserve"> sino que deben identificarse las partes que no se le han dado y las razones por las que se entiende preciso el acceso. Para aportar la tenencia de un título al tiempo de la licitación basta con acreditar haber solicitado su expedición.</w:t>
      </w:r>
    </w:p>
    <w:p w14:paraId="6F07402A" w14:textId="77777777" w:rsidR="003F223C" w:rsidRPr="004F1741" w:rsidRDefault="00B66A92" w:rsidP="004F1741">
      <w:pPr>
        <w:pStyle w:val="Standard"/>
        <w:spacing w:after="198" w:line="288" w:lineRule="auto"/>
        <w:jc w:val="both"/>
        <w:outlineLvl w:val="0"/>
        <w:rPr>
          <w:rStyle w:val="Hyperlink0"/>
        </w:rPr>
      </w:pPr>
      <w:hyperlink r:id="rId34">
        <w:r w:rsidRPr="004F1741">
          <w:rPr>
            <w:rStyle w:val="Hyperlink0"/>
          </w:rPr>
          <w:t>https://www.hacienda.gob.es/tacrc/resoluciones/a%C3%B1o%202026/recurso%202074-2025%20(res%20470)%2012-03-2026.pdf</w:t>
        </w:r>
      </w:hyperlink>
    </w:p>
    <w:p w14:paraId="5843C001" w14:textId="77777777" w:rsidR="003F223C" w:rsidRDefault="00B66A92" w:rsidP="0062002E">
      <w:pPr>
        <w:pStyle w:val="Poromisin"/>
        <w:suppressAutoHyphens/>
        <w:spacing w:before="0" w:after="80"/>
        <w:jc w:val="both"/>
      </w:pPr>
      <w:r>
        <w:rPr>
          <w:rStyle w:val="Ninguno"/>
          <w:rFonts w:ascii="Calibri" w:eastAsia="Calibri" w:hAnsi="Calibri" w:cs="Calibri"/>
          <w:b/>
          <w:bCs/>
          <w:sz w:val="22"/>
          <w:szCs w:val="22"/>
          <w:shd w:val="clear" w:color="auto" w:fill="FFFFFF"/>
        </w:rPr>
        <w:t xml:space="preserve">- Resolución 436/2026, de 12 de marzo de 2026. </w:t>
      </w:r>
      <w:r>
        <w:rPr>
          <w:rStyle w:val="Ninguno"/>
          <w:rFonts w:ascii="Calibri" w:eastAsia="Calibri" w:hAnsi="Calibri" w:cs="Calibri"/>
          <w:sz w:val="22"/>
          <w:szCs w:val="22"/>
          <w:shd w:val="clear" w:color="auto" w:fill="FFFFFF"/>
        </w:rPr>
        <w:t>Recurso contra exclusión en contrato de servicios, LCSP. Estimación total. Se impugna acuerdo por el que se tiene por retirada la oferta de la empresa mejor clasificada por no aportar las cuentas anuales depositadas de dos ejercicios, y no acreditar solvencia técnica en uno de los tres últimos ejercicios. Se cita la doctrina del TACRC sobre la obligación de aportar las cuentas anuales debidamente depositadas en el Registro Mercantil. Estimación del recurso al acreditar la empresa tener solvencia económica mediante las cuentas anuales depositadas en uno de los tres últimos ejercicios, aunque no las depositara en los otros dos. También, acreditó tener solvencia económica suficiente en dos de los tres últimos ejercicios con los certificados aportados, aunque no alcanzara el mínimo en uno de los ejercicios.</w:t>
      </w:r>
    </w:p>
    <w:p w14:paraId="3A29C90B" w14:textId="77777777" w:rsidR="003F223C" w:rsidRPr="004F1741" w:rsidRDefault="00B66A92" w:rsidP="004F1741">
      <w:pPr>
        <w:pStyle w:val="Standard"/>
        <w:spacing w:after="198" w:line="288" w:lineRule="auto"/>
        <w:jc w:val="both"/>
        <w:outlineLvl w:val="0"/>
        <w:rPr>
          <w:rStyle w:val="Hyperlink0"/>
        </w:rPr>
      </w:pPr>
      <w:hyperlink r:id="rId35">
        <w:r w:rsidRPr="004F1741">
          <w:rPr>
            <w:rStyle w:val="Hyperlink0"/>
          </w:rPr>
          <w:t>https://www.hacienda.gob.es/tacrc/resoluciones/a%C3%B1o%202026/recurso%202009-2025%20val%20397-2025%20(res%20436)%2012-03-2026.pdf</w:t>
        </w:r>
      </w:hyperlink>
    </w:p>
    <w:p w14:paraId="70128D4D" w14:textId="77777777" w:rsidR="003F223C" w:rsidRDefault="003F223C">
      <w:pPr>
        <w:pStyle w:val="Poromisin"/>
        <w:suppressAutoHyphens/>
        <w:spacing w:before="0"/>
        <w:jc w:val="both"/>
        <w:rPr>
          <w:rStyle w:val="Ninguno"/>
          <w:rFonts w:ascii="Calibri" w:eastAsia="Calibri" w:hAnsi="Calibri" w:cs="Calibri"/>
          <w:b/>
          <w:bCs/>
          <w:sz w:val="22"/>
          <w:szCs w:val="22"/>
          <w:shd w:val="clear" w:color="auto" w:fill="FFFFFF"/>
        </w:rPr>
      </w:pPr>
    </w:p>
    <w:p w14:paraId="12C3A8CE" w14:textId="77777777" w:rsidR="003F223C" w:rsidRDefault="00B66A92" w:rsidP="0062002E">
      <w:pPr>
        <w:pStyle w:val="Poromisin"/>
        <w:suppressAutoHyphens/>
        <w:spacing w:before="0" w:after="80"/>
        <w:jc w:val="both"/>
      </w:pPr>
      <w:r>
        <w:rPr>
          <w:rStyle w:val="Ninguno"/>
          <w:rFonts w:ascii="Calibri" w:eastAsia="Calibri" w:hAnsi="Calibri" w:cs="Calibri"/>
          <w:b/>
          <w:bCs/>
          <w:sz w:val="22"/>
          <w:szCs w:val="22"/>
          <w:shd w:val="clear" w:color="auto" w:fill="FFFFFF"/>
        </w:rPr>
        <w:t>- Resolución 459/2026, de 12 de marzo de 2026.</w:t>
      </w:r>
      <w:r>
        <w:rPr>
          <w:rStyle w:val="Ninguno"/>
          <w:rFonts w:ascii="Calibri" w:eastAsia="Calibri" w:hAnsi="Calibri" w:cs="Calibri"/>
          <w:sz w:val="22"/>
          <w:szCs w:val="22"/>
          <w:shd w:val="clear" w:color="auto" w:fill="FFFFFF"/>
        </w:rPr>
        <w:t xml:space="preserve"> Reclamación contra pliegos en contrato de Servicios, RDL3/2020 Estimación parcial. Análisis de la determinación de la solvencia y sus requisitos en relación con el objeto del contrato. Análisis de exigencias restrictivas o discriminatorias. Modificación de criterios de solvencia respecto de los aplicados en licitaciones previas referida a fases anteriores del mismo proyecto objeto del contrato: no existe un derecho a la congelación de los requisitos de solvencia.</w:t>
      </w:r>
    </w:p>
    <w:p w14:paraId="772F949D" w14:textId="77777777" w:rsidR="003F223C" w:rsidRPr="004F1741" w:rsidRDefault="00B66A92" w:rsidP="004F1741">
      <w:pPr>
        <w:pStyle w:val="Standard"/>
        <w:spacing w:after="198" w:line="288" w:lineRule="auto"/>
        <w:jc w:val="both"/>
        <w:outlineLvl w:val="0"/>
        <w:rPr>
          <w:rStyle w:val="Hyperlink0"/>
        </w:rPr>
      </w:pPr>
      <w:hyperlink r:id="rId36">
        <w:r w:rsidRPr="004F1741">
          <w:rPr>
            <w:rStyle w:val="Hyperlink0"/>
          </w:rPr>
          <w:t>https://www.hacienda.gob.es/tacrc/resoluciones/a%C3%B1o%202026/recurso%202060-2025%20(res%20459)%2012-03-2026.pdf</w:t>
        </w:r>
      </w:hyperlink>
    </w:p>
    <w:p w14:paraId="03EA5626" w14:textId="77777777" w:rsidR="003F223C" w:rsidRDefault="00B66A92" w:rsidP="0062002E">
      <w:pPr>
        <w:pStyle w:val="Poromisin"/>
        <w:suppressAutoHyphens/>
        <w:spacing w:before="0" w:after="80"/>
        <w:jc w:val="both"/>
      </w:pPr>
      <w:r>
        <w:rPr>
          <w:rStyle w:val="Ninguno"/>
          <w:rFonts w:ascii="Calibri" w:eastAsia="Calibri" w:hAnsi="Calibri" w:cs="Calibri"/>
          <w:b/>
          <w:bCs/>
          <w:sz w:val="22"/>
          <w:szCs w:val="22"/>
          <w:shd w:val="clear" w:color="auto" w:fill="FFFFFF"/>
        </w:rPr>
        <w:t xml:space="preserve">- Resolución 457/2026, de 12 de marzo de 2026. </w:t>
      </w:r>
      <w:r>
        <w:rPr>
          <w:rStyle w:val="Ninguno"/>
          <w:rFonts w:ascii="Calibri" w:eastAsia="Calibri" w:hAnsi="Calibri" w:cs="Calibri"/>
          <w:sz w:val="22"/>
          <w:szCs w:val="22"/>
          <w:shd w:val="clear" w:color="auto" w:fill="FFFFFF"/>
        </w:rPr>
        <w:t>Recurso contra exclusión en contrato de servicios, LCSP. Estimación total. Solvencia en caso de concurrir bajo compromiso de constitución de UTE. Principio de acumulación del artículo 24 e interpretación del Tribunal Supremo. Extensión de la solvencia a todos los miembros de la UTE, aunque algunos carezcan totalmente de solvencia.</w:t>
      </w:r>
    </w:p>
    <w:p w14:paraId="4FF7AF91" w14:textId="77777777" w:rsidR="003F223C" w:rsidRPr="004F1741" w:rsidRDefault="00B66A92" w:rsidP="004F1741">
      <w:pPr>
        <w:pStyle w:val="Standard"/>
        <w:spacing w:after="198" w:line="288" w:lineRule="auto"/>
        <w:jc w:val="both"/>
        <w:outlineLvl w:val="0"/>
        <w:rPr>
          <w:rStyle w:val="Hyperlink0"/>
        </w:rPr>
      </w:pPr>
      <w:hyperlink r:id="rId37">
        <w:r w:rsidRPr="004F1741">
          <w:rPr>
            <w:rStyle w:val="Hyperlink0"/>
          </w:rPr>
          <w:t>https://www.hacienda.gob.es/tacrc/resoluciones/a%C3%B1o%202026/recurso%202058-202%20val%20408-2025%20(res%20457)%2012-03-2026.pdf</w:t>
        </w:r>
      </w:hyperlink>
    </w:p>
    <w:p w14:paraId="52A3BE79" w14:textId="77777777" w:rsidR="003F223C" w:rsidRDefault="00B66A92" w:rsidP="0062002E">
      <w:pPr>
        <w:pStyle w:val="Poromisin"/>
        <w:suppressAutoHyphens/>
        <w:spacing w:before="0" w:after="80"/>
        <w:jc w:val="both"/>
      </w:pPr>
      <w:r>
        <w:rPr>
          <w:rStyle w:val="Ninguno"/>
          <w:rFonts w:ascii="Calibri" w:eastAsia="Calibri" w:hAnsi="Calibri" w:cs="Calibri"/>
          <w:b/>
          <w:bCs/>
          <w:sz w:val="22"/>
          <w:szCs w:val="22"/>
          <w:shd w:val="clear" w:color="auto" w:fill="FFFFFF"/>
        </w:rPr>
        <w:t xml:space="preserve">- Resolución 430/2026, de 12 de marzo de 2026. </w:t>
      </w:r>
      <w:r>
        <w:rPr>
          <w:rStyle w:val="Ninguno"/>
          <w:rFonts w:ascii="Calibri" w:eastAsia="Calibri" w:hAnsi="Calibri" w:cs="Calibri"/>
          <w:sz w:val="22"/>
          <w:szCs w:val="22"/>
          <w:shd w:val="clear" w:color="auto" w:fill="FFFFFF"/>
        </w:rPr>
        <w:t>Recurso contra adjudicación en contrato de servicios, LCSP. Estimación parcial. Recurso contra adjudicación. Inadecuación de varios de los vehículos adscritos a las exigencias del pliego de prescripciones técnicas. Los vehículos que son compromiso de adscripción de medios son susceptibles de subsanación en el trámite del artículo 150.2 de la LCSP, no ocurre lo mismo con los que son oferta. Habiendo al menos uno que es oferta y que no cumple los requisitos, no es posible su subsanación. Teniendo en cuenta la alteración en las contraprestaciones de la oferta y que los requisitos eran objetivos, la oferta se ha modificado, por lo que procede la exclusión del adjudicatario. No es posible la adjudicación del contrato al recurrente por la función revisora de este Tribunal.</w:t>
      </w:r>
    </w:p>
    <w:p w14:paraId="6ECF0D55" w14:textId="77777777" w:rsidR="003F223C" w:rsidRPr="004F1741" w:rsidRDefault="00B66A92" w:rsidP="004F1741">
      <w:pPr>
        <w:pStyle w:val="Standard"/>
        <w:spacing w:after="198" w:line="288" w:lineRule="auto"/>
        <w:jc w:val="both"/>
        <w:outlineLvl w:val="0"/>
        <w:rPr>
          <w:rStyle w:val="Hyperlink0"/>
        </w:rPr>
      </w:pPr>
      <w:hyperlink r:id="rId38">
        <w:r w:rsidRPr="004F1741">
          <w:rPr>
            <w:rStyle w:val="Hyperlink0"/>
          </w:rPr>
          <w:t>https://www.hacienda.gob.es/tacrc/resoluciones/a%C3%B1o%202026/recurso%201824-2025%20clm%20172-2025%20(res%20430)%2012-03-2026.pdf</w:t>
        </w:r>
      </w:hyperlink>
    </w:p>
    <w:p w14:paraId="40ABE3D0" w14:textId="77777777" w:rsidR="003F223C" w:rsidRDefault="00B66A92" w:rsidP="0062002E">
      <w:pPr>
        <w:pStyle w:val="Poromisin"/>
        <w:suppressAutoHyphens/>
        <w:spacing w:before="0" w:after="80"/>
        <w:jc w:val="both"/>
      </w:pPr>
      <w:r>
        <w:rPr>
          <w:rStyle w:val="Ninguno"/>
          <w:rFonts w:ascii="Calibri" w:eastAsia="Calibri" w:hAnsi="Calibri" w:cs="Calibri"/>
          <w:b/>
          <w:bCs/>
          <w:sz w:val="22"/>
          <w:szCs w:val="22"/>
          <w:shd w:val="clear" w:color="auto" w:fill="FFFFFF"/>
        </w:rPr>
        <w:t xml:space="preserve">- Resolución 433/2026, de 17 de marzo de 2026. </w:t>
      </w:r>
      <w:r>
        <w:rPr>
          <w:rStyle w:val="Ninguno"/>
          <w:rFonts w:ascii="Calibri" w:eastAsia="Calibri" w:hAnsi="Calibri" w:cs="Calibri"/>
          <w:sz w:val="22"/>
          <w:szCs w:val="22"/>
          <w:shd w:val="clear" w:color="auto" w:fill="FFFFFF"/>
        </w:rPr>
        <w:t>Recurso contra exclusión en contrato de servicios, LCSP. Desestimación. Se impugna la exclusión motivada por la modificación de la oferta económica. Se analiza si la modificación realizada en unos de los precios unitarios, tras ser requerida las licitadoras para que aclararan la diferencia existente entre el precio global y la suma de los precios unitarios, puede ser considerado como un mero error salvable, a los efectos de admitir a la licitadora, debido a que la modificación de dicho precio unitario y, en consecuencia, de la oferta global, fue ínfima, de solo 4 céntimos.</w:t>
      </w:r>
    </w:p>
    <w:p w14:paraId="1D4F6913" w14:textId="77777777" w:rsidR="003F223C" w:rsidRPr="004F1741" w:rsidRDefault="00B66A92" w:rsidP="004F1741">
      <w:pPr>
        <w:pStyle w:val="Standard"/>
        <w:spacing w:after="198" w:line="288" w:lineRule="auto"/>
        <w:jc w:val="both"/>
        <w:outlineLvl w:val="0"/>
        <w:rPr>
          <w:rStyle w:val="Hyperlink0"/>
        </w:rPr>
      </w:pPr>
      <w:hyperlink r:id="rId39">
        <w:r w:rsidRPr="004F1741">
          <w:rPr>
            <w:rStyle w:val="Hyperlink0"/>
          </w:rPr>
          <w:t>https://www.hacienda.gob.es/tacrc/resoluciones/a%C3%B1o%202026/recurso%201974-2025%20(res%20433)%2012-03-2026.pdf</w:t>
        </w:r>
      </w:hyperlink>
    </w:p>
    <w:p w14:paraId="0A7EAE76" w14:textId="77777777" w:rsidR="003F223C" w:rsidRDefault="003F223C">
      <w:pPr>
        <w:pStyle w:val="Poromisin"/>
        <w:suppressAutoHyphens/>
        <w:spacing w:before="0"/>
        <w:jc w:val="both"/>
        <w:rPr>
          <w:rStyle w:val="Ninguno"/>
          <w:rFonts w:ascii="Calibri" w:eastAsia="Calibri" w:hAnsi="Calibri" w:cs="Calibri"/>
          <w:sz w:val="22"/>
          <w:szCs w:val="22"/>
          <w:shd w:val="clear" w:color="auto" w:fill="FFFFFF"/>
        </w:rPr>
      </w:pPr>
    </w:p>
    <w:p w14:paraId="0BE74D4D" w14:textId="77777777" w:rsidR="003F223C" w:rsidRDefault="00B66A92" w:rsidP="0062002E">
      <w:pPr>
        <w:pStyle w:val="Poromisin"/>
        <w:suppressAutoHyphens/>
        <w:spacing w:before="0" w:after="80"/>
        <w:jc w:val="both"/>
      </w:pPr>
      <w:r>
        <w:rPr>
          <w:rStyle w:val="Ninguno"/>
          <w:rFonts w:ascii="Calibri" w:eastAsia="Calibri" w:hAnsi="Calibri" w:cs="Calibri"/>
          <w:b/>
          <w:bCs/>
          <w:sz w:val="22"/>
          <w:szCs w:val="22"/>
          <w:shd w:val="clear" w:color="auto" w:fill="FFFFFF"/>
        </w:rPr>
        <w:t xml:space="preserve">- Resolución 498/2026, de 19 de marzo de 2026. </w:t>
      </w:r>
      <w:r>
        <w:rPr>
          <w:rStyle w:val="Ninguno"/>
          <w:rFonts w:ascii="Calibri" w:eastAsia="Calibri" w:hAnsi="Calibri" w:cs="Calibri"/>
          <w:sz w:val="22"/>
          <w:szCs w:val="22"/>
          <w:shd w:val="clear" w:color="auto" w:fill="FFFFFF"/>
        </w:rPr>
        <w:t>Recurso contra exclusión y acuerdo de declaración de desierto en contrato de servicios. LCSP. Estimación total. La mesa de contratación ha excedido sus funciones de calificación, apreciando una presunta insuficiencia probatoria que no procedía examinar en el momento en que se produjo, incurriendo en una efectiva incompetencia para acordar la exclusión y anticipando indebidamente la valoración de la solvencia pues únicamente una vez efectuado el requerimiento al licitador mejor clasificado y examinada la documentación aportada pudo acordarse, por el órgano de contratación y no por la mesa de contratación, la falta de acreditación de la solvencia. Resulta improcedente la exclusión acordada al carecer la mesa de contratación de competencia para declarar la misma, habiendo dictado tal acto en una clara extralimitación de sus funciones y de forma evidentemente prematura. Siendo el objeto del recurso especial el acuerdo de declaración de desierto, que trae causa de la referida exclusión y habiendo desaparecido tal presupuesto, el mismo queda anulado, estimando la pretensión de la recurrente en el sentido de retrotraer actuaciones al momento de calificación de la documentación administrativa por la mesa de contratación.</w:t>
      </w:r>
    </w:p>
    <w:p w14:paraId="438D4296" w14:textId="77777777" w:rsidR="003F223C" w:rsidRPr="004F1741" w:rsidRDefault="00B66A92" w:rsidP="004F1741">
      <w:pPr>
        <w:pStyle w:val="Standard"/>
        <w:spacing w:after="198" w:line="288" w:lineRule="auto"/>
        <w:jc w:val="both"/>
        <w:outlineLvl w:val="0"/>
        <w:rPr>
          <w:rStyle w:val="Hyperlink0"/>
        </w:rPr>
      </w:pPr>
      <w:hyperlink r:id="rId40">
        <w:r w:rsidRPr="004F1741">
          <w:rPr>
            <w:rStyle w:val="Hyperlink0"/>
          </w:rPr>
          <w:t>https://www.hacienda.gob.es/tacrc/resoluciones/a%C3%B1o%202026/recurso%201959-2025%20ib%20113-2025%20(res%20498)%2019-03-2026.pdf</w:t>
        </w:r>
      </w:hyperlink>
    </w:p>
    <w:p w14:paraId="558CE4B2" w14:textId="77777777" w:rsidR="003F223C" w:rsidRDefault="00B66A92" w:rsidP="0062002E">
      <w:pPr>
        <w:pStyle w:val="Poromisin"/>
        <w:suppressAutoHyphens/>
        <w:spacing w:before="0" w:after="80"/>
        <w:jc w:val="both"/>
      </w:pPr>
      <w:r>
        <w:rPr>
          <w:rStyle w:val="Ninguno"/>
          <w:rFonts w:ascii="Calibri" w:eastAsia="Calibri" w:hAnsi="Calibri" w:cs="Calibri"/>
          <w:b/>
          <w:bCs/>
          <w:sz w:val="22"/>
          <w:szCs w:val="22"/>
          <w:shd w:val="clear" w:color="auto" w:fill="FFFFFF"/>
        </w:rPr>
        <w:t xml:space="preserve">- Resolución 497/2026, de 19 de marzo de 2026. </w:t>
      </w:r>
      <w:r>
        <w:rPr>
          <w:rStyle w:val="Ninguno"/>
          <w:rFonts w:ascii="Calibri" w:eastAsia="Calibri" w:hAnsi="Calibri" w:cs="Calibri"/>
          <w:sz w:val="22"/>
          <w:szCs w:val="22"/>
          <w:shd w:val="clear" w:color="auto" w:fill="FFFFFF"/>
        </w:rPr>
        <w:t>Recurso contra adjudicación en contrato de servicios, LCSP. Estimación total. Falta de motivación del informe técnico de valoración de los criterios sometidos a juicios de valor: se limita a otorgar las puntuaciones sin respaldo explicativo sobre los aspectos de cada oferta que le han cualificado sobre las demás, provocando, por ello, indefensión a la recurrente. No cabe retroacción una vez evaluados los criterios automáticos: anulación de todo el procedimiento.</w:t>
      </w:r>
    </w:p>
    <w:p w14:paraId="192E515D" w14:textId="77777777" w:rsidR="003F223C" w:rsidRPr="004F1741" w:rsidRDefault="00B66A92" w:rsidP="004F1741">
      <w:pPr>
        <w:pStyle w:val="Standard"/>
        <w:spacing w:after="198" w:line="288" w:lineRule="auto"/>
        <w:jc w:val="both"/>
        <w:outlineLvl w:val="0"/>
        <w:rPr>
          <w:rStyle w:val="Hyperlink0"/>
        </w:rPr>
      </w:pPr>
      <w:hyperlink r:id="rId41">
        <w:r w:rsidRPr="004F1741">
          <w:rPr>
            <w:rStyle w:val="Hyperlink0"/>
          </w:rPr>
          <w:t>https://www.hacienda.gob.es/tacrc/resoluciones/a%C3%B1o%202026/recurso%201866-2025%20ast%2092-2025%20(res%20497)%2019-03-2026.pdf</w:t>
        </w:r>
      </w:hyperlink>
    </w:p>
    <w:p w14:paraId="51BB627F" w14:textId="77777777" w:rsidR="003F223C" w:rsidRDefault="00B66A92" w:rsidP="0062002E">
      <w:pPr>
        <w:pStyle w:val="Poromisin"/>
        <w:suppressAutoHyphens/>
        <w:spacing w:before="0" w:after="80"/>
        <w:jc w:val="both"/>
      </w:pPr>
      <w:r>
        <w:rPr>
          <w:rStyle w:val="Ninguno"/>
          <w:rFonts w:ascii="Calibri" w:eastAsia="Calibri" w:hAnsi="Calibri" w:cs="Calibri"/>
          <w:b/>
          <w:bCs/>
          <w:sz w:val="22"/>
          <w:szCs w:val="22"/>
          <w:shd w:val="clear" w:color="auto" w:fill="FFFFFF"/>
        </w:rPr>
        <w:t xml:space="preserve">- Resolución 494/22026, de 19 de marzo de 2026. </w:t>
      </w:r>
      <w:r>
        <w:rPr>
          <w:rStyle w:val="Ninguno"/>
          <w:rFonts w:ascii="Calibri" w:eastAsia="Calibri" w:hAnsi="Calibri" w:cs="Calibri"/>
          <w:sz w:val="22"/>
          <w:szCs w:val="22"/>
          <w:shd w:val="clear" w:color="auto" w:fill="FFFFFF"/>
        </w:rPr>
        <w:t>Recurso contra adjudicación en contrato de servicios. LCSP. Estimación parcial. La disponibilidad del centro en la localidad debe acreditarse en el momento de presentar la candidatura, sin que sea posible subsanar este requisito a posteriori. Además, el documento presentado es un formulario cumplimentado, en el que no consta número de registro y se refiere a una localidad en la que no se va a prestar el servicio. Estimación parcial pues el Tribunal no puede decidir que se adjudique el lote al recurrente.</w:t>
      </w:r>
    </w:p>
    <w:p w14:paraId="1CBE8F62" w14:textId="77777777" w:rsidR="003F223C" w:rsidRPr="004F1741" w:rsidRDefault="00B66A92" w:rsidP="004F1741">
      <w:pPr>
        <w:pStyle w:val="Standard"/>
        <w:spacing w:after="198" w:line="288" w:lineRule="auto"/>
        <w:jc w:val="both"/>
        <w:outlineLvl w:val="0"/>
        <w:rPr>
          <w:rStyle w:val="Hyperlink0"/>
        </w:rPr>
      </w:pPr>
      <w:hyperlink r:id="rId42">
        <w:r w:rsidRPr="004F1741">
          <w:rPr>
            <w:rStyle w:val="Hyperlink0"/>
          </w:rPr>
          <w:t>https://www.hacienda.gob.es/tacrc/resoluciones/a%C3%B1o%202026/recurso%200224-2026%20clm%2028-2026%20(res%20494)%2019-03-2026.pdf</w:t>
        </w:r>
      </w:hyperlink>
    </w:p>
    <w:p w14:paraId="558F75FF" w14:textId="77777777" w:rsidR="003F223C" w:rsidRDefault="003F223C">
      <w:pPr>
        <w:pStyle w:val="Poromisin"/>
        <w:suppressAutoHyphens/>
        <w:spacing w:before="0"/>
        <w:jc w:val="both"/>
        <w:rPr>
          <w:rStyle w:val="Ninguno"/>
          <w:rFonts w:ascii="Calibri" w:eastAsia="Calibri" w:hAnsi="Calibri" w:cs="Calibri"/>
          <w:b/>
          <w:bCs/>
          <w:sz w:val="22"/>
          <w:szCs w:val="22"/>
          <w:shd w:val="clear" w:color="auto" w:fill="FFFFFF"/>
        </w:rPr>
      </w:pPr>
    </w:p>
    <w:p w14:paraId="7BAE97D7" w14:textId="77777777" w:rsidR="003F223C" w:rsidRDefault="00B66A92" w:rsidP="0062002E">
      <w:pPr>
        <w:pStyle w:val="Poromisin"/>
        <w:suppressAutoHyphens/>
        <w:spacing w:before="0" w:after="80"/>
        <w:jc w:val="both"/>
      </w:pPr>
      <w:r>
        <w:rPr>
          <w:rStyle w:val="Ninguno"/>
          <w:rFonts w:ascii="Calibri" w:eastAsia="Calibri" w:hAnsi="Calibri" w:cs="Calibri"/>
          <w:b/>
          <w:bCs/>
          <w:sz w:val="22"/>
          <w:szCs w:val="22"/>
          <w:shd w:val="clear" w:color="auto" w:fill="FFFFFF"/>
        </w:rPr>
        <w:lastRenderedPageBreak/>
        <w:t xml:space="preserve">- Resolución 476/2026, de 19 de marzo de 2026. </w:t>
      </w:r>
      <w:r>
        <w:rPr>
          <w:rStyle w:val="Ninguno"/>
          <w:rFonts w:ascii="Calibri" w:eastAsia="Calibri" w:hAnsi="Calibri" w:cs="Calibri"/>
          <w:sz w:val="22"/>
          <w:szCs w:val="22"/>
          <w:shd w:val="clear" w:color="auto" w:fill="FFFFFF"/>
        </w:rPr>
        <w:t>Recurso contra adjudicación en Acuerdo Marco de suministro, LCSP. Desestimación. Se concede trámite de subsanación de la oferta técnica y tras el error cometido en la subsanación, declarando uno de los vehículos suministrados como "no viable", el recurrente solicita segundo trámite de subsanación por error en su oferta. No cabe segunda subsanación. Doctrina del Tribunal.</w:t>
      </w:r>
    </w:p>
    <w:p w14:paraId="74041BFF" w14:textId="77777777" w:rsidR="003F223C" w:rsidRPr="004F1741" w:rsidRDefault="00B66A92" w:rsidP="004F1741">
      <w:pPr>
        <w:pStyle w:val="Standard"/>
        <w:spacing w:after="198" w:line="288" w:lineRule="auto"/>
        <w:jc w:val="both"/>
        <w:outlineLvl w:val="0"/>
        <w:rPr>
          <w:rStyle w:val="Hyperlink0"/>
        </w:rPr>
      </w:pPr>
      <w:hyperlink r:id="rId43">
        <w:r w:rsidRPr="004F1741">
          <w:rPr>
            <w:rStyle w:val="Hyperlink0"/>
          </w:rPr>
          <w:t>https://www.hacienda.gob.es/tacrc/resoluciones/a%C3%B1o%202026/recurso%202062-2025%20(res%20476)%2019-03-2026.pdf</w:t>
        </w:r>
      </w:hyperlink>
    </w:p>
    <w:p w14:paraId="5451F56D" w14:textId="77777777" w:rsidR="003F223C" w:rsidRDefault="00B66A92" w:rsidP="0062002E">
      <w:pPr>
        <w:pStyle w:val="Poromisin"/>
        <w:suppressAutoHyphens/>
        <w:spacing w:before="0" w:after="80"/>
        <w:jc w:val="both"/>
      </w:pPr>
      <w:r>
        <w:rPr>
          <w:rStyle w:val="Ninguno"/>
          <w:rFonts w:ascii="Calibri" w:eastAsia="Calibri" w:hAnsi="Calibri" w:cs="Calibri"/>
          <w:b/>
          <w:bCs/>
          <w:sz w:val="22"/>
          <w:szCs w:val="22"/>
          <w:shd w:val="clear" w:color="auto" w:fill="FFFFFF"/>
        </w:rPr>
        <w:t xml:space="preserve">- Resolución 489/2026, de 19 de marzo de 2026. </w:t>
      </w:r>
      <w:r>
        <w:rPr>
          <w:rStyle w:val="Ninguno"/>
          <w:rFonts w:ascii="Calibri" w:eastAsia="Calibri" w:hAnsi="Calibri" w:cs="Calibri"/>
          <w:sz w:val="22"/>
          <w:szCs w:val="22"/>
          <w:shd w:val="clear" w:color="auto" w:fill="FFFFFF"/>
        </w:rPr>
        <w:t xml:space="preserve">Recurso contra acuerdo mesa clasificación de ofertas y propuesta de adjudicación en contrato de servicios, LCSP. Inadmisión. El acuerdo de la mesa de contratación por el que se clasifican las ofertas y se propone la adjudicación no es un acto de trámite cualificado susceptible de recurso especial en materia de contratación al amparo del artículo 44.2.b) de la LCSP. Falta de legitimación del recurrente: clasificado en quinto y sexto lugar, lotes 1 y 2 respectivamente, en el acuerdo de clasificación y en la propuesta de adjudicación: reclama la asignación de cinco puntos más a su oferta, </w:t>
      </w:r>
      <w:proofErr w:type="gramStart"/>
      <w:r>
        <w:rPr>
          <w:rStyle w:val="Ninguno"/>
          <w:rFonts w:ascii="Calibri" w:eastAsia="Calibri" w:hAnsi="Calibri" w:cs="Calibri"/>
          <w:sz w:val="22"/>
          <w:szCs w:val="22"/>
          <w:shd w:val="clear" w:color="auto" w:fill="FFFFFF"/>
        </w:rPr>
        <w:t>que</w:t>
      </w:r>
      <w:proofErr w:type="gramEnd"/>
      <w:r>
        <w:rPr>
          <w:rStyle w:val="Ninguno"/>
          <w:rFonts w:ascii="Calibri" w:eastAsia="Calibri" w:hAnsi="Calibri" w:cs="Calibri"/>
          <w:sz w:val="22"/>
          <w:szCs w:val="22"/>
          <w:shd w:val="clear" w:color="auto" w:fill="FFFFFF"/>
        </w:rPr>
        <w:t xml:space="preserve"> de haberse estimado, tampoco le hubiera convertido en adjudicatario.</w:t>
      </w:r>
    </w:p>
    <w:p w14:paraId="67412C17" w14:textId="77777777" w:rsidR="003F223C" w:rsidRPr="004F1741" w:rsidRDefault="00B66A92" w:rsidP="004F1741">
      <w:pPr>
        <w:pStyle w:val="Standard"/>
        <w:spacing w:after="198" w:line="288" w:lineRule="auto"/>
        <w:jc w:val="both"/>
        <w:outlineLvl w:val="0"/>
        <w:rPr>
          <w:rStyle w:val="Hyperlink0"/>
        </w:rPr>
      </w:pPr>
      <w:hyperlink r:id="rId44">
        <w:r w:rsidRPr="004F1741">
          <w:rPr>
            <w:rStyle w:val="Hyperlink0"/>
          </w:rPr>
          <w:t>https://www.hacienda.gob.es/tacrc/resoluciones/a%C3%B1o%202026/recurso%200017-2026%20val%205-2026%20(res%20489)%2019-03-2026.pdf</w:t>
        </w:r>
      </w:hyperlink>
    </w:p>
    <w:p w14:paraId="35508207" w14:textId="77777777" w:rsidR="003F223C" w:rsidRDefault="00B66A92" w:rsidP="0062002E">
      <w:pPr>
        <w:pStyle w:val="Poromisin"/>
        <w:suppressAutoHyphens/>
        <w:spacing w:before="0" w:after="80"/>
        <w:jc w:val="both"/>
      </w:pPr>
      <w:r>
        <w:rPr>
          <w:rStyle w:val="Ninguno"/>
          <w:rFonts w:ascii="Calibri" w:eastAsia="Calibri" w:hAnsi="Calibri" w:cs="Calibri"/>
          <w:b/>
          <w:bCs/>
          <w:sz w:val="22"/>
          <w:szCs w:val="22"/>
          <w:shd w:val="clear" w:color="auto" w:fill="FFFFFF"/>
        </w:rPr>
        <w:t xml:space="preserve">- Resolución 340/2026, de 26 de marzo de 2026. </w:t>
      </w:r>
      <w:r>
        <w:rPr>
          <w:rStyle w:val="Ninguno"/>
          <w:rFonts w:ascii="Calibri" w:hAnsi="Calibri"/>
          <w:sz w:val="22"/>
          <w:szCs w:val="22"/>
        </w:rPr>
        <w:t>Recurso contra adjudicación en contrato especifico servicios, LCSP. Desestimación. Alega la recurrente la incorrecta valoración de su oferta al haberse excluido tres páginas de la misma por superar la extensión máxima permitida en los pliegos: Doctrina de este Tribunal: cuando la sanción contra la contravención de los límites a la extensión de las ofertas está expresamente contemplada en el PCAP, debe observarse esta, mientras que ante la falta de tal previsión es preciso un análisis casuístico que determine la magnitud de la vulneración del principio de igualdad de trato a efectos de definir el efecto de la referida contravención.</w:t>
      </w:r>
    </w:p>
    <w:p w14:paraId="6C991EBB" w14:textId="77777777" w:rsidR="003F223C" w:rsidRPr="004F1741" w:rsidRDefault="00B66A92" w:rsidP="004F1741">
      <w:pPr>
        <w:pStyle w:val="Standard"/>
        <w:spacing w:after="198" w:line="288" w:lineRule="auto"/>
        <w:jc w:val="both"/>
        <w:outlineLvl w:val="0"/>
        <w:rPr>
          <w:rStyle w:val="Hyperlink0"/>
        </w:rPr>
      </w:pPr>
      <w:hyperlink r:id="rId45">
        <w:r w:rsidRPr="004F1741">
          <w:rPr>
            <w:rStyle w:val="Hyperlink0"/>
          </w:rPr>
          <w:t>https://www.hacienda.gob.es/tacrc/resoluciones/a%C3%B1o%202026/recurso%200093-2026%20(res%20340)%2026-02-2026.corregida.pdf</w:t>
        </w:r>
      </w:hyperlink>
    </w:p>
    <w:p w14:paraId="16AE890E" w14:textId="77777777" w:rsidR="003F223C" w:rsidRDefault="003F223C">
      <w:pPr>
        <w:pStyle w:val="Poromisin"/>
        <w:suppressAutoHyphens/>
        <w:spacing w:before="0"/>
        <w:rPr>
          <w:rFonts w:ascii="Calibri" w:eastAsia="Calibri" w:hAnsi="Calibri" w:cs="Calibri"/>
          <w:sz w:val="22"/>
          <w:szCs w:val="22"/>
          <w:shd w:val="clear" w:color="auto" w:fill="FFFFFF"/>
        </w:rPr>
      </w:pPr>
    </w:p>
    <w:p w14:paraId="40CCAA97" w14:textId="77777777" w:rsidR="003F223C" w:rsidRDefault="00B66A92">
      <w:pPr>
        <w:pStyle w:val="Gorputz-testua"/>
        <w:spacing w:after="198" w:line="288" w:lineRule="auto"/>
        <w:jc w:val="both"/>
        <w:rPr>
          <w:rFonts w:ascii="Calibri" w:eastAsia="Calibri" w:hAnsi="Calibri" w:cs="Calibri"/>
          <w:b/>
          <w:bCs/>
          <w:color w:val="4F81BD"/>
          <w:sz w:val="26"/>
          <w:szCs w:val="26"/>
          <w:lang w:val="es-ES_tradnl"/>
        </w:rPr>
      </w:pPr>
      <w:r>
        <w:rPr>
          <w:rStyle w:val="Ninguno"/>
          <w:rFonts w:ascii="Calibri" w:hAnsi="Calibri"/>
          <w:b/>
          <w:bCs/>
          <w:color w:val="4F81BD"/>
          <w:sz w:val="26"/>
          <w:szCs w:val="26"/>
          <w:lang w:val="es-ES_tradnl"/>
        </w:rPr>
        <w:t>Oficina Independiente de Regulación y Supervisión de la Contratación</w:t>
      </w:r>
    </w:p>
    <w:p w14:paraId="06B927CB" w14:textId="77777777" w:rsidR="003F223C" w:rsidRDefault="00B66A92" w:rsidP="0062002E">
      <w:pPr>
        <w:pStyle w:val="Gorputz-testua"/>
        <w:spacing w:after="80" w:line="288" w:lineRule="auto"/>
        <w:jc w:val="both"/>
        <w:rPr>
          <w:rFonts w:ascii="Calibri" w:eastAsia="Calibri" w:hAnsi="Calibri" w:cs="Calibri"/>
          <w:sz w:val="22"/>
          <w:szCs w:val="22"/>
        </w:rPr>
      </w:pPr>
      <w:r>
        <w:rPr>
          <w:rStyle w:val="Ninguno"/>
          <w:rFonts w:ascii="Calibri" w:eastAsia="Calibri" w:hAnsi="Calibri" w:cs="Calibri"/>
          <w:b/>
          <w:bCs/>
          <w:sz w:val="22"/>
          <w:szCs w:val="22"/>
        </w:rPr>
        <w:t xml:space="preserve">- </w:t>
      </w:r>
      <w:proofErr w:type="spellStart"/>
      <w:r>
        <w:rPr>
          <w:rStyle w:val="Ninguno"/>
          <w:rFonts w:ascii="Calibri" w:eastAsia="Calibri" w:hAnsi="Calibri" w:cs="Calibri"/>
          <w:b/>
          <w:bCs/>
          <w:sz w:val="22"/>
          <w:szCs w:val="22"/>
        </w:rPr>
        <w:t>Documento</w:t>
      </w:r>
      <w:proofErr w:type="spellEnd"/>
      <w:r>
        <w:rPr>
          <w:rStyle w:val="Ninguno"/>
          <w:rFonts w:ascii="Calibri" w:eastAsia="Calibri" w:hAnsi="Calibri" w:cs="Calibri"/>
          <w:b/>
          <w:bCs/>
          <w:sz w:val="22"/>
          <w:szCs w:val="22"/>
        </w:rPr>
        <w:t xml:space="preserve"> de </w:t>
      </w:r>
      <w:proofErr w:type="spellStart"/>
      <w:r>
        <w:rPr>
          <w:rStyle w:val="Ninguno"/>
          <w:rFonts w:ascii="Calibri" w:eastAsia="Calibri" w:hAnsi="Calibri" w:cs="Calibri"/>
          <w:b/>
          <w:bCs/>
          <w:sz w:val="22"/>
          <w:szCs w:val="22"/>
        </w:rPr>
        <w:t>aportaciones</w:t>
      </w:r>
      <w:proofErr w:type="spellEnd"/>
      <w:r>
        <w:rPr>
          <w:rStyle w:val="Ninguno"/>
          <w:rFonts w:ascii="Calibri" w:eastAsia="Calibri" w:hAnsi="Calibri" w:cs="Calibri"/>
          <w:b/>
          <w:bCs/>
          <w:sz w:val="22"/>
          <w:szCs w:val="22"/>
        </w:rPr>
        <w:t xml:space="preserve"> de la </w:t>
      </w:r>
      <w:proofErr w:type="spellStart"/>
      <w:r>
        <w:rPr>
          <w:rStyle w:val="Ninguno"/>
          <w:rFonts w:ascii="Calibri" w:eastAsia="Calibri" w:hAnsi="Calibri" w:cs="Calibri"/>
          <w:b/>
          <w:bCs/>
          <w:sz w:val="22"/>
          <w:szCs w:val="22"/>
        </w:rPr>
        <w:t>Oficina</w:t>
      </w:r>
      <w:proofErr w:type="spellEnd"/>
      <w:r>
        <w:rPr>
          <w:rStyle w:val="Ninguno"/>
          <w:rFonts w:ascii="Calibri" w:eastAsia="Calibri" w:hAnsi="Calibri" w:cs="Calibri"/>
          <w:b/>
          <w:bCs/>
          <w:sz w:val="22"/>
          <w:szCs w:val="22"/>
        </w:rPr>
        <w:t xml:space="preserve"> </w:t>
      </w:r>
      <w:proofErr w:type="spellStart"/>
      <w:r>
        <w:rPr>
          <w:rStyle w:val="Ninguno"/>
          <w:rFonts w:ascii="Calibri" w:eastAsia="Calibri" w:hAnsi="Calibri" w:cs="Calibri"/>
          <w:b/>
          <w:bCs/>
          <w:sz w:val="22"/>
          <w:szCs w:val="22"/>
        </w:rPr>
        <w:t>en</w:t>
      </w:r>
      <w:proofErr w:type="spellEnd"/>
      <w:r>
        <w:rPr>
          <w:rStyle w:val="Ninguno"/>
          <w:rFonts w:ascii="Calibri" w:eastAsia="Calibri" w:hAnsi="Calibri" w:cs="Calibri"/>
          <w:b/>
          <w:bCs/>
          <w:sz w:val="22"/>
          <w:szCs w:val="22"/>
        </w:rPr>
        <w:t xml:space="preserve"> la consulta </w:t>
      </w:r>
      <w:proofErr w:type="spellStart"/>
      <w:r>
        <w:rPr>
          <w:rStyle w:val="Ninguno"/>
          <w:rFonts w:ascii="Calibri" w:eastAsia="Calibri" w:hAnsi="Calibri" w:cs="Calibri"/>
          <w:b/>
          <w:bCs/>
          <w:sz w:val="22"/>
          <w:szCs w:val="22"/>
        </w:rPr>
        <w:t>pública</w:t>
      </w:r>
      <w:proofErr w:type="spellEnd"/>
      <w:r>
        <w:rPr>
          <w:rStyle w:val="Ninguno"/>
          <w:rFonts w:ascii="Calibri" w:eastAsia="Calibri" w:hAnsi="Calibri" w:cs="Calibri"/>
          <w:b/>
          <w:bCs/>
          <w:sz w:val="22"/>
          <w:szCs w:val="22"/>
        </w:rPr>
        <w:t xml:space="preserve"> de las </w:t>
      </w:r>
      <w:proofErr w:type="spellStart"/>
      <w:r>
        <w:rPr>
          <w:rStyle w:val="Ninguno"/>
          <w:rFonts w:ascii="Calibri" w:eastAsia="Calibri" w:hAnsi="Calibri" w:cs="Calibri"/>
          <w:b/>
          <w:bCs/>
          <w:sz w:val="22"/>
          <w:szCs w:val="22"/>
        </w:rPr>
        <w:t>Directivas</w:t>
      </w:r>
      <w:proofErr w:type="spellEnd"/>
      <w:r>
        <w:rPr>
          <w:rStyle w:val="Ninguno"/>
          <w:rFonts w:ascii="Calibri" w:eastAsia="Calibri" w:hAnsi="Calibri" w:cs="Calibri"/>
          <w:b/>
          <w:bCs/>
          <w:sz w:val="22"/>
          <w:szCs w:val="22"/>
        </w:rPr>
        <w:t xml:space="preserve"> de </w:t>
      </w:r>
      <w:proofErr w:type="spellStart"/>
      <w:r>
        <w:rPr>
          <w:rStyle w:val="Ninguno"/>
          <w:rFonts w:ascii="Calibri" w:eastAsia="Calibri" w:hAnsi="Calibri" w:cs="Calibri"/>
          <w:b/>
          <w:bCs/>
          <w:sz w:val="22"/>
          <w:szCs w:val="22"/>
        </w:rPr>
        <w:t>contratación</w:t>
      </w:r>
      <w:proofErr w:type="spellEnd"/>
      <w:r>
        <w:rPr>
          <w:rStyle w:val="Ninguno"/>
          <w:rFonts w:ascii="Calibri" w:eastAsia="Calibri" w:hAnsi="Calibri" w:cs="Calibri"/>
          <w:b/>
          <w:bCs/>
          <w:sz w:val="22"/>
          <w:szCs w:val="22"/>
        </w:rPr>
        <w:t xml:space="preserve"> publica.</w:t>
      </w:r>
    </w:p>
    <w:p w14:paraId="08384E6C" w14:textId="77777777" w:rsidR="003F223C" w:rsidRPr="004F1741" w:rsidRDefault="00B66A92" w:rsidP="004F1741">
      <w:pPr>
        <w:pStyle w:val="Standard"/>
        <w:spacing w:after="198" w:line="288" w:lineRule="auto"/>
        <w:jc w:val="both"/>
        <w:outlineLvl w:val="0"/>
        <w:rPr>
          <w:rStyle w:val="Hyperlink0"/>
        </w:rPr>
      </w:pPr>
      <w:hyperlink r:id="rId46">
        <w:r w:rsidRPr="004F1741">
          <w:rPr>
            <w:rStyle w:val="Hyperlink0"/>
          </w:rPr>
          <w:t>https://www.hacienda.gob.es/rsc/oirescon/estudios-guias-protocolos/aportaciones-oirescon.pdf</w:t>
        </w:r>
      </w:hyperlink>
    </w:p>
    <w:p w14:paraId="73253722" w14:textId="77777777" w:rsidR="003F223C" w:rsidRDefault="003F223C">
      <w:pPr>
        <w:pStyle w:val="Gorputz-testua"/>
        <w:spacing w:after="198" w:line="288" w:lineRule="auto"/>
        <w:jc w:val="both"/>
        <w:rPr>
          <w:rStyle w:val="Ninguno"/>
          <w:b/>
          <w:bCs/>
        </w:rPr>
      </w:pPr>
    </w:p>
    <w:p w14:paraId="75C11280" w14:textId="77777777" w:rsidR="003F223C" w:rsidRDefault="003F223C">
      <w:pPr>
        <w:pStyle w:val="Standard"/>
        <w:spacing w:after="198" w:line="288" w:lineRule="auto"/>
        <w:jc w:val="both"/>
        <w:rPr>
          <w:b/>
          <w:bCs/>
          <w:color w:val="4F81BD"/>
          <w:sz w:val="26"/>
          <w:szCs w:val="26"/>
        </w:rPr>
      </w:pPr>
    </w:p>
    <w:p w14:paraId="0060744D" w14:textId="77777777" w:rsidR="003F223C" w:rsidRDefault="00B66A92">
      <w:pPr>
        <w:pStyle w:val="Standard"/>
        <w:spacing w:after="198" w:line="288" w:lineRule="auto"/>
        <w:jc w:val="both"/>
        <w:outlineLvl w:val="0"/>
        <w:rPr>
          <w:b/>
          <w:bCs/>
          <w:color w:val="365F91"/>
          <w:sz w:val="28"/>
          <w:szCs w:val="28"/>
        </w:rPr>
      </w:pPr>
      <w:r>
        <w:rPr>
          <w:rStyle w:val="Ninguno"/>
          <w:b/>
          <w:bCs/>
          <w:color w:val="365F91"/>
          <w:sz w:val="28"/>
          <w:szCs w:val="28"/>
        </w:rPr>
        <w:t xml:space="preserve">DISPOSICIONES NORMATIVAS </w:t>
      </w:r>
    </w:p>
    <w:p w14:paraId="0F5A5A8F" w14:textId="75070DF5" w:rsidR="003F223C" w:rsidRDefault="00B66A92">
      <w:pPr>
        <w:pStyle w:val="Standard"/>
        <w:keepNext/>
        <w:keepLines/>
        <w:spacing w:after="198" w:line="288" w:lineRule="auto"/>
        <w:jc w:val="both"/>
        <w:outlineLvl w:val="1"/>
        <w:rPr>
          <w:b/>
          <w:bCs/>
          <w:color w:val="4F81BD"/>
          <w:sz w:val="26"/>
          <w:szCs w:val="26"/>
        </w:rPr>
      </w:pPr>
      <w:r>
        <w:rPr>
          <w:rStyle w:val="Ninguno"/>
          <w:b/>
          <w:bCs/>
          <w:color w:val="4F81BD"/>
          <w:sz w:val="26"/>
          <w:szCs w:val="26"/>
        </w:rPr>
        <w:t>Legislación Estatal</w:t>
      </w:r>
    </w:p>
    <w:p w14:paraId="1850D65A" w14:textId="77777777" w:rsidR="003F223C" w:rsidRPr="00945392" w:rsidRDefault="00B66A92" w:rsidP="0062002E">
      <w:pPr>
        <w:pStyle w:val="Standard"/>
        <w:spacing w:after="80" w:line="288" w:lineRule="auto"/>
        <w:jc w:val="both"/>
        <w:rPr>
          <w:b/>
          <w:bCs/>
          <w:shd w:val="clear" w:color="auto" w:fill="FFFFFF"/>
        </w:rPr>
      </w:pPr>
      <w:r w:rsidRPr="00945392">
        <w:rPr>
          <w:rStyle w:val="Ninguno"/>
          <w:b/>
          <w:bCs/>
          <w:color w:val="4F81BD"/>
          <w:shd w:val="clear" w:color="auto" w:fill="FFFFFF"/>
        </w:rPr>
        <w:t xml:space="preserve">- </w:t>
      </w:r>
      <w:r w:rsidRPr="00945392">
        <w:rPr>
          <w:b/>
          <w:bCs/>
          <w:shd w:val="clear" w:color="auto" w:fill="FFFFFF"/>
        </w:rPr>
        <w:t>Resolución de 27 de enero de 2026, del Congreso de los Diputados, por la que se ordena la publicación del Acuerdo de derogación del Real Decreto-ley 16/2025, de 23 de diciembre, por el que se prorrogan determinadas medidas para hacer frente a situaciones de vulnerabilidad social, y se adoptan medidas urgentes en materia tributaria y de Seguridad Social. (BOE de 28 de enero de 2026)</w:t>
      </w:r>
    </w:p>
    <w:p w14:paraId="703BF797" w14:textId="77777777" w:rsidR="003F223C" w:rsidRPr="00945392" w:rsidRDefault="00B66A92">
      <w:pPr>
        <w:pStyle w:val="Standard"/>
        <w:spacing w:after="198" w:line="288" w:lineRule="auto"/>
        <w:jc w:val="both"/>
        <w:rPr>
          <w:shd w:val="clear" w:color="auto" w:fill="FFFFFF"/>
        </w:rPr>
      </w:pPr>
      <w:hyperlink r:id="rId47">
        <w:r w:rsidRPr="00945392">
          <w:rPr>
            <w:rStyle w:val="Hyperlink0"/>
            <w:shd w:val="clear" w:color="auto" w:fill="FFFFFF"/>
          </w:rPr>
          <w:t>https://www.boe.es/boe/dias/2026/01/28/pdfs/BOE-A-2026-2024.pdf</w:t>
        </w:r>
      </w:hyperlink>
    </w:p>
    <w:p w14:paraId="47965765" w14:textId="77777777" w:rsidR="003F223C" w:rsidRPr="00945392" w:rsidRDefault="00B66A92" w:rsidP="0062002E">
      <w:pPr>
        <w:pStyle w:val="Standard"/>
        <w:spacing w:after="80" w:line="288" w:lineRule="auto"/>
        <w:jc w:val="both"/>
        <w:rPr>
          <w:b/>
          <w:bCs/>
          <w:shd w:val="clear" w:color="auto" w:fill="FFFFFF"/>
        </w:rPr>
      </w:pPr>
      <w:r w:rsidRPr="00945392">
        <w:rPr>
          <w:b/>
          <w:bCs/>
          <w:shd w:val="clear" w:color="auto" w:fill="FFFFFF"/>
        </w:rPr>
        <w:t xml:space="preserve">- Resolución de 27 de enero de 2026, del Congreso de los Diputados, por la que se ordena la publicación del Acuerdo de convalidación del Real Decreto-ley 17/2025, de 23 de diciembre, de medidas de promoción del uso del transporte público mediante la bonificación de abonos y títulos </w:t>
      </w:r>
      <w:proofErr w:type="spellStart"/>
      <w:r w:rsidRPr="00945392">
        <w:rPr>
          <w:b/>
          <w:bCs/>
          <w:shd w:val="clear" w:color="auto" w:fill="FFFFFF"/>
        </w:rPr>
        <w:t>multiviaje</w:t>
      </w:r>
      <w:proofErr w:type="spellEnd"/>
      <w:r w:rsidRPr="00945392">
        <w:rPr>
          <w:b/>
          <w:bCs/>
          <w:shd w:val="clear" w:color="auto" w:fill="FFFFFF"/>
        </w:rPr>
        <w:t>. (BOE de 28 de enero de 2026)</w:t>
      </w:r>
    </w:p>
    <w:p w14:paraId="6DA38D30" w14:textId="77777777" w:rsidR="003F223C" w:rsidRPr="00945392" w:rsidRDefault="00B66A92">
      <w:pPr>
        <w:pStyle w:val="Standard"/>
        <w:spacing w:after="198" w:line="288" w:lineRule="auto"/>
        <w:jc w:val="both"/>
        <w:rPr>
          <w:shd w:val="clear" w:color="auto" w:fill="FFFFFF"/>
        </w:rPr>
      </w:pPr>
      <w:hyperlink r:id="rId48">
        <w:r w:rsidRPr="00945392">
          <w:rPr>
            <w:rStyle w:val="Hyperlink0"/>
            <w:shd w:val="clear" w:color="auto" w:fill="FFFFFF"/>
          </w:rPr>
          <w:t>https://www.boe.es/boe/dias/2026/01/28/pdfs/BOE-A-2026-2025.pdf</w:t>
        </w:r>
      </w:hyperlink>
    </w:p>
    <w:p w14:paraId="366C5FED" w14:textId="77777777" w:rsidR="003F223C" w:rsidRPr="00945392" w:rsidRDefault="00B66A92" w:rsidP="0062002E">
      <w:pPr>
        <w:pStyle w:val="Standard"/>
        <w:spacing w:after="80" w:line="288" w:lineRule="auto"/>
        <w:jc w:val="both"/>
        <w:rPr>
          <w:b/>
          <w:bCs/>
          <w:shd w:val="clear" w:color="auto" w:fill="FFFFFF"/>
        </w:rPr>
      </w:pPr>
      <w:r w:rsidRPr="00945392">
        <w:rPr>
          <w:b/>
          <w:bCs/>
          <w:shd w:val="clear" w:color="auto" w:fill="FFFFFF"/>
        </w:rPr>
        <w:t>- Orden HAC/34/2026, de 21 de enero, por la que se fija la relación de subgrupos de clasificación para los cuales se tendrán en cuenta las obras ejecutadas en el curso de los últimos diez años a los únicos efectos de acreditación de la solvencia técnica de los empresarios en contratos de obras. (BOE de 28 de enero de 2026)</w:t>
      </w:r>
    </w:p>
    <w:p w14:paraId="76A8D9BE" w14:textId="77777777" w:rsidR="003F223C" w:rsidRDefault="00B66A92">
      <w:pPr>
        <w:pStyle w:val="Standard"/>
        <w:spacing w:after="198" w:line="288" w:lineRule="auto"/>
        <w:jc w:val="both"/>
        <w:rPr>
          <w:shd w:val="clear" w:color="auto" w:fill="FFFFFF"/>
        </w:rPr>
      </w:pPr>
      <w:hyperlink r:id="rId49">
        <w:r w:rsidRPr="00945392">
          <w:rPr>
            <w:rStyle w:val="Hyperlink0"/>
            <w:shd w:val="clear" w:color="auto" w:fill="FFFFFF"/>
          </w:rPr>
          <w:t>https://www.boe.es/boe/dias/2026/01/28/pdfs/BOE-A-2026-2026.pdf</w:t>
        </w:r>
      </w:hyperlink>
    </w:p>
    <w:p w14:paraId="46B63546" w14:textId="77777777" w:rsidR="003F223C" w:rsidRDefault="00B66A92" w:rsidP="0062002E">
      <w:pPr>
        <w:pStyle w:val="Standard"/>
        <w:spacing w:after="80" w:line="288" w:lineRule="auto"/>
        <w:jc w:val="both"/>
        <w:rPr>
          <w:b/>
          <w:bCs/>
          <w:shd w:val="clear" w:color="auto" w:fill="FFFFFF"/>
        </w:rPr>
      </w:pPr>
      <w:r>
        <w:rPr>
          <w:b/>
          <w:bCs/>
          <w:shd w:val="clear" w:color="auto" w:fill="FFFFFF"/>
        </w:rPr>
        <w:t>- Real Decreto 54/2026, de 28 de enero, por el que se modifica el Catálogo de la Red de Carreteras del Estado. (BOE de 29 de enero de 2026)</w:t>
      </w:r>
    </w:p>
    <w:p w14:paraId="5726A3F5" w14:textId="77777777" w:rsidR="003F223C" w:rsidRDefault="00B66A92">
      <w:pPr>
        <w:pStyle w:val="Standard"/>
        <w:spacing w:after="198" w:line="288" w:lineRule="auto"/>
        <w:jc w:val="both"/>
        <w:rPr>
          <w:shd w:val="clear" w:color="auto" w:fill="FFFFFF"/>
        </w:rPr>
      </w:pPr>
      <w:hyperlink r:id="rId50">
        <w:r>
          <w:rPr>
            <w:rStyle w:val="Hyperlink0"/>
            <w:shd w:val="clear" w:color="auto" w:fill="FFFFFF"/>
          </w:rPr>
          <w:t>https://www.boe.es/boe/dias/2026/01/29/pdfs/BOE-A-2026-2072.pdf</w:t>
        </w:r>
      </w:hyperlink>
    </w:p>
    <w:p w14:paraId="006CCC91" w14:textId="77777777" w:rsidR="003F223C" w:rsidRDefault="00B66A92" w:rsidP="0062002E">
      <w:pPr>
        <w:pStyle w:val="Standard"/>
        <w:spacing w:after="80" w:line="288" w:lineRule="auto"/>
        <w:jc w:val="both"/>
        <w:rPr>
          <w:b/>
          <w:bCs/>
          <w:shd w:val="clear" w:color="auto" w:fill="FFFFFF"/>
        </w:rPr>
      </w:pPr>
      <w:r>
        <w:rPr>
          <w:b/>
          <w:bCs/>
          <w:shd w:val="clear" w:color="auto" w:fill="FFFFFF"/>
        </w:rPr>
        <w:t>- Real Decreto 52/2026, de 28 de enero, por el que se modifica el Reglamento General de Vehículos y el Real Decreto 2822/1998, de 23 de diciembre, que lo aprueba, para regular el Registro de Vehículos Personales Ligeros. (BOE de 30 de enero de 2026)</w:t>
      </w:r>
    </w:p>
    <w:p w14:paraId="68F092FE" w14:textId="77777777" w:rsidR="003F223C" w:rsidRDefault="00B66A92">
      <w:pPr>
        <w:pStyle w:val="Standard"/>
        <w:spacing w:after="198" w:line="288" w:lineRule="auto"/>
        <w:jc w:val="both"/>
        <w:rPr>
          <w:shd w:val="clear" w:color="auto" w:fill="FFFFFF"/>
        </w:rPr>
      </w:pPr>
      <w:hyperlink r:id="rId51">
        <w:r>
          <w:rPr>
            <w:rStyle w:val="Hyperlink0"/>
            <w:shd w:val="clear" w:color="auto" w:fill="FFFFFF"/>
          </w:rPr>
          <w:t>https://www.boe.es/boe/dias/2026/01/30/pdfs/BOE-A-2026-2140.pdf</w:t>
        </w:r>
      </w:hyperlink>
    </w:p>
    <w:p w14:paraId="7043FC94" w14:textId="77777777" w:rsidR="003F223C" w:rsidRDefault="00B66A92" w:rsidP="0062002E">
      <w:pPr>
        <w:pStyle w:val="Standard"/>
        <w:spacing w:after="80" w:line="288" w:lineRule="auto"/>
        <w:jc w:val="both"/>
        <w:rPr>
          <w:b/>
          <w:bCs/>
          <w:shd w:val="clear" w:color="auto" w:fill="FFFFFF"/>
        </w:rPr>
      </w:pPr>
      <w:r>
        <w:rPr>
          <w:b/>
          <w:bCs/>
          <w:shd w:val="clear" w:color="auto" w:fill="FFFFFF"/>
        </w:rPr>
        <w:t>- Real Decreto 53/2026, de 28 de enero, por el que se crea y regula la Comisión Nacional para la conmemoración del Centenario de la Generación del 27. (BOE de 30 de enero de 2026)</w:t>
      </w:r>
    </w:p>
    <w:p w14:paraId="7B3DAB0E" w14:textId="77777777" w:rsidR="003F223C" w:rsidRDefault="00B66A92">
      <w:pPr>
        <w:pStyle w:val="Standard"/>
        <w:spacing w:after="198" w:line="288" w:lineRule="auto"/>
        <w:jc w:val="both"/>
        <w:rPr>
          <w:shd w:val="clear" w:color="auto" w:fill="FFFFFF"/>
        </w:rPr>
      </w:pPr>
      <w:hyperlink r:id="rId52">
        <w:r>
          <w:rPr>
            <w:rStyle w:val="Hyperlink0"/>
            <w:shd w:val="clear" w:color="auto" w:fill="FFFFFF"/>
          </w:rPr>
          <w:t>https://www.boe.es/boe/dias/2026/01/30/pdfs/BOE-A-2026-2141.pdf</w:t>
        </w:r>
      </w:hyperlink>
    </w:p>
    <w:p w14:paraId="07D82A81" w14:textId="77777777" w:rsidR="003F223C" w:rsidRDefault="00B66A92" w:rsidP="0062002E">
      <w:pPr>
        <w:pStyle w:val="Standard"/>
        <w:spacing w:after="80" w:line="288" w:lineRule="auto"/>
        <w:jc w:val="both"/>
        <w:rPr>
          <w:b/>
          <w:bCs/>
          <w:shd w:val="clear" w:color="auto" w:fill="FFFFFF"/>
        </w:rPr>
      </w:pPr>
      <w:r>
        <w:rPr>
          <w:b/>
          <w:bCs/>
          <w:shd w:val="clear" w:color="auto" w:fill="FFFFFF"/>
        </w:rPr>
        <w:t xml:space="preserve">- Orden PJC/44/2026, de 27 de enero, por la que se establece el umbral salarial de referencia para la concesión de la autorización de residencia para profesionales altamente cualificados </w:t>
      </w:r>
      <w:r>
        <w:rPr>
          <w:b/>
          <w:bCs/>
          <w:shd w:val="clear" w:color="auto" w:fill="FFFFFF"/>
        </w:rPr>
        <w:lastRenderedPageBreak/>
        <w:t>titulares de una Tarjeta azul-UE prevista en la Ley 14/2013, de 27 de septiembre, de apoyo a los emprendedores y su internacionalización. (BOE de 30 de enero de 2026)</w:t>
      </w:r>
    </w:p>
    <w:p w14:paraId="0AE3586E" w14:textId="77777777" w:rsidR="003F223C" w:rsidRDefault="00B66A92">
      <w:pPr>
        <w:pStyle w:val="Standard"/>
        <w:spacing w:after="198" w:line="288" w:lineRule="auto"/>
        <w:jc w:val="both"/>
        <w:rPr>
          <w:shd w:val="clear" w:color="auto" w:fill="FFFFFF"/>
        </w:rPr>
      </w:pPr>
      <w:hyperlink r:id="rId53">
        <w:r>
          <w:rPr>
            <w:rStyle w:val="Hyperlink0"/>
            <w:shd w:val="clear" w:color="auto" w:fill="FFFFFF"/>
          </w:rPr>
          <w:t>https://www.boe.es/boe/dias/2026/01/30/pdfs/BOE-A-2026-2142.pdf</w:t>
        </w:r>
      </w:hyperlink>
    </w:p>
    <w:p w14:paraId="4EC424F7" w14:textId="77777777" w:rsidR="003F223C" w:rsidRDefault="00B66A92" w:rsidP="0062002E">
      <w:pPr>
        <w:pStyle w:val="Standard"/>
        <w:spacing w:after="80" w:line="288" w:lineRule="auto"/>
        <w:jc w:val="both"/>
        <w:rPr>
          <w:b/>
          <w:bCs/>
          <w:shd w:val="clear" w:color="auto" w:fill="FFFFFF"/>
        </w:rPr>
      </w:pPr>
      <w:r>
        <w:rPr>
          <w:b/>
          <w:bCs/>
          <w:shd w:val="clear" w:color="auto" w:fill="FFFFFF"/>
        </w:rPr>
        <w:t>- Real Decreto-ley 2/2026, de 3 de febrero, por el que se adoptan medidas urgentes para hacer frente a situaciones de vulnerabilidad social, en materia tributaria y relativas a los recursos de los sistemas de financiación territorial. (BOE de 4 de febrero de 2026)</w:t>
      </w:r>
    </w:p>
    <w:p w14:paraId="55CAE9A0" w14:textId="77777777" w:rsidR="003F223C" w:rsidRDefault="00B66A92">
      <w:pPr>
        <w:pStyle w:val="Standard"/>
        <w:spacing w:after="198" w:line="288" w:lineRule="auto"/>
        <w:jc w:val="both"/>
        <w:rPr>
          <w:shd w:val="clear" w:color="auto" w:fill="FFFFFF"/>
        </w:rPr>
      </w:pPr>
      <w:hyperlink r:id="rId54">
        <w:r>
          <w:rPr>
            <w:rStyle w:val="Hyperlink0"/>
            <w:shd w:val="clear" w:color="auto" w:fill="FFFFFF"/>
          </w:rPr>
          <w:t>https://www.boe.es/boe/dias/2026/02/04/pdfs/BOE-A-2026-2547.pdf</w:t>
        </w:r>
      </w:hyperlink>
    </w:p>
    <w:p w14:paraId="64718D6B" w14:textId="77777777" w:rsidR="003F223C" w:rsidRDefault="00B66A92" w:rsidP="0062002E">
      <w:pPr>
        <w:pStyle w:val="Standard"/>
        <w:spacing w:after="80" w:line="288" w:lineRule="auto"/>
        <w:jc w:val="both"/>
        <w:rPr>
          <w:b/>
          <w:bCs/>
          <w:shd w:val="clear" w:color="auto" w:fill="FFFFFF"/>
        </w:rPr>
      </w:pPr>
      <w:r>
        <w:rPr>
          <w:b/>
          <w:bCs/>
          <w:shd w:val="clear" w:color="auto" w:fill="FFFFFF"/>
        </w:rPr>
        <w:t>- Real Decreto-ley 3/2026, de 3 de febrero, para la revalorización de las pensiones públicas y otras medidas urgentes en materia de Seguridad Social. (BOE de 4 de febrero de 2026)</w:t>
      </w:r>
    </w:p>
    <w:p w14:paraId="734B2A18" w14:textId="77777777" w:rsidR="003F223C" w:rsidRDefault="00B66A92">
      <w:pPr>
        <w:pStyle w:val="Standard"/>
        <w:spacing w:after="198" w:line="288" w:lineRule="auto"/>
        <w:jc w:val="both"/>
        <w:rPr>
          <w:shd w:val="clear" w:color="auto" w:fill="FFFFFF"/>
        </w:rPr>
      </w:pPr>
      <w:hyperlink r:id="rId55">
        <w:r>
          <w:rPr>
            <w:rStyle w:val="Hyperlink0"/>
            <w:shd w:val="clear" w:color="auto" w:fill="FFFFFF"/>
          </w:rPr>
          <w:t>https://www.boe.es/boe/dias/2026/02/04/pdfs/BOE-A-2026-2548.pdf</w:t>
        </w:r>
      </w:hyperlink>
    </w:p>
    <w:p w14:paraId="259ACDF6" w14:textId="77777777" w:rsidR="003F223C" w:rsidRDefault="00B66A92" w:rsidP="0062002E">
      <w:pPr>
        <w:pStyle w:val="Standard"/>
        <w:spacing w:after="80" w:line="288" w:lineRule="auto"/>
        <w:jc w:val="both"/>
        <w:rPr>
          <w:b/>
          <w:bCs/>
          <w:shd w:val="clear" w:color="auto" w:fill="FFFFFF"/>
        </w:rPr>
      </w:pPr>
      <w:r>
        <w:rPr>
          <w:b/>
          <w:bCs/>
          <w:shd w:val="clear" w:color="auto" w:fill="FFFFFF"/>
        </w:rPr>
        <w:t>- Real Decreto-ley 4/2026, de 10 de febrero, por el que se garantiza la accesibilidad equitativa a bienes y servicios en situaciones de emergencia. (BOE de 11 de febrero de 2026)</w:t>
      </w:r>
    </w:p>
    <w:p w14:paraId="3EDC17EE" w14:textId="77777777" w:rsidR="003F223C" w:rsidRDefault="00B66A92">
      <w:pPr>
        <w:pStyle w:val="Standard"/>
        <w:spacing w:after="198" w:line="288" w:lineRule="auto"/>
        <w:jc w:val="both"/>
        <w:rPr>
          <w:shd w:val="clear" w:color="auto" w:fill="FFFFFF"/>
        </w:rPr>
      </w:pPr>
      <w:hyperlink r:id="rId56">
        <w:r>
          <w:rPr>
            <w:rStyle w:val="Hyperlink0"/>
            <w:shd w:val="clear" w:color="auto" w:fill="FFFFFF"/>
          </w:rPr>
          <w:t>https://www.boe.es/boe/dias/2026/02/11/pdfs/BOE-A-2026-3084.pdf</w:t>
        </w:r>
      </w:hyperlink>
    </w:p>
    <w:p w14:paraId="1C8EDCD4" w14:textId="77777777" w:rsidR="003F223C" w:rsidRDefault="00B66A92" w:rsidP="0062002E">
      <w:pPr>
        <w:pStyle w:val="Standard"/>
        <w:spacing w:after="80" w:line="288" w:lineRule="auto"/>
        <w:jc w:val="both"/>
        <w:rPr>
          <w:b/>
          <w:bCs/>
          <w:shd w:val="clear" w:color="auto" w:fill="FFFFFF"/>
        </w:rPr>
      </w:pPr>
      <w:r>
        <w:rPr>
          <w:b/>
          <w:bCs/>
          <w:shd w:val="clear" w:color="auto" w:fill="FFFFFF"/>
        </w:rPr>
        <w:t>- Real Decreto-ley 6/2026, de 3 de marzo, por el que se modifica la Ley 20/2022, de 19 de octubre, de Memoria Democrática, sobre reconocimiento a favor de personas fallecidas o con lesiones incapacitantes por su actividad en defensa y reivindicación de la Democracia. (BOE de 4 de marzo de 2026)</w:t>
      </w:r>
    </w:p>
    <w:p w14:paraId="2FBA82EA" w14:textId="77777777" w:rsidR="003F223C" w:rsidRPr="0062002E" w:rsidRDefault="00B66A92">
      <w:pPr>
        <w:pStyle w:val="Standard"/>
        <w:spacing w:after="198" w:line="288" w:lineRule="auto"/>
        <w:jc w:val="both"/>
        <w:rPr>
          <w:rStyle w:val="Hyperlink0"/>
        </w:rPr>
      </w:pPr>
      <w:hyperlink r:id="rId57">
        <w:r w:rsidRPr="0062002E">
          <w:rPr>
            <w:rStyle w:val="Hyperlink0"/>
          </w:rPr>
          <w:t>https://www.boe.es/boe/dias/2026/03/04/pdfs/BOE-A-2026-5060.pdf</w:t>
        </w:r>
      </w:hyperlink>
    </w:p>
    <w:p w14:paraId="213D12F1" w14:textId="77777777" w:rsidR="003F223C" w:rsidRDefault="00B66A92" w:rsidP="0062002E">
      <w:pPr>
        <w:pStyle w:val="Standard"/>
        <w:spacing w:after="80" w:line="288" w:lineRule="auto"/>
        <w:jc w:val="both"/>
        <w:rPr>
          <w:b/>
          <w:bCs/>
          <w:shd w:val="clear" w:color="auto" w:fill="FFFFFF"/>
        </w:rPr>
      </w:pPr>
      <w:r>
        <w:rPr>
          <w:b/>
          <w:bCs/>
          <w:shd w:val="clear" w:color="auto" w:fill="FFFFFF"/>
        </w:rPr>
        <w:t>- Real Decreto-ley 7/2026, de 20 de marzo, por el que se aprueba el Plan Integral de Respuesta a la Crisis en Oriente Medio. (BOE de 21 de marzo de 2026)</w:t>
      </w:r>
    </w:p>
    <w:p w14:paraId="3F0C696A" w14:textId="77777777" w:rsidR="003F223C" w:rsidRPr="004F1741" w:rsidRDefault="00B66A92" w:rsidP="004F1741">
      <w:pPr>
        <w:pStyle w:val="Standard"/>
        <w:spacing w:after="198" w:line="288" w:lineRule="auto"/>
        <w:jc w:val="both"/>
        <w:outlineLvl w:val="0"/>
        <w:rPr>
          <w:rStyle w:val="Hyperlink0"/>
        </w:rPr>
      </w:pPr>
      <w:hyperlink r:id="rId58">
        <w:r w:rsidRPr="004F1741">
          <w:rPr>
            <w:rStyle w:val="Hyperlink0"/>
          </w:rPr>
          <w:t>https://www.boe.es/boe/dias/2026/03/21/pdfs/BOE-A-2026-6544.pdf</w:t>
        </w:r>
      </w:hyperlink>
    </w:p>
    <w:p w14:paraId="37C49B61" w14:textId="77777777" w:rsidR="003F223C" w:rsidRDefault="00B66A92" w:rsidP="0062002E">
      <w:pPr>
        <w:pStyle w:val="Gorputz-testua"/>
        <w:spacing w:after="80" w:line="288" w:lineRule="auto"/>
        <w:jc w:val="both"/>
        <w:rPr>
          <w:rFonts w:ascii="Calibri" w:eastAsia="Calibri" w:hAnsi="Calibri" w:cs="Calibri"/>
          <w:b/>
          <w:bCs/>
          <w:sz w:val="22"/>
          <w:szCs w:val="22"/>
          <w:shd w:val="clear" w:color="auto" w:fill="FFFFFF"/>
          <w:lang w:val="es-ES_tradnl"/>
        </w:rPr>
      </w:pPr>
      <w:r>
        <w:rPr>
          <w:rFonts w:ascii="Calibri" w:eastAsia="Calibri" w:hAnsi="Calibri" w:cs="Calibri"/>
          <w:b/>
          <w:bCs/>
          <w:sz w:val="22"/>
          <w:szCs w:val="22"/>
          <w:shd w:val="clear" w:color="auto" w:fill="FFFFFF"/>
          <w:lang w:val="es-ES_tradnl"/>
        </w:rPr>
        <w:t>- Real Decreto-ley 8/2026, de 20 de marzo, de medidas en el alquiler en respuesta a las consecuencias económicas y sociales de la Guerra de Irán. (BOE de 21 de marzo de 2026)</w:t>
      </w:r>
    </w:p>
    <w:p w14:paraId="0C89A1AC" w14:textId="77777777" w:rsidR="003F223C" w:rsidRPr="004F1741" w:rsidRDefault="00B66A92" w:rsidP="004F1741">
      <w:pPr>
        <w:pStyle w:val="Standard"/>
        <w:spacing w:after="198" w:line="288" w:lineRule="auto"/>
        <w:jc w:val="both"/>
        <w:outlineLvl w:val="0"/>
        <w:rPr>
          <w:rStyle w:val="Hyperlink0"/>
        </w:rPr>
      </w:pPr>
      <w:hyperlink r:id="rId59">
        <w:r w:rsidRPr="004F1741">
          <w:rPr>
            <w:rStyle w:val="Hyperlink0"/>
          </w:rPr>
          <w:t>https://www.boe.es/boe/dias/2026/03/21/pdfs/BOE-A-2026-6545.pdf</w:t>
        </w:r>
      </w:hyperlink>
    </w:p>
    <w:p w14:paraId="170BF743" w14:textId="77777777" w:rsidR="003F223C" w:rsidRDefault="003F223C">
      <w:pPr>
        <w:pStyle w:val="Gorputz-testua"/>
        <w:spacing w:after="0" w:line="288" w:lineRule="auto"/>
        <w:jc w:val="both"/>
        <w:rPr>
          <w:rFonts w:ascii="Calibri" w:eastAsia="Calibri" w:hAnsi="Calibri" w:cs="Calibri"/>
          <w:b/>
          <w:bCs/>
          <w:sz w:val="21"/>
          <w:szCs w:val="22"/>
          <w:shd w:val="clear" w:color="auto" w:fill="FFFFFF"/>
          <w:lang w:val="es-ES_tradnl"/>
        </w:rPr>
      </w:pPr>
    </w:p>
    <w:p w14:paraId="41198C86" w14:textId="2BF9832D" w:rsidR="00127105" w:rsidRDefault="00127105">
      <w:pPr>
        <w:suppressAutoHyphens/>
        <w:overflowPunct/>
        <w:rPr>
          <w:rFonts w:ascii="Calibri" w:eastAsia="Calibri" w:hAnsi="Calibri" w:cs="Calibri"/>
          <w:b/>
          <w:bCs/>
          <w:color w:val="000000"/>
          <w:sz w:val="21"/>
          <w:szCs w:val="22"/>
          <w:shd w:val="clear" w:color="auto" w:fill="FFFFFF"/>
          <w:lang w:val="es-ES_tradnl" w:eastAsia="zh-CN" w:bidi="hi-IN"/>
        </w:rPr>
      </w:pPr>
      <w:r>
        <w:rPr>
          <w:rFonts w:ascii="Calibri" w:eastAsia="Calibri" w:hAnsi="Calibri" w:cs="Calibri"/>
          <w:b/>
          <w:bCs/>
          <w:sz w:val="21"/>
          <w:szCs w:val="22"/>
          <w:shd w:val="clear" w:color="auto" w:fill="FFFFFF"/>
          <w:lang w:val="es-ES_tradnl"/>
        </w:rPr>
        <w:br w:type="page"/>
      </w:r>
    </w:p>
    <w:p w14:paraId="45B94502" w14:textId="77777777" w:rsidR="003F223C" w:rsidRDefault="003F223C">
      <w:pPr>
        <w:pStyle w:val="Gorputz-testua"/>
        <w:spacing w:after="0" w:line="288" w:lineRule="auto"/>
        <w:jc w:val="both"/>
        <w:rPr>
          <w:rFonts w:ascii="Calibri" w:eastAsia="Calibri" w:hAnsi="Calibri" w:cs="Calibri"/>
          <w:b/>
          <w:bCs/>
          <w:sz w:val="22"/>
          <w:szCs w:val="22"/>
          <w:shd w:val="clear" w:color="auto" w:fill="FFFFFF"/>
          <w:lang w:val="es-ES_tradnl"/>
        </w:rPr>
      </w:pPr>
    </w:p>
    <w:p w14:paraId="6F994A5F" w14:textId="27974F6E" w:rsidR="003F223C" w:rsidRDefault="00B66A92">
      <w:pPr>
        <w:pStyle w:val="Standard"/>
        <w:spacing w:after="198" w:line="288" w:lineRule="auto"/>
        <w:jc w:val="both"/>
        <w:outlineLvl w:val="1"/>
        <w:rPr>
          <w:b/>
          <w:bCs/>
          <w:color w:val="4F81BD"/>
          <w:sz w:val="26"/>
          <w:szCs w:val="26"/>
        </w:rPr>
      </w:pPr>
      <w:r>
        <w:rPr>
          <w:rStyle w:val="Ninguno"/>
          <w:b/>
          <w:bCs/>
          <w:color w:val="4F81BD"/>
          <w:sz w:val="26"/>
          <w:szCs w:val="26"/>
        </w:rPr>
        <w:t>Comunidad Autónoma de Euskadi</w:t>
      </w:r>
    </w:p>
    <w:p w14:paraId="66C706E3" w14:textId="77777777" w:rsidR="003F223C" w:rsidRPr="00945392" w:rsidRDefault="00B66A92" w:rsidP="0062002E">
      <w:pPr>
        <w:pStyle w:val="CuerpoA"/>
        <w:suppressAutoHyphens/>
        <w:spacing w:after="80" w:line="288" w:lineRule="auto"/>
        <w:jc w:val="both"/>
        <w:rPr>
          <w:rFonts w:ascii="Calibri" w:eastAsia="Calibri" w:hAnsi="Calibri" w:cs="Calibri"/>
          <w:b/>
          <w:bCs/>
          <w:sz w:val="22"/>
          <w:szCs w:val="22"/>
        </w:rPr>
      </w:pPr>
      <w:r w:rsidRPr="00945392">
        <w:rPr>
          <w:rStyle w:val="Ninguno"/>
          <w:rFonts w:ascii="Calibri" w:hAnsi="Calibri" w:cs="Calibri"/>
          <w:b/>
          <w:bCs/>
          <w:sz w:val="22"/>
          <w:szCs w:val="22"/>
          <w:lang w:val="es-ES_tradnl"/>
        </w:rPr>
        <w:t xml:space="preserve">- </w:t>
      </w:r>
      <w:r w:rsidRPr="00945392">
        <w:rPr>
          <w:rStyle w:val="Ninguno"/>
          <w:rFonts w:ascii="Calibri" w:hAnsi="Calibri" w:cs="Calibri"/>
          <w:b/>
          <w:bCs/>
          <w:sz w:val="22"/>
          <w:szCs w:val="22"/>
        </w:rPr>
        <w:t>RESOLUCIÓ</w:t>
      </w:r>
      <w:r w:rsidRPr="00945392">
        <w:rPr>
          <w:rStyle w:val="Ninguno"/>
          <w:rFonts w:ascii="Calibri" w:hAnsi="Calibri" w:cs="Calibri"/>
          <w:b/>
          <w:bCs/>
          <w:sz w:val="22"/>
          <w:szCs w:val="22"/>
          <w:lang w:val="es-ES_tradnl"/>
        </w:rPr>
        <w:t>N de 30 de diciembre de 2025, del presidente de la Comisión de Precios de Euskadi, de corrección de errores de la Resolución de 3 de diciembre de 2025, por la que se aprueban las tarifas para el servicio p</w:t>
      </w:r>
      <w:r w:rsidRPr="00945392">
        <w:rPr>
          <w:rStyle w:val="Ninguno"/>
          <w:rFonts w:ascii="Calibri" w:hAnsi="Calibri" w:cs="Calibri"/>
          <w:b/>
          <w:bCs/>
          <w:sz w:val="22"/>
          <w:szCs w:val="22"/>
        </w:rPr>
        <w:t>ú</w:t>
      </w:r>
      <w:proofErr w:type="spellStart"/>
      <w:r w:rsidRPr="00945392">
        <w:rPr>
          <w:rStyle w:val="Ninguno"/>
          <w:rFonts w:ascii="Calibri" w:hAnsi="Calibri" w:cs="Calibri"/>
          <w:b/>
          <w:bCs/>
          <w:sz w:val="22"/>
          <w:szCs w:val="22"/>
          <w:lang w:val="es-ES_tradnl"/>
        </w:rPr>
        <w:t>blico</w:t>
      </w:r>
      <w:proofErr w:type="spellEnd"/>
      <w:r w:rsidRPr="00945392">
        <w:rPr>
          <w:rStyle w:val="Ninguno"/>
          <w:rFonts w:ascii="Calibri" w:hAnsi="Calibri" w:cs="Calibri"/>
          <w:b/>
          <w:bCs/>
          <w:sz w:val="22"/>
          <w:szCs w:val="22"/>
          <w:lang w:val="es-ES_tradnl"/>
        </w:rPr>
        <w:t xml:space="preserve"> de transporte urbano de viajeros en </w:t>
      </w:r>
      <w:proofErr w:type="spellStart"/>
      <w:r w:rsidRPr="00945392">
        <w:rPr>
          <w:rStyle w:val="Ninguno"/>
          <w:rFonts w:ascii="Calibri" w:hAnsi="Calibri" w:cs="Calibri"/>
          <w:b/>
          <w:bCs/>
          <w:sz w:val="22"/>
          <w:szCs w:val="22"/>
          <w:lang w:val="es-ES_tradnl"/>
        </w:rPr>
        <w:t>auto-taxi</w:t>
      </w:r>
      <w:proofErr w:type="spellEnd"/>
      <w:r w:rsidRPr="00945392">
        <w:rPr>
          <w:rStyle w:val="Ninguno"/>
          <w:rFonts w:ascii="Calibri" w:hAnsi="Calibri" w:cs="Calibri"/>
          <w:b/>
          <w:bCs/>
          <w:sz w:val="22"/>
          <w:szCs w:val="22"/>
          <w:lang w:val="es-ES_tradnl"/>
        </w:rPr>
        <w:t xml:space="preserve"> para el año 2026, presentadas por varios ayuntamientos de la Comunidad Autónoma de Euskadi. (BOPV de 19 de enero de 2026)</w:t>
      </w:r>
    </w:p>
    <w:p w14:paraId="7C600D59" w14:textId="77777777" w:rsidR="003F223C" w:rsidRPr="00945392" w:rsidRDefault="00B66A92">
      <w:pPr>
        <w:pStyle w:val="CuerpoA"/>
        <w:suppressAutoHyphens/>
        <w:spacing w:after="198" w:line="288" w:lineRule="auto"/>
        <w:jc w:val="both"/>
        <w:rPr>
          <w:rFonts w:ascii="Calibri" w:eastAsia="Calibri" w:hAnsi="Calibri" w:cs="Calibri"/>
          <w:sz w:val="22"/>
          <w:szCs w:val="22"/>
        </w:rPr>
      </w:pPr>
      <w:hyperlink r:id="rId60">
        <w:r w:rsidRPr="00945392">
          <w:rPr>
            <w:rStyle w:val="Hyperlink0"/>
            <w:rFonts w:ascii="Calibri" w:hAnsi="Calibri" w:cs="Calibri"/>
            <w:sz w:val="22"/>
            <w:szCs w:val="22"/>
            <w:lang w:val="en-US"/>
          </w:rPr>
          <w:t>https://www.euskadi.eus/web01-bopv/es/bopv2/datos/2026/01/2600210a.pdf</w:t>
        </w:r>
      </w:hyperlink>
    </w:p>
    <w:p w14:paraId="0BED1C33" w14:textId="77777777" w:rsidR="003F223C" w:rsidRPr="00945392" w:rsidRDefault="00B66A92" w:rsidP="0062002E">
      <w:pPr>
        <w:pStyle w:val="CuerpoA"/>
        <w:suppressAutoHyphens/>
        <w:spacing w:after="80" w:line="288" w:lineRule="auto"/>
        <w:jc w:val="both"/>
        <w:rPr>
          <w:rFonts w:ascii="Calibri" w:eastAsia="Calibri" w:hAnsi="Calibri" w:cs="Calibri"/>
          <w:b/>
          <w:bCs/>
          <w:sz w:val="22"/>
          <w:szCs w:val="22"/>
        </w:rPr>
      </w:pPr>
      <w:r w:rsidRPr="00945392">
        <w:rPr>
          <w:rStyle w:val="Ninguno"/>
          <w:rFonts w:ascii="Calibri" w:hAnsi="Calibri" w:cs="Calibri"/>
          <w:b/>
          <w:bCs/>
          <w:sz w:val="22"/>
          <w:szCs w:val="22"/>
          <w:lang w:val="es-ES_tradnl"/>
        </w:rPr>
        <w:t>- DECRETO 5/2026, de 13 de enero, por el que se establece el procedimiento de concesión y de pago de la ayuda económica a las mujeres v</w:t>
      </w:r>
      <w:r w:rsidRPr="00945392">
        <w:rPr>
          <w:rStyle w:val="Ninguno"/>
          <w:rFonts w:ascii="Calibri" w:hAnsi="Calibri" w:cs="Calibri"/>
          <w:b/>
          <w:bCs/>
          <w:sz w:val="22"/>
          <w:szCs w:val="22"/>
        </w:rPr>
        <w:t>í</w:t>
      </w:r>
      <w:proofErr w:type="spellStart"/>
      <w:r w:rsidRPr="00945392">
        <w:rPr>
          <w:rStyle w:val="Ninguno"/>
          <w:rFonts w:ascii="Calibri" w:hAnsi="Calibri" w:cs="Calibri"/>
          <w:b/>
          <w:bCs/>
          <w:sz w:val="22"/>
          <w:szCs w:val="22"/>
          <w:lang w:val="es-ES_tradnl"/>
        </w:rPr>
        <w:t>ctimas</w:t>
      </w:r>
      <w:proofErr w:type="spellEnd"/>
      <w:r w:rsidRPr="00945392">
        <w:rPr>
          <w:rStyle w:val="Ninguno"/>
          <w:rFonts w:ascii="Calibri" w:hAnsi="Calibri" w:cs="Calibri"/>
          <w:b/>
          <w:bCs/>
          <w:sz w:val="22"/>
          <w:szCs w:val="22"/>
          <w:lang w:val="es-ES_tradnl"/>
        </w:rPr>
        <w:t xml:space="preserve"> de violencia de g</w:t>
      </w:r>
      <w:r w:rsidRPr="00945392">
        <w:rPr>
          <w:rStyle w:val="Ninguno"/>
          <w:rFonts w:ascii="Calibri" w:hAnsi="Calibri" w:cs="Calibri"/>
          <w:b/>
          <w:bCs/>
          <w:sz w:val="22"/>
          <w:szCs w:val="22"/>
          <w:lang w:val="fr-FR"/>
        </w:rPr>
        <w:t>é</w:t>
      </w:r>
      <w:proofErr w:type="spellStart"/>
      <w:r w:rsidRPr="00945392">
        <w:rPr>
          <w:rStyle w:val="Ninguno"/>
          <w:rFonts w:ascii="Calibri" w:hAnsi="Calibri" w:cs="Calibri"/>
          <w:b/>
          <w:bCs/>
          <w:sz w:val="22"/>
          <w:szCs w:val="22"/>
          <w:lang w:val="es-ES_tradnl"/>
        </w:rPr>
        <w:t>nero</w:t>
      </w:r>
      <w:proofErr w:type="spellEnd"/>
      <w:r w:rsidRPr="00945392">
        <w:rPr>
          <w:rStyle w:val="Ninguno"/>
          <w:rFonts w:ascii="Calibri" w:hAnsi="Calibri" w:cs="Calibri"/>
          <w:b/>
          <w:bCs/>
          <w:sz w:val="22"/>
          <w:szCs w:val="22"/>
          <w:lang w:val="es-ES_tradnl"/>
        </w:rPr>
        <w:t>, prevista en el art</w:t>
      </w:r>
      <w:r w:rsidRPr="00945392">
        <w:rPr>
          <w:rStyle w:val="Ninguno"/>
          <w:rFonts w:ascii="Calibri" w:hAnsi="Calibri" w:cs="Calibri"/>
          <w:b/>
          <w:bCs/>
          <w:sz w:val="22"/>
          <w:szCs w:val="22"/>
        </w:rPr>
        <w:t>í</w:t>
      </w:r>
      <w:r w:rsidRPr="00945392">
        <w:rPr>
          <w:rStyle w:val="Ninguno"/>
          <w:rFonts w:ascii="Calibri" w:hAnsi="Calibri" w:cs="Calibri"/>
          <w:b/>
          <w:bCs/>
          <w:sz w:val="22"/>
          <w:szCs w:val="22"/>
          <w:lang w:val="es-ES_tradnl"/>
        </w:rPr>
        <w:t xml:space="preserve">culo 27 de la Ley </w:t>
      </w:r>
      <w:proofErr w:type="spellStart"/>
      <w:r w:rsidRPr="00945392">
        <w:rPr>
          <w:rStyle w:val="Ninguno"/>
          <w:rFonts w:ascii="Calibri" w:hAnsi="Calibri" w:cs="Calibri"/>
          <w:b/>
          <w:bCs/>
          <w:sz w:val="22"/>
          <w:szCs w:val="22"/>
          <w:lang w:val="es-ES_tradnl"/>
        </w:rPr>
        <w:t>Org</w:t>
      </w:r>
      <w:proofErr w:type="spellEnd"/>
      <w:r w:rsidRPr="00945392">
        <w:rPr>
          <w:rStyle w:val="Ninguno"/>
          <w:rFonts w:ascii="Calibri" w:hAnsi="Calibri" w:cs="Calibri"/>
          <w:b/>
          <w:bCs/>
          <w:sz w:val="22"/>
          <w:szCs w:val="22"/>
        </w:rPr>
        <w:t>á</w:t>
      </w:r>
      <w:r w:rsidRPr="00945392">
        <w:rPr>
          <w:rStyle w:val="Ninguno"/>
          <w:rFonts w:ascii="Calibri" w:hAnsi="Calibri" w:cs="Calibri"/>
          <w:b/>
          <w:bCs/>
          <w:sz w:val="22"/>
          <w:szCs w:val="22"/>
          <w:lang w:val="es-ES_tradnl"/>
        </w:rPr>
        <w:t>nica 1/2004, de 28 de diciembre, de Medidas de Protección Integral contra la Violencia de G</w:t>
      </w:r>
      <w:r w:rsidRPr="00945392">
        <w:rPr>
          <w:rStyle w:val="Ninguno"/>
          <w:rFonts w:ascii="Calibri" w:hAnsi="Calibri" w:cs="Calibri"/>
          <w:b/>
          <w:bCs/>
          <w:sz w:val="22"/>
          <w:szCs w:val="22"/>
          <w:lang w:val="fr-FR"/>
        </w:rPr>
        <w:t>é</w:t>
      </w:r>
      <w:r w:rsidRPr="00945392">
        <w:rPr>
          <w:rStyle w:val="Ninguno"/>
          <w:rFonts w:ascii="Calibri" w:hAnsi="Calibri" w:cs="Calibri"/>
          <w:b/>
          <w:bCs/>
          <w:sz w:val="22"/>
          <w:szCs w:val="22"/>
          <w:lang w:val="it-IT"/>
        </w:rPr>
        <w:t>nero.</w:t>
      </w:r>
      <w:r w:rsidRPr="00945392">
        <w:rPr>
          <w:rStyle w:val="Ninguno"/>
          <w:rFonts w:ascii="Calibri" w:hAnsi="Calibri" w:cs="Calibri"/>
          <w:b/>
          <w:bCs/>
          <w:sz w:val="22"/>
          <w:szCs w:val="22"/>
          <w:lang w:val="es-ES_tradnl"/>
        </w:rPr>
        <w:t xml:space="preserve"> (BOPV de 27 de enero de 2026)</w:t>
      </w:r>
    </w:p>
    <w:p w14:paraId="225F9696" w14:textId="77777777" w:rsidR="003F223C" w:rsidRPr="00945392" w:rsidRDefault="00B66A92">
      <w:pPr>
        <w:pStyle w:val="CuerpoA"/>
        <w:suppressAutoHyphens/>
        <w:spacing w:after="198" w:line="288" w:lineRule="auto"/>
        <w:jc w:val="both"/>
        <w:rPr>
          <w:rFonts w:ascii="Calibri" w:eastAsia="Calibri" w:hAnsi="Calibri" w:cs="Calibri"/>
          <w:sz w:val="22"/>
          <w:szCs w:val="22"/>
        </w:rPr>
      </w:pPr>
      <w:hyperlink r:id="rId61">
        <w:r w:rsidRPr="00945392">
          <w:rPr>
            <w:rStyle w:val="Hyperlink0"/>
            <w:rFonts w:ascii="Calibri" w:hAnsi="Calibri" w:cs="Calibri"/>
            <w:sz w:val="22"/>
            <w:szCs w:val="22"/>
            <w:lang w:val="en-US"/>
          </w:rPr>
          <w:t>https://www.euskadi.eus/web01-bopv/es/bopv2/datos/2026/01/2600361a.pdf</w:t>
        </w:r>
      </w:hyperlink>
    </w:p>
    <w:p w14:paraId="4820CBF6" w14:textId="77777777" w:rsidR="003F223C" w:rsidRPr="00945392" w:rsidRDefault="00B66A92" w:rsidP="0062002E">
      <w:pPr>
        <w:pStyle w:val="CuerpoA"/>
        <w:suppressAutoHyphens/>
        <w:spacing w:after="80" w:line="288" w:lineRule="auto"/>
        <w:jc w:val="both"/>
        <w:rPr>
          <w:rFonts w:ascii="Calibri" w:eastAsia="Calibri" w:hAnsi="Calibri" w:cs="Calibri"/>
          <w:b/>
          <w:bCs/>
          <w:sz w:val="22"/>
          <w:szCs w:val="22"/>
        </w:rPr>
      </w:pPr>
      <w:r w:rsidRPr="00945392">
        <w:rPr>
          <w:rStyle w:val="Ninguno"/>
          <w:rFonts w:ascii="Calibri" w:hAnsi="Calibri" w:cs="Calibri"/>
          <w:b/>
          <w:bCs/>
          <w:sz w:val="22"/>
          <w:szCs w:val="22"/>
          <w:lang w:val="es-ES_tradnl"/>
        </w:rPr>
        <w:t>- DECRETO 252/2025, de 30 de diciembre, por el que se aprueba el Acuerdo regulador de las condiciones de trabajo del personal funcionario docente no universitario de la Comunidad Autónoma de Euskadi. (BOPV de 29 de enero de 2026)</w:t>
      </w:r>
    </w:p>
    <w:p w14:paraId="2D3D838B" w14:textId="77777777" w:rsidR="003F223C" w:rsidRPr="00945392" w:rsidRDefault="00B66A92">
      <w:pPr>
        <w:pStyle w:val="CuerpoA"/>
        <w:suppressAutoHyphens/>
        <w:spacing w:after="198" w:line="288" w:lineRule="auto"/>
        <w:jc w:val="both"/>
        <w:rPr>
          <w:rFonts w:ascii="Calibri" w:eastAsia="Calibri" w:hAnsi="Calibri" w:cs="Calibri"/>
          <w:sz w:val="22"/>
          <w:szCs w:val="22"/>
        </w:rPr>
      </w:pPr>
      <w:hyperlink r:id="rId62">
        <w:r w:rsidRPr="00945392">
          <w:rPr>
            <w:rStyle w:val="Hyperlink0"/>
            <w:rFonts w:ascii="Calibri" w:hAnsi="Calibri" w:cs="Calibri"/>
            <w:sz w:val="22"/>
            <w:szCs w:val="22"/>
            <w:lang w:val="en-US"/>
          </w:rPr>
          <w:t>https://www.euskadi.eus/web01-bopv/es/bopv2/datos/2026/01/2600414a.pdf</w:t>
        </w:r>
      </w:hyperlink>
    </w:p>
    <w:p w14:paraId="2BEC49E8" w14:textId="77777777" w:rsidR="003F223C" w:rsidRPr="00945392" w:rsidRDefault="00B66A92" w:rsidP="0062002E">
      <w:pPr>
        <w:pStyle w:val="CuerpoA"/>
        <w:suppressAutoHyphens/>
        <w:spacing w:after="80" w:line="288" w:lineRule="auto"/>
        <w:jc w:val="both"/>
        <w:rPr>
          <w:rFonts w:ascii="Calibri" w:hAnsi="Calibri" w:cs="Calibri"/>
          <w:sz w:val="22"/>
          <w:szCs w:val="22"/>
        </w:rPr>
      </w:pPr>
      <w:r w:rsidRPr="00945392">
        <w:rPr>
          <w:rStyle w:val="Ninguno"/>
          <w:rFonts w:ascii="Calibri" w:eastAsia="Calibri" w:hAnsi="Calibri" w:cs="Calibri"/>
          <w:b/>
          <w:bCs/>
          <w:sz w:val="22"/>
          <w:szCs w:val="22"/>
        </w:rPr>
        <w:t xml:space="preserve">- </w:t>
      </w:r>
      <w:r w:rsidRPr="00945392">
        <w:rPr>
          <w:rStyle w:val="Ninguno"/>
          <w:rFonts w:ascii="Calibri" w:hAnsi="Calibri" w:cs="Calibri"/>
          <w:b/>
          <w:bCs/>
          <w:sz w:val="22"/>
          <w:szCs w:val="22"/>
        </w:rPr>
        <w:t>DECRETO 12/2026, de 3 de febrero, por el que se regula la Red Vasca de Desarrollo Rural. (BOPV de 17 de febrero de 2026)</w:t>
      </w:r>
    </w:p>
    <w:p w14:paraId="22DC1E07" w14:textId="77777777" w:rsidR="003F223C" w:rsidRPr="00945392" w:rsidRDefault="00B66A92" w:rsidP="004F1741">
      <w:pPr>
        <w:pStyle w:val="Standard"/>
        <w:spacing w:after="198" w:line="288" w:lineRule="auto"/>
        <w:jc w:val="both"/>
        <w:outlineLvl w:val="0"/>
        <w:rPr>
          <w:rStyle w:val="Hyperlink0"/>
        </w:rPr>
      </w:pPr>
      <w:hyperlink r:id="rId63">
        <w:r w:rsidRPr="00945392">
          <w:rPr>
            <w:rStyle w:val="Hyperlink0"/>
          </w:rPr>
          <w:t>https://www.euskadi.eus/web01-bopv/es/bopv2/datos/2026/02/2600693a.pdf</w:t>
        </w:r>
      </w:hyperlink>
    </w:p>
    <w:p w14:paraId="7178B6BA" w14:textId="77777777" w:rsidR="003F223C" w:rsidRDefault="00B66A92" w:rsidP="0062002E">
      <w:pPr>
        <w:pStyle w:val="CuerpoA"/>
        <w:suppressAutoHyphens/>
        <w:spacing w:after="80" w:line="288" w:lineRule="auto"/>
        <w:jc w:val="both"/>
      </w:pPr>
      <w:r>
        <w:rPr>
          <w:rStyle w:val="Ninguno"/>
          <w:rFonts w:ascii="Calibri" w:eastAsia="Calibri" w:hAnsi="Calibri" w:cs="Calibri"/>
          <w:b/>
          <w:bCs/>
          <w:sz w:val="22"/>
          <w:szCs w:val="22"/>
        </w:rPr>
        <w:t>- DECRETO 15/2026, de 17 de febrero, de modificación del Decreto por el que se aprueban los Estatutos de la Agencia Vasca de Ciberseguridad. (BOPV de 2 de marzo de 2026)</w:t>
      </w:r>
    </w:p>
    <w:p w14:paraId="3F06E2A6" w14:textId="77777777" w:rsidR="003F223C" w:rsidRPr="004F1741" w:rsidRDefault="00B66A92" w:rsidP="004F1741">
      <w:pPr>
        <w:pStyle w:val="Standard"/>
        <w:spacing w:after="198" w:line="288" w:lineRule="auto"/>
        <w:jc w:val="both"/>
        <w:outlineLvl w:val="0"/>
        <w:rPr>
          <w:rStyle w:val="Hyperlink0"/>
        </w:rPr>
      </w:pPr>
      <w:hyperlink r:id="rId64">
        <w:r w:rsidRPr="004F1741">
          <w:rPr>
            <w:rStyle w:val="Hyperlink0"/>
          </w:rPr>
          <w:t>https://www.euskadi.eus/web01-bopv/es/bopv2/datos/2026/03/2600912a.pdf</w:t>
        </w:r>
      </w:hyperlink>
    </w:p>
    <w:p w14:paraId="0631D57F" w14:textId="77777777" w:rsidR="003F223C" w:rsidRDefault="00B66A92" w:rsidP="0062002E">
      <w:pPr>
        <w:pStyle w:val="Gorputz-testua"/>
        <w:suppressAutoHyphens/>
        <w:spacing w:after="80" w:line="288" w:lineRule="auto"/>
        <w:jc w:val="both"/>
        <w:rPr>
          <w:rFonts w:ascii="Calibri" w:eastAsia="Calibri" w:hAnsi="Calibri" w:cs="Calibri"/>
          <w:b/>
          <w:bCs/>
          <w:sz w:val="22"/>
          <w:szCs w:val="22"/>
        </w:rPr>
      </w:pPr>
      <w:r>
        <w:rPr>
          <w:rFonts w:ascii="Calibri" w:eastAsia="Calibri" w:hAnsi="Calibri" w:cs="Calibri"/>
          <w:b/>
          <w:bCs/>
          <w:sz w:val="22"/>
          <w:szCs w:val="22"/>
        </w:rPr>
        <w:t xml:space="preserve">- DECRETO 16/2026, de 17 de </w:t>
      </w:r>
      <w:proofErr w:type="spellStart"/>
      <w:r>
        <w:rPr>
          <w:rFonts w:ascii="Calibri" w:eastAsia="Calibri" w:hAnsi="Calibri" w:cs="Calibri"/>
          <w:b/>
          <w:bCs/>
          <w:sz w:val="22"/>
          <w:szCs w:val="22"/>
        </w:rPr>
        <w:t>febrero</w:t>
      </w:r>
      <w:proofErr w:type="spellEnd"/>
      <w:r>
        <w:rPr>
          <w:rFonts w:ascii="Calibri" w:eastAsia="Calibri" w:hAnsi="Calibri" w:cs="Calibri"/>
          <w:b/>
          <w:bCs/>
          <w:sz w:val="22"/>
          <w:szCs w:val="22"/>
        </w:rPr>
        <w:t xml:space="preserve">, </w:t>
      </w:r>
      <w:proofErr w:type="spellStart"/>
      <w:r>
        <w:rPr>
          <w:rFonts w:ascii="Calibri" w:eastAsia="Calibri" w:hAnsi="Calibri" w:cs="Calibri"/>
          <w:b/>
          <w:bCs/>
          <w:sz w:val="22"/>
          <w:szCs w:val="22"/>
        </w:rPr>
        <w:t>por</w:t>
      </w:r>
      <w:proofErr w:type="spellEnd"/>
      <w:r>
        <w:rPr>
          <w:rFonts w:ascii="Calibri" w:eastAsia="Calibri" w:hAnsi="Calibri" w:cs="Calibri"/>
          <w:b/>
          <w:bCs/>
          <w:sz w:val="22"/>
          <w:szCs w:val="22"/>
        </w:rPr>
        <w:t xml:space="preserve"> </w:t>
      </w:r>
      <w:proofErr w:type="spellStart"/>
      <w:r>
        <w:rPr>
          <w:rFonts w:ascii="Calibri" w:eastAsia="Calibri" w:hAnsi="Calibri" w:cs="Calibri"/>
          <w:b/>
          <w:bCs/>
          <w:sz w:val="22"/>
          <w:szCs w:val="22"/>
        </w:rPr>
        <w:t>el</w:t>
      </w:r>
      <w:proofErr w:type="spellEnd"/>
      <w:r>
        <w:rPr>
          <w:rFonts w:ascii="Calibri" w:eastAsia="Calibri" w:hAnsi="Calibri" w:cs="Calibri"/>
          <w:b/>
          <w:bCs/>
          <w:sz w:val="22"/>
          <w:szCs w:val="22"/>
        </w:rPr>
        <w:t xml:space="preserve"> que se </w:t>
      </w:r>
      <w:proofErr w:type="spellStart"/>
      <w:r>
        <w:rPr>
          <w:rFonts w:ascii="Calibri" w:eastAsia="Calibri" w:hAnsi="Calibri" w:cs="Calibri"/>
          <w:b/>
          <w:bCs/>
          <w:sz w:val="22"/>
          <w:szCs w:val="22"/>
        </w:rPr>
        <w:t>aprueba</w:t>
      </w:r>
      <w:proofErr w:type="spellEnd"/>
      <w:r>
        <w:rPr>
          <w:rFonts w:ascii="Calibri" w:eastAsia="Calibri" w:hAnsi="Calibri" w:cs="Calibri"/>
          <w:b/>
          <w:bCs/>
          <w:sz w:val="22"/>
          <w:szCs w:val="22"/>
        </w:rPr>
        <w:t xml:space="preserve"> </w:t>
      </w:r>
      <w:proofErr w:type="spellStart"/>
      <w:r>
        <w:rPr>
          <w:rFonts w:ascii="Calibri" w:eastAsia="Calibri" w:hAnsi="Calibri" w:cs="Calibri"/>
          <w:b/>
          <w:bCs/>
          <w:sz w:val="22"/>
          <w:szCs w:val="22"/>
        </w:rPr>
        <w:t>definitivamente</w:t>
      </w:r>
      <w:proofErr w:type="spellEnd"/>
      <w:r>
        <w:rPr>
          <w:rFonts w:ascii="Calibri" w:eastAsia="Calibri" w:hAnsi="Calibri" w:cs="Calibri"/>
          <w:b/>
          <w:bCs/>
          <w:sz w:val="22"/>
          <w:szCs w:val="22"/>
        </w:rPr>
        <w:t xml:space="preserve"> </w:t>
      </w:r>
      <w:proofErr w:type="spellStart"/>
      <w:r>
        <w:rPr>
          <w:rFonts w:ascii="Calibri" w:eastAsia="Calibri" w:hAnsi="Calibri" w:cs="Calibri"/>
          <w:b/>
          <w:bCs/>
          <w:sz w:val="22"/>
          <w:szCs w:val="22"/>
        </w:rPr>
        <w:t>el</w:t>
      </w:r>
      <w:proofErr w:type="spellEnd"/>
      <w:r>
        <w:rPr>
          <w:rFonts w:ascii="Calibri" w:eastAsia="Calibri" w:hAnsi="Calibri" w:cs="Calibri"/>
          <w:b/>
          <w:bCs/>
          <w:sz w:val="22"/>
          <w:szCs w:val="22"/>
        </w:rPr>
        <w:t xml:space="preserve"> Plan Territorial </w:t>
      </w:r>
      <w:proofErr w:type="spellStart"/>
      <w:r>
        <w:rPr>
          <w:rFonts w:ascii="Calibri" w:eastAsia="Calibri" w:hAnsi="Calibri" w:cs="Calibri"/>
          <w:b/>
          <w:bCs/>
          <w:sz w:val="22"/>
          <w:szCs w:val="22"/>
        </w:rPr>
        <w:t>Parcial</w:t>
      </w:r>
      <w:proofErr w:type="spellEnd"/>
      <w:r>
        <w:rPr>
          <w:rFonts w:ascii="Calibri" w:eastAsia="Calibri" w:hAnsi="Calibri" w:cs="Calibri"/>
          <w:b/>
          <w:bCs/>
          <w:sz w:val="22"/>
          <w:szCs w:val="22"/>
        </w:rPr>
        <w:t xml:space="preserve"> del </w:t>
      </w:r>
      <w:proofErr w:type="spellStart"/>
      <w:r>
        <w:rPr>
          <w:rFonts w:ascii="Calibri" w:eastAsia="Calibri" w:hAnsi="Calibri" w:cs="Calibri"/>
          <w:b/>
          <w:bCs/>
          <w:sz w:val="22"/>
          <w:szCs w:val="22"/>
        </w:rPr>
        <w:t>área</w:t>
      </w:r>
      <w:proofErr w:type="spellEnd"/>
      <w:r>
        <w:rPr>
          <w:rFonts w:ascii="Calibri" w:eastAsia="Calibri" w:hAnsi="Calibri" w:cs="Calibri"/>
          <w:b/>
          <w:bCs/>
          <w:sz w:val="22"/>
          <w:szCs w:val="22"/>
        </w:rPr>
        <w:t xml:space="preserve"> </w:t>
      </w:r>
      <w:proofErr w:type="spellStart"/>
      <w:r>
        <w:rPr>
          <w:rFonts w:ascii="Calibri" w:eastAsia="Calibri" w:hAnsi="Calibri" w:cs="Calibri"/>
          <w:b/>
          <w:bCs/>
          <w:sz w:val="22"/>
          <w:szCs w:val="22"/>
        </w:rPr>
        <w:t>funcional</w:t>
      </w:r>
      <w:proofErr w:type="spellEnd"/>
      <w:r>
        <w:rPr>
          <w:rFonts w:ascii="Calibri" w:eastAsia="Calibri" w:hAnsi="Calibri" w:cs="Calibri"/>
          <w:b/>
          <w:bCs/>
          <w:sz w:val="22"/>
          <w:szCs w:val="22"/>
        </w:rPr>
        <w:t xml:space="preserve"> de </w:t>
      </w:r>
      <w:proofErr w:type="spellStart"/>
      <w:r>
        <w:rPr>
          <w:rFonts w:ascii="Calibri" w:eastAsia="Calibri" w:hAnsi="Calibri" w:cs="Calibri"/>
          <w:b/>
          <w:bCs/>
          <w:sz w:val="22"/>
          <w:szCs w:val="22"/>
        </w:rPr>
        <w:t>Álava</w:t>
      </w:r>
      <w:proofErr w:type="spellEnd"/>
      <w:r>
        <w:rPr>
          <w:rFonts w:ascii="Calibri" w:eastAsia="Calibri" w:hAnsi="Calibri" w:cs="Calibri"/>
          <w:b/>
          <w:bCs/>
          <w:sz w:val="22"/>
          <w:szCs w:val="22"/>
        </w:rPr>
        <w:t xml:space="preserve"> Central. (BOPV de 3 de </w:t>
      </w:r>
      <w:proofErr w:type="spellStart"/>
      <w:r>
        <w:rPr>
          <w:rFonts w:ascii="Calibri" w:eastAsia="Calibri" w:hAnsi="Calibri" w:cs="Calibri"/>
          <w:b/>
          <w:bCs/>
          <w:sz w:val="22"/>
          <w:szCs w:val="22"/>
        </w:rPr>
        <w:t>marzo</w:t>
      </w:r>
      <w:proofErr w:type="spellEnd"/>
      <w:r>
        <w:rPr>
          <w:rFonts w:ascii="Calibri" w:eastAsia="Calibri" w:hAnsi="Calibri" w:cs="Calibri"/>
          <w:b/>
          <w:bCs/>
          <w:sz w:val="22"/>
          <w:szCs w:val="22"/>
        </w:rPr>
        <w:t xml:space="preserve"> de 2026)</w:t>
      </w:r>
    </w:p>
    <w:p w14:paraId="40D81EC9" w14:textId="77777777" w:rsidR="003F223C" w:rsidRPr="004F1741" w:rsidRDefault="00B66A92" w:rsidP="004F1741">
      <w:pPr>
        <w:pStyle w:val="Standard"/>
        <w:spacing w:after="198" w:line="288" w:lineRule="auto"/>
        <w:jc w:val="both"/>
        <w:outlineLvl w:val="0"/>
        <w:rPr>
          <w:rStyle w:val="Hyperlink0"/>
        </w:rPr>
      </w:pPr>
      <w:hyperlink r:id="rId65">
        <w:r w:rsidRPr="004F1741">
          <w:rPr>
            <w:rStyle w:val="Hyperlink0"/>
          </w:rPr>
          <w:t>https://www.euskadi.eus/web01-bopv/es/bopv2/datos/2026/03/2600942a.pdf</w:t>
        </w:r>
      </w:hyperlink>
    </w:p>
    <w:p w14:paraId="3E21E0F5" w14:textId="77777777" w:rsidR="003F223C" w:rsidRDefault="00B66A92" w:rsidP="0062002E">
      <w:pPr>
        <w:pStyle w:val="Gorputz-testua"/>
        <w:suppressAutoHyphens/>
        <w:spacing w:after="80" w:line="288" w:lineRule="auto"/>
        <w:jc w:val="both"/>
        <w:rPr>
          <w:rFonts w:ascii="Calibri" w:eastAsia="Calibri" w:hAnsi="Calibri" w:cs="Calibri"/>
          <w:b/>
          <w:bCs/>
          <w:sz w:val="22"/>
          <w:szCs w:val="22"/>
        </w:rPr>
      </w:pPr>
      <w:r>
        <w:rPr>
          <w:rFonts w:ascii="Calibri" w:eastAsia="Calibri" w:hAnsi="Calibri" w:cs="Calibri"/>
          <w:b/>
          <w:bCs/>
          <w:sz w:val="22"/>
          <w:szCs w:val="22"/>
        </w:rPr>
        <w:t xml:space="preserve">- DECRETO 22/2026, de 3 de </w:t>
      </w:r>
      <w:proofErr w:type="spellStart"/>
      <w:r>
        <w:rPr>
          <w:rFonts w:ascii="Calibri" w:eastAsia="Calibri" w:hAnsi="Calibri" w:cs="Calibri"/>
          <w:b/>
          <w:bCs/>
          <w:sz w:val="22"/>
          <w:szCs w:val="22"/>
        </w:rPr>
        <w:t>marzo</w:t>
      </w:r>
      <w:proofErr w:type="spellEnd"/>
      <w:r>
        <w:rPr>
          <w:rFonts w:ascii="Calibri" w:eastAsia="Calibri" w:hAnsi="Calibri" w:cs="Calibri"/>
          <w:b/>
          <w:bCs/>
          <w:sz w:val="22"/>
          <w:szCs w:val="22"/>
        </w:rPr>
        <w:t xml:space="preserve">, </w:t>
      </w:r>
      <w:proofErr w:type="spellStart"/>
      <w:r>
        <w:rPr>
          <w:rFonts w:ascii="Calibri" w:eastAsia="Calibri" w:hAnsi="Calibri" w:cs="Calibri"/>
          <w:b/>
          <w:bCs/>
          <w:sz w:val="22"/>
          <w:szCs w:val="22"/>
        </w:rPr>
        <w:t>por</w:t>
      </w:r>
      <w:proofErr w:type="spellEnd"/>
      <w:r>
        <w:rPr>
          <w:rFonts w:ascii="Calibri" w:eastAsia="Calibri" w:hAnsi="Calibri" w:cs="Calibri"/>
          <w:b/>
          <w:bCs/>
          <w:sz w:val="22"/>
          <w:szCs w:val="22"/>
        </w:rPr>
        <w:t xml:space="preserve"> </w:t>
      </w:r>
      <w:proofErr w:type="spellStart"/>
      <w:r>
        <w:rPr>
          <w:rFonts w:ascii="Calibri" w:eastAsia="Calibri" w:hAnsi="Calibri" w:cs="Calibri"/>
          <w:b/>
          <w:bCs/>
          <w:sz w:val="22"/>
          <w:szCs w:val="22"/>
        </w:rPr>
        <w:t>el</w:t>
      </w:r>
      <w:proofErr w:type="spellEnd"/>
      <w:r>
        <w:rPr>
          <w:rFonts w:ascii="Calibri" w:eastAsia="Calibri" w:hAnsi="Calibri" w:cs="Calibri"/>
          <w:b/>
          <w:bCs/>
          <w:sz w:val="22"/>
          <w:szCs w:val="22"/>
        </w:rPr>
        <w:t xml:space="preserve"> que se </w:t>
      </w:r>
      <w:proofErr w:type="spellStart"/>
      <w:r>
        <w:rPr>
          <w:rFonts w:ascii="Calibri" w:eastAsia="Calibri" w:hAnsi="Calibri" w:cs="Calibri"/>
          <w:b/>
          <w:bCs/>
          <w:sz w:val="22"/>
          <w:szCs w:val="22"/>
        </w:rPr>
        <w:t>formaliza</w:t>
      </w:r>
      <w:proofErr w:type="spellEnd"/>
      <w:r>
        <w:rPr>
          <w:rFonts w:ascii="Calibri" w:eastAsia="Calibri" w:hAnsi="Calibri" w:cs="Calibri"/>
          <w:b/>
          <w:bCs/>
          <w:sz w:val="22"/>
          <w:szCs w:val="22"/>
        </w:rPr>
        <w:t xml:space="preserve"> </w:t>
      </w:r>
      <w:proofErr w:type="spellStart"/>
      <w:r>
        <w:rPr>
          <w:rFonts w:ascii="Calibri" w:eastAsia="Calibri" w:hAnsi="Calibri" w:cs="Calibri"/>
          <w:b/>
          <w:bCs/>
          <w:sz w:val="22"/>
          <w:szCs w:val="22"/>
        </w:rPr>
        <w:t>el</w:t>
      </w:r>
      <w:proofErr w:type="spellEnd"/>
      <w:r>
        <w:rPr>
          <w:rFonts w:ascii="Calibri" w:eastAsia="Calibri" w:hAnsi="Calibri" w:cs="Calibri"/>
          <w:b/>
          <w:bCs/>
          <w:sz w:val="22"/>
          <w:szCs w:val="22"/>
        </w:rPr>
        <w:t xml:space="preserve"> </w:t>
      </w:r>
      <w:proofErr w:type="spellStart"/>
      <w:r>
        <w:rPr>
          <w:rFonts w:ascii="Calibri" w:eastAsia="Calibri" w:hAnsi="Calibri" w:cs="Calibri"/>
          <w:b/>
          <w:bCs/>
          <w:sz w:val="22"/>
          <w:szCs w:val="22"/>
        </w:rPr>
        <w:t>Acuerdo</w:t>
      </w:r>
      <w:proofErr w:type="spellEnd"/>
      <w:r>
        <w:rPr>
          <w:rFonts w:ascii="Calibri" w:eastAsia="Calibri" w:hAnsi="Calibri" w:cs="Calibri"/>
          <w:b/>
          <w:bCs/>
          <w:sz w:val="22"/>
          <w:szCs w:val="22"/>
        </w:rPr>
        <w:t xml:space="preserve"> de la Comisión Mixta de </w:t>
      </w:r>
      <w:proofErr w:type="spellStart"/>
      <w:r>
        <w:rPr>
          <w:rFonts w:ascii="Calibri" w:eastAsia="Calibri" w:hAnsi="Calibri" w:cs="Calibri"/>
          <w:b/>
          <w:bCs/>
          <w:sz w:val="22"/>
          <w:szCs w:val="22"/>
        </w:rPr>
        <w:t>Transferencias</w:t>
      </w:r>
      <w:proofErr w:type="spellEnd"/>
      <w:r>
        <w:rPr>
          <w:rFonts w:ascii="Calibri" w:eastAsia="Calibri" w:hAnsi="Calibri" w:cs="Calibri"/>
          <w:b/>
          <w:bCs/>
          <w:sz w:val="22"/>
          <w:szCs w:val="22"/>
        </w:rPr>
        <w:t xml:space="preserve"> de </w:t>
      </w:r>
      <w:proofErr w:type="spellStart"/>
      <w:r>
        <w:rPr>
          <w:rFonts w:ascii="Calibri" w:eastAsia="Calibri" w:hAnsi="Calibri" w:cs="Calibri"/>
          <w:b/>
          <w:bCs/>
          <w:sz w:val="22"/>
          <w:szCs w:val="22"/>
        </w:rPr>
        <w:t>modificación</w:t>
      </w:r>
      <w:proofErr w:type="spellEnd"/>
      <w:r>
        <w:rPr>
          <w:rFonts w:ascii="Calibri" w:eastAsia="Calibri" w:hAnsi="Calibri" w:cs="Calibri"/>
          <w:b/>
          <w:bCs/>
          <w:sz w:val="22"/>
          <w:szCs w:val="22"/>
        </w:rPr>
        <w:t xml:space="preserve"> de </w:t>
      </w:r>
      <w:proofErr w:type="spellStart"/>
      <w:r>
        <w:rPr>
          <w:rFonts w:ascii="Calibri" w:eastAsia="Calibri" w:hAnsi="Calibri" w:cs="Calibri"/>
          <w:b/>
          <w:bCs/>
          <w:sz w:val="22"/>
          <w:szCs w:val="22"/>
        </w:rPr>
        <w:t>los</w:t>
      </w:r>
      <w:proofErr w:type="spellEnd"/>
      <w:r>
        <w:rPr>
          <w:rFonts w:ascii="Calibri" w:eastAsia="Calibri" w:hAnsi="Calibri" w:cs="Calibri"/>
          <w:b/>
          <w:bCs/>
          <w:sz w:val="22"/>
          <w:szCs w:val="22"/>
        </w:rPr>
        <w:t xml:space="preserve"> </w:t>
      </w:r>
      <w:proofErr w:type="spellStart"/>
      <w:r>
        <w:rPr>
          <w:rFonts w:ascii="Calibri" w:eastAsia="Calibri" w:hAnsi="Calibri" w:cs="Calibri"/>
          <w:b/>
          <w:bCs/>
          <w:sz w:val="22"/>
          <w:szCs w:val="22"/>
        </w:rPr>
        <w:t>medios</w:t>
      </w:r>
      <w:proofErr w:type="spellEnd"/>
      <w:r>
        <w:rPr>
          <w:rFonts w:ascii="Calibri" w:eastAsia="Calibri" w:hAnsi="Calibri" w:cs="Calibri"/>
          <w:b/>
          <w:bCs/>
          <w:sz w:val="22"/>
          <w:szCs w:val="22"/>
        </w:rPr>
        <w:t xml:space="preserve"> </w:t>
      </w:r>
      <w:proofErr w:type="spellStart"/>
      <w:r>
        <w:rPr>
          <w:rFonts w:ascii="Calibri" w:eastAsia="Calibri" w:hAnsi="Calibri" w:cs="Calibri"/>
          <w:b/>
          <w:bCs/>
          <w:sz w:val="22"/>
          <w:szCs w:val="22"/>
        </w:rPr>
        <w:t>adscritos</w:t>
      </w:r>
      <w:proofErr w:type="spellEnd"/>
      <w:r>
        <w:rPr>
          <w:rFonts w:ascii="Calibri" w:eastAsia="Calibri" w:hAnsi="Calibri" w:cs="Calibri"/>
          <w:b/>
          <w:bCs/>
          <w:sz w:val="22"/>
          <w:szCs w:val="22"/>
        </w:rPr>
        <w:t xml:space="preserve"> a la </w:t>
      </w:r>
      <w:proofErr w:type="spellStart"/>
      <w:r>
        <w:rPr>
          <w:rFonts w:ascii="Calibri" w:eastAsia="Calibri" w:hAnsi="Calibri" w:cs="Calibri"/>
          <w:b/>
          <w:bCs/>
          <w:sz w:val="22"/>
          <w:szCs w:val="22"/>
        </w:rPr>
        <w:t>gestión</w:t>
      </w:r>
      <w:proofErr w:type="spellEnd"/>
      <w:r>
        <w:rPr>
          <w:rFonts w:ascii="Calibri" w:eastAsia="Calibri" w:hAnsi="Calibri" w:cs="Calibri"/>
          <w:b/>
          <w:bCs/>
          <w:sz w:val="22"/>
          <w:szCs w:val="22"/>
        </w:rPr>
        <w:t xml:space="preserve"> de las </w:t>
      </w:r>
      <w:proofErr w:type="spellStart"/>
      <w:r>
        <w:rPr>
          <w:rFonts w:ascii="Calibri" w:eastAsia="Calibri" w:hAnsi="Calibri" w:cs="Calibri"/>
          <w:b/>
          <w:bCs/>
          <w:sz w:val="22"/>
          <w:szCs w:val="22"/>
        </w:rPr>
        <w:t>prestaciones</w:t>
      </w:r>
      <w:proofErr w:type="spellEnd"/>
      <w:r>
        <w:rPr>
          <w:rFonts w:ascii="Calibri" w:eastAsia="Calibri" w:hAnsi="Calibri" w:cs="Calibri"/>
          <w:b/>
          <w:bCs/>
          <w:sz w:val="22"/>
          <w:szCs w:val="22"/>
        </w:rPr>
        <w:t xml:space="preserve"> </w:t>
      </w:r>
      <w:proofErr w:type="spellStart"/>
      <w:r>
        <w:rPr>
          <w:rFonts w:ascii="Calibri" w:eastAsia="Calibri" w:hAnsi="Calibri" w:cs="Calibri"/>
          <w:b/>
          <w:bCs/>
          <w:sz w:val="22"/>
          <w:szCs w:val="22"/>
        </w:rPr>
        <w:t>sanitarias</w:t>
      </w:r>
      <w:proofErr w:type="spellEnd"/>
      <w:r>
        <w:rPr>
          <w:rFonts w:ascii="Calibri" w:eastAsia="Calibri" w:hAnsi="Calibri" w:cs="Calibri"/>
          <w:b/>
          <w:bCs/>
          <w:sz w:val="22"/>
          <w:szCs w:val="22"/>
        </w:rPr>
        <w:t xml:space="preserve"> del </w:t>
      </w:r>
      <w:proofErr w:type="spellStart"/>
      <w:r>
        <w:rPr>
          <w:rFonts w:ascii="Calibri" w:eastAsia="Calibri" w:hAnsi="Calibri" w:cs="Calibri"/>
          <w:b/>
          <w:bCs/>
          <w:sz w:val="22"/>
          <w:szCs w:val="22"/>
        </w:rPr>
        <w:t>seguro</w:t>
      </w:r>
      <w:proofErr w:type="spellEnd"/>
      <w:r>
        <w:rPr>
          <w:rFonts w:ascii="Calibri" w:eastAsia="Calibri" w:hAnsi="Calibri" w:cs="Calibri"/>
          <w:b/>
          <w:bCs/>
          <w:sz w:val="22"/>
          <w:szCs w:val="22"/>
        </w:rPr>
        <w:t xml:space="preserve"> escolar y </w:t>
      </w:r>
      <w:proofErr w:type="spellStart"/>
      <w:r>
        <w:rPr>
          <w:rFonts w:ascii="Calibri" w:eastAsia="Calibri" w:hAnsi="Calibri" w:cs="Calibri"/>
          <w:b/>
          <w:bCs/>
          <w:sz w:val="22"/>
          <w:szCs w:val="22"/>
        </w:rPr>
        <w:t>traspasados</w:t>
      </w:r>
      <w:proofErr w:type="spellEnd"/>
      <w:r>
        <w:rPr>
          <w:rFonts w:ascii="Calibri" w:eastAsia="Calibri" w:hAnsi="Calibri" w:cs="Calibri"/>
          <w:b/>
          <w:bCs/>
          <w:sz w:val="22"/>
          <w:szCs w:val="22"/>
        </w:rPr>
        <w:t xml:space="preserve"> a la Comunidad </w:t>
      </w:r>
      <w:proofErr w:type="spellStart"/>
      <w:r>
        <w:rPr>
          <w:rFonts w:ascii="Calibri" w:eastAsia="Calibri" w:hAnsi="Calibri" w:cs="Calibri"/>
          <w:b/>
          <w:bCs/>
          <w:sz w:val="22"/>
          <w:szCs w:val="22"/>
        </w:rPr>
        <w:t>Autónoma</w:t>
      </w:r>
      <w:proofErr w:type="spellEnd"/>
      <w:r>
        <w:rPr>
          <w:rFonts w:ascii="Calibri" w:eastAsia="Calibri" w:hAnsi="Calibri" w:cs="Calibri"/>
          <w:b/>
          <w:bCs/>
          <w:sz w:val="22"/>
          <w:szCs w:val="22"/>
        </w:rPr>
        <w:t xml:space="preserve"> del País Vasco </w:t>
      </w:r>
      <w:proofErr w:type="spellStart"/>
      <w:r>
        <w:rPr>
          <w:rFonts w:ascii="Calibri" w:eastAsia="Calibri" w:hAnsi="Calibri" w:cs="Calibri"/>
          <w:b/>
          <w:bCs/>
          <w:sz w:val="22"/>
          <w:szCs w:val="22"/>
        </w:rPr>
        <w:t>por</w:t>
      </w:r>
      <w:proofErr w:type="spellEnd"/>
      <w:r>
        <w:rPr>
          <w:rFonts w:ascii="Calibri" w:eastAsia="Calibri" w:hAnsi="Calibri" w:cs="Calibri"/>
          <w:b/>
          <w:bCs/>
          <w:sz w:val="22"/>
          <w:szCs w:val="22"/>
        </w:rPr>
        <w:t xml:space="preserve"> </w:t>
      </w:r>
      <w:proofErr w:type="spellStart"/>
      <w:r>
        <w:rPr>
          <w:rFonts w:ascii="Calibri" w:eastAsia="Calibri" w:hAnsi="Calibri" w:cs="Calibri"/>
          <w:b/>
          <w:bCs/>
          <w:sz w:val="22"/>
          <w:szCs w:val="22"/>
        </w:rPr>
        <w:t>el</w:t>
      </w:r>
      <w:proofErr w:type="spellEnd"/>
      <w:r>
        <w:rPr>
          <w:rFonts w:ascii="Calibri" w:eastAsia="Calibri" w:hAnsi="Calibri" w:cs="Calibri"/>
          <w:b/>
          <w:bCs/>
          <w:sz w:val="22"/>
          <w:szCs w:val="22"/>
        </w:rPr>
        <w:t xml:space="preserve"> Real </w:t>
      </w:r>
      <w:proofErr w:type="spellStart"/>
      <w:r>
        <w:rPr>
          <w:rFonts w:ascii="Calibri" w:eastAsia="Calibri" w:hAnsi="Calibri" w:cs="Calibri"/>
          <w:b/>
          <w:bCs/>
          <w:sz w:val="22"/>
          <w:szCs w:val="22"/>
        </w:rPr>
        <w:t>Decreto</w:t>
      </w:r>
      <w:proofErr w:type="spellEnd"/>
      <w:r>
        <w:rPr>
          <w:rFonts w:ascii="Calibri" w:eastAsia="Calibri" w:hAnsi="Calibri" w:cs="Calibri"/>
          <w:b/>
          <w:bCs/>
          <w:sz w:val="22"/>
          <w:szCs w:val="22"/>
        </w:rPr>
        <w:t xml:space="preserve"> 667/2020, de 14 de </w:t>
      </w:r>
      <w:proofErr w:type="spellStart"/>
      <w:r>
        <w:rPr>
          <w:rFonts w:ascii="Calibri" w:eastAsia="Calibri" w:hAnsi="Calibri" w:cs="Calibri"/>
          <w:b/>
          <w:bCs/>
          <w:sz w:val="22"/>
          <w:szCs w:val="22"/>
        </w:rPr>
        <w:t>julio</w:t>
      </w:r>
      <w:proofErr w:type="spellEnd"/>
      <w:r>
        <w:rPr>
          <w:rFonts w:ascii="Calibri" w:eastAsia="Calibri" w:hAnsi="Calibri" w:cs="Calibri"/>
          <w:b/>
          <w:bCs/>
          <w:sz w:val="22"/>
          <w:szCs w:val="22"/>
        </w:rPr>
        <w:t xml:space="preserve">. (BOPV de 6 de </w:t>
      </w:r>
      <w:proofErr w:type="spellStart"/>
      <w:r>
        <w:rPr>
          <w:rFonts w:ascii="Calibri" w:eastAsia="Calibri" w:hAnsi="Calibri" w:cs="Calibri"/>
          <w:b/>
          <w:bCs/>
          <w:sz w:val="22"/>
          <w:szCs w:val="22"/>
        </w:rPr>
        <w:t>marzo</w:t>
      </w:r>
      <w:proofErr w:type="spellEnd"/>
      <w:r>
        <w:rPr>
          <w:rFonts w:ascii="Calibri" w:eastAsia="Calibri" w:hAnsi="Calibri" w:cs="Calibri"/>
          <w:b/>
          <w:bCs/>
          <w:sz w:val="22"/>
          <w:szCs w:val="22"/>
        </w:rPr>
        <w:t xml:space="preserve"> de 2026)</w:t>
      </w:r>
    </w:p>
    <w:p w14:paraId="34BFEBF9" w14:textId="77777777" w:rsidR="003F223C" w:rsidRPr="004F1741" w:rsidRDefault="00B66A92" w:rsidP="004F1741">
      <w:pPr>
        <w:pStyle w:val="Standard"/>
        <w:spacing w:after="198" w:line="288" w:lineRule="auto"/>
        <w:jc w:val="both"/>
        <w:outlineLvl w:val="0"/>
        <w:rPr>
          <w:rStyle w:val="Hyperlink0"/>
        </w:rPr>
      </w:pPr>
      <w:hyperlink r:id="rId66">
        <w:r w:rsidRPr="004F1741">
          <w:rPr>
            <w:rStyle w:val="Hyperlink0"/>
          </w:rPr>
          <w:t>https://www.euskadi.eus/web01-bopv/es/bopv2/datos/2026/03/2601003a.pdf</w:t>
        </w:r>
      </w:hyperlink>
    </w:p>
    <w:p w14:paraId="41CC888C" w14:textId="77777777" w:rsidR="003F223C" w:rsidRDefault="00B66A92" w:rsidP="0062002E">
      <w:pPr>
        <w:pStyle w:val="Gorputz-testua"/>
        <w:suppressAutoHyphens/>
        <w:spacing w:after="80" w:line="288" w:lineRule="auto"/>
        <w:jc w:val="both"/>
        <w:rPr>
          <w:rFonts w:ascii="Calibri" w:eastAsia="Calibri" w:hAnsi="Calibri" w:cs="Calibri"/>
          <w:b/>
          <w:bCs/>
          <w:sz w:val="22"/>
          <w:szCs w:val="22"/>
        </w:rPr>
      </w:pPr>
      <w:r>
        <w:rPr>
          <w:rFonts w:ascii="Calibri" w:eastAsia="Calibri" w:hAnsi="Calibri" w:cs="Calibri"/>
          <w:b/>
          <w:bCs/>
          <w:sz w:val="22"/>
          <w:szCs w:val="22"/>
        </w:rPr>
        <w:lastRenderedPageBreak/>
        <w:t xml:space="preserve">- DECRETO 23/2026, de 3 de </w:t>
      </w:r>
      <w:proofErr w:type="spellStart"/>
      <w:r>
        <w:rPr>
          <w:rFonts w:ascii="Calibri" w:eastAsia="Calibri" w:hAnsi="Calibri" w:cs="Calibri"/>
          <w:b/>
          <w:bCs/>
          <w:sz w:val="22"/>
          <w:szCs w:val="22"/>
        </w:rPr>
        <w:t>marzo</w:t>
      </w:r>
      <w:proofErr w:type="spellEnd"/>
      <w:r>
        <w:rPr>
          <w:rFonts w:ascii="Calibri" w:eastAsia="Calibri" w:hAnsi="Calibri" w:cs="Calibri"/>
          <w:b/>
          <w:bCs/>
          <w:sz w:val="22"/>
          <w:szCs w:val="22"/>
        </w:rPr>
        <w:t xml:space="preserve">, </w:t>
      </w:r>
      <w:proofErr w:type="spellStart"/>
      <w:r>
        <w:rPr>
          <w:rFonts w:ascii="Calibri" w:eastAsia="Calibri" w:hAnsi="Calibri" w:cs="Calibri"/>
          <w:b/>
          <w:bCs/>
          <w:sz w:val="22"/>
          <w:szCs w:val="22"/>
        </w:rPr>
        <w:t>por</w:t>
      </w:r>
      <w:proofErr w:type="spellEnd"/>
      <w:r>
        <w:rPr>
          <w:rFonts w:ascii="Calibri" w:eastAsia="Calibri" w:hAnsi="Calibri" w:cs="Calibri"/>
          <w:b/>
          <w:bCs/>
          <w:sz w:val="22"/>
          <w:szCs w:val="22"/>
        </w:rPr>
        <w:t xml:space="preserve"> </w:t>
      </w:r>
      <w:proofErr w:type="spellStart"/>
      <w:r>
        <w:rPr>
          <w:rFonts w:ascii="Calibri" w:eastAsia="Calibri" w:hAnsi="Calibri" w:cs="Calibri"/>
          <w:b/>
          <w:bCs/>
          <w:sz w:val="22"/>
          <w:szCs w:val="22"/>
        </w:rPr>
        <w:t>el</w:t>
      </w:r>
      <w:proofErr w:type="spellEnd"/>
      <w:r>
        <w:rPr>
          <w:rFonts w:ascii="Calibri" w:eastAsia="Calibri" w:hAnsi="Calibri" w:cs="Calibri"/>
          <w:b/>
          <w:bCs/>
          <w:sz w:val="22"/>
          <w:szCs w:val="22"/>
        </w:rPr>
        <w:t xml:space="preserve"> que se </w:t>
      </w:r>
      <w:proofErr w:type="spellStart"/>
      <w:r>
        <w:rPr>
          <w:rFonts w:ascii="Calibri" w:eastAsia="Calibri" w:hAnsi="Calibri" w:cs="Calibri"/>
          <w:b/>
          <w:bCs/>
          <w:sz w:val="22"/>
          <w:szCs w:val="22"/>
        </w:rPr>
        <w:t>formaliza</w:t>
      </w:r>
      <w:proofErr w:type="spellEnd"/>
      <w:r>
        <w:rPr>
          <w:rFonts w:ascii="Calibri" w:eastAsia="Calibri" w:hAnsi="Calibri" w:cs="Calibri"/>
          <w:b/>
          <w:bCs/>
          <w:sz w:val="22"/>
          <w:szCs w:val="22"/>
        </w:rPr>
        <w:t xml:space="preserve"> </w:t>
      </w:r>
      <w:proofErr w:type="spellStart"/>
      <w:r>
        <w:rPr>
          <w:rFonts w:ascii="Calibri" w:eastAsia="Calibri" w:hAnsi="Calibri" w:cs="Calibri"/>
          <w:b/>
          <w:bCs/>
          <w:sz w:val="22"/>
          <w:szCs w:val="22"/>
        </w:rPr>
        <w:t>el</w:t>
      </w:r>
      <w:proofErr w:type="spellEnd"/>
      <w:r>
        <w:rPr>
          <w:rFonts w:ascii="Calibri" w:eastAsia="Calibri" w:hAnsi="Calibri" w:cs="Calibri"/>
          <w:b/>
          <w:bCs/>
          <w:sz w:val="22"/>
          <w:szCs w:val="22"/>
        </w:rPr>
        <w:t xml:space="preserve"> </w:t>
      </w:r>
      <w:proofErr w:type="spellStart"/>
      <w:r>
        <w:rPr>
          <w:rFonts w:ascii="Calibri" w:eastAsia="Calibri" w:hAnsi="Calibri" w:cs="Calibri"/>
          <w:b/>
          <w:bCs/>
          <w:sz w:val="22"/>
          <w:szCs w:val="22"/>
        </w:rPr>
        <w:t>Acuerdo</w:t>
      </w:r>
      <w:proofErr w:type="spellEnd"/>
      <w:r>
        <w:rPr>
          <w:rFonts w:ascii="Calibri" w:eastAsia="Calibri" w:hAnsi="Calibri" w:cs="Calibri"/>
          <w:b/>
          <w:bCs/>
          <w:sz w:val="22"/>
          <w:szCs w:val="22"/>
        </w:rPr>
        <w:t xml:space="preserve"> de la Comisión Mixta de </w:t>
      </w:r>
      <w:proofErr w:type="spellStart"/>
      <w:r>
        <w:rPr>
          <w:rFonts w:ascii="Calibri" w:eastAsia="Calibri" w:hAnsi="Calibri" w:cs="Calibri"/>
          <w:b/>
          <w:bCs/>
          <w:sz w:val="22"/>
          <w:szCs w:val="22"/>
        </w:rPr>
        <w:t>Transferencias</w:t>
      </w:r>
      <w:proofErr w:type="spellEnd"/>
      <w:r>
        <w:rPr>
          <w:rFonts w:ascii="Calibri" w:eastAsia="Calibri" w:hAnsi="Calibri" w:cs="Calibri"/>
          <w:b/>
          <w:bCs/>
          <w:sz w:val="22"/>
          <w:szCs w:val="22"/>
        </w:rPr>
        <w:t xml:space="preserve"> de </w:t>
      </w:r>
      <w:proofErr w:type="spellStart"/>
      <w:r>
        <w:rPr>
          <w:rFonts w:ascii="Calibri" w:eastAsia="Calibri" w:hAnsi="Calibri" w:cs="Calibri"/>
          <w:b/>
          <w:bCs/>
          <w:sz w:val="22"/>
          <w:szCs w:val="22"/>
        </w:rPr>
        <w:t>traspaso</w:t>
      </w:r>
      <w:proofErr w:type="spellEnd"/>
      <w:r>
        <w:rPr>
          <w:rFonts w:ascii="Calibri" w:eastAsia="Calibri" w:hAnsi="Calibri" w:cs="Calibri"/>
          <w:b/>
          <w:bCs/>
          <w:sz w:val="22"/>
          <w:szCs w:val="22"/>
        </w:rPr>
        <w:t xml:space="preserve"> de </w:t>
      </w:r>
      <w:proofErr w:type="spellStart"/>
      <w:r>
        <w:rPr>
          <w:rFonts w:ascii="Calibri" w:eastAsia="Calibri" w:hAnsi="Calibri" w:cs="Calibri"/>
          <w:b/>
          <w:bCs/>
          <w:sz w:val="22"/>
          <w:szCs w:val="22"/>
        </w:rPr>
        <w:t>funciones</w:t>
      </w:r>
      <w:proofErr w:type="spellEnd"/>
      <w:r>
        <w:rPr>
          <w:rFonts w:ascii="Calibri" w:eastAsia="Calibri" w:hAnsi="Calibri" w:cs="Calibri"/>
          <w:b/>
          <w:bCs/>
          <w:sz w:val="22"/>
          <w:szCs w:val="22"/>
        </w:rPr>
        <w:t xml:space="preserve"> y </w:t>
      </w:r>
      <w:proofErr w:type="spellStart"/>
      <w:r>
        <w:rPr>
          <w:rFonts w:ascii="Calibri" w:eastAsia="Calibri" w:hAnsi="Calibri" w:cs="Calibri"/>
          <w:b/>
          <w:bCs/>
          <w:sz w:val="22"/>
          <w:szCs w:val="22"/>
        </w:rPr>
        <w:t>servicios</w:t>
      </w:r>
      <w:proofErr w:type="spellEnd"/>
      <w:r>
        <w:rPr>
          <w:rFonts w:ascii="Calibri" w:eastAsia="Calibri" w:hAnsi="Calibri" w:cs="Calibri"/>
          <w:b/>
          <w:bCs/>
          <w:sz w:val="22"/>
          <w:szCs w:val="22"/>
        </w:rPr>
        <w:t xml:space="preserve"> a la Comunidad </w:t>
      </w:r>
      <w:proofErr w:type="spellStart"/>
      <w:r>
        <w:rPr>
          <w:rFonts w:ascii="Calibri" w:eastAsia="Calibri" w:hAnsi="Calibri" w:cs="Calibri"/>
          <w:b/>
          <w:bCs/>
          <w:sz w:val="22"/>
          <w:szCs w:val="22"/>
        </w:rPr>
        <w:t>Autónoma</w:t>
      </w:r>
      <w:proofErr w:type="spellEnd"/>
      <w:r>
        <w:rPr>
          <w:rFonts w:ascii="Calibri" w:eastAsia="Calibri" w:hAnsi="Calibri" w:cs="Calibri"/>
          <w:b/>
          <w:bCs/>
          <w:sz w:val="22"/>
          <w:szCs w:val="22"/>
        </w:rPr>
        <w:t xml:space="preserve"> del País Vasco </w:t>
      </w:r>
      <w:proofErr w:type="spellStart"/>
      <w:r>
        <w:rPr>
          <w:rFonts w:ascii="Calibri" w:eastAsia="Calibri" w:hAnsi="Calibri" w:cs="Calibri"/>
          <w:b/>
          <w:bCs/>
          <w:sz w:val="22"/>
          <w:szCs w:val="22"/>
        </w:rPr>
        <w:t>en</w:t>
      </w:r>
      <w:proofErr w:type="spellEnd"/>
      <w:r>
        <w:rPr>
          <w:rFonts w:ascii="Calibri" w:eastAsia="Calibri" w:hAnsi="Calibri" w:cs="Calibri"/>
          <w:b/>
          <w:bCs/>
          <w:sz w:val="22"/>
          <w:szCs w:val="22"/>
        </w:rPr>
        <w:t xml:space="preserve"> </w:t>
      </w:r>
      <w:proofErr w:type="spellStart"/>
      <w:r>
        <w:rPr>
          <w:rFonts w:ascii="Calibri" w:eastAsia="Calibri" w:hAnsi="Calibri" w:cs="Calibri"/>
          <w:b/>
          <w:bCs/>
          <w:sz w:val="22"/>
          <w:szCs w:val="22"/>
        </w:rPr>
        <w:t>materia</w:t>
      </w:r>
      <w:proofErr w:type="spellEnd"/>
      <w:r>
        <w:rPr>
          <w:rFonts w:ascii="Calibri" w:eastAsia="Calibri" w:hAnsi="Calibri" w:cs="Calibri"/>
          <w:b/>
          <w:bCs/>
          <w:sz w:val="22"/>
          <w:szCs w:val="22"/>
        </w:rPr>
        <w:t xml:space="preserve"> de </w:t>
      </w:r>
      <w:proofErr w:type="spellStart"/>
      <w:r>
        <w:rPr>
          <w:rFonts w:ascii="Calibri" w:eastAsia="Calibri" w:hAnsi="Calibri" w:cs="Calibri"/>
          <w:b/>
          <w:bCs/>
          <w:sz w:val="22"/>
          <w:szCs w:val="22"/>
        </w:rPr>
        <w:t>ejecución</w:t>
      </w:r>
      <w:proofErr w:type="spellEnd"/>
      <w:r>
        <w:rPr>
          <w:rFonts w:ascii="Calibri" w:eastAsia="Calibri" w:hAnsi="Calibri" w:cs="Calibri"/>
          <w:b/>
          <w:bCs/>
          <w:sz w:val="22"/>
          <w:szCs w:val="22"/>
        </w:rPr>
        <w:t xml:space="preserve"> de la </w:t>
      </w:r>
      <w:proofErr w:type="spellStart"/>
      <w:r>
        <w:rPr>
          <w:rFonts w:ascii="Calibri" w:eastAsia="Calibri" w:hAnsi="Calibri" w:cs="Calibri"/>
          <w:b/>
          <w:bCs/>
          <w:sz w:val="22"/>
          <w:szCs w:val="22"/>
        </w:rPr>
        <w:t>legislación</w:t>
      </w:r>
      <w:proofErr w:type="spellEnd"/>
      <w:r>
        <w:rPr>
          <w:rFonts w:ascii="Calibri" w:eastAsia="Calibri" w:hAnsi="Calibri" w:cs="Calibri"/>
          <w:b/>
          <w:bCs/>
          <w:sz w:val="22"/>
          <w:szCs w:val="22"/>
        </w:rPr>
        <w:t xml:space="preserve"> del Estado </w:t>
      </w:r>
      <w:proofErr w:type="spellStart"/>
      <w:r>
        <w:rPr>
          <w:rFonts w:ascii="Calibri" w:eastAsia="Calibri" w:hAnsi="Calibri" w:cs="Calibri"/>
          <w:b/>
          <w:bCs/>
          <w:sz w:val="22"/>
          <w:szCs w:val="22"/>
        </w:rPr>
        <w:t>sobre</w:t>
      </w:r>
      <w:proofErr w:type="spellEnd"/>
      <w:r>
        <w:rPr>
          <w:rFonts w:ascii="Calibri" w:eastAsia="Calibri" w:hAnsi="Calibri" w:cs="Calibri"/>
          <w:b/>
          <w:bCs/>
          <w:sz w:val="22"/>
          <w:szCs w:val="22"/>
        </w:rPr>
        <w:t xml:space="preserve"> </w:t>
      </w:r>
      <w:proofErr w:type="spellStart"/>
      <w:r>
        <w:rPr>
          <w:rFonts w:ascii="Calibri" w:eastAsia="Calibri" w:hAnsi="Calibri" w:cs="Calibri"/>
          <w:b/>
          <w:bCs/>
          <w:sz w:val="22"/>
          <w:szCs w:val="22"/>
        </w:rPr>
        <w:t>salvamento</w:t>
      </w:r>
      <w:proofErr w:type="spellEnd"/>
      <w:r>
        <w:rPr>
          <w:rFonts w:ascii="Calibri" w:eastAsia="Calibri" w:hAnsi="Calibri" w:cs="Calibri"/>
          <w:b/>
          <w:bCs/>
          <w:sz w:val="22"/>
          <w:szCs w:val="22"/>
        </w:rPr>
        <w:t xml:space="preserve"> </w:t>
      </w:r>
      <w:proofErr w:type="spellStart"/>
      <w:r>
        <w:rPr>
          <w:rFonts w:ascii="Calibri" w:eastAsia="Calibri" w:hAnsi="Calibri" w:cs="Calibri"/>
          <w:b/>
          <w:bCs/>
          <w:sz w:val="22"/>
          <w:szCs w:val="22"/>
        </w:rPr>
        <w:t>marítimo</w:t>
      </w:r>
      <w:proofErr w:type="spellEnd"/>
      <w:r>
        <w:rPr>
          <w:rFonts w:ascii="Calibri" w:eastAsia="Calibri" w:hAnsi="Calibri" w:cs="Calibri"/>
          <w:b/>
          <w:bCs/>
          <w:sz w:val="22"/>
          <w:szCs w:val="22"/>
        </w:rPr>
        <w:t xml:space="preserve"> </w:t>
      </w:r>
      <w:proofErr w:type="spellStart"/>
      <w:r>
        <w:rPr>
          <w:rFonts w:ascii="Calibri" w:eastAsia="Calibri" w:hAnsi="Calibri" w:cs="Calibri"/>
          <w:b/>
          <w:bCs/>
          <w:sz w:val="22"/>
          <w:szCs w:val="22"/>
        </w:rPr>
        <w:t>en</w:t>
      </w:r>
      <w:proofErr w:type="spellEnd"/>
      <w:r>
        <w:rPr>
          <w:rFonts w:ascii="Calibri" w:eastAsia="Calibri" w:hAnsi="Calibri" w:cs="Calibri"/>
          <w:b/>
          <w:bCs/>
          <w:sz w:val="22"/>
          <w:szCs w:val="22"/>
        </w:rPr>
        <w:t xml:space="preserve"> las </w:t>
      </w:r>
      <w:proofErr w:type="spellStart"/>
      <w:r>
        <w:rPr>
          <w:rFonts w:ascii="Calibri" w:eastAsia="Calibri" w:hAnsi="Calibri" w:cs="Calibri"/>
          <w:b/>
          <w:bCs/>
          <w:sz w:val="22"/>
          <w:szCs w:val="22"/>
        </w:rPr>
        <w:t>aguas</w:t>
      </w:r>
      <w:proofErr w:type="spellEnd"/>
      <w:r>
        <w:rPr>
          <w:rFonts w:ascii="Calibri" w:eastAsia="Calibri" w:hAnsi="Calibri" w:cs="Calibri"/>
          <w:b/>
          <w:bCs/>
          <w:sz w:val="22"/>
          <w:szCs w:val="22"/>
        </w:rPr>
        <w:t xml:space="preserve"> </w:t>
      </w:r>
      <w:proofErr w:type="spellStart"/>
      <w:r>
        <w:rPr>
          <w:rFonts w:ascii="Calibri" w:eastAsia="Calibri" w:hAnsi="Calibri" w:cs="Calibri"/>
          <w:b/>
          <w:bCs/>
          <w:sz w:val="22"/>
          <w:szCs w:val="22"/>
        </w:rPr>
        <w:t>interiores</w:t>
      </w:r>
      <w:proofErr w:type="spellEnd"/>
      <w:r>
        <w:rPr>
          <w:rFonts w:ascii="Calibri" w:eastAsia="Calibri" w:hAnsi="Calibri" w:cs="Calibri"/>
          <w:b/>
          <w:bCs/>
          <w:sz w:val="22"/>
          <w:szCs w:val="22"/>
        </w:rPr>
        <w:t xml:space="preserve"> y </w:t>
      </w:r>
      <w:proofErr w:type="spellStart"/>
      <w:r>
        <w:rPr>
          <w:rFonts w:ascii="Calibri" w:eastAsia="Calibri" w:hAnsi="Calibri" w:cs="Calibri"/>
          <w:b/>
          <w:bCs/>
          <w:sz w:val="22"/>
          <w:szCs w:val="22"/>
        </w:rPr>
        <w:t>territoriales</w:t>
      </w:r>
      <w:proofErr w:type="spellEnd"/>
      <w:r>
        <w:rPr>
          <w:rFonts w:ascii="Calibri" w:eastAsia="Calibri" w:hAnsi="Calibri" w:cs="Calibri"/>
          <w:b/>
          <w:bCs/>
          <w:sz w:val="22"/>
          <w:szCs w:val="22"/>
        </w:rPr>
        <w:t xml:space="preserve"> </w:t>
      </w:r>
      <w:proofErr w:type="spellStart"/>
      <w:r>
        <w:rPr>
          <w:rFonts w:ascii="Calibri" w:eastAsia="Calibri" w:hAnsi="Calibri" w:cs="Calibri"/>
          <w:b/>
          <w:bCs/>
          <w:sz w:val="22"/>
          <w:szCs w:val="22"/>
        </w:rPr>
        <w:t>correspondientes</w:t>
      </w:r>
      <w:proofErr w:type="spellEnd"/>
      <w:r>
        <w:rPr>
          <w:rFonts w:ascii="Calibri" w:eastAsia="Calibri" w:hAnsi="Calibri" w:cs="Calibri"/>
          <w:b/>
          <w:bCs/>
          <w:sz w:val="22"/>
          <w:szCs w:val="22"/>
        </w:rPr>
        <w:t xml:space="preserve"> al </w:t>
      </w:r>
      <w:proofErr w:type="spellStart"/>
      <w:r>
        <w:rPr>
          <w:rFonts w:ascii="Calibri" w:eastAsia="Calibri" w:hAnsi="Calibri" w:cs="Calibri"/>
          <w:b/>
          <w:bCs/>
          <w:sz w:val="22"/>
          <w:szCs w:val="22"/>
        </w:rPr>
        <w:t>litoral</w:t>
      </w:r>
      <w:proofErr w:type="spellEnd"/>
      <w:r>
        <w:rPr>
          <w:rFonts w:ascii="Calibri" w:eastAsia="Calibri" w:hAnsi="Calibri" w:cs="Calibri"/>
          <w:b/>
          <w:bCs/>
          <w:sz w:val="22"/>
          <w:szCs w:val="22"/>
        </w:rPr>
        <w:t xml:space="preserve"> </w:t>
      </w:r>
      <w:proofErr w:type="spellStart"/>
      <w:r>
        <w:rPr>
          <w:rFonts w:ascii="Calibri" w:eastAsia="Calibri" w:hAnsi="Calibri" w:cs="Calibri"/>
          <w:b/>
          <w:bCs/>
          <w:sz w:val="22"/>
          <w:szCs w:val="22"/>
        </w:rPr>
        <w:t>vasco</w:t>
      </w:r>
      <w:proofErr w:type="spellEnd"/>
      <w:r>
        <w:rPr>
          <w:rFonts w:ascii="Calibri" w:eastAsia="Calibri" w:hAnsi="Calibri" w:cs="Calibri"/>
          <w:b/>
          <w:bCs/>
          <w:sz w:val="22"/>
          <w:szCs w:val="22"/>
        </w:rPr>
        <w:t xml:space="preserve">. (BOPV de 6 de </w:t>
      </w:r>
      <w:proofErr w:type="spellStart"/>
      <w:r>
        <w:rPr>
          <w:rFonts w:ascii="Calibri" w:eastAsia="Calibri" w:hAnsi="Calibri" w:cs="Calibri"/>
          <w:b/>
          <w:bCs/>
          <w:sz w:val="22"/>
          <w:szCs w:val="22"/>
        </w:rPr>
        <w:t>marzo</w:t>
      </w:r>
      <w:proofErr w:type="spellEnd"/>
      <w:r>
        <w:rPr>
          <w:rFonts w:ascii="Calibri" w:eastAsia="Calibri" w:hAnsi="Calibri" w:cs="Calibri"/>
          <w:b/>
          <w:bCs/>
          <w:sz w:val="22"/>
          <w:szCs w:val="22"/>
        </w:rPr>
        <w:t xml:space="preserve"> de 2026)</w:t>
      </w:r>
    </w:p>
    <w:p w14:paraId="5E9F3B93" w14:textId="77777777" w:rsidR="003F223C" w:rsidRPr="004F1741" w:rsidRDefault="00B66A92" w:rsidP="004F1741">
      <w:pPr>
        <w:pStyle w:val="Standard"/>
        <w:spacing w:after="198" w:line="288" w:lineRule="auto"/>
        <w:jc w:val="both"/>
        <w:outlineLvl w:val="0"/>
        <w:rPr>
          <w:rStyle w:val="Hyperlink0"/>
        </w:rPr>
      </w:pPr>
      <w:hyperlink r:id="rId67">
        <w:r w:rsidRPr="004F1741">
          <w:rPr>
            <w:rStyle w:val="Hyperlink0"/>
          </w:rPr>
          <w:t>https://www.euskadi.eus/web01-bopv/es/bopv2/datos/2026/03/2601004a.pdf</w:t>
        </w:r>
      </w:hyperlink>
    </w:p>
    <w:p w14:paraId="1DBD52A4" w14:textId="77777777" w:rsidR="003F223C" w:rsidRDefault="00B66A92" w:rsidP="0062002E">
      <w:pPr>
        <w:pStyle w:val="Gorputz-testua"/>
        <w:suppressAutoHyphens/>
        <w:spacing w:after="80" w:line="288" w:lineRule="auto"/>
        <w:jc w:val="both"/>
        <w:rPr>
          <w:rFonts w:ascii="Calibri" w:eastAsia="Calibri" w:hAnsi="Calibri" w:cs="Calibri"/>
          <w:b/>
          <w:bCs/>
          <w:sz w:val="22"/>
          <w:szCs w:val="22"/>
        </w:rPr>
      </w:pPr>
      <w:r>
        <w:rPr>
          <w:rFonts w:ascii="Calibri" w:eastAsia="Calibri" w:hAnsi="Calibri" w:cs="Calibri"/>
          <w:b/>
          <w:bCs/>
          <w:sz w:val="22"/>
          <w:szCs w:val="22"/>
        </w:rPr>
        <w:t xml:space="preserve">- DECRETO 21/2026, de 24 de </w:t>
      </w:r>
      <w:proofErr w:type="spellStart"/>
      <w:r>
        <w:rPr>
          <w:rFonts w:ascii="Calibri" w:eastAsia="Calibri" w:hAnsi="Calibri" w:cs="Calibri"/>
          <w:b/>
          <w:bCs/>
          <w:sz w:val="22"/>
          <w:szCs w:val="22"/>
        </w:rPr>
        <w:t>febrero</w:t>
      </w:r>
      <w:proofErr w:type="spellEnd"/>
      <w:r>
        <w:rPr>
          <w:rFonts w:ascii="Calibri" w:eastAsia="Calibri" w:hAnsi="Calibri" w:cs="Calibri"/>
          <w:b/>
          <w:bCs/>
          <w:sz w:val="22"/>
          <w:szCs w:val="22"/>
        </w:rPr>
        <w:t xml:space="preserve">, </w:t>
      </w:r>
      <w:proofErr w:type="spellStart"/>
      <w:r>
        <w:rPr>
          <w:rFonts w:ascii="Calibri" w:eastAsia="Calibri" w:hAnsi="Calibri" w:cs="Calibri"/>
          <w:b/>
          <w:bCs/>
          <w:sz w:val="22"/>
          <w:szCs w:val="22"/>
        </w:rPr>
        <w:t>por</w:t>
      </w:r>
      <w:proofErr w:type="spellEnd"/>
      <w:r>
        <w:rPr>
          <w:rFonts w:ascii="Calibri" w:eastAsia="Calibri" w:hAnsi="Calibri" w:cs="Calibri"/>
          <w:b/>
          <w:bCs/>
          <w:sz w:val="22"/>
          <w:szCs w:val="22"/>
        </w:rPr>
        <w:t xml:space="preserve"> </w:t>
      </w:r>
      <w:proofErr w:type="spellStart"/>
      <w:r>
        <w:rPr>
          <w:rFonts w:ascii="Calibri" w:eastAsia="Calibri" w:hAnsi="Calibri" w:cs="Calibri"/>
          <w:b/>
          <w:bCs/>
          <w:sz w:val="22"/>
          <w:szCs w:val="22"/>
        </w:rPr>
        <w:t>el</w:t>
      </w:r>
      <w:proofErr w:type="spellEnd"/>
      <w:r>
        <w:rPr>
          <w:rFonts w:ascii="Calibri" w:eastAsia="Calibri" w:hAnsi="Calibri" w:cs="Calibri"/>
          <w:b/>
          <w:bCs/>
          <w:sz w:val="22"/>
          <w:szCs w:val="22"/>
        </w:rPr>
        <w:t xml:space="preserve"> que se </w:t>
      </w:r>
      <w:proofErr w:type="spellStart"/>
      <w:r>
        <w:rPr>
          <w:rFonts w:ascii="Calibri" w:eastAsia="Calibri" w:hAnsi="Calibri" w:cs="Calibri"/>
          <w:b/>
          <w:bCs/>
          <w:sz w:val="22"/>
          <w:szCs w:val="22"/>
        </w:rPr>
        <w:t>aprueba</w:t>
      </w:r>
      <w:proofErr w:type="spellEnd"/>
      <w:r>
        <w:rPr>
          <w:rFonts w:ascii="Calibri" w:eastAsia="Calibri" w:hAnsi="Calibri" w:cs="Calibri"/>
          <w:b/>
          <w:bCs/>
          <w:sz w:val="22"/>
          <w:szCs w:val="22"/>
        </w:rPr>
        <w:t xml:space="preserve"> </w:t>
      </w:r>
      <w:proofErr w:type="spellStart"/>
      <w:r>
        <w:rPr>
          <w:rFonts w:ascii="Calibri" w:eastAsia="Calibri" w:hAnsi="Calibri" w:cs="Calibri"/>
          <w:b/>
          <w:bCs/>
          <w:sz w:val="22"/>
          <w:szCs w:val="22"/>
        </w:rPr>
        <w:t>el</w:t>
      </w:r>
      <w:proofErr w:type="spellEnd"/>
      <w:r>
        <w:rPr>
          <w:rFonts w:ascii="Calibri" w:eastAsia="Calibri" w:hAnsi="Calibri" w:cs="Calibri"/>
          <w:b/>
          <w:bCs/>
          <w:sz w:val="22"/>
          <w:szCs w:val="22"/>
        </w:rPr>
        <w:t xml:space="preserve"> </w:t>
      </w:r>
      <w:proofErr w:type="spellStart"/>
      <w:r>
        <w:rPr>
          <w:rFonts w:ascii="Calibri" w:eastAsia="Calibri" w:hAnsi="Calibri" w:cs="Calibri"/>
          <w:b/>
          <w:bCs/>
          <w:sz w:val="22"/>
          <w:szCs w:val="22"/>
        </w:rPr>
        <w:t>Reglamento</w:t>
      </w:r>
      <w:proofErr w:type="spellEnd"/>
      <w:r>
        <w:rPr>
          <w:rFonts w:ascii="Calibri" w:eastAsia="Calibri" w:hAnsi="Calibri" w:cs="Calibri"/>
          <w:b/>
          <w:bCs/>
          <w:sz w:val="22"/>
          <w:szCs w:val="22"/>
        </w:rPr>
        <w:t xml:space="preserve"> de las </w:t>
      </w:r>
      <w:proofErr w:type="spellStart"/>
      <w:r>
        <w:rPr>
          <w:rFonts w:ascii="Calibri" w:eastAsia="Calibri" w:hAnsi="Calibri" w:cs="Calibri"/>
          <w:b/>
          <w:bCs/>
          <w:sz w:val="22"/>
          <w:szCs w:val="22"/>
        </w:rPr>
        <w:t>Ayudas</w:t>
      </w:r>
      <w:proofErr w:type="spellEnd"/>
      <w:r>
        <w:rPr>
          <w:rFonts w:ascii="Calibri" w:eastAsia="Calibri" w:hAnsi="Calibri" w:cs="Calibri"/>
          <w:b/>
          <w:bCs/>
          <w:sz w:val="22"/>
          <w:szCs w:val="22"/>
        </w:rPr>
        <w:t xml:space="preserve"> de </w:t>
      </w:r>
      <w:proofErr w:type="spellStart"/>
      <w:r>
        <w:rPr>
          <w:rFonts w:ascii="Calibri" w:eastAsia="Calibri" w:hAnsi="Calibri" w:cs="Calibri"/>
          <w:b/>
          <w:bCs/>
          <w:sz w:val="22"/>
          <w:szCs w:val="22"/>
        </w:rPr>
        <w:t>Emergencia</w:t>
      </w:r>
      <w:proofErr w:type="spellEnd"/>
      <w:r>
        <w:rPr>
          <w:rFonts w:ascii="Calibri" w:eastAsia="Calibri" w:hAnsi="Calibri" w:cs="Calibri"/>
          <w:b/>
          <w:bCs/>
          <w:sz w:val="22"/>
          <w:szCs w:val="22"/>
        </w:rPr>
        <w:t xml:space="preserve"> Social. (BOPV de 16 de </w:t>
      </w:r>
      <w:proofErr w:type="spellStart"/>
      <w:r>
        <w:rPr>
          <w:rFonts w:ascii="Calibri" w:eastAsia="Calibri" w:hAnsi="Calibri" w:cs="Calibri"/>
          <w:b/>
          <w:bCs/>
          <w:sz w:val="22"/>
          <w:szCs w:val="22"/>
        </w:rPr>
        <w:t>marzo</w:t>
      </w:r>
      <w:proofErr w:type="spellEnd"/>
      <w:r>
        <w:rPr>
          <w:rFonts w:ascii="Calibri" w:eastAsia="Calibri" w:hAnsi="Calibri" w:cs="Calibri"/>
          <w:b/>
          <w:bCs/>
          <w:sz w:val="22"/>
          <w:szCs w:val="22"/>
        </w:rPr>
        <w:t xml:space="preserve"> de 2026)</w:t>
      </w:r>
    </w:p>
    <w:p w14:paraId="03182810" w14:textId="77777777" w:rsidR="003F223C" w:rsidRPr="004F1741" w:rsidRDefault="00B66A92" w:rsidP="004F1741">
      <w:pPr>
        <w:pStyle w:val="Standard"/>
        <w:spacing w:after="198" w:line="288" w:lineRule="auto"/>
        <w:jc w:val="both"/>
        <w:outlineLvl w:val="0"/>
        <w:rPr>
          <w:rStyle w:val="Hyperlink0"/>
        </w:rPr>
      </w:pPr>
      <w:hyperlink r:id="rId68">
        <w:r w:rsidRPr="004F1741">
          <w:rPr>
            <w:rStyle w:val="Hyperlink0"/>
          </w:rPr>
          <w:t>https://www.euskadi.eus/web01-bopv/es/bopv2/datos/2026/03/2601161a.pdf</w:t>
        </w:r>
      </w:hyperlink>
    </w:p>
    <w:p w14:paraId="50C5900E" w14:textId="77777777" w:rsidR="003F223C" w:rsidRDefault="00B66A92" w:rsidP="0062002E">
      <w:pPr>
        <w:pStyle w:val="Gorputz-testua"/>
        <w:suppressAutoHyphens/>
        <w:spacing w:after="80" w:line="288" w:lineRule="auto"/>
        <w:jc w:val="both"/>
        <w:rPr>
          <w:rFonts w:ascii="Calibri" w:eastAsia="Calibri" w:hAnsi="Calibri" w:cs="Calibri"/>
          <w:b/>
          <w:bCs/>
          <w:sz w:val="22"/>
          <w:szCs w:val="22"/>
        </w:rPr>
      </w:pPr>
      <w:r>
        <w:rPr>
          <w:rFonts w:ascii="Calibri" w:eastAsia="Calibri" w:hAnsi="Calibri" w:cs="Calibri"/>
          <w:b/>
          <w:bCs/>
          <w:sz w:val="22"/>
          <w:szCs w:val="22"/>
        </w:rPr>
        <w:t xml:space="preserve">- DECRETO 30/2026, de 10 de </w:t>
      </w:r>
      <w:proofErr w:type="spellStart"/>
      <w:r>
        <w:rPr>
          <w:rFonts w:ascii="Calibri" w:eastAsia="Calibri" w:hAnsi="Calibri" w:cs="Calibri"/>
          <w:b/>
          <w:bCs/>
          <w:sz w:val="22"/>
          <w:szCs w:val="22"/>
        </w:rPr>
        <w:t>marzo</w:t>
      </w:r>
      <w:proofErr w:type="spellEnd"/>
      <w:r>
        <w:rPr>
          <w:rFonts w:ascii="Calibri" w:eastAsia="Calibri" w:hAnsi="Calibri" w:cs="Calibri"/>
          <w:b/>
          <w:bCs/>
          <w:sz w:val="22"/>
          <w:szCs w:val="22"/>
        </w:rPr>
        <w:t xml:space="preserve">, del </w:t>
      </w:r>
      <w:proofErr w:type="spellStart"/>
      <w:r>
        <w:rPr>
          <w:rFonts w:ascii="Calibri" w:eastAsia="Calibri" w:hAnsi="Calibri" w:cs="Calibri"/>
          <w:b/>
          <w:bCs/>
          <w:sz w:val="22"/>
          <w:szCs w:val="22"/>
        </w:rPr>
        <w:t>Foro</w:t>
      </w:r>
      <w:proofErr w:type="spellEnd"/>
      <w:r>
        <w:rPr>
          <w:rFonts w:ascii="Calibri" w:eastAsia="Calibri" w:hAnsi="Calibri" w:cs="Calibri"/>
          <w:b/>
          <w:bCs/>
          <w:sz w:val="22"/>
          <w:szCs w:val="22"/>
        </w:rPr>
        <w:t xml:space="preserve"> Vasco de Empleo. (BOPV de 24 de </w:t>
      </w:r>
      <w:proofErr w:type="spellStart"/>
      <w:r>
        <w:rPr>
          <w:rFonts w:ascii="Calibri" w:eastAsia="Calibri" w:hAnsi="Calibri" w:cs="Calibri"/>
          <w:b/>
          <w:bCs/>
          <w:sz w:val="22"/>
          <w:szCs w:val="22"/>
        </w:rPr>
        <w:t>marzo</w:t>
      </w:r>
      <w:proofErr w:type="spellEnd"/>
      <w:r>
        <w:rPr>
          <w:rFonts w:ascii="Calibri" w:eastAsia="Calibri" w:hAnsi="Calibri" w:cs="Calibri"/>
          <w:b/>
          <w:bCs/>
          <w:sz w:val="22"/>
          <w:szCs w:val="22"/>
        </w:rPr>
        <w:t xml:space="preserve"> de 2026)</w:t>
      </w:r>
    </w:p>
    <w:p w14:paraId="4634434D" w14:textId="77777777" w:rsidR="003F223C" w:rsidRPr="004F1741" w:rsidRDefault="00B66A92" w:rsidP="004F1741">
      <w:pPr>
        <w:pStyle w:val="Standard"/>
        <w:spacing w:after="198" w:line="288" w:lineRule="auto"/>
        <w:jc w:val="both"/>
        <w:outlineLvl w:val="0"/>
        <w:rPr>
          <w:rStyle w:val="Hyperlink0"/>
        </w:rPr>
      </w:pPr>
      <w:hyperlink r:id="rId69">
        <w:r w:rsidRPr="004F1741">
          <w:rPr>
            <w:rStyle w:val="Hyperlink0"/>
          </w:rPr>
          <w:t>https://www.euskadi.eus/web01-bopv/es/bopv2/datos/2026/03/2601276a.pdf</w:t>
        </w:r>
      </w:hyperlink>
    </w:p>
    <w:p w14:paraId="5E06C620" w14:textId="77777777" w:rsidR="003F223C" w:rsidRDefault="003F223C">
      <w:pPr>
        <w:pStyle w:val="CuerpoA"/>
        <w:suppressAutoHyphens/>
        <w:spacing w:line="288" w:lineRule="auto"/>
        <w:jc w:val="both"/>
        <w:rPr>
          <w:rFonts w:ascii="Calibri" w:eastAsia="Calibri" w:hAnsi="Calibri" w:cs="Calibri"/>
          <w:b/>
          <w:bCs/>
        </w:rPr>
      </w:pPr>
    </w:p>
    <w:p w14:paraId="44EB9BB5" w14:textId="77777777" w:rsidR="003F223C" w:rsidRDefault="003F223C">
      <w:pPr>
        <w:pStyle w:val="CuerpoA"/>
        <w:suppressAutoHyphens/>
        <w:spacing w:line="288" w:lineRule="auto"/>
        <w:rPr>
          <w:rFonts w:ascii="Calibri" w:eastAsia="Calibri" w:hAnsi="Calibri" w:cs="Calibri"/>
          <w:b/>
          <w:bCs/>
        </w:rPr>
      </w:pPr>
    </w:p>
    <w:p w14:paraId="1DC13FAE" w14:textId="77777777" w:rsidR="003F223C" w:rsidRDefault="00B66A92">
      <w:pPr>
        <w:pStyle w:val="Standard"/>
        <w:spacing w:after="198" w:line="288" w:lineRule="auto"/>
        <w:jc w:val="both"/>
        <w:outlineLvl w:val="1"/>
        <w:rPr>
          <w:b/>
          <w:bCs/>
        </w:rPr>
      </w:pPr>
      <w:r>
        <w:rPr>
          <w:rStyle w:val="Ninguno"/>
          <w:b/>
          <w:bCs/>
          <w:color w:val="4F81BD"/>
          <w:sz w:val="26"/>
          <w:szCs w:val="26"/>
        </w:rPr>
        <w:t>Territorio Histórico de Álava</w:t>
      </w:r>
    </w:p>
    <w:p w14:paraId="19B4B048" w14:textId="77777777" w:rsidR="003F223C" w:rsidRDefault="00B66A92">
      <w:pPr>
        <w:pStyle w:val="Standard"/>
        <w:spacing w:after="198" w:line="288" w:lineRule="auto"/>
        <w:jc w:val="both"/>
        <w:outlineLvl w:val="1"/>
        <w:rPr>
          <w:b/>
          <w:bCs/>
        </w:rPr>
      </w:pPr>
      <w:r>
        <w:rPr>
          <w:b/>
          <w:bCs/>
        </w:rPr>
        <w:t>No ha habido actividad normativa durante dicho periodo.</w:t>
      </w:r>
    </w:p>
    <w:p w14:paraId="43DB8B3B" w14:textId="77777777" w:rsidR="003F223C" w:rsidRDefault="003F223C">
      <w:pPr>
        <w:pStyle w:val="Standard"/>
        <w:spacing w:after="198" w:line="288" w:lineRule="auto"/>
        <w:jc w:val="both"/>
        <w:outlineLvl w:val="1"/>
        <w:rPr>
          <w:sz w:val="26"/>
          <w:szCs w:val="26"/>
        </w:rPr>
      </w:pPr>
    </w:p>
    <w:p w14:paraId="58791E70" w14:textId="77777777" w:rsidR="003F223C" w:rsidRDefault="00B66A92">
      <w:pPr>
        <w:pStyle w:val="Standard"/>
        <w:spacing w:after="198" w:line="288" w:lineRule="auto"/>
        <w:jc w:val="both"/>
        <w:outlineLvl w:val="1"/>
        <w:rPr>
          <w:sz w:val="26"/>
          <w:szCs w:val="26"/>
        </w:rPr>
      </w:pPr>
      <w:r>
        <w:rPr>
          <w:rStyle w:val="Ninguno"/>
          <w:b/>
          <w:bCs/>
          <w:color w:val="4F81BD"/>
          <w:sz w:val="26"/>
          <w:szCs w:val="26"/>
        </w:rPr>
        <w:t xml:space="preserve">Territorio Histórico de Bizkaia </w:t>
      </w:r>
    </w:p>
    <w:p w14:paraId="39919DE2" w14:textId="77777777" w:rsidR="003F223C" w:rsidRDefault="00B66A92">
      <w:pPr>
        <w:pStyle w:val="Standard"/>
        <w:spacing w:after="198" w:line="288" w:lineRule="auto"/>
        <w:jc w:val="both"/>
        <w:outlineLvl w:val="1"/>
        <w:rPr>
          <w:b/>
          <w:bCs/>
        </w:rPr>
      </w:pPr>
      <w:r>
        <w:rPr>
          <w:rStyle w:val="Ninguno"/>
          <w:b/>
          <w:bCs/>
        </w:rPr>
        <w:t>No ha habido actividad normativa durante dicho periodo.</w:t>
      </w:r>
    </w:p>
    <w:p w14:paraId="2262AFDC" w14:textId="77777777" w:rsidR="003F223C" w:rsidRDefault="003F223C">
      <w:pPr>
        <w:pStyle w:val="Standard"/>
        <w:spacing w:after="198" w:line="288" w:lineRule="auto"/>
        <w:jc w:val="both"/>
        <w:outlineLvl w:val="1"/>
        <w:rPr>
          <w:rStyle w:val="Ninguno"/>
          <w:b/>
          <w:bCs/>
          <w:color w:val="4F81BD"/>
          <w:sz w:val="26"/>
          <w:szCs w:val="26"/>
        </w:rPr>
      </w:pPr>
    </w:p>
    <w:p w14:paraId="3F014CB6" w14:textId="77777777" w:rsidR="003F223C" w:rsidRDefault="00B66A92">
      <w:pPr>
        <w:pStyle w:val="Standard"/>
        <w:spacing w:after="198" w:line="288" w:lineRule="auto"/>
        <w:jc w:val="both"/>
        <w:outlineLvl w:val="1"/>
        <w:rPr>
          <w:b/>
          <w:bCs/>
          <w:color w:val="4F81BD"/>
          <w:sz w:val="26"/>
          <w:szCs w:val="26"/>
        </w:rPr>
      </w:pPr>
      <w:r>
        <w:rPr>
          <w:rStyle w:val="Ninguno"/>
          <w:b/>
          <w:bCs/>
          <w:color w:val="4F81BD"/>
          <w:sz w:val="26"/>
          <w:szCs w:val="26"/>
        </w:rPr>
        <w:t xml:space="preserve">Territorio Histórico de Gipuzkoa </w:t>
      </w:r>
    </w:p>
    <w:p w14:paraId="2FE8A807" w14:textId="77777777" w:rsidR="003F223C" w:rsidRPr="00945392" w:rsidRDefault="00B66A92" w:rsidP="0062002E">
      <w:pPr>
        <w:pStyle w:val="Standard"/>
        <w:spacing w:after="80" w:line="288" w:lineRule="auto"/>
        <w:jc w:val="both"/>
        <w:rPr>
          <w:b/>
          <w:bCs/>
        </w:rPr>
      </w:pPr>
      <w:r w:rsidRPr="00945392">
        <w:rPr>
          <w:rStyle w:val="Ninguno"/>
          <w:b/>
          <w:bCs/>
          <w:color w:val="4F81BD"/>
        </w:rPr>
        <w:t xml:space="preserve">- </w:t>
      </w:r>
      <w:r w:rsidRPr="00945392">
        <w:rPr>
          <w:b/>
          <w:bCs/>
        </w:rPr>
        <w:t>Decreto Foral-Resolución 10/2026, de 14 de enero, por el que se declaran los días inhábiles en los procedimientos administrativos del ámbito de competencia de la Diputación Foral de Gipuzkoa. (BOG de 16 de enero de 2026)</w:t>
      </w:r>
    </w:p>
    <w:p w14:paraId="0B82DA14" w14:textId="77777777" w:rsidR="003F223C" w:rsidRPr="00945392" w:rsidRDefault="00B66A92">
      <w:pPr>
        <w:pStyle w:val="Standard"/>
        <w:spacing w:after="198" w:line="288" w:lineRule="auto"/>
        <w:jc w:val="both"/>
      </w:pPr>
      <w:hyperlink r:id="rId70">
        <w:r w:rsidRPr="00945392">
          <w:rPr>
            <w:rStyle w:val="Hyperlink0"/>
          </w:rPr>
          <w:t>https://egoitza.gipuzkoa.eus/gao-bog/castell/bog/2026/01/16/c2600246.pdf</w:t>
        </w:r>
      </w:hyperlink>
    </w:p>
    <w:p w14:paraId="35F4FA52" w14:textId="77777777" w:rsidR="003F223C" w:rsidRPr="00945392" w:rsidRDefault="00B66A92" w:rsidP="0062002E">
      <w:pPr>
        <w:pStyle w:val="Standard"/>
        <w:spacing w:after="80" w:line="288" w:lineRule="auto"/>
        <w:jc w:val="both"/>
        <w:rPr>
          <w:b/>
          <w:bCs/>
        </w:rPr>
      </w:pPr>
      <w:r w:rsidRPr="00945392">
        <w:rPr>
          <w:b/>
          <w:bCs/>
        </w:rPr>
        <w:t>- Resolución de 4 de febrero de 2026 de las Juntas Generales de Gipuzkoa, por la que se ordena la publicación del acuerdo de convalidación del Decreto Foral-Norma 1/2025, de 23 de diciembre, por el que se aprueban determinadas modificaciones tributarias para el año 2025. (BOG de 6 de febrero de 2026)</w:t>
      </w:r>
    </w:p>
    <w:p w14:paraId="1233F974" w14:textId="77777777" w:rsidR="003F223C" w:rsidRPr="00945392" w:rsidRDefault="00B66A92">
      <w:pPr>
        <w:pStyle w:val="Standard"/>
        <w:spacing w:after="198" w:line="288" w:lineRule="auto"/>
        <w:jc w:val="both"/>
      </w:pPr>
      <w:hyperlink r:id="rId71">
        <w:r w:rsidRPr="00945392">
          <w:rPr>
            <w:rStyle w:val="Hyperlink0"/>
          </w:rPr>
          <w:t>https://egoitza.gipuzkoa.eus/gao-bog/castell/bog/2026/02/06/c2600810.pdf</w:t>
        </w:r>
      </w:hyperlink>
    </w:p>
    <w:p w14:paraId="6EF58C90" w14:textId="77777777" w:rsidR="003F223C" w:rsidRDefault="00B66A92" w:rsidP="0062002E">
      <w:pPr>
        <w:pStyle w:val="Standard"/>
        <w:spacing w:after="80" w:line="288" w:lineRule="auto"/>
        <w:jc w:val="both"/>
        <w:rPr>
          <w:b/>
          <w:bCs/>
        </w:rPr>
      </w:pPr>
      <w:r>
        <w:rPr>
          <w:b/>
          <w:bCs/>
        </w:rPr>
        <w:lastRenderedPageBreak/>
        <w:t>- Decreto Foral-Norma 1/2026, de 10 de marzo, por el que se modifica la Norma Foral 1/2013, de 8 de febrero, por la que se desarrolla la competencia de tutela financiera en materia de estabilidad presupuestaria y sostenibilidad financiera de las entidades locales de Gipuzkoa. (BOG de 12 de marzo de 2026)</w:t>
      </w:r>
    </w:p>
    <w:p w14:paraId="5D1E5DB5" w14:textId="77777777" w:rsidR="003F223C" w:rsidRPr="004F1741" w:rsidRDefault="00B66A92" w:rsidP="004F1741">
      <w:pPr>
        <w:pStyle w:val="Standard"/>
        <w:spacing w:after="198" w:line="288" w:lineRule="auto"/>
        <w:jc w:val="both"/>
        <w:outlineLvl w:val="0"/>
        <w:rPr>
          <w:rStyle w:val="Hyperlink0"/>
        </w:rPr>
      </w:pPr>
      <w:hyperlink r:id="rId72">
        <w:r w:rsidRPr="004F1741">
          <w:rPr>
            <w:rStyle w:val="Hyperlink0"/>
          </w:rPr>
          <w:t>https://egoitza.gipuzkoa.eus/gao-bog/castell/bog/2026/03/12/c2601709.pdf</w:t>
        </w:r>
      </w:hyperlink>
    </w:p>
    <w:p w14:paraId="70FDCA15" w14:textId="77777777" w:rsidR="003F223C" w:rsidRDefault="003F223C">
      <w:pPr>
        <w:pStyle w:val="Standard"/>
        <w:spacing w:after="198" w:line="288" w:lineRule="auto"/>
        <w:jc w:val="both"/>
        <w:rPr>
          <w:rStyle w:val="NingunoA"/>
        </w:rPr>
      </w:pPr>
    </w:p>
    <w:p w14:paraId="533E85F5" w14:textId="2AAF7694" w:rsidR="003F223C" w:rsidRDefault="00B66A92">
      <w:pPr>
        <w:pStyle w:val="Standard"/>
        <w:keepNext/>
        <w:keepLines/>
        <w:spacing w:after="198" w:line="288" w:lineRule="auto"/>
        <w:jc w:val="both"/>
        <w:outlineLvl w:val="1"/>
        <w:rPr>
          <w:b/>
          <w:bCs/>
          <w:color w:val="4F81BD"/>
          <w:sz w:val="26"/>
          <w:szCs w:val="26"/>
        </w:rPr>
      </w:pPr>
      <w:r>
        <w:rPr>
          <w:rStyle w:val="Ninguno"/>
          <w:b/>
          <w:bCs/>
          <w:color w:val="4F81BD"/>
          <w:sz w:val="26"/>
          <w:szCs w:val="26"/>
        </w:rPr>
        <w:t>Comunidad Foral de Navarra</w:t>
      </w:r>
    </w:p>
    <w:p w14:paraId="20A5EB70" w14:textId="77777777" w:rsidR="003F223C" w:rsidRDefault="00B66A92" w:rsidP="0062002E">
      <w:pPr>
        <w:pStyle w:val="Standard"/>
        <w:keepNext/>
        <w:keepLines/>
        <w:spacing w:after="80" w:line="288" w:lineRule="auto"/>
        <w:jc w:val="both"/>
        <w:outlineLvl w:val="1"/>
        <w:rPr>
          <w:b/>
          <w:bCs/>
          <w:shd w:val="clear" w:color="auto" w:fill="FFFFFF"/>
        </w:rPr>
      </w:pPr>
      <w:r>
        <w:rPr>
          <w:rStyle w:val="Ninguno"/>
          <w:b/>
          <w:bCs/>
          <w:color w:val="4F81BD"/>
          <w:shd w:val="clear" w:color="auto" w:fill="FFFFFF"/>
        </w:rPr>
        <w:t xml:space="preserve">- </w:t>
      </w:r>
      <w:r>
        <w:rPr>
          <w:b/>
          <w:bCs/>
          <w:shd w:val="clear" w:color="auto" w:fill="FFFFFF"/>
        </w:rPr>
        <w:t>Resolución 24E/2025, de 31 de diciembre, del Servicio de Tráfico, del Departamento de Interior, Función Pública y Justicia, por la que se establecen medidas especiales de regulación de tráfico durante el año 2026 en la Comunidad Foral de Navarra. (BOE de 30 de enero de 2026)</w:t>
      </w:r>
    </w:p>
    <w:p w14:paraId="1845DC97" w14:textId="77777777" w:rsidR="003F223C" w:rsidRDefault="00B66A92">
      <w:pPr>
        <w:pStyle w:val="Standard"/>
        <w:keepNext/>
        <w:keepLines/>
        <w:spacing w:after="198" w:line="288" w:lineRule="auto"/>
        <w:jc w:val="both"/>
        <w:outlineLvl w:val="1"/>
        <w:rPr>
          <w:shd w:val="clear" w:color="auto" w:fill="FFFFFF"/>
        </w:rPr>
      </w:pPr>
      <w:hyperlink r:id="rId73">
        <w:r>
          <w:rPr>
            <w:rStyle w:val="Hyperlink0"/>
            <w:shd w:val="clear" w:color="auto" w:fill="FFFFFF"/>
          </w:rPr>
          <w:t>https://www.boe.es/boe/dias/2026/01/30/pdfs/BOE-A-2026-2147.pdf</w:t>
        </w:r>
      </w:hyperlink>
    </w:p>
    <w:p w14:paraId="4B2C4979" w14:textId="3317AD9E" w:rsidR="003F223C" w:rsidRDefault="00B66A92" w:rsidP="0062002E">
      <w:pPr>
        <w:pStyle w:val="Standard"/>
        <w:keepNext/>
        <w:keepLines/>
        <w:spacing w:after="80" w:line="288" w:lineRule="auto"/>
        <w:jc w:val="both"/>
        <w:outlineLvl w:val="1"/>
        <w:rPr>
          <w:b/>
          <w:bCs/>
          <w:shd w:val="clear" w:color="auto" w:fill="FFFFFF"/>
        </w:rPr>
      </w:pPr>
      <w:r>
        <w:rPr>
          <w:b/>
          <w:bCs/>
          <w:shd w:val="clear" w:color="auto" w:fill="FFFFFF"/>
        </w:rPr>
        <w:t>- Ley Foral 17/2025, de 22 de diciembre, de modificación de diversos impuestos y otras medidas tributarias. (BOE de 20 de feb</w:t>
      </w:r>
      <w:r w:rsidR="0062002E">
        <w:rPr>
          <w:b/>
          <w:bCs/>
          <w:shd w:val="clear" w:color="auto" w:fill="FFFFFF"/>
        </w:rPr>
        <w:t>r</w:t>
      </w:r>
      <w:r>
        <w:rPr>
          <w:b/>
          <w:bCs/>
          <w:shd w:val="clear" w:color="auto" w:fill="FFFFFF"/>
        </w:rPr>
        <w:t>ero de 2026)</w:t>
      </w:r>
    </w:p>
    <w:p w14:paraId="7D0B7EC5" w14:textId="77777777" w:rsidR="003F223C" w:rsidRPr="004F1741" w:rsidRDefault="00B66A92" w:rsidP="004F1741">
      <w:pPr>
        <w:pStyle w:val="Standard"/>
        <w:spacing w:after="198" w:line="288" w:lineRule="auto"/>
        <w:jc w:val="both"/>
        <w:outlineLvl w:val="0"/>
        <w:rPr>
          <w:rStyle w:val="Hyperlink0"/>
        </w:rPr>
      </w:pPr>
      <w:hyperlink r:id="rId74">
        <w:r w:rsidRPr="004F1741">
          <w:rPr>
            <w:rStyle w:val="Hyperlink0"/>
          </w:rPr>
          <w:t>https://www.boe.es/boe/dias/2026/02/20/pdfs/BOE-A-2026-3910.pdf</w:t>
        </w:r>
      </w:hyperlink>
    </w:p>
    <w:p w14:paraId="3D0B4746" w14:textId="66C598FD" w:rsidR="003F223C" w:rsidRDefault="00B66A92" w:rsidP="0062002E">
      <w:pPr>
        <w:pStyle w:val="Standard"/>
        <w:spacing w:after="80" w:line="288" w:lineRule="auto"/>
        <w:jc w:val="both"/>
        <w:outlineLvl w:val="1"/>
        <w:rPr>
          <w:b/>
          <w:bCs/>
          <w:shd w:val="clear" w:color="auto" w:fill="FFFFFF"/>
        </w:rPr>
      </w:pPr>
      <w:r>
        <w:rPr>
          <w:b/>
          <w:bCs/>
          <w:shd w:val="clear" w:color="auto" w:fill="FFFFFF"/>
        </w:rPr>
        <w:t>- Ley Foral 18/2025, de 22 de diciembre, del impuesto complementario para garantizar un nivel mínimo global de imposición para los grupos multinacionales y los grupos nacionales de gran magnitud. (BOE de 20 de feb</w:t>
      </w:r>
      <w:r w:rsidR="0062002E">
        <w:rPr>
          <w:b/>
          <w:bCs/>
          <w:shd w:val="clear" w:color="auto" w:fill="FFFFFF"/>
        </w:rPr>
        <w:t>r</w:t>
      </w:r>
      <w:r>
        <w:rPr>
          <w:b/>
          <w:bCs/>
          <w:shd w:val="clear" w:color="auto" w:fill="FFFFFF"/>
        </w:rPr>
        <w:t>ero de 2026)</w:t>
      </w:r>
    </w:p>
    <w:p w14:paraId="74BA1E12" w14:textId="77777777" w:rsidR="003F223C" w:rsidRPr="004F1741" w:rsidRDefault="00B66A92" w:rsidP="004F1741">
      <w:pPr>
        <w:pStyle w:val="Standard"/>
        <w:spacing w:after="198" w:line="288" w:lineRule="auto"/>
        <w:jc w:val="both"/>
        <w:outlineLvl w:val="0"/>
        <w:rPr>
          <w:rStyle w:val="Hyperlink0"/>
        </w:rPr>
      </w:pPr>
      <w:hyperlink r:id="rId75">
        <w:r w:rsidRPr="004F1741">
          <w:rPr>
            <w:rStyle w:val="Hyperlink0"/>
          </w:rPr>
          <w:t>https://www.boe.es/boe/dias/2026/02/20/pdfs/BOE-A-2026-3911.pdf</w:t>
        </w:r>
      </w:hyperlink>
    </w:p>
    <w:p w14:paraId="232089FC" w14:textId="77777777" w:rsidR="003F223C" w:rsidRDefault="00B66A92" w:rsidP="0062002E">
      <w:pPr>
        <w:pStyle w:val="Standard"/>
        <w:spacing w:after="80" w:line="288" w:lineRule="auto"/>
        <w:jc w:val="both"/>
        <w:outlineLvl w:val="1"/>
        <w:rPr>
          <w:b/>
          <w:bCs/>
          <w:shd w:val="clear" w:color="auto" w:fill="FFFFFF"/>
        </w:rPr>
      </w:pPr>
      <w:r>
        <w:rPr>
          <w:b/>
          <w:bCs/>
          <w:shd w:val="clear" w:color="auto" w:fill="FFFFFF"/>
        </w:rPr>
        <w:t>- Ley Foral 1/2026, de 13 de febrero, de modificación de la Ley Foral 2/1995, de 10 de marzo, de Haciendas Locales de Navarra. (BOE de 27 de febrero de 2026)</w:t>
      </w:r>
    </w:p>
    <w:p w14:paraId="325A3C53" w14:textId="77777777" w:rsidR="003F223C" w:rsidRPr="004F1741" w:rsidRDefault="00B66A92" w:rsidP="004F1741">
      <w:pPr>
        <w:pStyle w:val="Standard"/>
        <w:spacing w:after="198" w:line="288" w:lineRule="auto"/>
        <w:jc w:val="both"/>
        <w:outlineLvl w:val="0"/>
        <w:rPr>
          <w:rStyle w:val="Hyperlink0"/>
        </w:rPr>
      </w:pPr>
      <w:hyperlink r:id="rId76">
        <w:r w:rsidRPr="004F1741">
          <w:rPr>
            <w:rStyle w:val="Hyperlink0"/>
          </w:rPr>
          <w:t>https://www.boe.es/boe/dias/2026/02/27/pdfs/BOE-A-2026-4524.pdf</w:t>
        </w:r>
      </w:hyperlink>
    </w:p>
    <w:p w14:paraId="1C91C326" w14:textId="77777777" w:rsidR="003F223C" w:rsidRDefault="00B66A92">
      <w:pPr>
        <w:pStyle w:val="Gorputz-testua"/>
        <w:spacing w:after="0" w:line="288" w:lineRule="auto"/>
        <w:jc w:val="both"/>
        <w:rPr>
          <w:rFonts w:ascii="Calibri" w:eastAsia="Calibri" w:hAnsi="Calibri" w:cs="Calibri"/>
          <w:b/>
          <w:bCs/>
          <w:sz w:val="22"/>
          <w:szCs w:val="22"/>
          <w:shd w:val="clear" w:color="auto" w:fill="FFFFFF"/>
          <w:lang w:val="es-ES_tradnl"/>
        </w:rPr>
      </w:pPr>
      <w:r>
        <w:rPr>
          <w:rFonts w:ascii="Calibri" w:eastAsia="Calibri" w:hAnsi="Calibri" w:cs="Calibri"/>
          <w:b/>
          <w:bCs/>
          <w:sz w:val="22"/>
          <w:szCs w:val="22"/>
          <w:shd w:val="clear" w:color="auto" w:fill="FFFFFF"/>
          <w:lang w:val="es-ES_tradnl"/>
        </w:rPr>
        <w:t>- Ley Foral 16/2025, de 22 de diciembre, de Presupuestos Generales de Navarra para el año 2026. (BOE de 11 de marzo de 2026)</w:t>
      </w:r>
    </w:p>
    <w:p w14:paraId="1EF85888" w14:textId="77777777" w:rsidR="003F223C" w:rsidRPr="004F1741" w:rsidRDefault="00B66A92" w:rsidP="004F1741">
      <w:pPr>
        <w:pStyle w:val="Standard"/>
        <w:spacing w:after="198" w:line="288" w:lineRule="auto"/>
        <w:jc w:val="both"/>
        <w:outlineLvl w:val="0"/>
        <w:rPr>
          <w:rStyle w:val="Hyperlink0"/>
        </w:rPr>
      </w:pPr>
      <w:hyperlink r:id="rId77">
        <w:r w:rsidRPr="004F1741">
          <w:rPr>
            <w:rStyle w:val="Hyperlink0"/>
          </w:rPr>
          <w:t>https://www.boe.es/boe/dias/2026/03/11/pdfs/BOE-A-2026-5611.pdf</w:t>
        </w:r>
      </w:hyperlink>
    </w:p>
    <w:p w14:paraId="38691713" w14:textId="77777777" w:rsidR="003F223C" w:rsidRDefault="003F223C">
      <w:pPr>
        <w:pStyle w:val="Gorputz-testua"/>
        <w:spacing w:after="0" w:line="288" w:lineRule="auto"/>
        <w:jc w:val="both"/>
        <w:rPr>
          <w:rFonts w:ascii="Calibri" w:eastAsia="Calibri" w:hAnsi="Calibri" w:cs="Calibri"/>
          <w:b/>
          <w:bCs/>
          <w:sz w:val="22"/>
          <w:szCs w:val="22"/>
          <w:shd w:val="clear" w:color="auto" w:fill="FFFFFF"/>
          <w:lang w:val="es-ES_tradnl"/>
        </w:rPr>
      </w:pPr>
    </w:p>
    <w:p w14:paraId="32A6FA30" w14:textId="77777777" w:rsidR="003F223C" w:rsidRDefault="003F223C">
      <w:pPr>
        <w:pStyle w:val="Gorputz-testua"/>
        <w:spacing w:after="0" w:line="288" w:lineRule="auto"/>
        <w:jc w:val="both"/>
        <w:rPr>
          <w:rFonts w:ascii="Calibri" w:eastAsia="Calibri" w:hAnsi="Calibri" w:cs="Calibri"/>
          <w:b/>
          <w:bCs/>
          <w:sz w:val="21"/>
          <w:szCs w:val="22"/>
          <w:shd w:val="clear" w:color="auto" w:fill="FFFFFF"/>
          <w:lang w:val="es-ES_tradnl"/>
        </w:rPr>
      </w:pPr>
    </w:p>
    <w:p w14:paraId="4AD8C573" w14:textId="77777777" w:rsidR="003F223C" w:rsidRDefault="003F223C">
      <w:pPr>
        <w:pStyle w:val="Gorputz-testua"/>
        <w:spacing w:after="0" w:line="288" w:lineRule="auto"/>
        <w:jc w:val="both"/>
        <w:rPr>
          <w:rFonts w:ascii="Calibri" w:eastAsia="Calibri" w:hAnsi="Calibri" w:cs="Calibri"/>
          <w:b/>
          <w:bCs/>
          <w:sz w:val="21"/>
          <w:szCs w:val="22"/>
          <w:shd w:val="clear" w:color="auto" w:fill="FFFFFF"/>
          <w:lang w:val="es-ES_tradnl"/>
        </w:rPr>
      </w:pPr>
    </w:p>
    <w:p w14:paraId="791BA796" w14:textId="77777777" w:rsidR="003F223C" w:rsidRDefault="003F223C">
      <w:pPr>
        <w:pStyle w:val="Gorputz-testua"/>
        <w:spacing w:after="0" w:line="288" w:lineRule="auto"/>
        <w:jc w:val="both"/>
        <w:rPr>
          <w:rFonts w:ascii="Calibri" w:eastAsia="Calibri" w:hAnsi="Calibri" w:cs="Calibri"/>
          <w:b/>
          <w:bCs/>
          <w:sz w:val="21"/>
          <w:szCs w:val="22"/>
          <w:shd w:val="clear" w:color="auto" w:fill="FFFFFF"/>
          <w:lang w:val="es-ES_tradnl"/>
        </w:rPr>
      </w:pPr>
    </w:p>
    <w:p w14:paraId="0A18E317" w14:textId="77777777" w:rsidR="00127105" w:rsidRDefault="00127105">
      <w:pPr>
        <w:suppressAutoHyphens/>
        <w:overflowPunct/>
        <w:rPr>
          <w:rStyle w:val="Ninguno"/>
          <w:rFonts w:ascii="Calibri" w:eastAsia="Calibri" w:hAnsi="Calibri" w:cs="Calibri"/>
          <w:b/>
          <w:bCs/>
          <w:color w:val="4F81BD"/>
          <w:sz w:val="26"/>
          <w:szCs w:val="26"/>
          <w:lang w:val="es-ES_tradnl" w:eastAsia="zh-CN" w:bidi="hi-IN"/>
        </w:rPr>
      </w:pPr>
      <w:r>
        <w:rPr>
          <w:rStyle w:val="Ninguno"/>
          <w:b/>
          <w:bCs/>
          <w:color w:val="4F81BD"/>
          <w:sz w:val="26"/>
          <w:szCs w:val="26"/>
        </w:rPr>
        <w:br w:type="page"/>
      </w:r>
    </w:p>
    <w:p w14:paraId="34F92B64" w14:textId="72CEFEFB" w:rsidR="003F223C" w:rsidRDefault="00B66A92">
      <w:pPr>
        <w:pStyle w:val="Standard"/>
        <w:keepNext/>
        <w:keepLines/>
        <w:spacing w:after="198" w:line="288" w:lineRule="auto"/>
        <w:jc w:val="both"/>
        <w:outlineLvl w:val="1"/>
        <w:rPr>
          <w:b/>
          <w:bCs/>
          <w:color w:val="4F81BD"/>
          <w:sz w:val="26"/>
          <w:szCs w:val="26"/>
        </w:rPr>
      </w:pPr>
      <w:r>
        <w:rPr>
          <w:rStyle w:val="Ninguno"/>
          <w:b/>
          <w:bCs/>
          <w:color w:val="4F81BD"/>
          <w:sz w:val="26"/>
          <w:szCs w:val="26"/>
        </w:rPr>
        <w:lastRenderedPageBreak/>
        <w:t>LEGISLACIÓN RELATIVA AL ÁMBITO LOCAL DE OTRAS COMUNIDADES AUTÓNOMAS</w:t>
      </w:r>
    </w:p>
    <w:p w14:paraId="56026595" w14:textId="77777777" w:rsidR="003F223C" w:rsidRDefault="00B66A92" w:rsidP="00127105">
      <w:pPr>
        <w:pStyle w:val="Standard"/>
        <w:spacing w:after="80" w:line="288" w:lineRule="auto"/>
        <w:jc w:val="both"/>
        <w:rPr>
          <w:b/>
          <w:bCs/>
          <w:color w:val="76923C"/>
        </w:rPr>
      </w:pPr>
      <w:r>
        <w:rPr>
          <w:rStyle w:val="Ninguno"/>
          <w:b/>
          <w:bCs/>
          <w:color w:val="76923C"/>
        </w:rPr>
        <w:t>Comunidad Autónoma de Andalucía</w:t>
      </w:r>
    </w:p>
    <w:p w14:paraId="34FFDF32" w14:textId="77777777" w:rsidR="003F223C" w:rsidRDefault="00B66A92" w:rsidP="0062002E">
      <w:pPr>
        <w:pStyle w:val="Standard"/>
        <w:spacing w:after="80" w:line="288" w:lineRule="auto"/>
        <w:jc w:val="both"/>
        <w:rPr>
          <w:b/>
          <w:bCs/>
        </w:rPr>
      </w:pPr>
      <w:r>
        <w:rPr>
          <w:rStyle w:val="Ninguno"/>
          <w:b/>
          <w:bCs/>
          <w:color w:val="76923C"/>
        </w:rPr>
        <w:t xml:space="preserve">- </w:t>
      </w:r>
      <w:r>
        <w:rPr>
          <w:b/>
          <w:bCs/>
        </w:rPr>
        <w:t>Ley 4/2025, de 15 de diciembre, de espacios productivos para el fomento de la industria en Andalucía. (BOE de 8 de enero de 2026)</w:t>
      </w:r>
    </w:p>
    <w:p w14:paraId="57224160" w14:textId="77777777" w:rsidR="003F223C" w:rsidRDefault="00B66A92">
      <w:pPr>
        <w:pStyle w:val="Standard"/>
        <w:spacing w:after="198" w:line="288" w:lineRule="auto"/>
        <w:jc w:val="both"/>
      </w:pPr>
      <w:hyperlink r:id="rId78">
        <w:r>
          <w:rPr>
            <w:rStyle w:val="Hyperlink0"/>
          </w:rPr>
          <w:t>https://www.boe.es/boe/dias/2026/01/08/pdfs/BOE-A-2026-422.pdf</w:t>
        </w:r>
      </w:hyperlink>
    </w:p>
    <w:p w14:paraId="5832F343" w14:textId="77777777" w:rsidR="003F223C" w:rsidRDefault="00B66A92" w:rsidP="0062002E">
      <w:pPr>
        <w:pStyle w:val="Standard"/>
        <w:spacing w:after="80" w:line="288" w:lineRule="auto"/>
        <w:jc w:val="both"/>
        <w:rPr>
          <w:b/>
          <w:bCs/>
        </w:rPr>
      </w:pPr>
      <w:r>
        <w:rPr>
          <w:b/>
          <w:bCs/>
        </w:rPr>
        <w:t>- Ley 5/2025, de 16 de diciembre, de Vivienda de Andalucía. (BOE de 8 de enero de 2026)</w:t>
      </w:r>
    </w:p>
    <w:p w14:paraId="35AB470E" w14:textId="77777777" w:rsidR="003F223C" w:rsidRDefault="00B66A92">
      <w:pPr>
        <w:pStyle w:val="Standard"/>
        <w:spacing w:after="198" w:line="288" w:lineRule="auto"/>
        <w:jc w:val="both"/>
      </w:pPr>
      <w:hyperlink r:id="rId79">
        <w:r>
          <w:rPr>
            <w:rStyle w:val="Hyperlink0"/>
          </w:rPr>
          <w:t>https://www.boe.es/boe/dias/2026/01/08/pdfs/BOE-A-2026-423.pdf</w:t>
        </w:r>
      </w:hyperlink>
    </w:p>
    <w:p w14:paraId="06D1A547" w14:textId="77777777" w:rsidR="003F223C" w:rsidRDefault="00B66A92" w:rsidP="0062002E">
      <w:pPr>
        <w:pStyle w:val="Standard"/>
        <w:spacing w:after="80" w:line="288" w:lineRule="auto"/>
        <w:jc w:val="both"/>
        <w:rPr>
          <w:b/>
          <w:bCs/>
        </w:rPr>
      </w:pPr>
      <w:r>
        <w:rPr>
          <w:b/>
          <w:bCs/>
        </w:rPr>
        <w:t>- Ley 6/2025, de 22 de diciembre, del Tercer Sector de Acción Social de Andalucía. (BOE de 16 de enero de 2026)</w:t>
      </w:r>
    </w:p>
    <w:p w14:paraId="33BE4952" w14:textId="77777777" w:rsidR="003F223C" w:rsidRDefault="00B66A92">
      <w:pPr>
        <w:pStyle w:val="Standard"/>
        <w:spacing w:after="198" w:line="288" w:lineRule="auto"/>
        <w:jc w:val="both"/>
      </w:pPr>
      <w:hyperlink r:id="rId80">
        <w:r>
          <w:rPr>
            <w:rStyle w:val="Hyperlink0"/>
          </w:rPr>
          <w:t>https://www.boe.es/boe/dias/2026/01/16/pdfs/BOE-A-2026-943.pdf</w:t>
        </w:r>
      </w:hyperlink>
    </w:p>
    <w:p w14:paraId="260F8EEE" w14:textId="77777777" w:rsidR="003F223C" w:rsidRDefault="00B66A92" w:rsidP="0062002E">
      <w:pPr>
        <w:pStyle w:val="Standard"/>
        <w:spacing w:after="80" w:line="288" w:lineRule="auto"/>
        <w:jc w:val="both"/>
        <w:rPr>
          <w:b/>
          <w:bCs/>
        </w:rPr>
      </w:pPr>
      <w:r>
        <w:rPr>
          <w:b/>
          <w:bCs/>
        </w:rPr>
        <w:t>- Ley 7/2025, de 22 de diciembre, del Patrimonio de la Comunidad Autónoma de Andalucía. (BOE de 16 de enero de 2026)</w:t>
      </w:r>
    </w:p>
    <w:p w14:paraId="3DEB0685" w14:textId="77777777" w:rsidR="003F223C" w:rsidRDefault="00B66A92">
      <w:pPr>
        <w:pStyle w:val="Standard"/>
        <w:spacing w:after="198" w:line="288" w:lineRule="auto"/>
        <w:jc w:val="both"/>
      </w:pPr>
      <w:hyperlink r:id="rId81">
        <w:r>
          <w:rPr>
            <w:rStyle w:val="Hyperlink0"/>
          </w:rPr>
          <w:t>https://www.boe.es/boe/dias/2026/01/16/pdfs/BOE-A-2026-944.pdf</w:t>
        </w:r>
      </w:hyperlink>
    </w:p>
    <w:p w14:paraId="7C65EFC8" w14:textId="77777777" w:rsidR="003F223C" w:rsidRDefault="00B66A92" w:rsidP="0062002E">
      <w:pPr>
        <w:pStyle w:val="Standard"/>
        <w:spacing w:after="80" w:line="288" w:lineRule="auto"/>
        <w:jc w:val="both"/>
        <w:rPr>
          <w:b/>
          <w:bCs/>
        </w:rPr>
      </w:pPr>
      <w:r>
        <w:rPr>
          <w:b/>
          <w:bCs/>
        </w:rPr>
        <w:t>- Ley 8/2025, de 22 de diciembre, del Presupuesto de la Comunidad Autónoma de Andalucía para el año 2026. (BOE de 16 de enero de 2026)</w:t>
      </w:r>
    </w:p>
    <w:p w14:paraId="6DACD931" w14:textId="77777777" w:rsidR="003F223C" w:rsidRDefault="00B66A92">
      <w:pPr>
        <w:pStyle w:val="Standard"/>
        <w:spacing w:after="198" w:line="288" w:lineRule="auto"/>
        <w:jc w:val="both"/>
      </w:pPr>
      <w:hyperlink r:id="rId82">
        <w:r>
          <w:rPr>
            <w:rStyle w:val="Hyperlink0"/>
          </w:rPr>
          <w:t>https://www.boe.es/boe/dias/2026/01/16/pdfs/BOE-A-2026-945.pdf</w:t>
        </w:r>
      </w:hyperlink>
    </w:p>
    <w:p w14:paraId="1B1531A7" w14:textId="77777777" w:rsidR="003F223C" w:rsidRPr="00127105" w:rsidRDefault="003F223C" w:rsidP="00127105">
      <w:pPr>
        <w:pStyle w:val="Standard"/>
        <w:overflowPunct/>
        <w:spacing w:after="0" w:line="288" w:lineRule="auto"/>
        <w:jc w:val="both"/>
        <w:rPr>
          <w:rStyle w:val="Ninguno"/>
          <w:u w:color="000000"/>
        </w:rPr>
      </w:pPr>
    </w:p>
    <w:p w14:paraId="097E24C1" w14:textId="77777777" w:rsidR="003F223C" w:rsidRDefault="00B66A92" w:rsidP="00127105">
      <w:pPr>
        <w:pStyle w:val="Standard"/>
        <w:spacing w:after="80" w:line="288" w:lineRule="auto"/>
        <w:jc w:val="both"/>
        <w:rPr>
          <w:b/>
          <w:bCs/>
          <w:color w:val="76923C"/>
        </w:rPr>
      </w:pPr>
      <w:r>
        <w:rPr>
          <w:rStyle w:val="Ninguno"/>
          <w:b/>
          <w:bCs/>
          <w:color w:val="76923C"/>
        </w:rPr>
        <w:t>Comunidad Autónoma de Aragón</w:t>
      </w:r>
    </w:p>
    <w:p w14:paraId="4754BB15" w14:textId="77777777" w:rsidR="003F223C" w:rsidRDefault="00B66A92" w:rsidP="0062002E">
      <w:pPr>
        <w:pStyle w:val="Standard"/>
        <w:spacing w:after="80" w:line="288" w:lineRule="auto"/>
        <w:jc w:val="both"/>
        <w:rPr>
          <w:b/>
          <w:bCs/>
        </w:rPr>
      </w:pPr>
      <w:r>
        <w:rPr>
          <w:rStyle w:val="Ninguno"/>
          <w:b/>
          <w:bCs/>
        </w:rPr>
        <w:t xml:space="preserve">- </w:t>
      </w:r>
      <w:r>
        <w:rPr>
          <w:b/>
          <w:bCs/>
        </w:rPr>
        <w:t>Decreto-ley 7/2025, de 3 de diciembre, del Gobierno de Aragón, de medidas para la prevención y lucha contra la peste porcina africana en jabalí en Aragón. (BOE de 24 de enero de 2026)</w:t>
      </w:r>
    </w:p>
    <w:p w14:paraId="1899EC99" w14:textId="77777777" w:rsidR="003F223C" w:rsidRDefault="00B66A92">
      <w:pPr>
        <w:pStyle w:val="Standard"/>
        <w:spacing w:after="198" w:line="288" w:lineRule="auto"/>
        <w:jc w:val="both"/>
      </w:pPr>
      <w:hyperlink r:id="rId83">
        <w:r>
          <w:rPr>
            <w:rStyle w:val="Hyperlink0"/>
          </w:rPr>
          <w:t>https://www.boe.es/boe/dias/2026/01/24/pdfs/BOE-A-2026-1683.pdf</w:t>
        </w:r>
      </w:hyperlink>
    </w:p>
    <w:p w14:paraId="6416667F" w14:textId="77777777" w:rsidR="003F223C" w:rsidRDefault="00B66A92" w:rsidP="0062002E">
      <w:pPr>
        <w:pStyle w:val="Standard"/>
        <w:spacing w:after="80" w:line="288" w:lineRule="auto"/>
        <w:jc w:val="both"/>
        <w:rPr>
          <w:b/>
          <w:bCs/>
        </w:rPr>
      </w:pPr>
      <w:r>
        <w:rPr>
          <w:b/>
          <w:bCs/>
        </w:rPr>
        <w:t>- Decreto-ley 8/2025, de 5 de diciembre, del Gobierno de Aragón, por el que se aprueban medidas urgentes en materia de retribuciones en el ámbito del sector público de la Comunidad Autónoma de Aragón. (BOE de 24 de enero de 2026)</w:t>
      </w:r>
    </w:p>
    <w:p w14:paraId="4A6709D3" w14:textId="77777777" w:rsidR="003F223C" w:rsidRDefault="00B66A92">
      <w:pPr>
        <w:pStyle w:val="Standard"/>
        <w:spacing w:after="198" w:line="288" w:lineRule="auto"/>
        <w:jc w:val="both"/>
      </w:pPr>
      <w:hyperlink r:id="rId84">
        <w:r>
          <w:rPr>
            <w:rStyle w:val="Hyperlink0"/>
          </w:rPr>
          <w:t>https://www.boe.es/boe/dias/2026/01/24/pdfs/BOE-A-2026-1684.pdf</w:t>
        </w:r>
      </w:hyperlink>
    </w:p>
    <w:p w14:paraId="6DF0CEDF" w14:textId="77777777" w:rsidR="003F223C" w:rsidRDefault="00B66A92" w:rsidP="0062002E">
      <w:pPr>
        <w:pStyle w:val="Standard"/>
        <w:spacing w:after="80" w:line="288" w:lineRule="auto"/>
        <w:jc w:val="both"/>
        <w:rPr>
          <w:b/>
          <w:bCs/>
        </w:rPr>
      </w:pPr>
      <w:r>
        <w:rPr>
          <w:b/>
          <w:bCs/>
        </w:rPr>
        <w:t>- Decreto-ley 9/2025, de 10 de diciembre, del Gobierno de Aragón, por el que se determina la cuantía de la Prestación Aragonesa Complementaria del Ingreso Mínimo Vital y de los complementos de las Pensiones no contributivas de jubilación e incapacidad. (BOE de 24 de enero de 2026)</w:t>
      </w:r>
    </w:p>
    <w:p w14:paraId="4A3D3E71" w14:textId="77777777" w:rsidR="003F223C" w:rsidRDefault="00B66A92">
      <w:pPr>
        <w:pStyle w:val="Standard"/>
        <w:spacing w:after="198" w:line="288" w:lineRule="auto"/>
        <w:jc w:val="both"/>
      </w:pPr>
      <w:hyperlink r:id="rId85">
        <w:r>
          <w:rPr>
            <w:rStyle w:val="Hyperlink0"/>
          </w:rPr>
          <w:t>https://www.boe.es/boe/dias/2026/01/24/pdfs/BOE-A-2026-1685.pdf</w:t>
        </w:r>
      </w:hyperlink>
    </w:p>
    <w:p w14:paraId="2A915197" w14:textId="77777777" w:rsidR="003F223C" w:rsidRDefault="003F223C">
      <w:pPr>
        <w:pStyle w:val="Standard"/>
        <w:spacing w:after="198" w:line="288" w:lineRule="auto"/>
        <w:jc w:val="both"/>
        <w:rPr>
          <w:shd w:val="clear" w:color="auto" w:fill="FFFFFF"/>
        </w:rPr>
      </w:pPr>
    </w:p>
    <w:p w14:paraId="23F3CDD9" w14:textId="77777777" w:rsidR="003F223C" w:rsidRDefault="00B66A92" w:rsidP="00127105">
      <w:pPr>
        <w:pStyle w:val="Standard"/>
        <w:spacing w:after="80" w:line="288" w:lineRule="auto"/>
        <w:jc w:val="both"/>
        <w:rPr>
          <w:b/>
          <w:bCs/>
          <w:color w:val="76923C"/>
        </w:rPr>
      </w:pPr>
      <w:r>
        <w:rPr>
          <w:rStyle w:val="Ninguno"/>
          <w:b/>
          <w:bCs/>
          <w:color w:val="76923C"/>
        </w:rPr>
        <w:t>Comunidad Autónoma de Asturias</w:t>
      </w:r>
    </w:p>
    <w:p w14:paraId="5B2CB5F4" w14:textId="77777777" w:rsidR="003F223C" w:rsidRDefault="00B66A92" w:rsidP="0062002E">
      <w:pPr>
        <w:pStyle w:val="Standard"/>
        <w:spacing w:after="80" w:line="288" w:lineRule="auto"/>
        <w:jc w:val="both"/>
        <w:rPr>
          <w:b/>
          <w:bCs/>
          <w:shd w:val="clear" w:color="auto" w:fill="FFFFFF"/>
        </w:rPr>
      </w:pPr>
      <w:r>
        <w:rPr>
          <w:rStyle w:val="Ninguno"/>
          <w:b/>
          <w:bCs/>
          <w:color w:val="76923C"/>
          <w:shd w:val="clear" w:color="auto" w:fill="FFFFFF"/>
        </w:rPr>
        <w:t xml:space="preserve">- </w:t>
      </w:r>
      <w:r>
        <w:rPr>
          <w:b/>
          <w:bCs/>
          <w:shd w:val="clear" w:color="auto" w:fill="FFFFFF"/>
        </w:rPr>
        <w:t>Ley del Principado de Asturias 5/2025, de 31 de diciembre, de Presupuestos Generales para 2026. (BOE de 9 de febrero de 2026)</w:t>
      </w:r>
    </w:p>
    <w:p w14:paraId="5D4D2D5A" w14:textId="77777777" w:rsidR="003F223C" w:rsidRDefault="00B66A92">
      <w:pPr>
        <w:pStyle w:val="Standard"/>
        <w:spacing w:after="198" w:line="288" w:lineRule="auto"/>
        <w:jc w:val="both"/>
        <w:rPr>
          <w:shd w:val="clear" w:color="auto" w:fill="FFFFFF"/>
        </w:rPr>
      </w:pPr>
      <w:hyperlink r:id="rId86">
        <w:r>
          <w:rPr>
            <w:rStyle w:val="Hyperlink0"/>
            <w:shd w:val="clear" w:color="auto" w:fill="FFFFFF"/>
          </w:rPr>
          <w:t>https://www.boe.es/boe/dias/2026/02/09/pdfs/BOE-A-2026-2888.pdf</w:t>
        </w:r>
      </w:hyperlink>
    </w:p>
    <w:p w14:paraId="74D1BC1F" w14:textId="77777777" w:rsidR="003F223C" w:rsidRDefault="003F223C" w:rsidP="00127105">
      <w:pPr>
        <w:pStyle w:val="Standard"/>
        <w:spacing w:after="0" w:line="288" w:lineRule="auto"/>
        <w:jc w:val="both"/>
        <w:rPr>
          <w:shd w:val="clear" w:color="auto" w:fill="FFFFFF"/>
        </w:rPr>
      </w:pPr>
    </w:p>
    <w:p w14:paraId="2D2AD6B7" w14:textId="77777777" w:rsidR="003F223C" w:rsidRDefault="00B66A92" w:rsidP="00127105">
      <w:pPr>
        <w:pStyle w:val="Standard"/>
        <w:spacing w:after="80" w:line="288" w:lineRule="auto"/>
        <w:jc w:val="both"/>
        <w:rPr>
          <w:b/>
          <w:bCs/>
          <w:color w:val="76923C"/>
        </w:rPr>
      </w:pPr>
      <w:r>
        <w:rPr>
          <w:rStyle w:val="Ninguno"/>
          <w:b/>
          <w:bCs/>
          <w:color w:val="76923C"/>
        </w:rPr>
        <w:t>Comunidad Autónoma de Canarias</w:t>
      </w:r>
    </w:p>
    <w:p w14:paraId="5F7C0238" w14:textId="77777777" w:rsidR="003F223C" w:rsidRDefault="00B66A92" w:rsidP="0062002E">
      <w:pPr>
        <w:pStyle w:val="Standard"/>
        <w:spacing w:after="80" w:line="288" w:lineRule="auto"/>
        <w:jc w:val="both"/>
        <w:rPr>
          <w:b/>
          <w:bCs/>
        </w:rPr>
      </w:pPr>
      <w:r>
        <w:rPr>
          <w:rStyle w:val="Ninguno"/>
          <w:b/>
          <w:bCs/>
          <w:color w:val="76923C"/>
        </w:rPr>
        <w:t xml:space="preserve">- </w:t>
      </w:r>
      <w:r>
        <w:rPr>
          <w:b/>
          <w:bCs/>
        </w:rPr>
        <w:t>Ley 7/2025, de 16 de diciembre, de protección del arbolado urbano y del arbolado de especial protección de Canarias. (BOE de 10 de febrero de 2026)</w:t>
      </w:r>
    </w:p>
    <w:p w14:paraId="336E1315" w14:textId="77777777" w:rsidR="003F223C" w:rsidRDefault="00B66A92">
      <w:pPr>
        <w:pStyle w:val="Standard"/>
        <w:spacing w:after="198" w:line="288" w:lineRule="auto"/>
        <w:jc w:val="both"/>
      </w:pPr>
      <w:hyperlink r:id="rId87">
        <w:r>
          <w:rPr>
            <w:rStyle w:val="Hyperlink0"/>
          </w:rPr>
          <w:t>https://www.boe.es/boe/dias/2026/02/10/pdfs/BOE-A-2026-3012.pdf</w:t>
        </w:r>
      </w:hyperlink>
    </w:p>
    <w:p w14:paraId="20DEE652" w14:textId="77777777" w:rsidR="003F223C" w:rsidRDefault="00B66A92" w:rsidP="0062002E">
      <w:pPr>
        <w:pStyle w:val="Standard"/>
        <w:spacing w:after="80" w:line="288" w:lineRule="auto"/>
        <w:jc w:val="both"/>
        <w:rPr>
          <w:b/>
          <w:bCs/>
        </w:rPr>
      </w:pPr>
      <w:r>
        <w:rPr>
          <w:b/>
          <w:bCs/>
        </w:rPr>
        <w:t>- Ley 8/2025, de 16 de diciembre, de Universidades Populares de Canarias. (BOE de 10 de febrero de 2026)</w:t>
      </w:r>
    </w:p>
    <w:p w14:paraId="22369B87" w14:textId="77777777" w:rsidR="003F223C" w:rsidRDefault="00B66A92">
      <w:pPr>
        <w:pStyle w:val="Standard"/>
        <w:spacing w:after="198" w:line="288" w:lineRule="auto"/>
        <w:jc w:val="both"/>
      </w:pPr>
      <w:hyperlink r:id="rId88">
        <w:r>
          <w:rPr>
            <w:rStyle w:val="Hyperlink0"/>
          </w:rPr>
          <w:t>https://www.boe.es/boe/dias/2026/02/10/pdfs/BOE-A-2026-3013.pdf</w:t>
        </w:r>
      </w:hyperlink>
    </w:p>
    <w:p w14:paraId="23F94550" w14:textId="77777777" w:rsidR="003F223C" w:rsidRDefault="003F223C" w:rsidP="00127105">
      <w:pPr>
        <w:pStyle w:val="Standard"/>
        <w:spacing w:after="0" w:line="288" w:lineRule="auto"/>
        <w:jc w:val="both"/>
        <w:rPr>
          <w:b/>
          <w:bCs/>
        </w:rPr>
      </w:pPr>
    </w:p>
    <w:p w14:paraId="2CE4DB8A" w14:textId="77777777" w:rsidR="003F223C" w:rsidRDefault="00B66A92" w:rsidP="00127105">
      <w:pPr>
        <w:pStyle w:val="Standard"/>
        <w:spacing w:after="80" w:line="288" w:lineRule="auto"/>
        <w:jc w:val="both"/>
        <w:rPr>
          <w:b/>
          <w:bCs/>
          <w:color w:val="76923C"/>
        </w:rPr>
      </w:pPr>
      <w:r>
        <w:rPr>
          <w:rStyle w:val="Ninguno"/>
          <w:b/>
          <w:bCs/>
          <w:color w:val="76923C"/>
        </w:rPr>
        <w:t>Comunidad Autónoma de Cantabria</w:t>
      </w:r>
    </w:p>
    <w:p w14:paraId="62C70FED" w14:textId="77777777" w:rsidR="003F223C" w:rsidRDefault="00B66A92" w:rsidP="0062002E">
      <w:pPr>
        <w:pStyle w:val="Standard"/>
        <w:spacing w:after="80" w:line="288" w:lineRule="auto"/>
        <w:jc w:val="both"/>
        <w:rPr>
          <w:b/>
          <w:bCs/>
        </w:rPr>
      </w:pPr>
      <w:r>
        <w:rPr>
          <w:rStyle w:val="Ninguno"/>
          <w:b/>
          <w:bCs/>
          <w:color w:val="76923C"/>
        </w:rPr>
        <w:t xml:space="preserve">- </w:t>
      </w:r>
      <w:r>
        <w:rPr>
          <w:b/>
          <w:bCs/>
        </w:rPr>
        <w:t>Ley de Cantabria 6/2025, de 15 de diciembre, de modificación de la Ley de Cantabria 1/2023, de 5 de abril, de Reconocimiento, Homenaje, Memoria y Dignidad a las Víctimas del Terrorismo. (BOE de 2 de enero de 2026)</w:t>
      </w:r>
    </w:p>
    <w:p w14:paraId="09BAEC4A" w14:textId="77777777" w:rsidR="003F223C" w:rsidRDefault="00B66A92">
      <w:pPr>
        <w:pStyle w:val="Standard"/>
        <w:spacing w:after="198" w:line="288" w:lineRule="auto"/>
        <w:jc w:val="both"/>
      </w:pPr>
      <w:hyperlink r:id="rId89">
        <w:r>
          <w:rPr>
            <w:rStyle w:val="Hyperlink0"/>
          </w:rPr>
          <w:t>https://www.boe.es/boe/dias/2026/01/02/pdfs/BOE-A-2026-74.pdf</w:t>
        </w:r>
      </w:hyperlink>
    </w:p>
    <w:p w14:paraId="630789A7" w14:textId="77777777" w:rsidR="003F223C" w:rsidRDefault="00B66A92" w:rsidP="0062002E">
      <w:pPr>
        <w:pStyle w:val="Standard"/>
        <w:spacing w:after="80" w:line="288" w:lineRule="auto"/>
        <w:jc w:val="both"/>
        <w:rPr>
          <w:b/>
          <w:bCs/>
        </w:rPr>
      </w:pPr>
      <w:r>
        <w:rPr>
          <w:b/>
          <w:bCs/>
        </w:rPr>
        <w:t>- Ley 7/2025, de 5 de enero, de Participación Ciudadana en la Administración de la Comunidad Autónoma de Cantabria. (BOE de 20 de enero de 2026)</w:t>
      </w:r>
    </w:p>
    <w:p w14:paraId="3338C368" w14:textId="77777777" w:rsidR="003F223C" w:rsidRDefault="00B66A92">
      <w:pPr>
        <w:pStyle w:val="Standard"/>
        <w:spacing w:after="198" w:line="288" w:lineRule="auto"/>
        <w:jc w:val="both"/>
      </w:pPr>
      <w:hyperlink r:id="rId90">
        <w:r>
          <w:rPr>
            <w:rStyle w:val="Hyperlink0"/>
          </w:rPr>
          <w:t>https://www.boe.es/boe/dias/2026/01/20/pdfs/BOE-A-2026-1258.pdf</w:t>
        </w:r>
      </w:hyperlink>
    </w:p>
    <w:p w14:paraId="67E05C3E" w14:textId="77777777" w:rsidR="00127105" w:rsidRDefault="00127105" w:rsidP="00127105">
      <w:pPr>
        <w:pStyle w:val="Standard"/>
        <w:spacing w:after="0" w:line="288" w:lineRule="auto"/>
        <w:jc w:val="both"/>
        <w:rPr>
          <w:rStyle w:val="Ninguno"/>
          <w:b/>
          <w:bCs/>
          <w:color w:val="76923C"/>
        </w:rPr>
      </w:pPr>
    </w:p>
    <w:p w14:paraId="23AD2A4D" w14:textId="6268C1D1" w:rsidR="003F223C" w:rsidRDefault="00B66A92" w:rsidP="00127105">
      <w:pPr>
        <w:pStyle w:val="Standard"/>
        <w:spacing w:after="80" w:line="288" w:lineRule="auto"/>
        <w:jc w:val="both"/>
        <w:rPr>
          <w:b/>
          <w:bCs/>
          <w:color w:val="76923C"/>
        </w:rPr>
      </w:pPr>
      <w:r>
        <w:rPr>
          <w:rStyle w:val="Ninguno"/>
          <w:b/>
          <w:bCs/>
          <w:color w:val="76923C"/>
        </w:rPr>
        <w:t>Comunidad Autónoma de Castilla-La Mancha</w:t>
      </w:r>
    </w:p>
    <w:p w14:paraId="453C8452" w14:textId="77777777" w:rsidR="003F223C" w:rsidRDefault="00B66A92" w:rsidP="0062002E">
      <w:pPr>
        <w:pStyle w:val="Standard"/>
        <w:spacing w:after="80" w:line="288" w:lineRule="auto"/>
        <w:jc w:val="both"/>
        <w:rPr>
          <w:b/>
          <w:bCs/>
        </w:rPr>
      </w:pPr>
      <w:r>
        <w:rPr>
          <w:rStyle w:val="Ninguno"/>
          <w:b/>
          <w:bCs/>
          <w:color w:val="76923C"/>
        </w:rPr>
        <w:t xml:space="preserve">- </w:t>
      </w:r>
      <w:r>
        <w:rPr>
          <w:b/>
          <w:bCs/>
        </w:rPr>
        <w:t>Ley 3/2025, de 22 de diciembre, de medidas extraordinarias para impulsar la provisión estable y permanente de puestos sanitarios de difícil cobertura y garantizar la asistencia sanitaria en el Servicio de Salud de Castilla y León. (BOE de 20 de enero de 2026)</w:t>
      </w:r>
    </w:p>
    <w:p w14:paraId="3DAD080B" w14:textId="77777777" w:rsidR="003F223C" w:rsidRDefault="00B66A92">
      <w:pPr>
        <w:pStyle w:val="Standard"/>
        <w:spacing w:after="198" w:line="288" w:lineRule="auto"/>
        <w:jc w:val="both"/>
      </w:pPr>
      <w:hyperlink r:id="rId91">
        <w:r>
          <w:rPr>
            <w:rStyle w:val="Hyperlink0"/>
          </w:rPr>
          <w:t>https://www.boe.es/boe/dias/2026/01/20/pdfs/BOE-A-2026-1259.pdf</w:t>
        </w:r>
      </w:hyperlink>
    </w:p>
    <w:p w14:paraId="321A6810" w14:textId="77777777" w:rsidR="003F223C" w:rsidRDefault="00B66A92" w:rsidP="0062002E">
      <w:pPr>
        <w:pStyle w:val="Standard"/>
        <w:spacing w:after="80" w:line="288" w:lineRule="auto"/>
        <w:jc w:val="both"/>
        <w:rPr>
          <w:b/>
          <w:bCs/>
        </w:rPr>
      </w:pPr>
      <w:r>
        <w:rPr>
          <w:b/>
          <w:bCs/>
        </w:rPr>
        <w:t xml:space="preserve">- Decreto 1/2026, de 19 de enero, del </w:t>
      </w:r>
      <w:proofErr w:type="gramStart"/>
      <w:r>
        <w:rPr>
          <w:b/>
          <w:bCs/>
        </w:rPr>
        <w:t>Presidente</w:t>
      </w:r>
      <w:proofErr w:type="gramEnd"/>
      <w:r>
        <w:rPr>
          <w:b/>
          <w:bCs/>
        </w:rPr>
        <w:t xml:space="preserve"> de la Junta de Castilla y León, por el que se convocan elecciones a las Cortes de Castilla y León. (BOE de 20 de enero de 2026)</w:t>
      </w:r>
    </w:p>
    <w:p w14:paraId="3A16EE07" w14:textId="77777777" w:rsidR="003F223C" w:rsidRDefault="00B66A92">
      <w:pPr>
        <w:pStyle w:val="Standard"/>
        <w:spacing w:after="198" w:line="288" w:lineRule="auto"/>
        <w:jc w:val="both"/>
      </w:pPr>
      <w:hyperlink r:id="rId92">
        <w:r>
          <w:rPr>
            <w:rStyle w:val="Hyperlink0"/>
          </w:rPr>
          <w:t>https://www.boe.es/boe/dias/2026/01/20/pdfs/BOE-A-2026-1260.pdf</w:t>
        </w:r>
      </w:hyperlink>
    </w:p>
    <w:p w14:paraId="1CB64F92" w14:textId="77777777" w:rsidR="003F223C" w:rsidRDefault="003F223C">
      <w:pPr>
        <w:pStyle w:val="Standard"/>
        <w:spacing w:after="198" w:line="288" w:lineRule="auto"/>
        <w:jc w:val="both"/>
        <w:rPr>
          <w:b/>
          <w:bCs/>
          <w:shd w:val="clear" w:color="auto" w:fill="FFFFFF"/>
        </w:rPr>
      </w:pPr>
    </w:p>
    <w:p w14:paraId="19176364" w14:textId="77777777" w:rsidR="003F223C" w:rsidRDefault="00B66A92" w:rsidP="00127105">
      <w:pPr>
        <w:pStyle w:val="Standard"/>
        <w:spacing w:after="80" w:line="288" w:lineRule="auto"/>
        <w:jc w:val="both"/>
        <w:rPr>
          <w:b/>
          <w:bCs/>
          <w:color w:val="76923C"/>
        </w:rPr>
      </w:pPr>
      <w:r>
        <w:rPr>
          <w:rStyle w:val="Ninguno"/>
          <w:b/>
          <w:bCs/>
          <w:color w:val="76923C"/>
        </w:rPr>
        <w:t>Comunidad Autónoma de Cataluña</w:t>
      </w:r>
    </w:p>
    <w:p w14:paraId="314CB484" w14:textId="77777777" w:rsidR="003F223C" w:rsidRDefault="00B66A92" w:rsidP="0062002E">
      <w:pPr>
        <w:pStyle w:val="Standard"/>
        <w:spacing w:after="80" w:line="288" w:lineRule="auto"/>
        <w:jc w:val="both"/>
        <w:rPr>
          <w:b/>
          <w:bCs/>
          <w:shd w:val="clear" w:color="auto" w:fill="FFFFFF"/>
        </w:rPr>
      </w:pPr>
      <w:r>
        <w:rPr>
          <w:b/>
          <w:bCs/>
        </w:rPr>
        <w:t>- Decreto-ley 21/2025, de 14 de octubre, de medidas urgentes de apoyo al sector agrario y forestal. (BOE de 10 de enero de 2026)</w:t>
      </w:r>
    </w:p>
    <w:p w14:paraId="66B606D7" w14:textId="77777777" w:rsidR="003F223C" w:rsidRDefault="00B66A92">
      <w:pPr>
        <w:pStyle w:val="Standard"/>
        <w:spacing w:after="198" w:line="288" w:lineRule="auto"/>
        <w:jc w:val="both"/>
        <w:rPr>
          <w:color w:val="76923C"/>
          <w:shd w:val="clear" w:color="auto" w:fill="FFFFFF"/>
        </w:rPr>
      </w:pPr>
      <w:hyperlink r:id="rId93">
        <w:r>
          <w:rPr>
            <w:rStyle w:val="Hyperlink0"/>
          </w:rPr>
          <w:t>https://www.boe.es/boe/dias/2026/01/10/pdfs/BOE-A-2026-561.pdf</w:t>
        </w:r>
      </w:hyperlink>
    </w:p>
    <w:p w14:paraId="70314C9B" w14:textId="77777777" w:rsidR="003F223C" w:rsidRDefault="00B66A92" w:rsidP="0062002E">
      <w:pPr>
        <w:pStyle w:val="Standard"/>
        <w:spacing w:after="80" w:line="288" w:lineRule="auto"/>
        <w:jc w:val="both"/>
        <w:rPr>
          <w:b/>
          <w:bCs/>
        </w:rPr>
      </w:pPr>
      <w:r>
        <w:rPr>
          <w:rStyle w:val="Ninguno"/>
          <w:b/>
          <w:bCs/>
          <w:shd w:val="clear" w:color="auto" w:fill="FFFFFF"/>
        </w:rPr>
        <w:t xml:space="preserve">- </w:t>
      </w:r>
      <w:r>
        <w:rPr>
          <w:b/>
          <w:bCs/>
        </w:rPr>
        <w:t>Decreto-ley 22/2025, de 28 de octubre, para aumentar la resiliencia del suministro eléctrico en Cataluña. (BOE de 10 de enero de 2026)</w:t>
      </w:r>
    </w:p>
    <w:p w14:paraId="2E54C2BB" w14:textId="77777777" w:rsidR="003F223C" w:rsidRDefault="00B66A92">
      <w:pPr>
        <w:pStyle w:val="Standard"/>
        <w:spacing w:after="198" w:line="288" w:lineRule="auto"/>
        <w:jc w:val="both"/>
        <w:rPr>
          <w:color w:val="76923C"/>
        </w:rPr>
      </w:pPr>
      <w:hyperlink r:id="rId94">
        <w:r>
          <w:rPr>
            <w:rStyle w:val="Hyperlink0"/>
          </w:rPr>
          <w:t>https://www.boe.es/boe/dias/2026/01/10/pdfs/BOE-A-2026-562.pdf</w:t>
        </w:r>
      </w:hyperlink>
    </w:p>
    <w:p w14:paraId="04BF537C" w14:textId="77777777" w:rsidR="003F223C" w:rsidRDefault="00B66A92" w:rsidP="0062002E">
      <w:pPr>
        <w:pStyle w:val="Standard"/>
        <w:spacing w:after="80" w:line="288" w:lineRule="auto"/>
        <w:jc w:val="both"/>
        <w:rPr>
          <w:b/>
          <w:bCs/>
        </w:rPr>
      </w:pPr>
      <w:r>
        <w:rPr>
          <w:b/>
          <w:bCs/>
        </w:rPr>
        <w:t>- Ley 10/2025, de 26 de noviembre, de la Agencia de Atención Integrada Social y Sanitaria de Cataluña. (BOE de 14 de febrero de 2026)</w:t>
      </w:r>
    </w:p>
    <w:p w14:paraId="3AF25D77" w14:textId="77777777" w:rsidR="003F223C" w:rsidRDefault="00B66A92">
      <w:pPr>
        <w:pStyle w:val="Standard"/>
        <w:spacing w:after="198" w:line="288" w:lineRule="auto"/>
        <w:jc w:val="both"/>
      </w:pPr>
      <w:hyperlink r:id="rId95">
        <w:r>
          <w:rPr>
            <w:rStyle w:val="Hyperlink0"/>
          </w:rPr>
          <w:t>https://www.boe.es/boe/dias/2026/02/14/pdfs/BOE-A-2026-3382.pdf</w:t>
        </w:r>
      </w:hyperlink>
    </w:p>
    <w:p w14:paraId="7CA49859" w14:textId="77777777" w:rsidR="003F223C" w:rsidRDefault="00B66A92" w:rsidP="0062002E">
      <w:pPr>
        <w:pStyle w:val="Standard"/>
        <w:spacing w:after="80" w:line="288" w:lineRule="auto"/>
        <w:jc w:val="both"/>
      </w:pPr>
      <w:r>
        <w:rPr>
          <w:rStyle w:val="Ninguno"/>
          <w:b/>
          <w:bCs/>
        </w:rPr>
        <w:t>- Ley 1/2026, de 4 de febrero, de modificación del texto único de la Ley de la función pública de la Administración de la Generalitat de Catalunya aprobado por el Decreto Legislativo 1/1997. (BOE de 20 de febrero de 2026)</w:t>
      </w:r>
    </w:p>
    <w:p w14:paraId="5175852B" w14:textId="77777777" w:rsidR="003F223C" w:rsidRPr="004F1741" w:rsidRDefault="00B66A92" w:rsidP="004F1741">
      <w:pPr>
        <w:pStyle w:val="Standard"/>
        <w:spacing w:after="198" w:line="288" w:lineRule="auto"/>
        <w:jc w:val="both"/>
        <w:outlineLvl w:val="0"/>
        <w:rPr>
          <w:rStyle w:val="Hyperlink0"/>
        </w:rPr>
      </w:pPr>
      <w:hyperlink r:id="rId96">
        <w:r w:rsidRPr="004F1741">
          <w:rPr>
            <w:rStyle w:val="Hyperlink0"/>
          </w:rPr>
          <w:t>https://www.boe.es/boe/dias/2026/02/20/pdfs/BOE-A-2026-3909.pdf</w:t>
        </w:r>
      </w:hyperlink>
    </w:p>
    <w:p w14:paraId="24829FC2" w14:textId="77777777" w:rsidR="003F223C" w:rsidRPr="00945392" w:rsidRDefault="00B66A92" w:rsidP="0062002E">
      <w:pPr>
        <w:pStyle w:val="Standard"/>
        <w:spacing w:after="80" w:line="288" w:lineRule="auto"/>
        <w:jc w:val="both"/>
      </w:pPr>
      <w:r w:rsidRPr="00945392">
        <w:rPr>
          <w:rStyle w:val="Ninguno"/>
          <w:b/>
          <w:bCs/>
        </w:rPr>
        <w:t>- Ley 11/2025, de 29 de diciembre, de medidas en materia de vivienda y urbanismo. (BOE de 10 de marzo de 2026)</w:t>
      </w:r>
    </w:p>
    <w:p w14:paraId="4237A6D9" w14:textId="77777777" w:rsidR="003F223C" w:rsidRPr="00945392" w:rsidRDefault="00B66A92" w:rsidP="004F1741">
      <w:pPr>
        <w:pStyle w:val="Standard"/>
        <w:spacing w:after="198" w:line="288" w:lineRule="auto"/>
        <w:jc w:val="both"/>
        <w:outlineLvl w:val="0"/>
        <w:rPr>
          <w:rStyle w:val="Hyperlink0"/>
        </w:rPr>
      </w:pPr>
      <w:hyperlink r:id="rId97">
        <w:r w:rsidRPr="00945392">
          <w:rPr>
            <w:rStyle w:val="Hyperlink0"/>
          </w:rPr>
          <w:t>https://www.boe.es/boe/dias/2026/03/10/pdfs/BOE-A-2026-5547.pdf</w:t>
        </w:r>
      </w:hyperlink>
    </w:p>
    <w:p w14:paraId="255642D4" w14:textId="77777777" w:rsidR="003F223C" w:rsidRPr="00945392" w:rsidRDefault="00B66A92" w:rsidP="0062002E">
      <w:pPr>
        <w:pStyle w:val="Gorputz-testua"/>
        <w:spacing w:after="80" w:line="288" w:lineRule="auto"/>
        <w:jc w:val="both"/>
        <w:rPr>
          <w:rFonts w:ascii="Calibri" w:eastAsia="Calibri" w:hAnsi="Calibri" w:cs="Calibri"/>
          <w:b/>
          <w:bCs/>
          <w:sz w:val="22"/>
          <w:szCs w:val="22"/>
          <w:lang w:val="es-ES_tradnl"/>
        </w:rPr>
      </w:pPr>
      <w:r w:rsidRPr="00945392">
        <w:rPr>
          <w:rFonts w:ascii="Calibri" w:eastAsia="Calibri" w:hAnsi="Calibri" w:cs="Calibri"/>
          <w:b/>
          <w:bCs/>
          <w:sz w:val="22"/>
          <w:szCs w:val="22"/>
          <w:lang w:val="es-ES_tradnl"/>
        </w:rPr>
        <w:t>- Decreto-ley 23/2025, de 23 de diciembre, de necesidades financieras del sector público en prórroga presupuestaria y otras medidas. (</w:t>
      </w:r>
      <w:r w:rsidRPr="00945392">
        <w:rPr>
          <w:rStyle w:val="Ninguno"/>
          <w:rFonts w:ascii="Calibri" w:eastAsia="Calibri" w:hAnsi="Calibri" w:cs="Calibri"/>
          <w:b/>
          <w:bCs/>
          <w:sz w:val="22"/>
          <w:szCs w:val="22"/>
          <w:lang w:val="es-ES_tradnl"/>
        </w:rPr>
        <w:t>BOE de 10 de marzo de 2026)</w:t>
      </w:r>
    </w:p>
    <w:p w14:paraId="794E8944" w14:textId="77777777" w:rsidR="003F223C" w:rsidRPr="00945392" w:rsidRDefault="00B66A92" w:rsidP="004F1741">
      <w:pPr>
        <w:pStyle w:val="Standard"/>
        <w:spacing w:after="198" w:line="288" w:lineRule="auto"/>
        <w:jc w:val="both"/>
        <w:outlineLvl w:val="0"/>
        <w:rPr>
          <w:rStyle w:val="Hyperlink0"/>
        </w:rPr>
      </w:pPr>
      <w:hyperlink r:id="rId98">
        <w:r w:rsidRPr="00945392">
          <w:rPr>
            <w:rStyle w:val="Hyperlink0"/>
          </w:rPr>
          <w:t>https://www.boe.es/boe/dias/2026/03/10/pdfs/BOE-A-2026-5548.pdf</w:t>
        </w:r>
      </w:hyperlink>
    </w:p>
    <w:p w14:paraId="549336B7" w14:textId="77777777" w:rsidR="003F223C" w:rsidRPr="00945392" w:rsidRDefault="00B66A92" w:rsidP="0062002E">
      <w:pPr>
        <w:pStyle w:val="Gorputz-testua"/>
        <w:spacing w:after="80" w:line="288" w:lineRule="auto"/>
        <w:jc w:val="both"/>
        <w:rPr>
          <w:rFonts w:ascii="Calibri" w:eastAsia="Calibri" w:hAnsi="Calibri" w:cs="Calibri"/>
          <w:b/>
          <w:bCs/>
          <w:sz w:val="22"/>
          <w:szCs w:val="22"/>
          <w:lang w:val="es-ES_tradnl"/>
        </w:rPr>
      </w:pPr>
      <w:r w:rsidRPr="00945392">
        <w:rPr>
          <w:rFonts w:ascii="Calibri" w:eastAsia="Calibri" w:hAnsi="Calibri" w:cs="Calibri"/>
          <w:b/>
          <w:bCs/>
          <w:sz w:val="22"/>
          <w:szCs w:val="22"/>
          <w:lang w:val="es-ES_tradnl"/>
        </w:rPr>
        <w:t>- Ley 2/2026, de 6 de marzo, de modificación del impuesto sobre las estancias en establecimientos turísticos y de creación de la tasa por el servicio de gestión y recaudación del recargo municipal del impuesto. (BOE de 23 de marzo de 2026)</w:t>
      </w:r>
    </w:p>
    <w:p w14:paraId="2EA6E572" w14:textId="77777777" w:rsidR="003F223C" w:rsidRPr="00945392" w:rsidRDefault="00B66A92" w:rsidP="004F1741">
      <w:pPr>
        <w:pStyle w:val="Standard"/>
        <w:spacing w:after="198" w:line="288" w:lineRule="auto"/>
        <w:jc w:val="both"/>
        <w:outlineLvl w:val="0"/>
        <w:rPr>
          <w:rStyle w:val="Hyperlink0"/>
        </w:rPr>
      </w:pPr>
      <w:hyperlink r:id="rId99">
        <w:r w:rsidRPr="00945392">
          <w:rPr>
            <w:rStyle w:val="Hyperlink0"/>
          </w:rPr>
          <w:t>https://www.boe.es/boe/dias/2026/03/23/pdfs/BOE-A-2026-6642.pdf</w:t>
        </w:r>
      </w:hyperlink>
    </w:p>
    <w:p w14:paraId="53BD0D85" w14:textId="77777777" w:rsidR="003F223C" w:rsidRPr="00945392" w:rsidRDefault="00B66A92" w:rsidP="00373233">
      <w:pPr>
        <w:pStyle w:val="Gorputz-testua"/>
        <w:spacing w:after="80" w:line="288" w:lineRule="auto"/>
        <w:jc w:val="both"/>
        <w:rPr>
          <w:rFonts w:ascii="Calibri" w:eastAsia="Calibri" w:hAnsi="Calibri" w:cs="Calibri"/>
          <w:b/>
          <w:bCs/>
          <w:sz w:val="22"/>
          <w:szCs w:val="22"/>
          <w:lang w:val="es-ES_tradnl"/>
        </w:rPr>
      </w:pPr>
      <w:r w:rsidRPr="00945392">
        <w:rPr>
          <w:rFonts w:ascii="Calibri" w:eastAsia="Calibri" w:hAnsi="Calibri" w:cs="Calibri"/>
          <w:b/>
          <w:bCs/>
          <w:sz w:val="22"/>
          <w:szCs w:val="22"/>
          <w:lang w:val="es-ES_tradnl"/>
        </w:rPr>
        <w:t>- Real Decreto 255/2026, de 26 de marzo, por el que se modifica el Real Decreto 830/2023, de 20 de noviembre, sobre las Vicepresidencias del Gobierno. (BOE de 27 de marzo de 2026)</w:t>
      </w:r>
    </w:p>
    <w:p w14:paraId="16BC8F9F" w14:textId="77777777" w:rsidR="003F223C" w:rsidRPr="00945392" w:rsidRDefault="00B66A92" w:rsidP="004F1741">
      <w:pPr>
        <w:pStyle w:val="Standard"/>
        <w:spacing w:after="198" w:line="288" w:lineRule="auto"/>
        <w:jc w:val="both"/>
        <w:outlineLvl w:val="0"/>
        <w:rPr>
          <w:rStyle w:val="Hyperlink0"/>
        </w:rPr>
      </w:pPr>
      <w:hyperlink r:id="rId100">
        <w:r w:rsidRPr="00945392">
          <w:rPr>
            <w:rStyle w:val="Hyperlink0"/>
          </w:rPr>
          <w:t>https://www.boe.es/boe/dias/2026/03/27/pdfs/BOE-A-2026-7036.pdf</w:t>
        </w:r>
      </w:hyperlink>
    </w:p>
    <w:p w14:paraId="5F0157FA" w14:textId="77777777" w:rsidR="003F223C" w:rsidRDefault="00B66A92" w:rsidP="00127105">
      <w:pPr>
        <w:pStyle w:val="Standard"/>
        <w:spacing w:after="80" w:line="288" w:lineRule="auto"/>
        <w:jc w:val="both"/>
        <w:rPr>
          <w:b/>
          <w:bCs/>
          <w:color w:val="76923C"/>
        </w:rPr>
      </w:pPr>
      <w:r>
        <w:rPr>
          <w:rStyle w:val="Ninguno"/>
          <w:b/>
          <w:bCs/>
          <w:color w:val="76923C"/>
        </w:rPr>
        <w:t>Comunidad Autónoma de Extremadura</w:t>
      </w:r>
    </w:p>
    <w:p w14:paraId="519902F6" w14:textId="77777777" w:rsidR="003F223C" w:rsidRDefault="00B66A92" w:rsidP="00373233">
      <w:pPr>
        <w:pStyle w:val="Standard"/>
        <w:spacing w:after="80" w:line="288" w:lineRule="auto"/>
        <w:jc w:val="both"/>
        <w:rPr>
          <w:b/>
          <w:bCs/>
        </w:rPr>
      </w:pPr>
      <w:r>
        <w:rPr>
          <w:rStyle w:val="Ninguno"/>
          <w:b/>
          <w:bCs/>
          <w:color w:val="76923C"/>
        </w:rPr>
        <w:t xml:space="preserve">- </w:t>
      </w:r>
      <w:r>
        <w:rPr>
          <w:b/>
          <w:bCs/>
        </w:rPr>
        <w:t>Decreto-ley 5/2025, de 18 de septiembre, de ayudas extraordinarias y otras medidas urgentes para la recuperación de las zonas afectadas por los incendios forestales acaecidos en Ex</w:t>
      </w:r>
      <w:r>
        <w:rPr>
          <w:b/>
          <w:bCs/>
        </w:rPr>
        <w:lastRenderedPageBreak/>
        <w:t>tremadura durante el verano de 2025 y en materia preventiva de incendios forestales. (BOE de 12 de enero de 2026)</w:t>
      </w:r>
    </w:p>
    <w:p w14:paraId="7613874F" w14:textId="77777777" w:rsidR="003F223C" w:rsidRDefault="00B66A92">
      <w:pPr>
        <w:pStyle w:val="Standard"/>
        <w:spacing w:after="198" w:line="288" w:lineRule="auto"/>
        <w:jc w:val="both"/>
      </w:pPr>
      <w:hyperlink r:id="rId101">
        <w:r>
          <w:rPr>
            <w:rStyle w:val="Hyperlink0"/>
          </w:rPr>
          <w:t>https://www.boe.es/boe/dias/2026/01/12/pdfs/BOE-A-2026-618.pdf</w:t>
        </w:r>
      </w:hyperlink>
    </w:p>
    <w:p w14:paraId="663AC9C6" w14:textId="77777777" w:rsidR="003F223C" w:rsidRDefault="00B66A92" w:rsidP="00373233">
      <w:pPr>
        <w:pStyle w:val="Standard"/>
        <w:spacing w:after="80" w:line="288" w:lineRule="auto"/>
        <w:jc w:val="both"/>
        <w:rPr>
          <w:b/>
          <w:bCs/>
        </w:rPr>
      </w:pPr>
      <w:r>
        <w:rPr>
          <w:b/>
          <w:bCs/>
        </w:rPr>
        <w:t>- Decreto-ley 6/2025, de 18 de septiembre, de ayudas urgentes al alumnado con derecho a transporte escolar, matriculado en centros docentes públicos no universitarios de la Comunidad Autónoma de Extremadura, que se vea afectado por la falta de prestación de dicho servicio durante el inicio del curso escolar 2025/2026. (BOE de 12 de enero de 2026)</w:t>
      </w:r>
    </w:p>
    <w:p w14:paraId="785B964E" w14:textId="77777777" w:rsidR="003F223C" w:rsidRDefault="00B66A92">
      <w:pPr>
        <w:pStyle w:val="Standard"/>
        <w:spacing w:after="198" w:line="288" w:lineRule="auto"/>
        <w:jc w:val="both"/>
      </w:pPr>
      <w:hyperlink r:id="rId102">
        <w:r>
          <w:rPr>
            <w:rStyle w:val="Hyperlink0"/>
          </w:rPr>
          <w:t>https://www.boe.es/boe/dias/2026/01/12/pdfs/BOE-A-2026-619.pdf</w:t>
        </w:r>
      </w:hyperlink>
    </w:p>
    <w:p w14:paraId="6CA22552" w14:textId="77777777" w:rsidR="003F223C" w:rsidRDefault="00B66A92" w:rsidP="00373233">
      <w:pPr>
        <w:pStyle w:val="Standard"/>
        <w:spacing w:after="80" w:line="288" w:lineRule="auto"/>
        <w:jc w:val="both"/>
        <w:rPr>
          <w:b/>
          <w:bCs/>
        </w:rPr>
      </w:pPr>
      <w:r>
        <w:rPr>
          <w:b/>
          <w:bCs/>
        </w:rPr>
        <w:t>- Decreto-ley 7/2025, de 18 de noviembre, por el que se modifica el Decreto-ley 5/2025, de 18 de septiembre, de ayudas extraordinarias y otras medidas urgentes para la recuperación de las zonas afectadas por los incendios forestales acaecidos en Extremadura durante el verano de 2025 y en materia preventiva de incendios forestales. (BOE de 12 de enero de 2026)</w:t>
      </w:r>
    </w:p>
    <w:p w14:paraId="237EA5B7" w14:textId="77777777" w:rsidR="003F223C" w:rsidRDefault="00B66A92">
      <w:pPr>
        <w:pStyle w:val="Standard"/>
        <w:spacing w:after="198" w:line="288" w:lineRule="auto"/>
        <w:jc w:val="both"/>
      </w:pPr>
      <w:hyperlink r:id="rId103">
        <w:r>
          <w:rPr>
            <w:rStyle w:val="Hyperlink0"/>
          </w:rPr>
          <w:t>https://www.boe.es/boe/dias/2026/01/12/pdfs/BOE-A-2026-620.pdf</w:t>
        </w:r>
      </w:hyperlink>
    </w:p>
    <w:p w14:paraId="42661CB9" w14:textId="77777777" w:rsidR="00127105" w:rsidRPr="008D4324" w:rsidRDefault="00127105" w:rsidP="00127105">
      <w:pPr>
        <w:pStyle w:val="Standard"/>
        <w:spacing w:after="0" w:line="288" w:lineRule="auto"/>
        <w:jc w:val="both"/>
        <w:rPr>
          <w:rStyle w:val="Ninguno"/>
          <w:b/>
          <w:bCs/>
          <w:color w:val="auto"/>
        </w:rPr>
      </w:pPr>
    </w:p>
    <w:p w14:paraId="4CA818C0" w14:textId="53B78495" w:rsidR="003F223C" w:rsidRDefault="00B66A92" w:rsidP="00127105">
      <w:pPr>
        <w:pStyle w:val="Standard"/>
        <w:spacing w:after="80" w:line="288" w:lineRule="auto"/>
        <w:jc w:val="both"/>
        <w:rPr>
          <w:b/>
          <w:bCs/>
          <w:color w:val="76923C"/>
        </w:rPr>
      </w:pPr>
      <w:r>
        <w:rPr>
          <w:rStyle w:val="Ninguno"/>
          <w:b/>
          <w:bCs/>
          <w:color w:val="76923C"/>
        </w:rPr>
        <w:t>Comunidad Autónoma de Galicia</w:t>
      </w:r>
    </w:p>
    <w:p w14:paraId="67CA4B39" w14:textId="77777777" w:rsidR="003F223C" w:rsidRDefault="00B66A92" w:rsidP="00373233">
      <w:pPr>
        <w:pStyle w:val="Standard"/>
        <w:spacing w:after="80" w:line="288" w:lineRule="auto"/>
        <w:jc w:val="both"/>
        <w:rPr>
          <w:b/>
          <w:bCs/>
        </w:rPr>
      </w:pPr>
      <w:r>
        <w:rPr>
          <w:rStyle w:val="Ninguno"/>
          <w:b/>
          <w:bCs/>
          <w:color w:val="76923C"/>
        </w:rPr>
        <w:t xml:space="preserve">- </w:t>
      </w:r>
      <w:r>
        <w:rPr>
          <w:b/>
          <w:bCs/>
        </w:rPr>
        <w:t>Ley 3/2025, de 15 de diciembre, de modificación de la Ley 3/2012, de 2 de abril, del deporte de Galicia. (BOE de 14 de febrero de 2026)</w:t>
      </w:r>
    </w:p>
    <w:p w14:paraId="56B4C2DD" w14:textId="77777777" w:rsidR="003F223C" w:rsidRDefault="00B66A92">
      <w:pPr>
        <w:pStyle w:val="Standard"/>
        <w:spacing w:after="198" w:line="288" w:lineRule="auto"/>
        <w:jc w:val="both"/>
      </w:pPr>
      <w:hyperlink r:id="rId104">
        <w:r>
          <w:rPr>
            <w:rStyle w:val="Hyperlink0"/>
          </w:rPr>
          <w:t>https://www.boe.es/boe/dias/2026/02/14/pdfs/BOE-A-2026-3383.pdf</w:t>
        </w:r>
      </w:hyperlink>
    </w:p>
    <w:p w14:paraId="6FA48D78" w14:textId="77777777" w:rsidR="003F223C" w:rsidRDefault="00B66A92" w:rsidP="00373233">
      <w:pPr>
        <w:pStyle w:val="Standard"/>
        <w:spacing w:after="80" w:line="288" w:lineRule="auto"/>
        <w:jc w:val="both"/>
        <w:rPr>
          <w:b/>
          <w:bCs/>
        </w:rPr>
      </w:pPr>
      <w:r>
        <w:rPr>
          <w:b/>
          <w:bCs/>
        </w:rPr>
        <w:t>- Ley 4/2025, de 23 de diciembre, de presupuestos generales de la Comunidad Autónoma de Galicia para el año 2026. (BOE de 14 de febrero de 2026)</w:t>
      </w:r>
    </w:p>
    <w:p w14:paraId="16D43819" w14:textId="77777777" w:rsidR="003F223C" w:rsidRDefault="00B66A92">
      <w:pPr>
        <w:pStyle w:val="Standard"/>
        <w:spacing w:after="198" w:line="288" w:lineRule="auto"/>
        <w:jc w:val="both"/>
      </w:pPr>
      <w:hyperlink r:id="rId105">
        <w:r>
          <w:rPr>
            <w:rStyle w:val="Hyperlink0"/>
          </w:rPr>
          <w:t>https://www.boe.es/boe/dias/2026/02/14/pdfs/BOE-A-2026-3384.pdf</w:t>
        </w:r>
      </w:hyperlink>
    </w:p>
    <w:p w14:paraId="6678C22A" w14:textId="77777777" w:rsidR="003F223C" w:rsidRDefault="00B66A92" w:rsidP="00373233">
      <w:pPr>
        <w:pStyle w:val="Standard"/>
        <w:spacing w:after="80" w:line="288" w:lineRule="auto"/>
        <w:jc w:val="both"/>
        <w:rPr>
          <w:b/>
          <w:bCs/>
        </w:rPr>
      </w:pPr>
      <w:r>
        <w:rPr>
          <w:b/>
          <w:bCs/>
        </w:rPr>
        <w:t>- Ley 5/2025, de 23 de diciembre, de medidas fiscales y administrativas. (BOE de 14 de febrero de 2026)</w:t>
      </w:r>
    </w:p>
    <w:p w14:paraId="41BDB01B" w14:textId="77777777" w:rsidR="003F223C" w:rsidRDefault="00B66A92">
      <w:pPr>
        <w:pStyle w:val="Standard"/>
        <w:spacing w:after="198" w:line="288" w:lineRule="auto"/>
        <w:jc w:val="both"/>
      </w:pPr>
      <w:hyperlink r:id="rId106">
        <w:r>
          <w:rPr>
            <w:rStyle w:val="Hyperlink0"/>
          </w:rPr>
          <w:t>https://www.boe.es/boe/dias/2026/02/14/pdfs/BOE-A-2026-3385.pdf</w:t>
        </w:r>
      </w:hyperlink>
    </w:p>
    <w:p w14:paraId="2519D666" w14:textId="77777777" w:rsidR="003F223C" w:rsidRDefault="00B66A92" w:rsidP="00373233">
      <w:pPr>
        <w:pStyle w:val="Standard"/>
        <w:spacing w:after="80" w:line="288" w:lineRule="auto"/>
        <w:jc w:val="both"/>
        <w:rPr>
          <w:b/>
          <w:bCs/>
        </w:rPr>
      </w:pPr>
      <w:r>
        <w:rPr>
          <w:b/>
          <w:bCs/>
        </w:rPr>
        <w:t>- Ley 6/2025, de 23 de diciembre, de protección de la salud de las personas menores y prevención de las conductas adictivas. (BOE de 14 de febrero de 2026)</w:t>
      </w:r>
    </w:p>
    <w:p w14:paraId="6B42D1AE" w14:textId="77777777" w:rsidR="003F223C" w:rsidRDefault="00B66A92">
      <w:pPr>
        <w:pStyle w:val="Standard"/>
        <w:spacing w:after="198" w:line="288" w:lineRule="auto"/>
        <w:jc w:val="both"/>
      </w:pPr>
      <w:hyperlink r:id="rId107">
        <w:r>
          <w:rPr>
            <w:rStyle w:val="Hyperlink0"/>
          </w:rPr>
          <w:t>https://www.boe.es/boe/dias/2026/02/14/pdfs/BOE-A-2026-3386.pdf</w:t>
        </w:r>
      </w:hyperlink>
    </w:p>
    <w:p w14:paraId="7D72FD1D" w14:textId="77777777" w:rsidR="003F223C" w:rsidRDefault="00B66A92" w:rsidP="00373233">
      <w:pPr>
        <w:pStyle w:val="Standard"/>
        <w:spacing w:after="80" w:line="288" w:lineRule="auto"/>
        <w:jc w:val="both"/>
      </w:pPr>
      <w:r>
        <w:rPr>
          <w:rStyle w:val="Ninguno"/>
          <w:b/>
          <w:bCs/>
        </w:rPr>
        <w:t>- Ley 1/2026, de 5 de febrero, del clima de Galicia. (BOE de 10 de marzo de 2026)</w:t>
      </w:r>
    </w:p>
    <w:p w14:paraId="3F6539F2" w14:textId="77777777" w:rsidR="003F223C" w:rsidRPr="004F1741" w:rsidRDefault="00B66A92" w:rsidP="004F1741">
      <w:pPr>
        <w:pStyle w:val="Standard"/>
        <w:spacing w:after="198" w:line="288" w:lineRule="auto"/>
        <w:jc w:val="both"/>
        <w:outlineLvl w:val="0"/>
        <w:rPr>
          <w:rStyle w:val="Hyperlink0"/>
        </w:rPr>
      </w:pPr>
      <w:hyperlink r:id="rId108">
        <w:r w:rsidRPr="004F1741">
          <w:rPr>
            <w:rStyle w:val="Hyperlink0"/>
          </w:rPr>
          <w:t>https://www.boe.es/boe/dias/2026/03/10/pdfs/BOE-A-2026-5549.pdf</w:t>
        </w:r>
      </w:hyperlink>
    </w:p>
    <w:p w14:paraId="013CF394" w14:textId="77777777" w:rsidR="001D4587" w:rsidRDefault="001D4587">
      <w:pPr>
        <w:suppressAutoHyphens/>
        <w:overflowPunct/>
        <w:rPr>
          <w:rStyle w:val="Ninguno"/>
          <w:rFonts w:ascii="Calibri" w:eastAsia="Calibri" w:hAnsi="Calibri" w:cs="Calibri"/>
          <w:b/>
          <w:bCs/>
          <w:color w:val="000000"/>
          <w:sz w:val="22"/>
          <w:szCs w:val="22"/>
          <w:lang w:val="es-ES_tradnl" w:eastAsia="zh-CN" w:bidi="hi-IN"/>
        </w:rPr>
      </w:pPr>
      <w:r>
        <w:rPr>
          <w:rStyle w:val="Ninguno"/>
          <w:b/>
          <w:bCs/>
        </w:rPr>
        <w:br w:type="page"/>
      </w:r>
    </w:p>
    <w:p w14:paraId="296CCEDC" w14:textId="185EA06B" w:rsidR="003F223C" w:rsidRDefault="00B66A92" w:rsidP="00373233">
      <w:pPr>
        <w:pStyle w:val="Standard"/>
        <w:spacing w:after="80" w:line="288" w:lineRule="auto"/>
        <w:jc w:val="both"/>
      </w:pPr>
      <w:r>
        <w:rPr>
          <w:rStyle w:val="Ninguno"/>
          <w:b/>
          <w:bCs/>
        </w:rPr>
        <w:lastRenderedPageBreak/>
        <w:t>- Ley 2/2026, de 27 de febrero, de medida excepcional de carácter fiscal. (BOE de 27 de marzo de 2026)</w:t>
      </w:r>
    </w:p>
    <w:p w14:paraId="4E488E82" w14:textId="77777777" w:rsidR="003F223C" w:rsidRPr="004F1741" w:rsidRDefault="00B66A92" w:rsidP="004F1741">
      <w:pPr>
        <w:pStyle w:val="Standard"/>
        <w:spacing w:after="198" w:line="288" w:lineRule="auto"/>
        <w:jc w:val="both"/>
        <w:outlineLvl w:val="0"/>
        <w:rPr>
          <w:rStyle w:val="Hyperlink0"/>
        </w:rPr>
      </w:pPr>
      <w:hyperlink r:id="rId109">
        <w:r w:rsidRPr="004F1741">
          <w:rPr>
            <w:rStyle w:val="Hyperlink0"/>
          </w:rPr>
          <w:t>https://www.boe.es/boe/dias/2026/03/27/pdfs/BOE-A-2026-7044.pdf</w:t>
        </w:r>
      </w:hyperlink>
    </w:p>
    <w:p w14:paraId="50900118" w14:textId="77777777" w:rsidR="003F223C" w:rsidRDefault="003F223C" w:rsidP="00127105">
      <w:pPr>
        <w:pStyle w:val="Standard"/>
        <w:spacing w:after="0" w:line="288" w:lineRule="auto"/>
        <w:jc w:val="both"/>
        <w:rPr>
          <w:rStyle w:val="Ninguno"/>
          <w:b/>
          <w:bCs/>
        </w:rPr>
      </w:pPr>
    </w:p>
    <w:p w14:paraId="32EC4614" w14:textId="77777777" w:rsidR="003F223C" w:rsidRDefault="00B66A92" w:rsidP="00127105">
      <w:pPr>
        <w:pStyle w:val="Standard"/>
        <w:spacing w:after="80" w:line="288" w:lineRule="auto"/>
        <w:jc w:val="both"/>
        <w:rPr>
          <w:b/>
          <w:bCs/>
          <w:color w:val="76923C"/>
        </w:rPr>
      </w:pPr>
      <w:r>
        <w:rPr>
          <w:rStyle w:val="Ninguno"/>
          <w:b/>
          <w:bCs/>
          <w:color w:val="76923C"/>
        </w:rPr>
        <w:t>Comunidad Autónoma de las Illes Balears</w:t>
      </w:r>
    </w:p>
    <w:p w14:paraId="2D49368C" w14:textId="77777777" w:rsidR="003F223C" w:rsidRDefault="00B66A92" w:rsidP="00373233">
      <w:pPr>
        <w:pStyle w:val="Standard"/>
        <w:spacing w:after="80" w:line="288" w:lineRule="auto"/>
        <w:jc w:val="both"/>
        <w:rPr>
          <w:b/>
          <w:bCs/>
        </w:rPr>
      </w:pPr>
      <w:r>
        <w:rPr>
          <w:rStyle w:val="Ninguno"/>
          <w:b/>
          <w:bCs/>
          <w:color w:val="76923C"/>
        </w:rPr>
        <w:t xml:space="preserve">- </w:t>
      </w:r>
      <w:r>
        <w:rPr>
          <w:b/>
          <w:bCs/>
        </w:rPr>
        <w:t>Decreto-ley 8/2025, de 5 de diciembre, de medidas urgentes para acelerar proyectos estratégicos que contribuyan a la transformación económica de las Illes Balears. (BOE de 9 de enero de 2026)</w:t>
      </w:r>
    </w:p>
    <w:p w14:paraId="6CBE650F" w14:textId="77777777" w:rsidR="003F223C" w:rsidRDefault="00B66A92">
      <w:pPr>
        <w:pStyle w:val="Standard"/>
        <w:spacing w:after="198" w:line="288" w:lineRule="auto"/>
        <w:jc w:val="both"/>
      </w:pPr>
      <w:hyperlink r:id="rId110">
        <w:r>
          <w:rPr>
            <w:rStyle w:val="Hyperlink0"/>
          </w:rPr>
          <w:t>https://www.boe.es/boe/dias/2026/01/09/pdfs/BOE-A-2026-487.pdf</w:t>
        </w:r>
      </w:hyperlink>
    </w:p>
    <w:p w14:paraId="5F37E63C" w14:textId="77777777" w:rsidR="003F223C" w:rsidRDefault="003F223C" w:rsidP="00127105">
      <w:pPr>
        <w:pStyle w:val="Standard"/>
        <w:spacing w:after="0" w:line="288" w:lineRule="auto"/>
        <w:jc w:val="both"/>
        <w:rPr>
          <w:shd w:val="clear" w:color="auto" w:fill="FFFFFF"/>
        </w:rPr>
      </w:pPr>
    </w:p>
    <w:p w14:paraId="54C94C31" w14:textId="77777777" w:rsidR="003F223C" w:rsidRDefault="00B66A92" w:rsidP="00127105">
      <w:pPr>
        <w:pStyle w:val="Standard"/>
        <w:spacing w:after="80" w:line="288" w:lineRule="auto"/>
        <w:jc w:val="both"/>
        <w:rPr>
          <w:b/>
          <w:bCs/>
          <w:color w:val="76923C"/>
        </w:rPr>
      </w:pPr>
      <w:r>
        <w:rPr>
          <w:rStyle w:val="Ninguno"/>
          <w:b/>
          <w:bCs/>
          <w:color w:val="76923C"/>
        </w:rPr>
        <w:t>Comunidad Autónoma de Madrid</w:t>
      </w:r>
    </w:p>
    <w:p w14:paraId="497CDAD4" w14:textId="77777777" w:rsidR="003F223C" w:rsidRDefault="00B66A92" w:rsidP="00373233">
      <w:pPr>
        <w:pStyle w:val="Standard"/>
        <w:spacing w:after="80" w:line="288" w:lineRule="auto"/>
        <w:jc w:val="both"/>
        <w:rPr>
          <w:b/>
          <w:bCs/>
        </w:rPr>
      </w:pPr>
      <w:r>
        <w:rPr>
          <w:rStyle w:val="Ninguno"/>
          <w:b/>
          <w:bCs/>
          <w:color w:val="76923C"/>
        </w:rPr>
        <w:t xml:space="preserve">- </w:t>
      </w:r>
      <w:r>
        <w:rPr>
          <w:b/>
          <w:bCs/>
        </w:rPr>
        <w:t>Ley 4/2025, de 17 de diciembre, de reconocimiento de la universidad privada «IE Universidad Madrid». (BOE de 12 de febrero de 2026)</w:t>
      </w:r>
    </w:p>
    <w:p w14:paraId="55E3C77D" w14:textId="77777777" w:rsidR="003F223C" w:rsidRDefault="00B66A92">
      <w:pPr>
        <w:pStyle w:val="Standard"/>
        <w:spacing w:after="198" w:line="288" w:lineRule="auto"/>
        <w:jc w:val="both"/>
      </w:pPr>
      <w:hyperlink r:id="rId111">
        <w:r>
          <w:rPr>
            <w:rStyle w:val="Hyperlink0"/>
          </w:rPr>
          <w:t>https://www.boe.es/boe/dias/2026/02/12/pdfs/BOE-A-2026-3216.pdf</w:t>
        </w:r>
      </w:hyperlink>
    </w:p>
    <w:p w14:paraId="1E68E366" w14:textId="77777777" w:rsidR="003F223C" w:rsidRDefault="00B66A92" w:rsidP="00373233">
      <w:pPr>
        <w:pStyle w:val="Standard"/>
        <w:spacing w:after="80" w:line="288" w:lineRule="auto"/>
        <w:jc w:val="both"/>
        <w:rPr>
          <w:b/>
          <w:bCs/>
        </w:rPr>
      </w:pPr>
      <w:r>
        <w:rPr>
          <w:b/>
          <w:bCs/>
        </w:rPr>
        <w:t>- Ley 5/2025, de 23 de diciembre, de Hacienda de la Comunidad de Madrid. (BOE de 12 de febrero de 2026)</w:t>
      </w:r>
    </w:p>
    <w:p w14:paraId="38E8837E" w14:textId="77777777" w:rsidR="003F223C" w:rsidRDefault="00B66A92">
      <w:pPr>
        <w:pStyle w:val="Standard"/>
        <w:spacing w:after="198" w:line="288" w:lineRule="auto"/>
        <w:jc w:val="both"/>
      </w:pPr>
      <w:hyperlink r:id="rId112">
        <w:r>
          <w:rPr>
            <w:rStyle w:val="Hyperlink0"/>
          </w:rPr>
          <w:t>https://www.boe.es/boe/dias/2026/02/12/pdfs/BOE-A-2026-3217.pdf</w:t>
        </w:r>
      </w:hyperlink>
    </w:p>
    <w:p w14:paraId="4B093E88" w14:textId="77777777" w:rsidR="003F223C" w:rsidRDefault="00B66A92" w:rsidP="00373233">
      <w:pPr>
        <w:pStyle w:val="Standard"/>
        <w:spacing w:after="80" w:line="288" w:lineRule="auto"/>
        <w:jc w:val="both"/>
        <w:rPr>
          <w:b/>
          <w:bCs/>
        </w:rPr>
      </w:pPr>
      <w:r>
        <w:rPr>
          <w:b/>
          <w:bCs/>
        </w:rPr>
        <w:t>- Ley 6/2025, de 23 de diciembre, de Presupuestos Generales de la Comunidad de Madrid para el año 2026. (BOE de 12 de febrero de 2026)</w:t>
      </w:r>
    </w:p>
    <w:p w14:paraId="3CB0C55E" w14:textId="77777777" w:rsidR="003F223C" w:rsidRDefault="00B66A92">
      <w:pPr>
        <w:pStyle w:val="Standard"/>
        <w:spacing w:after="198" w:line="288" w:lineRule="auto"/>
        <w:jc w:val="both"/>
      </w:pPr>
      <w:hyperlink r:id="rId113">
        <w:r>
          <w:rPr>
            <w:rStyle w:val="Hyperlink0"/>
          </w:rPr>
          <w:t>https://www.boe.es/boe/dias/2026/02/12/pdfs/BOE-A-2026-3218.pdf</w:t>
        </w:r>
      </w:hyperlink>
    </w:p>
    <w:p w14:paraId="40B3802F" w14:textId="77777777" w:rsidR="003F223C" w:rsidRPr="008D4324" w:rsidRDefault="003F223C" w:rsidP="00127105">
      <w:pPr>
        <w:pStyle w:val="Gorputz-testua"/>
        <w:spacing w:after="0" w:line="288" w:lineRule="auto"/>
        <w:jc w:val="both"/>
        <w:rPr>
          <w:rStyle w:val="Ninguno"/>
          <w:b/>
          <w:bCs/>
          <w:color w:val="auto"/>
        </w:rPr>
      </w:pPr>
    </w:p>
    <w:p w14:paraId="41495FE5" w14:textId="77777777" w:rsidR="003F223C" w:rsidRDefault="00B66A92" w:rsidP="00127105">
      <w:pPr>
        <w:pStyle w:val="Standard"/>
        <w:spacing w:after="80" w:line="288" w:lineRule="auto"/>
        <w:jc w:val="both"/>
        <w:rPr>
          <w:b/>
          <w:bCs/>
          <w:color w:val="76923C"/>
        </w:rPr>
      </w:pPr>
      <w:r>
        <w:rPr>
          <w:rStyle w:val="Ninguno"/>
          <w:b/>
          <w:bCs/>
          <w:color w:val="76923C"/>
        </w:rPr>
        <w:t>Comunidad Autónoma de Murcia</w:t>
      </w:r>
    </w:p>
    <w:p w14:paraId="36F09F58" w14:textId="77777777" w:rsidR="003F223C" w:rsidRDefault="00B66A92" w:rsidP="00373233">
      <w:pPr>
        <w:pStyle w:val="Standard"/>
        <w:spacing w:after="80" w:line="288" w:lineRule="auto"/>
        <w:jc w:val="both"/>
        <w:rPr>
          <w:b/>
          <w:bCs/>
        </w:rPr>
      </w:pPr>
      <w:r>
        <w:rPr>
          <w:b/>
          <w:bCs/>
        </w:rPr>
        <w:t>- Ley 4/2025, de 15 de diciembre, de incremento del importe de las plazas y del Servicio de Atención Temprana en los conciertos sociales y convenios de los sectores de personas mayores y personas con discapacidad. (BOE de 24 de enero de 2026)</w:t>
      </w:r>
    </w:p>
    <w:p w14:paraId="481DD3ED" w14:textId="77777777" w:rsidR="003F223C" w:rsidRDefault="00B66A92">
      <w:pPr>
        <w:pStyle w:val="Standard"/>
        <w:spacing w:after="198" w:line="288" w:lineRule="auto"/>
        <w:jc w:val="both"/>
      </w:pPr>
      <w:hyperlink r:id="rId114">
        <w:r>
          <w:rPr>
            <w:rStyle w:val="Hyperlink0"/>
          </w:rPr>
          <w:t>https://www.boe.es/boe/dias/2026/01/24/pdfs/BOE-A-2026-1682.pdf</w:t>
        </w:r>
      </w:hyperlink>
    </w:p>
    <w:p w14:paraId="3B580696" w14:textId="77777777" w:rsidR="003F223C" w:rsidRDefault="003F223C" w:rsidP="001D4587">
      <w:pPr>
        <w:pStyle w:val="Standard"/>
        <w:spacing w:after="120" w:line="288" w:lineRule="auto"/>
        <w:jc w:val="both"/>
        <w:rPr>
          <w:color w:val="000080"/>
          <w:u w:val="single" w:color="000080"/>
        </w:rPr>
      </w:pPr>
    </w:p>
    <w:p w14:paraId="3B017A04" w14:textId="77777777" w:rsidR="003F223C" w:rsidRDefault="00B66A92" w:rsidP="00127105">
      <w:pPr>
        <w:pStyle w:val="Standard"/>
        <w:spacing w:after="80" w:line="288" w:lineRule="auto"/>
        <w:jc w:val="both"/>
        <w:rPr>
          <w:b/>
          <w:bCs/>
          <w:color w:val="76923C"/>
        </w:rPr>
      </w:pPr>
      <w:r>
        <w:rPr>
          <w:rStyle w:val="Ninguno"/>
          <w:b/>
          <w:bCs/>
          <w:color w:val="76923C"/>
        </w:rPr>
        <w:t>Comunidad Autónoma de Valencia</w:t>
      </w:r>
      <w:r>
        <w:rPr>
          <w:rStyle w:val="Ninguno"/>
          <w:color w:val="76923C"/>
        </w:rPr>
        <w:t xml:space="preserve"> </w:t>
      </w:r>
    </w:p>
    <w:p w14:paraId="42B2B6E8" w14:textId="77777777" w:rsidR="003F223C" w:rsidRDefault="00B66A92" w:rsidP="00373233">
      <w:pPr>
        <w:pStyle w:val="Standard"/>
        <w:spacing w:after="80" w:line="288" w:lineRule="auto"/>
        <w:jc w:val="both"/>
        <w:rPr>
          <w:b/>
          <w:bCs/>
        </w:rPr>
      </w:pPr>
      <w:r>
        <w:rPr>
          <w:rStyle w:val="Ninguno"/>
          <w:b/>
          <w:bCs/>
          <w:color w:val="76923C"/>
        </w:rPr>
        <w:t xml:space="preserve">- </w:t>
      </w:r>
      <w:r>
        <w:rPr>
          <w:b/>
          <w:bCs/>
        </w:rPr>
        <w:t xml:space="preserve">Decreto 194/2025, de 12 de diciembre, del Consell, por el que se aprueban los Estatutos de la </w:t>
      </w:r>
      <w:proofErr w:type="spellStart"/>
      <w:r>
        <w:rPr>
          <w:b/>
          <w:bCs/>
        </w:rPr>
        <w:t>Universitat</w:t>
      </w:r>
      <w:proofErr w:type="spellEnd"/>
      <w:r>
        <w:rPr>
          <w:b/>
          <w:bCs/>
        </w:rPr>
        <w:t xml:space="preserve"> Jaume I. (BOE de 10 de enero de 2026)</w:t>
      </w:r>
    </w:p>
    <w:p w14:paraId="5F0F5717" w14:textId="0C2575C5" w:rsidR="000C39B3" w:rsidRDefault="00B66A92" w:rsidP="001D4587">
      <w:pPr>
        <w:pStyle w:val="Standard"/>
        <w:spacing w:after="198" w:line="288" w:lineRule="auto"/>
        <w:jc w:val="both"/>
        <w:rPr>
          <w:rStyle w:val="Ninguno"/>
          <w:b/>
          <w:bCs/>
          <w:color w:val="4F81BD"/>
          <w:sz w:val="26"/>
          <w:szCs w:val="26"/>
        </w:rPr>
      </w:pPr>
      <w:hyperlink r:id="rId115">
        <w:r>
          <w:rPr>
            <w:rStyle w:val="Hyperlink0"/>
          </w:rPr>
          <w:t>https://www.boe.es/boe/dias/2026/01/10/pdfs/BOE-A-2026-563.pdf</w:t>
        </w:r>
      </w:hyperlink>
      <w:r w:rsidR="000C39B3">
        <w:rPr>
          <w:rStyle w:val="Ninguno"/>
          <w:b/>
          <w:bCs/>
          <w:color w:val="4F81BD"/>
          <w:sz w:val="26"/>
          <w:szCs w:val="26"/>
        </w:rPr>
        <w:br w:type="page"/>
      </w:r>
    </w:p>
    <w:p w14:paraId="24FF68C1" w14:textId="455EC098" w:rsidR="003F223C" w:rsidRDefault="00B66A92">
      <w:pPr>
        <w:pStyle w:val="Standard"/>
        <w:spacing w:after="198" w:line="288" w:lineRule="auto"/>
        <w:jc w:val="both"/>
        <w:rPr>
          <w:b/>
          <w:bCs/>
          <w:color w:val="4F81BD"/>
          <w:sz w:val="26"/>
          <w:szCs w:val="26"/>
        </w:rPr>
      </w:pPr>
      <w:r>
        <w:rPr>
          <w:rStyle w:val="Ninguno"/>
          <w:b/>
          <w:bCs/>
          <w:color w:val="4F81BD"/>
          <w:sz w:val="26"/>
          <w:szCs w:val="26"/>
        </w:rPr>
        <w:lastRenderedPageBreak/>
        <w:t>JURISPRUDENCIA</w:t>
      </w:r>
    </w:p>
    <w:p w14:paraId="75628722" w14:textId="77777777" w:rsidR="003F223C" w:rsidRDefault="00B66A92">
      <w:pPr>
        <w:pStyle w:val="Standard"/>
        <w:spacing w:after="198" w:line="288" w:lineRule="auto"/>
        <w:jc w:val="both"/>
        <w:outlineLvl w:val="1"/>
        <w:rPr>
          <w:b/>
          <w:bCs/>
          <w:color w:val="4F81BD"/>
          <w:sz w:val="26"/>
          <w:szCs w:val="26"/>
        </w:rPr>
      </w:pPr>
      <w:r>
        <w:rPr>
          <w:rStyle w:val="Ninguno"/>
          <w:b/>
          <w:bCs/>
          <w:color w:val="4F81BD"/>
          <w:sz w:val="26"/>
          <w:szCs w:val="26"/>
        </w:rPr>
        <w:t>Tribunal de Justicia de la Unión Europea</w:t>
      </w:r>
    </w:p>
    <w:p w14:paraId="5FE70714" w14:textId="77777777" w:rsidR="003F223C" w:rsidRDefault="00B66A92">
      <w:pPr>
        <w:pStyle w:val="Standard"/>
        <w:keepNext/>
        <w:keepLines/>
        <w:spacing w:after="198" w:line="288" w:lineRule="auto"/>
        <w:jc w:val="both"/>
        <w:outlineLvl w:val="1"/>
      </w:pPr>
      <w:r>
        <w:rPr>
          <w:rStyle w:val="Ninguno"/>
          <w:b/>
          <w:bCs/>
        </w:rPr>
        <w:t>- Sentencia del TJUE de 5 de marzo de 2026. Asunto C-210/24.</w:t>
      </w:r>
      <w:r>
        <w:rPr>
          <w:rStyle w:val="Ninguno"/>
        </w:rPr>
        <w:t xml:space="preserve"> Resuelve esta sentencia una cuestión prejudicial planteada por el Órgano Administrativo de Recursos Contractuales de Euskadi (OARC) en relación con la legalidad de un criterio de adjudicación basado en el incremento de la masa salarial del personal adscrito al contrato.</w:t>
      </w:r>
    </w:p>
    <w:p w14:paraId="3D07817A" w14:textId="77777777" w:rsidR="003F223C" w:rsidRDefault="00B66A92">
      <w:pPr>
        <w:pStyle w:val="Standard"/>
        <w:keepNext/>
        <w:keepLines/>
        <w:spacing w:after="198" w:line="288" w:lineRule="auto"/>
        <w:jc w:val="both"/>
        <w:outlineLvl w:val="1"/>
      </w:pPr>
      <w:r>
        <w:rPr>
          <w:rStyle w:val="Ninguno"/>
        </w:rPr>
        <w:t>El TJUE adopta una interpretación amplia del concepto de “vinculación con el objeto del contrato”, afirmando que esta puede referirse a cualquier aspecto del ciclo de vida de la prestación, incluidos factores relativos al proceso de ejecución, aunque no formen parte material del servicio.</w:t>
      </w:r>
    </w:p>
    <w:p w14:paraId="63FEFEC8" w14:textId="77777777" w:rsidR="003F223C" w:rsidRDefault="00B66A92">
      <w:pPr>
        <w:pStyle w:val="Standard"/>
        <w:spacing w:after="198" w:line="288" w:lineRule="auto"/>
        <w:jc w:val="both"/>
        <w:outlineLvl w:val="1"/>
      </w:pPr>
      <w:r>
        <w:rPr>
          <w:rStyle w:val="Ninguno"/>
        </w:rPr>
        <w:t>Sobre esta base, concluye que un criterio relativo al incremento salarial del personal que ejecuta el contrato constituye un aspecto social en el sentido del </w:t>
      </w:r>
      <w:hyperlink r:id="rId116" w:anchor="cpa66" w:history="1">
        <w:r>
          <w:rPr>
            <w:rStyle w:val="Hiperesteka"/>
          </w:rPr>
          <w:t>artículo 67.2 de la Directiva</w:t>
        </w:r>
      </w:hyperlink>
      <w:r>
        <w:rPr>
          <w:rStyle w:val="Ninguno"/>
        </w:rPr>
        <w:t> y puede estar vinculado al objeto del contrato, especialmente en servicios intensivos en mano de obra, como los servicios sociales.</w:t>
      </w:r>
    </w:p>
    <w:p w14:paraId="68E4E624" w14:textId="77777777" w:rsidR="00127105" w:rsidRDefault="00B66A92" w:rsidP="00127105">
      <w:pPr>
        <w:pStyle w:val="Standard"/>
        <w:spacing w:after="198" w:line="288" w:lineRule="auto"/>
        <w:jc w:val="both"/>
        <w:outlineLvl w:val="1"/>
        <w:rPr>
          <w:rStyle w:val="Ninguno"/>
        </w:rPr>
      </w:pPr>
      <w:r>
        <w:rPr>
          <w:rStyle w:val="Ninguno"/>
        </w:rPr>
        <w:t>El Tribunal admite implícitamente la correlación entre mejores condiciones laborales y mayor calidad del servicio, destacando que la retribución del personal puede incidir en la satisfacción laboral y, por tanto, en la prestación.</w:t>
      </w:r>
    </w:p>
    <w:p w14:paraId="60174C3A" w14:textId="77777777" w:rsidR="00127105" w:rsidRDefault="00B66A92" w:rsidP="00127105">
      <w:pPr>
        <w:pStyle w:val="Standard"/>
        <w:spacing w:after="198" w:line="288" w:lineRule="auto"/>
        <w:jc w:val="both"/>
        <w:outlineLvl w:val="1"/>
        <w:rPr>
          <w:rStyle w:val="Ninguno"/>
        </w:rPr>
      </w:pPr>
      <w:r>
        <w:rPr>
          <w:rStyle w:val="Ninguno"/>
        </w:rPr>
        <w:t>No obstante, introduce un límite relevante: corresponde al órgano nacional verificar que el criterio respeta los principios de igualdad, no discriminación y proporcionalidad, y que no genera efectos excluyentes injustificados entre licitadores.</w:t>
      </w:r>
    </w:p>
    <w:p w14:paraId="2BCDAE63" w14:textId="1D7657E9" w:rsidR="003F223C" w:rsidRDefault="00B66A92" w:rsidP="00127105">
      <w:pPr>
        <w:pStyle w:val="Standard"/>
        <w:spacing w:after="198" w:line="288" w:lineRule="auto"/>
        <w:jc w:val="both"/>
        <w:outlineLvl w:val="1"/>
      </w:pPr>
      <w:r>
        <w:rPr>
          <w:rStyle w:val="Ninguno"/>
        </w:rPr>
        <w:t>En segundo término, el TJUE analiza la compatibilidad del criterio con el derecho a la negociación colectiva (art. 28 de la Carta de Derechos Fundamentales de la UE). El Tribunal descarta la incompatibilidad, al entender que la obligación de negociar no implica imponer el resultado de dicha negociación a los representantes de los trabajadores.</w:t>
      </w:r>
    </w:p>
    <w:p w14:paraId="0CA7E954" w14:textId="77777777" w:rsidR="003F223C" w:rsidRDefault="00B66A92" w:rsidP="00373233">
      <w:pPr>
        <w:pStyle w:val="Standard"/>
        <w:keepNext/>
        <w:keepLines/>
        <w:spacing w:after="80" w:line="288" w:lineRule="auto"/>
        <w:jc w:val="both"/>
        <w:outlineLvl w:val="1"/>
      </w:pPr>
      <w:r>
        <w:t>Así, la exigencia de concretar los incrementos salariales mediante negociación colectiva no vulnera dicho derecho, siempre que no obligue a aceptar automáticamente las condiciones ofertadas.</w:t>
      </w:r>
    </w:p>
    <w:p w14:paraId="20AEFB6F" w14:textId="77777777" w:rsidR="003F223C" w:rsidRPr="004F1741" w:rsidRDefault="00B66A92" w:rsidP="004F1741">
      <w:pPr>
        <w:pStyle w:val="Standard"/>
        <w:spacing w:after="198" w:line="288" w:lineRule="auto"/>
        <w:jc w:val="both"/>
        <w:outlineLvl w:val="0"/>
        <w:rPr>
          <w:rStyle w:val="Hyperlink0"/>
        </w:rPr>
      </w:pPr>
      <w:hyperlink r:id="rId117">
        <w:r w:rsidRPr="004F1741">
          <w:rPr>
            <w:rStyle w:val="Hyperlink0"/>
          </w:rPr>
          <w:t>https://eur-lex.europa.eu/legal-content/ES/TXT/PDF/?uri=CELEX:62024CJ0210&amp;qid=1719597171337</w:t>
        </w:r>
      </w:hyperlink>
    </w:p>
    <w:p w14:paraId="73F08279" w14:textId="77777777" w:rsidR="003F223C" w:rsidRDefault="00B66A92">
      <w:pPr>
        <w:pStyle w:val="Standard"/>
        <w:keepNext/>
        <w:keepLines/>
        <w:spacing w:after="198" w:line="288" w:lineRule="auto"/>
        <w:jc w:val="both"/>
        <w:outlineLvl w:val="1"/>
      </w:pPr>
      <w:r>
        <w:rPr>
          <w:rStyle w:val="Ninguno"/>
          <w:b/>
          <w:bCs/>
          <w:color w:val="auto"/>
        </w:rPr>
        <w:lastRenderedPageBreak/>
        <w:t xml:space="preserve">- Sentencia del TJUE de 22 de enero de 2026. Asunto C-812/24. </w:t>
      </w:r>
    </w:p>
    <w:p w14:paraId="6CCA6227" w14:textId="77777777" w:rsidR="003F223C" w:rsidRDefault="00B66A92">
      <w:pPr>
        <w:pStyle w:val="Standard"/>
        <w:keepNext/>
        <w:keepLines/>
        <w:spacing w:after="198" w:line="288" w:lineRule="auto"/>
        <w:jc w:val="both"/>
        <w:outlineLvl w:val="1"/>
      </w:pPr>
      <w:r>
        <w:rPr>
          <w:rStyle w:val="Ninguno"/>
        </w:rPr>
        <w:t>1) El </w:t>
      </w:r>
      <w:hyperlink r:id="rId118" w:anchor="cpa63" w:history="1">
        <w:r>
          <w:rPr>
            <w:rStyle w:val="Hiperesteka"/>
          </w:rPr>
          <w:t>artículo 63, apartado 1, de la Directiva 2014/24/UE</w:t>
        </w:r>
      </w:hyperlink>
      <w:r>
        <w:rPr>
          <w:rStyle w:val="Ninguno"/>
        </w:rPr>
        <w:t> debe interpretarse en el sentido de que una sociedad matriz recurre a las capacidades de otras entidades cuando pretende utilizar, para la ejecución de un contrato público, las capacidades de una filial de la que posee la totalidad del capital.</w:t>
      </w:r>
    </w:p>
    <w:p w14:paraId="2B24584C" w14:textId="77777777" w:rsidR="003F223C" w:rsidRDefault="00B66A92" w:rsidP="00373233">
      <w:pPr>
        <w:pStyle w:val="Standard"/>
        <w:keepNext/>
        <w:keepLines/>
        <w:spacing w:after="80" w:line="288" w:lineRule="auto"/>
        <w:jc w:val="both"/>
        <w:outlineLvl w:val="1"/>
      </w:pPr>
      <w:r>
        <w:rPr>
          <w:rStyle w:val="Ninguno"/>
        </w:rPr>
        <w:t>2) El </w:t>
      </w:r>
      <w:hyperlink r:id="rId119" w:anchor="cpa56" w:history="1">
        <w:r>
          <w:rPr>
            <w:rStyle w:val="Hiperesteka"/>
          </w:rPr>
          <w:t>artículo 56, apartado 3, de la Directiva 2014/24</w:t>
        </w:r>
      </w:hyperlink>
      <w:r>
        <w:rPr>
          <w:rStyle w:val="Ninguno"/>
        </w:rPr>
        <w:t>, debe interpretarse en el sentido de que una sociedad matriz que pretende recurrir a las capacidades de una filial de la que posee la totalidad del capital y en la que uno de los administradores es también administrador de la sociedad matriz no puede ser excluida de un procedimiento de licitación por el único motivo de que no ha adjuntado a su oferta el documento europeo único de contratación (DEUC) de esa filial, puesto que tal omisión puede ser objeto de subsanación siempre que ninguna disposición del Derecho nacional se oponga a ello y que dicha subsanación se lleve a cabo respetando los principios de igualdad de trato y de transparencia.</w:t>
      </w:r>
    </w:p>
    <w:p w14:paraId="2C5C2544" w14:textId="77777777" w:rsidR="003F223C" w:rsidRPr="004F1741" w:rsidRDefault="00B66A92" w:rsidP="004F1741">
      <w:pPr>
        <w:pStyle w:val="Standard"/>
        <w:spacing w:after="198" w:line="288" w:lineRule="auto"/>
        <w:jc w:val="both"/>
        <w:outlineLvl w:val="0"/>
        <w:rPr>
          <w:rStyle w:val="Hyperlink0"/>
        </w:rPr>
      </w:pPr>
      <w:hyperlink r:id="rId120">
        <w:r w:rsidRPr="004F1741">
          <w:rPr>
            <w:rStyle w:val="Hyperlink0"/>
          </w:rPr>
          <w:t>https://eur-lex.europa.eu/legal-content/ES/TXT/HTML/?uri=CELEX:62024CJ0812</w:t>
        </w:r>
      </w:hyperlink>
    </w:p>
    <w:p w14:paraId="660E6A62" w14:textId="77777777" w:rsidR="003F223C" w:rsidRPr="00127105" w:rsidRDefault="003F223C" w:rsidP="00127105">
      <w:pPr>
        <w:pStyle w:val="Standard"/>
        <w:spacing w:after="0" w:line="288" w:lineRule="auto"/>
        <w:jc w:val="both"/>
        <w:outlineLvl w:val="1"/>
        <w:rPr>
          <w:color w:val="4F81BD"/>
          <w:sz w:val="26"/>
          <w:szCs w:val="26"/>
        </w:rPr>
      </w:pPr>
    </w:p>
    <w:p w14:paraId="521412C8" w14:textId="77777777" w:rsidR="003F223C" w:rsidRDefault="003F223C">
      <w:pPr>
        <w:pStyle w:val="Standard"/>
        <w:spacing w:after="198" w:line="288" w:lineRule="auto"/>
        <w:jc w:val="both"/>
        <w:outlineLvl w:val="1"/>
        <w:rPr>
          <w:b/>
          <w:bCs/>
          <w:color w:val="4F81BD"/>
          <w:sz w:val="26"/>
          <w:szCs w:val="26"/>
        </w:rPr>
      </w:pPr>
    </w:p>
    <w:p w14:paraId="6721730C" w14:textId="77777777" w:rsidR="003F223C" w:rsidRDefault="00B66A92">
      <w:pPr>
        <w:pStyle w:val="Standard"/>
        <w:spacing w:after="198" w:line="288" w:lineRule="auto"/>
        <w:jc w:val="both"/>
        <w:outlineLvl w:val="1"/>
        <w:rPr>
          <w:b/>
          <w:bCs/>
          <w:color w:val="4F81BD"/>
          <w:sz w:val="26"/>
          <w:szCs w:val="26"/>
        </w:rPr>
      </w:pPr>
      <w:r>
        <w:rPr>
          <w:rStyle w:val="Ninguno"/>
          <w:b/>
          <w:bCs/>
          <w:color w:val="4F81BD"/>
          <w:sz w:val="26"/>
          <w:szCs w:val="26"/>
        </w:rPr>
        <w:t>Tribunal Supremo</w:t>
      </w:r>
    </w:p>
    <w:p w14:paraId="7B7E8F1C" w14:textId="77777777" w:rsidR="003F223C" w:rsidRPr="008D4324" w:rsidRDefault="00B66A92" w:rsidP="00373233">
      <w:pPr>
        <w:pStyle w:val="Standard"/>
        <w:spacing w:after="80" w:line="288" w:lineRule="auto"/>
        <w:jc w:val="both"/>
        <w:outlineLvl w:val="1"/>
        <w:rPr>
          <w:color w:val="auto"/>
          <w:sz w:val="26"/>
          <w:szCs w:val="26"/>
        </w:rPr>
      </w:pPr>
      <w:r>
        <w:rPr>
          <w:rStyle w:val="Ninguno"/>
          <w:b/>
          <w:bCs/>
        </w:rPr>
        <w:t xml:space="preserve">- (Roj: STS 4370/2025) STS 1272/2025, de 13 de octubre de 2025. Sala de lo contencioso. </w:t>
      </w:r>
      <w:r>
        <w:rPr>
          <w:rStyle w:val="Ninguno"/>
        </w:rPr>
        <w:t>El TS establece la siguiente doctrina casacional: el concepto "semanas completas" recogido en el artículo 49.c) del texto refundido de la Ley del Estatuto Básico del Empleado Público, en relación con el disfrute del permiso no obligatorio del progenitor diferente de la madre biológica por nacimiento, guarda con fines de adopción, acogimiento o adopción de un hijo o hija, y en función de las circunstancias particulares, puede resultar condicionado en su cómputo en el caso de que la persona solicitante esté desempeñando la jornada en régimen especial, con distribución irregular del tiempo de descanso, mediante la aplicación de una regla de proporcionalidad con referencia la jornada semanal ordinaria, para garantizar la equivalencia del tiempo de trabajo efectivo eximido y el disfrute igual entre los diferentes regímenes de trabajo.</w:t>
      </w:r>
    </w:p>
    <w:p w14:paraId="64ABEB85" w14:textId="77777777" w:rsidR="005F7F49" w:rsidRPr="005F7F49" w:rsidRDefault="005F7F49" w:rsidP="00373233">
      <w:pPr>
        <w:pStyle w:val="Standard"/>
        <w:spacing w:after="80" w:line="288" w:lineRule="auto"/>
        <w:jc w:val="both"/>
        <w:outlineLvl w:val="1"/>
        <w:rPr>
          <w:rStyle w:val="Hyperlink0"/>
        </w:rPr>
      </w:pPr>
      <w:hyperlink r:id="rId121" w:history="1">
        <w:r w:rsidRPr="005F7F49">
          <w:rPr>
            <w:rStyle w:val="Hyperlink0"/>
          </w:rPr>
          <w:t>https://www.poderjudicial.es/search/AN/openDocument/1e5761646122fd25a0a8778d75e36f0d/20251030</w:t>
        </w:r>
      </w:hyperlink>
    </w:p>
    <w:p w14:paraId="210BF0DC" w14:textId="77777777" w:rsidR="005F7F49" w:rsidRPr="005F7F49" w:rsidRDefault="005F7F49" w:rsidP="00373233">
      <w:pPr>
        <w:pStyle w:val="Standard"/>
        <w:spacing w:after="80" w:line="288" w:lineRule="auto"/>
        <w:jc w:val="both"/>
        <w:outlineLvl w:val="1"/>
        <w:rPr>
          <w:rStyle w:val="Hyperlink0"/>
          <w:color w:val="auto"/>
        </w:rPr>
      </w:pPr>
    </w:p>
    <w:p w14:paraId="14BA856C" w14:textId="32772D27" w:rsidR="003F223C" w:rsidRPr="008D4324" w:rsidRDefault="00B66A92" w:rsidP="00373233">
      <w:pPr>
        <w:pStyle w:val="Standard"/>
        <w:spacing w:after="80" w:line="288" w:lineRule="auto"/>
        <w:jc w:val="both"/>
        <w:outlineLvl w:val="1"/>
        <w:rPr>
          <w:color w:val="auto"/>
          <w:sz w:val="26"/>
          <w:szCs w:val="26"/>
        </w:rPr>
      </w:pPr>
      <w:r>
        <w:rPr>
          <w:rStyle w:val="Ninguno"/>
          <w:b/>
          <w:bCs/>
        </w:rPr>
        <w:t xml:space="preserve">- (Roj: STS 5465/2025) STS 1541/2025, de 27 de noviembre de 2025. Sala de lo contencioso. </w:t>
      </w:r>
      <w:r>
        <w:rPr>
          <w:rStyle w:val="Ninguno"/>
        </w:rPr>
        <w:t xml:space="preserve">Los funcionarios interinos pueden ser nombrados instructores y secretarios en expedientes sancionadores tramitados por la Administración. Estas funciones no corresponden en exclusiva a los funcionarios de carrera. Equiparación de ambos tipos de funcionarios, debiendo atenderse </w:t>
      </w:r>
      <w:r>
        <w:rPr>
          <w:rStyle w:val="Ninguno"/>
        </w:rPr>
        <w:lastRenderedPageBreak/>
        <w:t>únicamente a su capacidad técnica como criterio determinante de la elección, sin que la mera condición de funcionario interino afecte a la regularidad de los expedientes sancionadores en los que haya intervenido.</w:t>
      </w:r>
    </w:p>
    <w:p w14:paraId="529D2F24" w14:textId="6B6032C8" w:rsidR="003F223C" w:rsidRPr="004F1741" w:rsidRDefault="00B66A92" w:rsidP="004F1741">
      <w:pPr>
        <w:pStyle w:val="Standard"/>
        <w:spacing w:after="198" w:line="288" w:lineRule="auto"/>
        <w:jc w:val="both"/>
        <w:outlineLvl w:val="0"/>
        <w:rPr>
          <w:rStyle w:val="Hyperlink0"/>
        </w:rPr>
      </w:pPr>
      <w:hyperlink r:id="rId122" w:history="1">
        <w:r w:rsidRPr="005F7F49">
          <w:rPr>
            <w:rStyle w:val="Hyperlink0"/>
          </w:rPr>
          <w:t>https://www.poderjudicial.es/search/AN/openDocument/b1c093d7ee80d3f2a0a8778d75e36f0d/20251212</w:t>
        </w:r>
      </w:hyperlink>
    </w:p>
    <w:p w14:paraId="732646AD" w14:textId="77777777" w:rsidR="003F223C" w:rsidRPr="008D4324" w:rsidRDefault="00B66A92" w:rsidP="00373233">
      <w:pPr>
        <w:pStyle w:val="Standard"/>
        <w:spacing w:after="80" w:line="288" w:lineRule="auto"/>
        <w:jc w:val="both"/>
        <w:outlineLvl w:val="1"/>
        <w:rPr>
          <w:color w:val="auto"/>
          <w:sz w:val="26"/>
          <w:szCs w:val="26"/>
        </w:rPr>
      </w:pPr>
      <w:r>
        <w:rPr>
          <w:rStyle w:val="Ninguno"/>
          <w:b/>
          <w:bCs/>
        </w:rPr>
        <w:t xml:space="preserve">- (Roj: STS 18/2026) STS 1/2026, de 7 de enero de 2026. Sala de lo Contencioso. </w:t>
      </w:r>
      <w:r>
        <w:t>Una entidad con domicilio fiscal en Bizkaia realizó operaciones sujetas al Impuesto sobre Sociedades de 2007, cuya competencia inspectora fue disputada entre la Agencia Estatal de Administración Tributaria (AEAT) y la Diputación Foral de Bizkaia (DFB). La AEAT inició unilateralmente el procedimiento inspector el 3 de julio de 2012, antes de que se resolviera el conflicto de competencias planteado. La Junta Arbitral del Concierto Económico declaró la nulidad de pleno derecho de dicha comunicación de inicio por invasión de competencias y vulneración sustancial del procedimiento, lo que implicó la prescripción del derecho de la AEAT a comprobar el impuesto de 2007. La Sala otorga la razón a la Junta Arbitral y a la entidad tributaria, confirmando que la actuación de la AEAT al iniciar unilateralmente el procedimiento inspector el 3 de julio de 2012 fue nula de pleno derecho por invasión de competencias y vulneración sustancial del procedimiento establecido. Se sostiene que la resolución 64/2023 de la Junta Arbitral, que declaró dicha nulidad, es firme y debe ser ejecutada en sus propios términos, por lo que la AEAT no cumplió correctamente dicha resolución. La nulidad produce efectos retroactivos, por lo que la comunicación de inicio y las actuaciones derivadas no interrumpen la prescripción del derecho a comprobar el impuesto de 2007. En consecuencia, se desestima el recurso contencioso-administrativo interpuesto por la AEAT y se condena en costas a esta. No se establece un cambio doctrinal, sino la confirmación y aplicación estricta de la nulidad de pleno derecho en casos de invasión de competencias y la necesidad de respetar los procedimientos establecidos para la determinación de la competencia inspectora.</w:t>
      </w:r>
    </w:p>
    <w:p w14:paraId="1E724972" w14:textId="77777777" w:rsidR="003F223C" w:rsidRDefault="00B66A92">
      <w:pPr>
        <w:pStyle w:val="Standard"/>
        <w:spacing w:after="198" w:line="288" w:lineRule="auto"/>
        <w:jc w:val="both"/>
        <w:outlineLvl w:val="1"/>
        <w:rPr>
          <w:b/>
          <w:bCs/>
          <w:color w:val="4F81BD"/>
          <w:sz w:val="26"/>
          <w:szCs w:val="26"/>
        </w:rPr>
      </w:pPr>
      <w:hyperlink r:id="rId123">
        <w:r>
          <w:rPr>
            <w:rStyle w:val="Hiperesteka"/>
            <w:color w:val="0000FF"/>
            <w:u w:color="0000FF"/>
          </w:rPr>
          <w:t>https://www.poderjudicial.es/search/AN/openDocument/51bb9279b0d57656a0a8778d75e36f0d/20260122</w:t>
        </w:r>
      </w:hyperlink>
    </w:p>
    <w:p w14:paraId="217851CA" w14:textId="77777777" w:rsidR="003F223C" w:rsidRPr="008D4324" w:rsidRDefault="00B66A92" w:rsidP="00127105">
      <w:pPr>
        <w:pStyle w:val="Standard"/>
        <w:spacing w:after="80" w:line="288" w:lineRule="auto"/>
        <w:jc w:val="both"/>
        <w:outlineLvl w:val="1"/>
        <w:rPr>
          <w:color w:val="auto"/>
          <w:sz w:val="26"/>
          <w:szCs w:val="26"/>
        </w:rPr>
      </w:pPr>
      <w:r>
        <w:rPr>
          <w:rStyle w:val="Ninguno"/>
          <w:b/>
          <w:bCs/>
        </w:rPr>
        <w:t>- (Roj: STS 80/2026) STS 6/2026, de 9 de enero de 2026. Sala de lo Contencioso.</w:t>
      </w:r>
    </w:p>
    <w:p w14:paraId="1FE66EC7" w14:textId="77777777" w:rsidR="003F223C" w:rsidRPr="00127105" w:rsidRDefault="00B66A92" w:rsidP="00127105">
      <w:pPr>
        <w:pStyle w:val="Standard"/>
        <w:spacing w:after="80" w:line="288" w:lineRule="auto"/>
        <w:jc w:val="both"/>
        <w:outlineLvl w:val="1"/>
        <w:rPr>
          <w:color w:val="auto"/>
          <w:sz w:val="26"/>
          <w:szCs w:val="26"/>
        </w:rPr>
      </w:pPr>
      <w:r>
        <w:rPr>
          <w:rStyle w:val="Ninguno"/>
        </w:rPr>
        <w:t>La entidad recurrente ejecutó obras y trabajos sin autorización administrativa en zona de dominio público hidráulico del río Guadiana, consistentes en movimientos de tierra, desbroce de vegetación y ampliación de una charca, lo que fue denunciado y sancionado con multa máxima y obligación de indemnización por daños valorados en 321.429,71 euros. La recurrente alegó caducidad del procedimiento, falta de audiencia, inexistencia o incorrecta valoración de daños y desproporcionalidad de la sanción.</w:t>
      </w:r>
    </w:p>
    <w:p w14:paraId="66348B34" w14:textId="77777777" w:rsidR="003F223C" w:rsidRPr="00127105" w:rsidRDefault="00B66A92" w:rsidP="00373233">
      <w:pPr>
        <w:pStyle w:val="Standard"/>
        <w:spacing w:after="80" w:line="288" w:lineRule="auto"/>
        <w:jc w:val="both"/>
        <w:outlineLvl w:val="1"/>
        <w:rPr>
          <w:color w:val="auto"/>
          <w:sz w:val="26"/>
          <w:szCs w:val="26"/>
        </w:rPr>
      </w:pPr>
      <w:r>
        <w:rPr>
          <w:rStyle w:val="Ninguno"/>
        </w:rPr>
        <w:t xml:space="preserve">La sentencia clarifica que el cómputo del plazo de duración del procedimiento sancionador comienza con el acto formal de iniciación y no con actuaciones previas, y enfatiza la exigencia de </w:t>
      </w:r>
      <w:r>
        <w:rPr>
          <w:rStyle w:val="Ninguno"/>
        </w:rPr>
        <w:lastRenderedPageBreak/>
        <w:t>una motivación específica y detallada para imponer la sanción máxima en infracciones administrativas, reforzando el principio de proporcionalidad y la protección de derechos fundamentales en el ámbito sancionador administrativo.</w:t>
      </w:r>
    </w:p>
    <w:p w14:paraId="08CD2B9A" w14:textId="77777777" w:rsidR="003F223C" w:rsidRDefault="00B66A92">
      <w:pPr>
        <w:pStyle w:val="Standard"/>
        <w:spacing w:after="198" w:line="288" w:lineRule="auto"/>
        <w:jc w:val="both"/>
        <w:outlineLvl w:val="1"/>
        <w:rPr>
          <w:b/>
          <w:bCs/>
          <w:color w:val="4F81BD"/>
          <w:sz w:val="26"/>
          <w:szCs w:val="26"/>
        </w:rPr>
      </w:pPr>
      <w:hyperlink r:id="rId124">
        <w:r>
          <w:rPr>
            <w:rStyle w:val="Hiperesteka"/>
            <w:color w:val="0000FF"/>
            <w:u w:color="0000FF"/>
          </w:rPr>
          <w:t>https://www.poderjudicial.es/search/AN/openDocument/97a81cfe5e0a3a1ba0a8778d75e36f0d/20260129</w:t>
        </w:r>
      </w:hyperlink>
    </w:p>
    <w:p w14:paraId="420E6107" w14:textId="77777777" w:rsidR="003F223C" w:rsidRPr="00373233" w:rsidRDefault="00B66A92" w:rsidP="00127105">
      <w:pPr>
        <w:pStyle w:val="Standard"/>
        <w:spacing w:after="80" w:line="288" w:lineRule="auto"/>
        <w:jc w:val="both"/>
        <w:outlineLvl w:val="1"/>
        <w:rPr>
          <w:b/>
          <w:bCs/>
          <w:color w:val="auto"/>
          <w:sz w:val="26"/>
          <w:szCs w:val="26"/>
        </w:rPr>
      </w:pPr>
      <w:r>
        <w:rPr>
          <w:rStyle w:val="Ninguno"/>
          <w:b/>
          <w:bCs/>
        </w:rPr>
        <w:t>- (Roj: STS 17/2026) STS 8/2026, de 13 de enero de 2026. Sala de lo Contencioso.</w:t>
      </w:r>
    </w:p>
    <w:p w14:paraId="3CAD1838" w14:textId="77777777" w:rsidR="003F223C" w:rsidRPr="00373233" w:rsidRDefault="00B66A92" w:rsidP="00373233">
      <w:pPr>
        <w:pStyle w:val="Standard"/>
        <w:spacing w:after="80" w:line="288" w:lineRule="auto"/>
        <w:jc w:val="both"/>
        <w:outlineLvl w:val="1"/>
        <w:rPr>
          <w:color w:val="auto"/>
          <w:sz w:val="26"/>
          <w:szCs w:val="26"/>
        </w:rPr>
      </w:pPr>
      <w:r>
        <w:rPr>
          <w:rStyle w:val="Ninguno"/>
        </w:rPr>
        <w:t>El recurrente solicitó la reversión de sobrantes de fincas expropiadas, alegando que la Administración no respondió en plazo, por lo que entendió producido un acto firme por silencio administrativo positivo; la Administración respondió reiteradamente negando la reversión por tratarse de bienes de dominio público afectos a la Defensa Nacional sin procedimiento de desafectación, y el recurrente solicitó la ejecución del supuesto acto firme, que fue denegada, dando lugar a un recurso contencioso-administrativo que fue estimado en primera instancia, pero que fue revocado en casación por no haberse comprobado la existencia real del acto firme.</w:t>
      </w:r>
    </w:p>
    <w:p w14:paraId="30D6A3B9" w14:textId="77777777" w:rsidR="00127105" w:rsidRDefault="00B66A92" w:rsidP="00127105">
      <w:pPr>
        <w:pStyle w:val="Standard"/>
        <w:spacing w:after="198" w:line="288" w:lineRule="auto"/>
        <w:jc w:val="both"/>
        <w:outlineLvl w:val="1"/>
      </w:pPr>
      <w:hyperlink r:id="rId125">
        <w:r>
          <w:rPr>
            <w:rStyle w:val="Hyperlink0"/>
          </w:rPr>
          <w:t>https://www.poderjudicial.es/search/AN/openDocument/36703f099045bf3aa0a8778d75e36f0d/20260122</w:t>
        </w:r>
      </w:hyperlink>
    </w:p>
    <w:p w14:paraId="317473E6" w14:textId="77777777" w:rsidR="00127105" w:rsidRDefault="00B66A92" w:rsidP="00127105">
      <w:pPr>
        <w:pStyle w:val="Standard"/>
        <w:spacing w:after="198" w:line="288" w:lineRule="auto"/>
        <w:jc w:val="both"/>
        <w:outlineLvl w:val="1"/>
        <w:rPr>
          <w:rStyle w:val="Ninguno"/>
          <w:b/>
          <w:bCs/>
        </w:rPr>
      </w:pPr>
      <w:r>
        <w:rPr>
          <w:rStyle w:val="Ninguno"/>
          <w:b/>
          <w:bCs/>
        </w:rPr>
        <w:t>- (Roj: STS 77/2026) STS 9/2026, de 13 de enero de 2026. Sala de lo Contencioso.</w:t>
      </w:r>
    </w:p>
    <w:p w14:paraId="1C26BE2E" w14:textId="77777777" w:rsidR="00127105" w:rsidRDefault="00B66A92" w:rsidP="00127105">
      <w:pPr>
        <w:pStyle w:val="Standard"/>
        <w:spacing w:after="80" w:line="288" w:lineRule="auto"/>
        <w:jc w:val="both"/>
        <w:outlineLvl w:val="1"/>
        <w:rPr>
          <w:rStyle w:val="Ninguno"/>
        </w:rPr>
      </w:pPr>
      <w:r>
        <w:rPr>
          <w:rStyle w:val="Ninguno"/>
        </w:rPr>
        <w:t xml:space="preserve">El TS desestima el recurso interpuesto, confirmando la desestimación de la solicitud de revisión de actos nulos de una orden ministerial, que otorgaba concesiones sobre terrenos en una playa, pues el tiempo transcurrido desde el acto cuya revisión se solicita es superior al considerado en sentencias precedentes, pues abarca prácticamente los 66 años, por lo que resulta justificada su desestimación. El extenso disfrute de los derechos concesionales y la iniciativa actual para anular la orden ministerial son comportamientos antagónicos que no se adecúan al principio de vinculación a los propios actos, una de las manifestaciones de la buena fe que ha de presidir el ejercicio de los derechos. </w:t>
      </w:r>
    </w:p>
    <w:p w14:paraId="448D45CD" w14:textId="1C5FA417" w:rsidR="003F223C" w:rsidRDefault="00B66A92" w:rsidP="00127105">
      <w:pPr>
        <w:pStyle w:val="Standard"/>
        <w:spacing w:after="198" w:line="288" w:lineRule="auto"/>
        <w:jc w:val="both"/>
        <w:outlineLvl w:val="1"/>
      </w:pPr>
      <w:hyperlink r:id="rId126">
        <w:r>
          <w:rPr>
            <w:rStyle w:val="Hyperlink0"/>
          </w:rPr>
          <w:t>https://www.poderjudicial.es/search/AN/openDocument/a1696295c87695bea0a8778d75e36f0d/20260129</w:t>
        </w:r>
      </w:hyperlink>
    </w:p>
    <w:p w14:paraId="7ABB9D8A" w14:textId="77777777" w:rsidR="003F223C" w:rsidRDefault="00B66A92" w:rsidP="00127105">
      <w:pPr>
        <w:pStyle w:val="Standard"/>
        <w:keepNext/>
        <w:keepLines/>
        <w:spacing w:after="80" w:line="288" w:lineRule="auto"/>
        <w:jc w:val="both"/>
        <w:outlineLvl w:val="1"/>
        <w:rPr>
          <w:b/>
          <w:bCs/>
        </w:rPr>
      </w:pPr>
      <w:r>
        <w:rPr>
          <w:rStyle w:val="Ninguno"/>
          <w:b/>
          <w:bCs/>
        </w:rPr>
        <w:lastRenderedPageBreak/>
        <w:t>- (Roj: STS 3/2026) STS 12/2026, de 14 de enero de 2026. Sala de lo Contencioso.</w:t>
      </w:r>
    </w:p>
    <w:p w14:paraId="0A97AFB2" w14:textId="77777777" w:rsidR="003F223C" w:rsidRDefault="00B66A92" w:rsidP="00373233">
      <w:pPr>
        <w:pStyle w:val="Standard"/>
        <w:keepNext/>
        <w:keepLines/>
        <w:spacing w:after="80" w:line="288" w:lineRule="auto"/>
        <w:jc w:val="both"/>
        <w:outlineLvl w:val="1"/>
      </w:pPr>
      <w:r>
        <w:rPr>
          <w:rStyle w:val="Ninguno"/>
        </w:rPr>
        <w:t>Cuando una norma con rango de ley es declarada inconstitucional y causa un daño económico a un particular que ha obtenido sentencia firme desestimatoria de un recurso contra la actuación administrativa basada en dicha norma, procede la indemnización por responsabilidad patrimonial del Estado legislador, siempre que el particular no tenga el deber jurídico de soportar el daño, incluso si las liquidaciones tributarias son firmes o tienen cosa juzgada, y el plazo para reclamar se computa desde la notificación de dicha sentencia firme.</w:t>
      </w:r>
    </w:p>
    <w:p w14:paraId="783BFD2D" w14:textId="77777777" w:rsidR="003F223C" w:rsidRDefault="00B66A92">
      <w:pPr>
        <w:pStyle w:val="Standard"/>
        <w:keepNext/>
        <w:keepLines/>
        <w:spacing w:after="198" w:line="288" w:lineRule="auto"/>
        <w:jc w:val="both"/>
        <w:outlineLvl w:val="1"/>
      </w:pPr>
      <w:hyperlink r:id="rId127">
        <w:r>
          <w:rPr>
            <w:rStyle w:val="Hyperlink0"/>
          </w:rPr>
          <w:t>https://www.poderjudicial.es/search/AN/openDocument/950df343ff258394a0a8778d75e36f0d/20260122</w:t>
        </w:r>
      </w:hyperlink>
    </w:p>
    <w:p w14:paraId="541F757D" w14:textId="77777777" w:rsidR="003F223C" w:rsidRDefault="00B66A92" w:rsidP="00127105">
      <w:pPr>
        <w:pStyle w:val="Standard"/>
        <w:keepNext/>
        <w:keepLines/>
        <w:spacing w:after="80" w:line="288" w:lineRule="auto"/>
        <w:jc w:val="both"/>
        <w:outlineLvl w:val="1"/>
        <w:rPr>
          <w:b/>
          <w:bCs/>
        </w:rPr>
      </w:pPr>
      <w:r>
        <w:rPr>
          <w:rStyle w:val="Ninguno"/>
          <w:b/>
          <w:bCs/>
        </w:rPr>
        <w:t>- (Roj: STS 4/2026) STS 10/2026, de 14 de enero de 2026. Sala de lo Contencioso.</w:t>
      </w:r>
    </w:p>
    <w:p w14:paraId="55EB1679" w14:textId="77777777" w:rsidR="003F223C" w:rsidRDefault="00B66A92" w:rsidP="00127105">
      <w:pPr>
        <w:pStyle w:val="Standard"/>
        <w:keepNext/>
        <w:keepLines/>
        <w:spacing w:after="80" w:line="240" w:lineRule="auto"/>
        <w:jc w:val="both"/>
        <w:outlineLvl w:val="1"/>
      </w:pPr>
      <w:r>
        <w:rPr>
          <w:rStyle w:val="Ninguno"/>
        </w:rPr>
        <w:t>El TS rechaza la reclamación, planteada por una sociedad dedicada al arrendamiento de alquileres, por daños y perjuicios causados como consecuencia de la limitación de la actualización de la renta de los contratos de arrendamiento para uso de vivienda, por entender que no es un caso de expropiación forzosa. Considera que dicha limitación, que buscaba atajar el proceso inflacionista y proteger a los arrendatarios vulnerables, no supuso una privación del derecho de propiedad ni vulneró su contenido esencial, pues no se produjo un vaciamiento o ablación de este derecho sino una limitación razonable, proporcionada y motivada debidamente. El establecimiento por el legislador de una limitación a la autonomía de las partes para actualizar el importe de la renta responde a la función social del derecho de propiedad y no afecta al contenido esencial del derecho si no lo altera hasta hacerlo irreconocible, lo cual solo tendría lugar si se suprimiera esencialmente la utilidad económica del negocio arrendatario que es la obtención de una renta.</w:t>
      </w:r>
    </w:p>
    <w:p w14:paraId="36CA0689" w14:textId="77777777" w:rsidR="003F223C" w:rsidRDefault="00B66A92">
      <w:pPr>
        <w:pStyle w:val="Standard"/>
        <w:keepNext/>
        <w:keepLines/>
        <w:spacing w:after="198" w:line="288" w:lineRule="auto"/>
        <w:jc w:val="both"/>
        <w:outlineLvl w:val="1"/>
      </w:pPr>
      <w:hyperlink r:id="rId128">
        <w:r>
          <w:rPr>
            <w:rStyle w:val="Hyperlink0"/>
          </w:rPr>
          <w:t>https://www.poderjudicial.es/search/AN/openDocument/ec043726110bd7fba0a8778d75e36f0d/20260122</w:t>
        </w:r>
      </w:hyperlink>
    </w:p>
    <w:p w14:paraId="7F6982CB" w14:textId="77777777" w:rsidR="003F223C" w:rsidRDefault="00B66A92" w:rsidP="00127105">
      <w:pPr>
        <w:pStyle w:val="Standard"/>
        <w:keepNext/>
        <w:keepLines/>
        <w:spacing w:after="80" w:line="288" w:lineRule="auto"/>
        <w:jc w:val="both"/>
        <w:outlineLvl w:val="1"/>
        <w:rPr>
          <w:b/>
          <w:bCs/>
        </w:rPr>
      </w:pPr>
      <w:r>
        <w:rPr>
          <w:rStyle w:val="Ninguno"/>
          <w:b/>
          <w:bCs/>
        </w:rPr>
        <w:t>- (Roj: STS 85/2026) STS 13/2026, de 14 de enero de 2026. Sala de lo Contencioso.</w:t>
      </w:r>
    </w:p>
    <w:p w14:paraId="0DCB9B76" w14:textId="77777777" w:rsidR="003F223C" w:rsidRDefault="00B66A92" w:rsidP="00373233">
      <w:pPr>
        <w:pStyle w:val="Standard"/>
        <w:keepNext/>
        <w:keepLines/>
        <w:spacing w:after="80" w:line="288" w:lineRule="auto"/>
        <w:jc w:val="both"/>
        <w:outlineLvl w:val="1"/>
      </w:pPr>
      <w:r>
        <w:rPr>
          <w:rStyle w:val="Ninguno"/>
        </w:rPr>
        <w:t>El TS fija como doctrina jurisprudencial que el plazo prescriptivo de aplicación en caso de derechos a favor de la Administración contratante derivados de la liquidación de un contrato administrativo es el previsto en la Ley General Presupuestaria en relación con lo dispuesto en la Ley General Tributaria, si bien lo dispuesto normativamente relativo a que “lo dispuesto en este apartado no será aplicable al plazo de prescripción del derecho de la Administración tributaria para exigir el pago cuando no se hubiera acordado la suspensión en vía contencioso-administrativa", no es de aplicación a los supuestos de impugnación de la liquidación de un contrato administrativo, pues la remisión que hace la Ley General Presupuestaria a la Ley General Tributaria en cuanto a la interrupción de la prescripción, no puede entenderse de forma indiferenciada, pues viene referida en su plenitud a deudas de naturaleza tributaria, de las que no participan las obligaciones y derechos nacidos de la liquidación de un contrato.</w:t>
      </w:r>
    </w:p>
    <w:p w14:paraId="5717BF21" w14:textId="77777777" w:rsidR="003F223C" w:rsidRDefault="00B66A92">
      <w:pPr>
        <w:pStyle w:val="Standard"/>
        <w:keepNext/>
        <w:keepLines/>
        <w:spacing w:after="198" w:line="288" w:lineRule="auto"/>
        <w:jc w:val="both"/>
        <w:outlineLvl w:val="1"/>
      </w:pPr>
      <w:hyperlink r:id="rId129">
        <w:r>
          <w:rPr>
            <w:rStyle w:val="Hyperlink0"/>
          </w:rPr>
          <w:t>https://www.poderjudicial.es/search/AN/openDocument/d6aacceea9674672a0a8778d75e36f0d/20260129</w:t>
        </w:r>
      </w:hyperlink>
    </w:p>
    <w:p w14:paraId="450C36D8" w14:textId="77777777" w:rsidR="003F223C" w:rsidRDefault="00B66A92" w:rsidP="00127105">
      <w:pPr>
        <w:pStyle w:val="Standard"/>
        <w:keepNext/>
        <w:keepLines/>
        <w:spacing w:after="80" w:line="288" w:lineRule="auto"/>
        <w:jc w:val="both"/>
        <w:outlineLvl w:val="1"/>
        <w:rPr>
          <w:b/>
          <w:bCs/>
        </w:rPr>
      </w:pPr>
      <w:r>
        <w:rPr>
          <w:rStyle w:val="Ninguno"/>
          <w:b/>
          <w:bCs/>
        </w:rPr>
        <w:lastRenderedPageBreak/>
        <w:t>- (Roj: STS 86/2026) STS 17/2026, de 14 de enero de 2026. Sala de lo Contencioso.</w:t>
      </w:r>
    </w:p>
    <w:p w14:paraId="00A0DEDB" w14:textId="77777777" w:rsidR="003F223C" w:rsidRDefault="00B66A92" w:rsidP="00373233">
      <w:pPr>
        <w:pStyle w:val="Standard"/>
        <w:keepNext/>
        <w:keepLines/>
        <w:spacing w:after="80" w:line="288" w:lineRule="auto"/>
        <w:jc w:val="both"/>
        <w:outlineLvl w:val="1"/>
      </w:pPr>
      <w:r>
        <w:rPr>
          <w:rStyle w:val="Ninguno"/>
        </w:rPr>
        <w:t>El TS declara que la prestación del turno de guardia por parte de los funcionarios de la Administración de Justicia destinados en los órganos judiciales sujetos al régimen de servicio de guardias, será retribuida con un complemento especial y extraordinario, que se percibirá por la realización efectiva del servicio de guardia, previamente acreditada por la correspondiente certificación de la realización de dicho servicio a mes vencido, expedida por el Letrado de la Administración de Justicia del órgano judicial correspondiente y el complemento retributivo por servicio de guardia no podrá ser percibido por los funcionarios que, estando en situación de servicio activo y destinados en los órganos judiciales sujetos a este régimen de servicio de guardia, se encuentren disfrutando del periodo de vacación, permiso retribuido o tengan concedida alguna licencia de las previstas en sus Reglamentos Orgánicos, pues solo se percibe por la realización efectiva y acreditada del servicio.</w:t>
      </w:r>
    </w:p>
    <w:p w14:paraId="369217A1" w14:textId="1F395FF9" w:rsidR="00127105" w:rsidRDefault="00B66A92">
      <w:pPr>
        <w:pStyle w:val="Standard"/>
        <w:keepNext/>
        <w:keepLines/>
        <w:spacing w:after="198" w:line="288" w:lineRule="auto"/>
        <w:jc w:val="both"/>
        <w:outlineLvl w:val="1"/>
      </w:pPr>
      <w:hyperlink r:id="rId130">
        <w:r>
          <w:rPr>
            <w:rStyle w:val="Hyperlink0"/>
          </w:rPr>
          <w:t>https://www.poderjudicial.es/search/AN/openDocument/9945557b59fb87faa0a8778d75e36f0d/20260129</w:t>
        </w:r>
      </w:hyperlink>
    </w:p>
    <w:p w14:paraId="3BE7E756" w14:textId="77777777" w:rsidR="00127105" w:rsidRDefault="00B66A92" w:rsidP="00127105">
      <w:pPr>
        <w:pStyle w:val="Standard"/>
        <w:keepNext/>
        <w:keepLines/>
        <w:spacing w:after="80" w:line="288" w:lineRule="auto"/>
        <w:jc w:val="both"/>
        <w:outlineLvl w:val="1"/>
        <w:rPr>
          <w:rStyle w:val="Ninguno"/>
          <w:b/>
          <w:bCs/>
        </w:rPr>
      </w:pPr>
      <w:r>
        <w:rPr>
          <w:rStyle w:val="Ninguno"/>
          <w:b/>
          <w:bCs/>
        </w:rPr>
        <w:t>- (Roj: STS 78/2026) STS 14/2026, de 14 de enero de 2026. Sala de lo Contencioso.</w:t>
      </w:r>
    </w:p>
    <w:p w14:paraId="4FD7E5B9" w14:textId="065D147E" w:rsidR="003F223C" w:rsidRDefault="00B66A92" w:rsidP="00127105">
      <w:pPr>
        <w:pStyle w:val="Standard"/>
        <w:keepNext/>
        <w:keepLines/>
        <w:spacing w:after="80" w:line="288" w:lineRule="auto"/>
        <w:jc w:val="both"/>
        <w:outlineLvl w:val="1"/>
      </w:pPr>
      <w:r>
        <w:rPr>
          <w:rStyle w:val="Ninguno"/>
        </w:rPr>
        <w:t>El TS estima el recurso interpuesto, anulando la inadmisión de la solicitud de indemnización por responsabilidad patrimonial del Estado legislador, en relación con el IIVTNU, reconociendo una indemnización a tal efecto, pues la reclamación de responsabilidad patrimonial presentada se realizó dentro del plazo fijado legalmente, pues este comenzó a computarse con la publicación de la STC 59/2017, el día 15 de junio de 2017, que es el pronunciamiento que respalda la reclamación de responsabilidad patrimonial presentada por la recurrente y al que se alude, igualmente, en la resolución administrativa que ahora se impugna, si bien, en el caso concreto, quedó interrumpido hasta que se resolviera en vía jurisdiccional la impugnación realizada por la recurrente, pues hasta tanto no se dicta el correspondiente fallo se ignora si el daño por el que se reclama se ha producido o no. Además, resultó gravada una operación económica, una transmisión onerosa de un inmueble en suelo urbano, en la que no quedó acreditada la existencia de un incremento de valor y, por ende, una manifestación de riqueza real o potencial que pudiera ocasionar un gravamen compatible con el principio de capacidad económica.</w:t>
      </w:r>
    </w:p>
    <w:p w14:paraId="2894C279" w14:textId="77777777" w:rsidR="003F223C" w:rsidRDefault="00B66A92">
      <w:pPr>
        <w:pStyle w:val="Standard"/>
        <w:keepNext/>
        <w:keepLines/>
        <w:spacing w:after="198" w:line="288" w:lineRule="auto"/>
        <w:jc w:val="both"/>
        <w:outlineLvl w:val="1"/>
      </w:pPr>
      <w:hyperlink r:id="rId131">
        <w:r>
          <w:rPr>
            <w:rStyle w:val="Hyperlink0"/>
          </w:rPr>
          <w:t>https://www.poderjudicial.es/search/AN/openDocument/bad7de569215fbc8a0a8778d75e36f0d/20260129</w:t>
        </w:r>
      </w:hyperlink>
    </w:p>
    <w:p w14:paraId="51581A50" w14:textId="77777777" w:rsidR="008D4324" w:rsidRDefault="008D4324">
      <w:pPr>
        <w:suppressAutoHyphens/>
        <w:overflowPunct/>
        <w:rPr>
          <w:rStyle w:val="Ninguno"/>
          <w:rFonts w:ascii="Calibri" w:eastAsia="Calibri" w:hAnsi="Calibri" w:cs="Calibri"/>
          <w:b/>
          <w:bCs/>
          <w:color w:val="000000"/>
          <w:sz w:val="22"/>
          <w:szCs w:val="22"/>
          <w:lang w:val="es-ES_tradnl" w:eastAsia="zh-CN" w:bidi="hi-IN"/>
        </w:rPr>
      </w:pPr>
      <w:r>
        <w:rPr>
          <w:rStyle w:val="Ninguno"/>
          <w:b/>
          <w:bCs/>
        </w:rPr>
        <w:br w:type="page"/>
      </w:r>
    </w:p>
    <w:p w14:paraId="478CDA8D" w14:textId="01A9275F" w:rsidR="008D4324" w:rsidRDefault="00B66A92" w:rsidP="00373233">
      <w:pPr>
        <w:pStyle w:val="Standard"/>
        <w:keepNext/>
        <w:keepLines/>
        <w:spacing w:after="80" w:line="288" w:lineRule="auto"/>
        <w:jc w:val="both"/>
        <w:outlineLvl w:val="1"/>
        <w:rPr>
          <w:rStyle w:val="Ninguno"/>
          <w:b/>
          <w:bCs/>
        </w:rPr>
      </w:pPr>
      <w:r>
        <w:rPr>
          <w:rStyle w:val="Ninguno"/>
          <w:b/>
          <w:bCs/>
        </w:rPr>
        <w:lastRenderedPageBreak/>
        <w:t>- (Roj: STS 172/2026) STS 18/2026, de 14 de enero de 2026. Sala de lo Contencioso.</w:t>
      </w:r>
    </w:p>
    <w:p w14:paraId="7C8CA697" w14:textId="7B27F91D" w:rsidR="003F223C" w:rsidRDefault="00B66A92" w:rsidP="00373233">
      <w:pPr>
        <w:pStyle w:val="Standard"/>
        <w:keepNext/>
        <w:keepLines/>
        <w:spacing w:after="80" w:line="288" w:lineRule="auto"/>
        <w:jc w:val="both"/>
        <w:outlineLvl w:val="1"/>
      </w:pPr>
      <w:r>
        <w:rPr>
          <w:rStyle w:val="Ninguno"/>
        </w:rPr>
        <w:t>El TS fija como doctrina jurisprudencial que la Administración no puede dictar una segunda liquidación, por un mismo concepto tributario, a un mismo sujeto pasivo, cuando la primera fue anulada por la propia Admiración por un acto que devino firme y no ha sido declarado lesivo o nulo de pleno derecho, sin que a ello obste el hecho de que un Juzgado haya anulado otra liquidación distinta, girada a otro sujeto pasivo distinto, por el mismo concepto tributario, en un procedimiento en el que el primer interesado no ha sido parte.</w:t>
      </w:r>
    </w:p>
    <w:p w14:paraId="3ADFDB94" w14:textId="77777777" w:rsidR="003F223C" w:rsidRDefault="00B66A92">
      <w:pPr>
        <w:pStyle w:val="Standard"/>
        <w:keepNext/>
        <w:keepLines/>
        <w:spacing w:after="198" w:line="288" w:lineRule="auto"/>
        <w:jc w:val="both"/>
        <w:outlineLvl w:val="1"/>
      </w:pPr>
      <w:hyperlink r:id="rId132">
        <w:r>
          <w:rPr>
            <w:rStyle w:val="Hyperlink0"/>
          </w:rPr>
          <w:t>https://www.poderjudicial.es/search/AN/openDocument/3c8f7b58f8a9449ba0a8778d75e36f0d/20260205</w:t>
        </w:r>
      </w:hyperlink>
    </w:p>
    <w:p w14:paraId="38F785D2" w14:textId="77777777" w:rsidR="003F223C" w:rsidRDefault="00B66A92">
      <w:pPr>
        <w:pStyle w:val="Standard"/>
        <w:keepNext/>
        <w:keepLines/>
        <w:spacing w:after="198" w:line="288" w:lineRule="auto"/>
        <w:jc w:val="both"/>
        <w:outlineLvl w:val="1"/>
        <w:rPr>
          <w:b/>
          <w:bCs/>
        </w:rPr>
      </w:pPr>
      <w:r>
        <w:rPr>
          <w:rStyle w:val="Ninguno"/>
          <w:b/>
          <w:bCs/>
        </w:rPr>
        <w:t>- (Roj: STS 220/2026) STS 11/2026, de 14 de enero de 2026. Sala de lo Contencioso.</w:t>
      </w:r>
    </w:p>
    <w:p w14:paraId="0AD5A6F4" w14:textId="77777777" w:rsidR="003F223C" w:rsidRDefault="00B66A92" w:rsidP="00373233">
      <w:pPr>
        <w:pStyle w:val="Standard"/>
        <w:keepNext/>
        <w:keepLines/>
        <w:spacing w:after="80" w:line="288" w:lineRule="auto"/>
        <w:jc w:val="both"/>
        <w:outlineLvl w:val="1"/>
      </w:pPr>
      <w:r>
        <w:rPr>
          <w:rStyle w:val="Ninguno"/>
        </w:rPr>
        <w:t xml:space="preserve">El TS desestima el recurso contencioso-administrativo interpuesto contra el RD 656/2024, de 2 julio, por el que se aprueba la oferta de empleo público correspondiente al ejercicio 2024, pues la oferta de empleo público, de aprobación anual, encuentra su fundamento jurídico general en la planificación de recursos humanos y el contenido de muchas de las invocadas previsiones en las sucesivas </w:t>
      </w:r>
      <w:proofErr w:type="spellStart"/>
      <w:r>
        <w:rPr>
          <w:rStyle w:val="Ninguno"/>
        </w:rPr>
        <w:t>OPEs</w:t>
      </w:r>
      <w:proofErr w:type="spellEnd"/>
      <w:r>
        <w:rPr>
          <w:rStyle w:val="Ninguno"/>
        </w:rPr>
        <w:t>, desde hace más de una década, no introducen, en los términos en los que se denuncia, ningún elemento sustantivo que desvirtúe la naturaleza de la oferta que se impugna, ni la configuración propia de este instrumento de planificación.</w:t>
      </w:r>
    </w:p>
    <w:p w14:paraId="41729411" w14:textId="77777777" w:rsidR="003F223C" w:rsidRDefault="00B66A92">
      <w:pPr>
        <w:pStyle w:val="Standard"/>
        <w:keepNext/>
        <w:keepLines/>
        <w:spacing w:after="198" w:line="288" w:lineRule="auto"/>
        <w:jc w:val="both"/>
        <w:outlineLvl w:val="1"/>
      </w:pPr>
      <w:hyperlink r:id="rId133">
        <w:r>
          <w:rPr>
            <w:rStyle w:val="Hyperlink0"/>
          </w:rPr>
          <w:t>https://www.poderjudicial.es/search/AN/openDocument/30fd83283fa823aea0a8778d75e36f0d/20260205</w:t>
        </w:r>
      </w:hyperlink>
    </w:p>
    <w:p w14:paraId="63A71735" w14:textId="77777777" w:rsidR="003F223C" w:rsidRDefault="00B66A92">
      <w:pPr>
        <w:pStyle w:val="Standard"/>
        <w:keepNext/>
        <w:keepLines/>
        <w:spacing w:after="198" w:line="288" w:lineRule="auto"/>
        <w:jc w:val="both"/>
        <w:outlineLvl w:val="1"/>
        <w:rPr>
          <w:b/>
          <w:bCs/>
        </w:rPr>
      </w:pPr>
      <w:r>
        <w:rPr>
          <w:rStyle w:val="Ninguno"/>
          <w:b/>
          <w:bCs/>
        </w:rPr>
        <w:t>- (Roj: STS 83/2026) STS 19/2026, de 15 de enero de 2026. Sala de lo Contencioso.</w:t>
      </w:r>
    </w:p>
    <w:p w14:paraId="1C322D97" w14:textId="77777777" w:rsidR="003F223C" w:rsidRDefault="00B66A92" w:rsidP="00373233">
      <w:pPr>
        <w:pStyle w:val="Standard"/>
        <w:keepNext/>
        <w:keepLines/>
        <w:spacing w:after="80" w:line="288" w:lineRule="auto"/>
        <w:jc w:val="both"/>
        <w:outlineLvl w:val="1"/>
      </w:pPr>
      <w:r>
        <w:rPr>
          <w:rStyle w:val="Ninguno"/>
        </w:rPr>
        <w:t>El TS desestima la demanda, confirmando la desestimación de la reclamación de responsabilidad patrimonial efectuada en relación con el RD 463/2020, de 14 de marzo, por el que se declara el estado de alarma para la gestión de la situación de crisis sanitaria ocasionada por el COVID-19 y sus prórrogas, pues las medidas restrictivas que tuvo que soportar la parte actora y de las que deduce los daños patrimoniales sufridos fueron constitucionales y proporcionadas a la situación existente, vista la gravedad de la situación y gozaron del suficiente grado de generalidad en cuanto a sus destinatarios, quienes tuvieron el deber jurídico de soportarlas sin generar ningún derecho de indemnización por los posibles perjuicios sufridos, habiéndolo declarado así expresamente además el TC.</w:t>
      </w:r>
    </w:p>
    <w:p w14:paraId="4C0BAB75" w14:textId="77777777" w:rsidR="003F223C" w:rsidRDefault="00B66A92">
      <w:pPr>
        <w:pStyle w:val="Standard"/>
        <w:keepNext/>
        <w:keepLines/>
        <w:spacing w:after="198" w:line="288" w:lineRule="auto"/>
        <w:jc w:val="both"/>
        <w:outlineLvl w:val="1"/>
      </w:pPr>
      <w:hyperlink r:id="rId134">
        <w:r>
          <w:rPr>
            <w:rStyle w:val="Hyperlink0"/>
          </w:rPr>
          <w:t>https://www.poderjudicial.es/search/AN/openDocument/2e07f4ba128a9b0ca0a8778d75e36f0d/20260129</w:t>
        </w:r>
      </w:hyperlink>
    </w:p>
    <w:p w14:paraId="7D7C42B1" w14:textId="77777777" w:rsidR="00127105" w:rsidRDefault="00127105">
      <w:pPr>
        <w:suppressAutoHyphens/>
        <w:overflowPunct/>
        <w:rPr>
          <w:rStyle w:val="Ninguno"/>
          <w:rFonts w:ascii="Calibri" w:eastAsia="Calibri" w:hAnsi="Calibri" w:cs="Calibri"/>
          <w:b/>
          <w:bCs/>
          <w:color w:val="000000"/>
          <w:sz w:val="22"/>
          <w:szCs w:val="22"/>
          <w:lang w:val="es-ES_tradnl" w:eastAsia="zh-CN" w:bidi="hi-IN"/>
        </w:rPr>
      </w:pPr>
      <w:r>
        <w:rPr>
          <w:rStyle w:val="Ninguno"/>
          <w:b/>
          <w:bCs/>
        </w:rPr>
        <w:br w:type="page"/>
      </w:r>
    </w:p>
    <w:p w14:paraId="76BD8AC8" w14:textId="7ACF4AFA" w:rsidR="003F223C" w:rsidRDefault="00B66A92">
      <w:pPr>
        <w:pStyle w:val="Standard"/>
        <w:keepNext/>
        <w:keepLines/>
        <w:spacing w:after="198" w:line="288" w:lineRule="auto"/>
        <w:jc w:val="both"/>
        <w:outlineLvl w:val="1"/>
        <w:rPr>
          <w:b/>
          <w:bCs/>
        </w:rPr>
      </w:pPr>
      <w:r>
        <w:rPr>
          <w:rStyle w:val="Ninguno"/>
          <w:b/>
          <w:bCs/>
        </w:rPr>
        <w:lastRenderedPageBreak/>
        <w:t>- (Roj: STS 221/2026) STS 23/2026, de 15 de enero de 2026. Sala de lo Contencioso.</w:t>
      </w:r>
    </w:p>
    <w:p w14:paraId="60820E58" w14:textId="3A5C8A8E" w:rsidR="003F223C" w:rsidRDefault="00B66A92" w:rsidP="00373233">
      <w:pPr>
        <w:pStyle w:val="Standard"/>
        <w:keepNext/>
        <w:keepLines/>
        <w:spacing w:after="80" w:line="288" w:lineRule="auto"/>
        <w:jc w:val="both"/>
        <w:outlineLvl w:val="1"/>
      </w:pPr>
      <w:r>
        <w:rPr>
          <w:rStyle w:val="Ninguno"/>
        </w:rPr>
        <w:t>El TS declara que en las prácticas o conductas calificadas como cártel, la definición del mercado geográfico relevante o afectado no es un elemento del tipo de las conductas prohibidas enunciadas normativamente, determinante para valorar la antijuridicidad de la conducta infractora, sino que constituye una apreciación económica, que permite establecer los límites de la competencia entre los operadores, y que debe considerarse y examinarse para determinar el alcance del ámbito espacial en el que se desarrollan las estrategias empresariales de colaboración o concertación que tengan como objeto impedir, restringir o falsear la competencia, con la finalidad de determinar la gravedad de los comportamientos anticompetitivos, y, en consecuencia, poder cuantificar el importe de las sanciones que correspondan conforme a los principios y criterios de objetividad y proporcionalidad.</w:t>
      </w:r>
    </w:p>
    <w:p w14:paraId="786D3130" w14:textId="77777777" w:rsidR="003F223C" w:rsidRDefault="00B66A92">
      <w:pPr>
        <w:pStyle w:val="Standard"/>
        <w:keepNext/>
        <w:keepLines/>
        <w:spacing w:after="198" w:line="288" w:lineRule="auto"/>
        <w:jc w:val="both"/>
        <w:outlineLvl w:val="1"/>
      </w:pPr>
      <w:hyperlink r:id="rId135">
        <w:r>
          <w:rPr>
            <w:rStyle w:val="Hyperlink0"/>
          </w:rPr>
          <w:t>https://www.poderjudicial.es/search/AN/openDocument/13e514b27c6c7010a0a8778d75e36f0d/20260205</w:t>
        </w:r>
      </w:hyperlink>
    </w:p>
    <w:p w14:paraId="1004FBDF" w14:textId="77777777" w:rsidR="003F223C" w:rsidRDefault="00B66A92">
      <w:pPr>
        <w:pStyle w:val="Standard"/>
        <w:keepNext/>
        <w:keepLines/>
        <w:spacing w:after="198" w:line="288" w:lineRule="auto"/>
        <w:jc w:val="both"/>
        <w:outlineLvl w:val="1"/>
        <w:rPr>
          <w:b/>
          <w:bCs/>
        </w:rPr>
      </w:pPr>
      <w:r>
        <w:rPr>
          <w:rStyle w:val="Ninguno"/>
          <w:b/>
          <w:bCs/>
        </w:rPr>
        <w:t>- (Roj: STS 89/2026) STS 26/2026, de 19 de enero de 2026. Sala de lo Contencioso.</w:t>
      </w:r>
    </w:p>
    <w:p w14:paraId="2A3F5030" w14:textId="77777777" w:rsidR="003F223C" w:rsidRDefault="00B66A92" w:rsidP="00373233">
      <w:pPr>
        <w:pStyle w:val="Standard"/>
        <w:keepNext/>
        <w:keepLines/>
        <w:spacing w:after="80" w:line="288" w:lineRule="auto"/>
        <w:jc w:val="both"/>
        <w:outlineLvl w:val="1"/>
      </w:pPr>
      <w:r>
        <w:rPr>
          <w:rStyle w:val="Ninguno"/>
        </w:rPr>
        <w:t xml:space="preserve">El TS establece que, el derecho a un juez imparcial, en principio, debe hacerse valer por las partes en el proceso a través del incidente de recusación y con sustento en la concurrencia de alguna de las causas tasadas que la Ley Orgánica del Poder Judicial establece, que ha de ser promovido tan pronto como la parte tenga conocimiento de la existencia de la causa que la funde y, la Sociedad Concesionaria tuvo conocimiento de la composición del Tribunal llamado a fallar el recurso de apelación cuando se le notificó la providencia de señalamiento para votación y fallo y, en ese momento es cuando se interpuso la recusación dentro del plazo. </w:t>
      </w:r>
    </w:p>
    <w:p w14:paraId="59F4016D" w14:textId="77777777" w:rsidR="003F223C" w:rsidRDefault="00B66A92">
      <w:pPr>
        <w:pStyle w:val="Standard"/>
        <w:keepNext/>
        <w:keepLines/>
        <w:spacing w:after="198" w:line="288" w:lineRule="auto"/>
        <w:jc w:val="both"/>
        <w:outlineLvl w:val="1"/>
      </w:pPr>
      <w:hyperlink r:id="rId136">
        <w:r>
          <w:rPr>
            <w:rStyle w:val="Hyperlink0"/>
          </w:rPr>
          <w:t>https://www.poderjudicial.es/search/AN/openDocument/ffc9e804779fe6d2a0a8778d75e36f0d/20260129</w:t>
        </w:r>
      </w:hyperlink>
    </w:p>
    <w:p w14:paraId="00E79116" w14:textId="77777777" w:rsidR="003F223C" w:rsidRDefault="00B66A92">
      <w:pPr>
        <w:pStyle w:val="Standard"/>
        <w:keepNext/>
        <w:keepLines/>
        <w:spacing w:after="198" w:line="288" w:lineRule="auto"/>
        <w:jc w:val="both"/>
        <w:outlineLvl w:val="1"/>
        <w:rPr>
          <w:b/>
          <w:bCs/>
        </w:rPr>
      </w:pPr>
      <w:r>
        <w:rPr>
          <w:rStyle w:val="Ninguno"/>
          <w:b/>
          <w:bCs/>
        </w:rPr>
        <w:t>- (Roj: STS 92/2026) STS 24/2026, de 19 de enero de 2026. Sala de lo Contencioso.</w:t>
      </w:r>
    </w:p>
    <w:p w14:paraId="4EB5AE57" w14:textId="77777777" w:rsidR="003F223C" w:rsidRDefault="00B66A92" w:rsidP="00373233">
      <w:pPr>
        <w:pStyle w:val="Standard"/>
        <w:keepNext/>
        <w:keepLines/>
        <w:spacing w:after="80" w:line="288" w:lineRule="auto"/>
        <w:jc w:val="both"/>
        <w:outlineLvl w:val="1"/>
      </w:pPr>
      <w:r>
        <w:rPr>
          <w:rStyle w:val="Ninguno"/>
        </w:rPr>
        <w:t xml:space="preserve">El TS establece que, procede la extensión de efectos de una Sentencia cuando no existe una resolución dictada precisamente para la interesada por tratarse de actos administrativos con destinatario plural, como por ejemplo, la impugnación de una resolución por la que se hacen públicas las relaciones de opositores aspirantes que han superado el ejercicio único de las pruebas selectivas para el acceso, por promoción interna, para personal funcionario y personal laboral fijo, al Cuerpo General Administrativo de la Administración del Estado. </w:t>
      </w:r>
    </w:p>
    <w:p w14:paraId="2AEE2609" w14:textId="77777777" w:rsidR="003F223C" w:rsidRDefault="00B66A92">
      <w:pPr>
        <w:pStyle w:val="Standard"/>
        <w:keepNext/>
        <w:keepLines/>
        <w:spacing w:after="198" w:line="288" w:lineRule="auto"/>
        <w:jc w:val="both"/>
        <w:outlineLvl w:val="1"/>
      </w:pPr>
      <w:hyperlink r:id="rId137">
        <w:r>
          <w:rPr>
            <w:rStyle w:val="Hyperlink0"/>
          </w:rPr>
          <w:t>https://www.poderjudicial.es/search/AN/openDocument/fcfde4906d140a21a0a8778d75e36f0d/20260129</w:t>
        </w:r>
      </w:hyperlink>
    </w:p>
    <w:p w14:paraId="55B57D1D" w14:textId="77777777" w:rsidR="00127105" w:rsidRDefault="00127105">
      <w:pPr>
        <w:suppressAutoHyphens/>
        <w:overflowPunct/>
        <w:rPr>
          <w:rStyle w:val="Ninguno"/>
          <w:rFonts w:ascii="Calibri" w:eastAsia="Calibri" w:hAnsi="Calibri" w:cs="Calibri"/>
          <w:b/>
          <w:bCs/>
          <w:color w:val="000000"/>
          <w:sz w:val="22"/>
          <w:szCs w:val="22"/>
          <w:lang w:val="es-ES_tradnl" w:eastAsia="zh-CN" w:bidi="hi-IN"/>
        </w:rPr>
      </w:pPr>
      <w:r>
        <w:rPr>
          <w:rStyle w:val="Ninguno"/>
          <w:b/>
          <w:bCs/>
        </w:rPr>
        <w:br w:type="page"/>
      </w:r>
    </w:p>
    <w:p w14:paraId="0D35F1D4" w14:textId="23177378" w:rsidR="003F223C" w:rsidRDefault="00B66A92">
      <w:pPr>
        <w:pStyle w:val="Standard"/>
        <w:keepNext/>
        <w:keepLines/>
        <w:spacing w:after="198" w:line="288" w:lineRule="auto"/>
        <w:jc w:val="both"/>
        <w:outlineLvl w:val="1"/>
        <w:rPr>
          <w:b/>
          <w:bCs/>
        </w:rPr>
      </w:pPr>
      <w:r>
        <w:rPr>
          <w:rStyle w:val="Ninguno"/>
          <w:b/>
          <w:bCs/>
        </w:rPr>
        <w:lastRenderedPageBreak/>
        <w:t>- (Roj: STS 94/2026) STS 25/2026, de 19 de enero de 2026. Sala de lo Contencioso.</w:t>
      </w:r>
    </w:p>
    <w:p w14:paraId="698AFB39" w14:textId="77777777" w:rsidR="003F223C" w:rsidRDefault="00B66A92" w:rsidP="00373233">
      <w:pPr>
        <w:pStyle w:val="Standard"/>
        <w:keepNext/>
        <w:keepLines/>
        <w:spacing w:after="80" w:line="288" w:lineRule="auto"/>
        <w:jc w:val="both"/>
        <w:outlineLvl w:val="1"/>
      </w:pPr>
      <w:r>
        <w:rPr>
          <w:rStyle w:val="Ninguno"/>
        </w:rPr>
        <w:t xml:space="preserve">El TS establece que, cuando la actividad administrativa versa sobre materia laboral (como consecuencia de la vertiente empleadora), el discernimiento de todas las fases de la contratación del personal laboral corresponde al orden social, comprendiendo también la fase preparatoria, que viene a conformar y condicionar el propio vínculo de trabajo entre las partes, y que ha de estar sujeta a la especial tutela que el legislador encomienda sobre la relación de trabajo a la jurisdicción social. </w:t>
      </w:r>
    </w:p>
    <w:p w14:paraId="13D4B62A" w14:textId="77777777" w:rsidR="003F223C" w:rsidRDefault="00B66A92">
      <w:pPr>
        <w:pStyle w:val="Standard"/>
        <w:keepNext/>
        <w:keepLines/>
        <w:spacing w:after="198" w:line="288" w:lineRule="auto"/>
        <w:jc w:val="both"/>
        <w:outlineLvl w:val="1"/>
      </w:pPr>
      <w:hyperlink r:id="rId138">
        <w:r>
          <w:rPr>
            <w:rStyle w:val="Hyperlink0"/>
          </w:rPr>
          <w:t>https://www.poderjudicial.es/search/AN/openDocument/0326737c38c42d26a0a8778d75e36f0d/20260129</w:t>
        </w:r>
      </w:hyperlink>
    </w:p>
    <w:p w14:paraId="625D37C8" w14:textId="77777777" w:rsidR="003F223C" w:rsidRDefault="00B66A92">
      <w:pPr>
        <w:pStyle w:val="Standard"/>
        <w:keepNext/>
        <w:keepLines/>
        <w:spacing w:after="198" w:line="288" w:lineRule="auto"/>
        <w:jc w:val="both"/>
        <w:outlineLvl w:val="1"/>
        <w:rPr>
          <w:b/>
          <w:bCs/>
        </w:rPr>
      </w:pPr>
      <w:r>
        <w:rPr>
          <w:rStyle w:val="Ninguno"/>
          <w:b/>
          <w:bCs/>
        </w:rPr>
        <w:t>- (Roj: STS 218/2026) STS 27/2026, de 19 de enero de 2026. Sala de lo Contencioso.</w:t>
      </w:r>
    </w:p>
    <w:p w14:paraId="2D31DB49" w14:textId="77777777" w:rsidR="003F223C" w:rsidRDefault="00B66A92" w:rsidP="00373233">
      <w:pPr>
        <w:pStyle w:val="Standard"/>
        <w:keepNext/>
        <w:keepLines/>
        <w:spacing w:after="80" w:line="288" w:lineRule="auto"/>
        <w:jc w:val="both"/>
        <w:outlineLvl w:val="1"/>
      </w:pPr>
      <w:r>
        <w:rPr>
          <w:rStyle w:val="Ninguno"/>
        </w:rPr>
        <w:t>El TS fija como doctrina jurisprudencial que a la luz del principio jurisprudencial de libertad de acceso con idoneidad, no se opone a una regulación reglamentaria de una Comunidad Autónoma que, en virtud de su potestad de autoorganización, instituye Oficinas Técnicas de asesoramiento a los municipios en materia de ordenación, gestión y disciplina urbanística y territorial, vivienda, habitabilidad, accesibilidad y movilidad, desarrollo rural, conservación y protección del medio ambiente y patrimonio cultural, cuya dirección se encomienda a profesionales titulados en Arquitectura o equivalente, y que está integrada por personal técnico cualificado en posesión de la titulación en Arquitectura, Arquitectura Técnica, o Ingeniería de la Edificación o equivalente, cuando, como acontece en el caso que enjuiciamos, el cumplimiento de dichos requisitos de competencia profesional resultan justificados de forma objetiva por concurrir razones imperiosas de interés general, referidas a bienes jurídicos relacionados con la protección del entorno territorial y urbano, así como la conservación del medio ambiente y del patrimonio histórico y cultural, siempre que sean proporcionados, no sean discriminatorios, y sean congruentes con la formación exigible, en términos de capacidad e idoneidad, para el desempeño de estas actividades y el ejercicio del dichas funciones de asesoramiento especializado.</w:t>
      </w:r>
    </w:p>
    <w:p w14:paraId="6CB63B03" w14:textId="77777777" w:rsidR="003F223C" w:rsidRDefault="00B66A92">
      <w:pPr>
        <w:pStyle w:val="Standard"/>
        <w:keepNext/>
        <w:keepLines/>
        <w:spacing w:after="198" w:line="288" w:lineRule="auto"/>
        <w:jc w:val="both"/>
        <w:outlineLvl w:val="1"/>
      </w:pPr>
      <w:hyperlink r:id="rId139">
        <w:r>
          <w:rPr>
            <w:rStyle w:val="Hyperlink0"/>
          </w:rPr>
          <w:t>https://www.poderjudicial.es/search/AN/openDocument/3dadd9d322dd5865a0a8778d75e36f0d/20260205</w:t>
        </w:r>
      </w:hyperlink>
    </w:p>
    <w:p w14:paraId="2602C479" w14:textId="77777777" w:rsidR="003F223C" w:rsidRDefault="00B66A92">
      <w:pPr>
        <w:pStyle w:val="Standard"/>
        <w:keepNext/>
        <w:keepLines/>
        <w:spacing w:after="198" w:line="288" w:lineRule="auto"/>
        <w:jc w:val="both"/>
        <w:outlineLvl w:val="1"/>
        <w:rPr>
          <w:b/>
          <w:bCs/>
        </w:rPr>
      </w:pPr>
      <w:r>
        <w:rPr>
          <w:rStyle w:val="Ninguno"/>
          <w:b/>
          <w:bCs/>
        </w:rPr>
        <w:t>- (Roj: STS 87/2026) STS 34/2026, de 21 de enero de 2026. Sala de lo Contencioso.</w:t>
      </w:r>
    </w:p>
    <w:p w14:paraId="53381C77" w14:textId="77777777" w:rsidR="003F223C" w:rsidRDefault="00B66A92" w:rsidP="00373233">
      <w:pPr>
        <w:pStyle w:val="Standard"/>
        <w:keepNext/>
        <w:keepLines/>
        <w:spacing w:after="80" w:line="288" w:lineRule="auto"/>
        <w:jc w:val="both"/>
        <w:outlineLvl w:val="1"/>
      </w:pPr>
      <w:r>
        <w:rPr>
          <w:rStyle w:val="Ninguno"/>
        </w:rPr>
        <w:t xml:space="preserve">El TS establece que, la prórroga del contrato de gestión de servicio puede serle impuesta al contratista sin su consentimiento por necesidades de interés público siempre que el contrato no prevea el acuerdo de las partes para la prórroga. </w:t>
      </w:r>
    </w:p>
    <w:p w14:paraId="2AA8D826" w14:textId="77777777" w:rsidR="003F223C" w:rsidRDefault="00B66A92">
      <w:pPr>
        <w:pStyle w:val="Standard"/>
        <w:keepNext/>
        <w:keepLines/>
        <w:spacing w:after="198" w:line="288" w:lineRule="auto"/>
        <w:jc w:val="both"/>
        <w:outlineLvl w:val="1"/>
      </w:pPr>
      <w:hyperlink r:id="rId140">
        <w:r>
          <w:rPr>
            <w:rStyle w:val="Hyperlink0"/>
          </w:rPr>
          <w:t>https://www.poderjudicial.es/search/AN/openDocument/1ef94f8ceb2f745aa0a8778d75e36f0d/20260129</w:t>
        </w:r>
      </w:hyperlink>
    </w:p>
    <w:p w14:paraId="08C26CBC" w14:textId="77777777" w:rsidR="00127105" w:rsidRDefault="00127105">
      <w:pPr>
        <w:suppressAutoHyphens/>
        <w:overflowPunct/>
        <w:rPr>
          <w:rStyle w:val="Ninguno"/>
          <w:rFonts w:ascii="Calibri" w:eastAsia="Calibri" w:hAnsi="Calibri" w:cs="Calibri"/>
          <w:b/>
          <w:bCs/>
          <w:color w:val="000000"/>
          <w:sz w:val="22"/>
          <w:szCs w:val="22"/>
          <w:lang w:val="es-ES_tradnl" w:eastAsia="zh-CN" w:bidi="hi-IN"/>
        </w:rPr>
      </w:pPr>
      <w:r>
        <w:rPr>
          <w:rStyle w:val="Ninguno"/>
          <w:b/>
          <w:bCs/>
        </w:rPr>
        <w:br w:type="page"/>
      </w:r>
    </w:p>
    <w:p w14:paraId="2A78F842" w14:textId="2E8D960E" w:rsidR="003F223C" w:rsidRDefault="00B66A92" w:rsidP="00127105">
      <w:pPr>
        <w:pStyle w:val="Standard"/>
        <w:keepNext/>
        <w:keepLines/>
        <w:spacing w:after="80" w:line="288" w:lineRule="auto"/>
        <w:jc w:val="both"/>
        <w:outlineLvl w:val="1"/>
        <w:rPr>
          <w:b/>
          <w:bCs/>
        </w:rPr>
      </w:pPr>
      <w:r>
        <w:rPr>
          <w:rStyle w:val="Ninguno"/>
          <w:b/>
          <w:bCs/>
        </w:rPr>
        <w:lastRenderedPageBreak/>
        <w:t>- (Roj: STS 878/2026) STS 40/2026, de 21 de enero de 2026. Sala de lo Contencioso.</w:t>
      </w:r>
    </w:p>
    <w:p w14:paraId="7DD8B644" w14:textId="77777777" w:rsidR="003F223C" w:rsidRDefault="00B66A92" w:rsidP="00373233">
      <w:pPr>
        <w:pStyle w:val="Standard"/>
        <w:keepNext/>
        <w:keepLines/>
        <w:spacing w:after="80" w:line="288" w:lineRule="auto"/>
        <w:jc w:val="both"/>
        <w:outlineLvl w:val="1"/>
      </w:pPr>
      <w:r>
        <w:rPr>
          <w:rStyle w:val="Ninguno"/>
        </w:rPr>
        <w:t>El TS establece que, la suspensión del contrato por causas imputables a la Administración no supone automáticamente derecho a indemnización, ya que han de justificarse y acreditarse los daños derivados de esa suspensión, lo que puede realizarse mediante cualquier medio de prueba de los que pueda deducirse razonablemente su producción.</w:t>
      </w:r>
    </w:p>
    <w:p w14:paraId="7DD55B0A" w14:textId="145761D2" w:rsidR="003F223C" w:rsidRPr="00004204" w:rsidRDefault="00004204">
      <w:pPr>
        <w:pStyle w:val="Standard"/>
        <w:keepNext/>
        <w:keepLines/>
        <w:spacing w:after="198" w:line="288" w:lineRule="auto"/>
        <w:jc w:val="both"/>
        <w:outlineLvl w:val="1"/>
        <w:rPr>
          <w:rStyle w:val="Hyperlink0"/>
        </w:rPr>
      </w:pPr>
      <w:hyperlink r:id="rId141" w:history="1">
        <w:r w:rsidRPr="00004204">
          <w:rPr>
            <w:rStyle w:val="Hyperlink0"/>
          </w:rPr>
          <w:t>https://www.poderjudicial.es/search/AN/openDocument/8aba56fbf8c189e4a0a8778d75e36f0d/20260129</w:t>
        </w:r>
      </w:hyperlink>
    </w:p>
    <w:p w14:paraId="7D129713" w14:textId="77777777" w:rsidR="003F223C" w:rsidRDefault="00B66A92" w:rsidP="00127105">
      <w:pPr>
        <w:pStyle w:val="Standard"/>
        <w:keepNext/>
        <w:keepLines/>
        <w:spacing w:after="80" w:line="288" w:lineRule="auto"/>
        <w:jc w:val="both"/>
        <w:outlineLvl w:val="1"/>
        <w:rPr>
          <w:b/>
          <w:bCs/>
        </w:rPr>
      </w:pPr>
      <w:r>
        <w:rPr>
          <w:rStyle w:val="Ninguno"/>
          <w:b/>
          <w:bCs/>
        </w:rPr>
        <w:t>- (Roj: STS 90/2026) STS 39/2026, de 21 de enero de 2026. Sala de lo Contencioso.</w:t>
      </w:r>
    </w:p>
    <w:p w14:paraId="4D3AAB43" w14:textId="77777777" w:rsidR="003F223C" w:rsidRDefault="00B66A92" w:rsidP="00373233">
      <w:pPr>
        <w:pStyle w:val="Standard"/>
        <w:keepNext/>
        <w:keepLines/>
        <w:spacing w:after="80" w:line="288" w:lineRule="auto"/>
        <w:jc w:val="both"/>
        <w:outlineLvl w:val="1"/>
      </w:pPr>
      <w:r>
        <w:rPr>
          <w:rStyle w:val="Ninguno"/>
        </w:rPr>
        <w:t xml:space="preserve">El TS establece que, en los contratos de servicios, así como en los contratos que tengan por objeto prestaciones de carácter intelectual, los criterios relacionados con la calidad deben representar al menos el 51% de la puntuación asignable en la valoración de las ofertas para la adjudicación de </w:t>
      </w:r>
      <w:proofErr w:type="gramStart"/>
      <w:r>
        <w:rPr>
          <w:rStyle w:val="Ninguno"/>
        </w:rPr>
        <w:t>los mismos</w:t>
      </w:r>
      <w:proofErr w:type="gramEnd"/>
      <w:r>
        <w:rPr>
          <w:rStyle w:val="Ninguno"/>
        </w:rPr>
        <w:t>.</w:t>
      </w:r>
    </w:p>
    <w:p w14:paraId="5EC910D0" w14:textId="77777777" w:rsidR="003F223C" w:rsidRDefault="00B66A92">
      <w:pPr>
        <w:pStyle w:val="Standard"/>
        <w:keepNext/>
        <w:keepLines/>
        <w:spacing w:after="198" w:line="288" w:lineRule="auto"/>
        <w:jc w:val="both"/>
        <w:outlineLvl w:val="1"/>
      </w:pPr>
      <w:hyperlink r:id="rId142">
        <w:r>
          <w:rPr>
            <w:rStyle w:val="Hyperlink0"/>
          </w:rPr>
          <w:t>https://www.poderjudicial.es/search/AN/openDocument/28f23b30f812e74ca0a8778d75e36f0d/20260129</w:t>
        </w:r>
      </w:hyperlink>
    </w:p>
    <w:p w14:paraId="6296F5D8" w14:textId="77777777" w:rsidR="003F223C" w:rsidRDefault="00B66A92" w:rsidP="00127105">
      <w:pPr>
        <w:pStyle w:val="Standard"/>
        <w:keepNext/>
        <w:keepLines/>
        <w:spacing w:after="80" w:line="288" w:lineRule="auto"/>
        <w:jc w:val="both"/>
        <w:outlineLvl w:val="1"/>
        <w:rPr>
          <w:b/>
          <w:bCs/>
        </w:rPr>
      </w:pPr>
      <w:r>
        <w:rPr>
          <w:rStyle w:val="Ninguno"/>
          <w:b/>
          <w:bCs/>
        </w:rPr>
        <w:t>- (Roj: STS 176/2026) STS 36/2026, de 21 de enero de 2026. Sala de lo Contencioso.</w:t>
      </w:r>
    </w:p>
    <w:p w14:paraId="54624A17" w14:textId="77777777" w:rsidR="003F223C" w:rsidRDefault="00B66A92" w:rsidP="00023C10">
      <w:pPr>
        <w:pStyle w:val="Standard"/>
        <w:keepNext/>
        <w:keepLines/>
        <w:spacing w:after="80" w:line="240" w:lineRule="auto"/>
        <w:jc w:val="both"/>
        <w:outlineLvl w:val="1"/>
      </w:pPr>
      <w:r>
        <w:rPr>
          <w:rStyle w:val="Ninguno"/>
        </w:rPr>
        <w:t>El TS reitera que la doctrina previa sentada, que considera aplicable el régimen de paralización de industrias a los supuestos de paralización de actividad y el cierre de establecimientos ordenada por el RD 463/2020, de 14 de marzo, por el que se declara el estado de alarma, permite dejar sin efecto una liquidación firme del Impuesto sobre Actividades Económicas y la devolución de lo ingresado en concepto de cuota de este tributo por la parte proporcional al tiempo en que se cesó en la actividad en el año 2020, acudiendo al régimen de paralización de industrias, en respuesta a la pretensión de reducción de la cuota por parte del contribuyente, a fin de conseguir la equidad de la carga fiscal ante una situación excepcional, irresistible y justificada por la prevalencia de otros valores constitucionales más necesitados de protección.</w:t>
      </w:r>
    </w:p>
    <w:p w14:paraId="59C14067" w14:textId="77777777" w:rsidR="003F223C" w:rsidRDefault="00B66A92">
      <w:pPr>
        <w:pStyle w:val="Standard"/>
        <w:keepNext/>
        <w:keepLines/>
        <w:spacing w:after="198" w:line="288" w:lineRule="auto"/>
        <w:jc w:val="both"/>
        <w:outlineLvl w:val="1"/>
      </w:pPr>
      <w:hyperlink r:id="rId143">
        <w:r>
          <w:rPr>
            <w:rStyle w:val="Hyperlink0"/>
          </w:rPr>
          <w:t>https://www.poderjudicial.es/search/AN/openDocument/d072a082f2021981a0a8778d75e36f0d/20260205</w:t>
        </w:r>
      </w:hyperlink>
    </w:p>
    <w:p w14:paraId="65D08668" w14:textId="77777777" w:rsidR="003F223C" w:rsidRDefault="00B66A92" w:rsidP="00127105">
      <w:pPr>
        <w:pStyle w:val="Standard"/>
        <w:keepNext/>
        <w:keepLines/>
        <w:spacing w:after="80" w:line="288" w:lineRule="auto"/>
        <w:jc w:val="both"/>
        <w:outlineLvl w:val="1"/>
        <w:rPr>
          <w:b/>
          <w:bCs/>
        </w:rPr>
      </w:pPr>
      <w:r>
        <w:rPr>
          <w:rStyle w:val="Ninguno"/>
          <w:b/>
          <w:bCs/>
        </w:rPr>
        <w:t>- (Roj: STS 190/2026) STS 35/2026, de 21 de enero de 2026. Sala de lo Contencioso.</w:t>
      </w:r>
    </w:p>
    <w:p w14:paraId="0BC13F91" w14:textId="77777777" w:rsidR="003F223C" w:rsidRDefault="00B66A92" w:rsidP="00373233">
      <w:pPr>
        <w:pStyle w:val="Standard"/>
        <w:keepNext/>
        <w:keepLines/>
        <w:spacing w:after="80" w:line="288" w:lineRule="auto"/>
        <w:jc w:val="both"/>
        <w:outlineLvl w:val="1"/>
      </w:pPr>
      <w:r>
        <w:rPr>
          <w:rStyle w:val="Ninguno"/>
        </w:rPr>
        <w:t xml:space="preserve">El TS declara que resulta necesario no solo la autorización administrativa relativa a cada vehículo que impone la Ley 13/2007, de 17 mayo, de Ordenación del Transporte por Carretera de Canarias, sino también la autorización administrativa que exige la Ley 16/1987, de 30 de julio, de Ordenación de los Transportes Terrestres, que concreta la habilitación empresarial o profesional como una aptitud para contratar, que debe concurrir antes de la expiración del plazo para la presentación de ofertas en el procedimiento de licitación del contrato, que debe subsistir en el momento de la perfección del mismo. </w:t>
      </w:r>
    </w:p>
    <w:p w14:paraId="0FB053DA" w14:textId="77777777" w:rsidR="003F223C" w:rsidRDefault="00B66A92">
      <w:pPr>
        <w:pStyle w:val="Standard"/>
        <w:keepNext/>
        <w:keepLines/>
        <w:spacing w:after="198" w:line="288" w:lineRule="auto"/>
        <w:jc w:val="both"/>
        <w:outlineLvl w:val="1"/>
      </w:pPr>
      <w:hyperlink r:id="rId144">
        <w:r>
          <w:rPr>
            <w:rStyle w:val="Hyperlink0"/>
          </w:rPr>
          <w:t>https://www.poderjudicial.es/search/AN/openDocument/27f4ddd6d7c5889aa0a8778d75e36f0d/20260205</w:t>
        </w:r>
      </w:hyperlink>
    </w:p>
    <w:p w14:paraId="7A8D922E" w14:textId="77777777" w:rsidR="003F223C" w:rsidRDefault="00B66A92" w:rsidP="00A80019">
      <w:pPr>
        <w:pStyle w:val="Standard"/>
        <w:keepNext/>
        <w:keepLines/>
        <w:spacing w:after="80" w:line="240" w:lineRule="auto"/>
        <w:jc w:val="both"/>
        <w:outlineLvl w:val="1"/>
        <w:rPr>
          <w:b/>
          <w:bCs/>
        </w:rPr>
      </w:pPr>
      <w:r>
        <w:rPr>
          <w:rStyle w:val="Ninguno"/>
          <w:b/>
          <w:bCs/>
        </w:rPr>
        <w:lastRenderedPageBreak/>
        <w:t>- (Roj: STS 91/2026) STS 45/2026, de 22 de enero de 2026. Sala de lo Contencioso.</w:t>
      </w:r>
    </w:p>
    <w:p w14:paraId="242DF390" w14:textId="77777777" w:rsidR="003F223C" w:rsidRDefault="00B66A92" w:rsidP="00A80019">
      <w:pPr>
        <w:pStyle w:val="Standard"/>
        <w:keepNext/>
        <w:keepLines/>
        <w:spacing w:after="80" w:line="240" w:lineRule="auto"/>
        <w:jc w:val="both"/>
        <w:outlineLvl w:val="1"/>
      </w:pPr>
      <w:r>
        <w:rPr>
          <w:rStyle w:val="Ninguno"/>
        </w:rPr>
        <w:t xml:space="preserve">El TS declara que, en el marco de un recurso especial en materia de contratación contra la adjudicación de un contrato, la incorporación posterior de documentos nuevos que puedan cuestionar la solvencia técnica del licitador adjudicatario, podrán ser valorados por el Tribunal Administrativo Central de Recursos Contractuales, para decidir sobre aquella solvencia técnica, a los efectos de resolver sobre la anulación pretendida del acto de adjudicación, pues en el trámite de la prueba, si la norma no pone otros límites a la práctica de los elementos de prueba, que los generales de su pertinencia y utilidad, cualquier otra interpretación restrictiva de los términos normativos, contraviene la configuración y alcance de este trámite y puede llegar, incluso, a causar una indefensión material a la parte que haya propuesto la prueba y denegada su práctica por otros razonamientos que los ya indicados de pertinencia y utilidad. Las consecuencias jurídicas para los demás licitadores, que se deriven de la resolución del Tribunal Administrativo Central de Recursos Contractuales sobre el acuerdo de adjudicación, en la extensión anteriormente reconocida, dependerá del sentido, contenido y alcance de </w:t>
      </w:r>
      <w:proofErr w:type="gramStart"/>
      <w:r>
        <w:rPr>
          <w:rStyle w:val="Ninguno"/>
        </w:rPr>
        <w:t>la misma</w:t>
      </w:r>
      <w:proofErr w:type="gramEnd"/>
      <w:r>
        <w:rPr>
          <w:rStyle w:val="Ninguno"/>
        </w:rPr>
        <w:t>, pudiendo abarcar en la vía judicial posterior la tutela restitutoria o resarcitoria, en función de las circunstancias de cada caso y situación.</w:t>
      </w:r>
    </w:p>
    <w:p w14:paraId="11E590BD" w14:textId="77777777" w:rsidR="003F223C" w:rsidRDefault="00B66A92">
      <w:pPr>
        <w:pStyle w:val="Standard"/>
        <w:keepNext/>
        <w:keepLines/>
        <w:spacing w:after="198" w:line="288" w:lineRule="auto"/>
        <w:jc w:val="both"/>
        <w:outlineLvl w:val="1"/>
      </w:pPr>
      <w:hyperlink r:id="rId145">
        <w:r>
          <w:rPr>
            <w:rStyle w:val="Hyperlink0"/>
          </w:rPr>
          <w:t>https://www.poderjudicial.es/search/AN/openDocument/405aecf2c255cc7fa0a8778d75e36f0d/20260129</w:t>
        </w:r>
      </w:hyperlink>
    </w:p>
    <w:p w14:paraId="2EEE69B2" w14:textId="77777777" w:rsidR="003F223C" w:rsidRDefault="00B66A92" w:rsidP="00A80019">
      <w:pPr>
        <w:pStyle w:val="Standard"/>
        <w:keepNext/>
        <w:keepLines/>
        <w:spacing w:after="80" w:line="240" w:lineRule="auto"/>
        <w:jc w:val="both"/>
        <w:outlineLvl w:val="1"/>
        <w:rPr>
          <w:b/>
          <w:bCs/>
        </w:rPr>
      </w:pPr>
      <w:r>
        <w:rPr>
          <w:rStyle w:val="Ninguno"/>
          <w:b/>
          <w:bCs/>
        </w:rPr>
        <w:t>- (Roj: STS 184/2026) STS 48/2026, de 22 de enero de 2026. Sala de lo Contencioso.</w:t>
      </w:r>
    </w:p>
    <w:p w14:paraId="0B598CA3" w14:textId="77777777" w:rsidR="003F223C" w:rsidRDefault="00B66A92" w:rsidP="00A80019">
      <w:pPr>
        <w:pStyle w:val="Standard"/>
        <w:keepNext/>
        <w:keepLines/>
        <w:spacing w:after="80" w:line="240" w:lineRule="auto"/>
        <w:jc w:val="both"/>
        <w:outlineLvl w:val="1"/>
      </w:pPr>
      <w:r>
        <w:rPr>
          <w:rStyle w:val="Ninguno"/>
        </w:rPr>
        <w:t xml:space="preserve">El TS fija como doctrina jurisprudencial que la decisión de una Diputación Provincial de usar, como medio propio personificado, una sociedad de capital preexistente que no tiene el carácter de sociedad mercantil local, cumpliendo el presupuesto legalmente previsto de adquisición de parte de su capital social, constituye un acuerdo cuya trascendencia organizativa para el sector público empresarial local, y cuya relevancia económico-financiera e impacto en la contratación pública local, obligan a que su adopción corresponda al pleno de la referida corporación. </w:t>
      </w:r>
    </w:p>
    <w:p w14:paraId="0574FAD2" w14:textId="77777777" w:rsidR="003F223C" w:rsidRDefault="00B66A92">
      <w:pPr>
        <w:pStyle w:val="Standard"/>
        <w:keepNext/>
        <w:keepLines/>
        <w:spacing w:after="198" w:line="288" w:lineRule="auto"/>
        <w:jc w:val="both"/>
        <w:outlineLvl w:val="1"/>
      </w:pPr>
      <w:hyperlink r:id="rId146">
        <w:r>
          <w:rPr>
            <w:rStyle w:val="Hyperlink0"/>
          </w:rPr>
          <w:t>https://www.poderjudicial.es/search/AN/openDocument/71d8c9f97b4554b8a0a8778d75e36f0d/20260205</w:t>
        </w:r>
      </w:hyperlink>
    </w:p>
    <w:p w14:paraId="73C70734" w14:textId="77777777" w:rsidR="003F223C" w:rsidRDefault="00B66A92" w:rsidP="00A80019">
      <w:pPr>
        <w:pStyle w:val="Standard"/>
        <w:keepNext/>
        <w:keepLines/>
        <w:spacing w:after="80" w:line="240" w:lineRule="auto"/>
        <w:jc w:val="both"/>
        <w:outlineLvl w:val="1"/>
        <w:rPr>
          <w:b/>
          <w:bCs/>
        </w:rPr>
      </w:pPr>
      <w:r>
        <w:rPr>
          <w:rStyle w:val="Ninguno"/>
          <w:b/>
          <w:bCs/>
        </w:rPr>
        <w:t>- (Roj: STS 217/2026) STS 47/2026, de 22 de enero de 2026. Sala de lo Contencioso.</w:t>
      </w:r>
    </w:p>
    <w:p w14:paraId="356C4995" w14:textId="77777777" w:rsidR="003F223C" w:rsidRDefault="00B66A92" w:rsidP="00A80019">
      <w:pPr>
        <w:pStyle w:val="Standard"/>
        <w:keepNext/>
        <w:keepLines/>
        <w:spacing w:after="80" w:line="240" w:lineRule="auto"/>
        <w:jc w:val="both"/>
        <w:outlineLvl w:val="1"/>
      </w:pPr>
      <w:r>
        <w:rPr>
          <w:rStyle w:val="Ninguno"/>
        </w:rPr>
        <w:t>El TS reitera la doctrina jurisprudencial relativa a que el supuesto de excepción a la aplicabilidad del régimen general de revisión de los actos declarativos de derechos contemplado en la Ley 36/2011, de 10 octubre, reguladora de la jurisdicción social, debe interpretarse en el sentido de que solo exime a las Entidades, órganos u Organismos gestores de la Seguridad Social de instar el correspondiente proceso judicial ante el Juzgado de lo Social competente, cuando la revisión tenga por objeto la rectificación de errores materiales o de hecho ostensibles, manifiestos o indiscutibles y los aritméticos, así como las revisiones motivadas por la constatación de omisiones o inexactitudes en las declaraciones del beneficiario. En los supuestos en que la Tesorería General de la Seguridad Social aprecie la existencia de diferencias en la tarifación debidas a omisiones o inexactitudes constatadas en las declaraciones del beneficiario, puede instar el procedimiento de revisión de oficio y, por tanto, no deberá interesar la revisión ante la Jurisdicción Social.</w:t>
      </w:r>
    </w:p>
    <w:p w14:paraId="164F9DFE" w14:textId="77777777" w:rsidR="003F223C" w:rsidRDefault="00B66A92">
      <w:pPr>
        <w:pStyle w:val="Standard"/>
        <w:keepNext/>
        <w:keepLines/>
        <w:spacing w:after="198" w:line="288" w:lineRule="auto"/>
        <w:jc w:val="both"/>
        <w:outlineLvl w:val="1"/>
      </w:pPr>
      <w:hyperlink r:id="rId147">
        <w:r>
          <w:rPr>
            <w:rStyle w:val="Hyperlink0"/>
          </w:rPr>
          <w:t>https://www.poderjudicial.es/search/AN/openDocument/27de9c377e531103a0a8778d75e36f0d/20260205</w:t>
        </w:r>
      </w:hyperlink>
    </w:p>
    <w:p w14:paraId="076CC9FB" w14:textId="77777777" w:rsidR="003F223C" w:rsidRDefault="00B66A92">
      <w:pPr>
        <w:pStyle w:val="Standard"/>
        <w:keepNext/>
        <w:keepLines/>
        <w:spacing w:after="198" w:line="288" w:lineRule="auto"/>
        <w:jc w:val="both"/>
        <w:outlineLvl w:val="1"/>
        <w:rPr>
          <w:b/>
          <w:bCs/>
        </w:rPr>
      </w:pPr>
      <w:r>
        <w:rPr>
          <w:rStyle w:val="Ninguno"/>
          <w:b/>
          <w:bCs/>
        </w:rPr>
        <w:lastRenderedPageBreak/>
        <w:t>- (Roj: STS 186/2026) STS 44/2026, de 22 de enero de 2026. Sala de lo Contencioso.</w:t>
      </w:r>
    </w:p>
    <w:p w14:paraId="738D5834" w14:textId="3BF64EBF" w:rsidR="003F223C" w:rsidRDefault="00B66A92" w:rsidP="00A80019">
      <w:pPr>
        <w:pStyle w:val="Standard"/>
        <w:keepNext/>
        <w:keepLines/>
        <w:spacing w:after="80" w:line="240" w:lineRule="auto"/>
        <w:jc w:val="both"/>
        <w:outlineLvl w:val="1"/>
      </w:pPr>
      <w:r>
        <w:rPr>
          <w:rStyle w:val="Ninguno"/>
        </w:rPr>
        <w:t>El TS fija como doctrina jurisprudencial que no procede la imposición de penalidades al adjudicatario de un contrato por la falta de formalización de este, cuando se ha omitido en los pliegos rectores de la licitación la información relativa a la subrogación del personal de la empresa contratista saliente.</w:t>
      </w:r>
    </w:p>
    <w:p w14:paraId="107DC1AC" w14:textId="77777777" w:rsidR="003F223C" w:rsidRDefault="00B66A92">
      <w:pPr>
        <w:pStyle w:val="Standard"/>
        <w:keepNext/>
        <w:keepLines/>
        <w:spacing w:after="198" w:line="288" w:lineRule="auto"/>
        <w:jc w:val="both"/>
        <w:outlineLvl w:val="1"/>
      </w:pPr>
      <w:hyperlink r:id="rId148">
        <w:r>
          <w:rPr>
            <w:rStyle w:val="Hyperlink0"/>
          </w:rPr>
          <w:t>https://www.poderjudicial.es/search/AN/openDocument/fde1233ccfd10806a0a8778d75e36f0d/20260205</w:t>
        </w:r>
      </w:hyperlink>
    </w:p>
    <w:p w14:paraId="437BA3D9" w14:textId="77777777" w:rsidR="003F223C" w:rsidRDefault="00B66A92" w:rsidP="00A80019">
      <w:pPr>
        <w:pStyle w:val="Standard"/>
        <w:keepNext/>
        <w:keepLines/>
        <w:spacing w:after="80" w:line="240" w:lineRule="auto"/>
        <w:jc w:val="both"/>
        <w:outlineLvl w:val="1"/>
        <w:rPr>
          <w:b/>
          <w:bCs/>
        </w:rPr>
      </w:pPr>
      <w:r>
        <w:rPr>
          <w:rStyle w:val="Ninguno"/>
          <w:b/>
          <w:bCs/>
        </w:rPr>
        <w:t>- (Roj: STS 178/2026) STS 50/2026, de 26 de enero de 2026. Sala de lo Contencioso.</w:t>
      </w:r>
    </w:p>
    <w:p w14:paraId="794996CB" w14:textId="77777777" w:rsidR="003F223C" w:rsidRDefault="00B66A92" w:rsidP="00A80019">
      <w:pPr>
        <w:pStyle w:val="Standard"/>
        <w:keepNext/>
        <w:keepLines/>
        <w:spacing w:after="80" w:line="240" w:lineRule="auto"/>
        <w:jc w:val="both"/>
        <w:outlineLvl w:val="1"/>
      </w:pPr>
      <w:r>
        <w:rPr>
          <w:rStyle w:val="Ninguno"/>
        </w:rPr>
        <w:t>El TS declara que esta prohibición de contratar, cuando trae causa de una sanción firme por falseamiento de la competencia, puede acordarse en la propia resolución sancionadora por la autoridad administrativa competente en materia de competencia, que podrá establecer su alcance y duración conforme a lo dispuesto normativamente; cuando la resolución sancionadora no contenga dicha determinación, la fijación del alcance y la duración de la prohibición corresponde a la autoridad contractual mediante el procedimiento específico previsto normativamente.</w:t>
      </w:r>
    </w:p>
    <w:p w14:paraId="172AD738" w14:textId="77777777" w:rsidR="003F223C" w:rsidRDefault="00B66A92">
      <w:pPr>
        <w:pStyle w:val="Standard"/>
        <w:keepNext/>
        <w:keepLines/>
        <w:spacing w:after="198" w:line="288" w:lineRule="auto"/>
        <w:jc w:val="both"/>
        <w:outlineLvl w:val="1"/>
      </w:pPr>
      <w:hyperlink r:id="rId149">
        <w:r>
          <w:rPr>
            <w:rStyle w:val="Hyperlink0"/>
          </w:rPr>
          <w:t>https://www.poderjudicial.es/search/AN/openDocument/6d152a7f782fb4f9a0a8778d75e36f0d/20260206</w:t>
        </w:r>
      </w:hyperlink>
    </w:p>
    <w:p w14:paraId="618F415B" w14:textId="77777777" w:rsidR="003F223C" w:rsidRDefault="00B66A92" w:rsidP="00A80019">
      <w:pPr>
        <w:pStyle w:val="Standard"/>
        <w:keepNext/>
        <w:keepLines/>
        <w:spacing w:after="80" w:line="240" w:lineRule="auto"/>
        <w:jc w:val="both"/>
        <w:outlineLvl w:val="1"/>
        <w:rPr>
          <w:b/>
          <w:bCs/>
        </w:rPr>
      </w:pPr>
      <w:r>
        <w:rPr>
          <w:rStyle w:val="Ninguno"/>
          <w:b/>
          <w:bCs/>
        </w:rPr>
        <w:t>- (Roj: STS 197/2026) STS 61/2026, de 27 de enero de 2026. Sala de lo Contencioso.</w:t>
      </w:r>
    </w:p>
    <w:p w14:paraId="4FCB1ADF" w14:textId="77777777" w:rsidR="003F223C" w:rsidRDefault="00B66A92" w:rsidP="00A80019">
      <w:pPr>
        <w:pStyle w:val="Standard"/>
        <w:keepNext/>
        <w:keepLines/>
        <w:spacing w:after="80" w:line="240" w:lineRule="auto"/>
        <w:jc w:val="both"/>
        <w:outlineLvl w:val="1"/>
      </w:pPr>
      <w:r>
        <w:rPr>
          <w:rStyle w:val="Ninguno"/>
        </w:rPr>
        <w:t xml:space="preserve">El TS declara que la Administración autonómica encargada de la vacunación contra el Covid-19, dado el carácter excepcional de la pandemia internacional declarada en marzo de 2020, únicamente deberá responder por la actuación administrativa que derivase de una mala praxis cuando resultase contraria a la “lex </w:t>
      </w:r>
      <w:proofErr w:type="spellStart"/>
      <w:r>
        <w:rPr>
          <w:rStyle w:val="Ninguno"/>
        </w:rPr>
        <w:t>artis</w:t>
      </w:r>
      <w:proofErr w:type="spellEnd"/>
      <w:r>
        <w:rPr>
          <w:rStyle w:val="Ninguno"/>
        </w:rPr>
        <w:t xml:space="preserve"> ad hoc” o respecto de la cual se acreditase la existencia de una falta de diligencia debida, sin que puedan imputársele todos los efectos adversos producidos, en algunas personas, por la inoculación de las vacunas en aquel contexto de emergencia sanitaria.</w:t>
      </w:r>
    </w:p>
    <w:p w14:paraId="3DD2BC8C" w14:textId="77777777" w:rsidR="003F223C" w:rsidRDefault="00B66A92">
      <w:pPr>
        <w:pStyle w:val="Standard"/>
        <w:keepNext/>
        <w:keepLines/>
        <w:spacing w:after="198" w:line="288" w:lineRule="auto"/>
        <w:jc w:val="both"/>
        <w:outlineLvl w:val="1"/>
      </w:pPr>
      <w:hyperlink r:id="rId150">
        <w:r>
          <w:rPr>
            <w:rStyle w:val="Hyperlink0"/>
          </w:rPr>
          <w:t>https://www.poderjudicial.es/search/AN/openDocument/bc8000af5a2b2402a0a8778d75e36f0d/20260205</w:t>
        </w:r>
      </w:hyperlink>
    </w:p>
    <w:p w14:paraId="5898110A" w14:textId="77777777" w:rsidR="003F223C" w:rsidRDefault="00B66A92" w:rsidP="00A80019">
      <w:pPr>
        <w:pStyle w:val="Standard"/>
        <w:keepNext/>
        <w:keepLines/>
        <w:spacing w:after="198" w:line="240" w:lineRule="auto"/>
        <w:jc w:val="both"/>
        <w:outlineLvl w:val="1"/>
        <w:rPr>
          <w:b/>
          <w:bCs/>
        </w:rPr>
      </w:pPr>
      <w:r>
        <w:rPr>
          <w:rStyle w:val="Ninguno"/>
          <w:b/>
          <w:bCs/>
        </w:rPr>
        <w:t>- (Roj: STS 188/2026) STS 69/2026, de 28 de enero de 2026. Sala de lo Contencioso.</w:t>
      </w:r>
    </w:p>
    <w:p w14:paraId="5CD27FBA" w14:textId="7337D8F7" w:rsidR="003F223C" w:rsidRDefault="00B66A92" w:rsidP="00A80019">
      <w:pPr>
        <w:pStyle w:val="Standard"/>
        <w:keepNext/>
        <w:keepLines/>
        <w:spacing w:after="80" w:line="240" w:lineRule="auto"/>
        <w:jc w:val="both"/>
        <w:outlineLvl w:val="1"/>
      </w:pPr>
      <w:r>
        <w:rPr>
          <w:rStyle w:val="Ninguno"/>
        </w:rPr>
        <w:t>El TS establece que, el establecimiento de una limitación a la autonomía de las partes para actualizar el importe de la renta no afecta al contenido esencial del derecho al no alterarlo hasta hacerlo irreconocible, lo cual solo tendría lugar si se suprimiera esencialmente la utilidad económica del negocio arrendatario que es la obtención de una renta. Para que pueda apreciarse la responsabilidad patrimonial del Estado legislador por la aplicación de actos legislativos de naturaleza no expropiatoria de derechos es precisa la concurrencia simultánea de dos requisitos: en primer lugar, que tales actos legislativos ocasionen un daño a sus destinatarios que estos no tengan el deber jurídico de soportar y, en segundo término, que los propios actos prevean la indemnización por tales daños.</w:t>
      </w:r>
    </w:p>
    <w:p w14:paraId="127AED45" w14:textId="77777777" w:rsidR="003F223C" w:rsidRDefault="00B66A92">
      <w:pPr>
        <w:pStyle w:val="Standard"/>
        <w:keepNext/>
        <w:keepLines/>
        <w:spacing w:after="198" w:line="288" w:lineRule="auto"/>
        <w:jc w:val="both"/>
        <w:outlineLvl w:val="1"/>
      </w:pPr>
      <w:hyperlink r:id="rId151">
        <w:r>
          <w:rPr>
            <w:rStyle w:val="Hyperlink0"/>
          </w:rPr>
          <w:t>https://www.poderjudicial.es/search/AN/openDocument/9ec8e0671fd07e2ea0a8778d75e36f0d/20260205</w:t>
        </w:r>
      </w:hyperlink>
    </w:p>
    <w:p w14:paraId="10ED3CB9" w14:textId="77777777" w:rsidR="003F223C" w:rsidRDefault="00B66A92">
      <w:pPr>
        <w:pStyle w:val="Standard"/>
        <w:keepNext/>
        <w:keepLines/>
        <w:spacing w:after="198" w:line="288" w:lineRule="auto"/>
        <w:jc w:val="both"/>
        <w:outlineLvl w:val="1"/>
        <w:rPr>
          <w:b/>
          <w:bCs/>
        </w:rPr>
      </w:pPr>
      <w:r>
        <w:rPr>
          <w:rStyle w:val="Ninguno"/>
          <w:b/>
          <w:bCs/>
        </w:rPr>
        <w:lastRenderedPageBreak/>
        <w:t>- (Roj: STS 189/2026) STS 67/2026, de 28 de enero de 2026. Sala de lo Contencioso.</w:t>
      </w:r>
    </w:p>
    <w:p w14:paraId="783F31B6" w14:textId="77777777" w:rsidR="003F223C" w:rsidRDefault="00B66A92" w:rsidP="00373233">
      <w:pPr>
        <w:pStyle w:val="Standard"/>
        <w:keepNext/>
        <w:keepLines/>
        <w:spacing w:after="80" w:line="288" w:lineRule="auto"/>
        <w:jc w:val="both"/>
        <w:outlineLvl w:val="1"/>
      </w:pPr>
      <w:r>
        <w:rPr>
          <w:rStyle w:val="Ninguno"/>
        </w:rPr>
        <w:t>El TS establece que, cuando una Sentencia establece la forma en que deben aplicarse las cláusulas para practicar la liquidación del contrato de concesión, si no se cumplen dichos mandatos, la liquidación es nula de pleno derecho.</w:t>
      </w:r>
    </w:p>
    <w:p w14:paraId="2B630F46" w14:textId="77777777" w:rsidR="003F223C" w:rsidRDefault="00B66A92">
      <w:pPr>
        <w:pStyle w:val="Standard"/>
        <w:keepNext/>
        <w:keepLines/>
        <w:spacing w:after="198" w:line="288" w:lineRule="auto"/>
        <w:jc w:val="both"/>
        <w:outlineLvl w:val="1"/>
      </w:pPr>
      <w:hyperlink r:id="rId152">
        <w:r>
          <w:rPr>
            <w:rStyle w:val="Hyperlink0"/>
          </w:rPr>
          <w:t>https://www.poderjudicial.es/search/AN/openDocument/977aebf6486fb724a0a8778d75e36f0d/20260205</w:t>
        </w:r>
      </w:hyperlink>
    </w:p>
    <w:p w14:paraId="124DC986" w14:textId="77777777" w:rsidR="003F223C" w:rsidRDefault="00B66A92">
      <w:pPr>
        <w:pStyle w:val="Standard"/>
        <w:keepNext/>
        <w:keepLines/>
        <w:spacing w:after="198" w:line="288" w:lineRule="auto"/>
        <w:jc w:val="both"/>
        <w:outlineLvl w:val="1"/>
        <w:rPr>
          <w:b/>
          <w:bCs/>
        </w:rPr>
      </w:pPr>
      <w:r>
        <w:rPr>
          <w:rStyle w:val="Ninguno"/>
          <w:b/>
          <w:bCs/>
        </w:rPr>
        <w:t>- (Roj: STS 191/2026) STS 68/2026, de 28 de enero de 2026. Sala de lo Contencioso.</w:t>
      </w:r>
    </w:p>
    <w:p w14:paraId="4D38CC08" w14:textId="77777777" w:rsidR="003F223C" w:rsidRDefault="00B66A92" w:rsidP="00373233">
      <w:pPr>
        <w:pStyle w:val="Standard"/>
        <w:keepNext/>
        <w:keepLines/>
        <w:spacing w:after="80" w:line="288" w:lineRule="auto"/>
        <w:jc w:val="both"/>
        <w:outlineLvl w:val="1"/>
      </w:pPr>
      <w:r>
        <w:rPr>
          <w:rStyle w:val="Ninguno"/>
        </w:rPr>
        <w:t>El TS establece que, la declaración de nulidad de una disposición reglamentaria acordada en sentencia solo despliega plenos efectos una vez que dicha declaración ha adquirido firmeza, salvo que se hubiera acordado la ejecución provisional de la sentencia.</w:t>
      </w:r>
    </w:p>
    <w:p w14:paraId="16F82B25" w14:textId="77777777" w:rsidR="003F223C" w:rsidRDefault="00B66A92">
      <w:pPr>
        <w:pStyle w:val="Standard"/>
        <w:keepNext/>
        <w:keepLines/>
        <w:spacing w:after="198" w:line="288" w:lineRule="auto"/>
        <w:jc w:val="both"/>
        <w:outlineLvl w:val="1"/>
      </w:pPr>
      <w:hyperlink r:id="rId153">
        <w:r>
          <w:rPr>
            <w:rStyle w:val="Hyperlink0"/>
          </w:rPr>
          <w:t>https://www.poderjudicial.es/search/AN/openDocument/201842b6df658542a0a8778d75e36f0d/20260205</w:t>
        </w:r>
      </w:hyperlink>
    </w:p>
    <w:p w14:paraId="499BF4EB" w14:textId="77777777" w:rsidR="003F223C" w:rsidRDefault="00B66A92">
      <w:pPr>
        <w:pStyle w:val="Standard"/>
        <w:keepNext/>
        <w:keepLines/>
        <w:spacing w:after="198" w:line="288" w:lineRule="auto"/>
        <w:jc w:val="both"/>
        <w:outlineLvl w:val="1"/>
        <w:rPr>
          <w:b/>
          <w:bCs/>
        </w:rPr>
      </w:pPr>
      <w:r>
        <w:rPr>
          <w:rStyle w:val="Ninguno"/>
          <w:b/>
          <w:bCs/>
        </w:rPr>
        <w:t>- (Roj: STS 325/2026) STS 89/2026, de 2 de febrero de 2026. Sala de lo Contencioso.</w:t>
      </w:r>
    </w:p>
    <w:p w14:paraId="7F0FCA56" w14:textId="77777777" w:rsidR="003F223C" w:rsidRDefault="00B66A92">
      <w:pPr>
        <w:pStyle w:val="Standard"/>
        <w:keepNext/>
        <w:keepLines/>
        <w:spacing w:after="198" w:line="288" w:lineRule="auto"/>
        <w:jc w:val="both"/>
        <w:outlineLvl w:val="1"/>
      </w:pPr>
      <w:r>
        <w:rPr>
          <w:rStyle w:val="Ninguno"/>
        </w:rPr>
        <w:t>Una central sindical fue obligada a reintegrar una subvención de 9.882,66 euros más intereses, tras la comprobación administrativa que consideró que el gasto justificado por la prestación de un servicio era superior al valor de mercado, a pesar de que la beneficiaria había solicitado tres presupuestos y elegido la oferta más económica.</w:t>
      </w:r>
    </w:p>
    <w:p w14:paraId="1BD245D2" w14:textId="77777777" w:rsidR="003F223C" w:rsidRDefault="00B66A92">
      <w:pPr>
        <w:pStyle w:val="Standard"/>
        <w:keepNext/>
        <w:keepLines/>
        <w:spacing w:after="198" w:line="288" w:lineRule="auto"/>
        <w:jc w:val="both"/>
        <w:outlineLvl w:val="1"/>
      </w:pPr>
      <w:r>
        <w:rPr>
          <w:rStyle w:val="Ninguno"/>
        </w:rPr>
        <w:t>Se determina que la presentación de tres ofertas y la elección de la más económica no limita ni excluye la facultad de la Administración para comprobar que el gasto se ajusta a los valores de mercado, fijándose esta doctrina como criterio jurisprudencial.</w:t>
      </w:r>
    </w:p>
    <w:p w14:paraId="6CCD5770" w14:textId="77777777" w:rsidR="003F223C" w:rsidRDefault="00B66A92" w:rsidP="00373233">
      <w:pPr>
        <w:pStyle w:val="Standard"/>
        <w:keepNext/>
        <w:keepLines/>
        <w:spacing w:after="80" w:line="288" w:lineRule="auto"/>
        <w:jc w:val="both"/>
        <w:outlineLvl w:val="1"/>
      </w:pPr>
      <w:r>
        <w:rPr>
          <w:rStyle w:val="Ninguno"/>
        </w:rPr>
        <w:t>La interpretación conjunta de los artículos 31.1 y 3, y 33 de la Ley 38/2003, General de Subvenciones, junto con el artículo 83.2 del Reglamento aprobado por el Real Decreto 887/2006, establece que la Administración tiene facultad para verificar el ajuste del gasto a valores de mercado en todo caso, sin excepción por la presentación de tres ofertas, garantizando así el control de los fondos públicos y la correcta fiscalización.</w:t>
      </w:r>
    </w:p>
    <w:p w14:paraId="1CA04ED6" w14:textId="77777777" w:rsidR="003F223C" w:rsidRDefault="00B66A92">
      <w:pPr>
        <w:pStyle w:val="Standard"/>
        <w:keepNext/>
        <w:keepLines/>
        <w:spacing w:after="198" w:line="288" w:lineRule="auto"/>
        <w:jc w:val="both"/>
        <w:outlineLvl w:val="1"/>
      </w:pPr>
      <w:hyperlink r:id="rId154">
        <w:r>
          <w:rPr>
            <w:rStyle w:val="Hyperlink0"/>
          </w:rPr>
          <w:t>https://www.poderjudicial.es/search/AN/openDocument/c5200d20faf35b4fa0a8778d75e36f0d/20260212</w:t>
        </w:r>
      </w:hyperlink>
    </w:p>
    <w:p w14:paraId="4CFD37FD" w14:textId="77777777" w:rsidR="003F223C" w:rsidRDefault="00B66A92">
      <w:pPr>
        <w:pStyle w:val="Standard"/>
        <w:keepNext/>
        <w:keepLines/>
        <w:spacing w:after="198" w:line="288" w:lineRule="auto"/>
        <w:jc w:val="both"/>
        <w:outlineLvl w:val="1"/>
        <w:rPr>
          <w:b/>
          <w:bCs/>
        </w:rPr>
      </w:pPr>
      <w:r>
        <w:rPr>
          <w:rStyle w:val="Ninguno"/>
          <w:b/>
          <w:bCs/>
        </w:rPr>
        <w:t>- (Roj: STS 310/2026) STS 98/2026, de 3 de febrero de 2026. Sala de lo Contencioso.</w:t>
      </w:r>
    </w:p>
    <w:p w14:paraId="2959D35B" w14:textId="77777777" w:rsidR="003F223C" w:rsidRDefault="00B66A92">
      <w:pPr>
        <w:pStyle w:val="Standard"/>
        <w:keepNext/>
        <w:keepLines/>
        <w:spacing w:after="198" w:line="288" w:lineRule="auto"/>
        <w:jc w:val="both"/>
        <w:outlineLvl w:val="1"/>
      </w:pPr>
      <w:r>
        <w:rPr>
          <w:rStyle w:val="Ninguno"/>
        </w:rPr>
        <w:t xml:space="preserve">El Ayuntamiento de Osuna solicitó una subvención para un proyecto de intervención urbana, pero la solicitud fue denegada por la Junta de Andalucía al no presentar el acuerdo del Pleno municipal que autorizara la aceptación de los compromisos derivados de la subvención, siendo la solicitud firmada únicamente por el </w:t>
      </w:r>
      <w:proofErr w:type="gramStart"/>
      <w:r>
        <w:rPr>
          <w:rStyle w:val="Ninguno"/>
        </w:rPr>
        <w:t>Alcalde</w:t>
      </w:r>
      <w:proofErr w:type="gramEnd"/>
      <w:r>
        <w:rPr>
          <w:rStyle w:val="Ninguno"/>
        </w:rPr>
        <w:t>.</w:t>
      </w:r>
    </w:p>
    <w:p w14:paraId="760E19DB" w14:textId="77777777" w:rsidR="003F223C" w:rsidRDefault="00B66A92">
      <w:pPr>
        <w:pStyle w:val="Standard"/>
        <w:keepNext/>
        <w:keepLines/>
        <w:spacing w:after="198" w:line="288" w:lineRule="auto"/>
        <w:jc w:val="both"/>
        <w:outlineLvl w:val="1"/>
      </w:pPr>
      <w:r>
        <w:rPr>
          <w:rStyle w:val="Ninguno"/>
        </w:rPr>
        <w:lastRenderedPageBreak/>
        <w:t xml:space="preserve">Se concluye que las bases de la convocatoria no pueden alterar el régimen competencial legalmente establecido ni exigir que la solicitud de subvención sea avalada o presentada por un órgano distinto al que tiene legalmente atribuida la competencia, en este caso, el </w:t>
      </w:r>
      <w:proofErr w:type="gramStart"/>
      <w:r>
        <w:rPr>
          <w:rStyle w:val="Ninguno"/>
        </w:rPr>
        <w:t>Alcalde</w:t>
      </w:r>
      <w:proofErr w:type="gramEnd"/>
      <w:r>
        <w:rPr>
          <w:rStyle w:val="Ninguno"/>
        </w:rPr>
        <w:t>; por tanto, no es conforme a derecho exigir el acuerdo del Pleno para la solicitud de la subvención.</w:t>
      </w:r>
    </w:p>
    <w:p w14:paraId="1602D18F" w14:textId="77777777" w:rsidR="003F223C" w:rsidRDefault="00B66A92" w:rsidP="00373233">
      <w:pPr>
        <w:pStyle w:val="Standard"/>
        <w:keepNext/>
        <w:keepLines/>
        <w:spacing w:after="80" w:line="288" w:lineRule="auto"/>
        <w:jc w:val="both"/>
        <w:outlineLvl w:val="1"/>
      </w:pPr>
      <w:r>
        <w:rPr>
          <w:rStyle w:val="Ninguno"/>
        </w:rPr>
        <w:t>La competencia para solicitar y asumir compromisos derivados de subvenciones corresponde al órgano legalmente atribuido, conforme a los artículos 21 y 22 de la Ley 7/1985, de Bases de Régimen Local, y el artículo 8 de la Ley 40/2015, que establecen que la competencia es irrenunciable y debe ejercerse por el órgano competente; además, la exigencia del acuerdo del Pleno como requisito subjetivo para la concesión de la subvención carece de cobertura legal y altera indebidamente el régimen competencial, como se ha establecido en la jurisprudencia del Tribunal Supremo, especialmente en las sentencias 1862/2018 y 1526/2019.</w:t>
      </w:r>
    </w:p>
    <w:p w14:paraId="052E1D1D" w14:textId="77777777" w:rsidR="003F223C" w:rsidRDefault="00B66A92">
      <w:pPr>
        <w:pStyle w:val="Standard"/>
        <w:keepNext/>
        <w:keepLines/>
        <w:spacing w:after="198" w:line="288" w:lineRule="auto"/>
        <w:jc w:val="both"/>
        <w:outlineLvl w:val="1"/>
      </w:pPr>
      <w:hyperlink r:id="rId155">
        <w:r>
          <w:rPr>
            <w:rStyle w:val="Hyperlink0"/>
          </w:rPr>
          <w:t>https://www.poderjudicial.es/search/AN/openDocument/6714e32438c3fb16a0a8778d75e36f0d/20260212</w:t>
        </w:r>
      </w:hyperlink>
    </w:p>
    <w:p w14:paraId="39E06C07" w14:textId="77777777" w:rsidR="003F223C" w:rsidRDefault="00B66A92">
      <w:pPr>
        <w:pStyle w:val="Standard"/>
        <w:keepNext/>
        <w:keepLines/>
        <w:spacing w:after="198" w:line="288" w:lineRule="auto"/>
        <w:jc w:val="both"/>
        <w:outlineLvl w:val="1"/>
        <w:rPr>
          <w:b/>
          <w:bCs/>
        </w:rPr>
      </w:pPr>
      <w:r>
        <w:rPr>
          <w:rStyle w:val="Ninguno"/>
          <w:b/>
          <w:bCs/>
        </w:rPr>
        <w:t>- (Roj: STS 269/2026) STS 104/2026, de 4 de febrero de 2026. Sala de lo Contencioso.</w:t>
      </w:r>
    </w:p>
    <w:p w14:paraId="719D1378" w14:textId="77777777" w:rsidR="003F223C" w:rsidRDefault="00B66A92">
      <w:pPr>
        <w:pStyle w:val="Standard"/>
        <w:keepNext/>
        <w:keepLines/>
        <w:spacing w:after="198" w:line="288" w:lineRule="auto"/>
        <w:jc w:val="both"/>
        <w:outlineLvl w:val="1"/>
      </w:pPr>
      <w:r>
        <w:rPr>
          <w:rStyle w:val="Ninguno"/>
        </w:rPr>
        <w:t>La Confederación Nacional de Centros Especiales de Empleo impugnó la exclusión de los centros especiales de empleo que no son de iniciativa social en un procedimiento de contratación pública para el servicio de limpieza de centros dependientes de la Gerencia Territorial de Servicios Sociales de Palencia, basándose en la reserva de contratos establecida en la Ley 9/2017 a favor exclusivamente de los centros de iniciativa social.</w:t>
      </w:r>
    </w:p>
    <w:p w14:paraId="3200D503" w14:textId="77777777" w:rsidR="003F223C" w:rsidRDefault="00B66A92">
      <w:pPr>
        <w:pStyle w:val="Standard"/>
        <w:keepNext/>
        <w:keepLines/>
        <w:spacing w:after="198" w:line="288" w:lineRule="auto"/>
        <w:jc w:val="both"/>
        <w:outlineLvl w:val="1"/>
      </w:pPr>
      <w:r>
        <w:rPr>
          <w:rStyle w:val="Ninguno"/>
        </w:rPr>
        <w:t>Se concluye que la reserva de contratos públicos a favor exclusivamente de los centros especiales de empleo de iniciativa social no vulnera los principios de igualdad de trato ni de proporcionalidad, confirmando la doctrina previa y fijando jurisprudencia en este sentido.</w:t>
      </w:r>
    </w:p>
    <w:p w14:paraId="64F895A6" w14:textId="77777777" w:rsidR="003F223C" w:rsidRDefault="00B66A92" w:rsidP="00373233">
      <w:pPr>
        <w:pStyle w:val="Standard"/>
        <w:keepNext/>
        <w:keepLines/>
        <w:spacing w:after="80" w:line="288" w:lineRule="auto"/>
        <w:jc w:val="both"/>
        <w:outlineLvl w:val="1"/>
      </w:pPr>
      <w:r>
        <w:rPr>
          <w:rStyle w:val="Ninguno"/>
        </w:rPr>
        <w:t>La decisión se fundamenta en la interpretación del artículo 20 de la Directiva 2014/24/UE y la sentencia del Tribunal de Justicia de la Unión Europea de 6 de octubre de 2021, que permiten a los Estados miembros imponer requisitos adicionales para la reserva de contratos siempre que respeten los principios de igualdad y proporcionalidad, y en la justificación objetiva y razonable de la diferenciación legal entre centros de iniciativa social y empresarial basada en su naturaleza sin ánimo de lucro y compromiso de reinversión de beneficios para la inserción laboral de personas con discapacidad.</w:t>
      </w:r>
    </w:p>
    <w:p w14:paraId="2F91FF09" w14:textId="77777777" w:rsidR="003F223C" w:rsidRDefault="00B66A92">
      <w:pPr>
        <w:pStyle w:val="Standard"/>
        <w:keepNext/>
        <w:keepLines/>
        <w:spacing w:after="198" w:line="288" w:lineRule="auto"/>
        <w:jc w:val="both"/>
        <w:outlineLvl w:val="1"/>
      </w:pPr>
      <w:hyperlink r:id="rId156">
        <w:r>
          <w:rPr>
            <w:rStyle w:val="Hyperlink0"/>
          </w:rPr>
          <w:t>https://www.poderjudicial.es/search/AN/openDocument/154960f30f9e07fba0a8778d75e36f0d/20260212</w:t>
        </w:r>
      </w:hyperlink>
    </w:p>
    <w:p w14:paraId="5C8801C9" w14:textId="77777777" w:rsidR="00A80019" w:rsidRDefault="00A80019">
      <w:pPr>
        <w:suppressAutoHyphens/>
        <w:overflowPunct/>
        <w:rPr>
          <w:rStyle w:val="Ninguno"/>
          <w:rFonts w:ascii="Calibri" w:eastAsia="Calibri" w:hAnsi="Calibri" w:cs="Calibri"/>
          <w:b/>
          <w:bCs/>
          <w:color w:val="000000"/>
          <w:sz w:val="22"/>
          <w:szCs w:val="22"/>
          <w:lang w:val="es-ES_tradnl" w:eastAsia="zh-CN" w:bidi="hi-IN"/>
        </w:rPr>
      </w:pPr>
      <w:r>
        <w:rPr>
          <w:rStyle w:val="Ninguno"/>
          <w:b/>
          <w:bCs/>
        </w:rPr>
        <w:br w:type="page"/>
      </w:r>
    </w:p>
    <w:p w14:paraId="0EF1CE2B" w14:textId="5007F67D" w:rsidR="003F223C" w:rsidRDefault="00B66A92">
      <w:pPr>
        <w:pStyle w:val="Standard"/>
        <w:keepNext/>
        <w:keepLines/>
        <w:spacing w:after="198" w:line="288" w:lineRule="auto"/>
        <w:jc w:val="both"/>
        <w:outlineLvl w:val="1"/>
        <w:rPr>
          <w:b/>
          <w:bCs/>
        </w:rPr>
      </w:pPr>
      <w:r>
        <w:rPr>
          <w:rStyle w:val="Ninguno"/>
          <w:b/>
          <w:bCs/>
        </w:rPr>
        <w:lastRenderedPageBreak/>
        <w:t>- (Roj: STS 271/2026) STS 105/2026, de 4 de febrero de 2026. Sala de lo Contencioso.</w:t>
      </w:r>
    </w:p>
    <w:p w14:paraId="6D7F0F8D" w14:textId="77777777" w:rsidR="003F223C" w:rsidRDefault="00B66A92">
      <w:pPr>
        <w:pStyle w:val="Standard"/>
        <w:keepNext/>
        <w:keepLines/>
        <w:spacing w:after="198" w:line="288" w:lineRule="auto"/>
        <w:jc w:val="both"/>
        <w:outlineLvl w:val="1"/>
      </w:pPr>
      <w:r>
        <w:rPr>
          <w:rStyle w:val="Ninguno"/>
        </w:rPr>
        <w:t>La Asociación Nacional de Remolcadores de España (ANARE) impugnó la adjudicación directa de un contrato público de remolcador de apoyo temporal otorgado por la Autoridad Portuaria de Baleares mediante un procedimiento de emergencia, alegando falta de legitimación activa para litigar debido a la ausencia de especificación estatutaria de sus facultades procesales.</w:t>
      </w:r>
    </w:p>
    <w:p w14:paraId="3E847C73" w14:textId="77777777" w:rsidR="003F223C" w:rsidRDefault="00B66A92">
      <w:pPr>
        <w:pStyle w:val="Standard"/>
        <w:keepNext/>
        <w:keepLines/>
        <w:spacing w:after="198" w:line="288" w:lineRule="auto"/>
        <w:jc w:val="both"/>
        <w:outlineLvl w:val="1"/>
      </w:pPr>
      <w:r>
        <w:rPr>
          <w:rStyle w:val="Ninguno"/>
        </w:rPr>
        <w:t>Se determina que no es necesario que los estatutos de la asociación individualicen las posibilidades de actuación jurídica para que exista legitimación activa; basta que los intereses colectivos de los asociados estén afectados y que los fines estatutarios incluyan la defensa de dichos intereses, estableciéndose así una doctrina jurisprudencial clara.</w:t>
      </w:r>
    </w:p>
    <w:p w14:paraId="7BA714BA" w14:textId="77777777" w:rsidR="003F223C" w:rsidRDefault="00B66A92" w:rsidP="00373233">
      <w:pPr>
        <w:pStyle w:val="Standard"/>
        <w:keepNext/>
        <w:keepLines/>
        <w:spacing w:after="80" w:line="288" w:lineRule="auto"/>
        <w:jc w:val="both"/>
        <w:outlineLvl w:val="1"/>
      </w:pPr>
      <w:r>
        <w:rPr>
          <w:rStyle w:val="Ninguno"/>
        </w:rPr>
        <w:t>La interpretación del artículo 19.1.b) de la Ley Reguladora de la Jurisdicción Contencioso-Administrativa, en consonancia con el artículo 24.1 de la Constitución, permite una apreciación flexible y casuística de la legitimación activa, especialmente en materia de contratación pública donde se protege el principio de libre concurrencia, reconociendo que la defensa de intereses colectivos empresariales en el mercado es suficiente para legitimar la acción judicial sin exigir una enumeración pormenorizada en los estatutos.</w:t>
      </w:r>
    </w:p>
    <w:p w14:paraId="53D31250" w14:textId="77777777" w:rsidR="003F223C" w:rsidRDefault="00B66A92">
      <w:pPr>
        <w:pStyle w:val="Standard"/>
        <w:keepNext/>
        <w:keepLines/>
        <w:spacing w:after="198" w:line="288" w:lineRule="auto"/>
        <w:jc w:val="both"/>
        <w:outlineLvl w:val="1"/>
      </w:pPr>
      <w:hyperlink r:id="rId157">
        <w:r>
          <w:rPr>
            <w:rStyle w:val="Hyperlink0"/>
          </w:rPr>
          <w:t>https://www.poderjudicial.es/search/AN/openDocument/c723cedf644d09f4a0a8778d75e36f0d/20260212</w:t>
        </w:r>
      </w:hyperlink>
    </w:p>
    <w:p w14:paraId="637272E2" w14:textId="77777777" w:rsidR="003F223C" w:rsidRDefault="00B66A92">
      <w:pPr>
        <w:pStyle w:val="Standard"/>
        <w:keepNext/>
        <w:keepLines/>
        <w:spacing w:after="198" w:line="288" w:lineRule="auto"/>
        <w:jc w:val="both"/>
        <w:outlineLvl w:val="1"/>
        <w:rPr>
          <w:b/>
          <w:bCs/>
        </w:rPr>
      </w:pPr>
      <w:r>
        <w:rPr>
          <w:rStyle w:val="Ninguno"/>
          <w:b/>
          <w:bCs/>
        </w:rPr>
        <w:t>- (Roj: STS 272/2026) STS 106/2026, de 4 de febrero de 2026. Sala de lo Contencioso.</w:t>
      </w:r>
    </w:p>
    <w:p w14:paraId="38AE308D" w14:textId="77777777" w:rsidR="003F223C" w:rsidRDefault="00B66A92">
      <w:pPr>
        <w:pStyle w:val="Standard"/>
        <w:keepNext/>
        <w:keepLines/>
        <w:spacing w:after="198" w:line="288" w:lineRule="auto"/>
        <w:jc w:val="both"/>
        <w:outlineLvl w:val="1"/>
      </w:pPr>
      <w:r>
        <w:rPr>
          <w:rStyle w:val="Ninguno"/>
        </w:rPr>
        <w:t>El Colegio Oficial de Arquitectos de Extremadura impugnó la licitación pública para la redacción y ejecución de obras de mejora de accesibilidad en estaciones de autobuses de Extremadura, cuestionando la valoración de los criterios de adjudicación en relación con la naturaleza intelectual de los servicios de arquitectura.</w:t>
      </w:r>
    </w:p>
    <w:p w14:paraId="0D897302" w14:textId="77777777" w:rsidR="003F223C" w:rsidRDefault="00B66A92">
      <w:pPr>
        <w:pStyle w:val="Standard"/>
        <w:keepNext/>
        <w:keepLines/>
        <w:spacing w:after="198" w:line="288" w:lineRule="auto"/>
        <w:jc w:val="both"/>
        <w:outlineLvl w:val="1"/>
      </w:pPr>
      <w:r>
        <w:rPr>
          <w:rStyle w:val="Ninguno"/>
        </w:rPr>
        <w:t>El Tribunal Supremo establece doctrina casacional fijando que los servicios de arquitectura son prestaciones de carácter intelectual a efectos de la Ley de Contratos del Sector Público, por lo que los criterios de calidad deben representar al menos el 51% de la puntuación en la valoración de las ofertas, anulando la sentencia previa y modificando la interpretación anterior.</w:t>
      </w:r>
    </w:p>
    <w:p w14:paraId="6D0DC8C6" w14:textId="77777777" w:rsidR="003F223C" w:rsidRDefault="00B66A92" w:rsidP="00373233">
      <w:pPr>
        <w:pStyle w:val="Standard"/>
        <w:keepNext/>
        <w:keepLines/>
        <w:spacing w:after="80" w:line="288" w:lineRule="auto"/>
        <w:jc w:val="both"/>
        <w:outlineLvl w:val="1"/>
      </w:pPr>
      <w:r>
        <w:rPr>
          <w:rStyle w:val="Ninguno"/>
        </w:rPr>
        <w:t>La Disposición Adicional 41ª de la Ley 9/2017 reconoce expresamente la naturaleza intelectual de los servicios de arquitectura, y el artículo 145.4 establece que en contratos con prestaciones intelectuales los criterios de calidad deben representar al menos el 51% de la puntuación; esta interpretación prevalece sobre la exigencia de creatividad o innovación vinculada a la propiedad intelectual, conforme a la doctrina reiterada del Tribunal Supremo y la literalidad de la norma.</w:t>
      </w:r>
    </w:p>
    <w:p w14:paraId="44DC44D9" w14:textId="77777777" w:rsidR="003F223C" w:rsidRDefault="00B66A92">
      <w:pPr>
        <w:pStyle w:val="Standard"/>
        <w:keepNext/>
        <w:keepLines/>
        <w:spacing w:after="198" w:line="288" w:lineRule="auto"/>
        <w:jc w:val="both"/>
        <w:outlineLvl w:val="1"/>
      </w:pPr>
      <w:hyperlink r:id="rId158">
        <w:r>
          <w:rPr>
            <w:rStyle w:val="Hyperlink0"/>
          </w:rPr>
          <w:t>https://www.poderjudicial.es/search/AN/openDocument/f05a3a431702d8eda0a8778d75e36f0d/20260212</w:t>
        </w:r>
      </w:hyperlink>
    </w:p>
    <w:p w14:paraId="514A087B" w14:textId="77777777" w:rsidR="003F223C" w:rsidRDefault="00B66A92" w:rsidP="00A80019">
      <w:pPr>
        <w:pStyle w:val="Standard"/>
        <w:keepNext/>
        <w:keepLines/>
        <w:spacing w:after="80" w:line="288" w:lineRule="auto"/>
        <w:jc w:val="both"/>
        <w:outlineLvl w:val="1"/>
        <w:rPr>
          <w:b/>
          <w:bCs/>
        </w:rPr>
      </w:pPr>
      <w:r>
        <w:rPr>
          <w:rStyle w:val="Ninguno"/>
          <w:b/>
          <w:bCs/>
        </w:rPr>
        <w:lastRenderedPageBreak/>
        <w:t>- (Roj: STS 270/2026) STS 101/2026, de 4 de febrero de 2026. Sala de lo Contencioso.</w:t>
      </w:r>
    </w:p>
    <w:p w14:paraId="203433BF" w14:textId="77777777" w:rsidR="003F223C" w:rsidRDefault="00B66A92">
      <w:pPr>
        <w:pStyle w:val="Standard"/>
        <w:keepNext/>
        <w:keepLines/>
        <w:spacing w:after="198" w:line="288" w:lineRule="auto"/>
        <w:jc w:val="both"/>
        <w:outlineLvl w:val="1"/>
      </w:pPr>
      <w:r>
        <w:rPr>
          <w:rStyle w:val="Ninguno"/>
        </w:rPr>
        <w:t>Una empresa dedicada al comercio minorista de combustible para automoción presentó informes periódicos sobre la situación del suelo conforme a la normativa aplicable, tras lo cual la administración impuso la obligación de instalar piezómetros para el control y seguimiento de la calidad del suelo y aguas subterráneas, recurso que fue desestimado en vía administrativa y judicial.</w:t>
      </w:r>
    </w:p>
    <w:p w14:paraId="0DB1F0CB" w14:textId="77777777" w:rsidR="003F223C" w:rsidRDefault="00B66A92">
      <w:pPr>
        <w:pStyle w:val="Standard"/>
        <w:keepNext/>
        <w:keepLines/>
        <w:spacing w:after="198" w:line="288" w:lineRule="auto"/>
        <w:jc w:val="both"/>
        <w:outlineLvl w:val="1"/>
      </w:pPr>
      <w:r>
        <w:rPr>
          <w:rStyle w:val="Ninguno"/>
        </w:rPr>
        <w:t>Se establece como doctrina jurisprudencial que el procedimiento administrativo iniciado por la presentación de informes de situación de suelos debe reputarse iniciado a instancia del interesado, confirmando la sentencia recurrida y rechazando la consideración de procedimiento iniciado de oficio con caducidad.</w:t>
      </w:r>
    </w:p>
    <w:p w14:paraId="7E6F5D61" w14:textId="77777777" w:rsidR="003F223C" w:rsidRDefault="00B66A92" w:rsidP="00373233">
      <w:pPr>
        <w:pStyle w:val="Standard"/>
        <w:keepNext/>
        <w:keepLines/>
        <w:spacing w:after="80" w:line="288" w:lineRule="auto"/>
        <w:jc w:val="both"/>
        <w:outlineLvl w:val="1"/>
      </w:pPr>
      <w:r>
        <w:rPr>
          <w:rStyle w:val="Ninguno"/>
        </w:rPr>
        <w:t>La remisión periódica de informes de situación se enmarca en un procedimiento de control administrativo sucesivo vinculado a una actividad previamente autorizada a instancia del interesado, por lo que no constituye una denuncia que inicie de oficio el procedimiento, conforme a los artículos 25.1.b), 54, 58 y 62.1 de la LPACAP y el artículo 3.4 del RD 9/2005.</w:t>
      </w:r>
    </w:p>
    <w:p w14:paraId="115E56F1" w14:textId="77777777" w:rsidR="003F223C" w:rsidRDefault="00B66A92">
      <w:pPr>
        <w:pStyle w:val="Standard"/>
        <w:keepNext/>
        <w:keepLines/>
        <w:spacing w:after="198" w:line="288" w:lineRule="auto"/>
        <w:jc w:val="both"/>
        <w:outlineLvl w:val="1"/>
      </w:pPr>
      <w:hyperlink r:id="rId159">
        <w:r>
          <w:rPr>
            <w:rStyle w:val="Hyperlink0"/>
          </w:rPr>
          <w:t>https://www.poderjudicial.es/search/AN/openDocument/eec756794925e44fa0a8778d75e36f0d/20260212</w:t>
        </w:r>
      </w:hyperlink>
    </w:p>
    <w:p w14:paraId="6B3A0309" w14:textId="77777777" w:rsidR="003F223C" w:rsidRDefault="00B66A92" w:rsidP="00A80019">
      <w:pPr>
        <w:pStyle w:val="Standard"/>
        <w:keepNext/>
        <w:keepLines/>
        <w:spacing w:after="80" w:line="288" w:lineRule="auto"/>
        <w:jc w:val="both"/>
        <w:outlineLvl w:val="1"/>
        <w:rPr>
          <w:b/>
          <w:bCs/>
        </w:rPr>
      </w:pPr>
      <w:r>
        <w:rPr>
          <w:rStyle w:val="Ninguno"/>
          <w:b/>
          <w:bCs/>
        </w:rPr>
        <w:t>- (Roj: STS 318/2026) STS 114/2026, de 5 de febrero de 2026. Sala de lo Contencioso.</w:t>
      </w:r>
    </w:p>
    <w:p w14:paraId="2B9365E9" w14:textId="77777777" w:rsidR="003F223C" w:rsidRDefault="00B66A92">
      <w:pPr>
        <w:pStyle w:val="Standard"/>
        <w:keepNext/>
        <w:keepLines/>
        <w:spacing w:after="198" w:line="288" w:lineRule="auto"/>
        <w:jc w:val="both"/>
        <w:outlineLvl w:val="1"/>
      </w:pPr>
      <w:r>
        <w:rPr>
          <w:rStyle w:val="Ninguno"/>
        </w:rPr>
        <w:t>La Tesorería General de la Seguridad Social (TGSS) acordó de oficio el alta en el Régimen General de la Seguridad Social de 283 socios de la Cooperativa SERVICARNE como trabajadores por cuenta ajena de la mercantil SADA PA ANDALUCÍA S.A., tras una inspección que consideró que la relación era laboral y no cooperativa.</w:t>
      </w:r>
    </w:p>
    <w:p w14:paraId="50B95603" w14:textId="77777777" w:rsidR="003F223C" w:rsidRDefault="00B66A92">
      <w:pPr>
        <w:pStyle w:val="Standard"/>
        <w:keepNext/>
        <w:keepLines/>
        <w:spacing w:after="198" w:line="288" w:lineRule="auto"/>
        <w:jc w:val="both"/>
        <w:outlineLvl w:val="1"/>
      </w:pPr>
      <w:r>
        <w:rPr>
          <w:rStyle w:val="Ninguno"/>
        </w:rPr>
        <w:t xml:space="preserve">El Tribunal Supremo determina que los tribunales contencioso-administrativos no están vinculados por sentencias no firmes de la Jurisdicción Social y pueden resolver la cuestión a efectos </w:t>
      </w:r>
      <w:proofErr w:type="spellStart"/>
      <w:r>
        <w:rPr>
          <w:rStyle w:val="Ninguno"/>
        </w:rPr>
        <w:t>prejudiciales</w:t>
      </w:r>
      <w:proofErr w:type="spellEnd"/>
      <w:r>
        <w:rPr>
          <w:rStyle w:val="Ninguno"/>
        </w:rPr>
        <w:t>, sin suspender el proceso, aunque deben motivar cualquier discrepancia con la valoración social; por tanto, se confirma la sentencia que anuló las altas de oficio basándose en la sentencia social no firme que calificó la relación como no laboral.</w:t>
      </w:r>
    </w:p>
    <w:p w14:paraId="71259E08" w14:textId="77777777" w:rsidR="003F223C" w:rsidRDefault="00B66A92" w:rsidP="00373233">
      <w:pPr>
        <w:pStyle w:val="Standard"/>
        <w:keepNext/>
        <w:keepLines/>
        <w:spacing w:after="80" w:line="288" w:lineRule="auto"/>
        <w:jc w:val="both"/>
        <w:outlineLvl w:val="1"/>
      </w:pPr>
      <w:r>
        <w:rPr>
          <w:rStyle w:val="Ninguno"/>
        </w:rPr>
        <w:t>Se fundamenta en el artículo 4 de la Ley de la Jurisdicción Contencioso-Administrativa y los artículos 1 y 2 de la Ley reguladora de la Jurisdicción Social, junto con la doctrina constitucional sobre la cosa juzgada y tutela judicial efectiva, que establece que solo las resoluciones firmes vinculan plenamente y que la jurisdicción contencioso-administrativa puede conocer cuestiones prejudiciales sin suspender el proceso, garantizando así la tutela judicial efectiva y evitando dilaciones indebidas.</w:t>
      </w:r>
    </w:p>
    <w:p w14:paraId="4B2C9D28" w14:textId="77777777" w:rsidR="003F223C" w:rsidRDefault="00B66A92">
      <w:pPr>
        <w:pStyle w:val="Standard"/>
        <w:keepNext/>
        <w:keepLines/>
        <w:spacing w:after="198" w:line="288" w:lineRule="auto"/>
        <w:jc w:val="both"/>
        <w:outlineLvl w:val="1"/>
      </w:pPr>
      <w:hyperlink r:id="rId160">
        <w:r>
          <w:rPr>
            <w:rStyle w:val="Hyperlink0"/>
          </w:rPr>
          <w:t>https://www.poderjudicial.es/search/AN/openDocument/25f3cb95d29e5f97a0a8778d75e36f0d/20260212</w:t>
        </w:r>
      </w:hyperlink>
    </w:p>
    <w:p w14:paraId="0995D1F0" w14:textId="77777777" w:rsidR="003F223C" w:rsidRDefault="00B66A92" w:rsidP="00A80019">
      <w:pPr>
        <w:pStyle w:val="Standard"/>
        <w:keepNext/>
        <w:keepLines/>
        <w:spacing w:after="80" w:line="288" w:lineRule="auto"/>
        <w:jc w:val="both"/>
        <w:outlineLvl w:val="1"/>
        <w:rPr>
          <w:b/>
          <w:bCs/>
        </w:rPr>
      </w:pPr>
      <w:r>
        <w:rPr>
          <w:rStyle w:val="Ninguno"/>
          <w:b/>
          <w:bCs/>
        </w:rPr>
        <w:lastRenderedPageBreak/>
        <w:t>- (Roj: STS 400/2026) STS 155/2026, de 16 de febrero de 2026.  Sala de lo Contencioso.</w:t>
      </w:r>
    </w:p>
    <w:p w14:paraId="53A3A5D3" w14:textId="77777777" w:rsidR="003F223C" w:rsidRDefault="00B66A92" w:rsidP="00373233">
      <w:pPr>
        <w:pStyle w:val="Standard"/>
        <w:spacing w:after="80" w:line="288" w:lineRule="auto"/>
        <w:jc w:val="both"/>
        <w:outlineLvl w:val="1"/>
      </w:pPr>
      <w:r>
        <w:rPr>
          <w:rStyle w:val="Ninguno"/>
        </w:rPr>
        <w:t xml:space="preserve">El TS establece que, cuando un licitador ha interpuesto un recurso especial contra el acuerdo de su exclusión del procedimiento de licitación del </w:t>
      </w:r>
      <w:proofErr w:type="gramStart"/>
      <w:r>
        <w:rPr>
          <w:rStyle w:val="Ninguno"/>
        </w:rPr>
        <w:t>contrato  el</w:t>
      </w:r>
      <w:proofErr w:type="gramEnd"/>
      <w:r>
        <w:rPr>
          <w:rStyle w:val="Ninguno"/>
        </w:rPr>
        <w:t xml:space="preserve"> Tribunal Administrativo de Recursos Contractuales dicta resolución desestimando aquel recurso, la exclusión así acordada puede ser impugnada de conformidad con lo establecido en el artículo 59.1 de la Ley de Contratos del Sector Público. Si no se hace de esta forma, adquiere firmeza la resolución y no cabe impugnar de nuevo su exclusión por medio de otro recurso especial contra el posterior acto de adjudicación.</w:t>
      </w:r>
    </w:p>
    <w:p w14:paraId="481D6DFD" w14:textId="77777777" w:rsidR="003F223C" w:rsidRPr="004F1741" w:rsidRDefault="00B66A92" w:rsidP="004F1741">
      <w:pPr>
        <w:pStyle w:val="Standard"/>
        <w:spacing w:after="198" w:line="288" w:lineRule="auto"/>
        <w:jc w:val="both"/>
        <w:outlineLvl w:val="0"/>
        <w:rPr>
          <w:rStyle w:val="Hyperlink0"/>
        </w:rPr>
      </w:pPr>
      <w:hyperlink r:id="rId161">
        <w:r w:rsidRPr="004F1741">
          <w:rPr>
            <w:rStyle w:val="Hyperlink0"/>
          </w:rPr>
          <w:t>https://www.poderjudicial.es/search/AN/openDocument/5b325076b33bd592a0a8778d75e36f0d/20260219</w:t>
        </w:r>
      </w:hyperlink>
    </w:p>
    <w:p w14:paraId="2C1150B0" w14:textId="77777777" w:rsidR="003F223C" w:rsidRDefault="00B66A92" w:rsidP="00A80019">
      <w:pPr>
        <w:pStyle w:val="Standard"/>
        <w:keepNext/>
        <w:keepLines/>
        <w:spacing w:after="80" w:line="288" w:lineRule="auto"/>
        <w:jc w:val="both"/>
        <w:outlineLvl w:val="1"/>
        <w:rPr>
          <w:b/>
          <w:bCs/>
        </w:rPr>
      </w:pPr>
      <w:r>
        <w:rPr>
          <w:rStyle w:val="Ninguno"/>
          <w:b/>
          <w:bCs/>
        </w:rPr>
        <w:t>- (Roj: STS 733/2026) STS 170/2026, de 17 de febrero de 2026.  Sala de lo Contencioso.</w:t>
      </w:r>
    </w:p>
    <w:p w14:paraId="2F51383F" w14:textId="77777777" w:rsidR="003F223C" w:rsidRDefault="00B66A92" w:rsidP="00373233">
      <w:pPr>
        <w:pStyle w:val="Standard"/>
        <w:spacing w:after="80" w:line="288" w:lineRule="auto"/>
        <w:jc w:val="both"/>
        <w:outlineLvl w:val="1"/>
      </w:pPr>
      <w:r>
        <w:rPr>
          <w:rStyle w:val="Ninguno"/>
          <w:color w:val="auto"/>
        </w:rPr>
        <w:t xml:space="preserve">El TS reitera que la novedad introducida normativamente a estos efectos no fue acompañada de regla de derecho transitorio alguna, por lo que sus efectos se desplegaron “ad </w:t>
      </w:r>
      <w:proofErr w:type="spellStart"/>
      <w:r>
        <w:rPr>
          <w:rStyle w:val="Ninguno"/>
          <w:color w:val="auto"/>
        </w:rPr>
        <w:t>futurum</w:t>
      </w:r>
      <w:proofErr w:type="spellEnd"/>
      <w:r>
        <w:rPr>
          <w:rStyle w:val="Ninguno"/>
          <w:color w:val="auto"/>
        </w:rPr>
        <w:t>”, esto es, a partir de su entrada en vigor, luego esa novedad no permite una aplicación retroactiva absoluta o de grado máximo, por lo que su novedad opera para el reconocimiento de nuevos trienios, pero no sobre efectos ya consumados, esto es, respecto de trienios ya reconocidos (FJ 4-5). El derecho al reconocimiento de trienios por los servicios prestados como personal laboral han de ser abonados, tras adquirir la condición de funcionario de carrera, en la cuantía del momento en que fueron perfeccionados, teniendo en cuenta que los trienios, por su propia naturaleza, se devengan en el momento que se cumple el tiempo de servicios necesario para ello de acuerdo con las circunstancias del cuerpo o grupo al que pertenece en ese momento el funcionario y, a partir de ese momento, se incorpora a sus derechos retributivos de modo que su percepción futura se produce con independencia de las vicisitudes de la carrera funcionarial, ya se permanezca en el mismo grupo o se cambie. Respecto de la actualización de la cuantía de los trienios, en relación con los ya perfeccionados, que fueron devengados cuando prestaron servicios como personal laboral si bien luego adquirieron la condición de funcionarios públicos, no puede prosperar porque la aplicación de los convenios que se propugnaba supondría desgajar del sistema de función pública propia del funcionario público, un aspecto medular de su estatuto como son las retribuciones (FJ 6).</w:t>
      </w:r>
    </w:p>
    <w:p w14:paraId="59E7873A" w14:textId="77777777" w:rsidR="003F223C" w:rsidRPr="004F1741" w:rsidRDefault="00B66A92" w:rsidP="004F1741">
      <w:pPr>
        <w:pStyle w:val="Standard"/>
        <w:spacing w:after="198" w:line="288" w:lineRule="auto"/>
        <w:jc w:val="both"/>
        <w:outlineLvl w:val="0"/>
        <w:rPr>
          <w:rStyle w:val="Hyperlink0"/>
        </w:rPr>
      </w:pPr>
      <w:hyperlink r:id="rId162">
        <w:r w:rsidRPr="004F1741">
          <w:rPr>
            <w:rStyle w:val="Hyperlink0"/>
          </w:rPr>
          <w:t>https://www.poderjudicial.es/search/AN/openDocument/1e8ea55de1555d15a0a8778d75e36f0d/20260226</w:t>
        </w:r>
      </w:hyperlink>
    </w:p>
    <w:p w14:paraId="223B9AB5" w14:textId="77777777" w:rsidR="003F223C" w:rsidRDefault="00B66A92" w:rsidP="00A80019">
      <w:pPr>
        <w:pStyle w:val="Standard"/>
        <w:keepNext/>
        <w:keepLines/>
        <w:spacing w:after="80" w:line="288" w:lineRule="auto"/>
        <w:jc w:val="both"/>
        <w:outlineLvl w:val="1"/>
        <w:rPr>
          <w:b/>
          <w:bCs/>
        </w:rPr>
      </w:pPr>
      <w:r>
        <w:rPr>
          <w:rStyle w:val="Ninguno"/>
          <w:b/>
          <w:bCs/>
          <w:color w:val="auto"/>
        </w:rPr>
        <w:t>- (Roj: STS 793/2026) STS 169/2026, de 17 de febrero de 2026.  Sala de lo Contencioso.</w:t>
      </w:r>
    </w:p>
    <w:p w14:paraId="63AAD50A" w14:textId="408B64EE" w:rsidR="003F223C" w:rsidRDefault="00B66A92" w:rsidP="004C7CC2">
      <w:pPr>
        <w:pStyle w:val="Standard"/>
        <w:spacing w:after="80" w:line="288" w:lineRule="auto"/>
        <w:jc w:val="both"/>
        <w:outlineLvl w:val="1"/>
      </w:pPr>
      <w:r>
        <w:rPr>
          <w:rStyle w:val="Ninguno"/>
          <w:bCs/>
          <w:color w:val="333333"/>
        </w:rPr>
        <w:t xml:space="preserve">El TS fija como doctrina jurisprudencial que, en general, la adjudicación de los contratos debe hacerse en base a la mejor relación calidad-precio, para lo cual el legislador ha enumerado ejemplificativamente -no de forma exhaustiva- una serie de criterios de adjudicación que clasifica como criterios económicos y cualitativos. Cualquiera de los criterios de adjudicación cualitativos </w:t>
      </w:r>
      <w:r>
        <w:rPr>
          <w:rStyle w:val="Ninguno"/>
          <w:bCs/>
          <w:color w:val="333333"/>
        </w:rPr>
        <w:lastRenderedPageBreak/>
        <w:t>enumerados normativamente pueden estar relacionados con la calidad en el sentido exigido normativamente, en función de la naturaleza, clase y objeto del contrato de que se trate en cada caso, y siempre que se encuentre vinculado de forma efectiva al objeto del contrato y tenga incidencia real en la calidad de la prestación, lo que deberá ser adecuadamente justificado en el expediente de contratación. La configuración en los pliegos contractuales de la reducción del plazo</w:t>
      </w:r>
      <w:r>
        <w:rPr>
          <w:rStyle w:val="Ninguno"/>
          <w:b/>
          <w:bCs/>
          <w:color w:val="333333"/>
        </w:rPr>
        <w:t> </w:t>
      </w:r>
      <w:r>
        <w:rPr>
          <w:rStyle w:val="Ninguno"/>
          <w:bCs/>
          <w:color w:val="333333"/>
        </w:rPr>
        <w:t>de entrega o ejecución en los contratos de servicios que tienen por objeto prestaciones de carácter intelectual, sin referencia o vinculación a la experiencia del personal adscrito a la ejecución del contrato, puede constituir un criterio de adjudicación relacionado con la calidad, en función del concreto objeto del contrato y siempre que sea susceptible de incidir de forma real y efectiva, favorablemente, en la calidad de la ejecución del contrato o de la prestación, resultando relevante para la mejor satisfacción del interés público</w:t>
      </w:r>
      <w:r w:rsidR="004C7CC2">
        <w:rPr>
          <w:rStyle w:val="Ninguno"/>
          <w:bCs/>
          <w:color w:val="333333"/>
        </w:rPr>
        <w:t xml:space="preserve"> </w:t>
      </w:r>
      <w:r>
        <w:rPr>
          <w:rStyle w:val="Ninguno"/>
          <w:bCs/>
          <w:color w:val="333333"/>
        </w:rPr>
        <w:t>perseguido en la contratación.</w:t>
      </w:r>
    </w:p>
    <w:p w14:paraId="2BBBBED2" w14:textId="77777777" w:rsidR="003F223C" w:rsidRPr="004F1741" w:rsidRDefault="00B66A92" w:rsidP="004F1741">
      <w:pPr>
        <w:pStyle w:val="Standard"/>
        <w:spacing w:after="198" w:line="288" w:lineRule="auto"/>
        <w:jc w:val="both"/>
        <w:outlineLvl w:val="0"/>
        <w:rPr>
          <w:rStyle w:val="Hyperlink0"/>
        </w:rPr>
      </w:pPr>
      <w:hyperlink r:id="rId163">
        <w:r w:rsidRPr="004F1741">
          <w:rPr>
            <w:rStyle w:val="Hyperlink0"/>
          </w:rPr>
          <w:t>https://www.poderjudicial.es/search/AN/openDocument/5e258131bda88cc7a0a8778d75e36f0d/20260305</w:t>
        </w:r>
      </w:hyperlink>
    </w:p>
    <w:p w14:paraId="5C943E20" w14:textId="77777777" w:rsidR="003F223C" w:rsidRDefault="00B66A92" w:rsidP="00A80019">
      <w:pPr>
        <w:pStyle w:val="Standard"/>
        <w:keepNext/>
        <w:keepLines/>
        <w:spacing w:after="80" w:line="288" w:lineRule="auto"/>
        <w:jc w:val="both"/>
        <w:outlineLvl w:val="1"/>
        <w:rPr>
          <w:b/>
          <w:bCs/>
        </w:rPr>
      </w:pPr>
      <w:r>
        <w:rPr>
          <w:rStyle w:val="Ninguno"/>
          <w:b/>
          <w:bCs/>
          <w:color w:val="auto"/>
        </w:rPr>
        <w:t>- (Roj: STS 889/2026) STS 168/2026, de 17 de febrero de 2026.  Sala de lo Contencioso.</w:t>
      </w:r>
    </w:p>
    <w:p w14:paraId="3E204889" w14:textId="3EABD933" w:rsidR="003F223C" w:rsidRDefault="00B66A92" w:rsidP="004C7CC2">
      <w:pPr>
        <w:pStyle w:val="Standard"/>
        <w:spacing w:after="80" w:line="288" w:lineRule="auto"/>
        <w:jc w:val="both"/>
        <w:outlineLvl w:val="1"/>
      </w:pPr>
      <w:r>
        <w:rPr>
          <w:rStyle w:val="Ninguno"/>
          <w:bCs/>
          <w:color w:val="333333"/>
        </w:rPr>
        <w:t>El TS establece como doctrina jurisprudencial que el plazo máximo de duración</w:t>
      </w:r>
      <w:r>
        <w:rPr>
          <w:rStyle w:val="Ninguno"/>
          <w:b/>
          <w:bCs/>
          <w:color w:val="333333"/>
        </w:rPr>
        <w:t> </w:t>
      </w:r>
      <w:r>
        <w:rPr>
          <w:rStyle w:val="Ninguno"/>
          <w:bCs/>
          <w:color w:val="333333"/>
        </w:rPr>
        <w:t>del procedimiento de resolución de un contrato celebrado por una Comunidad Autónoma que no tenga fijado en la ley un plazo especifico de duración, será el de tres meses, al ser de aplicación supletoria la Ley 39/2015, a falta de otra previsión legal específica. El plazo de ocho meses establecido en Ley de Contratos del Sector Público</w:t>
      </w:r>
      <w:r>
        <w:rPr>
          <w:rStyle w:val="Ninguno"/>
          <w:b/>
          <w:bCs/>
          <w:color w:val="333333"/>
        </w:rPr>
        <w:t> </w:t>
      </w:r>
      <w:r>
        <w:rPr>
          <w:rStyle w:val="Ninguno"/>
          <w:bCs/>
          <w:color w:val="333333"/>
        </w:rPr>
        <w:t>9/2017, de 8 noviembre no resulta de aplicación a los contratos suscritos por las administraciones de las Comunidades Autónomas, pues así lo dispuso la STC 68/2021, de 18 marzo, al disponer que se trata de una norma de naturaleza auxiliar y procedimental que no puede ser considerada básica a este respecto.</w:t>
      </w:r>
    </w:p>
    <w:p w14:paraId="778B93B9" w14:textId="77777777" w:rsidR="003F223C" w:rsidRPr="004F1741" w:rsidRDefault="00B66A92" w:rsidP="004F1741">
      <w:pPr>
        <w:pStyle w:val="Standard"/>
        <w:spacing w:after="198" w:line="288" w:lineRule="auto"/>
        <w:jc w:val="both"/>
        <w:outlineLvl w:val="0"/>
        <w:rPr>
          <w:rStyle w:val="Hyperlink0"/>
        </w:rPr>
      </w:pPr>
      <w:hyperlink r:id="rId164">
        <w:r w:rsidRPr="004F1741">
          <w:rPr>
            <w:rStyle w:val="Hyperlink0"/>
          </w:rPr>
          <w:t>https://www.poderjudicial.es/search/AN/openDocument/a2b90aefe49986f0a0a8778d75e36f0d/20260306</w:t>
        </w:r>
      </w:hyperlink>
    </w:p>
    <w:p w14:paraId="40AF05E3" w14:textId="77777777" w:rsidR="003F223C" w:rsidRDefault="003F223C">
      <w:pPr>
        <w:pStyle w:val="Standard"/>
        <w:spacing w:after="198" w:line="288" w:lineRule="auto"/>
        <w:jc w:val="both"/>
        <w:outlineLvl w:val="1"/>
      </w:pPr>
    </w:p>
    <w:p w14:paraId="15819BAD" w14:textId="77777777" w:rsidR="003F223C" w:rsidRDefault="003F223C">
      <w:pPr>
        <w:pStyle w:val="Standard"/>
        <w:keepNext/>
        <w:keepLines/>
        <w:spacing w:after="198" w:line="288" w:lineRule="auto"/>
        <w:jc w:val="both"/>
        <w:outlineLvl w:val="1"/>
      </w:pPr>
    </w:p>
    <w:p w14:paraId="283DF6E5" w14:textId="77777777" w:rsidR="003F223C" w:rsidRDefault="00B66A92">
      <w:pPr>
        <w:pStyle w:val="Standard"/>
        <w:keepNext/>
        <w:keepLines/>
        <w:spacing w:after="198" w:line="288" w:lineRule="auto"/>
        <w:jc w:val="both"/>
        <w:outlineLvl w:val="1"/>
        <w:rPr>
          <w:b/>
          <w:bCs/>
          <w:color w:val="4F81BD"/>
          <w:sz w:val="26"/>
          <w:szCs w:val="26"/>
        </w:rPr>
      </w:pPr>
      <w:bookmarkStart w:id="1" w:name="_Hlk164677918"/>
      <w:r>
        <w:rPr>
          <w:rStyle w:val="Ninguno"/>
          <w:b/>
          <w:bCs/>
          <w:color w:val="4F81BD"/>
          <w:sz w:val="26"/>
          <w:szCs w:val="26"/>
        </w:rPr>
        <w:t>Tribunales Superiores de Justicia</w:t>
      </w:r>
      <w:bookmarkEnd w:id="1"/>
    </w:p>
    <w:p w14:paraId="6C3567C3" w14:textId="77777777" w:rsidR="003F223C" w:rsidRDefault="00B66A92" w:rsidP="00A80019">
      <w:pPr>
        <w:pStyle w:val="CuerpoA"/>
        <w:widowControl w:val="0"/>
        <w:spacing w:after="80" w:line="288" w:lineRule="auto"/>
        <w:jc w:val="both"/>
        <w:rPr>
          <w:rFonts w:ascii="Calibri" w:eastAsia="Calibri" w:hAnsi="Calibri" w:cs="Calibri"/>
          <w:b/>
          <w:bCs/>
          <w:sz w:val="22"/>
          <w:szCs w:val="22"/>
          <w:lang w:val="es-ES_tradnl"/>
        </w:rPr>
      </w:pPr>
      <w:r>
        <w:rPr>
          <w:rStyle w:val="Ninguno"/>
          <w:rFonts w:ascii="Calibri" w:hAnsi="Calibri"/>
          <w:b/>
          <w:bCs/>
          <w:sz w:val="22"/>
          <w:szCs w:val="22"/>
          <w:lang w:val="es-ES_tradnl"/>
        </w:rPr>
        <w:t>- (</w:t>
      </w:r>
      <w:r>
        <w:rPr>
          <w:rStyle w:val="Ninguno"/>
          <w:rFonts w:ascii="Calibri" w:hAnsi="Calibri"/>
          <w:b/>
          <w:bCs/>
          <w:sz w:val="22"/>
          <w:szCs w:val="22"/>
        </w:rPr>
        <w:t xml:space="preserve">Roj: STSJ PV </w:t>
      </w:r>
      <w:r>
        <w:rPr>
          <w:rStyle w:val="Ninguno"/>
          <w:rFonts w:ascii="Calibri" w:hAnsi="Calibri"/>
          <w:b/>
          <w:bCs/>
          <w:sz w:val="22"/>
          <w:szCs w:val="22"/>
          <w:lang w:val="es-ES_tradnl"/>
        </w:rPr>
        <w:t>28</w:t>
      </w:r>
      <w:r>
        <w:rPr>
          <w:rStyle w:val="Ninguno"/>
          <w:rFonts w:ascii="Calibri" w:hAnsi="Calibri"/>
          <w:b/>
          <w:bCs/>
          <w:sz w:val="22"/>
          <w:szCs w:val="22"/>
        </w:rPr>
        <w:t>/202</w:t>
      </w:r>
      <w:r>
        <w:rPr>
          <w:rStyle w:val="Ninguno"/>
          <w:rFonts w:ascii="Calibri" w:hAnsi="Calibri"/>
          <w:b/>
          <w:bCs/>
          <w:sz w:val="22"/>
          <w:szCs w:val="22"/>
          <w:lang w:val="es-ES_tradnl"/>
        </w:rPr>
        <w:t>6) Sentencia del TSJ de País Vasco 1/2026, de 2 de enero de 2026. Sala de lo Contencioso.</w:t>
      </w:r>
    </w:p>
    <w:p w14:paraId="57DA82FF" w14:textId="77777777" w:rsidR="003F223C" w:rsidRDefault="00B66A92">
      <w:pPr>
        <w:pStyle w:val="CuerpoA"/>
        <w:widowControl w:val="0"/>
        <w:spacing w:after="198" w:line="288" w:lineRule="auto"/>
        <w:jc w:val="both"/>
        <w:rPr>
          <w:rFonts w:ascii="Calibri" w:eastAsia="Calibri" w:hAnsi="Calibri" w:cs="Calibri"/>
          <w:sz w:val="22"/>
          <w:szCs w:val="22"/>
          <w:lang w:val="es-ES_tradnl"/>
        </w:rPr>
      </w:pPr>
      <w:r>
        <w:rPr>
          <w:rStyle w:val="Ninguno"/>
          <w:rFonts w:ascii="Calibri" w:hAnsi="Calibri"/>
          <w:sz w:val="22"/>
          <w:szCs w:val="22"/>
          <w:lang w:val="es-ES_tradnl"/>
        </w:rPr>
        <w:t xml:space="preserve">Una persona interpuso recurso contencioso-administrativo contra la resolución del TEAR del País Vasco relativa a una providencia de apremio, alegando defectos en la notificación administrativa realizada en agosto de 2023 en un domicilio designado para notificaciones, y cuestionando la validez de </w:t>
      </w:r>
      <w:proofErr w:type="gramStart"/>
      <w:r>
        <w:rPr>
          <w:rStyle w:val="Ninguno"/>
          <w:rFonts w:ascii="Calibri" w:hAnsi="Calibri"/>
          <w:sz w:val="22"/>
          <w:szCs w:val="22"/>
          <w:lang w:val="es-ES_tradnl"/>
        </w:rPr>
        <w:t>la misma</w:t>
      </w:r>
      <w:proofErr w:type="gramEnd"/>
      <w:r>
        <w:rPr>
          <w:rStyle w:val="Ninguno"/>
          <w:rFonts w:ascii="Calibri" w:hAnsi="Calibri"/>
          <w:sz w:val="22"/>
          <w:szCs w:val="22"/>
          <w:lang w:val="es-ES_tradnl"/>
        </w:rPr>
        <w:t xml:space="preserve"> por no haberse agotado otros medios de notificación antes de </w:t>
      </w:r>
      <w:r>
        <w:rPr>
          <w:rStyle w:val="Ninguno"/>
          <w:rFonts w:ascii="Calibri" w:hAnsi="Calibri"/>
          <w:sz w:val="22"/>
          <w:szCs w:val="22"/>
          <w:lang w:val="es-ES_tradnl"/>
        </w:rPr>
        <w:lastRenderedPageBreak/>
        <w:t xml:space="preserve">recurrir a la notificación </w:t>
      </w:r>
      <w:proofErr w:type="spellStart"/>
      <w:r>
        <w:rPr>
          <w:rStyle w:val="Ninguno"/>
          <w:rFonts w:ascii="Calibri" w:hAnsi="Calibri"/>
          <w:sz w:val="22"/>
          <w:szCs w:val="22"/>
          <w:lang w:val="es-ES_tradnl"/>
        </w:rPr>
        <w:t>edictal</w:t>
      </w:r>
      <w:proofErr w:type="spellEnd"/>
      <w:r>
        <w:rPr>
          <w:rStyle w:val="Ninguno"/>
          <w:rFonts w:ascii="Calibri" w:hAnsi="Calibri"/>
          <w:sz w:val="22"/>
          <w:szCs w:val="22"/>
          <w:lang w:val="es-ES_tradnl"/>
        </w:rPr>
        <w:t>.</w:t>
      </w:r>
    </w:p>
    <w:p w14:paraId="74E064D9" w14:textId="77777777" w:rsidR="003F223C" w:rsidRDefault="00B66A92">
      <w:pPr>
        <w:pStyle w:val="CuerpoA"/>
        <w:widowControl w:val="0"/>
        <w:spacing w:after="198" w:line="288" w:lineRule="auto"/>
        <w:jc w:val="both"/>
        <w:rPr>
          <w:rFonts w:ascii="Calibri" w:eastAsia="Calibri" w:hAnsi="Calibri" w:cs="Calibri"/>
          <w:sz w:val="22"/>
          <w:szCs w:val="22"/>
        </w:rPr>
      </w:pPr>
      <w:r>
        <w:rPr>
          <w:rStyle w:val="Ninguno"/>
          <w:rFonts w:ascii="Calibri" w:hAnsi="Calibri"/>
          <w:sz w:val="22"/>
          <w:szCs w:val="22"/>
          <w:lang w:val="pt-PT"/>
        </w:rPr>
        <w:t>Se considera v</w:t>
      </w:r>
      <w:r>
        <w:rPr>
          <w:rStyle w:val="Ninguno"/>
          <w:rFonts w:ascii="Calibri" w:hAnsi="Calibri"/>
          <w:sz w:val="22"/>
          <w:szCs w:val="22"/>
        </w:rPr>
        <w:t>á</w:t>
      </w:r>
      <w:r>
        <w:rPr>
          <w:rStyle w:val="Ninguno"/>
          <w:rFonts w:ascii="Calibri" w:hAnsi="Calibri"/>
          <w:sz w:val="22"/>
          <w:szCs w:val="22"/>
          <w:lang w:val="es-ES_tradnl"/>
        </w:rPr>
        <w:t xml:space="preserve">lida la notificación administrativa realizada conforme a la Ley de Procedimiento Administrativo </w:t>
      </w:r>
      <w:proofErr w:type="spellStart"/>
      <w:r>
        <w:rPr>
          <w:rStyle w:val="Ninguno"/>
          <w:rFonts w:ascii="Calibri" w:hAnsi="Calibri"/>
          <w:sz w:val="22"/>
          <w:szCs w:val="22"/>
          <w:lang w:val="es-ES_tradnl"/>
        </w:rPr>
        <w:t>Com</w:t>
      </w:r>
      <w:proofErr w:type="spellEnd"/>
      <w:r>
        <w:rPr>
          <w:rStyle w:val="Ninguno"/>
          <w:rFonts w:ascii="Calibri" w:hAnsi="Calibri"/>
          <w:sz w:val="22"/>
          <w:szCs w:val="22"/>
        </w:rPr>
        <w:t>ú</w:t>
      </w:r>
      <w:r>
        <w:rPr>
          <w:rStyle w:val="Ninguno"/>
          <w:rFonts w:ascii="Calibri" w:hAnsi="Calibri"/>
          <w:sz w:val="22"/>
          <w:szCs w:val="22"/>
          <w:lang w:val="es-ES_tradnl"/>
        </w:rPr>
        <w:t>n, y se desestima el recurso contencioso-administrativo interpuesto por la persona actora.</w:t>
      </w:r>
    </w:p>
    <w:p w14:paraId="5F89CE78" w14:textId="77777777" w:rsidR="003F223C" w:rsidRDefault="00B66A92" w:rsidP="004C7CC2">
      <w:pPr>
        <w:pStyle w:val="CuerpoA"/>
        <w:widowControl w:val="0"/>
        <w:spacing w:after="80" w:line="288" w:lineRule="auto"/>
        <w:jc w:val="both"/>
        <w:rPr>
          <w:rFonts w:ascii="Calibri" w:eastAsia="Calibri" w:hAnsi="Calibri" w:cs="Calibri"/>
        </w:rPr>
      </w:pPr>
      <w:r>
        <w:rPr>
          <w:rStyle w:val="Ninguno"/>
          <w:rFonts w:ascii="Calibri" w:hAnsi="Calibri"/>
          <w:sz w:val="22"/>
          <w:szCs w:val="22"/>
          <w:lang w:val="es-ES_tradnl"/>
        </w:rPr>
        <w:t xml:space="preserve">La notificación </w:t>
      </w:r>
      <w:proofErr w:type="spellStart"/>
      <w:r>
        <w:rPr>
          <w:rStyle w:val="Ninguno"/>
          <w:rFonts w:ascii="Calibri" w:hAnsi="Calibri"/>
          <w:sz w:val="22"/>
          <w:szCs w:val="22"/>
          <w:lang w:val="es-ES_tradnl"/>
        </w:rPr>
        <w:t>cumpli</w:t>
      </w:r>
      <w:r>
        <w:rPr>
          <w:rStyle w:val="Ninguno"/>
          <w:rFonts w:ascii="Calibri" w:hAnsi="Calibri"/>
          <w:sz w:val="22"/>
          <w:szCs w:val="22"/>
        </w:rPr>
        <w:t>ó</w:t>
      </w:r>
      <w:proofErr w:type="spellEnd"/>
      <w:r>
        <w:rPr>
          <w:rStyle w:val="Ninguno"/>
          <w:rFonts w:ascii="Calibri" w:hAnsi="Calibri"/>
          <w:sz w:val="22"/>
          <w:szCs w:val="22"/>
        </w:rPr>
        <w:t xml:space="preserve"> </w:t>
      </w:r>
      <w:r>
        <w:rPr>
          <w:rStyle w:val="Ninguno"/>
          <w:rFonts w:ascii="Calibri" w:hAnsi="Calibri"/>
          <w:sz w:val="22"/>
          <w:szCs w:val="22"/>
          <w:lang w:val="es-ES_tradnl"/>
        </w:rPr>
        <w:t>con los requisitos del art</w:t>
      </w:r>
      <w:r>
        <w:rPr>
          <w:rStyle w:val="Ninguno"/>
          <w:rFonts w:ascii="Calibri" w:hAnsi="Calibri"/>
          <w:sz w:val="22"/>
          <w:szCs w:val="22"/>
        </w:rPr>
        <w:t>í</w:t>
      </w:r>
      <w:r>
        <w:rPr>
          <w:rStyle w:val="Ninguno"/>
          <w:rFonts w:ascii="Calibri" w:hAnsi="Calibri"/>
          <w:sz w:val="22"/>
          <w:szCs w:val="22"/>
          <w:lang w:val="es-ES_tradnl"/>
        </w:rPr>
        <w:t xml:space="preserve">culo 42.2 y 44 de la Ley 39/2015, de 1 de octubre, del Procedimiento Administrativo </w:t>
      </w:r>
      <w:proofErr w:type="spellStart"/>
      <w:r>
        <w:rPr>
          <w:rStyle w:val="Ninguno"/>
          <w:rFonts w:ascii="Calibri" w:hAnsi="Calibri"/>
          <w:sz w:val="22"/>
          <w:szCs w:val="22"/>
          <w:lang w:val="es-ES_tradnl"/>
        </w:rPr>
        <w:t>Com</w:t>
      </w:r>
      <w:proofErr w:type="spellEnd"/>
      <w:r>
        <w:rPr>
          <w:rStyle w:val="Ninguno"/>
          <w:rFonts w:ascii="Calibri" w:hAnsi="Calibri"/>
          <w:sz w:val="22"/>
          <w:szCs w:val="22"/>
        </w:rPr>
        <w:t>ú</w:t>
      </w:r>
      <w:r>
        <w:rPr>
          <w:rStyle w:val="Ninguno"/>
          <w:rFonts w:ascii="Calibri" w:hAnsi="Calibri"/>
          <w:sz w:val="22"/>
          <w:szCs w:val="22"/>
          <w:lang w:val="es-ES_tradnl"/>
        </w:rPr>
        <w:t>n, incluyendo dos intentos en d</w:t>
      </w:r>
      <w:r>
        <w:rPr>
          <w:rStyle w:val="Ninguno"/>
          <w:rFonts w:ascii="Calibri" w:hAnsi="Calibri"/>
          <w:sz w:val="22"/>
          <w:szCs w:val="22"/>
        </w:rPr>
        <w:t>í</w:t>
      </w:r>
      <w:r>
        <w:rPr>
          <w:rStyle w:val="Ninguno"/>
          <w:rFonts w:ascii="Calibri" w:hAnsi="Calibri"/>
          <w:sz w:val="22"/>
          <w:szCs w:val="22"/>
          <w:lang w:val="es-ES_tradnl"/>
        </w:rPr>
        <w:t xml:space="preserve">as y horas distintas, aviso en buzón y permanencia en lista hasta fecha posterior, y no es exigible agotar medios alternativos no garantizados; </w:t>
      </w:r>
      <w:proofErr w:type="spellStart"/>
      <w:r>
        <w:rPr>
          <w:rStyle w:val="Ninguno"/>
          <w:rFonts w:ascii="Calibri" w:hAnsi="Calibri"/>
          <w:sz w:val="22"/>
          <w:szCs w:val="22"/>
          <w:lang w:val="es-ES_tradnl"/>
        </w:rPr>
        <w:t>adem</w:t>
      </w:r>
      <w:proofErr w:type="spellEnd"/>
      <w:r>
        <w:rPr>
          <w:rStyle w:val="Ninguno"/>
          <w:rFonts w:ascii="Calibri" w:hAnsi="Calibri"/>
          <w:sz w:val="22"/>
          <w:szCs w:val="22"/>
        </w:rPr>
        <w:t>á</w:t>
      </w:r>
      <w:r>
        <w:rPr>
          <w:rStyle w:val="Ninguno"/>
          <w:rFonts w:ascii="Calibri" w:hAnsi="Calibri"/>
          <w:sz w:val="22"/>
          <w:szCs w:val="22"/>
          <w:lang w:val="es-ES_tradnl"/>
        </w:rPr>
        <w:t xml:space="preserve">s, el mes de agosto no es </w:t>
      </w:r>
      <w:proofErr w:type="spellStart"/>
      <w:r>
        <w:rPr>
          <w:rStyle w:val="Ninguno"/>
          <w:rFonts w:ascii="Calibri" w:hAnsi="Calibri"/>
          <w:sz w:val="22"/>
          <w:szCs w:val="22"/>
          <w:lang w:val="es-ES_tradnl"/>
        </w:rPr>
        <w:t>inh</w:t>
      </w:r>
      <w:proofErr w:type="spellEnd"/>
      <w:r>
        <w:rPr>
          <w:rStyle w:val="Ninguno"/>
          <w:rFonts w:ascii="Calibri" w:hAnsi="Calibri"/>
          <w:sz w:val="22"/>
          <w:szCs w:val="22"/>
        </w:rPr>
        <w:t>á</w:t>
      </w:r>
      <w:proofErr w:type="spellStart"/>
      <w:r>
        <w:rPr>
          <w:rStyle w:val="Ninguno"/>
          <w:rFonts w:ascii="Calibri" w:hAnsi="Calibri"/>
          <w:sz w:val="22"/>
          <w:szCs w:val="22"/>
          <w:lang w:val="es-ES_tradnl"/>
        </w:rPr>
        <w:t>bil</w:t>
      </w:r>
      <w:proofErr w:type="spellEnd"/>
      <w:r>
        <w:rPr>
          <w:rStyle w:val="Ninguno"/>
          <w:rFonts w:ascii="Calibri" w:hAnsi="Calibri"/>
          <w:sz w:val="22"/>
          <w:szCs w:val="22"/>
          <w:lang w:val="es-ES_tradnl"/>
        </w:rPr>
        <w:t xml:space="preserve"> para notificaciones </w:t>
      </w:r>
      <w:proofErr w:type="spellStart"/>
      <w:r>
        <w:rPr>
          <w:rStyle w:val="Ninguno"/>
          <w:rFonts w:ascii="Calibri" w:hAnsi="Calibri"/>
          <w:sz w:val="22"/>
          <w:szCs w:val="22"/>
          <w:lang w:val="es-ES_tradnl"/>
        </w:rPr>
        <w:t>seg</w:t>
      </w:r>
      <w:proofErr w:type="spellEnd"/>
      <w:r>
        <w:rPr>
          <w:rStyle w:val="Ninguno"/>
          <w:rFonts w:ascii="Calibri" w:hAnsi="Calibri"/>
          <w:sz w:val="22"/>
          <w:szCs w:val="22"/>
        </w:rPr>
        <w:t>ú</w:t>
      </w:r>
      <w:r>
        <w:rPr>
          <w:rStyle w:val="Ninguno"/>
          <w:rFonts w:ascii="Calibri" w:hAnsi="Calibri"/>
          <w:sz w:val="22"/>
          <w:szCs w:val="22"/>
          <w:lang w:val="es-ES_tradnl"/>
        </w:rPr>
        <w:t>n el art</w:t>
      </w:r>
      <w:r>
        <w:rPr>
          <w:rStyle w:val="Ninguno"/>
          <w:rFonts w:ascii="Calibri" w:hAnsi="Calibri"/>
          <w:sz w:val="22"/>
          <w:szCs w:val="22"/>
        </w:rPr>
        <w:t>í</w:t>
      </w:r>
      <w:r>
        <w:rPr>
          <w:rStyle w:val="Ninguno"/>
          <w:rFonts w:ascii="Calibri" w:hAnsi="Calibri"/>
          <w:sz w:val="22"/>
          <w:szCs w:val="22"/>
          <w:lang w:val="es-ES_tradnl"/>
        </w:rPr>
        <w:t>culo 30 de la misma ley.</w:t>
      </w:r>
    </w:p>
    <w:p w14:paraId="44C2B254" w14:textId="77777777" w:rsidR="003F223C" w:rsidRDefault="00B66A92">
      <w:pPr>
        <w:pStyle w:val="Standard"/>
        <w:keepNext/>
        <w:keepLines/>
        <w:spacing w:after="198" w:line="288" w:lineRule="auto"/>
        <w:jc w:val="both"/>
        <w:outlineLvl w:val="0"/>
      </w:pPr>
      <w:hyperlink r:id="rId165">
        <w:r>
          <w:rPr>
            <w:rStyle w:val="Hyperlink0"/>
          </w:rPr>
          <w:t>https://www.poderjudicial.es/search/AN/openDocument/16ab47e06fdd58f5a0a8778d75e36f0d/20260123</w:t>
        </w:r>
      </w:hyperlink>
    </w:p>
    <w:p w14:paraId="7C400718" w14:textId="77777777" w:rsidR="003F223C" w:rsidRDefault="00B66A92" w:rsidP="00A80019">
      <w:pPr>
        <w:pStyle w:val="CuerpoA"/>
        <w:widowControl w:val="0"/>
        <w:spacing w:after="80" w:line="288" w:lineRule="auto"/>
        <w:jc w:val="both"/>
        <w:rPr>
          <w:rFonts w:ascii="Calibri" w:eastAsia="Calibri" w:hAnsi="Calibri" w:cs="Calibri"/>
          <w:b/>
          <w:bCs/>
          <w:sz w:val="22"/>
          <w:szCs w:val="22"/>
          <w:lang w:val="es-ES_tradnl"/>
        </w:rPr>
      </w:pPr>
      <w:r>
        <w:rPr>
          <w:rStyle w:val="Ninguno"/>
          <w:rFonts w:ascii="Calibri" w:hAnsi="Calibri"/>
          <w:b/>
          <w:bCs/>
          <w:sz w:val="22"/>
          <w:szCs w:val="22"/>
          <w:lang w:val="es-ES_tradnl"/>
        </w:rPr>
        <w:t>- (</w:t>
      </w:r>
      <w:r>
        <w:rPr>
          <w:rStyle w:val="Ninguno"/>
          <w:rFonts w:ascii="Calibri" w:hAnsi="Calibri"/>
          <w:b/>
          <w:bCs/>
          <w:sz w:val="22"/>
          <w:szCs w:val="22"/>
        </w:rPr>
        <w:t xml:space="preserve">Roj: STSJ PV </w:t>
      </w:r>
      <w:r>
        <w:rPr>
          <w:rStyle w:val="Ninguno"/>
          <w:rFonts w:ascii="Calibri" w:hAnsi="Calibri"/>
          <w:b/>
          <w:bCs/>
          <w:sz w:val="22"/>
          <w:szCs w:val="22"/>
          <w:lang w:val="es-ES_tradnl"/>
        </w:rPr>
        <w:t>1</w:t>
      </w:r>
      <w:r>
        <w:rPr>
          <w:rStyle w:val="Ninguno"/>
          <w:rFonts w:ascii="Calibri" w:hAnsi="Calibri"/>
          <w:b/>
          <w:bCs/>
          <w:sz w:val="22"/>
          <w:szCs w:val="22"/>
        </w:rPr>
        <w:t>/202</w:t>
      </w:r>
      <w:r>
        <w:rPr>
          <w:rStyle w:val="Ninguno"/>
          <w:rFonts w:ascii="Calibri" w:hAnsi="Calibri"/>
          <w:b/>
          <w:bCs/>
          <w:sz w:val="22"/>
          <w:szCs w:val="22"/>
          <w:lang w:val="es-ES_tradnl"/>
        </w:rPr>
        <w:t>6) Sentencia del TSJ de País Vasco 7/2026, de 7 de enero de 2026. Sala de lo Contencioso.</w:t>
      </w:r>
    </w:p>
    <w:p w14:paraId="3F5D27F8" w14:textId="77777777" w:rsidR="003F223C" w:rsidRDefault="00B66A92">
      <w:pPr>
        <w:pStyle w:val="CuerpoA"/>
        <w:widowControl w:val="0"/>
        <w:spacing w:after="198" w:line="288" w:lineRule="auto"/>
        <w:jc w:val="both"/>
        <w:rPr>
          <w:rFonts w:ascii="Calibri" w:eastAsia="Calibri" w:hAnsi="Calibri" w:cs="Calibri"/>
          <w:sz w:val="22"/>
          <w:szCs w:val="22"/>
          <w:lang w:val="es-ES_tradnl"/>
        </w:rPr>
      </w:pPr>
      <w:r>
        <w:rPr>
          <w:rStyle w:val="Ninguno"/>
          <w:rFonts w:ascii="Calibri" w:hAnsi="Calibri"/>
          <w:sz w:val="22"/>
          <w:szCs w:val="22"/>
          <w:lang w:val="es-ES_tradnl"/>
        </w:rPr>
        <w:t>Una persona fue objeto de un procedimiento de apremio por deudas tributarias, durante el cual se subastó un inmueble de su propiedad; inicialmente adjudicado a una mercantil vinculada a dicha persona, la adjudicación fue anulada por falta de pago y el inmueble fue adjudicado al segundo mejor postor, generándose controversia sobre la admisibilidad de recursos contra una comunicación administrativa relacionada con la formalización de la adjudicación.</w:t>
      </w:r>
    </w:p>
    <w:p w14:paraId="73D31F7F" w14:textId="77777777" w:rsidR="003F223C" w:rsidRDefault="00B66A92">
      <w:pPr>
        <w:pStyle w:val="CuerpoA"/>
        <w:widowControl w:val="0"/>
        <w:spacing w:after="198" w:line="288" w:lineRule="auto"/>
        <w:jc w:val="both"/>
        <w:rPr>
          <w:rFonts w:ascii="Calibri" w:eastAsia="Calibri" w:hAnsi="Calibri" w:cs="Calibri"/>
          <w:sz w:val="22"/>
          <w:szCs w:val="22"/>
          <w:lang w:val="es-ES_tradnl"/>
        </w:rPr>
      </w:pPr>
      <w:r>
        <w:rPr>
          <w:rStyle w:val="Ninguno"/>
          <w:rFonts w:ascii="Calibri" w:hAnsi="Calibri"/>
          <w:sz w:val="22"/>
          <w:szCs w:val="22"/>
          <w:lang w:val="es-ES_tradnl"/>
        </w:rPr>
        <w:t>Se considera que la comunicación administrativa es un acto de mero trámite y, por tanto, no es susceptible de recurso independiente; se confirma la inadmisión de la reclamación económico-administrativa contra dicha comunicación.</w:t>
      </w:r>
    </w:p>
    <w:p w14:paraId="056C3324" w14:textId="77777777" w:rsidR="003F223C" w:rsidRDefault="00B66A92" w:rsidP="004C7CC2">
      <w:pPr>
        <w:pStyle w:val="CuerpoA"/>
        <w:widowControl w:val="0"/>
        <w:spacing w:after="80" w:line="288" w:lineRule="auto"/>
        <w:jc w:val="both"/>
        <w:rPr>
          <w:rFonts w:ascii="Calibri" w:eastAsia="Calibri" w:hAnsi="Calibri" w:cs="Calibri"/>
          <w:sz w:val="22"/>
          <w:szCs w:val="22"/>
          <w:lang w:val="es-ES_tradnl"/>
        </w:rPr>
      </w:pPr>
      <w:r>
        <w:rPr>
          <w:rStyle w:val="Ninguno"/>
          <w:rFonts w:ascii="Calibri" w:hAnsi="Calibri"/>
          <w:sz w:val="22"/>
          <w:szCs w:val="22"/>
          <w:lang w:val="es-ES_tradnl"/>
        </w:rPr>
        <w:t>El tribunal fundamenta su decisión en que la comunicación no contiene contenido decisorio ni resolutorio, sino que es un trámite para dar efecto a resoluciones previas, y que los recursos deben dirigirse contra actos con sustantividad propia, conforme al artículo 233 de la Ley General de la Hacienda Pública Foral y la jurisprudencia aplicable.</w:t>
      </w:r>
    </w:p>
    <w:p w14:paraId="22F2A40D" w14:textId="77777777" w:rsidR="003F223C" w:rsidRDefault="00B66A92">
      <w:pPr>
        <w:pStyle w:val="CuerpoA"/>
        <w:widowControl w:val="0"/>
        <w:spacing w:after="198" w:line="288" w:lineRule="auto"/>
        <w:jc w:val="both"/>
        <w:rPr>
          <w:rFonts w:ascii="Calibri" w:eastAsia="Calibri" w:hAnsi="Calibri" w:cs="Calibri"/>
          <w:sz w:val="22"/>
          <w:szCs w:val="22"/>
          <w:lang w:val="es-ES_tradnl"/>
        </w:rPr>
      </w:pPr>
      <w:hyperlink r:id="rId166">
        <w:r>
          <w:rPr>
            <w:rStyle w:val="Hyperlink0"/>
            <w:rFonts w:ascii="Calibri" w:hAnsi="Calibri"/>
            <w:sz w:val="22"/>
            <w:szCs w:val="22"/>
            <w:lang w:val="en-US"/>
          </w:rPr>
          <w:t>https://www.poderjudicial.es/search/AN/openDocument/adb1744c45a98d11a0a8778d75e36f0d/20260119</w:t>
        </w:r>
      </w:hyperlink>
    </w:p>
    <w:p w14:paraId="518C547F" w14:textId="77777777" w:rsidR="003F223C" w:rsidRDefault="00B66A92" w:rsidP="00A80019">
      <w:pPr>
        <w:pStyle w:val="CuerpoA"/>
        <w:widowControl w:val="0"/>
        <w:spacing w:after="80" w:line="288" w:lineRule="auto"/>
        <w:jc w:val="both"/>
        <w:rPr>
          <w:rFonts w:ascii="Calibri" w:eastAsia="Calibri" w:hAnsi="Calibri" w:cs="Calibri"/>
          <w:b/>
          <w:bCs/>
          <w:sz w:val="22"/>
          <w:szCs w:val="22"/>
          <w:lang w:val="es-ES_tradnl"/>
        </w:rPr>
      </w:pPr>
      <w:r>
        <w:rPr>
          <w:rStyle w:val="Ninguno"/>
          <w:rFonts w:ascii="Calibri" w:hAnsi="Calibri"/>
          <w:b/>
          <w:bCs/>
          <w:sz w:val="22"/>
          <w:szCs w:val="22"/>
          <w:lang w:val="es-ES_tradnl"/>
        </w:rPr>
        <w:t>- (</w:t>
      </w:r>
      <w:r>
        <w:rPr>
          <w:rStyle w:val="Ninguno"/>
          <w:rFonts w:ascii="Calibri" w:hAnsi="Calibri"/>
          <w:b/>
          <w:bCs/>
          <w:sz w:val="22"/>
          <w:szCs w:val="22"/>
        </w:rPr>
        <w:t xml:space="preserve">Roj: STSJ PV </w:t>
      </w:r>
      <w:r>
        <w:rPr>
          <w:rStyle w:val="Ninguno"/>
          <w:rFonts w:ascii="Calibri" w:hAnsi="Calibri"/>
          <w:b/>
          <w:bCs/>
          <w:sz w:val="22"/>
          <w:szCs w:val="22"/>
          <w:lang w:val="es-ES_tradnl"/>
        </w:rPr>
        <w:t>2</w:t>
      </w:r>
      <w:r>
        <w:rPr>
          <w:rStyle w:val="Ninguno"/>
          <w:rFonts w:ascii="Calibri" w:hAnsi="Calibri"/>
          <w:b/>
          <w:bCs/>
          <w:sz w:val="22"/>
          <w:szCs w:val="22"/>
        </w:rPr>
        <w:t>/202</w:t>
      </w:r>
      <w:r>
        <w:rPr>
          <w:rStyle w:val="Ninguno"/>
          <w:rFonts w:ascii="Calibri" w:hAnsi="Calibri"/>
          <w:b/>
          <w:bCs/>
          <w:sz w:val="22"/>
          <w:szCs w:val="22"/>
          <w:lang w:val="es-ES_tradnl"/>
        </w:rPr>
        <w:t>6) Sentencia del TSJ de País Vasco 10/2026, de 7 de enero de 2026. Sala de lo Contencioso.</w:t>
      </w:r>
    </w:p>
    <w:p w14:paraId="0F927ACF" w14:textId="77777777" w:rsidR="003F223C" w:rsidRDefault="00B66A92" w:rsidP="004C7CC2">
      <w:pPr>
        <w:pStyle w:val="CuerpoA"/>
        <w:widowControl w:val="0"/>
        <w:spacing w:after="80" w:line="288" w:lineRule="auto"/>
        <w:jc w:val="both"/>
        <w:rPr>
          <w:rFonts w:ascii="Calibri" w:eastAsia="Calibri" w:hAnsi="Calibri" w:cs="Calibri"/>
          <w:sz w:val="22"/>
          <w:szCs w:val="22"/>
        </w:rPr>
      </w:pPr>
      <w:r>
        <w:rPr>
          <w:rFonts w:ascii="Calibri" w:hAnsi="Calibri"/>
          <w:sz w:val="22"/>
          <w:szCs w:val="22"/>
          <w:lang w:val="es-ES_tradnl"/>
        </w:rPr>
        <w:t>El TSJ desestima la apelación interpuesta, confirmando la valoración realizada por el tribunal calificador, pues la discrecionalidad t</w:t>
      </w:r>
      <w:r>
        <w:rPr>
          <w:rFonts w:ascii="Calibri" w:hAnsi="Calibri"/>
          <w:sz w:val="22"/>
          <w:szCs w:val="22"/>
          <w:lang w:val="fr-FR"/>
        </w:rPr>
        <w:t>é</w:t>
      </w:r>
      <w:proofErr w:type="spellStart"/>
      <w:r>
        <w:rPr>
          <w:rFonts w:ascii="Calibri" w:hAnsi="Calibri"/>
          <w:sz w:val="22"/>
          <w:szCs w:val="22"/>
          <w:lang w:val="es-ES_tradnl"/>
        </w:rPr>
        <w:t>cnica</w:t>
      </w:r>
      <w:proofErr w:type="spellEnd"/>
      <w:r>
        <w:rPr>
          <w:rFonts w:ascii="Calibri" w:hAnsi="Calibri"/>
          <w:sz w:val="22"/>
          <w:szCs w:val="22"/>
          <w:lang w:val="es-ES_tradnl"/>
        </w:rPr>
        <w:t xml:space="preserve"> de los órganos especializados en la valoración de ejercicios </w:t>
      </w:r>
      <w:proofErr w:type="spellStart"/>
      <w:r>
        <w:rPr>
          <w:rFonts w:ascii="Calibri" w:hAnsi="Calibri"/>
          <w:sz w:val="22"/>
          <w:szCs w:val="22"/>
          <w:lang w:val="es-ES_tradnl"/>
        </w:rPr>
        <w:t>pr</w:t>
      </w:r>
      <w:proofErr w:type="spellEnd"/>
      <w:r>
        <w:rPr>
          <w:rFonts w:ascii="Calibri" w:hAnsi="Calibri"/>
          <w:sz w:val="22"/>
          <w:szCs w:val="22"/>
        </w:rPr>
        <w:t>á</w:t>
      </w:r>
      <w:proofErr w:type="spellStart"/>
      <w:r>
        <w:rPr>
          <w:rFonts w:ascii="Calibri" w:hAnsi="Calibri"/>
          <w:sz w:val="22"/>
          <w:szCs w:val="22"/>
          <w:lang w:val="es-ES_tradnl"/>
        </w:rPr>
        <w:t>cticos</w:t>
      </w:r>
      <w:proofErr w:type="spellEnd"/>
      <w:r>
        <w:rPr>
          <w:rFonts w:ascii="Calibri" w:hAnsi="Calibri"/>
          <w:sz w:val="22"/>
          <w:szCs w:val="22"/>
          <w:lang w:val="es-ES_tradnl"/>
        </w:rPr>
        <w:t xml:space="preserve"> se milita a la comprobación de la adecuación a los criterios reglados y a los principios de igualdad, m</w:t>
      </w:r>
      <w:r>
        <w:rPr>
          <w:rFonts w:ascii="Calibri" w:hAnsi="Calibri"/>
          <w:sz w:val="22"/>
          <w:szCs w:val="22"/>
          <w:lang w:val="fr-FR"/>
        </w:rPr>
        <w:t>é</w:t>
      </w:r>
      <w:r>
        <w:rPr>
          <w:rFonts w:ascii="Calibri" w:hAnsi="Calibri"/>
          <w:sz w:val="22"/>
          <w:szCs w:val="22"/>
          <w:lang w:val="es-ES_tradnl"/>
        </w:rPr>
        <w:t xml:space="preserve">rito y capacidad, </w:t>
      </w:r>
      <w:proofErr w:type="spellStart"/>
      <w:r>
        <w:rPr>
          <w:rFonts w:ascii="Calibri" w:hAnsi="Calibri"/>
          <w:sz w:val="22"/>
          <w:szCs w:val="22"/>
          <w:lang w:val="es-ES_tradnl"/>
        </w:rPr>
        <w:t>concluy</w:t>
      </w:r>
      <w:proofErr w:type="spellEnd"/>
      <w:r>
        <w:rPr>
          <w:rFonts w:ascii="Calibri" w:hAnsi="Calibri"/>
          <w:sz w:val="22"/>
          <w:szCs w:val="22"/>
          <w:lang w:val="fr-FR"/>
        </w:rPr>
        <w:t>é</w:t>
      </w:r>
      <w:proofErr w:type="spellStart"/>
      <w:r>
        <w:rPr>
          <w:rFonts w:ascii="Calibri" w:hAnsi="Calibri"/>
          <w:sz w:val="22"/>
          <w:szCs w:val="22"/>
          <w:lang w:val="es-ES_tradnl"/>
        </w:rPr>
        <w:t>ndose</w:t>
      </w:r>
      <w:proofErr w:type="spellEnd"/>
      <w:r>
        <w:rPr>
          <w:rFonts w:ascii="Calibri" w:hAnsi="Calibri"/>
          <w:sz w:val="22"/>
          <w:szCs w:val="22"/>
          <w:lang w:val="es-ES_tradnl"/>
        </w:rPr>
        <w:t xml:space="preserve"> que la redacción del ejercicio no fue confusa ni arbitraria, siendo dicha valoración motivada y aplicada uniformemente a todos los </w:t>
      </w:r>
      <w:r>
        <w:rPr>
          <w:rFonts w:ascii="Calibri" w:hAnsi="Calibri"/>
          <w:sz w:val="22"/>
          <w:szCs w:val="22"/>
          <w:lang w:val="es-ES_tradnl"/>
        </w:rPr>
        <w:lastRenderedPageBreak/>
        <w:t>aspirantes.</w:t>
      </w:r>
    </w:p>
    <w:p w14:paraId="017E158B" w14:textId="77777777" w:rsidR="003F223C" w:rsidRDefault="00B66A92">
      <w:pPr>
        <w:pStyle w:val="CuerpoA"/>
        <w:widowControl w:val="0"/>
        <w:spacing w:after="198" w:line="288" w:lineRule="auto"/>
        <w:jc w:val="both"/>
        <w:rPr>
          <w:rFonts w:ascii="Calibri" w:eastAsia="Calibri" w:hAnsi="Calibri" w:cs="Calibri"/>
          <w:sz w:val="22"/>
          <w:szCs w:val="22"/>
        </w:rPr>
      </w:pPr>
      <w:hyperlink r:id="rId167">
        <w:r>
          <w:rPr>
            <w:rStyle w:val="Hyperlink0"/>
            <w:rFonts w:ascii="Calibri" w:hAnsi="Calibri"/>
            <w:sz w:val="22"/>
            <w:szCs w:val="22"/>
            <w:lang w:val="en-US"/>
          </w:rPr>
          <w:t>https://www.poderjudicial.es/search/AN/openDocument/8a9fb6979c59e1fda0a8778d75e36f0d/20260119</w:t>
        </w:r>
      </w:hyperlink>
    </w:p>
    <w:p w14:paraId="5D0D2DC4" w14:textId="77777777" w:rsidR="003F223C" w:rsidRDefault="00B66A92" w:rsidP="00A80019">
      <w:pPr>
        <w:pStyle w:val="CuerpoA"/>
        <w:widowControl w:val="0"/>
        <w:spacing w:after="80" w:line="288" w:lineRule="auto"/>
        <w:jc w:val="both"/>
        <w:rPr>
          <w:rFonts w:ascii="Calibri" w:eastAsia="Calibri" w:hAnsi="Calibri" w:cs="Calibri"/>
          <w:b/>
          <w:bCs/>
          <w:sz w:val="22"/>
          <w:szCs w:val="22"/>
          <w:lang w:val="es-ES_tradnl"/>
        </w:rPr>
      </w:pPr>
      <w:r>
        <w:rPr>
          <w:rStyle w:val="Ninguno"/>
          <w:rFonts w:ascii="Calibri" w:hAnsi="Calibri"/>
          <w:b/>
          <w:bCs/>
          <w:sz w:val="22"/>
          <w:szCs w:val="22"/>
          <w:lang w:val="es-ES_tradnl"/>
        </w:rPr>
        <w:t>- (</w:t>
      </w:r>
      <w:r>
        <w:rPr>
          <w:rStyle w:val="Ninguno"/>
          <w:rFonts w:ascii="Calibri" w:hAnsi="Calibri"/>
          <w:b/>
          <w:bCs/>
          <w:sz w:val="22"/>
          <w:szCs w:val="22"/>
        </w:rPr>
        <w:t xml:space="preserve">Roj: STSJ PV </w:t>
      </w:r>
      <w:r>
        <w:rPr>
          <w:rStyle w:val="Ninguno"/>
          <w:rFonts w:ascii="Calibri" w:hAnsi="Calibri"/>
          <w:b/>
          <w:bCs/>
          <w:sz w:val="22"/>
          <w:szCs w:val="22"/>
          <w:lang w:val="es-ES_tradnl"/>
        </w:rPr>
        <w:t>17</w:t>
      </w:r>
      <w:r>
        <w:rPr>
          <w:rStyle w:val="Ninguno"/>
          <w:rFonts w:ascii="Calibri" w:hAnsi="Calibri"/>
          <w:b/>
          <w:bCs/>
          <w:sz w:val="22"/>
          <w:szCs w:val="22"/>
        </w:rPr>
        <w:t>/202</w:t>
      </w:r>
      <w:r>
        <w:rPr>
          <w:rStyle w:val="Ninguno"/>
          <w:rFonts w:ascii="Calibri" w:hAnsi="Calibri"/>
          <w:b/>
          <w:bCs/>
          <w:sz w:val="22"/>
          <w:szCs w:val="22"/>
          <w:lang w:val="es-ES_tradnl"/>
        </w:rPr>
        <w:t>6) Sentencia del TSJ de País Vasco 4/2026, de 7 de enero de 2026. Sala de lo Contencioso.</w:t>
      </w:r>
    </w:p>
    <w:p w14:paraId="5DA1A1DA" w14:textId="77777777" w:rsidR="003F223C" w:rsidRDefault="00B66A92">
      <w:pPr>
        <w:pStyle w:val="CuerpoA"/>
        <w:widowControl w:val="0"/>
        <w:spacing w:after="198" w:line="288" w:lineRule="auto"/>
        <w:jc w:val="both"/>
        <w:rPr>
          <w:rFonts w:ascii="Calibri" w:eastAsia="Calibri" w:hAnsi="Calibri" w:cs="Calibri"/>
          <w:sz w:val="22"/>
          <w:szCs w:val="22"/>
          <w:lang w:val="es-ES_tradnl"/>
        </w:rPr>
      </w:pPr>
      <w:r>
        <w:rPr>
          <w:rStyle w:val="Ninguno"/>
          <w:rFonts w:ascii="Calibri" w:hAnsi="Calibri"/>
          <w:sz w:val="22"/>
          <w:szCs w:val="22"/>
          <w:lang w:val="es-ES_tradnl"/>
        </w:rPr>
        <w:t>Un abogado fue sancionado por el Colegio de la Abogacía de Bizkaia con suspensión y exclusión del turno de oficio, y se cuestiona la validez y fecha de la notificación electrónica de dicha resolución, dado que la representante designada había solicitado notificaciones en su despacho profesional y no por correo electrónico.</w:t>
      </w:r>
    </w:p>
    <w:p w14:paraId="1CCB11D9" w14:textId="77777777" w:rsidR="003F223C" w:rsidRDefault="00B66A92">
      <w:pPr>
        <w:pStyle w:val="CuerpoA"/>
        <w:widowControl w:val="0"/>
        <w:spacing w:after="198" w:line="288" w:lineRule="auto"/>
        <w:jc w:val="both"/>
        <w:rPr>
          <w:rFonts w:ascii="Calibri" w:eastAsia="Calibri" w:hAnsi="Calibri" w:cs="Calibri"/>
          <w:sz w:val="22"/>
          <w:szCs w:val="22"/>
          <w:lang w:val="es-ES_tradnl"/>
        </w:rPr>
      </w:pPr>
      <w:r>
        <w:rPr>
          <w:rStyle w:val="Ninguno"/>
          <w:rFonts w:ascii="Calibri" w:hAnsi="Calibri"/>
          <w:sz w:val="22"/>
          <w:szCs w:val="22"/>
          <w:lang w:val="es-ES_tradnl"/>
        </w:rPr>
        <w:t>Se considera que la fecha válida de notificación es la de acceso efectivo al contenido de la notificación electrónica (13 de mayo), y no la fecha de envío (9 de mayo), por lo que la resolución que inadmitió el recurso de alzada por extemporaneidad debe ser anulada y el recurso debe ser tramitado; se establece un cambio en la interpretación sobre la validez de la notificación electrónica en este contexto.</w:t>
      </w:r>
    </w:p>
    <w:p w14:paraId="357869A8" w14:textId="77777777" w:rsidR="003F223C" w:rsidRDefault="00B66A92" w:rsidP="004C7CC2">
      <w:pPr>
        <w:pStyle w:val="CuerpoA"/>
        <w:widowControl w:val="0"/>
        <w:spacing w:after="80" w:line="288" w:lineRule="auto"/>
        <w:jc w:val="both"/>
        <w:rPr>
          <w:rFonts w:ascii="Calibri" w:eastAsia="Calibri" w:hAnsi="Calibri" w:cs="Calibri"/>
          <w:sz w:val="22"/>
          <w:szCs w:val="22"/>
          <w:lang w:val="es-ES_tradnl"/>
        </w:rPr>
      </w:pPr>
      <w:r>
        <w:rPr>
          <w:rStyle w:val="Ninguno"/>
          <w:rFonts w:ascii="Calibri" w:hAnsi="Calibri"/>
          <w:sz w:val="22"/>
          <w:szCs w:val="22"/>
          <w:lang w:val="es-ES_tradnl"/>
        </w:rPr>
        <w:t>La notificación electrónica debe cumplir con los requisitos legales de puesta a disposición y acceso efectivo según los artículos 41 y 43 de la Ley 39/2015, y la falta de un sistema de notificación electrónica habilitado obliga a considerar la fecha de acceso real para el cómputo del plazo, garantizando así el derecho a la tutela judicial efectiva y la seguridad jurídica, conforme a la doctrina constitucional y jurisprudencial aplicable.</w:t>
      </w:r>
    </w:p>
    <w:p w14:paraId="677A11DE" w14:textId="77777777" w:rsidR="003F223C" w:rsidRDefault="00B66A92">
      <w:pPr>
        <w:pStyle w:val="CuerpoA"/>
        <w:widowControl w:val="0"/>
        <w:spacing w:after="198" w:line="288" w:lineRule="auto"/>
        <w:jc w:val="both"/>
        <w:rPr>
          <w:rFonts w:ascii="Calibri" w:eastAsia="Calibri" w:hAnsi="Calibri" w:cs="Calibri"/>
          <w:sz w:val="22"/>
          <w:szCs w:val="22"/>
          <w:lang w:val="es-ES_tradnl"/>
        </w:rPr>
      </w:pPr>
      <w:hyperlink r:id="rId168">
        <w:r>
          <w:rPr>
            <w:rStyle w:val="Hyperlink0"/>
            <w:rFonts w:ascii="Calibri" w:hAnsi="Calibri"/>
            <w:sz w:val="22"/>
            <w:szCs w:val="22"/>
            <w:lang w:val="en-US"/>
          </w:rPr>
          <w:t>https://www.poderjudicial.es/search/AN/openDocument/bd824c7ef4ad067da0a8778d75e36f0d/20260122</w:t>
        </w:r>
      </w:hyperlink>
    </w:p>
    <w:p w14:paraId="510C688F" w14:textId="77777777" w:rsidR="003F223C" w:rsidRDefault="00B66A92" w:rsidP="00A80019">
      <w:pPr>
        <w:pStyle w:val="CuerpoA"/>
        <w:widowControl w:val="0"/>
        <w:spacing w:after="80" w:line="288" w:lineRule="auto"/>
        <w:jc w:val="both"/>
        <w:rPr>
          <w:rFonts w:ascii="Calibri" w:eastAsia="Calibri" w:hAnsi="Calibri" w:cs="Calibri"/>
          <w:b/>
          <w:bCs/>
          <w:sz w:val="22"/>
          <w:szCs w:val="22"/>
          <w:lang w:val="es-ES_tradnl"/>
        </w:rPr>
      </w:pPr>
      <w:r>
        <w:rPr>
          <w:rStyle w:val="Ninguno"/>
          <w:rFonts w:ascii="Calibri" w:hAnsi="Calibri"/>
          <w:b/>
          <w:bCs/>
          <w:sz w:val="22"/>
          <w:szCs w:val="22"/>
          <w:lang w:val="es-ES_tradnl"/>
        </w:rPr>
        <w:t>- (</w:t>
      </w:r>
      <w:r>
        <w:rPr>
          <w:rStyle w:val="Ninguno"/>
          <w:rFonts w:ascii="Calibri" w:hAnsi="Calibri"/>
          <w:b/>
          <w:bCs/>
          <w:sz w:val="22"/>
          <w:szCs w:val="22"/>
        </w:rPr>
        <w:t xml:space="preserve">Roj: STSJ PV </w:t>
      </w:r>
      <w:r>
        <w:rPr>
          <w:rStyle w:val="Ninguno"/>
          <w:rFonts w:ascii="Calibri" w:hAnsi="Calibri"/>
          <w:b/>
          <w:bCs/>
          <w:sz w:val="22"/>
          <w:szCs w:val="22"/>
          <w:lang w:val="es-ES_tradnl"/>
        </w:rPr>
        <w:t>18</w:t>
      </w:r>
      <w:r>
        <w:rPr>
          <w:rStyle w:val="Ninguno"/>
          <w:rFonts w:ascii="Calibri" w:hAnsi="Calibri"/>
          <w:b/>
          <w:bCs/>
          <w:sz w:val="22"/>
          <w:szCs w:val="22"/>
        </w:rPr>
        <w:t>/202</w:t>
      </w:r>
      <w:r>
        <w:rPr>
          <w:rStyle w:val="Ninguno"/>
          <w:rFonts w:ascii="Calibri" w:hAnsi="Calibri"/>
          <w:b/>
          <w:bCs/>
          <w:sz w:val="22"/>
          <w:szCs w:val="22"/>
          <w:lang w:val="es-ES_tradnl"/>
        </w:rPr>
        <w:t>6) Sentencia del TSJ de País Vasco 20/2026, de 7 de enero de 2026. Sala de lo Contencioso.</w:t>
      </w:r>
    </w:p>
    <w:p w14:paraId="641419E7" w14:textId="77777777" w:rsidR="003F223C" w:rsidRDefault="00B66A92">
      <w:pPr>
        <w:pStyle w:val="CuerpoA"/>
        <w:widowControl w:val="0"/>
        <w:spacing w:after="198" w:line="288" w:lineRule="auto"/>
        <w:jc w:val="both"/>
        <w:rPr>
          <w:rFonts w:ascii="Calibri" w:eastAsia="Calibri" w:hAnsi="Calibri" w:cs="Calibri"/>
          <w:sz w:val="22"/>
          <w:szCs w:val="22"/>
          <w:lang w:val="es-ES_tradnl"/>
        </w:rPr>
      </w:pPr>
      <w:r>
        <w:rPr>
          <w:rStyle w:val="Ninguno"/>
          <w:rFonts w:ascii="Calibri" w:hAnsi="Calibri"/>
          <w:sz w:val="22"/>
          <w:szCs w:val="22"/>
          <w:lang w:val="es-ES_tradnl"/>
        </w:rPr>
        <w:t>Un particular interpuso recurso contencioso-administrativo contra la revocación de su licencia de taxi por parte del Ayuntamiento de Pasaia, alegando nulidad en las actuaciones previas, uso indebido de datos fiscales sin consentimiento y la admisión indebida de pruebas en el procedimiento judicial.</w:t>
      </w:r>
    </w:p>
    <w:p w14:paraId="72329898" w14:textId="77777777" w:rsidR="003F223C" w:rsidRDefault="00B66A92">
      <w:pPr>
        <w:pStyle w:val="CuerpoA"/>
        <w:widowControl w:val="0"/>
        <w:spacing w:after="198" w:line="288" w:lineRule="auto"/>
        <w:jc w:val="both"/>
        <w:rPr>
          <w:rFonts w:ascii="Calibri" w:eastAsia="Calibri" w:hAnsi="Calibri" w:cs="Calibri"/>
          <w:sz w:val="22"/>
          <w:szCs w:val="22"/>
          <w:lang w:val="es-ES_tradnl"/>
        </w:rPr>
      </w:pPr>
      <w:r>
        <w:rPr>
          <w:rStyle w:val="Ninguno"/>
          <w:rFonts w:ascii="Calibri" w:hAnsi="Calibri"/>
          <w:sz w:val="22"/>
          <w:szCs w:val="22"/>
          <w:lang w:val="es-ES_tradnl"/>
        </w:rPr>
        <w:t>Se desestima el recurso de apelación y se confirma la revocación de la licencia de taxi, considerando que no existe indefensión ni nulidad en las actuaciones administrativas ni en la admisión de pruebas en el proceso judicial.</w:t>
      </w:r>
    </w:p>
    <w:p w14:paraId="1A14EBB8" w14:textId="77777777" w:rsidR="003F223C" w:rsidRDefault="00B66A92" w:rsidP="004C7CC2">
      <w:pPr>
        <w:pStyle w:val="CuerpoA"/>
        <w:widowControl w:val="0"/>
        <w:spacing w:after="80" w:line="288" w:lineRule="auto"/>
        <w:jc w:val="both"/>
        <w:rPr>
          <w:rFonts w:ascii="Calibri" w:eastAsia="Calibri" w:hAnsi="Calibri" w:cs="Calibri"/>
          <w:sz w:val="22"/>
          <w:szCs w:val="22"/>
          <w:lang w:val="es-ES_tradnl"/>
        </w:rPr>
      </w:pPr>
      <w:r>
        <w:rPr>
          <w:rStyle w:val="Ninguno"/>
          <w:rFonts w:ascii="Calibri" w:hAnsi="Calibri"/>
          <w:sz w:val="22"/>
          <w:szCs w:val="22"/>
          <w:lang w:val="es-ES_tradnl"/>
        </w:rPr>
        <w:t xml:space="preserve">El tribunal fundamenta su decisión en la doctrina jurisprudencial que exige una crítica concreta de la sentencia apelada, la naturaleza continua de la licencia de taxi que permite el control municipal permanente, la titularidad municipal de los datos fiscales utilizados, y la posibilidad de proponer pruebas en la vía judicial más allá del expediente administrativo, garantizando así el </w:t>
      </w:r>
      <w:r>
        <w:rPr>
          <w:rStyle w:val="Ninguno"/>
          <w:rFonts w:ascii="Calibri" w:hAnsi="Calibri"/>
          <w:sz w:val="22"/>
          <w:szCs w:val="22"/>
          <w:lang w:val="es-ES_tradnl"/>
        </w:rPr>
        <w:lastRenderedPageBreak/>
        <w:t>procedimiento contradictorio y la tutela judicial efectiva.</w:t>
      </w:r>
    </w:p>
    <w:p w14:paraId="2FA3A5EC" w14:textId="77777777" w:rsidR="003F223C" w:rsidRDefault="00B66A92">
      <w:pPr>
        <w:pStyle w:val="CuerpoA"/>
        <w:widowControl w:val="0"/>
        <w:spacing w:after="198" w:line="288" w:lineRule="auto"/>
        <w:jc w:val="both"/>
        <w:rPr>
          <w:rFonts w:ascii="Calibri" w:eastAsia="Calibri" w:hAnsi="Calibri" w:cs="Calibri"/>
          <w:sz w:val="22"/>
          <w:szCs w:val="22"/>
          <w:lang w:val="es-ES_tradnl"/>
        </w:rPr>
      </w:pPr>
      <w:hyperlink r:id="rId169">
        <w:r>
          <w:rPr>
            <w:rStyle w:val="Hyperlink0"/>
            <w:rFonts w:ascii="Calibri" w:hAnsi="Calibri"/>
            <w:sz w:val="22"/>
            <w:szCs w:val="22"/>
            <w:lang w:val="en-US"/>
          </w:rPr>
          <w:t>https://www.poderjudicial.es/search/AN/openDocument/eb471c9406aae84ba0a8778d75e36f0d/20260122</w:t>
        </w:r>
      </w:hyperlink>
    </w:p>
    <w:p w14:paraId="34210B6D" w14:textId="77777777" w:rsidR="003F223C" w:rsidRDefault="00B66A92" w:rsidP="00A80019">
      <w:pPr>
        <w:pStyle w:val="CuerpoA"/>
        <w:widowControl w:val="0"/>
        <w:spacing w:after="80" w:line="288" w:lineRule="auto"/>
        <w:jc w:val="both"/>
        <w:rPr>
          <w:rFonts w:ascii="Calibri" w:eastAsia="Calibri" w:hAnsi="Calibri" w:cs="Calibri"/>
          <w:b/>
          <w:bCs/>
          <w:sz w:val="22"/>
          <w:szCs w:val="22"/>
          <w:lang w:val="es-ES_tradnl"/>
        </w:rPr>
      </w:pPr>
      <w:r>
        <w:rPr>
          <w:rStyle w:val="Ninguno"/>
          <w:rFonts w:ascii="Calibri" w:hAnsi="Calibri"/>
          <w:b/>
          <w:bCs/>
          <w:sz w:val="22"/>
          <w:szCs w:val="22"/>
          <w:lang w:val="es-ES_tradnl"/>
        </w:rPr>
        <w:t>- (</w:t>
      </w:r>
      <w:r>
        <w:rPr>
          <w:rStyle w:val="Ninguno"/>
          <w:rFonts w:ascii="Calibri" w:hAnsi="Calibri"/>
          <w:b/>
          <w:bCs/>
          <w:sz w:val="22"/>
          <w:szCs w:val="22"/>
        </w:rPr>
        <w:t xml:space="preserve">Roj: STSJ PV </w:t>
      </w:r>
      <w:r>
        <w:rPr>
          <w:rStyle w:val="Ninguno"/>
          <w:rFonts w:ascii="Calibri" w:hAnsi="Calibri"/>
          <w:b/>
          <w:bCs/>
          <w:sz w:val="22"/>
          <w:szCs w:val="22"/>
          <w:lang w:val="es-ES_tradnl"/>
        </w:rPr>
        <w:t>26</w:t>
      </w:r>
      <w:r>
        <w:rPr>
          <w:rStyle w:val="Ninguno"/>
          <w:rFonts w:ascii="Calibri" w:hAnsi="Calibri"/>
          <w:b/>
          <w:bCs/>
          <w:sz w:val="22"/>
          <w:szCs w:val="22"/>
        </w:rPr>
        <w:t>/202</w:t>
      </w:r>
      <w:r>
        <w:rPr>
          <w:rStyle w:val="Ninguno"/>
          <w:rFonts w:ascii="Calibri" w:hAnsi="Calibri"/>
          <w:b/>
          <w:bCs/>
          <w:sz w:val="22"/>
          <w:szCs w:val="22"/>
          <w:lang w:val="es-ES_tradnl"/>
        </w:rPr>
        <w:t>6) Sentencia del TSJ de País Vasco 13/2026, de 7 de enero de 2026. Sala de lo Contencioso.</w:t>
      </w:r>
    </w:p>
    <w:p w14:paraId="72C03361" w14:textId="77777777" w:rsidR="003F223C" w:rsidRDefault="00B66A92">
      <w:pPr>
        <w:pStyle w:val="CuerpoA"/>
        <w:widowControl w:val="0"/>
        <w:spacing w:after="198" w:line="288" w:lineRule="auto"/>
        <w:jc w:val="both"/>
        <w:rPr>
          <w:rFonts w:ascii="Calibri" w:eastAsia="Calibri" w:hAnsi="Calibri" w:cs="Calibri"/>
          <w:sz w:val="22"/>
          <w:szCs w:val="22"/>
          <w:lang w:val="es-ES_tradnl"/>
        </w:rPr>
      </w:pPr>
      <w:r>
        <w:rPr>
          <w:rStyle w:val="Ninguno"/>
          <w:rFonts w:ascii="Calibri" w:hAnsi="Calibri"/>
          <w:sz w:val="22"/>
          <w:szCs w:val="22"/>
          <w:lang w:val="es-ES_tradnl"/>
        </w:rPr>
        <w:t>La actora solicitó al ayuntamiento la recanalización de aguas pluviales y la declaración de ocupación ilegal de parte de su terreno, tras la construcción sin licencia de un muro y una rampa en un camino público que alteraron el sistema de drenaje, causando daños en su finca. El ayuntamiento no respondió a la solicitud, lo que motivó un recurso contencioso-administrativo. La administración reconoció la existencia del problema y la necesidad de obras, pero alegó la imposibilidad de actuar sin consentimiento de terceros propietarios y negó responsabilidad directa en las obras privadas que alteraron el drenaje.</w:t>
      </w:r>
    </w:p>
    <w:p w14:paraId="528007D3" w14:textId="77777777" w:rsidR="003F223C" w:rsidRDefault="00B66A92">
      <w:pPr>
        <w:pStyle w:val="CuerpoA"/>
        <w:widowControl w:val="0"/>
        <w:spacing w:after="198" w:line="288" w:lineRule="auto"/>
        <w:jc w:val="both"/>
        <w:rPr>
          <w:rFonts w:ascii="Calibri" w:eastAsia="Calibri" w:hAnsi="Calibri" w:cs="Calibri"/>
          <w:sz w:val="22"/>
          <w:szCs w:val="22"/>
          <w:lang w:val="es-ES_tradnl"/>
        </w:rPr>
      </w:pPr>
      <w:r>
        <w:rPr>
          <w:rStyle w:val="Ninguno"/>
          <w:rFonts w:ascii="Calibri" w:hAnsi="Calibri"/>
          <w:sz w:val="22"/>
          <w:szCs w:val="22"/>
          <w:lang w:val="es-ES_tradnl"/>
        </w:rPr>
        <w:t>El tribunal da la razón a la actora en cuanto a la obligación del ayuntamiento de conservar y mantener el camino público, incluyendo la canalización adecuada de las aguas pluviales para evitar perjuicios en terrenos colindantes. Se reconoce que la administración ha admitido la existencia del problema y la necesidad de obras, aunque la solución técnica y la ejecución dependen de la administración, que debe actuar conforme a derecho. No prospera la pretensión relativa al cese de la ocupación ilegal por falta de prueba y atribución a la administración. El fallo estima parcialmente el recurso de apelación, revoca la sentencia de instancia y condena al ayuntamiento a ejecutar las obras necesarias para la canalización, sin imponer costas. No se establece un cambio doctrinal, sino una correcta delimitación de la competencia y obligaciones administrativas en materia de conservación de vías públicas y gestión de aguas pluviales.</w:t>
      </w:r>
    </w:p>
    <w:p w14:paraId="14B8FF99" w14:textId="77777777" w:rsidR="003F223C" w:rsidRDefault="00B66A92" w:rsidP="004C7CC2">
      <w:pPr>
        <w:pStyle w:val="CuerpoA"/>
        <w:widowControl w:val="0"/>
        <w:spacing w:after="80" w:line="288" w:lineRule="auto"/>
        <w:jc w:val="both"/>
        <w:rPr>
          <w:rFonts w:ascii="Calibri" w:eastAsia="Calibri" w:hAnsi="Calibri" w:cs="Calibri"/>
          <w:sz w:val="22"/>
          <w:szCs w:val="22"/>
          <w:lang w:val="es-ES_tradnl"/>
        </w:rPr>
      </w:pPr>
      <w:r>
        <w:rPr>
          <w:rStyle w:val="Ninguno"/>
          <w:rFonts w:ascii="Calibri" w:hAnsi="Calibri"/>
          <w:sz w:val="22"/>
          <w:szCs w:val="22"/>
          <w:lang w:val="es-ES_tradnl"/>
        </w:rPr>
        <w:t>La sentencia destaca la obligación de la administración local de conservar y mantener las vías públicas municipales, incluyendo la canalización de aguas pluviales, aun en suelo no urbanizable, cuando la inacción cause perjuicios a terceros, y clarifica la competencia de la jurisdicción contencioso-administrativa para conocer de reclamaciones contra la omisión administrativa en este ámbito.</w:t>
      </w:r>
    </w:p>
    <w:p w14:paraId="1832512C" w14:textId="77777777" w:rsidR="003F223C" w:rsidRDefault="00B66A92">
      <w:pPr>
        <w:pStyle w:val="CuerpoA"/>
        <w:widowControl w:val="0"/>
        <w:spacing w:after="198" w:line="288" w:lineRule="auto"/>
        <w:jc w:val="both"/>
        <w:rPr>
          <w:rFonts w:ascii="Calibri" w:eastAsia="Calibri" w:hAnsi="Calibri" w:cs="Calibri"/>
          <w:sz w:val="22"/>
          <w:szCs w:val="22"/>
          <w:lang w:val="es-ES_tradnl"/>
        </w:rPr>
      </w:pPr>
      <w:hyperlink r:id="rId170">
        <w:r>
          <w:rPr>
            <w:rStyle w:val="Hyperlink0"/>
            <w:rFonts w:ascii="Calibri" w:hAnsi="Calibri"/>
            <w:sz w:val="22"/>
            <w:szCs w:val="22"/>
            <w:lang w:val="en-US"/>
          </w:rPr>
          <w:t>https://www.poderjudicial.es/search/AN/openDocument/55c8dcc713dde625a0a8778d75e36f0d/20260123</w:t>
        </w:r>
      </w:hyperlink>
    </w:p>
    <w:p w14:paraId="294508EA" w14:textId="77777777" w:rsidR="00A80019" w:rsidRDefault="00A80019">
      <w:pPr>
        <w:suppressAutoHyphens/>
        <w:overflowPunct/>
        <w:rPr>
          <w:rStyle w:val="Ninguno"/>
          <w:rFonts w:ascii="Calibri" w:eastAsia="Times New Roman" w:hAnsi="Calibri"/>
          <w:b/>
          <w:bCs/>
          <w:color w:val="000000"/>
          <w:sz w:val="22"/>
          <w:szCs w:val="22"/>
          <w:lang w:val="es-ES_tradnl" w:eastAsia="zh-CN" w:bidi="hi-IN"/>
        </w:rPr>
      </w:pPr>
      <w:r>
        <w:rPr>
          <w:rStyle w:val="Ninguno"/>
          <w:rFonts w:ascii="Calibri" w:hAnsi="Calibri"/>
          <w:b/>
          <w:bCs/>
          <w:sz w:val="22"/>
          <w:szCs w:val="22"/>
          <w:lang w:val="es-ES_tradnl"/>
        </w:rPr>
        <w:br w:type="page"/>
      </w:r>
    </w:p>
    <w:p w14:paraId="5D60CE7D" w14:textId="68B956D5" w:rsidR="003F223C" w:rsidRDefault="00B66A92" w:rsidP="00A80019">
      <w:pPr>
        <w:pStyle w:val="CuerpoA"/>
        <w:widowControl w:val="0"/>
        <w:spacing w:after="80" w:line="288" w:lineRule="auto"/>
        <w:jc w:val="both"/>
        <w:rPr>
          <w:rFonts w:ascii="Calibri" w:eastAsia="Calibri" w:hAnsi="Calibri" w:cs="Calibri"/>
          <w:b/>
          <w:bCs/>
          <w:sz w:val="22"/>
          <w:szCs w:val="22"/>
          <w:lang w:val="es-ES_tradnl"/>
        </w:rPr>
      </w:pPr>
      <w:r>
        <w:rPr>
          <w:rStyle w:val="Ninguno"/>
          <w:rFonts w:ascii="Calibri" w:hAnsi="Calibri"/>
          <w:b/>
          <w:bCs/>
          <w:sz w:val="22"/>
          <w:szCs w:val="22"/>
          <w:lang w:val="es-ES_tradnl"/>
        </w:rPr>
        <w:lastRenderedPageBreak/>
        <w:t>- (</w:t>
      </w:r>
      <w:r>
        <w:rPr>
          <w:rStyle w:val="Ninguno"/>
          <w:rFonts w:ascii="Calibri" w:hAnsi="Calibri"/>
          <w:b/>
          <w:bCs/>
          <w:sz w:val="22"/>
          <w:szCs w:val="22"/>
        </w:rPr>
        <w:t xml:space="preserve">Roj: STSJ PV </w:t>
      </w:r>
      <w:r>
        <w:rPr>
          <w:rStyle w:val="Ninguno"/>
          <w:rFonts w:ascii="Calibri" w:hAnsi="Calibri"/>
          <w:b/>
          <w:bCs/>
          <w:sz w:val="22"/>
          <w:szCs w:val="22"/>
          <w:lang w:val="es-ES_tradnl"/>
        </w:rPr>
        <w:t>34</w:t>
      </w:r>
      <w:r>
        <w:rPr>
          <w:rStyle w:val="Ninguno"/>
          <w:rFonts w:ascii="Calibri" w:hAnsi="Calibri"/>
          <w:b/>
          <w:bCs/>
          <w:sz w:val="22"/>
          <w:szCs w:val="22"/>
        </w:rPr>
        <w:t>/202</w:t>
      </w:r>
      <w:r>
        <w:rPr>
          <w:rStyle w:val="Ninguno"/>
          <w:rFonts w:ascii="Calibri" w:hAnsi="Calibri"/>
          <w:b/>
          <w:bCs/>
          <w:sz w:val="22"/>
          <w:szCs w:val="22"/>
          <w:lang w:val="es-ES_tradnl"/>
        </w:rPr>
        <w:t>6) Sentencia del TSJ de País Vasco 3/2026, de 7 de enero de 2026. Sala de lo Contencioso.</w:t>
      </w:r>
    </w:p>
    <w:p w14:paraId="65DE7284" w14:textId="77777777" w:rsidR="003F223C" w:rsidRDefault="00B66A92">
      <w:pPr>
        <w:pStyle w:val="CuerpoA"/>
        <w:widowControl w:val="0"/>
        <w:spacing w:after="198" w:line="288" w:lineRule="auto"/>
        <w:jc w:val="both"/>
        <w:rPr>
          <w:rFonts w:ascii="Calibri" w:eastAsia="Calibri" w:hAnsi="Calibri" w:cs="Calibri"/>
          <w:sz w:val="22"/>
          <w:szCs w:val="22"/>
          <w:lang w:val="es-ES_tradnl"/>
        </w:rPr>
      </w:pPr>
      <w:r>
        <w:rPr>
          <w:rStyle w:val="Ninguno"/>
          <w:rFonts w:ascii="Calibri" w:hAnsi="Calibri"/>
          <w:sz w:val="22"/>
          <w:szCs w:val="22"/>
          <w:lang w:val="es-ES_tradnl"/>
        </w:rPr>
        <w:t>La Universidad del País Vasco aprobó un Manifiesto de apoyo a Palestina que incluía compromisos concretos como la revisión y ruptura de relaciones con universidades y entidades israelíes que no condenaran los crímenes contra la humanidad en Palestina. La Asociación recurrente impugnó este Manifiesto alegando que generaba efectos jurídicos externos y vulneraba derechos fundamentales, mientras que la Universidad defendió que se trataba de un acto interno no impugnable. El juzgado de primera instancia declaró inadmisible el recurso por considerar que el Manifiesto era una mera manifestación de voluntad interna sin efectos jurídicos externos, pero la Sala revocó esta decisión</w:t>
      </w:r>
    </w:p>
    <w:p w14:paraId="21DC1B61" w14:textId="77777777" w:rsidR="003F223C" w:rsidRDefault="00B66A92">
      <w:pPr>
        <w:pStyle w:val="CuerpoA"/>
        <w:widowControl w:val="0"/>
        <w:spacing w:after="198" w:line="288" w:lineRule="auto"/>
        <w:jc w:val="both"/>
        <w:rPr>
          <w:rFonts w:ascii="Calibri" w:eastAsia="Calibri" w:hAnsi="Calibri" w:cs="Calibri"/>
          <w:sz w:val="22"/>
          <w:szCs w:val="22"/>
          <w:lang w:val="es-ES_tradnl"/>
        </w:rPr>
      </w:pPr>
      <w:r>
        <w:rPr>
          <w:rStyle w:val="Ninguno"/>
          <w:rFonts w:ascii="Calibri" w:hAnsi="Calibri"/>
          <w:sz w:val="22"/>
          <w:szCs w:val="22"/>
          <w:lang w:val="es-ES_tradnl"/>
        </w:rPr>
        <w:t>La Sala da la razón parcialmente a la Asociación recurrente, considerando que el Manifiesto no es un mero acto interno o programático, sino que contiene compromisos que condicionan la actuación de la Universidad y afectan a derechos e intereses legítimos de terceros, especialmente por la exclusión selectiva de universidades y entidades israelíes. Se reconoce que esta actuación vulnera los principios de igualdad y libertad ideológica, excediendo la discrecionalidad propia de la autonomía universitaria. Por ello, se declara la admisibilidad del recurso contencioso-administrativo y se anula el apartado quinto del Manifiesto que contiene dichos compromisos. No se imponen costas. El fallo implica un cambio en la interpretación sobre la impugnabilidad de actos de gobierno universitarios que, aunque inicialmente considerados internos, pueden ser objeto de control judicial cuando afectan derechos fundamentales y generan efectos jurídicos externos.</w:t>
      </w:r>
    </w:p>
    <w:p w14:paraId="14132185" w14:textId="77777777" w:rsidR="003F223C" w:rsidRDefault="00B66A92" w:rsidP="004C7CC2">
      <w:pPr>
        <w:pStyle w:val="CuerpoA"/>
        <w:widowControl w:val="0"/>
        <w:spacing w:after="80" w:line="288" w:lineRule="auto"/>
        <w:jc w:val="both"/>
        <w:rPr>
          <w:rFonts w:ascii="Calibri" w:eastAsia="Calibri" w:hAnsi="Calibri" w:cs="Calibri"/>
          <w:sz w:val="22"/>
          <w:szCs w:val="22"/>
          <w:lang w:val="es-ES_tradnl"/>
        </w:rPr>
      </w:pPr>
      <w:r>
        <w:rPr>
          <w:rStyle w:val="Ninguno"/>
          <w:rFonts w:ascii="Calibri" w:hAnsi="Calibri"/>
          <w:sz w:val="22"/>
          <w:szCs w:val="22"/>
          <w:lang w:val="es-ES_tradnl"/>
        </w:rPr>
        <w:t xml:space="preserve">La sentencia destaca la posibilidad de control judicial sobre actos de gobierno universitarios que, aunque </w:t>
      </w:r>
      <w:proofErr w:type="gramStart"/>
      <w:r>
        <w:rPr>
          <w:rStyle w:val="Ninguno"/>
          <w:rFonts w:ascii="Calibri" w:hAnsi="Calibri"/>
          <w:sz w:val="22"/>
          <w:szCs w:val="22"/>
          <w:lang w:val="es-ES_tradnl"/>
        </w:rPr>
        <w:t>inicialmente considerados declaraciones</w:t>
      </w:r>
      <w:proofErr w:type="gramEnd"/>
      <w:r>
        <w:rPr>
          <w:rStyle w:val="Ninguno"/>
          <w:rFonts w:ascii="Calibri" w:hAnsi="Calibri"/>
          <w:sz w:val="22"/>
          <w:szCs w:val="22"/>
          <w:lang w:val="es-ES_tradnl"/>
        </w:rPr>
        <w:t xml:space="preserve"> de voluntad o actos internos, contienen compromisos que condicionan la actuación de la universidad y afectan derechos fundamentales, estableciendo límites a la autonomía universitaria en materia de neutralidad y no discriminación.</w:t>
      </w:r>
    </w:p>
    <w:p w14:paraId="49A50C69" w14:textId="77399FF0" w:rsidR="00004204" w:rsidRPr="00D05A02" w:rsidRDefault="00004204" w:rsidP="00004204">
      <w:pPr>
        <w:pStyle w:val="CuerpoA"/>
        <w:widowControl w:val="0"/>
        <w:spacing w:after="240" w:line="288" w:lineRule="auto"/>
        <w:jc w:val="both"/>
        <w:rPr>
          <w:rStyle w:val="Hyperlink0"/>
          <w:rFonts w:ascii="Calibri" w:hAnsi="Calibri" w:cs="Calibri"/>
          <w:sz w:val="22"/>
          <w:szCs w:val="22"/>
          <w:lang w:val="es-ES_tradnl"/>
        </w:rPr>
      </w:pPr>
      <w:r w:rsidRPr="00004204">
        <w:rPr>
          <w:rStyle w:val="Hyperlink0"/>
          <w:rFonts w:ascii="Calibri" w:hAnsi="Calibri" w:cs="Calibri"/>
          <w:sz w:val="22"/>
          <w:szCs w:val="22"/>
          <w:lang w:val="en-US"/>
        </w:rPr>
        <w:fldChar w:fldCharType="begin"/>
      </w:r>
      <w:r w:rsidRPr="00D05A02">
        <w:rPr>
          <w:rStyle w:val="Hyperlink0"/>
          <w:rFonts w:ascii="Calibri" w:hAnsi="Calibri" w:cs="Calibri"/>
          <w:sz w:val="22"/>
          <w:szCs w:val="22"/>
          <w:lang w:val="es-ES_tradnl"/>
        </w:rPr>
        <w:instrText>HYPERLINK "https://www.poderjudicial.es/search/AN/openDocument/095b6e0940fb2536a0a8778d75e36f0d/20260123"</w:instrText>
      </w:r>
      <w:r w:rsidRPr="00004204">
        <w:rPr>
          <w:rStyle w:val="Hyperlink0"/>
          <w:rFonts w:ascii="Calibri" w:hAnsi="Calibri" w:cs="Calibri"/>
          <w:sz w:val="22"/>
          <w:szCs w:val="22"/>
          <w:lang w:val="en-US"/>
        </w:rPr>
      </w:r>
      <w:r w:rsidRPr="00004204">
        <w:rPr>
          <w:rStyle w:val="Hyperlink0"/>
          <w:rFonts w:ascii="Calibri" w:hAnsi="Calibri" w:cs="Calibri"/>
          <w:sz w:val="22"/>
          <w:szCs w:val="22"/>
          <w:lang w:val="en-US"/>
        </w:rPr>
        <w:fldChar w:fldCharType="separate"/>
      </w:r>
      <w:r w:rsidRPr="00D05A02">
        <w:rPr>
          <w:rStyle w:val="Hyperlink0"/>
          <w:rFonts w:ascii="Calibri" w:hAnsi="Calibri" w:cs="Calibri"/>
          <w:sz w:val="22"/>
          <w:szCs w:val="22"/>
          <w:lang w:val="es-ES_tradnl"/>
        </w:rPr>
        <w:t>https://www.poderjudicial.es/search/AN/openDocument/095b6e0940fb2536a0a8778d75e36f0d/20260123</w:t>
      </w:r>
    </w:p>
    <w:p w14:paraId="530238BD" w14:textId="68144FF2" w:rsidR="003F223C" w:rsidRDefault="00004204" w:rsidP="00A80019">
      <w:pPr>
        <w:pStyle w:val="CuerpoA"/>
        <w:widowControl w:val="0"/>
        <w:spacing w:after="80" w:line="288" w:lineRule="auto"/>
        <w:jc w:val="both"/>
        <w:rPr>
          <w:rFonts w:ascii="Calibri" w:eastAsia="Calibri" w:hAnsi="Calibri" w:cs="Calibri"/>
          <w:b/>
          <w:bCs/>
          <w:sz w:val="22"/>
          <w:szCs w:val="22"/>
          <w:lang w:val="es-ES_tradnl"/>
        </w:rPr>
      </w:pPr>
      <w:r w:rsidRPr="00004204">
        <w:rPr>
          <w:rStyle w:val="Hyperlink0"/>
          <w:rFonts w:ascii="Calibri" w:hAnsi="Calibri" w:cs="Calibri"/>
          <w:sz w:val="22"/>
          <w:szCs w:val="22"/>
          <w:lang w:val="en-US"/>
        </w:rPr>
        <w:fldChar w:fldCharType="end"/>
      </w:r>
      <w:r w:rsidR="00B66A92">
        <w:rPr>
          <w:rStyle w:val="Ninguno"/>
          <w:rFonts w:ascii="Calibri" w:hAnsi="Calibri"/>
          <w:b/>
          <w:bCs/>
          <w:sz w:val="22"/>
          <w:szCs w:val="22"/>
          <w:lang w:val="es-ES_tradnl"/>
        </w:rPr>
        <w:t>- (</w:t>
      </w:r>
      <w:r w:rsidR="00B66A92">
        <w:rPr>
          <w:rStyle w:val="Ninguno"/>
          <w:rFonts w:ascii="Calibri" w:hAnsi="Calibri"/>
          <w:b/>
          <w:bCs/>
          <w:sz w:val="22"/>
          <w:szCs w:val="22"/>
        </w:rPr>
        <w:t xml:space="preserve">Roj: STSJ PV </w:t>
      </w:r>
      <w:r w:rsidR="00B66A92">
        <w:rPr>
          <w:rStyle w:val="Ninguno"/>
          <w:rFonts w:ascii="Calibri" w:hAnsi="Calibri"/>
          <w:b/>
          <w:bCs/>
          <w:sz w:val="22"/>
          <w:szCs w:val="22"/>
          <w:lang w:val="es-ES_tradnl"/>
        </w:rPr>
        <w:t>27</w:t>
      </w:r>
      <w:r w:rsidR="00B66A92">
        <w:rPr>
          <w:rStyle w:val="Ninguno"/>
          <w:rFonts w:ascii="Calibri" w:hAnsi="Calibri"/>
          <w:b/>
          <w:bCs/>
          <w:sz w:val="22"/>
          <w:szCs w:val="22"/>
        </w:rPr>
        <w:t>/202</w:t>
      </w:r>
      <w:r w:rsidR="00B66A92">
        <w:rPr>
          <w:rStyle w:val="Ninguno"/>
          <w:rFonts w:ascii="Calibri" w:hAnsi="Calibri"/>
          <w:b/>
          <w:bCs/>
          <w:sz w:val="22"/>
          <w:szCs w:val="22"/>
          <w:lang w:val="es-ES_tradnl"/>
        </w:rPr>
        <w:t>6) Sentencia del TSJ de País Vasco 8/2026, de 7 de enero de 2026. Sala de lo Contencioso.</w:t>
      </w:r>
    </w:p>
    <w:p w14:paraId="1747992F" w14:textId="77777777" w:rsidR="003F223C" w:rsidRDefault="00B66A92">
      <w:pPr>
        <w:pStyle w:val="CuerpoA"/>
        <w:widowControl w:val="0"/>
        <w:spacing w:after="198" w:line="288" w:lineRule="auto"/>
        <w:jc w:val="both"/>
        <w:rPr>
          <w:rFonts w:ascii="Calibri" w:eastAsia="Calibri" w:hAnsi="Calibri" w:cs="Calibri"/>
          <w:sz w:val="22"/>
          <w:szCs w:val="22"/>
          <w:lang w:val="es-ES_tradnl"/>
        </w:rPr>
      </w:pPr>
      <w:r>
        <w:rPr>
          <w:rStyle w:val="Ninguno"/>
          <w:rFonts w:ascii="Calibri" w:hAnsi="Calibri"/>
          <w:sz w:val="22"/>
          <w:szCs w:val="22"/>
          <w:lang w:val="es-ES_tradnl"/>
        </w:rPr>
        <w:t xml:space="preserve">El Ayuntamiento de Getxo adjudicó dos contratos menores de obras, cada uno por importe cercano a 40.000 euros, para la renovación del alumbrado público en distintas zonas del municipio, a la misma empresa. Un concejal impugnó estas adjudicaciones alegando que se trataba de un fraccionamiento ilícito para eludir el límite legal de los contratos menores según el artículo 118 de la LCSP. La administración defendió que las actuaciones respondían a necesidades distintas, una planificada y otra sobrevenida por quejas vecinales, y que no existía intención de fraccionar el contrato. La sentencia de instancia desestimó el recurso, pero la sala de apelación revocó </w:t>
      </w:r>
      <w:r>
        <w:rPr>
          <w:rStyle w:val="Ninguno"/>
          <w:rFonts w:ascii="Calibri" w:hAnsi="Calibri"/>
          <w:sz w:val="22"/>
          <w:szCs w:val="22"/>
          <w:lang w:val="es-ES_tradnl"/>
        </w:rPr>
        <w:lastRenderedPageBreak/>
        <w:t>dicha decisión al considerar que existía una unidad funcional entre ambos contratos y que el fraccionamiento se realizó para evitar los requisitos de publicidad y procedimiento de adjudicación.</w:t>
      </w:r>
    </w:p>
    <w:p w14:paraId="30CC507B" w14:textId="77777777" w:rsidR="003F223C" w:rsidRDefault="00B66A92" w:rsidP="004C7CC2">
      <w:pPr>
        <w:pStyle w:val="CuerpoA"/>
        <w:widowControl w:val="0"/>
        <w:spacing w:after="80" w:line="288" w:lineRule="auto"/>
        <w:jc w:val="both"/>
        <w:rPr>
          <w:rFonts w:ascii="Calibri" w:eastAsia="Calibri" w:hAnsi="Calibri" w:cs="Calibri"/>
          <w:sz w:val="22"/>
          <w:szCs w:val="22"/>
          <w:lang w:val="es-ES_tradnl"/>
        </w:rPr>
      </w:pPr>
      <w:r>
        <w:rPr>
          <w:rStyle w:val="Ninguno"/>
          <w:rFonts w:ascii="Calibri" w:hAnsi="Calibri"/>
          <w:sz w:val="22"/>
          <w:szCs w:val="22"/>
          <w:lang w:val="es-ES_tradnl"/>
        </w:rPr>
        <w:t>La sala de apelación estima el recurso interpuesto por el concejal recurrente y revoca la sentencia de instancia que desestimó su impugnación. Se concluye que ambos contratos menores adjudicados por el Ayuntamiento de Getxo responden a una unidad funcional, pues ambos tienen por objeto la renovación del alumbrado público en distintas zonas del municipio, formando parte de un único plan de actuación. El fraccionamiento de estos contratos con la finalidad de mantenerse por debajo del límite cuantitativo de 40.000 euros para contratos menores constituye una vulneración del artículo 99.2 de la LCSP, que prohíbe el fraccionamiento para eludir requisitos de publicidad y procedimiento. La justificación basada en la urgencia o en la existencia de créditos presupuestarios no exime de esta prohibición, dado que los contratos menores no están destinados a atender necesidades urgentes, para lo cual existe un procedimiento específico. Por tanto, se anulan los decretos impugnados y se estima el recurso contencioso-administrativo. No se impone costas. El tribunal fija doctrina sobre la interpretación restrictiva del uso de contratos menores y la prohibición del fraccionamiento cuando existe unidad funcional, independientemente de la justificación presupuestaria o de urgencia.</w:t>
      </w:r>
    </w:p>
    <w:p w14:paraId="29383F33" w14:textId="77777777" w:rsidR="003F223C" w:rsidRDefault="00B66A92">
      <w:pPr>
        <w:pStyle w:val="CuerpoA"/>
        <w:widowControl w:val="0"/>
        <w:spacing w:after="198" w:line="288" w:lineRule="auto"/>
        <w:jc w:val="both"/>
        <w:rPr>
          <w:rFonts w:ascii="Calibri" w:eastAsia="Calibri" w:hAnsi="Calibri" w:cs="Calibri"/>
          <w:sz w:val="22"/>
          <w:szCs w:val="22"/>
          <w:lang w:val="es-ES_tradnl"/>
        </w:rPr>
      </w:pPr>
      <w:hyperlink r:id="rId171">
        <w:r>
          <w:rPr>
            <w:rStyle w:val="Hyperlink0"/>
            <w:rFonts w:ascii="Calibri" w:hAnsi="Calibri"/>
            <w:sz w:val="22"/>
            <w:szCs w:val="22"/>
            <w:lang w:val="en-US"/>
          </w:rPr>
          <w:t>https://www.poderjudicial.es/search/AN/openDocument/bcfa39710846a4b5a0a8778d75e36f0d/20260123</w:t>
        </w:r>
      </w:hyperlink>
    </w:p>
    <w:p w14:paraId="5D6F2D0A" w14:textId="77777777" w:rsidR="003F223C" w:rsidRDefault="00B66A92" w:rsidP="00A80019">
      <w:pPr>
        <w:pStyle w:val="CuerpoA"/>
        <w:widowControl w:val="0"/>
        <w:spacing w:after="80" w:line="288" w:lineRule="auto"/>
        <w:jc w:val="both"/>
        <w:rPr>
          <w:rFonts w:ascii="Calibri" w:eastAsia="Calibri" w:hAnsi="Calibri" w:cs="Calibri"/>
          <w:b/>
          <w:bCs/>
          <w:sz w:val="22"/>
          <w:szCs w:val="22"/>
          <w:lang w:val="es-ES_tradnl"/>
        </w:rPr>
      </w:pPr>
      <w:r>
        <w:rPr>
          <w:rStyle w:val="Ninguno"/>
          <w:rFonts w:ascii="Calibri" w:hAnsi="Calibri"/>
          <w:b/>
          <w:bCs/>
          <w:sz w:val="22"/>
          <w:szCs w:val="22"/>
          <w:lang w:val="es-ES_tradnl"/>
        </w:rPr>
        <w:t>- (</w:t>
      </w:r>
      <w:r>
        <w:rPr>
          <w:rStyle w:val="Ninguno"/>
          <w:rFonts w:ascii="Calibri" w:hAnsi="Calibri"/>
          <w:b/>
          <w:bCs/>
          <w:sz w:val="22"/>
          <w:szCs w:val="22"/>
        </w:rPr>
        <w:t xml:space="preserve">Roj: STSJ PV </w:t>
      </w:r>
      <w:r>
        <w:rPr>
          <w:rStyle w:val="Ninguno"/>
          <w:rFonts w:ascii="Calibri" w:hAnsi="Calibri"/>
          <w:b/>
          <w:bCs/>
          <w:sz w:val="22"/>
          <w:szCs w:val="22"/>
          <w:lang w:val="es-ES_tradnl"/>
        </w:rPr>
        <w:t>23</w:t>
      </w:r>
      <w:r>
        <w:rPr>
          <w:rStyle w:val="Ninguno"/>
          <w:rFonts w:ascii="Calibri" w:hAnsi="Calibri"/>
          <w:b/>
          <w:bCs/>
          <w:sz w:val="22"/>
          <w:szCs w:val="22"/>
        </w:rPr>
        <w:t>/202</w:t>
      </w:r>
      <w:r>
        <w:rPr>
          <w:rStyle w:val="Ninguno"/>
          <w:rFonts w:ascii="Calibri" w:hAnsi="Calibri"/>
          <w:b/>
          <w:bCs/>
          <w:sz w:val="22"/>
          <w:szCs w:val="22"/>
          <w:lang w:val="es-ES_tradnl"/>
        </w:rPr>
        <w:t>6) Sentencia del TSJ de País Vasco 17/2026, de 7 de enero de 2026. Sala de lo Contencioso.</w:t>
      </w:r>
    </w:p>
    <w:p w14:paraId="0D1FC1C3" w14:textId="77777777" w:rsidR="003F223C" w:rsidRDefault="00B66A92">
      <w:pPr>
        <w:pStyle w:val="CuerpoA"/>
        <w:widowControl w:val="0"/>
        <w:spacing w:after="198" w:line="288" w:lineRule="auto"/>
        <w:jc w:val="both"/>
        <w:rPr>
          <w:rFonts w:ascii="Calibri" w:eastAsia="Calibri" w:hAnsi="Calibri" w:cs="Calibri"/>
          <w:sz w:val="22"/>
          <w:szCs w:val="22"/>
          <w:lang w:val="es-ES_tradnl"/>
        </w:rPr>
      </w:pPr>
      <w:r>
        <w:rPr>
          <w:rStyle w:val="Ninguno"/>
          <w:rFonts w:ascii="Calibri" w:hAnsi="Calibri"/>
          <w:sz w:val="22"/>
          <w:szCs w:val="22"/>
          <w:lang w:val="es-ES_tradnl"/>
        </w:rPr>
        <w:t xml:space="preserve">La mercantil </w:t>
      </w:r>
      <w:proofErr w:type="spellStart"/>
      <w:r>
        <w:rPr>
          <w:rStyle w:val="Ninguno"/>
          <w:rFonts w:ascii="Calibri" w:hAnsi="Calibri"/>
          <w:sz w:val="22"/>
          <w:szCs w:val="22"/>
          <w:lang w:val="es-ES_tradnl"/>
        </w:rPr>
        <w:t>Urbaplus</w:t>
      </w:r>
      <w:proofErr w:type="spellEnd"/>
      <w:r>
        <w:rPr>
          <w:rStyle w:val="Ninguno"/>
          <w:rFonts w:ascii="Calibri" w:hAnsi="Calibri"/>
          <w:sz w:val="22"/>
          <w:szCs w:val="22"/>
          <w:lang w:val="es-ES_tradnl"/>
        </w:rPr>
        <w:t xml:space="preserve"> impugnó la resolución del Ayuntamiento de Iruña de Oca que desestimó la anulación de la liquidación del impuesto sobre el incremento del valor de los terrenos de naturaleza urbana (IIVTNU) por importe de 81.646,41 euros. La notificación de dicha resolución se realizó en el domicilio social de </w:t>
      </w:r>
      <w:proofErr w:type="spellStart"/>
      <w:r>
        <w:rPr>
          <w:rStyle w:val="Ninguno"/>
          <w:rFonts w:ascii="Calibri" w:hAnsi="Calibri"/>
          <w:sz w:val="22"/>
          <w:szCs w:val="22"/>
          <w:lang w:val="es-ES_tradnl"/>
        </w:rPr>
        <w:t>Urbaplus</w:t>
      </w:r>
      <w:proofErr w:type="spellEnd"/>
      <w:r>
        <w:rPr>
          <w:rStyle w:val="Ninguno"/>
          <w:rFonts w:ascii="Calibri" w:hAnsi="Calibri"/>
          <w:sz w:val="22"/>
          <w:szCs w:val="22"/>
          <w:lang w:val="es-ES_tradnl"/>
        </w:rPr>
        <w:t xml:space="preserve">, siendo recibida por una persona identificada como doña Marisa, quien no tenía relación laboral con la entidad. </w:t>
      </w:r>
      <w:proofErr w:type="spellStart"/>
      <w:r>
        <w:rPr>
          <w:rStyle w:val="Ninguno"/>
          <w:rFonts w:ascii="Calibri" w:hAnsi="Calibri"/>
          <w:sz w:val="22"/>
          <w:szCs w:val="22"/>
          <w:lang w:val="es-ES_tradnl"/>
        </w:rPr>
        <w:t>Urbaplus</w:t>
      </w:r>
      <w:proofErr w:type="spellEnd"/>
      <w:r>
        <w:rPr>
          <w:rStyle w:val="Ninguno"/>
          <w:rFonts w:ascii="Calibri" w:hAnsi="Calibri"/>
          <w:sz w:val="22"/>
          <w:szCs w:val="22"/>
          <w:lang w:val="es-ES_tradnl"/>
        </w:rPr>
        <w:t xml:space="preserve"> interpuso recurso contencioso-administrativo fuera del plazo legal de dos meses, alegando defectos en la notificación y nulidad de la liquidación. La sentencia de instancia estimó el recurso, pero el Ayuntamiento apeló, alegando la extemporaneidad del recurso y la validez de la notificación.</w:t>
      </w:r>
    </w:p>
    <w:p w14:paraId="16590340" w14:textId="77777777" w:rsidR="003F223C" w:rsidRDefault="00B66A92" w:rsidP="004C7CC2">
      <w:pPr>
        <w:pStyle w:val="CuerpoA"/>
        <w:widowControl w:val="0"/>
        <w:spacing w:after="80" w:line="288" w:lineRule="auto"/>
        <w:jc w:val="both"/>
        <w:rPr>
          <w:rFonts w:ascii="Calibri" w:eastAsia="Calibri" w:hAnsi="Calibri" w:cs="Calibri"/>
          <w:sz w:val="22"/>
          <w:szCs w:val="22"/>
          <w:lang w:val="es-ES_tradnl"/>
        </w:rPr>
      </w:pPr>
      <w:r>
        <w:rPr>
          <w:rStyle w:val="Ninguno"/>
          <w:rFonts w:ascii="Calibri" w:hAnsi="Calibri"/>
          <w:sz w:val="22"/>
          <w:szCs w:val="22"/>
          <w:lang w:val="es-ES_tradnl"/>
        </w:rPr>
        <w:t xml:space="preserve">El tribunal da la razón al Ayuntamiento de Iruña de Oca, revocando la sentencia de instancia que había estimado el recurso de </w:t>
      </w:r>
      <w:proofErr w:type="spellStart"/>
      <w:r>
        <w:rPr>
          <w:rStyle w:val="Ninguno"/>
          <w:rFonts w:ascii="Calibri" w:hAnsi="Calibri"/>
          <w:sz w:val="22"/>
          <w:szCs w:val="22"/>
          <w:lang w:val="es-ES_tradnl"/>
        </w:rPr>
        <w:t>Urbaplus</w:t>
      </w:r>
      <w:proofErr w:type="spellEnd"/>
      <w:r>
        <w:rPr>
          <w:rStyle w:val="Ninguno"/>
          <w:rFonts w:ascii="Calibri" w:hAnsi="Calibri"/>
          <w:sz w:val="22"/>
          <w:szCs w:val="22"/>
          <w:lang w:val="es-ES_tradnl"/>
        </w:rPr>
        <w:t xml:space="preserve">. Se concluye que la notificación realizada en el domicilio social de la mercantil, aunque recibida por persona sin relación laboral acreditada, es válida y surte efectos desde la fecha de entrega, sin que sea necesario que la administración acredite la relación entre la persona receptora y la entidad. Asimismo, se determina que el recurso contencioso-administrativo fue interpuesto fuera del plazo legal de dos meses, computado de fecha a fecha, lo que implica su inadmisibilidad. Por tanto, la liquidación y la providencia de apremio </w:t>
      </w:r>
      <w:r>
        <w:rPr>
          <w:rStyle w:val="Ninguno"/>
          <w:rFonts w:ascii="Calibri" w:hAnsi="Calibri"/>
          <w:sz w:val="22"/>
          <w:szCs w:val="22"/>
          <w:lang w:val="es-ES_tradnl"/>
        </w:rPr>
        <w:lastRenderedPageBreak/>
        <w:t xml:space="preserve">impugnadas quedan firmes y consentidas. El fallo estima el recurso de apelación del Ayuntamiento y declara inadmisible el recurso contencioso-administrativo de </w:t>
      </w:r>
      <w:proofErr w:type="spellStart"/>
      <w:r>
        <w:rPr>
          <w:rStyle w:val="Ninguno"/>
          <w:rFonts w:ascii="Calibri" w:hAnsi="Calibri"/>
          <w:sz w:val="22"/>
          <w:szCs w:val="22"/>
          <w:lang w:val="es-ES_tradnl"/>
        </w:rPr>
        <w:t>Urbaplus</w:t>
      </w:r>
      <w:proofErr w:type="spellEnd"/>
      <w:r>
        <w:rPr>
          <w:rStyle w:val="Ninguno"/>
          <w:rFonts w:ascii="Calibri" w:hAnsi="Calibri"/>
          <w:sz w:val="22"/>
          <w:szCs w:val="22"/>
          <w:lang w:val="es-ES_tradnl"/>
        </w:rPr>
        <w:t xml:space="preserve"> por extemporáneo, imponiendo costas a esta última. No se establece un cambio doctrinal, sino que se reafirma la interpretación estricta de los plazos procesales y la presunción de validez de las notificaciones administrativas realizadas en el domicilio social.</w:t>
      </w:r>
    </w:p>
    <w:p w14:paraId="6FDE6492" w14:textId="77777777" w:rsidR="003F223C" w:rsidRDefault="00B66A92">
      <w:pPr>
        <w:pStyle w:val="CuerpoA"/>
        <w:widowControl w:val="0"/>
        <w:spacing w:after="198" w:line="288" w:lineRule="auto"/>
        <w:jc w:val="both"/>
        <w:rPr>
          <w:rFonts w:ascii="Calibri" w:eastAsia="Calibri" w:hAnsi="Calibri" w:cs="Calibri"/>
          <w:sz w:val="22"/>
          <w:szCs w:val="22"/>
          <w:lang w:val="es-ES_tradnl"/>
        </w:rPr>
      </w:pPr>
      <w:hyperlink r:id="rId172">
        <w:r>
          <w:rPr>
            <w:rStyle w:val="Hyperlink0"/>
            <w:rFonts w:ascii="Calibri" w:hAnsi="Calibri"/>
            <w:sz w:val="22"/>
            <w:szCs w:val="22"/>
            <w:lang w:val="en-US"/>
          </w:rPr>
          <w:t>https://www.poderjudicial.es/search/AN/openDocument/6294b1269b2a29e5a0a8778d75e36f0d/20260123</w:t>
        </w:r>
      </w:hyperlink>
    </w:p>
    <w:p w14:paraId="41C52954" w14:textId="77777777" w:rsidR="003F223C" w:rsidRDefault="00B66A92" w:rsidP="00A80019">
      <w:pPr>
        <w:pStyle w:val="CuerpoA"/>
        <w:widowControl w:val="0"/>
        <w:spacing w:after="80" w:line="288" w:lineRule="auto"/>
        <w:jc w:val="both"/>
        <w:rPr>
          <w:rFonts w:ascii="Calibri" w:eastAsia="Calibri" w:hAnsi="Calibri" w:cs="Calibri"/>
          <w:b/>
          <w:bCs/>
          <w:sz w:val="22"/>
          <w:szCs w:val="22"/>
          <w:lang w:val="es-ES_tradnl"/>
        </w:rPr>
      </w:pPr>
      <w:r>
        <w:rPr>
          <w:rStyle w:val="Ninguno"/>
          <w:rFonts w:ascii="Calibri" w:hAnsi="Calibri"/>
          <w:b/>
          <w:bCs/>
          <w:sz w:val="22"/>
          <w:szCs w:val="22"/>
          <w:lang w:val="es-ES_tradnl"/>
        </w:rPr>
        <w:t>- (</w:t>
      </w:r>
      <w:r>
        <w:rPr>
          <w:rStyle w:val="Ninguno"/>
          <w:rFonts w:ascii="Calibri" w:hAnsi="Calibri"/>
          <w:b/>
          <w:bCs/>
          <w:sz w:val="22"/>
          <w:szCs w:val="22"/>
        </w:rPr>
        <w:t xml:space="preserve">Roj: STSJ PV </w:t>
      </w:r>
      <w:r>
        <w:rPr>
          <w:rStyle w:val="Ninguno"/>
          <w:rFonts w:ascii="Calibri" w:hAnsi="Calibri"/>
          <w:b/>
          <w:bCs/>
          <w:sz w:val="22"/>
          <w:szCs w:val="22"/>
          <w:lang w:val="es-ES_tradnl"/>
        </w:rPr>
        <w:t>42</w:t>
      </w:r>
      <w:r>
        <w:rPr>
          <w:rStyle w:val="Ninguno"/>
          <w:rFonts w:ascii="Calibri" w:hAnsi="Calibri"/>
          <w:b/>
          <w:bCs/>
          <w:sz w:val="22"/>
          <w:szCs w:val="22"/>
        </w:rPr>
        <w:t>/202</w:t>
      </w:r>
      <w:r>
        <w:rPr>
          <w:rStyle w:val="Ninguno"/>
          <w:rFonts w:ascii="Calibri" w:hAnsi="Calibri"/>
          <w:b/>
          <w:bCs/>
          <w:sz w:val="22"/>
          <w:szCs w:val="22"/>
          <w:lang w:val="es-ES_tradnl"/>
        </w:rPr>
        <w:t>6) Sentencia del TSJ de País Vasco 167/2025, de 7 de enero de 2026. Sala de lo Contencioso.</w:t>
      </w:r>
    </w:p>
    <w:p w14:paraId="43CF51C2" w14:textId="77777777" w:rsidR="003F223C" w:rsidRDefault="00B66A92" w:rsidP="004C7CC2">
      <w:pPr>
        <w:pStyle w:val="CuerpoA"/>
        <w:widowControl w:val="0"/>
        <w:spacing w:after="80" w:line="288" w:lineRule="auto"/>
        <w:jc w:val="both"/>
        <w:rPr>
          <w:rFonts w:ascii="Calibri" w:eastAsia="Calibri" w:hAnsi="Calibri" w:cs="Calibri"/>
          <w:sz w:val="22"/>
          <w:szCs w:val="22"/>
          <w:lang w:val="es-ES_tradnl"/>
        </w:rPr>
      </w:pPr>
      <w:r>
        <w:rPr>
          <w:rStyle w:val="Ninguno"/>
          <w:rFonts w:ascii="Calibri" w:hAnsi="Calibri"/>
          <w:sz w:val="22"/>
          <w:szCs w:val="22"/>
          <w:lang w:val="es-ES_tradnl"/>
        </w:rPr>
        <w:t xml:space="preserve">El Tribunal desestima el recurso de apelación interpuesto por el recurrente, confirmando la sentencia de instancia. Se considera que la exigencia del perfil lingüístico 1 con fecha de </w:t>
      </w:r>
      <w:proofErr w:type="spellStart"/>
      <w:r>
        <w:rPr>
          <w:rStyle w:val="Ninguno"/>
          <w:rFonts w:ascii="Calibri" w:hAnsi="Calibri"/>
          <w:sz w:val="22"/>
          <w:szCs w:val="22"/>
          <w:lang w:val="es-ES_tradnl"/>
        </w:rPr>
        <w:t>preceptividad</w:t>
      </w:r>
      <w:proofErr w:type="spellEnd"/>
      <w:r>
        <w:rPr>
          <w:rStyle w:val="Ninguno"/>
          <w:rFonts w:ascii="Calibri" w:hAnsi="Calibri"/>
          <w:sz w:val="22"/>
          <w:szCs w:val="22"/>
          <w:lang w:val="es-ES_tradnl"/>
        </w:rPr>
        <w:t xml:space="preserve"> vencida para el acceso a las plazas de la Ertzaintza es proporcional y ajustada a derecho, dado que el porcentaje de plazas con dicho requisito se corresponde con la distribución estadística del conocimiento del euskera en la población vasca, y que existe un número suficiente de plazas sin dicho requisito para aspirantes sin conocimientos de la lengua vasca. Además, se reconoce que el acto administrativo impugnado no es arbitrario ni desproporcionado, sino que está orientado a garantizar la cooficialidad lingüística proclamada en la Constitución y el Estatuto de Autonomía del País Vasco. Por tanto, no procede pronunciarse sobre la alegación relativa a la reserva de plazas para mujeres ni sobre la desproporción en las plazas de policías locales, ya que la pretensión del recurrente se circunscribe a las plazas de la Ertzaintza. El fallo es de desestimación íntegra del recurso, sin que se produzca cambio ni fijación de doctrina nueva, sino la confirmación de la jurisprudencia y normativa aplicable.</w:t>
      </w:r>
    </w:p>
    <w:p w14:paraId="03805BF1" w14:textId="77777777" w:rsidR="003F223C" w:rsidRDefault="00B66A92">
      <w:pPr>
        <w:pStyle w:val="Poromisin"/>
        <w:suppressAutoHyphens/>
        <w:spacing w:before="0" w:after="320" w:line="240" w:lineRule="auto"/>
        <w:rPr>
          <w:rFonts w:ascii="Calibri" w:eastAsia="Calibri" w:hAnsi="Calibri" w:cs="Calibri"/>
          <w:color w:val="333333"/>
          <w:sz w:val="22"/>
          <w:szCs w:val="22"/>
          <w:shd w:val="clear" w:color="auto" w:fill="FFFFFF"/>
        </w:rPr>
      </w:pPr>
      <w:hyperlink r:id="rId173">
        <w:r>
          <w:rPr>
            <w:rStyle w:val="Hyperlink0"/>
            <w:rFonts w:ascii="Calibri" w:hAnsi="Calibri"/>
            <w:sz w:val="22"/>
            <w:szCs w:val="22"/>
            <w:shd w:val="clear" w:color="auto" w:fill="FFFFFF"/>
          </w:rPr>
          <w:t>https://www.poderjudicial.es/search/AN/openDocument/6f5a0aa671807751a0a8778d75e36f0d/20260123</w:t>
        </w:r>
      </w:hyperlink>
    </w:p>
    <w:p w14:paraId="6E53E592" w14:textId="77777777" w:rsidR="003F223C" w:rsidRDefault="00B66A92" w:rsidP="00A80019">
      <w:pPr>
        <w:pStyle w:val="CuerpoA"/>
        <w:widowControl w:val="0"/>
        <w:spacing w:after="80" w:line="288" w:lineRule="auto"/>
        <w:jc w:val="both"/>
        <w:rPr>
          <w:rFonts w:ascii="Calibri" w:eastAsia="Calibri" w:hAnsi="Calibri" w:cs="Calibri"/>
          <w:b/>
          <w:bCs/>
          <w:sz w:val="22"/>
          <w:szCs w:val="22"/>
          <w:lang w:val="es-ES_tradnl"/>
        </w:rPr>
      </w:pPr>
      <w:r>
        <w:rPr>
          <w:rStyle w:val="Ninguno"/>
          <w:rFonts w:ascii="Calibri" w:hAnsi="Calibri"/>
          <w:b/>
          <w:bCs/>
          <w:sz w:val="22"/>
          <w:szCs w:val="22"/>
          <w:lang w:val="es-ES_tradnl"/>
        </w:rPr>
        <w:t>- (</w:t>
      </w:r>
      <w:r>
        <w:rPr>
          <w:rStyle w:val="Ninguno"/>
          <w:rFonts w:ascii="Calibri" w:hAnsi="Calibri"/>
          <w:b/>
          <w:bCs/>
          <w:sz w:val="22"/>
          <w:szCs w:val="22"/>
        </w:rPr>
        <w:t xml:space="preserve">Roj: STSJ PV </w:t>
      </w:r>
      <w:r>
        <w:rPr>
          <w:rStyle w:val="Ninguno"/>
          <w:rFonts w:ascii="Calibri" w:hAnsi="Calibri"/>
          <w:b/>
          <w:bCs/>
          <w:sz w:val="22"/>
          <w:szCs w:val="22"/>
          <w:lang w:val="es-ES_tradnl"/>
        </w:rPr>
        <w:t>56</w:t>
      </w:r>
      <w:r>
        <w:rPr>
          <w:rStyle w:val="Ninguno"/>
          <w:rFonts w:ascii="Calibri" w:hAnsi="Calibri"/>
          <w:b/>
          <w:bCs/>
          <w:sz w:val="22"/>
          <w:szCs w:val="22"/>
        </w:rPr>
        <w:t>/202</w:t>
      </w:r>
      <w:r>
        <w:rPr>
          <w:rStyle w:val="Ninguno"/>
          <w:rFonts w:ascii="Calibri" w:hAnsi="Calibri"/>
          <w:b/>
          <w:bCs/>
          <w:sz w:val="22"/>
          <w:szCs w:val="22"/>
          <w:lang w:val="es-ES_tradnl"/>
        </w:rPr>
        <w:t>6) Sentencia del TSJ de País Vasco 4/2026, de 7 de enero de 2026. Sala de lo Contencioso.</w:t>
      </w:r>
    </w:p>
    <w:p w14:paraId="239AF4A6" w14:textId="77777777" w:rsidR="003F223C" w:rsidRDefault="00B66A92" w:rsidP="008D4324">
      <w:pPr>
        <w:pStyle w:val="CuerpoA"/>
        <w:widowControl w:val="0"/>
        <w:spacing w:after="80" w:line="288" w:lineRule="auto"/>
        <w:jc w:val="both"/>
        <w:rPr>
          <w:rFonts w:ascii="Calibri" w:eastAsia="Calibri" w:hAnsi="Calibri" w:cs="Calibri"/>
          <w:sz w:val="22"/>
          <w:szCs w:val="22"/>
          <w:lang w:val="es-ES_tradnl"/>
        </w:rPr>
      </w:pPr>
      <w:r>
        <w:rPr>
          <w:rFonts w:ascii="Calibri" w:hAnsi="Calibri"/>
          <w:sz w:val="22"/>
          <w:szCs w:val="22"/>
          <w:lang w:val="es-ES_tradnl"/>
        </w:rPr>
        <w:t>El TSJ estima la apelación interpuesta, desestimando la adopción de la medida cautelar solicitada para permitir la participación de la recurrente en el proceso selectivo pese a superar el l</w:t>
      </w:r>
      <w:r>
        <w:rPr>
          <w:rFonts w:ascii="Calibri" w:hAnsi="Calibri"/>
          <w:sz w:val="22"/>
          <w:szCs w:val="22"/>
        </w:rPr>
        <w:t>í</w:t>
      </w:r>
      <w:r>
        <w:rPr>
          <w:rFonts w:ascii="Calibri" w:hAnsi="Calibri"/>
          <w:sz w:val="22"/>
          <w:szCs w:val="22"/>
          <w:lang w:val="es-ES_tradnl"/>
        </w:rPr>
        <w:t>mite de edad m</w:t>
      </w:r>
      <w:r>
        <w:rPr>
          <w:rFonts w:ascii="Calibri" w:hAnsi="Calibri"/>
          <w:sz w:val="22"/>
          <w:szCs w:val="22"/>
        </w:rPr>
        <w:t>á</w:t>
      </w:r>
      <w:proofErr w:type="spellStart"/>
      <w:r>
        <w:rPr>
          <w:rFonts w:ascii="Calibri" w:hAnsi="Calibri"/>
          <w:sz w:val="22"/>
          <w:szCs w:val="22"/>
          <w:lang w:val="es-ES_tradnl"/>
        </w:rPr>
        <w:t>xima</w:t>
      </w:r>
      <w:proofErr w:type="spellEnd"/>
      <w:r>
        <w:rPr>
          <w:rFonts w:ascii="Calibri" w:hAnsi="Calibri"/>
          <w:sz w:val="22"/>
          <w:szCs w:val="22"/>
          <w:lang w:val="es-ES_tradnl"/>
        </w:rPr>
        <w:t xml:space="preserve"> establecido legalmente, pues no hay apariencia de buen derecho, ya que al fundamento jur</w:t>
      </w:r>
      <w:r>
        <w:rPr>
          <w:rFonts w:ascii="Calibri" w:hAnsi="Calibri"/>
          <w:sz w:val="22"/>
          <w:szCs w:val="22"/>
        </w:rPr>
        <w:t>í</w:t>
      </w:r>
      <w:proofErr w:type="spellStart"/>
      <w:r>
        <w:rPr>
          <w:rFonts w:ascii="Calibri" w:hAnsi="Calibri"/>
          <w:sz w:val="22"/>
          <w:szCs w:val="22"/>
          <w:lang w:val="es-ES_tradnl"/>
        </w:rPr>
        <w:t>dico</w:t>
      </w:r>
      <w:proofErr w:type="spellEnd"/>
      <w:r>
        <w:rPr>
          <w:rFonts w:ascii="Calibri" w:hAnsi="Calibri"/>
          <w:sz w:val="22"/>
          <w:szCs w:val="22"/>
          <w:lang w:val="es-ES_tradnl"/>
        </w:rPr>
        <w:t xml:space="preserve"> de la pretensión que se esgrime en sede cautelar se le debe exigir que sea aparente, es decir, que se deduzca directamente y con evidencia apreciable por la generalidad de quienes lo examinen. Esto excluye aquellos supuestos en los que la normativa, o la jurisprudencia que la interpreta y aplica, no permiten apreciar esta evidencia. Y, a</w:t>
      </w:r>
      <w:proofErr w:type="spellStart"/>
      <w:r>
        <w:rPr>
          <w:rFonts w:ascii="Calibri" w:hAnsi="Calibri"/>
          <w:sz w:val="22"/>
          <w:szCs w:val="22"/>
        </w:rPr>
        <w:t>ún</w:t>
      </w:r>
      <w:proofErr w:type="spellEnd"/>
      <w:r>
        <w:rPr>
          <w:rFonts w:ascii="Calibri" w:hAnsi="Calibri"/>
          <w:sz w:val="22"/>
          <w:szCs w:val="22"/>
        </w:rPr>
        <w:t xml:space="preserve"> má</w:t>
      </w:r>
      <w:r>
        <w:rPr>
          <w:rFonts w:ascii="Calibri" w:hAnsi="Calibri"/>
          <w:sz w:val="22"/>
          <w:szCs w:val="22"/>
          <w:lang w:val="es-ES_tradnl"/>
        </w:rPr>
        <w:t>s, cuando la doctrina jurisprudencial apunta precisamente en sentido contrario al fundamento de la pretensión de la parte que pide la tutela cautelar. Sobre la edad m</w:t>
      </w:r>
      <w:r>
        <w:rPr>
          <w:rFonts w:ascii="Calibri" w:hAnsi="Calibri"/>
          <w:sz w:val="22"/>
          <w:szCs w:val="22"/>
        </w:rPr>
        <w:t>á</w:t>
      </w:r>
      <w:proofErr w:type="spellStart"/>
      <w:r>
        <w:rPr>
          <w:rFonts w:ascii="Calibri" w:hAnsi="Calibri"/>
          <w:sz w:val="22"/>
          <w:szCs w:val="22"/>
          <w:lang w:val="es-ES_tradnl"/>
        </w:rPr>
        <w:t>xima</w:t>
      </w:r>
      <w:proofErr w:type="spellEnd"/>
      <w:r>
        <w:rPr>
          <w:rFonts w:ascii="Calibri" w:hAnsi="Calibri"/>
          <w:sz w:val="22"/>
          <w:szCs w:val="22"/>
          <w:lang w:val="es-ES_tradnl"/>
        </w:rPr>
        <w:t xml:space="preserve"> para acceder a los cuerpos y fuerzas de seguridad, para el TEDH, esta restricción es adecuada y proporcional, ya que busca </w:t>
      </w:r>
      <w:r>
        <w:rPr>
          <w:rFonts w:ascii="Calibri" w:hAnsi="Calibri"/>
          <w:sz w:val="22"/>
          <w:szCs w:val="22"/>
          <w:lang w:val="es-ES_tradnl"/>
        </w:rPr>
        <w:lastRenderedPageBreak/>
        <w:t>preservar el car</w:t>
      </w:r>
      <w:r>
        <w:rPr>
          <w:rFonts w:ascii="Calibri" w:hAnsi="Calibri"/>
          <w:sz w:val="22"/>
          <w:szCs w:val="22"/>
        </w:rPr>
        <w:t>á</w:t>
      </w:r>
      <w:proofErr w:type="spellStart"/>
      <w:r>
        <w:rPr>
          <w:rFonts w:ascii="Calibri" w:hAnsi="Calibri"/>
          <w:sz w:val="22"/>
          <w:szCs w:val="22"/>
          <w:lang w:val="es-ES_tradnl"/>
        </w:rPr>
        <w:t>cter</w:t>
      </w:r>
      <w:proofErr w:type="spellEnd"/>
      <w:r>
        <w:rPr>
          <w:rFonts w:ascii="Calibri" w:hAnsi="Calibri"/>
          <w:sz w:val="22"/>
          <w:szCs w:val="22"/>
          <w:lang w:val="es-ES_tradnl"/>
        </w:rPr>
        <w:t xml:space="preserve"> operativo del cuerpo, en especial considerando que los agentes se benefician de facilidades para abandonar el servicio a partir de los 56 años, reduciendo as</w:t>
      </w:r>
      <w:r>
        <w:rPr>
          <w:rFonts w:ascii="Calibri" w:hAnsi="Calibri"/>
          <w:sz w:val="22"/>
          <w:szCs w:val="22"/>
        </w:rPr>
        <w:t xml:space="preserve">í </w:t>
      </w:r>
      <w:r>
        <w:rPr>
          <w:rFonts w:ascii="Calibri" w:hAnsi="Calibri"/>
          <w:sz w:val="22"/>
          <w:szCs w:val="22"/>
          <w:lang w:val="es-ES_tradnl"/>
        </w:rPr>
        <w:t xml:space="preserve">su periodo activo. Por su parte, el TS </w:t>
      </w:r>
      <w:proofErr w:type="spellStart"/>
      <w:r>
        <w:rPr>
          <w:rFonts w:ascii="Calibri" w:hAnsi="Calibri"/>
          <w:sz w:val="22"/>
          <w:szCs w:val="22"/>
          <w:lang w:val="es-ES_tradnl"/>
        </w:rPr>
        <w:t>ratific</w:t>
      </w:r>
      <w:r>
        <w:rPr>
          <w:rFonts w:ascii="Calibri" w:hAnsi="Calibri"/>
          <w:sz w:val="22"/>
          <w:szCs w:val="22"/>
        </w:rPr>
        <w:t>ó</w:t>
      </w:r>
      <w:proofErr w:type="spellEnd"/>
      <w:r>
        <w:rPr>
          <w:rFonts w:ascii="Calibri" w:hAnsi="Calibri"/>
          <w:sz w:val="22"/>
          <w:szCs w:val="22"/>
        </w:rPr>
        <w:t xml:space="preserve"> </w:t>
      </w:r>
      <w:r>
        <w:rPr>
          <w:rFonts w:ascii="Calibri" w:hAnsi="Calibri"/>
          <w:sz w:val="22"/>
          <w:szCs w:val="22"/>
          <w:lang w:val="es-ES_tradnl"/>
        </w:rPr>
        <w:t>la legalidad del l</w:t>
      </w:r>
      <w:r>
        <w:rPr>
          <w:rFonts w:ascii="Calibri" w:hAnsi="Calibri"/>
          <w:sz w:val="22"/>
          <w:szCs w:val="22"/>
        </w:rPr>
        <w:t>í</w:t>
      </w:r>
      <w:r>
        <w:rPr>
          <w:rFonts w:ascii="Calibri" w:hAnsi="Calibri"/>
          <w:sz w:val="22"/>
          <w:szCs w:val="22"/>
          <w:lang w:val="es-ES_tradnl"/>
        </w:rPr>
        <w:t xml:space="preserve">mite de edad de 38 años </w:t>
      </w:r>
    </w:p>
    <w:p w14:paraId="0AA83948" w14:textId="77777777" w:rsidR="003F223C" w:rsidRDefault="00B66A92">
      <w:pPr>
        <w:pStyle w:val="Poromisin"/>
        <w:suppressAutoHyphens/>
        <w:spacing w:before="0" w:after="320" w:line="240" w:lineRule="auto"/>
        <w:rPr>
          <w:rFonts w:ascii="Calibri" w:eastAsia="Calibri" w:hAnsi="Calibri" w:cs="Calibri"/>
          <w:color w:val="333333"/>
          <w:sz w:val="22"/>
          <w:szCs w:val="22"/>
          <w:shd w:val="clear" w:color="auto" w:fill="FFFFFF"/>
        </w:rPr>
      </w:pPr>
      <w:hyperlink r:id="rId174">
        <w:r>
          <w:rPr>
            <w:rStyle w:val="Hyperlink0"/>
            <w:rFonts w:ascii="Calibri" w:hAnsi="Calibri"/>
            <w:sz w:val="22"/>
            <w:szCs w:val="22"/>
            <w:shd w:val="clear" w:color="auto" w:fill="FFFFFF"/>
          </w:rPr>
          <w:t>https://www.poderjudicial.es/search/AN/openDocument/44fbae58061ca4d5a0a8778d75e36f0d/20260123</w:t>
        </w:r>
      </w:hyperlink>
    </w:p>
    <w:p w14:paraId="72AA42BD" w14:textId="77777777" w:rsidR="003F223C" w:rsidRDefault="00B66A92" w:rsidP="00A80019">
      <w:pPr>
        <w:pStyle w:val="CuerpoA"/>
        <w:widowControl w:val="0"/>
        <w:spacing w:after="80"/>
        <w:jc w:val="both"/>
        <w:rPr>
          <w:rFonts w:ascii="Calibri" w:eastAsia="Calibri" w:hAnsi="Calibri" w:cs="Calibri"/>
          <w:b/>
          <w:bCs/>
          <w:sz w:val="22"/>
          <w:szCs w:val="22"/>
          <w:lang w:val="es-ES_tradnl"/>
        </w:rPr>
      </w:pPr>
      <w:r>
        <w:rPr>
          <w:rStyle w:val="Ninguno"/>
          <w:rFonts w:ascii="Calibri" w:hAnsi="Calibri"/>
          <w:b/>
          <w:bCs/>
          <w:sz w:val="22"/>
          <w:szCs w:val="22"/>
          <w:lang w:val="es-ES_tradnl"/>
        </w:rPr>
        <w:t>- (</w:t>
      </w:r>
      <w:r>
        <w:rPr>
          <w:rStyle w:val="Ninguno"/>
          <w:rFonts w:ascii="Calibri" w:hAnsi="Calibri"/>
          <w:b/>
          <w:bCs/>
          <w:sz w:val="22"/>
          <w:szCs w:val="22"/>
        </w:rPr>
        <w:t xml:space="preserve">Roj: STSJ PV </w:t>
      </w:r>
      <w:r>
        <w:rPr>
          <w:rStyle w:val="Ninguno"/>
          <w:rFonts w:ascii="Calibri" w:hAnsi="Calibri"/>
          <w:b/>
          <w:bCs/>
          <w:sz w:val="22"/>
          <w:szCs w:val="22"/>
          <w:lang w:val="es-ES_tradnl"/>
        </w:rPr>
        <w:t>35</w:t>
      </w:r>
      <w:r>
        <w:rPr>
          <w:rStyle w:val="Ninguno"/>
          <w:rFonts w:ascii="Calibri" w:hAnsi="Calibri"/>
          <w:b/>
          <w:bCs/>
          <w:sz w:val="22"/>
          <w:szCs w:val="22"/>
        </w:rPr>
        <w:t>/202</w:t>
      </w:r>
      <w:r>
        <w:rPr>
          <w:rStyle w:val="Ninguno"/>
          <w:rFonts w:ascii="Calibri" w:hAnsi="Calibri"/>
          <w:b/>
          <w:bCs/>
          <w:sz w:val="22"/>
          <w:szCs w:val="22"/>
          <w:lang w:val="es-ES_tradnl"/>
        </w:rPr>
        <w:t>6) Sentencia del TSJ de País Vasco 6/2026, de 7 de enero de 2026. Sala de lo Contencioso.</w:t>
      </w:r>
    </w:p>
    <w:p w14:paraId="08CF46B9" w14:textId="77777777" w:rsidR="003F223C" w:rsidRDefault="00B66A92" w:rsidP="004C7CC2">
      <w:pPr>
        <w:pStyle w:val="CuerpoA"/>
        <w:widowControl w:val="0"/>
        <w:spacing w:after="80" w:line="288" w:lineRule="auto"/>
        <w:jc w:val="both"/>
        <w:rPr>
          <w:rFonts w:ascii="Calibri" w:eastAsia="Calibri" w:hAnsi="Calibri" w:cs="Calibri"/>
          <w:sz w:val="22"/>
          <w:szCs w:val="22"/>
        </w:rPr>
      </w:pPr>
      <w:r>
        <w:rPr>
          <w:rFonts w:ascii="Calibri" w:hAnsi="Calibri"/>
          <w:sz w:val="22"/>
          <w:szCs w:val="22"/>
          <w:lang w:val="es-ES_tradnl"/>
        </w:rPr>
        <w:t xml:space="preserve">El TSJ desestima la apelación interpuesta, confirmando que el ayuntamiento no tiene la competencia obligatoria para tratar aguas residuales industriales, </w:t>
      </w:r>
      <w:proofErr w:type="spellStart"/>
      <w:r>
        <w:rPr>
          <w:rFonts w:ascii="Calibri" w:hAnsi="Calibri"/>
          <w:sz w:val="22"/>
          <w:szCs w:val="22"/>
          <w:lang w:val="es-ES_tradnl"/>
        </w:rPr>
        <w:t>limit</w:t>
      </w:r>
      <w:proofErr w:type="spellEnd"/>
      <w:r>
        <w:rPr>
          <w:rFonts w:ascii="Calibri" w:hAnsi="Calibri"/>
          <w:sz w:val="22"/>
          <w:szCs w:val="22"/>
        </w:rPr>
        <w:t>á</w:t>
      </w:r>
      <w:proofErr w:type="spellStart"/>
      <w:r>
        <w:rPr>
          <w:rFonts w:ascii="Calibri" w:hAnsi="Calibri"/>
          <w:sz w:val="22"/>
          <w:szCs w:val="22"/>
          <w:lang w:val="es-ES_tradnl"/>
        </w:rPr>
        <w:t>ndose</w:t>
      </w:r>
      <w:proofErr w:type="spellEnd"/>
      <w:r>
        <w:rPr>
          <w:rFonts w:ascii="Calibri" w:hAnsi="Calibri"/>
          <w:sz w:val="22"/>
          <w:szCs w:val="22"/>
          <w:lang w:val="es-ES_tradnl"/>
        </w:rPr>
        <w:t xml:space="preserve"> su obligación al tratamiento de aguas residuales urbanas o dom</w:t>
      </w:r>
      <w:r>
        <w:rPr>
          <w:rFonts w:ascii="Calibri" w:hAnsi="Calibri"/>
          <w:sz w:val="22"/>
          <w:szCs w:val="22"/>
          <w:lang w:val="fr-FR"/>
        </w:rPr>
        <w:t>é</w:t>
      </w:r>
      <w:proofErr w:type="spellStart"/>
      <w:r>
        <w:rPr>
          <w:rFonts w:ascii="Calibri" w:hAnsi="Calibri"/>
          <w:sz w:val="22"/>
          <w:szCs w:val="22"/>
          <w:lang w:val="es-ES_tradnl"/>
        </w:rPr>
        <w:t>sticas</w:t>
      </w:r>
      <w:proofErr w:type="spellEnd"/>
      <w:r>
        <w:rPr>
          <w:rFonts w:ascii="Calibri" w:hAnsi="Calibri"/>
          <w:sz w:val="22"/>
          <w:szCs w:val="22"/>
          <w:lang w:val="es-ES_tradnl"/>
        </w:rPr>
        <w:t xml:space="preserve">, y que la EDAR municipal no </w:t>
      </w:r>
      <w:proofErr w:type="spellStart"/>
      <w:r>
        <w:rPr>
          <w:rFonts w:ascii="Calibri" w:hAnsi="Calibri"/>
          <w:sz w:val="22"/>
          <w:szCs w:val="22"/>
          <w:lang w:val="es-ES_tradnl"/>
        </w:rPr>
        <w:t>est</w:t>
      </w:r>
      <w:proofErr w:type="spellEnd"/>
      <w:r>
        <w:rPr>
          <w:rFonts w:ascii="Calibri" w:hAnsi="Calibri"/>
          <w:sz w:val="22"/>
          <w:szCs w:val="22"/>
        </w:rPr>
        <w:t xml:space="preserve">á </w:t>
      </w:r>
      <w:r>
        <w:rPr>
          <w:rFonts w:ascii="Calibri" w:hAnsi="Calibri"/>
          <w:sz w:val="22"/>
          <w:szCs w:val="22"/>
          <w:lang w:val="es-ES_tradnl"/>
        </w:rPr>
        <w:t xml:space="preserve">dimensionada ni equipada para tratar las aguas residuales industriales, ya que las entidades locales tienen la obligación de tratar </w:t>
      </w:r>
      <w:r>
        <w:rPr>
          <w:rFonts w:ascii="Calibri" w:hAnsi="Calibri"/>
          <w:sz w:val="22"/>
          <w:szCs w:val="22"/>
        </w:rPr>
        <w:t>ú</w:t>
      </w:r>
      <w:r>
        <w:rPr>
          <w:rFonts w:ascii="Calibri" w:hAnsi="Calibri"/>
          <w:sz w:val="22"/>
          <w:szCs w:val="22"/>
          <w:lang w:val="pt-PT"/>
        </w:rPr>
        <w:t>nicamente residuos dom</w:t>
      </w:r>
      <w:r>
        <w:rPr>
          <w:rFonts w:ascii="Calibri" w:hAnsi="Calibri"/>
          <w:sz w:val="22"/>
          <w:szCs w:val="22"/>
          <w:lang w:val="fr-FR"/>
        </w:rPr>
        <w:t>é</w:t>
      </w:r>
      <w:proofErr w:type="spellStart"/>
      <w:r>
        <w:rPr>
          <w:rFonts w:ascii="Calibri" w:hAnsi="Calibri"/>
          <w:sz w:val="22"/>
          <w:szCs w:val="22"/>
          <w:lang w:val="es-ES_tradnl"/>
        </w:rPr>
        <w:t>sticos</w:t>
      </w:r>
      <w:proofErr w:type="spellEnd"/>
      <w:r>
        <w:rPr>
          <w:rFonts w:ascii="Calibri" w:hAnsi="Calibri"/>
          <w:sz w:val="22"/>
          <w:szCs w:val="22"/>
          <w:lang w:val="es-ES_tradnl"/>
        </w:rPr>
        <w:t xml:space="preserve">, excluyendo los industriales; </w:t>
      </w:r>
      <w:proofErr w:type="spellStart"/>
      <w:r>
        <w:rPr>
          <w:rFonts w:ascii="Calibri" w:hAnsi="Calibri"/>
          <w:sz w:val="22"/>
          <w:szCs w:val="22"/>
          <w:lang w:val="es-ES_tradnl"/>
        </w:rPr>
        <w:t>adem</w:t>
      </w:r>
      <w:proofErr w:type="spellEnd"/>
      <w:r>
        <w:rPr>
          <w:rFonts w:ascii="Calibri" w:hAnsi="Calibri"/>
          <w:sz w:val="22"/>
          <w:szCs w:val="22"/>
        </w:rPr>
        <w:t>á</w:t>
      </w:r>
      <w:r>
        <w:rPr>
          <w:rFonts w:ascii="Calibri" w:hAnsi="Calibri"/>
          <w:sz w:val="22"/>
          <w:szCs w:val="22"/>
          <w:lang w:val="fr-FR"/>
        </w:rPr>
        <w:t>s, informes té</w:t>
      </w:r>
      <w:proofErr w:type="spellStart"/>
      <w:r>
        <w:rPr>
          <w:rFonts w:ascii="Calibri" w:hAnsi="Calibri"/>
          <w:sz w:val="22"/>
          <w:szCs w:val="22"/>
          <w:lang w:val="es-ES_tradnl"/>
        </w:rPr>
        <w:t>cnicos</w:t>
      </w:r>
      <w:proofErr w:type="spellEnd"/>
      <w:r>
        <w:rPr>
          <w:rFonts w:ascii="Calibri" w:hAnsi="Calibri"/>
          <w:sz w:val="22"/>
          <w:szCs w:val="22"/>
          <w:lang w:val="es-ES_tradnl"/>
        </w:rPr>
        <w:t xml:space="preserve"> acreditan que la EDAR municipal carece de capacidad t</w:t>
      </w:r>
      <w:r>
        <w:rPr>
          <w:rFonts w:ascii="Calibri" w:hAnsi="Calibri"/>
          <w:sz w:val="22"/>
          <w:szCs w:val="22"/>
          <w:lang w:val="fr-FR"/>
        </w:rPr>
        <w:t>é</w:t>
      </w:r>
      <w:proofErr w:type="spellStart"/>
      <w:r>
        <w:rPr>
          <w:rFonts w:ascii="Calibri" w:hAnsi="Calibri"/>
          <w:sz w:val="22"/>
          <w:szCs w:val="22"/>
          <w:lang w:val="es-ES_tradnl"/>
        </w:rPr>
        <w:t>cnica</w:t>
      </w:r>
      <w:proofErr w:type="spellEnd"/>
      <w:r>
        <w:rPr>
          <w:rFonts w:ascii="Calibri" w:hAnsi="Calibri"/>
          <w:sz w:val="22"/>
          <w:szCs w:val="22"/>
          <w:lang w:val="es-ES_tradnl"/>
        </w:rPr>
        <w:t xml:space="preserve"> y operativa para tratar las aguas industriales y la normativa aplicable delimita claramente las competencias municipales en materia de aguas residuales urbanas, no industriales.</w:t>
      </w:r>
    </w:p>
    <w:p w14:paraId="12D8D6A4" w14:textId="77777777" w:rsidR="003F223C" w:rsidRDefault="00B66A92">
      <w:pPr>
        <w:pStyle w:val="CuerpoA"/>
        <w:widowControl w:val="0"/>
        <w:spacing w:after="198" w:line="288" w:lineRule="auto"/>
        <w:jc w:val="both"/>
        <w:rPr>
          <w:rFonts w:ascii="Calibri" w:eastAsia="Calibri" w:hAnsi="Calibri" w:cs="Calibri"/>
          <w:sz w:val="22"/>
          <w:szCs w:val="22"/>
        </w:rPr>
      </w:pPr>
      <w:hyperlink r:id="rId175">
        <w:r>
          <w:rPr>
            <w:rStyle w:val="Hyperlink0"/>
            <w:rFonts w:ascii="Calibri" w:hAnsi="Calibri"/>
            <w:sz w:val="22"/>
            <w:szCs w:val="22"/>
            <w:lang w:val="en-US"/>
          </w:rPr>
          <w:t>https://www.poderjudicial.es/search/AN/openDocument/c79680463c2247dda0a8778d75e36f0d/20260123</w:t>
        </w:r>
      </w:hyperlink>
    </w:p>
    <w:p w14:paraId="23AF043B" w14:textId="77777777" w:rsidR="003F223C" w:rsidRDefault="00B66A92" w:rsidP="00A80019">
      <w:pPr>
        <w:pStyle w:val="CuerpoA"/>
        <w:widowControl w:val="0"/>
        <w:spacing w:after="80"/>
        <w:jc w:val="both"/>
        <w:rPr>
          <w:rFonts w:ascii="Calibri" w:eastAsia="Calibri" w:hAnsi="Calibri" w:cs="Calibri"/>
          <w:b/>
          <w:bCs/>
          <w:sz w:val="22"/>
          <w:szCs w:val="22"/>
          <w:lang w:val="es-ES_tradnl"/>
        </w:rPr>
      </w:pPr>
      <w:r>
        <w:rPr>
          <w:rStyle w:val="Ninguno"/>
          <w:rFonts w:ascii="Calibri" w:hAnsi="Calibri"/>
          <w:b/>
          <w:bCs/>
          <w:sz w:val="22"/>
          <w:szCs w:val="22"/>
          <w:lang w:val="es-ES_tradnl"/>
        </w:rPr>
        <w:t>- (</w:t>
      </w:r>
      <w:r>
        <w:rPr>
          <w:rStyle w:val="Ninguno"/>
          <w:rFonts w:ascii="Calibri" w:hAnsi="Calibri"/>
          <w:b/>
          <w:bCs/>
          <w:sz w:val="22"/>
          <w:szCs w:val="22"/>
        </w:rPr>
        <w:t xml:space="preserve">Roj: STSJ PV </w:t>
      </w:r>
      <w:r>
        <w:rPr>
          <w:rStyle w:val="Ninguno"/>
          <w:rFonts w:ascii="Calibri" w:hAnsi="Calibri"/>
          <w:b/>
          <w:bCs/>
          <w:sz w:val="22"/>
          <w:szCs w:val="22"/>
          <w:lang w:val="es-ES_tradnl"/>
        </w:rPr>
        <w:t>44</w:t>
      </w:r>
      <w:r>
        <w:rPr>
          <w:rStyle w:val="Ninguno"/>
          <w:rFonts w:ascii="Calibri" w:hAnsi="Calibri"/>
          <w:b/>
          <w:bCs/>
          <w:sz w:val="22"/>
          <w:szCs w:val="22"/>
        </w:rPr>
        <w:t>/202</w:t>
      </w:r>
      <w:r>
        <w:rPr>
          <w:rStyle w:val="Ninguno"/>
          <w:rFonts w:ascii="Calibri" w:hAnsi="Calibri"/>
          <w:b/>
          <w:bCs/>
          <w:sz w:val="22"/>
          <w:szCs w:val="22"/>
          <w:lang w:val="es-ES_tradnl"/>
        </w:rPr>
        <w:t>6) Sentencia del TSJ de País Vasco 2/2026, de 7 de enero de 2026. Sala de lo Contencioso.</w:t>
      </w:r>
    </w:p>
    <w:p w14:paraId="0C421D2F" w14:textId="77777777" w:rsidR="003F223C" w:rsidRDefault="00B66A92">
      <w:pPr>
        <w:pStyle w:val="CuerpoA"/>
        <w:widowControl w:val="0"/>
        <w:spacing w:after="198" w:line="288" w:lineRule="auto"/>
        <w:jc w:val="both"/>
        <w:rPr>
          <w:rFonts w:ascii="Calibri" w:eastAsia="Calibri" w:hAnsi="Calibri" w:cs="Calibri"/>
          <w:sz w:val="22"/>
          <w:szCs w:val="22"/>
          <w:lang w:val="es-ES_tradnl"/>
        </w:rPr>
      </w:pPr>
      <w:r>
        <w:rPr>
          <w:rStyle w:val="Ninguno"/>
          <w:rFonts w:ascii="Calibri" w:hAnsi="Calibri"/>
          <w:sz w:val="22"/>
          <w:szCs w:val="22"/>
          <w:lang w:val="es-ES_tradnl"/>
        </w:rPr>
        <w:t>El recurrente fue excluido del proceso selectivo para bombero del País Vasco por no superar una prueba psicotécnica obligatoria y eliminatoria compuesta por cuatro ejercicios que evalúan aptitudes de razonamiento, mecánicas, espaciales y verbales. Se impugnó la exclusión alegando que la prueba psicotécnica no debería ser eliminatoria en cada ejercicio y que la decisión administrativa carecía de motivación suficiente en el juicio técnico.</w:t>
      </w:r>
    </w:p>
    <w:p w14:paraId="5F664E11" w14:textId="77777777" w:rsidR="003F223C" w:rsidRDefault="00B66A92" w:rsidP="004C7CC2">
      <w:pPr>
        <w:pStyle w:val="CuerpoA"/>
        <w:widowControl w:val="0"/>
        <w:spacing w:after="80" w:line="288" w:lineRule="auto"/>
        <w:jc w:val="both"/>
        <w:rPr>
          <w:rFonts w:ascii="Calibri" w:eastAsia="Calibri" w:hAnsi="Calibri" w:cs="Calibri"/>
          <w:sz w:val="22"/>
          <w:szCs w:val="22"/>
          <w:lang w:val="es-ES_tradnl"/>
        </w:rPr>
      </w:pPr>
      <w:r>
        <w:rPr>
          <w:rStyle w:val="Ninguno"/>
          <w:rFonts w:ascii="Calibri" w:hAnsi="Calibri"/>
          <w:sz w:val="22"/>
          <w:szCs w:val="22"/>
          <w:lang w:val="es-ES_tradnl"/>
        </w:rPr>
        <w:t>El tribunal desestima el recurso de apelación interpuesto por el recurrente. Se sostiene que la inclusión de pruebas psicotécnicas con carácter eliminatorio en cada uno de sus ejercicios es válida cuando así lo establecen las bases de la convocatoria, dado que cada ejercicio evalúa destrezas distintas esenciales para el desempeño del puesto de bombero. No se vulneran los principios de mérito y capacidad, ya que se asegura una competencia mínima en todas las aptitudes requeridas. Asimismo, se rechaza la alegación de falta de motivación en el juicio técnico, pues la prueba tipo test tiene respuestas objetivamente correctas y la valoración se realiza conforme a criterios claros y conocidos. El fallo confirma la validez del proceso selectivo y la exclusión del recurrente por no superar la prueba psicotécnica. No se produce cambio ni fijación de doctrina, sino reiteración de la jurisprudencia previa.</w:t>
      </w:r>
    </w:p>
    <w:p w14:paraId="72CDD2A4" w14:textId="77777777" w:rsidR="003F223C" w:rsidRDefault="00B66A92">
      <w:pPr>
        <w:pStyle w:val="CuerpoA"/>
        <w:widowControl w:val="0"/>
        <w:spacing w:after="198" w:line="288" w:lineRule="auto"/>
        <w:jc w:val="both"/>
        <w:rPr>
          <w:rFonts w:ascii="Calibri" w:eastAsia="Calibri" w:hAnsi="Calibri" w:cs="Calibri"/>
          <w:sz w:val="22"/>
          <w:szCs w:val="22"/>
          <w:lang w:val="es-ES_tradnl"/>
        </w:rPr>
      </w:pPr>
      <w:hyperlink r:id="rId176">
        <w:r>
          <w:rPr>
            <w:rStyle w:val="Hyperlink0"/>
            <w:rFonts w:ascii="Calibri" w:hAnsi="Calibri"/>
            <w:sz w:val="22"/>
            <w:szCs w:val="22"/>
            <w:lang w:val="en-US"/>
          </w:rPr>
          <w:t>https://www.poderjudicial.es/search/AN/openDocument/7ece7c78f1dfaa3da0a8778d75e36f0d/20260123</w:t>
        </w:r>
      </w:hyperlink>
    </w:p>
    <w:p w14:paraId="5D16D011" w14:textId="77777777" w:rsidR="003F223C" w:rsidRDefault="00B66A92" w:rsidP="00A80019">
      <w:pPr>
        <w:pStyle w:val="CuerpoA"/>
        <w:widowControl w:val="0"/>
        <w:spacing w:after="80" w:line="288" w:lineRule="auto"/>
        <w:jc w:val="both"/>
        <w:rPr>
          <w:rFonts w:ascii="Calibri" w:eastAsia="Calibri" w:hAnsi="Calibri" w:cs="Calibri"/>
          <w:b/>
          <w:bCs/>
          <w:sz w:val="22"/>
          <w:szCs w:val="22"/>
          <w:lang w:val="es-ES_tradnl"/>
        </w:rPr>
      </w:pPr>
      <w:r>
        <w:rPr>
          <w:rStyle w:val="Ninguno"/>
          <w:rFonts w:ascii="Calibri" w:hAnsi="Calibri"/>
          <w:b/>
          <w:bCs/>
          <w:sz w:val="22"/>
          <w:szCs w:val="22"/>
          <w:lang w:val="es-ES_tradnl"/>
        </w:rPr>
        <w:lastRenderedPageBreak/>
        <w:t>- (</w:t>
      </w:r>
      <w:r>
        <w:rPr>
          <w:rStyle w:val="Ninguno"/>
          <w:rFonts w:ascii="Calibri" w:hAnsi="Calibri"/>
          <w:b/>
          <w:bCs/>
          <w:sz w:val="22"/>
          <w:szCs w:val="22"/>
        </w:rPr>
        <w:t xml:space="preserve">Roj: STSJ PV </w:t>
      </w:r>
      <w:r>
        <w:rPr>
          <w:rStyle w:val="Ninguno"/>
          <w:rFonts w:ascii="Calibri" w:hAnsi="Calibri"/>
          <w:b/>
          <w:bCs/>
          <w:sz w:val="22"/>
          <w:szCs w:val="22"/>
          <w:lang w:val="es-ES_tradnl"/>
        </w:rPr>
        <w:t>36</w:t>
      </w:r>
      <w:r>
        <w:rPr>
          <w:rStyle w:val="Ninguno"/>
          <w:rFonts w:ascii="Calibri" w:hAnsi="Calibri"/>
          <w:b/>
          <w:bCs/>
          <w:sz w:val="22"/>
          <w:szCs w:val="22"/>
        </w:rPr>
        <w:t>/202</w:t>
      </w:r>
      <w:r>
        <w:rPr>
          <w:rStyle w:val="Ninguno"/>
          <w:rFonts w:ascii="Calibri" w:hAnsi="Calibri"/>
          <w:b/>
          <w:bCs/>
          <w:sz w:val="22"/>
          <w:szCs w:val="22"/>
          <w:lang w:val="es-ES_tradnl"/>
        </w:rPr>
        <w:t>6) Sentencia del TSJ de País Vasco 18/2026, de 7 de enero de 2026. Sala de lo Contencioso.</w:t>
      </w:r>
    </w:p>
    <w:p w14:paraId="4F390AFE" w14:textId="77777777" w:rsidR="003F223C" w:rsidRDefault="00B66A92">
      <w:pPr>
        <w:pStyle w:val="CuerpoA"/>
        <w:widowControl w:val="0"/>
        <w:spacing w:after="198" w:line="288" w:lineRule="auto"/>
        <w:jc w:val="both"/>
        <w:rPr>
          <w:rFonts w:ascii="Calibri" w:eastAsia="Calibri" w:hAnsi="Calibri" w:cs="Calibri"/>
          <w:sz w:val="22"/>
          <w:szCs w:val="22"/>
          <w:lang w:val="es-ES_tradnl"/>
        </w:rPr>
      </w:pPr>
      <w:r>
        <w:rPr>
          <w:rStyle w:val="Ninguno"/>
          <w:rFonts w:ascii="Calibri" w:hAnsi="Calibri"/>
          <w:sz w:val="22"/>
          <w:szCs w:val="22"/>
          <w:lang w:val="es-ES_tradnl"/>
        </w:rPr>
        <w:t xml:space="preserve">La prórroga de un contrato administrativo prevista en las cláusulas específicas y generales es obligatoria para la contratista si la administración cumple con el preaviso mínimo establecido, y no procede la aplicación de la cláusula rebus sic </w:t>
      </w:r>
      <w:proofErr w:type="spellStart"/>
      <w:r>
        <w:rPr>
          <w:rStyle w:val="Ninguno"/>
          <w:rFonts w:ascii="Calibri" w:hAnsi="Calibri"/>
          <w:sz w:val="22"/>
          <w:szCs w:val="22"/>
          <w:lang w:val="es-ES_tradnl"/>
        </w:rPr>
        <w:t>stantibus</w:t>
      </w:r>
      <w:proofErr w:type="spellEnd"/>
      <w:r>
        <w:rPr>
          <w:rStyle w:val="Ninguno"/>
          <w:rFonts w:ascii="Calibri" w:hAnsi="Calibri"/>
          <w:sz w:val="22"/>
          <w:szCs w:val="22"/>
          <w:lang w:val="es-ES_tradnl"/>
        </w:rPr>
        <w:t xml:space="preserve"> por desequilibrio económico cuando las causas alegadas, como incrementos salariales y circunstancias económicas, eran previsibles en el momento de la adjudicación y firma del contrato.</w:t>
      </w:r>
    </w:p>
    <w:p w14:paraId="5A67A4EA" w14:textId="77777777" w:rsidR="003F223C" w:rsidRDefault="00B66A92" w:rsidP="004C7CC2">
      <w:pPr>
        <w:pStyle w:val="CuerpoA"/>
        <w:widowControl w:val="0"/>
        <w:spacing w:after="80" w:line="288" w:lineRule="auto"/>
        <w:jc w:val="both"/>
        <w:rPr>
          <w:rFonts w:ascii="Calibri" w:eastAsia="Calibri" w:hAnsi="Calibri" w:cs="Calibri"/>
          <w:sz w:val="22"/>
          <w:szCs w:val="22"/>
          <w:lang w:val="es-ES_tradnl"/>
        </w:rPr>
      </w:pPr>
      <w:r>
        <w:rPr>
          <w:rStyle w:val="Ninguno"/>
          <w:rFonts w:ascii="Calibri" w:hAnsi="Calibri"/>
          <w:sz w:val="22"/>
          <w:szCs w:val="22"/>
          <w:lang w:val="es-ES_tradnl"/>
        </w:rPr>
        <w:t xml:space="preserve">La sentencia destaca la importancia de la previsibilidad de las circunstancias económicas en la aplicación de la cláusula rebus sic </w:t>
      </w:r>
      <w:proofErr w:type="spellStart"/>
      <w:r>
        <w:rPr>
          <w:rStyle w:val="Ninguno"/>
          <w:rFonts w:ascii="Calibri" w:hAnsi="Calibri"/>
          <w:sz w:val="22"/>
          <w:szCs w:val="22"/>
          <w:lang w:val="es-ES_tradnl"/>
        </w:rPr>
        <w:t>stantibus</w:t>
      </w:r>
      <w:proofErr w:type="spellEnd"/>
      <w:r>
        <w:rPr>
          <w:rStyle w:val="Ninguno"/>
          <w:rFonts w:ascii="Calibri" w:hAnsi="Calibri"/>
          <w:sz w:val="22"/>
          <w:szCs w:val="22"/>
          <w:lang w:val="es-ES_tradnl"/>
        </w:rPr>
        <w:t xml:space="preserve"> en contratos administrativos, subrayando que no procede compensación por desequilibrio económico cuando las causas alegadas eran conocidas o previsibles en el momento contractual, y reafirma la obligatoriedad de la prórroga contractual cuando se cumplen los requisitos formales y sustantivos previstos en el contrato y la ley.</w:t>
      </w:r>
    </w:p>
    <w:p w14:paraId="552E7B66" w14:textId="77777777" w:rsidR="003F223C" w:rsidRDefault="00B66A92">
      <w:pPr>
        <w:pStyle w:val="Poromisin"/>
        <w:suppressAutoHyphens/>
        <w:spacing w:before="0" w:after="320" w:line="240" w:lineRule="auto"/>
        <w:rPr>
          <w:rFonts w:ascii="Calibri" w:eastAsia="Calibri" w:hAnsi="Calibri" w:cs="Calibri"/>
          <w:color w:val="333333"/>
          <w:sz w:val="22"/>
          <w:szCs w:val="22"/>
          <w:shd w:val="clear" w:color="auto" w:fill="FFFFFF"/>
        </w:rPr>
      </w:pPr>
      <w:hyperlink r:id="rId177">
        <w:r>
          <w:rPr>
            <w:rStyle w:val="Hyperlink0"/>
            <w:rFonts w:ascii="Calibri" w:hAnsi="Calibri"/>
            <w:sz w:val="22"/>
            <w:szCs w:val="22"/>
            <w:shd w:val="clear" w:color="auto" w:fill="FFFFFF"/>
          </w:rPr>
          <w:t>https://www.poderjudicial.es/search/AN/openDocument/19620f0ecf4a07d1a0a8778d75e36f0d/20260123</w:t>
        </w:r>
      </w:hyperlink>
    </w:p>
    <w:p w14:paraId="1B3C5349" w14:textId="77777777" w:rsidR="003F223C" w:rsidRDefault="00B66A92" w:rsidP="00A80019">
      <w:pPr>
        <w:pStyle w:val="CuerpoA"/>
        <w:widowControl w:val="0"/>
        <w:spacing w:after="80" w:line="288" w:lineRule="auto"/>
        <w:jc w:val="both"/>
        <w:rPr>
          <w:rFonts w:ascii="Calibri" w:eastAsia="Calibri" w:hAnsi="Calibri" w:cs="Calibri"/>
          <w:b/>
          <w:bCs/>
          <w:sz w:val="22"/>
          <w:szCs w:val="22"/>
          <w:lang w:val="es-ES_tradnl"/>
        </w:rPr>
      </w:pPr>
      <w:r>
        <w:rPr>
          <w:rStyle w:val="Ninguno"/>
          <w:rFonts w:ascii="Calibri" w:hAnsi="Calibri"/>
          <w:b/>
          <w:bCs/>
          <w:sz w:val="22"/>
          <w:szCs w:val="22"/>
          <w:lang w:val="es-ES_tradnl"/>
        </w:rPr>
        <w:t>- (</w:t>
      </w:r>
      <w:r>
        <w:rPr>
          <w:rStyle w:val="Ninguno"/>
          <w:rFonts w:ascii="Calibri" w:hAnsi="Calibri"/>
          <w:b/>
          <w:bCs/>
          <w:sz w:val="22"/>
          <w:szCs w:val="22"/>
        </w:rPr>
        <w:t xml:space="preserve">Roj: STSJ PV </w:t>
      </w:r>
      <w:r>
        <w:rPr>
          <w:rStyle w:val="Ninguno"/>
          <w:rFonts w:ascii="Calibri" w:hAnsi="Calibri"/>
          <w:b/>
          <w:bCs/>
          <w:sz w:val="22"/>
          <w:szCs w:val="22"/>
          <w:lang w:val="es-ES_tradnl"/>
        </w:rPr>
        <w:t>20</w:t>
      </w:r>
      <w:r>
        <w:rPr>
          <w:rStyle w:val="Ninguno"/>
          <w:rFonts w:ascii="Calibri" w:hAnsi="Calibri"/>
          <w:b/>
          <w:bCs/>
          <w:sz w:val="22"/>
          <w:szCs w:val="22"/>
        </w:rPr>
        <w:t>/202</w:t>
      </w:r>
      <w:r>
        <w:rPr>
          <w:rStyle w:val="Ninguno"/>
          <w:rFonts w:ascii="Calibri" w:hAnsi="Calibri"/>
          <w:b/>
          <w:bCs/>
          <w:sz w:val="22"/>
          <w:szCs w:val="22"/>
          <w:lang w:val="es-ES_tradnl"/>
        </w:rPr>
        <w:t>6) Sentencia del TSJ de País Vasco 14/2026, de 7 de enero de 2026. Sala de lo Contencioso.</w:t>
      </w:r>
    </w:p>
    <w:p w14:paraId="7453D495" w14:textId="77777777" w:rsidR="003F223C" w:rsidRDefault="00B66A92" w:rsidP="004C7CC2">
      <w:pPr>
        <w:pStyle w:val="CuerpoA"/>
        <w:widowControl w:val="0"/>
        <w:spacing w:after="80" w:line="288" w:lineRule="auto"/>
        <w:jc w:val="both"/>
        <w:rPr>
          <w:rFonts w:ascii="Calibri" w:eastAsia="Calibri" w:hAnsi="Calibri" w:cs="Calibri"/>
          <w:sz w:val="22"/>
          <w:szCs w:val="22"/>
          <w:lang w:val="es-ES_tradnl"/>
        </w:rPr>
      </w:pPr>
      <w:r>
        <w:rPr>
          <w:rStyle w:val="Ninguno"/>
          <w:rFonts w:ascii="Calibri" w:hAnsi="Calibri"/>
          <w:sz w:val="22"/>
          <w:szCs w:val="22"/>
          <w:lang w:val="es-ES_tradnl"/>
        </w:rPr>
        <w:t>La sentencia destaca la necesidad de que los recursos contencioso-administrativos que cuestionan la constitucionalidad de normas forales tributarias aporten un análisis concreto y casuístico de la aplicación normativa, y que el control indirecto de constitucionalidad debe realizarse mediante el procedimiento adecuado de planteamiento de cuestión prejudicial, rechazando impugnaciones genéricas basadas en recursos pendientes contra normativa estatal distinta.</w:t>
      </w:r>
    </w:p>
    <w:p w14:paraId="4F0F59C1" w14:textId="77777777" w:rsidR="003F223C" w:rsidRDefault="00B66A92">
      <w:pPr>
        <w:pStyle w:val="Poromisin"/>
        <w:suppressAutoHyphens/>
        <w:spacing w:before="0" w:after="320" w:line="240" w:lineRule="auto"/>
        <w:rPr>
          <w:rFonts w:ascii="Calibri" w:eastAsia="Calibri" w:hAnsi="Calibri" w:cs="Calibri"/>
          <w:color w:val="333333"/>
          <w:sz w:val="22"/>
          <w:szCs w:val="22"/>
          <w:shd w:val="clear" w:color="auto" w:fill="FFFFFF"/>
        </w:rPr>
      </w:pPr>
      <w:hyperlink r:id="rId178">
        <w:r>
          <w:rPr>
            <w:rStyle w:val="Hyperlink0"/>
            <w:rFonts w:ascii="Calibri" w:hAnsi="Calibri"/>
            <w:sz w:val="22"/>
            <w:szCs w:val="22"/>
            <w:shd w:val="clear" w:color="auto" w:fill="FFFFFF"/>
          </w:rPr>
          <w:t>https://www.poderjudicial.es/search/AN/openDocument/05446ba8a1e57331a0a8778d75e36f0d/20260123</w:t>
        </w:r>
      </w:hyperlink>
    </w:p>
    <w:p w14:paraId="1AF3243F" w14:textId="77777777" w:rsidR="003F223C" w:rsidRDefault="00B66A92" w:rsidP="00A80019">
      <w:pPr>
        <w:pStyle w:val="CuerpoA"/>
        <w:widowControl w:val="0"/>
        <w:spacing w:after="80" w:line="288" w:lineRule="auto"/>
        <w:jc w:val="both"/>
        <w:rPr>
          <w:rFonts w:ascii="Calibri" w:eastAsia="Calibri" w:hAnsi="Calibri" w:cs="Calibri"/>
          <w:b/>
          <w:bCs/>
          <w:sz w:val="22"/>
          <w:szCs w:val="22"/>
          <w:lang w:val="es-ES_tradnl"/>
        </w:rPr>
      </w:pPr>
      <w:r>
        <w:rPr>
          <w:rStyle w:val="Ninguno"/>
          <w:rFonts w:ascii="Calibri" w:hAnsi="Calibri"/>
          <w:b/>
          <w:bCs/>
          <w:sz w:val="22"/>
          <w:szCs w:val="22"/>
          <w:lang w:val="es-ES_tradnl"/>
        </w:rPr>
        <w:t>- (</w:t>
      </w:r>
      <w:r>
        <w:rPr>
          <w:rStyle w:val="Ninguno"/>
          <w:rFonts w:ascii="Calibri" w:hAnsi="Calibri"/>
          <w:b/>
          <w:bCs/>
          <w:sz w:val="22"/>
          <w:szCs w:val="22"/>
        </w:rPr>
        <w:t xml:space="preserve">Roj: STSJ PV </w:t>
      </w:r>
      <w:r>
        <w:rPr>
          <w:rStyle w:val="Ninguno"/>
          <w:rFonts w:ascii="Calibri" w:hAnsi="Calibri"/>
          <w:b/>
          <w:bCs/>
          <w:sz w:val="22"/>
          <w:szCs w:val="22"/>
          <w:lang w:val="es-ES_tradnl"/>
        </w:rPr>
        <w:t>57</w:t>
      </w:r>
      <w:r>
        <w:rPr>
          <w:rStyle w:val="Ninguno"/>
          <w:rFonts w:ascii="Calibri" w:hAnsi="Calibri"/>
          <w:b/>
          <w:bCs/>
          <w:sz w:val="22"/>
          <w:szCs w:val="22"/>
        </w:rPr>
        <w:t>/202</w:t>
      </w:r>
      <w:r>
        <w:rPr>
          <w:rStyle w:val="Ninguno"/>
          <w:rFonts w:ascii="Calibri" w:hAnsi="Calibri"/>
          <w:b/>
          <w:bCs/>
          <w:sz w:val="22"/>
          <w:szCs w:val="22"/>
          <w:lang w:val="es-ES_tradnl"/>
        </w:rPr>
        <w:t>6) Sentencia del TSJ de País Vasco 21/2026, de 8 de enero de 2026. Sala de lo Contencioso.</w:t>
      </w:r>
    </w:p>
    <w:p w14:paraId="7CC24446" w14:textId="77777777" w:rsidR="003F223C" w:rsidRDefault="00B66A92" w:rsidP="004C7CC2">
      <w:pPr>
        <w:pStyle w:val="CuerpoA"/>
        <w:widowControl w:val="0"/>
        <w:spacing w:after="80" w:line="288" w:lineRule="auto"/>
        <w:jc w:val="both"/>
      </w:pPr>
      <w:r>
        <w:rPr>
          <w:rStyle w:val="Ninguno"/>
          <w:rFonts w:ascii="Calibri" w:hAnsi="Calibri"/>
          <w:sz w:val="22"/>
          <w:szCs w:val="22"/>
          <w:lang w:val="es-ES_tradnl"/>
        </w:rPr>
        <w:t xml:space="preserve">El tribunal otorga la razón al Ayuntamiento y a la madre, confirmando el auto que declara terminado el procedimiento por satisfacción extraprocesal. Se fundamenta en que el reconocimiento administrativo posterior a la interposición del recurso contencioso-administrativo, que no infringe manifiestamente el ordenamiento jurídico, legitima la finalización del proceso. Se considera acreditado que la resolución administrativa anulando el alta padronal fue dictada con un vicio procedimental grave, consistente en la omisión del trámite de audiencia, generando indefensión a la madre. Por ello, el reconocimiento administrativo corrige dicha indefensión y justifica la satisfacción extraprocesal. La disconformidad del padre con el reconocimiento debe canalizarse mediante recurso contra el decreto administrativo, no en la apelación contra el auto judicial. En consecuencia, se desestima el recurso de apelación y se imponen costas a la parte </w:t>
      </w:r>
      <w:r>
        <w:rPr>
          <w:rStyle w:val="Ninguno"/>
          <w:rFonts w:ascii="Calibri" w:hAnsi="Calibri"/>
          <w:sz w:val="22"/>
          <w:szCs w:val="22"/>
          <w:lang w:val="es-ES_tradnl"/>
        </w:rPr>
        <w:lastRenderedPageBreak/>
        <w:t>apelante. No se produce cambio ni fijación de doctrina, sino la aplicación directa del artículo 76 de la LJCA.</w:t>
      </w:r>
    </w:p>
    <w:p w14:paraId="43C224E5" w14:textId="77777777" w:rsidR="003F223C" w:rsidRDefault="00B66A92">
      <w:pPr>
        <w:pStyle w:val="Poromisin"/>
        <w:suppressAutoHyphens/>
        <w:spacing w:before="0" w:after="320" w:line="240" w:lineRule="auto"/>
        <w:rPr>
          <w:rFonts w:ascii="Calibri" w:eastAsia="Calibri" w:hAnsi="Calibri" w:cs="Calibri"/>
          <w:color w:val="333333"/>
          <w:sz w:val="22"/>
          <w:szCs w:val="22"/>
          <w:shd w:val="clear" w:color="auto" w:fill="FFFFFF"/>
        </w:rPr>
      </w:pPr>
      <w:hyperlink r:id="rId179">
        <w:r>
          <w:rPr>
            <w:rStyle w:val="Hyperlink0"/>
            <w:rFonts w:ascii="Calibri" w:hAnsi="Calibri"/>
            <w:sz w:val="22"/>
            <w:szCs w:val="22"/>
            <w:shd w:val="clear" w:color="auto" w:fill="FFFFFF"/>
          </w:rPr>
          <w:t>https://www.poderjudicial.es/search/AN/openDocument/b0404ba049d105d1a0a8778d75e36f0d/20260123</w:t>
        </w:r>
      </w:hyperlink>
    </w:p>
    <w:p w14:paraId="0A0E3B96" w14:textId="77777777" w:rsidR="003F223C" w:rsidRDefault="00B66A92" w:rsidP="00A80019">
      <w:pPr>
        <w:pStyle w:val="CuerpoA"/>
        <w:widowControl w:val="0"/>
        <w:spacing w:after="80" w:line="288" w:lineRule="auto"/>
        <w:jc w:val="both"/>
        <w:rPr>
          <w:rFonts w:ascii="Calibri" w:eastAsia="Calibri" w:hAnsi="Calibri" w:cs="Calibri"/>
          <w:b/>
          <w:bCs/>
          <w:sz w:val="22"/>
          <w:szCs w:val="22"/>
          <w:lang w:val="es-ES_tradnl"/>
        </w:rPr>
      </w:pPr>
      <w:r>
        <w:rPr>
          <w:rStyle w:val="Ninguno"/>
          <w:rFonts w:ascii="Calibri" w:hAnsi="Calibri"/>
          <w:b/>
          <w:bCs/>
          <w:sz w:val="22"/>
          <w:szCs w:val="22"/>
          <w:lang w:val="es-ES_tradnl"/>
        </w:rPr>
        <w:t>- (</w:t>
      </w:r>
      <w:r>
        <w:rPr>
          <w:rStyle w:val="Ninguno"/>
          <w:rFonts w:ascii="Calibri" w:hAnsi="Calibri"/>
          <w:b/>
          <w:bCs/>
          <w:sz w:val="22"/>
          <w:szCs w:val="22"/>
        </w:rPr>
        <w:t xml:space="preserve">Roj: STSJ PV </w:t>
      </w:r>
      <w:r>
        <w:rPr>
          <w:rStyle w:val="Ninguno"/>
          <w:rFonts w:ascii="Calibri" w:hAnsi="Calibri"/>
          <w:b/>
          <w:bCs/>
          <w:sz w:val="22"/>
          <w:szCs w:val="22"/>
          <w:lang w:val="es-ES_tradnl"/>
        </w:rPr>
        <w:t>55</w:t>
      </w:r>
      <w:r>
        <w:rPr>
          <w:rStyle w:val="Ninguno"/>
          <w:rFonts w:ascii="Calibri" w:hAnsi="Calibri"/>
          <w:b/>
          <w:bCs/>
          <w:sz w:val="22"/>
          <w:szCs w:val="22"/>
        </w:rPr>
        <w:t>/202</w:t>
      </w:r>
      <w:r>
        <w:rPr>
          <w:rStyle w:val="Ninguno"/>
          <w:rFonts w:ascii="Calibri" w:hAnsi="Calibri"/>
          <w:b/>
          <w:bCs/>
          <w:sz w:val="22"/>
          <w:szCs w:val="22"/>
          <w:lang w:val="es-ES_tradnl"/>
        </w:rPr>
        <w:t>6) Sentencia del TSJ de País Vasco 23/2026, de 9 de enero de 2026. Sala de lo Contencioso.</w:t>
      </w:r>
    </w:p>
    <w:p w14:paraId="5F10AD87" w14:textId="77777777" w:rsidR="003F223C" w:rsidRDefault="00B66A92" w:rsidP="004C7CC2">
      <w:pPr>
        <w:pStyle w:val="CuerpoA"/>
        <w:widowControl w:val="0"/>
        <w:spacing w:after="80" w:line="288" w:lineRule="auto"/>
        <w:jc w:val="both"/>
        <w:rPr>
          <w:rFonts w:ascii="Calibri" w:eastAsia="Calibri" w:hAnsi="Calibri" w:cs="Calibri"/>
          <w:sz w:val="22"/>
          <w:szCs w:val="22"/>
        </w:rPr>
      </w:pPr>
      <w:r>
        <w:rPr>
          <w:rStyle w:val="Ninguno"/>
          <w:rFonts w:ascii="Calibri" w:hAnsi="Calibri"/>
          <w:sz w:val="22"/>
          <w:szCs w:val="22"/>
          <w:lang w:val="es-ES_tradnl"/>
        </w:rPr>
        <w:t xml:space="preserve">El tribunal desestima el recurso de apelación presentado por la Asociación, confirmando la sanción impuesta por la administración. Se argumenta que la regulación municipal que exige autorización previa para la colocación de carteles y </w:t>
      </w:r>
      <w:proofErr w:type="spellStart"/>
      <w:r>
        <w:rPr>
          <w:rStyle w:val="Ninguno"/>
          <w:rFonts w:ascii="Calibri" w:hAnsi="Calibri"/>
          <w:sz w:val="22"/>
          <w:szCs w:val="22"/>
          <w:lang w:val="es-ES_tradnl"/>
        </w:rPr>
        <w:t>proh</w:t>
      </w:r>
      <w:proofErr w:type="spellEnd"/>
      <w:r>
        <w:rPr>
          <w:rStyle w:val="Ninguno"/>
          <w:rFonts w:ascii="Calibri" w:hAnsi="Calibri"/>
          <w:sz w:val="22"/>
          <w:szCs w:val="22"/>
        </w:rPr>
        <w:t>í</w:t>
      </w:r>
      <w:r>
        <w:rPr>
          <w:rStyle w:val="Ninguno"/>
          <w:rFonts w:ascii="Calibri" w:hAnsi="Calibri"/>
          <w:sz w:val="22"/>
          <w:szCs w:val="22"/>
          <w:lang w:val="es-ES_tradnl"/>
        </w:rPr>
        <w:t xml:space="preserve">be actos </w:t>
      </w:r>
      <w:proofErr w:type="spellStart"/>
      <w:r>
        <w:rPr>
          <w:rStyle w:val="Ninguno"/>
          <w:rFonts w:ascii="Calibri" w:hAnsi="Calibri"/>
          <w:sz w:val="22"/>
          <w:szCs w:val="22"/>
          <w:lang w:val="es-ES_tradnl"/>
        </w:rPr>
        <w:t>pol</w:t>
      </w:r>
      <w:proofErr w:type="spellEnd"/>
      <w:r>
        <w:rPr>
          <w:rStyle w:val="Ninguno"/>
          <w:rFonts w:ascii="Calibri" w:hAnsi="Calibri"/>
          <w:sz w:val="22"/>
          <w:szCs w:val="22"/>
        </w:rPr>
        <w:t>í</w:t>
      </w:r>
      <w:r>
        <w:rPr>
          <w:rStyle w:val="Ninguno"/>
          <w:rFonts w:ascii="Calibri" w:hAnsi="Calibri"/>
          <w:sz w:val="22"/>
          <w:szCs w:val="22"/>
          <w:lang w:val="es-ES_tradnl"/>
        </w:rPr>
        <w:t>ticos en locales municipales es constitucional y no constituye censura previa, ya que protege el inter</w:t>
      </w:r>
      <w:proofErr w:type="spellStart"/>
      <w:r>
        <w:rPr>
          <w:rStyle w:val="Ninguno"/>
          <w:rFonts w:ascii="Calibri" w:hAnsi="Calibri"/>
          <w:sz w:val="22"/>
          <w:szCs w:val="22"/>
          <w:lang w:val="fr-FR"/>
        </w:rPr>
        <w:t>és</w:t>
      </w:r>
      <w:proofErr w:type="spellEnd"/>
      <w:r>
        <w:rPr>
          <w:rStyle w:val="Ninguno"/>
          <w:rFonts w:ascii="Calibri" w:hAnsi="Calibri"/>
          <w:sz w:val="22"/>
          <w:szCs w:val="22"/>
          <w:lang w:val="fr-FR"/>
        </w:rPr>
        <w:t xml:space="preserve"> p</w:t>
      </w:r>
      <w:r>
        <w:rPr>
          <w:rStyle w:val="Ninguno"/>
          <w:rFonts w:ascii="Calibri" w:hAnsi="Calibri"/>
          <w:sz w:val="22"/>
          <w:szCs w:val="22"/>
        </w:rPr>
        <w:t>ú</w:t>
      </w:r>
      <w:proofErr w:type="spellStart"/>
      <w:r>
        <w:rPr>
          <w:rStyle w:val="Ninguno"/>
          <w:rFonts w:ascii="Calibri" w:hAnsi="Calibri"/>
          <w:sz w:val="22"/>
          <w:szCs w:val="22"/>
          <w:lang w:val="es-ES_tradnl"/>
        </w:rPr>
        <w:t>blico</w:t>
      </w:r>
      <w:proofErr w:type="spellEnd"/>
      <w:r>
        <w:rPr>
          <w:rStyle w:val="Ninguno"/>
          <w:rFonts w:ascii="Calibri" w:hAnsi="Calibri"/>
          <w:sz w:val="22"/>
          <w:szCs w:val="22"/>
          <w:lang w:val="es-ES_tradnl"/>
        </w:rPr>
        <w:t xml:space="preserve"> y el uso adecuado de bienes de dominio p</w:t>
      </w:r>
      <w:r>
        <w:rPr>
          <w:rStyle w:val="Ninguno"/>
          <w:rFonts w:ascii="Calibri" w:hAnsi="Calibri"/>
          <w:sz w:val="22"/>
          <w:szCs w:val="22"/>
        </w:rPr>
        <w:t>ú</w:t>
      </w:r>
      <w:proofErr w:type="spellStart"/>
      <w:r>
        <w:rPr>
          <w:rStyle w:val="Ninguno"/>
          <w:rFonts w:ascii="Calibri" w:hAnsi="Calibri"/>
          <w:sz w:val="22"/>
          <w:szCs w:val="22"/>
          <w:lang w:val="es-ES_tradnl"/>
        </w:rPr>
        <w:t>blico</w:t>
      </w:r>
      <w:proofErr w:type="spellEnd"/>
      <w:r>
        <w:rPr>
          <w:rStyle w:val="Ninguno"/>
          <w:rFonts w:ascii="Calibri" w:hAnsi="Calibri"/>
          <w:sz w:val="22"/>
          <w:szCs w:val="22"/>
          <w:lang w:val="es-ES_tradnl"/>
        </w:rPr>
        <w:t xml:space="preserve">. El acto celebrado, aunque revestido de elementos culturales, tuvo una finalidad </w:t>
      </w:r>
      <w:proofErr w:type="spellStart"/>
      <w:r>
        <w:rPr>
          <w:rStyle w:val="Ninguno"/>
          <w:rFonts w:ascii="Calibri" w:hAnsi="Calibri"/>
          <w:sz w:val="22"/>
          <w:szCs w:val="22"/>
          <w:lang w:val="es-ES_tradnl"/>
        </w:rPr>
        <w:t>pol</w:t>
      </w:r>
      <w:proofErr w:type="spellEnd"/>
      <w:r>
        <w:rPr>
          <w:rStyle w:val="Ninguno"/>
          <w:rFonts w:ascii="Calibri" w:hAnsi="Calibri"/>
          <w:sz w:val="22"/>
          <w:szCs w:val="22"/>
        </w:rPr>
        <w:t>í</w:t>
      </w:r>
      <w:r>
        <w:rPr>
          <w:rStyle w:val="Ninguno"/>
          <w:rFonts w:ascii="Calibri" w:hAnsi="Calibri"/>
          <w:sz w:val="22"/>
          <w:szCs w:val="22"/>
          <w:lang w:val="es-ES_tradnl"/>
        </w:rPr>
        <w:t>tica clara, evidenciada por el contenido de los carteles y el contexto del evento, lo que justifica la sanción. La responsabilidad de la Asociación se extiende a la omisión de retirar carteles colocados sin autorización. Adem</w:t>
      </w:r>
      <w:r>
        <w:rPr>
          <w:rStyle w:val="Ninguno"/>
          <w:rFonts w:ascii="Calibri" w:hAnsi="Calibri"/>
          <w:sz w:val="22"/>
          <w:szCs w:val="22"/>
        </w:rPr>
        <w:t>á</w:t>
      </w:r>
      <w:r>
        <w:rPr>
          <w:rStyle w:val="Ninguno"/>
          <w:rFonts w:ascii="Calibri" w:hAnsi="Calibri"/>
          <w:sz w:val="22"/>
          <w:szCs w:val="22"/>
          <w:lang w:val="es-ES_tradnl"/>
        </w:rPr>
        <w:t xml:space="preserve">s, no se vulnera la presunción de inocencia ni el principio non bis in </w:t>
      </w:r>
      <w:proofErr w:type="spellStart"/>
      <w:r>
        <w:rPr>
          <w:rStyle w:val="Ninguno"/>
          <w:rFonts w:ascii="Calibri" w:hAnsi="Calibri"/>
          <w:sz w:val="22"/>
          <w:szCs w:val="22"/>
          <w:lang w:val="es-ES_tradnl"/>
        </w:rPr>
        <w:t>idem</w:t>
      </w:r>
      <w:proofErr w:type="spellEnd"/>
      <w:r>
        <w:rPr>
          <w:rStyle w:val="Ninguno"/>
          <w:rFonts w:ascii="Calibri" w:hAnsi="Calibri"/>
          <w:sz w:val="22"/>
          <w:szCs w:val="22"/>
          <w:lang w:val="es-ES_tradnl"/>
        </w:rPr>
        <w:t>, dado que los procedimientos penal y administrativo persiguen bienes jur</w:t>
      </w:r>
      <w:r>
        <w:rPr>
          <w:rStyle w:val="Ninguno"/>
          <w:rFonts w:ascii="Calibri" w:hAnsi="Calibri"/>
          <w:sz w:val="22"/>
          <w:szCs w:val="22"/>
        </w:rPr>
        <w:t>í</w:t>
      </w:r>
      <w:r>
        <w:rPr>
          <w:rStyle w:val="Ninguno"/>
          <w:rFonts w:ascii="Calibri" w:hAnsi="Calibri"/>
          <w:sz w:val="22"/>
          <w:szCs w:val="22"/>
          <w:lang w:val="pt-PT"/>
        </w:rPr>
        <w:t>dicos distintos. Por tanto, se confirma la sanci</w:t>
      </w:r>
      <w:proofErr w:type="spellStart"/>
      <w:r>
        <w:rPr>
          <w:rStyle w:val="Ninguno"/>
          <w:rFonts w:ascii="Calibri" w:hAnsi="Calibri"/>
          <w:sz w:val="22"/>
          <w:szCs w:val="22"/>
          <w:lang w:val="es-ES_tradnl"/>
        </w:rPr>
        <w:t>ón</w:t>
      </w:r>
      <w:proofErr w:type="spellEnd"/>
      <w:r>
        <w:rPr>
          <w:rStyle w:val="Ninguno"/>
          <w:rFonts w:ascii="Calibri" w:hAnsi="Calibri"/>
          <w:sz w:val="22"/>
          <w:szCs w:val="22"/>
          <w:lang w:val="es-ES_tradnl"/>
        </w:rPr>
        <w:t xml:space="preserve"> y se imponen las costas a la apelante. No se establece cambio ni fijación de doctrina, sino la aplicación coherente de principios ya consolidados.</w:t>
      </w:r>
    </w:p>
    <w:p w14:paraId="1DDDEB30" w14:textId="77777777" w:rsidR="003F223C" w:rsidRDefault="00B66A92">
      <w:pPr>
        <w:pStyle w:val="CuerpoA"/>
        <w:widowControl w:val="0"/>
        <w:spacing w:after="198" w:line="288" w:lineRule="auto"/>
        <w:jc w:val="both"/>
        <w:rPr>
          <w:rFonts w:ascii="Calibri" w:eastAsia="Calibri" w:hAnsi="Calibri" w:cs="Calibri"/>
          <w:sz w:val="22"/>
          <w:szCs w:val="22"/>
        </w:rPr>
      </w:pPr>
      <w:hyperlink r:id="rId180">
        <w:r>
          <w:rPr>
            <w:rStyle w:val="Hyperlink0"/>
            <w:rFonts w:ascii="Calibri" w:hAnsi="Calibri"/>
            <w:sz w:val="22"/>
            <w:szCs w:val="22"/>
            <w:lang w:val="en-US"/>
          </w:rPr>
          <w:t>https://www.poderjudicial.es/search/AN/openDocument/13f41181d788a541a0a8778d75e36f0d/20260123</w:t>
        </w:r>
      </w:hyperlink>
    </w:p>
    <w:p w14:paraId="65944D6D" w14:textId="77777777" w:rsidR="003F223C" w:rsidRDefault="00B66A92" w:rsidP="00A80019">
      <w:pPr>
        <w:pStyle w:val="CuerpoA"/>
        <w:widowControl w:val="0"/>
        <w:spacing w:after="80" w:line="288" w:lineRule="auto"/>
        <w:jc w:val="both"/>
        <w:rPr>
          <w:rFonts w:ascii="Calibri" w:eastAsia="Calibri" w:hAnsi="Calibri" w:cs="Calibri"/>
          <w:b/>
          <w:bCs/>
          <w:sz w:val="22"/>
          <w:szCs w:val="22"/>
          <w:lang w:val="es-ES_tradnl"/>
        </w:rPr>
      </w:pPr>
      <w:r>
        <w:rPr>
          <w:rStyle w:val="Ninguno"/>
          <w:rFonts w:ascii="Calibri" w:hAnsi="Calibri"/>
          <w:b/>
          <w:bCs/>
          <w:sz w:val="22"/>
          <w:szCs w:val="22"/>
          <w:lang w:val="es-ES_tradnl"/>
        </w:rPr>
        <w:t>- (</w:t>
      </w:r>
      <w:r>
        <w:rPr>
          <w:rStyle w:val="Ninguno"/>
          <w:rFonts w:ascii="Calibri" w:hAnsi="Calibri"/>
          <w:b/>
          <w:bCs/>
          <w:sz w:val="22"/>
          <w:szCs w:val="22"/>
        </w:rPr>
        <w:t xml:space="preserve">Roj: STSJ PV </w:t>
      </w:r>
      <w:r>
        <w:rPr>
          <w:rStyle w:val="Ninguno"/>
          <w:rFonts w:ascii="Calibri" w:hAnsi="Calibri"/>
          <w:b/>
          <w:bCs/>
          <w:sz w:val="22"/>
          <w:szCs w:val="22"/>
          <w:lang w:val="es-ES_tradnl"/>
        </w:rPr>
        <w:t>137</w:t>
      </w:r>
      <w:r>
        <w:rPr>
          <w:rStyle w:val="Ninguno"/>
          <w:rFonts w:ascii="Calibri" w:hAnsi="Calibri"/>
          <w:b/>
          <w:bCs/>
          <w:sz w:val="22"/>
          <w:szCs w:val="22"/>
        </w:rPr>
        <w:t>/202</w:t>
      </w:r>
      <w:r>
        <w:rPr>
          <w:rStyle w:val="Ninguno"/>
          <w:rFonts w:ascii="Calibri" w:hAnsi="Calibri"/>
          <w:b/>
          <w:bCs/>
          <w:sz w:val="22"/>
          <w:szCs w:val="22"/>
          <w:lang w:val="es-ES_tradnl"/>
        </w:rPr>
        <w:t>6) Sentencia del TSJ de País Vasco 1/2026, de 9 de enero de 2026. Sala de lo Contencioso.</w:t>
      </w:r>
    </w:p>
    <w:p w14:paraId="056B4942" w14:textId="77777777" w:rsidR="003F223C" w:rsidRDefault="00B66A92" w:rsidP="004C7CC2">
      <w:pPr>
        <w:pStyle w:val="CuerpoA"/>
        <w:widowControl w:val="0"/>
        <w:spacing w:after="80" w:line="288" w:lineRule="auto"/>
        <w:jc w:val="both"/>
        <w:rPr>
          <w:rFonts w:ascii="Calibri" w:eastAsia="Calibri" w:hAnsi="Calibri" w:cs="Calibri"/>
          <w:sz w:val="22"/>
          <w:szCs w:val="22"/>
        </w:rPr>
      </w:pPr>
      <w:r>
        <w:rPr>
          <w:rStyle w:val="Ninguno"/>
          <w:rFonts w:ascii="Calibri" w:hAnsi="Calibri"/>
          <w:sz w:val="22"/>
          <w:szCs w:val="22"/>
          <w:lang w:val="es-ES_tradnl"/>
        </w:rPr>
        <w:t xml:space="preserve">El tribunal desestima el recurso de apelación, confirmando la sentencia de instancia que </w:t>
      </w:r>
      <w:proofErr w:type="spellStart"/>
      <w:r>
        <w:rPr>
          <w:rStyle w:val="Ninguno"/>
          <w:rFonts w:ascii="Calibri" w:hAnsi="Calibri"/>
          <w:sz w:val="22"/>
          <w:szCs w:val="22"/>
          <w:lang w:val="es-ES_tradnl"/>
        </w:rPr>
        <w:t>rechaz</w:t>
      </w:r>
      <w:r>
        <w:rPr>
          <w:rStyle w:val="Ninguno"/>
          <w:rFonts w:ascii="Calibri" w:hAnsi="Calibri"/>
          <w:sz w:val="22"/>
          <w:szCs w:val="22"/>
        </w:rPr>
        <w:t>ó</w:t>
      </w:r>
      <w:proofErr w:type="spellEnd"/>
      <w:r>
        <w:rPr>
          <w:rStyle w:val="Ninguno"/>
          <w:rFonts w:ascii="Calibri" w:hAnsi="Calibri"/>
          <w:sz w:val="22"/>
          <w:szCs w:val="22"/>
        </w:rPr>
        <w:t xml:space="preserve"> </w:t>
      </w:r>
      <w:r>
        <w:rPr>
          <w:rStyle w:val="Ninguno"/>
          <w:rFonts w:ascii="Calibri" w:hAnsi="Calibri"/>
          <w:sz w:val="22"/>
          <w:szCs w:val="22"/>
          <w:lang w:val="es-ES_tradnl"/>
        </w:rPr>
        <w:t xml:space="preserve">el recurso contencioso-administrativo. Se argumenta que la </w:t>
      </w:r>
      <w:proofErr w:type="spellStart"/>
      <w:r>
        <w:rPr>
          <w:rStyle w:val="Ninguno"/>
          <w:rFonts w:ascii="Calibri" w:hAnsi="Calibri"/>
          <w:sz w:val="22"/>
          <w:szCs w:val="22"/>
          <w:lang w:val="es-ES_tradnl"/>
        </w:rPr>
        <w:t>resolució</w:t>
      </w:r>
      <w:proofErr w:type="spellEnd"/>
      <w:r>
        <w:rPr>
          <w:rStyle w:val="Ninguno"/>
          <w:rFonts w:ascii="Calibri" w:hAnsi="Calibri"/>
          <w:sz w:val="22"/>
          <w:szCs w:val="22"/>
          <w:lang w:val="pt-PT"/>
        </w:rPr>
        <w:t>n administrativa est</w:t>
      </w:r>
      <w:r>
        <w:rPr>
          <w:rStyle w:val="Ninguno"/>
          <w:rFonts w:ascii="Calibri" w:hAnsi="Calibri"/>
          <w:sz w:val="22"/>
          <w:szCs w:val="22"/>
        </w:rPr>
        <w:t xml:space="preserve">á </w:t>
      </w:r>
      <w:r>
        <w:rPr>
          <w:rStyle w:val="Ninguno"/>
          <w:rFonts w:ascii="Calibri" w:hAnsi="Calibri"/>
          <w:sz w:val="22"/>
          <w:szCs w:val="22"/>
          <w:lang w:val="es-ES_tradnl"/>
        </w:rPr>
        <w:t>suficientemente motivada conforme a la jurisprudencia sobre motivación administrativa, con criterios claros, grabación y registro de la entrevista, y justificación de la valoración negativa. Adem</w:t>
      </w:r>
      <w:r>
        <w:rPr>
          <w:rStyle w:val="Ninguno"/>
          <w:rFonts w:ascii="Calibri" w:hAnsi="Calibri"/>
          <w:sz w:val="22"/>
          <w:szCs w:val="22"/>
        </w:rPr>
        <w:t>á</w:t>
      </w:r>
      <w:r>
        <w:rPr>
          <w:rStyle w:val="Ninguno"/>
          <w:rFonts w:ascii="Calibri" w:hAnsi="Calibri"/>
          <w:sz w:val="22"/>
          <w:szCs w:val="22"/>
          <w:lang w:val="es-ES_tradnl"/>
        </w:rPr>
        <w:t xml:space="preserve">s, la alegación de incongruencia omisiva se rechaza porque la prueba documental aportada se refiere a una fase distinta del proceso selectivo, no objeto del litigio, y su falta de valoración expresa se entiende </w:t>
      </w:r>
      <w:proofErr w:type="spellStart"/>
      <w:r>
        <w:rPr>
          <w:rStyle w:val="Ninguno"/>
          <w:rFonts w:ascii="Calibri" w:hAnsi="Calibri"/>
          <w:sz w:val="22"/>
          <w:szCs w:val="22"/>
          <w:lang w:val="es-ES_tradnl"/>
        </w:rPr>
        <w:t>impl</w:t>
      </w:r>
      <w:proofErr w:type="spellEnd"/>
      <w:r>
        <w:rPr>
          <w:rStyle w:val="Ninguno"/>
          <w:rFonts w:ascii="Calibri" w:hAnsi="Calibri"/>
          <w:sz w:val="22"/>
          <w:szCs w:val="22"/>
        </w:rPr>
        <w:t>í</w:t>
      </w:r>
      <w:proofErr w:type="spellStart"/>
      <w:r>
        <w:rPr>
          <w:rStyle w:val="Ninguno"/>
          <w:rFonts w:ascii="Calibri" w:hAnsi="Calibri"/>
          <w:sz w:val="22"/>
          <w:szCs w:val="22"/>
          <w:lang w:val="es-ES_tradnl"/>
        </w:rPr>
        <w:t>citamente</w:t>
      </w:r>
      <w:proofErr w:type="spellEnd"/>
      <w:r>
        <w:rPr>
          <w:rStyle w:val="Ninguno"/>
          <w:rFonts w:ascii="Calibri" w:hAnsi="Calibri"/>
          <w:sz w:val="22"/>
          <w:szCs w:val="22"/>
          <w:lang w:val="es-ES_tradnl"/>
        </w:rPr>
        <w:t xml:space="preserve"> desestimada. Por tanto, no se vulnera el derecho a la tutela judicial efectiva ni existe omisión relevante. El fallo es de desestimación del recurso de apelación, sin que se produzca cambio doctrinal ni fijación de nueva doctrina.</w:t>
      </w:r>
    </w:p>
    <w:p w14:paraId="7FE629B6" w14:textId="77777777" w:rsidR="003F223C" w:rsidRDefault="00B66A92">
      <w:pPr>
        <w:pStyle w:val="CuerpoA"/>
        <w:widowControl w:val="0"/>
        <w:spacing w:after="198" w:line="288" w:lineRule="auto"/>
        <w:jc w:val="both"/>
        <w:rPr>
          <w:rFonts w:ascii="Calibri" w:eastAsia="Calibri" w:hAnsi="Calibri" w:cs="Calibri"/>
          <w:sz w:val="22"/>
          <w:szCs w:val="22"/>
        </w:rPr>
      </w:pPr>
      <w:hyperlink r:id="rId181">
        <w:r>
          <w:rPr>
            <w:rStyle w:val="Hyperlink0"/>
            <w:rFonts w:ascii="Calibri" w:hAnsi="Calibri"/>
            <w:sz w:val="22"/>
            <w:szCs w:val="22"/>
            <w:lang w:val="en-US"/>
          </w:rPr>
          <w:t>https://www.poderjudicial.es/search/AN/openDocument/b2be837e62b18a17a0a8778d75e36f0d/20260128</w:t>
        </w:r>
      </w:hyperlink>
    </w:p>
    <w:p w14:paraId="6D730837" w14:textId="77777777" w:rsidR="00A80019" w:rsidRDefault="00A80019">
      <w:pPr>
        <w:suppressAutoHyphens/>
        <w:overflowPunct/>
        <w:rPr>
          <w:rStyle w:val="Ninguno"/>
          <w:rFonts w:ascii="Calibri" w:eastAsia="Times New Roman" w:hAnsi="Calibri"/>
          <w:b/>
          <w:bCs/>
          <w:color w:val="000000"/>
          <w:sz w:val="22"/>
          <w:szCs w:val="22"/>
          <w:lang w:val="es-ES_tradnl" w:eastAsia="zh-CN" w:bidi="hi-IN"/>
        </w:rPr>
      </w:pPr>
      <w:r>
        <w:rPr>
          <w:rStyle w:val="Ninguno"/>
          <w:rFonts w:ascii="Calibri" w:hAnsi="Calibri"/>
          <w:b/>
          <w:bCs/>
          <w:sz w:val="22"/>
          <w:szCs w:val="22"/>
          <w:lang w:val="es-ES_tradnl"/>
        </w:rPr>
        <w:br w:type="page"/>
      </w:r>
    </w:p>
    <w:p w14:paraId="3BDB28EC" w14:textId="28FC2DBA" w:rsidR="003F223C" w:rsidRDefault="00B66A92" w:rsidP="00A80019">
      <w:pPr>
        <w:pStyle w:val="CuerpoA"/>
        <w:widowControl w:val="0"/>
        <w:spacing w:after="80" w:line="288" w:lineRule="auto"/>
        <w:jc w:val="both"/>
        <w:rPr>
          <w:rFonts w:ascii="Calibri" w:eastAsia="Calibri" w:hAnsi="Calibri" w:cs="Calibri"/>
          <w:b/>
          <w:bCs/>
          <w:sz w:val="22"/>
          <w:szCs w:val="22"/>
          <w:lang w:val="es-ES_tradnl"/>
        </w:rPr>
      </w:pPr>
      <w:r>
        <w:rPr>
          <w:rStyle w:val="Ninguno"/>
          <w:rFonts w:ascii="Calibri" w:hAnsi="Calibri"/>
          <w:b/>
          <w:bCs/>
          <w:sz w:val="22"/>
          <w:szCs w:val="22"/>
          <w:lang w:val="es-ES_tradnl"/>
        </w:rPr>
        <w:lastRenderedPageBreak/>
        <w:t>- (</w:t>
      </w:r>
      <w:r>
        <w:rPr>
          <w:rStyle w:val="Ninguno"/>
          <w:rFonts w:ascii="Calibri" w:hAnsi="Calibri"/>
          <w:b/>
          <w:bCs/>
          <w:sz w:val="22"/>
          <w:szCs w:val="22"/>
        </w:rPr>
        <w:t xml:space="preserve">Roj: STSJ PV </w:t>
      </w:r>
      <w:r>
        <w:rPr>
          <w:rStyle w:val="Ninguno"/>
          <w:rFonts w:ascii="Calibri" w:hAnsi="Calibri"/>
          <w:b/>
          <w:bCs/>
          <w:sz w:val="22"/>
          <w:szCs w:val="22"/>
          <w:lang w:val="es-ES_tradnl"/>
        </w:rPr>
        <w:t>64</w:t>
      </w:r>
      <w:r>
        <w:rPr>
          <w:rStyle w:val="Ninguno"/>
          <w:rFonts w:ascii="Calibri" w:hAnsi="Calibri"/>
          <w:b/>
          <w:bCs/>
          <w:sz w:val="22"/>
          <w:szCs w:val="22"/>
        </w:rPr>
        <w:t>/202</w:t>
      </w:r>
      <w:r>
        <w:rPr>
          <w:rStyle w:val="Ninguno"/>
          <w:rFonts w:ascii="Calibri" w:hAnsi="Calibri"/>
          <w:b/>
          <w:bCs/>
          <w:sz w:val="22"/>
          <w:szCs w:val="22"/>
          <w:lang w:val="es-ES_tradnl"/>
        </w:rPr>
        <w:t>6) Sentencia del TSJ de País Vasco 27/2026, de 12 de enero de 2026. Sala de lo Contencioso.</w:t>
      </w:r>
    </w:p>
    <w:p w14:paraId="61BDBEAC" w14:textId="77777777" w:rsidR="003F223C" w:rsidRDefault="00B66A92" w:rsidP="004C7CC2">
      <w:pPr>
        <w:pStyle w:val="CuerpoA"/>
        <w:widowControl w:val="0"/>
        <w:spacing w:after="80" w:line="288" w:lineRule="auto"/>
        <w:jc w:val="both"/>
        <w:rPr>
          <w:rFonts w:ascii="Calibri" w:eastAsia="Calibri" w:hAnsi="Calibri" w:cs="Calibri"/>
          <w:sz w:val="22"/>
          <w:szCs w:val="22"/>
          <w:lang w:val="es-ES_tradnl"/>
        </w:rPr>
      </w:pPr>
      <w:r>
        <w:rPr>
          <w:rStyle w:val="Ninguno"/>
          <w:rFonts w:ascii="Calibri" w:hAnsi="Calibri"/>
          <w:sz w:val="22"/>
          <w:szCs w:val="22"/>
          <w:lang w:val="es-ES_tradnl"/>
        </w:rPr>
        <w:t>El tribunal desestima el recurso de apelación interpuesto por la recurrente, confirmando la sentencia de primera instancia. Se fundamenta en que la finalidad de la compensación económica del artículo 2.6 de la Ley 20/2021 es paliar el perjuicio económico derivado del cese de la relación temporal por no superar el proceso selectivo de estabilización. En el presente caso, la recurrente aprobó el proceso, continuó prestando servicios mediante listas complementarias y fue finalmente nombrada funcionaria de carrera, por lo que no se produjo el daño que la norma pretende compensar. Por tanto, no asiste derecho a la indemnización reclamada. El fallo es de desestimación del recurso de apelación, sin que se produzca cambio ni fijación de doctrina novedosa.</w:t>
      </w:r>
    </w:p>
    <w:p w14:paraId="4748BDA0" w14:textId="77777777" w:rsidR="003F223C" w:rsidRDefault="00B66A92">
      <w:pPr>
        <w:pStyle w:val="CuerpoA"/>
        <w:widowControl w:val="0"/>
        <w:spacing w:after="198" w:line="288" w:lineRule="auto"/>
        <w:jc w:val="both"/>
        <w:rPr>
          <w:rFonts w:ascii="Calibri" w:eastAsia="Calibri" w:hAnsi="Calibri" w:cs="Calibri"/>
          <w:sz w:val="22"/>
          <w:szCs w:val="22"/>
          <w:lang w:val="es-ES_tradnl"/>
        </w:rPr>
      </w:pPr>
      <w:hyperlink r:id="rId182">
        <w:r>
          <w:rPr>
            <w:rStyle w:val="Hyperlink0"/>
            <w:rFonts w:ascii="Calibri" w:hAnsi="Calibri"/>
            <w:sz w:val="22"/>
            <w:szCs w:val="22"/>
            <w:lang w:val="en-US"/>
          </w:rPr>
          <w:t>https://www.poderjudicial.es/search/AN/openDocument/5c3cac5d38f26b03a0a8778d75e36f0d/20260123</w:t>
        </w:r>
      </w:hyperlink>
    </w:p>
    <w:p w14:paraId="1F220F0A" w14:textId="77777777" w:rsidR="003F223C" w:rsidRDefault="00B66A92" w:rsidP="00A80019">
      <w:pPr>
        <w:pStyle w:val="CuerpoA"/>
        <w:widowControl w:val="0"/>
        <w:spacing w:after="80" w:line="288" w:lineRule="auto"/>
        <w:jc w:val="both"/>
        <w:rPr>
          <w:rFonts w:ascii="Calibri" w:eastAsia="Calibri" w:hAnsi="Calibri" w:cs="Calibri"/>
          <w:b/>
          <w:bCs/>
          <w:sz w:val="22"/>
          <w:szCs w:val="22"/>
          <w:lang w:val="es-ES_tradnl"/>
        </w:rPr>
      </w:pPr>
      <w:r>
        <w:rPr>
          <w:rStyle w:val="Ninguno"/>
          <w:rFonts w:ascii="Calibri" w:hAnsi="Calibri"/>
          <w:b/>
          <w:bCs/>
          <w:sz w:val="22"/>
          <w:szCs w:val="22"/>
          <w:lang w:val="es-ES_tradnl"/>
        </w:rPr>
        <w:t>- (</w:t>
      </w:r>
      <w:r>
        <w:rPr>
          <w:rStyle w:val="Ninguno"/>
          <w:rFonts w:ascii="Calibri" w:hAnsi="Calibri"/>
          <w:b/>
          <w:bCs/>
          <w:sz w:val="22"/>
          <w:szCs w:val="22"/>
        </w:rPr>
        <w:t xml:space="preserve">Roj: STSJ PV </w:t>
      </w:r>
      <w:r>
        <w:rPr>
          <w:rStyle w:val="Ninguno"/>
          <w:rFonts w:ascii="Calibri" w:hAnsi="Calibri"/>
          <w:b/>
          <w:bCs/>
          <w:sz w:val="22"/>
          <w:szCs w:val="22"/>
          <w:lang w:val="es-ES_tradnl"/>
        </w:rPr>
        <w:t>61</w:t>
      </w:r>
      <w:r>
        <w:rPr>
          <w:rStyle w:val="Ninguno"/>
          <w:rFonts w:ascii="Calibri" w:hAnsi="Calibri"/>
          <w:b/>
          <w:bCs/>
          <w:sz w:val="22"/>
          <w:szCs w:val="22"/>
        </w:rPr>
        <w:t>/202</w:t>
      </w:r>
      <w:r>
        <w:rPr>
          <w:rStyle w:val="Ninguno"/>
          <w:rFonts w:ascii="Calibri" w:hAnsi="Calibri"/>
          <w:b/>
          <w:bCs/>
          <w:sz w:val="22"/>
          <w:szCs w:val="22"/>
          <w:lang w:val="es-ES_tradnl"/>
        </w:rPr>
        <w:t>6) Sentencia del TSJ de País Vasco 26/2026, de 12 de enero de 2026. Sala de lo Contencioso.</w:t>
      </w:r>
    </w:p>
    <w:p w14:paraId="78A7C247" w14:textId="77777777" w:rsidR="003F223C" w:rsidRDefault="00B66A92" w:rsidP="004C7CC2">
      <w:pPr>
        <w:pStyle w:val="CuerpoA"/>
        <w:widowControl w:val="0"/>
        <w:spacing w:after="80" w:line="288" w:lineRule="auto"/>
        <w:jc w:val="both"/>
        <w:rPr>
          <w:rFonts w:ascii="Calibri" w:eastAsia="Calibri" w:hAnsi="Calibri" w:cs="Calibri"/>
          <w:sz w:val="22"/>
          <w:szCs w:val="22"/>
        </w:rPr>
      </w:pPr>
      <w:r>
        <w:rPr>
          <w:rStyle w:val="Ninguno"/>
          <w:rFonts w:ascii="Calibri" w:hAnsi="Calibri"/>
          <w:sz w:val="22"/>
          <w:szCs w:val="22"/>
          <w:lang w:val="es-ES_tradnl"/>
        </w:rPr>
        <w:t xml:space="preserve">El Ayuntamiento de Errenteria </w:t>
      </w:r>
      <w:proofErr w:type="spellStart"/>
      <w:r>
        <w:rPr>
          <w:rStyle w:val="Ninguno"/>
          <w:rFonts w:ascii="Calibri" w:hAnsi="Calibri"/>
          <w:sz w:val="22"/>
          <w:szCs w:val="22"/>
          <w:lang w:val="es-ES_tradnl"/>
        </w:rPr>
        <w:t>recibi</w:t>
      </w:r>
      <w:r>
        <w:rPr>
          <w:rStyle w:val="Ninguno"/>
          <w:rFonts w:ascii="Calibri" w:hAnsi="Calibri"/>
          <w:sz w:val="22"/>
          <w:szCs w:val="22"/>
        </w:rPr>
        <w:t>ó</w:t>
      </w:r>
      <w:proofErr w:type="spellEnd"/>
      <w:r>
        <w:rPr>
          <w:rStyle w:val="Ninguno"/>
          <w:rFonts w:ascii="Calibri" w:hAnsi="Calibri"/>
          <w:sz w:val="22"/>
          <w:szCs w:val="22"/>
        </w:rPr>
        <w:t xml:space="preserve"> </w:t>
      </w:r>
      <w:r>
        <w:rPr>
          <w:rStyle w:val="Ninguno"/>
          <w:rFonts w:ascii="Calibri" w:hAnsi="Calibri"/>
          <w:sz w:val="22"/>
          <w:szCs w:val="22"/>
          <w:lang w:val="es-ES_tradnl"/>
        </w:rPr>
        <w:t xml:space="preserve">una subvención para contratar a 40 personas desempleadas en diferentes puestos de trabajo, con la obligación de contratar al menos un 40% de mujeres. En tres ofertas </w:t>
      </w:r>
      <w:proofErr w:type="spellStart"/>
      <w:r>
        <w:rPr>
          <w:rStyle w:val="Ninguno"/>
          <w:rFonts w:ascii="Calibri" w:hAnsi="Calibri"/>
          <w:sz w:val="22"/>
          <w:szCs w:val="22"/>
          <w:lang w:val="es-ES_tradnl"/>
        </w:rPr>
        <w:t>espec</w:t>
      </w:r>
      <w:proofErr w:type="spellEnd"/>
      <w:r>
        <w:rPr>
          <w:rStyle w:val="Ninguno"/>
          <w:rFonts w:ascii="Calibri" w:hAnsi="Calibri"/>
          <w:sz w:val="22"/>
          <w:szCs w:val="22"/>
        </w:rPr>
        <w:t>í</w:t>
      </w:r>
      <w:r>
        <w:rPr>
          <w:rStyle w:val="Ninguno"/>
          <w:rFonts w:ascii="Calibri" w:hAnsi="Calibri"/>
          <w:sz w:val="22"/>
          <w:szCs w:val="22"/>
          <w:lang w:val="es-ES_tradnl"/>
        </w:rPr>
        <w:t xml:space="preserve">ficas no se pudo contratar a ninguna mujer debido a la falta de candidatas, hecho verificado por la oficina de empleo de Lanbide. Finalmente, se contrataron 38 personas, de las cuales 9 eran mujeres, incumpliendo el requisito del 40%. Lanbide </w:t>
      </w:r>
      <w:proofErr w:type="spellStart"/>
      <w:r>
        <w:rPr>
          <w:rStyle w:val="Ninguno"/>
          <w:rFonts w:ascii="Calibri" w:hAnsi="Calibri"/>
          <w:sz w:val="22"/>
          <w:szCs w:val="22"/>
          <w:lang w:val="es-ES_tradnl"/>
        </w:rPr>
        <w:t>aplic</w:t>
      </w:r>
      <w:r>
        <w:rPr>
          <w:rStyle w:val="Ninguno"/>
          <w:rFonts w:ascii="Calibri" w:hAnsi="Calibri"/>
          <w:sz w:val="22"/>
          <w:szCs w:val="22"/>
        </w:rPr>
        <w:t>ó</w:t>
      </w:r>
      <w:proofErr w:type="spellEnd"/>
      <w:r>
        <w:rPr>
          <w:rStyle w:val="Ninguno"/>
          <w:rFonts w:ascii="Calibri" w:hAnsi="Calibri"/>
          <w:sz w:val="22"/>
          <w:szCs w:val="22"/>
        </w:rPr>
        <w:t xml:space="preserve"> </w:t>
      </w:r>
      <w:r>
        <w:rPr>
          <w:rStyle w:val="Ninguno"/>
          <w:rFonts w:ascii="Calibri" w:hAnsi="Calibri"/>
          <w:sz w:val="22"/>
          <w:szCs w:val="22"/>
          <w:lang w:val="es-ES_tradnl"/>
        </w:rPr>
        <w:t xml:space="preserve">una reducción proporcional de la subvención, mientras que el Ayuntamiento </w:t>
      </w:r>
      <w:proofErr w:type="spellStart"/>
      <w:r>
        <w:rPr>
          <w:rStyle w:val="Ninguno"/>
          <w:rFonts w:ascii="Calibri" w:hAnsi="Calibri"/>
          <w:sz w:val="22"/>
          <w:szCs w:val="22"/>
          <w:lang w:val="es-ES_tradnl"/>
        </w:rPr>
        <w:t>solicit</w:t>
      </w:r>
      <w:r>
        <w:rPr>
          <w:rStyle w:val="Ninguno"/>
          <w:rFonts w:ascii="Calibri" w:hAnsi="Calibri"/>
          <w:sz w:val="22"/>
          <w:szCs w:val="22"/>
        </w:rPr>
        <w:t>ó</w:t>
      </w:r>
      <w:proofErr w:type="spellEnd"/>
      <w:r>
        <w:rPr>
          <w:rStyle w:val="Ninguno"/>
          <w:rFonts w:ascii="Calibri" w:hAnsi="Calibri"/>
          <w:sz w:val="22"/>
          <w:szCs w:val="22"/>
        </w:rPr>
        <w:t xml:space="preserve"> </w:t>
      </w:r>
      <w:r>
        <w:rPr>
          <w:rStyle w:val="Ninguno"/>
          <w:rFonts w:ascii="Calibri" w:hAnsi="Calibri"/>
          <w:sz w:val="22"/>
          <w:szCs w:val="22"/>
          <w:lang w:val="es-ES_tradnl"/>
        </w:rPr>
        <w:t>la exoneración del cumplimiento del porcentaje femenino en base a la imposibilidad objetiva.</w:t>
      </w:r>
    </w:p>
    <w:p w14:paraId="56D52137" w14:textId="77777777" w:rsidR="003F223C" w:rsidRDefault="00B66A92">
      <w:pPr>
        <w:pStyle w:val="CuerpoA"/>
        <w:widowControl w:val="0"/>
        <w:spacing w:after="198" w:line="288" w:lineRule="auto"/>
        <w:jc w:val="both"/>
        <w:rPr>
          <w:rFonts w:ascii="Calibri" w:eastAsia="Calibri" w:hAnsi="Calibri" w:cs="Calibri"/>
          <w:sz w:val="22"/>
          <w:szCs w:val="22"/>
        </w:rPr>
      </w:pPr>
      <w:hyperlink r:id="rId183">
        <w:r>
          <w:rPr>
            <w:rStyle w:val="Hyperlink0"/>
            <w:rFonts w:ascii="Calibri" w:hAnsi="Calibri"/>
            <w:sz w:val="22"/>
            <w:szCs w:val="22"/>
            <w:lang w:val="en-US"/>
          </w:rPr>
          <w:t>https://www.poderjudicial.es/search/AN/openDocument/324827a6480a61a7a0a8778d75e36f0d/20260123</w:t>
        </w:r>
      </w:hyperlink>
    </w:p>
    <w:p w14:paraId="49682BE6" w14:textId="77777777" w:rsidR="003F223C" w:rsidRDefault="00B66A92" w:rsidP="00A80019">
      <w:pPr>
        <w:pStyle w:val="CuerpoA"/>
        <w:widowControl w:val="0"/>
        <w:spacing w:after="80" w:line="288" w:lineRule="auto"/>
        <w:jc w:val="both"/>
        <w:rPr>
          <w:rFonts w:ascii="Calibri" w:eastAsia="Calibri" w:hAnsi="Calibri" w:cs="Calibri"/>
          <w:b/>
          <w:bCs/>
          <w:sz w:val="22"/>
          <w:szCs w:val="22"/>
          <w:lang w:val="es-ES_tradnl"/>
        </w:rPr>
      </w:pPr>
      <w:r>
        <w:rPr>
          <w:rStyle w:val="Ninguno"/>
          <w:rFonts w:ascii="Calibri" w:hAnsi="Calibri"/>
          <w:b/>
          <w:bCs/>
          <w:sz w:val="22"/>
          <w:szCs w:val="22"/>
          <w:lang w:val="es-ES_tradnl"/>
        </w:rPr>
        <w:t>- (</w:t>
      </w:r>
      <w:r>
        <w:rPr>
          <w:rStyle w:val="Ninguno"/>
          <w:rFonts w:ascii="Calibri" w:hAnsi="Calibri"/>
          <w:b/>
          <w:bCs/>
          <w:sz w:val="22"/>
          <w:szCs w:val="22"/>
        </w:rPr>
        <w:t xml:space="preserve">Roj: STSJ PV </w:t>
      </w:r>
      <w:r>
        <w:rPr>
          <w:rStyle w:val="Ninguno"/>
          <w:rFonts w:ascii="Calibri" w:hAnsi="Calibri"/>
          <w:b/>
          <w:bCs/>
          <w:sz w:val="22"/>
          <w:szCs w:val="22"/>
          <w:lang w:val="es-ES_tradnl"/>
        </w:rPr>
        <w:t>63</w:t>
      </w:r>
      <w:r>
        <w:rPr>
          <w:rStyle w:val="Ninguno"/>
          <w:rFonts w:ascii="Calibri" w:hAnsi="Calibri"/>
          <w:b/>
          <w:bCs/>
          <w:sz w:val="22"/>
          <w:szCs w:val="22"/>
        </w:rPr>
        <w:t>/202</w:t>
      </w:r>
      <w:r>
        <w:rPr>
          <w:rStyle w:val="Ninguno"/>
          <w:rFonts w:ascii="Calibri" w:hAnsi="Calibri"/>
          <w:b/>
          <w:bCs/>
          <w:sz w:val="22"/>
          <w:szCs w:val="22"/>
          <w:lang w:val="es-ES_tradnl"/>
        </w:rPr>
        <w:t>6) Sentencia del TSJ de País Vasco 25/2026, de 12 de enero de 2026. Sala de lo Contencioso.</w:t>
      </w:r>
    </w:p>
    <w:p w14:paraId="3C68E621" w14:textId="77777777" w:rsidR="003F223C" w:rsidRDefault="00B66A92" w:rsidP="004C7CC2">
      <w:pPr>
        <w:pStyle w:val="CuerpoA"/>
        <w:widowControl w:val="0"/>
        <w:spacing w:after="80" w:line="288" w:lineRule="auto"/>
        <w:jc w:val="both"/>
        <w:rPr>
          <w:rFonts w:ascii="Calibri" w:eastAsia="Calibri" w:hAnsi="Calibri" w:cs="Calibri"/>
          <w:sz w:val="22"/>
          <w:szCs w:val="22"/>
          <w:lang w:val="es-ES_tradnl"/>
        </w:rPr>
      </w:pPr>
      <w:r>
        <w:rPr>
          <w:rStyle w:val="Ninguno"/>
          <w:rFonts w:ascii="Calibri" w:hAnsi="Calibri"/>
          <w:sz w:val="22"/>
          <w:szCs w:val="22"/>
          <w:lang w:val="es-ES_tradnl"/>
        </w:rPr>
        <w:t>El tribunal otorga la razón a la interesada, considerando que las funciones que desempeñó en la Autoridad Portuaria de Pasaia son propias de la Escala de Administración General, dado que no requieren título académico específico y consisten en tareas de dirección, organización y propuestas de resolución administrativa. Se rechaza la alegación de la Diputación Foral de Gipuzkoa que pretendía encuadrar dichas funciones en la Administración Especial. Por tanto, se confirma la sentencia de primera instancia que estimó parcialmente el recurso de la interesada y se desestima el recurso de apelación interpuesto por la Diputación Foral. Se impone a esta última las costas del proceso.</w:t>
      </w:r>
    </w:p>
    <w:p w14:paraId="1F515615" w14:textId="77777777" w:rsidR="003F223C" w:rsidRDefault="00B66A92">
      <w:pPr>
        <w:pStyle w:val="CuerpoA"/>
        <w:widowControl w:val="0"/>
        <w:spacing w:after="198" w:line="288" w:lineRule="auto"/>
        <w:jc w:val="both"/>
        <w:rPr>
          <w:rFonts w:ascii="Calibri" w:eastAsia="Calibri" w:hAnsi="Calibri" w:cs="Calibri"/>
          <w:sz w:val="22"/>
          <w:szCs w:val="22"/>
          <w:lang w:val="es-ES_tradnl"/>
        </w:rPr>
      </w:pPr>
      <w:hyperlink r:id="rId184">
        <w:r>
          <w:rPr>
            <w:rStyle w:val="Hyperlink0"/>
            <w:rFonts w:ascii="Calibri" w:hAnsi="Calibri"/>
            <w:sz w:val="22"/>
            <w:szCs w:val="22"/>
            <w:lang w:val="en-US"/>
          </w:rPr>
          <w:t>https://www.poderjudicial.es/search/AN/openDocument/75310a9fd8f03814a0a8778d75e36f0d/20260123</w:t>
        </w:r>
      </w:hyperlink>
    </w:p>
    <w:p w14:paraId="0E603228" w14:textId="77777777" w:rsidR="003F223C" w:rsidRDefault="00B66A92">
      <w:pPr>
        <w:pStyle w:val="CuerpoA"/>
        <w:widowControl w:val="0"/>
        <w:spacing w:after="198" w:line="288" w:lineRule="auto"/>
        <w:jc w:val="both"/>
        <w:rPr>
          <w:rFonts w:ascii="Calibri" w:eastAsia="Calibri" w:hAnsi="Calibri" w:cs="Calibri"/>
          <w:b/>
          <w:bCs/>
          <w:sz w:val="22"/>
          <w:szCs w:val="22"/>
          <w:lang w:val="es-ES_tradnl"/>
        </w:rPr>
      </w:pPr>
      <w:r>
        <w:rPr>
          <w:rStyle w:val="Ninguno"/>
          <w:rFonts w:ascii="Calibri" w:hAnsi="Calibri"/>
          <w:b/>
          <w:bCs/>
          <w:sz w:val="22"/>
          <w:szCs w:val="22"/>
          <w:lang w:val="es-ES_tradnl"/>
        </w:rPr>
        <w:lastRenderedPageBreak/>
        <w:t>- (</w:t>
      </w:r>
      <w:r>
        <w:rPr>
          <w:rStyle w:val="Ninguno"/>
          <w:rFonts w:ascii="Calibri" w:hAnsi="Calibri"/>
          <w:b/>
          <w:bCs/>
          <w:sz w:val="22"/>
          <w:szCs w:val="22"/>
        </w:rPr>
        <w:t xml:space="preserve">Roj: STSJ PV </w:t>
      </w:r>
      <w:r>
        <w:rPr>
          <w:rStyle w:val="Ninguno"/>
          <w:rFonts w:ascii="Calibri" w:hAnsi="Calibri"/>
          <w:b/>
          <w:bCs/>
          <w:sz w:val="22"/>
          <w:szCs w:val="22"/>
          <w:lang w:val="es-ES_tradnl"/>
        </w:rPr>
        <w:t>130</w:t>
      </w:r>
      <w:r>
        <w:rPr>
          <w:rStyle w:val="Ninguno"/>
          <w:rFonts w:ascii="Calibri" w:hAnsi="Calibri"/>
          <w:b/>
          <w:bCs/>
          <w:sz w:val="22"/>
          <w:szCs w:val="22"/>
        </w:rPr>
        <w:t>/202</w:t>
      </w:r>
      <w:r>
        <w:rPr>
          <w:rStyle w:val="Ninguno"/>
          <w:rFonts w:ascii="Calibri" w:hAnsi="Calibri"/>
          <w:b/>
          <w:bCs/>
          <w:sz w:val="22"/>
          <w:szCs w:val="22"/>
          <w:lang w:val="es-ES_tradnl"/>
        </w:rPr>
        <w:t>6) Sentencia del TSJ de País Vasco 24/2026, de 12 de enero de 2026. Sala de lo Contencioso.</w:t>
      </w:r>
    </w:p>
    <w:p w14:paraId="1B70E9CC" w14:textId="77777777" w:rsidR="003F223C" w:rsidRDefault="00B66A92" w:rsidP="004C7CC2">
      <w:pPr>
        <w:pStyle w:val="CuerpoA"/>
        <w:widowControl w:val="0"/>
        <w:spacing w:after="80" w:line="288" w:lineRule="auto"/>
        <w:jc w:val="both"/>
        <w:rPr>
          <w:rFonts w:ascii="Calibri" w:eastAsia="Calibri" w:hAnsi="Calibri" w:cs="Calibri"/>
          <w:sz w:val="22"/>
          <w:szCs w:val="22"/>
          <w:lang w:val="es-ES_tradnl"/>
        </w:rPr>
      </w:pPr>
      <w:r>
        <w:rPr>
          <w:rStyle w:val="Ninguno"/>
          <w:rFonts w:ascii="Calibri" w:hAnsi="Calibri"/>
          <w:sz w:val="22"/>
          <w:szCs w:val="22"/>
          <w:lang w:val="es-ES_tradnl"/>
        </w:rPr>
        <w:t xml:space="preserve">El tribunal da la razón al recurrente, considerando que el complemento por turnos rotatorios constituye una retribución fija y periódica vinculada a la modalidad habitual de prestación del servicio, y no una gratificación eventual o compensación por servicios extraordinarios. Por tanto, debe abonarse íntegramente durante los períodos de incapacidad temporal, incluyendo los tres primeros meses, evitando que los descuentos desvirtúen su carácter retributivo. Además, se reconoce el derecho al abono de los intereses legales desde la fecha en que debió efectuarse cada pago. En consecuencia, se estima el recurso contencioso-administrativo, se anula la resolución recurrida y se impone las costas a la parte demandada. </w:t>
      </w:r>
    </w:p>
    <w:p w14:paraId="55C5F29A" w14:textId="77777777" w:rsidR="003F223C" w:rsidRDefault="00B66A92">
      <w:pPr>
        <w:pStyle w:val="CuerpoA"/>
        <w:widowControl w:val="0"/>
        <w:spacing w:after="198" w:line="288" w:lineRule="auto"/>
        <w:jc w:val="both"/>
        <w:rPr>
          <w:rFonts w:ascii="Calibri" w:eastAsia="Calibri" w:hAnsi="Calibri" w:cs="Calibri"/>
          <w:sz w:val="22"/>
          <w:szCs w:val="22"/>
          <w:lang w:val="es-ES_tradnl"/>
        </w:rPr>
      </w:pPr>
      <w:hyperlink r:id="rId185">
        <w:r>
          <w:rPr>
            <w:rStyle w:val="Hyperlink0"/>
            <w:rFonts w:ascii="Calibri" w:hAnsi="Calibri"/>
            <w:sz w:val="22"/>
            <w:szCs w:val="22"/>
            <w:lang w:val="en-US"/>
          </w:rPr>
          <w:t>https://www.poderjudicial.es/search/AN/openDocument/cc6446aecdf2620fa0a8778d75e36f0d/20260128</w:t>
        </w:r>
      </w:hyperlink>
    </w:p>
    <w:p w14:paraId="25F8E054" w14:textId="77777777" w:rsidR="003F223C" w:rsidRDefault="00B66A92">
      <w:pPr>
        <w:pStyle w:val="CuerpoA"/>
        <w:widowControl w:val="0"/>
        <w:spacing w:after="198" w:line="288" w:lineRule="auto"/>
        <w:jc w:val="both"/>
        <w:rPr>
          <w:rFonts w:ascii="Calibri" w:eastAsia="Calibri" w:hAnsi="Calibri" w:cs="Calibri"/>
          <w:b/>
          <w:bCs/>
          <w:sz w:val="22"/>
          <w:szCs w:val="22"/>
          <w:lang w:val="es-ES_tradnl"/>
        </w:rPr>
      </w:pPr>
      <w:r>
        <w:rPr>
          <w:rStyle w:val="Ninguno"/>
          <w:rFonts w:ascii="Calibri" w:hAnsi="Calibri"/>
          <w:b/>
          <w:bCs/>
          <w:sz w:val="22"/>
          <w:szCs w:val="22"/>
          <w:lang w:val="es-ES_tradnl"/>
        </w:rPr>
        <w:t>- (</w:t>
      </w:r>
      <w:r>
        <w:rPr>
          <w:rStyle w:val="Ninguno"/>
          <w:rFonts w:ascii="Calibri" w:hAnsi="Calibri"/>
          <w:b/>
          <w:bCs/>
          <w:sz w:val="22"/>
          <w:szCs w:val="22"/>
        </w:rPr>
        <w:t xml:space="preserve">Roj: STSJ PV </w:t>
      </w:r>
      <w:r>
        <w:rPr>
          <w:rStyle w:val="Ninguno"/>
          <w:rFonts w:ascii="Calibri" w:hAnsi="Calibri"/>
          <w:b/>
          <w:bCs/>
          <w:sz w:val="22"/>
          <w:szCs w:val="22"/>
          <w:lang w:val="es-ES_tradnl"/>
        </w:rPr>
        <w:t>66</w:t>
      </w:r>
      <w:r>
        <w:rPr>
          <w:rStyle w:val="Ninguno"/>
          <w:rFonts w:ascii="Calibri" w:hAnsi="Calibri"/>
          <w:b/>
          <w:bCs/>
          <w:sz w:val="22"/>
          <w:szCs w:val="22"/>
        </w:rPr>
        <w:t>/202</w:t>
      </w:r>
      <w:r>
        <w:rPr>
          <w:rStyle w:val="Ninguno"/>
          <w:rFonts w:ascii="Calibri" w:hAnsi="Calibri"/>
          <w:b/>
          <w:bCs/>
          <w:sz w:val="22"/>
          <w:szCs w:val="22"/>
          <w:lang w:val="es-ES_tradnl"/>
        </w:rPr>
        <w:t>6) Sentencia del TSJ de País Vasco 4/2026, de 13 de enero de 2026. Sala de lo Contencioso.</w:t>
      </w:r>
    </w:p>
    <w:p w14:paraId="57C2BCF2" w14:textId="77777777" w:rsidR="003F223C" w:rsidRDefault="00B66A92">
      <w:pPr>
        <w:pStyle w:val="CuerpoA"/>
        <w:widowControl w:val="0"/>
        <w:spacing w:after="198" w:line="288" w:lineRule="auto"/>
        <w:jc w:val="both"/>
        <w:rPr>
          <w:rFonts w:ascii="Calibri" w:eastAsia="Calibri" w:hAnsi="Calibri" w:cs="Calibri"/>
          <w:sz w:val="22"/>
          <w:szCs w:val="22"/>
          <w:lang w:val="es-ES_tradnl"/>
        </w:rPr>
      </w:pPr>
      <w:r>
        <w:rPr>
          <w:rStyle w:val="Ninguno"/>
          <w:rFonts w:ascii="Calibri" w:hAnsi="Calibri"/>
          <w:sz w:val="22"/>
          <w:szCs w:val="22"/>
          <w:lang w:val="es-ES_tradnl"/>
        </w:rPr>
        <w:t>La adopción de medidas cautelares en el proceso contencioso-administrativo debe limitarse al acto administrativo objeto del recurso, y no puede extenderse a actos administrativos firmes y no impugnados que sean ajenos al procedimiento principal, salvo que se acredite un perjuicio irreparable o una apariencia palmaria de nulidad que justifique la suspensión para garantizar la eficacia del proceso.</w:t>
      </w:r>
    </w:p>
    <w:p w14:paraId="64D78639" w14:textId="77777777" w:rsidR="003F223C" w:rsidRDefault="00B66A92" w:rsidP="004C7CC2">
      <w:pPr>
        <w:pStyle w:val="CuerpoA"/>
        <w:widowControl w:val="0"/>
        <w:spacing w:after="80" w:line="288" w:lineRule="auto"/>
        <w:jc w:val="both"/>
        <w:rPr>
          <w:rFonts w:ascii="Calibri" w:eastAsia="Calibri" w:hAnsi="Calibri" w:cs="Calibri"/>
          <w:sz w:val="22"/>
          <w:szCs w:val="22"/>
          <w:lang w:val="es-ES_tradnl"/>
        </w:rPr>
      </w:pPr>
      <w:r>
        <w:rPr>
          <w:rStyle w:val="Ninguno"/>
          <w:rFonts w:ascii="Calibri" w:hAnsi="Calibri"/>
          <w:sz w:val="22"/>
          <w:szCs w:val="22"/>
          <w:lang w:val="es-ES_tradnl"/>
        </w:rPr>
        <w:t>Además, se destaca el principio de presunción de legalidad del acto administrativo y la necesidad de respetar la seguridad jurídica. Por tanto, se revoca la medida cautelar y se prioriza la ejecutividad del acto administrativo. El fallo es de estimación del recurso de apelación y revocación del auto que concedió la medida cautelar, sin imposición de costas</w:t>
      </w:r>
      <w:r>
        <w:rPr>
          <w:rStyle w:val="Ninguno"/>
          <w:rFonts w:ascii="Calibri" w:hAnsi="Calibri"/>
          <w:b/>
          <w:bCs/>
          <w:sz w:val="22"/>
          <w:szCs w:val="22"/>
          <w:lang w:val="es-ES_tradnl"/>
        </w:rPr>
        <w:t xml:space="preserve">. </w:t>
      </w:r>
    </w:p>
    <w:p w14:paraId="3B4531A4" w14:textId="68BF1C2D" w:rsidR="003F223C" w:rsidRPr="00D05A02" w:rsidRDefault="00AB07D2">
      <w:pPr>
        <w:pStyle w:val="CuerpoA"/>
        <w:widowControl w:val="0"/>
        <w:spacing w:after="198" w:line="288" w:lineRule="auto"/>
        <w:jc w:val="both"/>
        <w:rPr>
          <w:rStyle w:val="Hyperlink0"/>
          <w:lang w:val="es-ES_tradnl"/>
        </w:rPr>
      </w:pPr>
      <w:r w:rsidRPr="00AB07D2">
        <w:rPr>
          <w:rStyle w:val="Hyperlink0"/>
          <w:rFonts w:ascii="Calibri" w:hAnsi="Calibri"/>
          <w:sz w:val="22"/>
          <w:szCs w:val="22"/>
          <w:lang w:val="en-US"/>
        </w:rPr>
        <w:fldChar w:fldCharType="begin"/>
      </w:r>
      <w:r w:rsidR="002F1165" w:rsidRPr="00D05A02">
        <w:rPr>
          <w:rStyle w:val="Hyperlink0"/>
          <w:rFonts w:ascii="Calibri" w:hAnsi="Calibri"/>
          <w:sz w:val="22"/>
          <w:szCs w:val="22"/>
          <w:lang w:val="es-ES_tradnl"/>
        </w:rPr>
        <w:instrText>HYPERLINK "https://www.poderjudicial.es/search/AN/openDocument/3400a07b92b4860ba0a8778d75e36f0d/20260123"</w:instrText>
      </w:r>
      <w:r w:rsidRPr="00AB07D2">
        <w:rPr>
          <w:rStyle w:val="Hyperlink0"/>
          <w:rFonts w:ascii="Calibri" w:hAnsi="Calibri"/>
          <w:sz w:val="22"/>
          <w:szCs w:val="22"/>
          <w:lang w:val="en-US"/>
        </w:rPr>
      </w:r>
      <w:r w:rsidRPr="00AB07D2">
        <w:rPr>
          <w:rStyle w:val="Hyperlink0"/>
          <w:rFonts w:ascii="Calibri" w:hAnsi="Calibri"/>
          <w:sz w:val="22"/>
          <w:szCs w:val="22"/>
          <w:lang w:val="en-US"/>
        </w:rPr>
        <w:fldChar w:fldCharType="separate"/>
      </w:r>
      <w:r w:rsidRPr="00D05A02">
        <w:rPr>
          <w:rStyle w:val="Hyperlink0"/>
          <w:rFonts w:ascii="Calibri" w:hAnsi="Calibri"/>
          <w:sz w:val="22"/>
          <w:szCs w:val="22"/>
          <w:lang w:val="es-ES_tradnl"/>
        </w:rPr>
        <w:t>https://www.poderjudicial.es/search/AN/openDocument/3400a07b92b4860ba0a8778d75e36f0d/20260123</w:t>
      </w:r>
    </w:p>
    <w:p w14:paraId="688E40DC" w14:textId="354CD60D" w:rsidR="003F223C" w:rsidRDefault="00AB07D2">
      <w:pPr>
        <w:pStyle w:val="CuerpoA"/>
        <w:widowControl w:val="0"/>
        <w:spacing w:after="198" w:line="288" w:lineRule="auto"/>
        <w:jc w:val="both"/>
        <w:rPr>
          <w:rFonts w:ascii="Calibri" w:eastAsia="Calibri" w:hAnsi="Calibri" w:cs="Calibri"/>
          <w:b/>
          <w:bCs/>
          <w:sz w:val="22"/>
          <w:szCs w:val="22"/>
          <w:lang w:val="es-ES_tradnl"/>
        </w:rPr>
      </w:pPr>
      <w:r w:rsidRPr="00AB07D2">
        <w:rPr>
          <w:rStyle w:val="Hyperlink0"/>
          <w:rFonts w:ascii="Calibri" w:hAnsi="Calibri"/>
          <w:sz w:val="22"/>
          <w:szCs w:val="22"/>
          <w:lang w:val="en-US"/>
        </w:rPr>
        <w:fldChar w:fldCharType="end"/>
      </w:r>
      <w:r w:rsidR="00B66A92">
        <w:rPr>
          <w:rStyle w:val="Ninguno"/>
          <w:rFonts w:ascii="Calibri" w:hAnsi="Calibri"/>
          <w:b/>
          <w:bCs/>
          <w:sz w:val="22"/>
          <w:szCs w:val="22"/>
          <w:lang w:val="es-ES_tradnl"/>
        </w:rPr>
        <w:t>- (</w:t>
      </w:r>
      <w:r w:rsidR="00B66A92">
        <w:rPr>
          <w:rStyle w:val="Ninguno"/>
          <w:rFonts w:ascii="Calibri" w:hAnsi="Calibri"/>
          <w:b/>
          <w:bCs/>
          <w:sz w:val="22"/>
          <w:szCs w:val="22"/>
        </w:rPr>
        <w:t xml:space="preserve">Roj: STSJ PV </w:t>
      </w:r>
      <w:r w:rsidR="00B66A92">
        <w:rPr>
          <w:rStyle w:val="Ninguno"/>
          <w:rFonts w:ascii="Calibri" w:hAnsi="Calibri"/>
          <w:b/>
          <w:bCs/>
          <w:sz w:val="22"/>
          <w:szCs w:val="22"/>
          <w:lang w:val="es-ES_tradnl"/>
        </w:rPr>
        <w:t>91</w:t>
      </w:r>
      <w:r w:rsidR="00B66A92">
        <w:rPr>
          <w:rStyle w:val="Ninguno"/>
          <w:rFonts w:ascii="Calibri" w:hAnsi="Calibri"/>
          <w:b/>
          <w:bCs/>
          <w:sz w:val="22"/>
          <w:szCs w:val="22"/>
        </w:rPr>
        <w:t>/202</w:t>
      </w:r>
      <w:r w:rsidR="00B66A92">
        <w:rPr>
          <w:rStyle w:val="Ninguno"/>
          <w:rFonts w:ascii="Calibri" w:hAnsi="Calibri"/>
          <w:b/>
          <w:bCs/>
          <w:sz w:val="22"/>
          <w:szCs w:val="22"/>
          <w:lang w:val="es-ES_tradnl"/>
        </w:rPr>
        <w:t>6) Sentencia del TSJ de País Vasco 6/2026, de 13 de enero de 2026. Sala de lo Contencioso.</w:t>
      </w:r>
    </w:p>
    <w:p w14:paraId="345B216C" w14:textId="77777777" w:rsidR="003F223C" w:rsidRDefault="00B66A92" w:rsidP="004C7CC2">
      <w:pPr>
        <w:pStyle w:val="CuerpoA"/>
        <w:widowControl w:val="0"/>
        <w:spacing w:after="80" w:line="288" w:lineRule="auto"/>
        <w:jc w:val="both"/>
        <w:rPr>
          <w:rFonts w:ascii="Calibri" w:eastAsia="Calibri" w:hAnsi="Calibri" w:cs="Calibri"/>
          <w:b/>
          <w:bCs/>
          <w:sz w:val="22"/>
          <w:szCs w:val="22"/>
          <w:lang w:val="es-ES_tradnl"/>
        </w:rPr>
      </w:pPr>
      <w:r>
        <w:rPr>
          <w:rStyle w:val="Ninguno"/>
          <w:rFonts w:ascii="Calibri" w:hAnsi="Calibri"/>
          <w:sz w:val="22"/>
          <w:szCs w:val="22"/>
          <w:lang w:val="es-ES_tradnl"/>
        </w:rPr>
        <w:t xml:space="preserve">El tribunal desestima el recurso de apelación interpuesto por la sociedad gastronómica, confirmando la sentencia de instancia que declaró la inexistencia de licencia expresa o tácita para la actividad de </w:t>
      </w:r>
      <w:proofErr w:type="spellStart"/>
      <w:r>
        <w:rPr>
          <w:rStyle w:val="Ninguno"/>
          <w:rFonts w:ascii="Calibri" w:hAnsi="Calibri"/>
          <w:sz w:val="22"/>
          <w:szCs w:val="22"/>
          <w:lang w:val="es-ES_tradnl"/>
        </w:rPr>
        <w:t>txoko</w:t>
      </w:r>
      <w:proofErr w:type="spellEnd"/>
      <w:r>
        <w:rPr>
          <w:rStyle w:val="Ninguno"/>
          <w:rFonts w:ascii="Calibri" w:hAnsi="Calibri"/>
          <w:sz w:val="22"/>
          <w:szCs w:val="22"/>
          <w:lang w:val="es-ES_tradnl"/>
        </w:rPr>
        <w:t xml:space="preserve"> y la imposibilidad de su legalización conforme al Plan General de Ordenación Urbana. Se fundamenta en la carga de la prueba que recae sobre la parte actora para acreditar la existencia de licencia, la cual no fue satisfactoriamente cumplida, y en la jurisprudencia que establece que la mera tolerancia administrativa, el pago de tasas o la realización de obras menores no sustituyen la licencia necesaria. Asimismo, se rechaza la aplicación del principio de </w:t>
      </w:r>
      <w:r>
        <w:rPr>
          <w:rStyle w:val="Ninguno"/>
          <w:rFonts w:ascii="Calibri" w:hAnsi="Calibri"/>
          <w:sz w:val="22"/>
          <w:szCs w:val="22"/>
          <w:lang w:val="es-ES_tradnl"/>
        </w:rPr>
        <w:lastRenderedPageBreak/>
        <w:t xml:space="preserve">confianza legítima, dado que la actividad es ilegalizable y la Administración no podía actuar en contra de la normativa urbanística vigente. Por tanto, se confirma la prohibición del funcionamiento del </w:t>
      </w:r>
      <w:proofErr w:type="spellStart"/>
      <w:r>
        <w:rPr>
          <w:rStyle w:val="Ninguno"/>
          <w:rFonts w:ascii="Calibri" w:hAnsi="Calibri"/>
          <w:sz w:val="22"/>
          <w:szCs w:val="22"/>
          <w:lang w:val="es-ES_tradnl"/>
        </w:rPr>
        <w:t>txoko</w:t>
      </w:r>
      <w:proofErr w:type="spellEnd"/>
      <w:r>
        <w:rPr>
          <w:rStyle w:val="Ninguno"/>
          <w:rFonts w:ascii="Calibri" w:hAnsi="Calibri"/>
          <w:sz w:val="22"/>
          <w:szCs w:val="22"/>
          <w:lang w:val="es-ES_tradnl"/>
        </w:rPr>
        <w:t xml:space="preserve"> y se imponen las costas a la parte apelante. </w:t>
      </w:r>
    </w:p>
    <w:p w14:paraId="271DFC7C" w14:textId="31039D7F" w:rsidR="003F223C" w:rsidRPr="001972A3" w:rsidRDefault="001972A3">
      <w:pPr>
        <w:pStyle w:val="CuerpoA"/>
        <w:widowControl w:val="0"/>
        <w:spacing w:after="198" w:line="288" w:lineRule="auto"/>
        <w:jc w:val="both"/>
        <w:rPr>
          <w:rFonts w:ascii="Calibri" w:eastAsia="Calibri" w:hAnsi="Calibri" w:cs="Calibri"/>
          <w:b/>
          <w:bCs/>
          <w:sz w:val="22"/>
          <w:szCs w:val="22"/>
          <w:lang w:val="es-ES_tradnl"/>
        </w:rPr>
      </w:pPr>
      <w:hyperlink r:id="rId186" w:history="1">
        <w:r w:rsidRPr="001972A3">
          <w:rPr>
            <w:rStyle w:val="Hyperlink0"/>
            <w:rFonts w:ascii="Calibri" w:eastAsia="Helvetica Neue" w:hAnsi="Calibri" w:cs="Calibri"/>
            <w:sz w:val="22"/>
            <w:szCs w:val="22"/>
            <w:shd w:val="clear" w:color="auto" w:fill="FFFFFF"/>
            <w:lang w:val="es-ES_tradnl"/>
          </w:rPr>
          <w:t>https://www.poderjudicial.es/search/AN/openDocument/1061bd3502cd1569a0a8778d75e36f0d/20260127</w:t>
        </w:r>
      </w:hyperlink>
      <w:hyperlink r:id="rId187"/>
    </w:p>
    <w:p w14:paraId="446BE921" w14:textId="77777777" w:rsidR="003F223C" w:rsidRDefault="00B66A92">
      <w:pPr>
        <w:pStyle w:val="CuerpoA"/>
        <w:widowControl w:val="0"/>
        <w:spacing w:after="198" w:line="288" w:lineRule="auto"/>
        <w:jc w:val="both"/>
        <w:rPr>
          <w:rFonts w:ascii="Calibri" w:eastAsia="Calibri" w:hAnsi="Calibri" w:cs="Calibri"/>
          <w:b/>
          <w:bCs/>
          <w:sz w:val="22"/>
          <w:szCs w:val="22"/>
          <w:lang w:val="es-ES_tradnl"/>
        </w:rPr>
      </w:pPr>
      <w:r>
        <w:rPr>
          <w:rStyle w:val="Ninguno"/>
          <w:rFonts w:ascii="Calibri" w:hAnsi="Calibri"/>
          <w:b/>
          <w:bCs/>
          <w:sz w:val="22"/>
          <w:szCs w:val="22"/>
          <w:lang w:val="es-ES_tradnl"/>
        </w:rPr>
        <w:t>- (</w:t>
      </w:r>
      <w:r>
        <w:rPr>
          <w:rStyle w:val="Ninguno"/>
          <w:rFonts w:ascii="Calibri" w:hAnsi="Calibri"/>
          <w:b/>
          <w:bCs/>
          <w:sz w:val="22"/>
          <w:szCs w:val="22"/>
        </w:rPr>
        <w:t xml:space="preserve">Roj: STSJ PV </w:t>
      </w:r>
      <w:r>
        <w:rPr>
          <w:rStyle w:val="Ninguno"/>
          <w:rFonts w:ascii="Calibri" w:hAnsi="Calibri"/>
          <w:b/>
          <w:bCs/>
          <w:sz w:val="22"/>
          <w:szCs w:val="22"/>
          <w:lang w:val="es-ES_tradnl"/>
        </w:rPr>
        <w:t>136</w:t>
      </w:r>
      <w:r>
        <w:rPr>
          <w:rStyle w:val="Ninguno"/>
          <w:rFonts w:ascii="Calibri" w:hAnsi="Calibri"/>
          <w:b/>
          <w:bCs/>
          <w:sz w:val="22"/>
          <w:szCs w:val="22"/>
        </w:rPr>
        <w:t>/202</w:t>
      </w:r>
      <w:r>
        <w:rPr>
          <w:rStyle w:val="Ninguno"/>
          <w:rFonts w:ascii="Calibri" w:hAnsi="Calibri"/>
          <w:b/>
          <w:bCs/>
          <w:sz w:val="22"/>
          <w:szCs w:val="22"/>
          <w:lang w:val="es-ES_tradnl"/>
        </w:rPr>
        <w:t>6) Sentencia del TSJ de País Vasco 3/2026, de 13 de enero de 2026. Sala de lo Contencioso.</w:t>
      </w:r>
    </w:p>
    <w:p w14:paraId="7ADB66C9" w14:textId="77777777" w:rsidR="003F223C" w:rsidRDefault="00B66A92" w:rsidP="004C7CC2">
      <w:pPr>
        <w:pStyle w:val="CuerpoA"/>
        <w:widowControl w:val="0"/>
        <w:spacing w:after="80" w:line="288" w:lineRule="auto"/>
        <w:jc w:val="both"/>
        <w:rPr>
          <w:rFonts w:ascii="Calibri" w:eastAsia="Calibri" w:hAnsi="Calibri" w:cs="Calibri"/>
          <w:sz w:val="22"/>
          <w:szCs w:val="22"/>
          <w:lang w:val="es-ES_tradnl"/>
        </w:rPr>
      </w:pPr>
      <w:r>
        <w:rPr>
          <w:rStyle w:val="Ninguno"/>
          <w:rFonts w:ascii="Calibri" w:hAnsi="Calibri"/>
          <w:sz w:val="22"/>
          <w:szCs w:val="22"/>
          <w:lang w:val="es-ES_tradnl"/>
        </w:rPr>
        <w:t>La sentencia clarifica que la compensación económica por cese de funcionarios interinos prevista en la Ley 20/2021 es exclusiva para el tercer proceso de estabilización que dicha ley regula, diferenciándola de los procesos anteriores y delimitando así el ámbito de aplicación de esta indemnización en el contexto de la reducción de la temporalidad en el empleo público.</w:t>
      </w:r>
    </w:p>
    <w:p w14:paraId="4E031804" w14:textId="77777777" w:rsidR="003F223C" w:rsidRDefault="00B66A92">
      <w:pPr>
        <w:pStyle w:val="Poromisin"/>
        <w:suppressAutoHyphens/>
        <w:spacing w:before="0" w:after="320" w:line="240" w:lineRule="auto"/>
        <w:rPr>
          <w:rFonts w:ascii="Calibri" w:eastAsia="Calibri" w:hAnsi="Calibri" w:cs="Calibri"/>
          <w:color w:val="333333"/>
          <w:sz w:val="22"/>
          <w:szCs w:val="22"/>
          <w:shd w:val="clear" w:color="auto" w:fill="FFFFFF"/>
        </w:rPr>
      </w:pPr>
      <w:hyperlink r:id="rId188">
        <w:r>
          <w:rPr>
            <w:rStyle w:val="Hyperlink0"/>
            <w:rFonts w:ascii="Calibri" w:hAnsi="Calibri"/>
            <w:sz w:val="22"/>
            <w:szCs w:val="22"/>
            <w:shd w:val="clear" w:color="auto" w:fill="FFFFFF"/>
          </w:rPr>
          <w:t>https://www.poderjudicial.es/search/AN/openDocument/3de3817fc95a6ce7a0a8778d75e36f0d/20260128</w:t>
        </w:r>
      </w:hyperlink>
    </w:p>
    <w:p w14:paraId="67BD39FA" w14:textId="77777777" w:rsidR="003F223C" w:rsidRDefault="00B66A92">
      <w:pPr>
        <w:pStyle w:val="CuerpoA"/>
        <w:widowControl w:val="0"/>
        <w:spacing w:after="198" w:line="288" w:lineRule="auto"/>
        <w:jc w:val="both"/>
        <w:rPr>
          <w:rFonts w:ascii="Calibri" w:eastAsia="Calibri" w:hAnsi="Calibri" w:cs="Calibri"/>
          <w:b/>
          <w:bCs/>
          <w:sz w:val="22"/>
          <w:szCs w:val="22"/>
          <w:lang w:val="es-ES_tradnl"/>
        </w:rPr>
      </w:pPr>
      <w:r>
        <w:rPr>
          <w:rStyle w:val="Ninguno"/>
          <w:rFonts w:ascii="Calibri" w:hAnsi="Calibri"/>
          <w:b/>
          <w:bCs/>
          <w:sz w:val="22"/>
          <w:szCs w:val="22"/>
          <w:lang w:val="es-ES_tradnl"/>
        </w:rPr>
        <w:t>- (</w:t>
      </w:r>
      <w:r>
        <w:rPr>
          <w:rStyle w:val="Ninguno"/>
          <w:rFonts w:ascii="Calibri" w:hAnsi="Calibri"/>
          <w:b/>
          <w:bCs/>
          <w:sz w:val="22"/>
          <w:szCs w:val="22"/>
        </w:rPr>
        <w:t xml:space="preserve">Roj: STSJ PV </w:t>
      </w:r>
      <w:r>
        <w:rPr>
          <w:rStyle w:val="Ninguno"/>
          <w:rFonts w:ascii="Calibri" w:hAnsi="Calibri"/>
          <w:b/>
          <w:bCs/>
          <w:sz w:val="22"/>
          <w:szCs w:val="22"/>
          <w:lang w:val="es-ES_tradnl"/>
        </w:rPr>
        <w:t>105</w:t>
      </w:r>
      <w:r>
        <w:rPr>
          <w:rStyle w:val="Ninguno"/>
          <w:rFonts w:ascii="Calibri" w:hAnsi="Calibri"/>
          <w:b/>
          <w:bCs/>
          <w:sz w:val="22"/>
          <w:szCs w:val="22"/>
        </w:rPr>
        <w:t>/202</w:t>
      </w:r>
      <w:r>
        <w:rPr>
          <w:rStyle w:val="Ninguno"/>
          <w:rFonts w:ascii="Calibri" w:hAnsi="Calibri"/>
          <w:b/>
          <w:bCs/>
          <w:sz w:val="22"/>
          <w:szCs w:val="22"/>
          <w:lang w:val="es-ES_tradnl"/>
        </w:rPr>
        <w:t>6) Sentencia del TSJ de País Vasco 9/2026, de 14 de enero de 2026. Sala de lo Contencioso.</w:t>
      </w:r>
    </w:p>
    <w:p w14:paraId="61661491" w14:textId="77777777" w:rsidR="003F223C" w:rsidRDefault="00B66A92">
      <w:pPr>
        <w:pStyle w:val="CuerpoA"/>
        <w:widowControl w:val="0"/>
        <w:spacing w:after="198" w:line="288" w:lineRule="auto"/>
        <w:jc w:val="both"/>
        <w:rPr>
          <w:rFonts w:ascii="Calibri" w:eastAsia="Calibri" w:hAnsi="Calibri" w:cs="Calibri"/>
          <w:sz w:val="22"/>
          <w:szCs w:val="22"/>
          <w:lang w:val="es-ES_tradnl"/>
        </w:rPr>
      </w:pPr>
      <w:r>
        <w:rPr>
          <w:rStyle w:val="Ninguno"/>
          <w:rFonts w:ascii="Calibri" w:hAnsi="Calibri"/>
          <w:sz w:val="22"/>
          <w:szCs w:val="22"/>
          <w:lang w:val="es-ES_tradnl"/>
        </w:rPr>
        <w:t xml:space="preserve">Se fundamenta en la doctrina jurisprudencial sobre la presunción iuris tantum de veracidad de los informes técnicos municipales, el principio de valoración racional y lógica de la prueba conforme a las reglas de la sana crítica, y en la normativa aplicable en materia de contaminación acústica, especialmente el Decreto 213/2012 de la Comunidad Autónoma del País Vasco y las Normas Subsidiarias de Planeamiento Municipal de </w:t>
      </w:r>
      <w:proofErr w:type="spellStart"/>
      <w:r>
        <w:rPr>
          <w:rStyle w:val="Ninguno"/>
          <w:rFonts w:ascii="Calibri" w:hAnsi="Calibri"/>
          <w:sz w:val="22"/>
          <w:szCs w:val="22"/>
          <w:lang w:val="es-ES_tradnl"/>
        </w:rPr>
        <w:t>Ugao-Miraballes</w:t>
      </w:r>
      <w:proofErr w:type="spellEnd"/>
      <w:r>
        <w:rPr>
          <w:rStyle w:val="Ninguno"/>
          <w:rFonts w:ascii="Calibri" w:hAnsi="Calibri"/>
          <w:sz w:val="22"/>
          <w:szCs w:val="22"/>
          <w:lang w:val="es-ES_tradnl"/>
        </w:rPr>
        <w:t>.</w:t>
      </w:r>
    </w:p>
    <w:p w14:paraId="242FFC55" w14:textId="77777777" w:rsidR="003F223C" w:rsidRDefault="00B66A92" w:rsidP="004C7CC2">
      <w:pPr>
        <w:pStyle w:val="CuerpoA"/>
        <w:widowControl w:val="0"/>
        <w:spacing w:after="80" w:line="288" w:lineRule="auto"/>
        <w:jc w:val="both"/>
        <w:rPr>
          <w:rFonts w:ascii="Calibri" w:eastAsia="Calibri" w:hAnsi="Calibri" w:cs="Calibri"/>
          <w:sz w:val="22"/>
          <w:szCs w:val="22"/>
          <w:lang w:val="es-ES_tradnl"/>
        </w:rPr>
      </w:pPr>
      <w:r>
        <w:rPr>
          <w:rStyle w:val="Ninguno"/>
          <w:rFonts w:ascii="Calibri" w:hAnsi="Calibri"/>
          <w:sz w:val="22"/>
          <w:szCs w:val="22"/>
          <w:lang w:val="es-ES_tradnl"/>
        </w:rPr>
        <w:t>La sentencia destaca la importancia de considerar la incertidumbre asociada a las mediciones acústicas en la valoración de la prueba para la determinación de la superación de límites sonoros, y confirma que la presunción de veracidad de los informes técnicos municipales puede ser desvirtuada cuando la prueba aportada demuestra insuficiencia o error en dichos informes, lo que afecta directamente a la validez de los actos administrativos basados en ellos.</w:t>
      </w:r>
    </w:p>
    <w:p w14:paraId="5FF013CE" w14:textId="77777777" w:rsidR="003F223C" w:rsidRDefault="00B66A92">
      <w:pPr>
        <w:pStyle w:val="Poromisin"/>
        <w:suppressAutoHyphens/>
        <w:spacing w:before="0" w:after="320" w:line="240" w:lineRule="auto"/>
        <w:rPr>
          <w:rFonts w:ascii="Calibri" w:eastAsia="Calibri" w:hAnsi="Calibri" w:cs="Calibri"/>
          <w:color w:val="333333"/>
          <w:sz w:val="22"/>
          <w:szCs w:val="22"/>
          <w:shd w:val="clear" w:color="auto" w:fill="FFFFFF"/>
        </w:rPr>
      </w:pPr>
      <w:hyperlink r:id="rId189">
        <w:r>
          <w:rPr>
            <w:rStyle w:val="Hyperlink0"/>
            <w:rFonts w:ascii="Calibri" w:hAnsi="Calibri"/>
            <w:sz w:val="22"/>
            <w:szCs w:val="22"/>
            <w:shd w:val="clear" w:color="auto" w:fill="FFFFFF"/>
          </w:rPr>
          <w:t>https://www.poderjudicial.es/search/AN/openDocument/42bfacc4d7eaeaaaa0a8778d75e36f0d/20260127</w:t>
        </w:r>
      </w:hyperlink>
    </w:p>
    <w:p w14:paraId="1834B841" w14:textId="77777777" w:rsidR="003F223C" w:rsidRDefault="00B66A92">
      <w:pPr>
        <w:pStyle w:val="CuerpoA"/>
        <w:widowControl w:val="0"/>
        <w:spacing w:after="198" w:line="288" w:lineRule="auto"/>
        <w:jc w:val="both"/>
        <w:rPr>
          <w:rFonts w:ascii="Calibri" w:eastAsia="Calibri" w:hAnsi="Calibri" w:cs="Calibri"/>
          <w:b/>
          <w:bCs/>
          <w:sz w:val="22"/>
          <w:szCs w:val="22"/>
          <w:lang w:val="es-ES_tradnl"/>
        </w:rPr>
      </w:pPr>
      <w:r>
        <w:rPr>
          <w:rStyle w:val="Ninguno"/>
          <w:rFonts w:ascii="Calibri" w:hAnsi="Calibri"/>
          <w:b/>
          <w:bCs/>
          <w:sz w:val="22"/>
          <w:szCs w:val="22"/>
          <w:lang w:val="es-ES_tradnl"/>
        </w:rPr>
        <w:t>- (</w:t>
      </w:r>
      <w:r>
        <w:rPr>
          <w:rStyle w:val="Ninguno"/>
          <w:rFonts w:ascii="Calibri" w:hAnsi="Calibri"/>
          <w:b/>
          <w:bCs/>
          <w:sz w:val="22"/>
          <w:szCs w:val="22"/>
        </w:rPr>
        <w:t xml:space="preserve">Roj: STSJ PV </w:t>
      </w:r>
      <w:r>
        <w:rPr>
          <w:rStyle w:val="Ninguno"/>
          <w:rFonts w:ascii="Calibri" w:hAnsi="Calibri"/>
          <w:b/>
          <w:bCs/>
          <w:sz w:val="22"/>
          <w:szCs w:val="22"/>
          <w:lang w:val="es-ES_tradnl"/>
        </w:rPr>
        <w:t>107</w:t>
      </w:r>
      <w:r>
        <w:rPr>
          <w:rStyle w:val="Ninguno"/>
          <w:rFonts w:ascii="Calibri" w:hAnsi="Calibri"/>
          <w:b/>
          <w:bCs/>
          <w:sz w:val="22"/>
          <w:szCs w:val="22"/>
        </w:rPr>
        <w:t>/202</w:t>
      </w:r>
      <w:r>
        <w:rPr>
          <w:rStyle w:val="Ninguno"/>
          <w:rFonts w:ascii="Calibri" w:hAnsi="Calibri"/>
          <w:b/>
          <w:bCs/>
          <w:sz w:val="22"/>
          <w:szCs w:val="22"/>
          <w:lang w:val="es-ES_tradnl"/>
        </w:rPr>
        <w:t>6) Sentencia del TSJ de País Vasco 7/2026, de 14 de enero de 2026. Sala de lo Contencioso.</w:t>
      </w:r>
    </w:p>
    <w:p w14:paraId="398D571A" w14:textId="6239C9D0" w:rsidR="003F223C" w:rsidRDefault="00B66A92" w:rsidP="004C7CC2">
      <w:pPr>
        <w:pStyle w:val="CuerpoA"/>
        <w:widowControl w:val="0"/>
        <w:spacing w:after="80" w:line="288" w:lineRule="auto"/>
        <w:jc w:val="both"/>
        <w:rPr>
          <w:rFonts w:ascii="Calibri" w:eastAsia="Calibri" w:hAnsi="Calibri" w:cs="Calibri"/>
          <w:sz w:val="22"/>
          <w:szCs w:val="22"/>
          <w:lang w:val="es-ES_tradnl"/>
        </w:rPr>
      </w:pPr>
      <w:r>
        <w:rPr>
          <w:rStyle w:val="Ninguno"/>
          <w:rFonts w:ascii="Calibri" w:hAnsi="Calibri"/>
          <w:sz w:val="22"/>
          <w:szCs w:val="22"/>
          <w:lang w:val="es-ES_tradnl"/>
        </w:rPr>
        <w:t>La Sala desestima el recurso de apelación interpuesto por la Administración General de la Comunidad Autónoma del País Vasco y confirma la sentencia de instancia que reconoció el derecho del funcionario a la medida de conciliación solicitada. Se fundamenta en que la administración no ha justificado adecuadamente la denegación, limitándose a argumentos genéricos sin espe</w:t>
      </w:r>
      <w:r>
        <w:rPr>
          <w:rStyle w:val="Ninguno"/>
          <w:rFonts w:ascii="Calibri" w:hAnsi="Calibri"/>
          <w:sz w:val="22"/>
          <w:szCs w:val="22"/>
          <w:lang w:val="es-ES_tradnl"/>
        </w:rPr>
        <w:lastRenderedPageBreak/>
        <w:t>cificar perjuicios concretos para el servicio. Además, el hecho de que el funcionario ya disfrutara de la medida sin incidencias y que la jefatura de unidad haya dado su conformidad demuestra la viabilidad de la medida sin afectar la organización del servicio. La Sala reafirma que las medidas de conciliación deben concederse siempre que sean posibles y no supongan un perjuicio justificado, sin limitarse estrictamente a las previstas en la normativa, ponderando el derecho a la conciliación frente a la potestad de autoorganización administrativa. Fallo: desestimación del recurso de apelación y confirmación de la sentencia de instancia</w:t>
      </w:r>
      <w:r w:rsidR="004C7CC2">
        <w:rPr>
          <w:rStyle w:val="Ninguno"/>
          <w:rFonts w:ascii="Calibri" w:hAnsi="Calibri"/>
          <w:sz w:val="22"/>
          <w:szCs w:val="22"/>
          <w:lang w:val="es-ES_tradnl"/>
        </w:rPr>
        <w:t>.</w:t>
      </w:r>
    </w:p>
    <w:p w14:paraId="7E5350D7" w14:textId="77777777" w:rsidR="003F223C" w:rsidRDefault="00B66A92">
      <w:pPr>
        <w:pStyle w:val="CuerpoA"/>
        <w:widowControl w:val="0"/>
        <w:spacing w:after="198" w:line="288" w:lineRule="auto"/>
        <w:jc w:val="both"/>
        <w:rPr>
          <w:rFonts w:ascii="Calibri" w:eastAsia="Calibri" w:hAnsi="Calibri" w:cs="Calibri"/>
          <w:sz w:val="22"/>
          <w:szCs w:val="22"/>
          <w:lang w:val="es-ES_tradnl"/>
        </w:rPr>
      </w:pPr>
      <w:hyperlink r:id="rId190">
        <w:r>
          <w:rPr>
            <w:rStyle w:val="Hyperlink0"/>
            <w:rFonts w:ascii="Calibri" w:hAnsi="Calibri"/>
            <w:sz w:val="22"/>
            <w:szCs w:val="22"/>
            <w:lang w:val="en-US"/>
          </w:rPr>
          <w:t>https://www.poderjudicial.es/search/AN/openDocument/3e363d6e7429637ca0a8778d75e36f0d/20260127</w:t>
        </w:r>
      </w:hyperlink>
    </w:p>
    <w:p w14:paraId="5D51447C" w14:textId="77777777" w:rsidR="003F223C" w:rsidRDefault="00B66A92">
      <w:pPr>
        <w:pStyle w:val="CuerpoA"/>
        <w:widowControl w:val="0"/>
        <w:spacing w:after="198" w:line="288" w:lineRule="auto"/>
        <w:jc w:val="both"/>
        <w:rPr>
          <w:rFonts w:ascii="Calibri" w:eastAsia="Calibri" w:hAnsi="Calibri" w:cs="Calibri"/>
          <w:b/>
          <w:bCs/>
          <w:sz w:val="22"/>
          <w:szCs w:val="22"/>
          <w:lang w:val="es-ES_tradnl"/>
        </w:rPr>
      </w:pPr>
      <w:r>
        <w:rPr>
          <w:rStyle w:val="Ninguno"/>
          <w:rFonts w:ascii="Calibri" w:hAnsi="Calibri"/>
          <w:b/>
          <w:bCs/>
          <w:sz w:val="22"/>
          <w:szCs w:val="22"/>
          <w:lang w:val="es-ES_tradnl"/>
        </w:rPr>
        <w:t>- (</w:t>
      </w:r>
      <w:r>
        <w:rPr>
          <w:rStyle w:val="Ninguno"/>
          <w:rFonts w:ascii="Calibri" w:hAnsi="Calibri"/>
          <w:b/>
          <w:bCs/>
          <w:sz w:val="22"/>
          <w:szCs w:val="22"/>
        </w:rPr>
        <w:t xml:space="preserve">Roj: STSJ PV </w:t>
      </w:r>
      <w:r>
        <w:rPr>
          <w:rStyle w:val="Ninguno"/>
          <w:rFonts w:ascii="Calibri" w:hAnsi="Calibri"/>
          <w:b/>
          <w:bCs/>
          <w:sz w:val="22"/>
          <w:szCs w:val="22"/>
          <w:lang w:val="es-ES_tradnl"/>
        </w:rPr>
        <w:t>133</w:t>
      </w:r>
      <w:r>
        <w:rPr>
          <w:rStyle w:val="Ninguno"/>
          <w:rFonts w:ascii="Calibri" w:hAnsi="Calibri"/>
          <w:b/>
          <w:bCs/>
          <w:sz w:val="22"/>
          <w:szCs w:val="22"/>
        </w:rPr>
        <w:t>/202</w:t>
      </w:r>
      <w:r>
        <w:rPr>
          <w:rStyle w:val="Ninguno"/>
          <w:rFonts w:ascii="Calibri" w:hAnsi="Calibri"/>
          <w:b/>
          <w:bCs/>
          <w:sz w:val="22"/>
          <w:szCs w:val="22"/>
          <w:lang w:val="es-ES_tradnl"/>
        </w:rPr>
        <w:t>6) Sentencia del TSJ de País Vasco 13/2026, de 14 de enero de 2026. Sala de lo Contencioso.</w:t>
      </w:r>
    </w:p>
    <w:p w14:paraId="11BD36F8" w14:textId="77777777" w:rsidR="003F223C" w:rsidRDefault="00B66A92" w:rsidP="004C7CC2">
      <w:pPr>
        <w:pStyle w:val="CuerpoA"/>
        <w:widowControl w:val="0"/>
        <w:spacing w:after="80" w:line="288" w:lineRule="auto"/>
        <w:jc w:val="both"/>
        <w:rPr>
          <w:rFonts w:ascii="Calibri" w:eastAsia="Calibri" w:hAnsi="Calibri" w:cs="Calibri"/>
          <w:sz w:val="22"/>
          <w:szCs w:val="22"/>
          <w:lang w:val="es-ES_tradnl"/>
        </w:rPr>
      </w:pPr>
      <w:r>
        <w:rPr>
          <w:rStyle w:val="Ninguno"/>
          <w:rFonts w:ascii="Calibri" w:hAnsi="Calibri"/>
          <w:sz w:val="22"/>
          <w:szCs w:val="22"/>
          <w:lang w:val="es-ES_tradnl"/>
        </w:rPr>
        <w:t xml:space="preserve">La sentencia clarifica </w:t>
      </w:r>
      <w:proofErr w:type="gramStart"/>
      <w:r>
        <w:rPr>
          <w:rStyle w:val="Ninguno"/>
          <w:rFonts w:ascii="Calibri" w:hAnsi="Calibri"/>
          <w:sz w:val="22"/>
          <w:szCs w:val="22"/>
          <w:lang w:val="es-ES_tradnl"/>
        </w:rPr>
        <w:t>que</w:t>
      </w:r>
      <w:proofErr w:type="gramEnd"/>
      <w:r>
        <w:rPr>
          <w:rStyle w:val="Ninguno"/>
          <w:rFonts w:ascii="Calibri" w:hAnsi="Calibri"/>
          <w:sz w:val="22"/>
          <w:szCs w:val="22"/>
          <w:lang w:val="es-ES_tradnl"/>
        </w:rPr>
        <w:t xml:space="preserve"> en procesos selectivos con períodos de prácticas susceptibles de prórroga por licencias o permisos, el nombramiento puede realizarse en fechas distintas para cada aspirante, siempre que se respete el plazo legal máximo, evitando así la penalización por disfrute legítimo de permisos y garantizando la correcta aplicación del principio de igualdad en función de la situación individual de cada aspirante.</w:t>
      </w:r>
    </w:p>
    <w:p w14:paraId="22F28D7B" w14:textId="77777777" w:rsidR="003F223C" w:rsidRPr="004F1741" w:rsidRDefault="00B66A92" w:rsidP="004F1741">
      <w:pPr>
        <w:pStyle w:val="Standard"/>
        <w:spacing w:after="198" w:line="288" w:lineRule="auto"/>
        <w:jc w:val="both"/>
        <w:outlineLvl w:val="0"/>
        <w:rPr>
          <w:rStyle w:val="Hyperlink0"/>
        </w:rPr>
      </w:pPr>
      <w:hyperlink r:id="rId191">
        <w:r w:rsidRPr="004F1741">
          <w:rPr>
            <w:rStyle w:val="Hyperlink0"/>
          </w:rPr>
          <w:t>https://www.poderjudicial.es/search/AN/openDocument/f0c802413a71edc1a0a8778d75e36f0d/20260128</w:t>
        </w:r>
      </w:hyperlink>
    </w:p>
    <w:p w14:paraId="4B1D3860" w14:textId="77777777" w:rsidR="003F223C" w:rsidRDefault="00B66A92">
      <w:pPr>
        <w:pStyle w:val="CuerpoA"/>
        <w:widowControl w:val="0"/>
        <w:spacing w:after="198" w:line="288" w:lineRule="auto"/>
        <w:jc w:val="both"/>
        <w:rPr>
          <w:rFonts w:ascii="Calibri" w:eastAsia="Calibri" w:hAnsi="Calibri" w:cs="Calibri"/>
          <w:b/>
          <w:bCs/>
          <w:sz w:val="22"/>
          <w:szCs w:val="22"/>
          <w:lang w:val="es-ES_tradnl"/>
        </w:rPr>
      </w:pPr>
      <w:r>
        <w:rPr>
          <w:rStyle w:val="Ninguno"/>
          <w:rFonts w:ascii="Calibri" w:hAnsi="Calibri"/>
          <w:b/>
          <w:bCs/>
          <w:sz w:val="22"/>
          <w:szCs w:val="22"/>
          <w:lang w:val="es-ES_tradnl"/>
        </w:rPr>
        <w:t>- (</w:t>
      </w:r>
      <w:r>
        <w:rPr>
          <w:rStyle w:val="Ninguno"/>
          <w:rFonts w:ascii="Calibri" w:hAnsi="Calibri"/>
          <w:b/>
          <w:bCs/>
          <w:sz w:val="22"/>
          <w:szCs w:val="22"/>
        </w:rPr>
        <w:t xml:space="preserve">Roj: STSJ PV </w:t>
      </w:r>
      <w:r>
        <w:rPr>
          <w:rStyle w:val="Ninguno"/>
          <w:rFonts w:ascii="Calibri" w:hAnsi="Calibri"/>
          <w:b/>
          <w:bCs/>
          <w:sz w:val="22"/>
          <w:szCs w:val="22"/>
          <w:lang w:val="es-ES_tradnl"/>
        </w:rPr>
        <w:t>246</w:t>
      </w:r>
      <w:r>
        <w:rPr>
          <w:rStyle w:val="Ninguno"/>
          <w:rFonts w:ascii="Calibri" w:hAnsi="Calibri"/>
          <w:b/>
          <w:bCs/>
          <w:sz w:val="22"/>
          <w:szCs w:val="22"/>
        </w:rPr>
        <w:t>/202</w:t>
      </w:r>
      <w:r>
        <w:rPr>
          <w:rStyle w:val="Ninguno"/>
          <w:rFonts w:ascii="Calibri" w:hAnsi="Calibri"/>
          <w:b/>
          <w:bCs/>
          <w:sz w:val="22"/>
          <w:szCs w:val="22"/>
          <w:lang w:val="es-ES_tradnl"/>
        </w:rPr>
        <w:t>6) Sentencia del TSJ de País Vasco 31/2026, de 20 de enero de 2026. Sala de lo Contencioso.</w:t>
      </w:r>
    </w:p>
    <w:p w14:paraId="3B0895EA" w14:textId="77777777" w:rsidR="003F223C" w:rsidRDefault="00B66A92" w:rsidP="004C7CC2">
      <w:pPr>
        <w:pStyle w:val="CuerpoA"/>
        <w:widowControl w:val="0"/>
        <w:spacing w:after="80" w:line="288" w:lineRule="auto"/>
        <w:jc w:val="both"/>
        <w:rPr>
          <w:rFonts w:ascii="Calibri" w:eastAsia="Calibri" w:hAnsi="Calibri" w:cs="Calibri"/>
          <w:sz w:val="22"/>
          <w:szCs w:val="22"/>
          <w:lang w:val="es-ES_tradnl"/>
        </w:rPr>
      </w:pPr>
      <w:r>
        <w:rPr>
          <w:rStyle w:val="Ninguno"/>
          <w:rFonts w:ascii="Calibri" w:hAnsi="Calibri"/>
          <w:sz w:val="22"/>
          <w:szCs w:val="22"/>
          <w:lang w:val="es-ES_tradnl"/>
        </w:rPr>
        <w:t>La sentencia destaca la importancia de considerar la servidumbre de paso público en su extensión funcional, incluyendo zonas auxiliares como explanadas utilizadas para maniobras y aparcamiento público, aun cuando no estén expresamente detalladas en el convenio o proyecto original, y establece límites claros al derecho de cierre de la heredad cuando afecta a servidumbres públicas constituidas mediante convenio con la administración local.</w:t>
      </w:r>
    </w:p>
    <w:p w14:paraId="536C0015" w14:textId="77777777" w:rsidR="003F223C" w:rsidRDefault="00B66A92">
      <w:pPr>
        <w:pStyle w:val="CuerpoA"/>
        <w:widowControl w:val="0"/>
        <w:spacing w:after="198" w:line="288" w:lineRule="auto"/>
        <w:jc w:val="both"/>
        <w:rPr>
          <w:rFonts w:ascii="Calibri" w:eastAsia="Calibri" w:hAnsi="Calibri" w:cs="Calibri"/>
          <w:sz w:val="22"/>
          <w:szCs w:val="22"/>
          <w:lang w:val="es-ES_tradnl"/>
        </w:rPr>
      </w:pPr>
      <w:hyperlink r:id="rId192">
        <w:r>
          <w:rPr>
            <w:rStyle w:val="Hyperlink0"/>
            <w:rFonts w:ascii="Calibri" w:hAnsi="Calibri"/>
            <w:sz w:val="22"/>
            <w:szCs w:val="22"/>
            <w:lang w:val="en-US"/>
          </w:rPr>
          <w:t>https://www.poderjudicial.es/search/AN/openDocument/dcf00850ab3aaf50a0a8778d75e36f0d/20260202</w:t>
        </w:r>
      </w:hyperlink>
    </w:p>
    <w:p w14:paraId="714C09CE" w14:textId="77777777" w:rsidR="003F223C" w:rsidRDefault="00B66A92">
      <w:pPr>
        <w:pStyle w:val="CuerpoA"/>
        <w:widowControl w:val="0"/>
        <w:spacing w:after="198" w:line="288" w:lineRule="auto"/>
        <w:jc w:val="both"/>
        <w:rPr>
          <w:rFonts w:ascii="Calibri" w:eastAsia="Calibri" w:hAnsi="Calibri" w:cs="Calibri"/>
          <w:b/>
          <w:bCs/>
          <w:sz w:val="22"/>
          <w:szCs w:val="22"/>
          <w:lang w:val="es-ES_tradnl"/>
        </w:rPr>
      </w:pPr>
      <w:r>
        <w:rPr>
          <w:rStyle w:val="Ninguno"/>
          <w:rFonts w:ascii="Calibri" w:hAnsi="Calibri"/>
          <w:b/>
          <w:bCs/>
          <w:sz w:val="22"/>
          <w:szCs w:val="22"/>
          <w:lang w:val="es-ES_tradnl"/>
        </w:rPr>
        <w:t>- (</w:t>
      </w:r>
      <w:r>
        <w:rPr>
          <w:rStyle w:val="Ninguno"/>
          <w:rFonts w:ascii="Calibri" w:hAnsi="Calibri"/>
          <w:b/>
          <w:bCs/>
          <w:sz w:val="22"/>
          <w:szCs w:val="22"/>
        </w:rPr>
        <w:t xml:space="preserve">Roj: STSJ PV </w:t>
      </w:r>
      <w:r>
        <w:rPr>
          <w:rStyle w:val="Ninguno"/>
          <w:rFonts w:ascii="Calibri" w:hAnsi="Calibri"/>
          <w:b/>
          <w:bCs/>
          <w:sz w:val="22"/>
          <w:szCs w:val="22"/>
          <w:lang w:val="es-ES_tradnl"/>
        </w:rPr>
        <w:t>264</w:t>
      </w:r>
      <w:r>
        <w:rPr>
          <w:rStyle w:val="Ninguno"/>
          <w:rFonts w:ascii="Calibri" w:hAnsi="Calibri"/>
          <w:b/>
          <w:bCs/>
          <w:sz w:val="22"/>
          <w:szCs w:val="22"/>
        </w:rPr>
        <w:t>/202</w:t>
      </w:r>
      <w:r>
        <w:rPr>
          <w:rStyle w:val="Ninguno"/>
          <w:rFonts w:ascii="Calibri" w:hAnsi="Calibri"/>
          <w:b/>
          <w:bCs/>
          <w:sz w:val="22"/>
          <w:szCs w:val="22"/>
          <w:lang w:val="es-ES_tradnl"/>
        </w:rPr>
        <w:t>6) Sentencia del TSJ de País Vasco 32/2026, de 20 de enero de 2026. Sala de lo Contencioso.</w:t>
      </w:r>
    </w:p>
    <w:p w14:paraId="0D211E6C" w14:textId="77777777" w:rsidR="003F223C" w:rsidRDefault="00B66A92" w:rsidP="004C7CC2">
      <w:pPr>
        <w:pStyle w:val="CuerpoA"/>
        <w:widowControl w:val="0"/>
        <w:spacing w:after="80" w:line="288" w:lineRule="auto"/>
        <w:jc w:val="both"/>
        <w:rPr>
          <w:rFonts w:ascii="Calibri" w:eastAsia="Calibri" w:hAnsi="Calibri" w:cs="Calibri"/>
          <w:sz w:val="22"/>
          <w:szCs w:val="22"/>
          <w:lang w:val="es-ES_tradnl"/>
        </w:rPr>
      </w:pPr>
      <w:r>
        <w:rPr>
          <w:rStyle w:val="Ninguno"/>
          <w:rFonts w:ascii="Calibri" w:hAnsi="Calibri"/>
          <w:sz w:val="22"/>
          <w:szCs w:val="22"/>
          <w:lang w:val="es-ES_tradnl"/>
        </w:rPr>
        <w:t xml:space="preserve">El tribunal reconoce la existencia del contrato de concesión y la vigencia de una prórroga tácita condicionada al reequilibrio económico. Se concluye que el desprendimiento de la cubierta fue causado principalmente por defectos constructivos originarios y una causa externa de fuerza mayor (rachas de viento), circunstancias que exceden el principio de riesgo y ventura del concesionario. Se descarta que la falta de mantenimiento preventivo imputable a la empresa sea la </w:t>
      </w:r>
      <w:r>
        <w:rPr>
          <w:rStyle w:val="Ninguno"/>
          <w:rFonts w:ascii="Calibri" w:hAnsi="Calibri"/>
          <w:sz w:val="22"/>
          <w:szCs w:val="22"/>
          <w:lang w:val="es-ES_tradnl"/>
        </w:rPr>
        <w:lastRenderedPageBreak/>
        <w:t>única causa del daño. En consecuencia, se reconoce el derecho de la concesionaria a una indemnización por reequilibrio económico que cubre todo el periodo afectado, incluyendo el cierre de la piscina desde el desprendimiento hasta la reapertura, así como las pérdidas derivadas del cierre y restricciones por COVID-19 en el gimnasio y bar. Sin embargo, la cuantificación exacta de la indemnización para los periodos posteriores al desprendimiento queda diferida a la ejecución de sentencia debido a la falta de desglose detallado en la prueba pericial. Se desestiman las alegaciones de desviación procesal y se confirma la inadmisibilidad de las causas de inadmisibilidad planteadas por el Ayuntamiento. El fallo estima parcialmente los recursos de apelación de ambas partes, revoca la sentencia de instancia y condena al Ayuntamiento a pagar la indemnización que se fije en ejecución de sentencia conforme a las bases establecidas.</w:t>
      </w:r>
    </w:p>
    <w:p w14:paraId="4A98CF01" w14:textId="77777777" w:rsidR="003F223C" w:rsidRDefault="00B66A92">
      <w:pPr>
        <w:pStyle w:val="CuerpoA"/>
        <w:widowControl w:val="0"/>
        <w:spacing w:after="198" w:line="288" w:lineRule="auto"/>
        <w:jc w:val="both"/>
        <w:rPr>
          <w:rFonts w:ascii="Calibri" w:eastAsia="Calibri" w:hAnsi="Calibri" w:cs="Calibri"/>
          <w:sz w:val="22"/>
          <w:szCs w:val="22"/>
          <w:lang w:val="es-ES_tradnl"/>
        </w:rPr>
      </w:pPr>
      <w:hyperlink r:id="rId193">
        <w:r>
          <w:rPr>
            <w:rStyle w:val="Hyperlink0"/>
            <w:rFonts w:ascii="Calibri" w:hAnsi="Calibri"/>
            <w:sz w:val="22"/>
            <w:szCs w:val="22"/>
            <w:lang w:val="en-US"/>
          </w:rPr>
          <w:t>https://www.poderjudicial.es/search/AN/openDocument/d8417c74d613496da0a8778d75e36f0d/20260210</w:t>
        </w:r>
      </w:hyperlink>
    </w:p>
    <w:p w14:paraId="634A34EC" w14:textId="77777777" w:rsidR="003F223C" w:rsidRDefault="00B66A92">
      <w:pPr>
        <w:pStyle w:val="CuerpoA"/>
        <w:widowControl w:val="0"/>
        <w:spacing w:after="198" w:line="288" w:lineRule="auto"/>
        <w:jc w:val="both"/>
        <w:rPr>
          <w:rFonts w:ascii="Calibri" w:eastAsia="Calibri" w:hAnsi="Calibri" w:cs="Calibri"/>
          <w:b/>
          <w:bCs/>
          <w:sz w:val="22"/>
          <w:szCs w:val="22"/>
          <w:lang w:val="es-ES_tradnl"/>
        </w:rPr>
      </w:pPr>
      <w:r>
        <w:rPr>
          <w:rStyle w:val="Ninguno"/>
          <w:rFonts w:ascii="Calibri" w:hAnsi="Calibri"/>
          <w:b/>
          <w:bCs/>
          <w:sz w:val="22"/>
          <w:szCs w:val="22"/>
          <w:lang w:val="es-ES_tradnl"/>
        </w:rPr>
        <w:t>- (</w:t>
      </w:r>
      <w:r>
        <w:rPr>
          <w:rStyle w:val="Ninguno"/>
          <w:rFonts w:ascii="Calibri" w:hAnsi="Calibri"/>
          <w:b/>
          <w:bCs/>
          <w:sz w:val="22"/>
          <w:szCs w:val="22"/>
        </w:rPr>
        <w:t xml:space="preserve">Roj: STSJ PV </w:t>
      </w:r>
      <w:r>
        <w:rPr>
          <w:rStyle w:val="Ninguno"/>
          <w:rFonts w:ascii="Calibri" w:hAnsi="Calibri"/>
          <w:b/>
          <w:bCs/>
          <w:sz w:val="22"/>
          <w:szCs w:val="22"/>
          <w:lang w:val="es-ES_tradnl"/>
        </w:rPr>
        <w:t>289</w:t>
      </w:r>
      <w:r>
        <w:rPr>
          <w:rStyle w:val="Ninguno"/>
          <w:rFonts w:ascii="Calibri" w:hAnsi="Calibri"/>
          <w:b/>
          <w:bCs/>
          <w:sz w:val="22"/>
          <w:szCs w:val="22"/>
        </w:rPr>
        <w:t>/202</w:t>
      </w:r>
      <w:r>
        <w:rPr>
          <w:rStyle w:val="Ninguno"/>
          <w:rFonts w:ascii="Calibri" w:hAnsi="Calibri"/>
          <w:b/>
          <w:bCs/>
          <w:sz w:val="22"/>
          <w:szCs w:val="22"/>
          <w:lang w:val="es-ES_tradnl"/>
        </w:rPr>
        <w:t>6) Sentencia del TSJ de País Vasco 28/2026, de 21 de enero de 2026. Sala de lo Contencioso.</w:t>
      </w:r>
    </w:p>
    <w:p w14:paraId="30DD4097" w14:textId="77777777" w:rsidR="003F223C" w:rsidRDefault="00B66A92" w:rsidP="004C7CC2">
      <w:pPr>
        <w:pStyle w:val="CuerpoA"/>
        <w:widowControl w:val="0"/>
        <w:spacing w:after="80" w:line="288" w:lineRule="auto"/>
        <w:jc w:val="both"/>
        <w:rPr>
          <w:rFonts w:ascii="Calibri" w:eastAsia="Calibri" w:hAnsi="Calibri" w:cs="Calibri"/>
          <w:sz w:val="22"/>
          <w:szCs w:val="22"/>
          <w:lang w:val="es-ES_tradnl"/>
        </w:rPr>
      </w:pPr>
      <w:r>
        <w:rPr>
          <w:rStyle w:val="Ninguno"/>
          <w:rFonts w:ascii="Calibri" w:hAnsi="Calibri"/>
          <w:sz w:val="22"/>
          <w:szCs w:val="22"/>
          <w:lang w:val="es-ES_tradnl"/>
        </w:rPr>
        <w:t xml:space="preserve">El tribunal otorga la razón a la administración, confirmando que las construcciones de módulos prefabricados para alojamiento de personal temporero en suelo no urbanizable sin licencia constituyen actuaciones clandestinas no legalizables conforme a la normativa urbanística aplicable. Se rechazan las alegaciones de la mercantil sobre la legalización y la supuesta vulneración de derechos fundamentales, considerando que la prueba fue obtenida conforme a derecho y que el uso de los módulos no cumple los requisitos legales para su autorización. La sentencia confirma la legalidad de las medidas cautelares adoptadas para garantizar la restauración de la legalidad urbanística. </w:t>
      </w:r>
    </w:p>
    <w:p w14:paraId="3303A830" w14:textId="77777777" w:rsidR="003F223C" w:rsidRDefault="00B66A92">
      <w:pPr>
        <w:pStyle w:val="CuerpoA"/>
        <w:widowControl w:val="0"/>
        <w:spacing w:after="198" w:line="288" w:lineRule="auto"/>
        <w:jc w:val="both"/>
        <w:rPr>
          <w:rFonts w:ascii="Calibri" w:eastAsia="Calibri" w:hAnsi="Calibri" w:cs="Calibri"/>
          <w:sz w:val="22"/>
          <w:szCs w:val="22"/>
          <w:lang w:val="es-ES_tradnl"/>
        </w:rPr>
      </w:pPr>
      <w:hyperlink r:id="rId194">
        <w:r>
          <w:rPr>
            <w:rStyle w:val="Hyperlink0"/>
            <w:rFonts w:ascii="Calibri" w:hAnsi="Calibri"/>
            <w:sz w:val="22"/>
            <w:szCs w:val="22"/>
            <w:lang w:val="en-US"/>
          </w:rPr>
          <w:t>https://www.poderjudicial.es/search/AN/openDocument/c5b54d538e6c78a5a0a8778d75e36f0d/20260210</w:t>
        </w:r>
      </w:hyperlink>
    </w:p>
    <w:p w14:paraId="2E581048" w14:textId="77777777" w:rsidR="003F223C" w:rsidRDefault="00B66A92">
      <w:pPr>
        <w:pStyle w:val="CuerpoA"/>
        <w:widowControl w:val="0"/>
        <w:spacing w:after="198" w:line="288" w:lineRule="auto"/>
        <w:jc w:val="both"/>
        <w:rPr>
          <w:rFonts w:ascii="Calibri" w:eastAsia="Calibri" w:hAnsi="Calibri" w:cs="Calibri"/>
          <w:b/>
          <w:bCs/>
          <w:sz w:val="22"/>
          <w:szCs w:val="22"/>
          <w:lang w:val="es-ES_tradnl"/>
        </w:rPr>
      </w:pPr>
      <w:r>
        <w:rPr>
          <w:rStyle w:val="Ninguno"/>
          <w:rFonts w:ascii="Calibri" w:hAnsi="Calibri"/>
          <w:b/>
          <w:bCs/>
          <w:sz w:val="22"/>
          <w:szCs w:val="22"/>
          <w:lang w:val="es-ES_tradnl"/>
        </w:rPr>
        <w:t>- (</w:t>
      </w:r>
      <w:r>
        <w:rPr>
          <w:rStyle w:val="Ninguno"/>
          <w:rFonts w:ascii="Calibri" w:hAnsi="Calibri"/>
          <w:b/>
          <w:bCs/>
          <w:sz w:val="22"/>
          <w:szCs w:val="22"/>
        </w:rPr>
        <w:t xml:space="preserve">Roj: STSJ PV </w:t>
      </w:r>
      <w:r>
        <w:rPr>
          <w:rStyle w:val="Ninguno"/>
          <w:rFonts w:ascii="Calibri" w:hAnsi="Calibri"/>
          <w:b/>
          <w:bCs/>
          <w:sz w:val="22"/>
          <w:szCs w:val="22"/>
          <w:lang w:val="es-ES_tradnl"/>
        </w:rPr>
        <w:t>401</w:t>
      </w:r>
      <w:r>
        <w:rPr>
          <w:rStyle w:val="Ninguno"/>
          <w:rFonts w:ascii="Calibri" w:hAnsi="Calibri"/>
          <w:b/>
          <w:bCs/>
          <w:sz w:val="22"/>
          <w:szCs w:val="22"/>
        </w:rPr>
        <w:t>/202</w:t>
      </w:r>
      <w:r>
        <w:rPr>
          <w:rStyle w:val="Ninguno"/>
          <w:rFonts w:ascii="Calibri" w:hAnsi="Calibri"/>
          <w:b/>
          <w:bCs/>
          <w:sz w:val="22"/>
          <w:szCs w:val="22"/>
          <w:lang w:val="es-ES_tradnl"/>
        </w:rPr>
        <w:t>6) Sentencia del TSJ de País Vasco 50/2026, de 3 de febrero de 2026. Sala de lo Contencioso.</w:t>
      </w:r>
    </w:p>
    <w:p w14:paraId="037561A4" w14:textId="77777777" w:rsidR="003F223C" w:rsidRDefault="00B66A92">
      <w:pPr>
        <w:pStyle w:val="CuerpoA"/>
        <w:widowControl w:val="0"/>
        <w:spacing w:after="198" w:line="288" w:lineRule="auto"/>
        <w:jc w:val="both"/>
        <w:rPr>
          <w:rFonts w:ascii="Calibri" w:eastAsia="Calibri" w:hAnsi="Calibri" w:cs="Calibri"/>
          <w:sz w:val="22"/>
          <w:szCs w:val="22"/>
          <w:lang w:val="es-ES_tradnl"/>
        </w:rPr>
      </w:pPr>
      <w:r>
        <w:rPr>
          <w:rStyle w:val="Ninguno"/>
          <w:rFonts w:ascii="Calibri" w:hAnsi="Calibri"/>
          <w:sz w:val="22"/>
          <w:szCs w:val="22"/>
          <w:lang w:val="es-ES_tradnl"/>
        </w:rPr>
        <w:t>El titular de una parcela en suelo no urbanizable realizó obras de relleno y nivelación que excedieron las casetas preexistentes, para las cuales solo contaba con una licencia de mantenimiento otorgada en 2001. Estas obras no contaban con licencia ni autorización administrativa posterior, y se utilizaron para almacenamiento de vehículos de gran tamaño, uso no permitido en la normativa urbanística aplicable. El Ayuntamiento ordenó la demolición de las obras y la reposición del terreno a su estado original, imponiendo multas coercitivas por inejecución.</w:t>
      </w:r>
    </w:p>
    <w:p w14:paraId="492F8EFE" w14:textId="77777777" w:rsidR="003F223C" w:rsidRDefault="00B66A92" w:rsidP="004C7CC2">
      <w:pPr>
        <w:pStyle w:val="CuerpoA"/>
        <w:widowControl w:val="0"/>
        <w:spacing w:after="80" w:line="288" w:lineRule="auto"/>
        <w:jc w:val="both"/>
        <w:rPr>
          <w:rFonts w:ascii="Calibri" w:eastAsia="Calibri" w:hAnsi="Calibri" w:cs="Calibri"/>
          <w:sz w:val="22"/>
          <w:szCs w:val="22"/>
          <w:lang w:val="es-ES_tradnl"/>
        </w:rPr>
      </w:pPr>
      <w:r>
        <w:rPr>
          <w:rStyle w:val="Ninguno"/>
          <w:rFonts w:ascii="Calibri" w:hAnsi="Calibri"/>
          <w:sz w:val="22"/>
          <w:szCs w:val="22"/>
          <w:lang w:val="es-ES_tradnl"/>
        </w:rPr>
        <w:t xml:space="preserve">El tribunal da la razón al Ayuntamiento, confirmando la sentencia de instancia que desestimó el recurso del titular de la parcela. Se argumenta que las obras exceden claramente las autorizaciones de mantenimiento otorgadas en 2001, constituyen actuaciones clandestinas sin licencia </w:t>
      </w:r>
      <w:r>
        <w:rPr>
          <w:rStyle w:val="Ninguno"/>
          <w:rFonts w:ascii="Calibri" w:hAnsi="Calibri"/>
          <w:sz w:val="22"/>
          <w:szCs w:val="22"/>
          <w:lang w:val="es-ES_tradnl"/>
        </w:rPr>
        <w:lastRenderedPageBreak/>
        <w:t>y no se ajustan a los usos permitidos en suelo no urbanizable. La valoración de la prueba realizada por el órgano de instancia es adecuada y no presenta error patente que justifique su revisión. Por tanto, procede la demolición de las obras conforme al artículo 221.6 de la Ley de Suelo y Urbanismo.</w:t>
      </w:r>
    </w:p>
    <w:p w14:paraId="408D8BE0" w14:textId="77777777" w:rsidR="003F223C" w:rsidRDefault="00B66A92">
      <w:pPr>
        <w:pStyle w:val="CuerpoA"/>
        <w:widowControl w:val="0"/>
        <w:spacing w:after="198" w:line="288" w:lineRule="auto"/>
        <w:jc w:val="both"/>
        <w:rPr>
          <w:rFonts w:ascii="Calibri" w:eastAsia="Calibri" w:hAnsi="Calibri" w:cs="Calibri"/>
          <w:sz w:val="22"/>
          <w:szCs w:val="22"/>
          <w:lang w:val="es-ES_tradnl"/>
        </w:rPr>
      </w:pPr>
      <w:hyperlink r:id="rId195">
        <w:r>
          <w:rPr>
            <w:rStyle w:val="Hyperlink0"/>
            <w:rFonts w:ascii="Calibri" w:hAnsi="Calibri"/>
            <w:sz w:val="22"/>
            <w:szCs w:val="22"/>
            <w:lang w:val="en-US"/>
          </w:rPr>
          <w:t>https://www.poderjudicial.es/search/AN/openDocument/23c4c060cd708144a0a8778d75e36f0d/20260213</w:t>
        </w:r>
      </w:hyperlink>
    </w:p>
    <w:p w14:paraId="113BF5E8" w14:textId="77777777" w:rsidR="003F223C" w:rsidRDefault="00B66A92">
      <w:pPr>
        <w:pStyle w:val="CuerpoA"/>
        <w:widowControl w:val="0"/>
        <w:spacing w:after="198" w:line="288" w:lineRule="auto"/>
        <w:jc w:val="both"/>
      </w:pPr>
      <w:r>
        <w:rPr>
          <w:rStyle w:val="Ninguno"/>
          <w:rFonts w:ascii="Calibri" w:hAnsi="Calibri"/>
          <w:b/>
          <w:bCs/>
          <w:sz w:val="22"/>
          <w:szCs w:val="22"/>
          <w:lang w:val="es-ES_tradnl"/>
        </w:rPr>
        <w:t>- (</w:t>
      </w:r>
      <w:r>
        <w:rPr>
          <w:rStyle w:val="Ninguno"/>
          <w:rFonts w:ascii="Calibri" w:hAnsi="Calibri"/>
          <w:b/>
          <w:bCs/>
          <w:sz w:val="22"/>
          <w:szCs w:val="22"/>
        </w:rPr>
        <w:t xml:space="preserve">Roj: STSJ PV </w:t>
      </w:r>
      <w:r>
        <w:rPr>
          <w:rStyle w:val="Ninguno"/>
          <w:rFonts w:ascii="Calibri" w:hAnsi="Calibri"/>
          <w:b/>
          <w:bCs/>
          <w:sz w:val="22"/>
          <w:szCs w:val="22"/>
          <w:lang w:val="es-ES_tradnl"/>
        </w:rPr>
        <w:t>459</w:t>
      </w:r>
      <w:r>
        <w:rPr>
          <w:rStyle w:val="Ninguno"/>
          <w:rFonts w:ascii="Calibri" w:hAnsi="Calibri"/>
          <w:b/>
          <w:bCs/>
          <w:sz w:val="22"/>
          <w:szCs w:val="22"/>
        </w:rPr>
        <w:t>/202</w:t>
      </w:r>
      <w:r>
        <w:rPr>
          <w:rStyle w:val="Ninguno"/>
          <w:rFonts w:ascii="Calibri" w:hAnsi="Calibri"/>
          <w:b/>
          <w:bCs/>
          <w:sz w:val="22"/>
          <w:szCs w:val="22"/>
          <w:lang w:val="es-ES_tradnl"/>
        </w:rPr>
        <w:t>6) Sentencia del TSJ de País Vasco 41/2026, de 5 de febrero de 2026. Sala de lo Contencioso.</w:t>
      </w:r>
    </w:p>
    <w:p w14:paraId="44557D7A" w14:textId="77777777" w:rsidR="003F223C" w:rsidRDefault="00B66A92">
      <w:pPr>
        <w:pStyle w:val="Gorputz-testua"/>
        <w:widowControl w:val="0"/>
        <w:spacing w:after="198" w:line="288" w:lineRule="auto"/>
        <w:jc w:val="both"/>
      </w:pPr>
      <w:r>
        <w:rPr>
          <w:rStyle w:val="Ninguno"/>
          <w:rFonts w:ascii="Calibri" w:hAnsi="Calibri"/>
          <w:sz w:val="22"/>
          <w:szCs w:val="22"/>
          <w:lang w:val="es-ES_tradnl"/>
        </w:rPr>
        <w:t>El Ayuntamiento de Getxo desestimó una reclamación patrimonial por importe de 29.574,71 euros presentada por una entidad, que interpuso recurso contencioso-administrativo que fue inadmitido por prescripción, al considerar que la acción se ejercitó fuera del plazo de un año desde el siniestro ocurrido el 20 de diciembre de 2019. La reclamación administrativa inicial fue presentada el 27 de agosto de 2020, pero fue archivada por defecto formal. La entidad interpuso recurso de apelación contra la inadmisión, alegando que la reclamación administrativa interrumpió la prescripción y que la inadmisión fue incorrecta.</w:t>
      </w:r>
    </w:p>
    <w:p w14:paraId="1EBB9401" w14:textId="77777777" w:rsidR="003F223C" w:rsidRDefault="00B66A92" w:rsidP="004C7CC2">
      <w:pPr>
        <w:pStyle w:val="Gorputz-testua"/>
        <w:widowControl w:val="0"/>
        <w:spacing w:after="80" w:line="288" w:lineRule="auto"/>
        <w:jc w:val="both"/>
      </w:pPr>
      <w:r>
        <w:rPr>
          <w:rStyle w:val="Ninguno"/>
          <w:rFonts w:ascii="Calibri" w:hAnsi="Calibri"/>
          <w:sz w:val="22"/>
          <w:szCs w:val="22"/>
          <w:lang w:val="es-ES_tradnl"/>
        </w:rPr>
        <w:t xml:space="preserve">El tribunal concluye que la inadmisión del recurso contencioso-administrativo por prescripción fue incorrecta, ya que la prescripción es una causa de desestimación y no de inadmisión. Sin embargo, dado que la cuantía del recurso no supera los 30.000 euros, la apelación es inadmisible conforme a la normativa aplicable. Por tanto, se desestima el recurso de apelación por falta de admisibilidad, sin pronunciarse sobre el fondo del asunto. </w:t>
      </w:r>
    </w:p>
    <w:p w14:paraId="1D29A64F" w14:textId="77777777" w:rsidR="003F223C" w:rsidRPr="004F1741" w:rsidRDefault="00B66A92" w:rsidP="004F1741">
      <w:pPr>
        <w:pStyle w:val="Standard"/>
        <w:spacing w:after="198" w:line="288" w:lineRule="auto"/>
        <w:jc w:val="both"/>
        <w:outlineLvl w:val="0"/>
        <w:rPr>
          <w:rStyle w:val="Hyperlink0"/>
        </w:rPr>
      </w:pPr>
      <w:hyperlink r:id="rId196">
        <w:r w:rsidRPr="004F1741">
          <w:rPr>
            <w:rStyle w:val="Hyperlink0"/>
          </w:rPr>
          <w:t>https://www.poderjudicial.es/search/AN/openDocument/ed8562e93080bb0ba0a8778d75e36f0d/20260216</w:t>
        </w:r>
      </w:hyperlink>
    </w:p>
    <w:p w14:paraId="61DDE429" w14:textId="77777777" w:rsidR="003F223C" w:rsidRDefault="00B66A92">
      <w:pPr>
        <w:pStyle w:val="CuerpoA"/>
        <w:widowControl w:val="0"/>
        <w:spacing w:after="198" w:line="288" w:lineRule="auto"/>
        <w:jc w:val="both"/>
      </w:pPr>
      <w:r>
        <w:rPr>
          <w:rStyle w:val="Ninguno"/>
          <w:rFonts w:ascii="Calibri" w:hAnsi="Calibri"/>
          <w:b/>
          <w:bCs/>
          <w:lang w:val="es-ES_tradnl"/>
        </w:rPr>
        <w:t>- (</w:t>
      </w:r>
      <w:r>
        <w:rPr>
          <w:rStyle w:val="Ninguno"/>
          <w:rFonts w:ascii="Calibri" w:hAnsi="Calibri"/>
          <w:b/>
          <w:bCs/>
        </w:rPr>
        <w:t>Roj: STSJ PV 5</w:t>
      </w:r>
      <w:r>
        <w:rPr>
          <w:rStyle w:val="Ninguno"/>
          <w:rFonts w:ascii="Calibri" w:hAnsi="Calibri"/>
          <w:b/>
          <w:bCs/>
          <w:lang w:val="es-ES_tradnl"/>
        </w:rPr>
        <w:t>97</w:t>
      </w:r>
      <w:r>
        <w:rPr>
          <w:rStyle w:val="Ninguno"/>
          <w:rFonts w:ascii="Calibri" w:hAnsi="Calibri"/>
          <w:b/>
          <w:bCs/>
        </w:rPr>
        <w:t>/202</w:t>
      </w:r>
      <w:r>
        <w:rPr>
          <w:rStyle w:val="Ninguno"/>
          <w:rFonts w:ascii="Calibri" w:hAnsi="Calibri"/>
          <w:b/>
          <w:bCs/>
          <w:lang w:val="es-ES_tradnl"/>
        </w:rPr>
        <w:t>6) Sentencia del TSJ de País Vasco 66/2026, de 17 de febrero de 2026. Sala de lo Contencioso.</w:t>
      </w:r>
    </w:p>
    <w:p w14:paraId="1886F355" w14:textId="77777777" w:rsidR="003F223C" w:rsidRDefault="00B66A92" w:rsidP="004C7CC2">
      <w:pPr>
        <w:pStyle w:val="CuerpoA"/>
        <w:widowControl w:val="0"/>
        <w:spacing w:after="80" w:line="288" w:lineRule="auto"/>
        <w:jc w:val="both"/>
        <w:rPr>
          <w:rFonts w:ascii="Calibri" w:eastAsia="Calibri" w:hAnsi="Calibri" w:cs="Calibri"/>
          <w:color w:val="auto"/>
          <w:sz w:val="22"/>
          <w:szCs w:val="22"/>
          <w:shd w:val="clear" w:color="auto" w:fill="FFFFFF"/>
          <w:lang w:val="es-ES_tradnl"/>
        </w:rPr>
      </w:pPr>
      <w:r>
        <w:rPr>
          <w:rFonts w:ascii="Calibri" w:eastAsia="Calibri" w:hAnsi="Calibri" w:cs="Calibri"/>
          <w:sz w:val="22"/>
          <w:szCs w:val="22"/>
          <w:shd w:val="clear" w:color="auto" w:fill="FFFFFF"/>
          <w:lang w:val="es-ES_tradnl"/>
        </w:rPr>
        <w:t>El TSJ desestima el recurso interpuesto, confirmando que la exigencia del perfil lingüístico de euskera nivel 2 para todas las plazas convocadas es desproporcionada y vulnera el derecho fundamental de acceso en condiciones de igualdad al empleo público, pues la Administración apelante no ha justificado que la exigencia del manejo del euskera en la totalidad de las plazas objeto de la convocatoria sea un requisito indispensable para garantizar a los ciudadanos su derecho a relacionarse con la administración en la lengua por ellos elegida. No se puede pasar por alto que tal derecho ha de cohonestarse con el derecho fundamental al acceso al empleo público en condiciones de igualdad y es que la forma de proceder de la Diputación Foral supone la privación de tal derecho para más de la mitad de la población de esa provincia.</w:t>
      </w:r>
    </w:p>
    <w:p w14:paraId="0C31AFB7" w14:textId="77777777" w:rsidR="003F223C" w:rsidRPr="004F1741" w:rsidRDefault="00B66A92" w:rsidP="004F1741">
      <w:pPr>
        <w:pStyle w:val="Standard"/>
        <w:spacing w:after="198" w:line="288" w:lineRule="auto"/>
        <w:jc w:val="both"/>
        <w:outlineLvl w:val="0"/>
        <w:rPr>
          <w:rStyle w:val="Hyperlink0"/>
        </w:rPr>
      </w:pPr>
      <w:hyperlink r:id="rId197">
        <w:r w:rsidRPr="004F1741">
          <w:rPr>
            <w:rStyle w:val="Hyperlink0"/>
          </w:rPr>
          <w:t>https://www.poderjudicial.es/search/indexAN.jsp</w:t>
        </w:r>
      </w:hyperlink>
    </w:p>
    <w:p w14:paraId="692EBCEB" w14:textId="77777777" w:rsidR="003F223C" w:rsidRDefault="00B66A92">
      <w:pPr>
        <w:pStyle w:val="CuerpoA"/>
        <w:widowControl w:val="0"/>
        <w:spacing w:after="198" w:line="288" w:lineRule="auto"/>
        <w:jc w:val="both"/>
      </w:pPr>
      <w:r>
        <w:rPr>
          <w:rStyle w:val="Ninguno"/>
          <w:rFonts w:ascii="Calibri" w:hAnsi="Calibri"/>
          <w:b/>
          <w:bCs/>
          <w:sz w:val="22"/>
          <w:szCs w:val="22"/>
        </w:rPr>
        <w:lastRenderedPageBreak/>
        <w:t>- (Roj: STSJ PV 703/2026) Sentencia del TSJ de País Vasco 81/2026, de 27 de febrero de 2026. Sala de lo Contencioso.</w:t>
      </w:r>
    </w:p>
    <w:p w14:paraId="4112817A" w14:textId="77777777" w:rsidR="003F223C" w:rsidRDefault="00B66A92" w:rsidP="008D4324">
      <w:pPr>
        <w:pStyle w:val="CuerpoA"/>
        <w:widowControl w:val="0"/>
        <w:spacing w:after="80" w:line="288" w:lineRule="auto"/>
        <w:jc w:val="both"/>
      </w:pPr>
      <w:r>
        <w:rPr>
          <w:rStyle w:val="Ninguno"/>
          <w:rFonts w:ascii="Calibri" w:hAnsi="Calibri"/>
          <w:color w:val="auto"/>
          <w:sz w:val="22"/>
          <w:szCs w:val="22"/>
        </w:rPr>
        <w:t xml:space="preserve">El TSJ desestima la apelación interpuesta, pues se supeditaba la compra de la vivienda a que el comprador suscribiera un contrato de compraventa de muebles y pagara el importe fijado y esto supone indudablemente un sobreprecio que se encubre con la imposición de la compra de muebles. Con ello se incumple la prohibición prevista normativamente, </w:t>
      </w:r>
      <w:proofErr w:type="gramStart"/>
      <w:r>
        <w:rPr>
          <w:rStyle w:val="Ninguno"/>
          <w:rFonts w:ascii="Calibri" w:hAnsi="Calibri"/>
          <w:color w:val="auto"/>
          <w:sz w:val="22"/>
          <w:szCs w:val="22"/>
        </w:rPr>
        <w:t>que</w:t>
      </w:r>
      <w:proofErr w:type="gramEnd"/>
      <w:r>
        <w:rPr>
          <w:rStyle w:val="Ninguno"/>
          <w:rFonts w:ascii="Calibri" w:hAnsi="Calibri"/>
          <w:color w:val="auto"/>
          <w:sz w:val="22"/>
          <w:szCs w:val="22"/>
        </w:rPr>
        <w:t xml:space="preserve"> en relación al precio de las transmisiones, prescribe que se prohíbe el sobreprecio, la prima o la percepción de cualquier cantidad que altere el precio, renta o canon que corresponda de acuerdo con las normas aplicables.</w:t>
      </w:r>
    </w:p>
    <w:p w14:paraId="7DFDF3B1" w14:textId="09538177" w:rsidR="003F223C" w:rsidRPr="004F1741" w:rsidRDefault="001972A3" w:rsidP="004F1741">
      <w:pPr>
        <w:pStyle w:val="Standard"/>
        <w:spacing w:after="198" w:line="288" w:lineRule="auto"/>
        <w:jc w:val="both"/>
        <w:outlineLvl w:val="0"/>
        <w:rPr>
          <w:rStyle w:val="Hyperlink0"/>
        </w:rPr>
      </w:pPr>
      <w:hyperlink r:id="rId198" w:history="1">
        <w:r w:rsidRPr="001972A3">
          <w:rPr>
            <w:rStyle w:val="Hyperlink0"/>
          </w:rPr>
          <w:t>https://www.poderjudicial.es/search/AN/openDocument/7b700998f254b585a0a8778d75e36f0d/20260309</w:t>
        </w:r>
      </w:hyperlink>
    </w:p>
    <w:p w14:paraId="0C24DFDF" w14:textId="77777777" w:rsidR="003F223C" w:rsidRDefault="003F223C">
      <w:pPr>
        <w:pStyle w:val="Poromisin"/>
        <w:suppressAutoHyphens/>
        <w:spacing w:before="0" w:after="320" w:line="240" w:lineRule="auto"/>
        <w:rPr>
          <w:color w:val="333333"/>
          <w:sz w:val="28"/>
          <w:szCs w:val="28"/>
          <w:shd w:val="clear" w:color="auto" w:fill="FFFFFF"/>
        </w:rPr>
      </w:pPr>
    </w:p>
    <w:p w14:paraId="7820D09A" w14:textId="77777777" w:rsidR="003F223C" w:rsidRDefault="00B66A92">
      <w:pPr>
        <w:pStyle w:val="Standard"/>
        <w:keepNext/>
        <w:keepLines/>
        <w:spacing w:after="198" w:line="288" w:lineRule="auto"/>
        <w:jc w:val="both"/>
        <w:outlineLvl w:val="0"/>
        <w:rPr>
          <w:b/>
          <w:bCs/>
          <w:color w:val="365F91"/>
          <w:sz w:val="28"/>
          <w:szCs w:val="28"/>
        </w:rPr>
      </w:pPr>
      <w:r>
        <w:rPr>
          <w:rStyle w:val="Ninguno"/>
          <w:b/>
          <w:bCs/>
          <w:color w:val="365F91"/>
          <w:sz w:val="28"/>
          <w:szCs w:val="28"/>
        </w:rPr>
        <w:t>MUNDO LOCAL en EUROPA</w:t>
      </w:r>
    </w:p>
    <w:p w14:paraId="1DEF9D8E" w14:textId="77777777" w:rsidR="003F223C" w:rsidRDefault="00B66A92">
      <w:pPr>
        <w:pStyle w:val="Standard"/>
        <w:spacing w:after="198" w:line="288" w:lineRule="auto"/>
        <w:jc w:val="both"/>
        <w:outlineLvl w:val="1"/>
      </w:pPr>
      <w:r>
        <w:rPr>
          <w:rStyle w:val="Ninguno"/>
          <w:b/>
          <w:bCs/>
        </w:rPr>
        <w:t>- Las regiones, motor de la industria europea de defensa.</w:t>
      </w:r>
    </w:p>
    <w:p w14:paraId="0C7C22F0" w14:textId="77777777" w:rsidR="003F223C" w:rsidRDefault="00B66A92" w:rsidP="004C7CC2">
      <w:pPr>
        <w:pStyle w:val="Standard"/>
        <w:spacing w:after="80" w:line="288" w:lineRule="auto"/>
        <w:jc w:val="both"/>
        <w:outlineLvl w:val="1"/>
      </w:pPr>
      <w:r>
        <w:rPr>
          <w:rStyle w:val="Lodia"/>
          <w:b w:val="0"/>
          <w:bCs w:val="0"/>
          <w:color w:val="auto"/>
        </w:rPr>
        <w:t>El Grupo de Trabajo sobre Defensa del Comité Europeo de las Regiones celebró su tercera reunión el 23 de marzo de 2026 con representantes de la OTAN, el Parlamento Europeo, la Comisión Europea y la industria de la defensa. El encuentro se centró en las últimas iniciativas de la UE destinadas a reforzar la seguridad y la resiliencia de la Unión. En él, los participantes reafirmaron el papel fundamental de los entes locales y regionales en la configuración de una política comunitaria de defensa coherente y con visión de futuro.</w:t>
      </w:r>
    </w:p>
    <w:p w14:paraId="1154F635" w14:textId="77777777" w:rsidR="003F223C" w:rsidRPr="004F1741" w:rsidRDefault="00B66A92" w:rsidP="004F1741">
      <w:pPr>
        <w:pStyle w:val="Standard"/>
        <w:spacing w:after="198" w:line="288" w:lineRule="auto"/>
        <w:jc w:val="both"/>
        <w:outlineLvl w:val="0"/>
        <w:rPr>
          <w:rStyle w:val="Hyperlink0"/>
        </w:rPr>
      </w:pPr>
      <w:hyperlink r:id="rId199">
        <w:r w:rsidRPr="004F1741">
          <w:rPr>
            <w:rStyle w:val="Hyperlink0"/>
          </w:rPr>
          <w:t>https://www.cor.europa.eu/es/noticias/las-regiones-motor-de-la-industria-europea-de-defensa</w:t>
        </w:r>
      </w:hyperlink>
    </w:p>
    <w:p w14:paraId="5FC6E373" w14:textId="77777777" w:rsidR="003F223C" w:rsidRDefault="00B66A92">
      <w:pPr>
        <w:pStyle w:val="Standard"/>
        <w:spacing w:after="198" w:line="288" w:lineRule="auto"/>
        <w:jc w:val="both"/>
        <w:outlineLvl w:val="1"/>
      </w:pPr>
      <w:r>
        <w:rPr>
          <w:rStyle w:val="Ninguno"/>
        </w:rPr>
        <w:t xml:space="preserve">- </w:t>
      </w:r>
      <w:r>
        <w:rPr>
          <w:rStyle w:val="Ninguno"/>
          <w:b/>
          <w:color w:val="auto"/>
        </w:rPr>
        <w:t xml:space="preserve">El alcalde encarcelado de Estambul, </w:t>
      </w:r>
      <w:proofErr w:type="spellStart"/>
      <w:r>
        <w:rPr>
          <w:rStyle w:val="Ninguno"/>
          <w:b/>
          <w:color w:val="auto"/>
        </w:rPr>
        <w:t>Ekrem</w:t>
      </w:r>
      <w:proofErr w:type="spellEnd"/>
      <w:r>
        <w:rPr>
          <w:rStyle w:val="Ninguno"/>
          <w:b/>
          <w:color w:val="auto"/>
        </w:rPr>
        <w:t xml:space="preserve"> </w:t>
      </w:r>
      <w:proofErr w:type="spellStart"/>
      <w:r>
        <w:rPr>
          <w:rStyle w:val="Ninguno"/>
          <w:b/>
          <w:color w:val="auto"/>
        </w:rPr>
        <w:t>İmamoğlu</w:t>
      </w:r>
      <w:proofErr w:type="spellEnd"/>
      <w:r>
        <w:rPr>
          <w:rStyle w:val="Ninguno"/>
          <w:b/>
          <w:color w:val="auto"/>
        </w:rPr>
        <w:t>, gana el Premio Paweł Adamowicz por la defensa de la democracia local</w:t>
      </w:r>
    </w:p>
    <w:p w14:paraId="6C10ABC9" w14:textId="1A89F561" w:rsidR="003F223C" w:rsidRDefault="00B66A92" w:rsidP="004C7CC2">
      <w:pPr>
        <w:pStyle w:val="Standard"/>
        <w:spacing w:after="80" w:line="288" w:lineRule="auto"/>
        <w:jc w:val="both"/>
        <w:outlineLvl w:val="1"/>
        <w:rPr>
          <w:color w:val="auto"/>
        </w:rPr>
      </w:pPr>
      <w:r>
        <w:rPr>
          <w:color w:val="auto"/>
        </w:rPr>
        <w:t xml:space="preserve">Ekrem İmamoğlu, alcalde de Estambul, ha sido galardonado con la quinta edición del Premio </w:t>
      </w:r>
      <w:proofErr w:type="gramStart"/>
      <w:r>
        <w:rPr>
          <w:color w:val="auto"/>
        </w:rPr>
        <w:t>Alcalde</w:t>
      </w:r>
      <w:proofErr w:type="gramEnd"/>
      <w:r>
        <w:rPr>
          <w:color w:val="auto"/>
        </w:rPr>
        <w:t xml:space="preserve"> Paweł Adamowicz por su defensa de la democracia, la solidaridad y la independencia del gobierno local en el contexto de la presión política sostenida, las campañas de odio y los intentos de descalificación política.</w:t>
      </w:r>
    </w:p>
    <w:p w14:paraId="569B2545" w14:textId="77777777" w:rsidR="003F223C" w:rsidRPr="004F1741" w:rsidRDefault="00B66A92" w:rsidP="004F1741">
      <w:pPr>
        <w:pStyle w:val="Standard"/>
        <w:spacing w:after="198" w:line="288" w:lineRule="auto"/>
        <w:jc w:val="both"/>
        <w:outlineLvl w:val="0"/>
        <w:rPr>
          <w:rStyle w:val="Hyperlink0"/>
        </w:rPr>
      </w:pPr>
      <w:hyperlink r:id="rId200">
        <w:r w:rsidRPr="004F1741">
          <w:rPr>
            <w:rStyle w:val="Hyperlink0"/>
          </w:rPr>
          <w:t>https://www.cor.europa.eu/es/noticias/el-alcalde-encarcelado-de-estambul-ekrem-imamoglu-gana-el-premio-pawel-adamowicz-por-la-defensa-de</w:t>
        </w:r>
      </w:hyperlink>
    </w:p>
    <w:p w14:paraId="041055CD" w14:textId="77777777" w:rsidR="00A80019" w:rsidRDefault="00A80019">
      <w:pPr>
        <w:suppressAutoHyphens/>
        <w:overflowPunct/>
        <w:rPr>
          <w:rFonts w:ascii="Calibri" w:eastAsia="Calibri" w:hAnsi="Calibri" w:cs="Calibri"/>
          <w:sz w:val="22"/>
          <w:szCs w:val="22"/>
          <w:lang w:val="es-ES_tradnl" w:eastAsia="zh-CN" w:bidi="hi-IN"/>
        </w:rPr>
      </w:pPr>
      <w:r>
        <w:rPr>
          <w:rFonts w:ascii="Calibri" w:eastAsia="Calibri" w:hAnsi="Calibri" w:cs="Calibri"/>
          <w:sz w:val="22"/>
          <w:szCs w:val="22"/>
          <w:lang w:val="es-ES_tradnl"/>
        </w:rPr>
        <w:br w:type="page"/>
      </w:r>
    </w:p>
    <w:p w14:paraId="18F1AD99" w14:textId="3ECAC5BA" w:rsidR="003F223C" w:rsidRDefault="00B66A92" w:rsidP="004C7CC2">
      <w:pPr>
        <w:pStyle w:val="Gorputz-testua"/>
        <w:spacing w:after="80" w:line="288" w:lineRule="auto"/>
        <w:jc w:val="both"/>
        <w:rPr>
          <w:rFonts w:ascii="Calibri" w:eastAsia="Calibri" w:hAnsi="Calibri" w:cs="Calibri"/>
          <w:color w:val="auto"/>
          <w:sz w:val="22"/>
          <w:szCs w:val="22"/>
          <w:lang w:val="es-ES_tradnl"/>
        </w:rPr>
      </w:pPr>
      <w:r>
        <w:rPr>
          <w:rFonts w:ascii="Calibri" w:eastAsia="Calibri" w:hAnsi="Calibri" w:cs="Calibri"/>
          <w:color w:val="auto"/>
          <w:sz w:val="22"/>
          <w:szCs w:val="22"/>
          <w:lang w:val="es-ES_tradnl"/>
        </w:rPr>
        <w:lastRenderedPageBreak/>
        <w:t xml:space="preserve">- </w:t>
      </w:r>
      <w:r>
        <w:rPr>
          <w:rFonts w:ascii="Calibri" w:eastAsia="Calibri" w:hAnsi="Calibri" w:cs="Calibri"/>
          <w:b/>
          <w:color w:val="auto"/>
          <w:sz w:val="22"/>
          <w:szCs w:val="22"/>
          <w:lang w:val="es-ES_tradnl"/>
        </w:rPr>
        <w:t>La ampliación debe reforzar la seguridad de Europa y defender la democracia local, dicen las regiones de la UE.</w:t>
      </w:r>
    </w:p>
    <w:p w14:paraId="0A9D7EC8" w14:textId="60CEDD2D" w:rsidR="003F223C" w:rsidRPr="004F1741" w:rsidRDefault="00B66A92" w:rsidP="004F1741">
      <w:pPr>
        <w:pStyle w:val="Standard"/>
        <w:spacing w:after="198" w:line="288" w:lineRule="auto"/>
        <w:jc w:val="both"/>
        <w:outlineLvl w:val="0"/>
        <w:rPr>
          <w:rStyle w:val="Hyperlink0"/>
        </w:rPr>
      </w:pPr>
      <w:hyperlink r:id="rId201" w:history="1">
        <w:r w:rsidRPr="00A346D3">
          <w:rPr>
            <w:rStyle w:val="Hyperlink0"/>
          </w:rPr>
          <w:t>https://www.cor.europa.eu/es/noticias/la-ampliacion-debe-reforzar-la-seguridad-de-europa-y-defender-la-democracia-local-dicen-las-regiones</w:t>
        </w:r>
      </w:hyperlink>
    </w:p>
    <w:p w14:paraId="57157AF9" w14:textId="01B85C2A" w:rsidR="003F223C" w:rsidRDefault="003F223C">
      <w:pPr>
        <w:pStyle w:val="Gorputz-testua"/>
        <w:spacing w:after="198" w:line="288" w:lineRule="auto"/>
        <w:jc w:val="both"/>
      </w:pPr>
    </w:p>
    <w:p w14:paraId="6E1B84C3" w14:textId="77777777" w:rsidR="003F223C" w:rsidRDefault="00B66A92">
      <w:pPr>
        <w:pStyle w:val="Standard"/>
        <w:keepNext/>
        <w:keepLines/>
        <w:spacing w:after="198" w:line="288" w:lineRule="auto"/>
        <w:jc w:val="both"/>
        <w:outlineLvl w:val="0"/>
        <w:rPr>
          <w:b/>
          <w:bCs/>
          <w:color w:val="365F91"/>
          <w:sz w:val="28"/>
          <w:szCs w:val="28"/>
        </w:rPr>
      </w:pPr>
      <w:r>
        <w:rPr>
          <w:rStyle w:val="Ninguno"/>
          <w:b/>
          <w:bCs/>
          <w:color w:val="365F91"/>
          <w:sz w:val="28"/>
          <w:szCs w:val="28"/>
        </w:rPr>
        <w:t xml:space="preserve">PUBLICACIONES </w:t>
      </w:r>
    </w:p>
    <w:p w14:paraId="30C112AB" w14:textId="77777777" w:rsidR="003F223C" w:rsidRDefault="00B66A92">
      <w:pPr>
        <w:pStyle w:val="Standard"/>
        <w:spacing w:after="198" w:line="288" w:lineRule="auto"/>
        <w:jc w:val="both"/>
        <w:outlineLvl w:val="0"/>
        <w:rPr>
          <w:b/>
          <w:bCs/>
        </w:rPr>
      </w:pPr>
      <w:r>
        <w:rPr>
          <w:rStyle w:val="Ninguno"/>
          <w:b/>
          <w:bCs/>
        </w:rPr>
        <w:t xml:space="preserve">- Revista: </w:t>
      </w:r>
      <w:proofErr w:type="spellStart"/>
      <w:r>
        <w:rPr>
          <w:rStyle w:val="Ninguno"/>
          <w:b/>
          <w:bCs/>
        </w:rPr>
        <w:t>Administrazioa</w:t>
      </w:r>
      <w:proofErr w:type="spellEnd"/>
      <w:r>
        <w:rPr>
          <w:rStyle w:val="Ninguno"/>
          <w:b/>
          <w:bCs/>
        </w:rPr>
        <w:t xml:space="preserve"> </w:t>
      </w:r>
      <w:proofErr w:type="spellStart"/>
      <w:r>
        <w:rPr>
          <w:rStyle w:val="Ninguno"/>
          <w:b/>
          <w:bCs/>
        </w:rPr>
        <w:t>Euskaraz</w:t>
      </w:r>
      <w:proofErr w:type="spellEnd"/>
      <w:r>
        <w:rPr>
          <w:rStyle w:val="Ninguno"/>
          <w:b/>
          <w:bCs/>
        </w:rPr>
        <w:t>. IVAP. Enero 2026.</w:t>
      </w:r>
    </w:p>
    <w:p w14:paraId="79F5FE43" w14:textId="77777777" w:rsidR="003F223C" w:rsidRDefault="00B66A92">
      <w:pPr>
        <w:pStyle w:val="Standard"/>
        <w:spacing w:after="198" w:line="288" w:lineRule="auto"/>
        <w:jc w:val="both"/>
        <w:outlineLvl w:val="0"/>
        <w:rPr>
          <w:color w:val="365F91"/>
          <w:sz w:val="28"/>
          <w:szCs w:val="28"/>
        </w:rPr>
      </w:pPr>
      <w:r>
        <w:rPr>
          <w:noProof/>
          <w:color w:val="365F91"/>
          <w:sz w:val="28"/>
          <w:szCs w:val="28"/>
        </w:rPr>
        <w:drawing>
          <wp:anchor distT="0" distB="0" distL="0" distR="0" simplePos="0" relativeHeight="130" behindDoc="0" locked="0" layoutInCell="0" allowOverlap="1" wp14:anchorId="0B495A30" wp14:editId="1815A4B4">
            <wp:simplePos x="0" y="0"/>
            <wp:positionH relativeFrom="column">
              <wp:posOffset>121285</wp:posOffset>
            </wp:positionH>
            <wp:positionV relativeFrom="paragraph">
              <wp:posOffset>-27305</wp:posOffset>
            </wp:positionV>
            <wp:extent cx="1634490" cy="2313305"/>
            <wp:effectExtent l="0" t="0" r="0" b="0"/>
            <wp:wrapSquare wrapText="largest"/>
            <wp:docPr id="1" name="Irud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rudia1"/>
                    <pic:cNvPicPr>
                      <a:picLocks noChangeAspect="1" noChangeArrowheads="1"/>
                    </pic:cNvPicPr>
                  </pic:nvPicPr>
                  <pic:blipFill>
                    <a:blip r:embed="rId202"/>
                    <a:stretch>
                      <a:fillRect/>
                    </a:stretch>
                  </pic:blipFill>
                  <pic:spPr bwMode="auto">
                    <a:xfrm>
                      <a:off x="0" y="0"/>
                      <a:ext cx="1634490" cy="2313305"/>
                    </a:xfrm>
                    <a:prstGeom prst="rect">
                      <a:avLst/>
                    </a:prstGeom>
                  </pic:spPr>
                </pic:pic>
              </a:graphicData>
            </a:graphic>
          </wp:anchor>
        </w:drawing>
      </w:r>
    </w:p>
    <w:p w14:paraId="6D284FDE" w14:textId="77777777" w:rsidR="003F223C" w:rsidRDefault="003F223C">
      <w:pPr>
        <w:pStyle w:val="Standard"/>
        <w:spacing w:after="198" w:line="288" w:lineRule="auto"/>
        <w:jc w:val="both"/>
        <w:outlineLvl w:val="0"/>
      </w:pPr>
    </w:p>
    <w:p w14:paraId="3E8CD77B" w14:textId="77777777" w:rsidR="003F223C" w:rsidRDefault="003F223C">
      <w:pPr>
        <w:pStyle w:val="Standard"/>
        <w:spacing w:after="198" w:line="288" w:lineRule="auto"/>
        <w:jc w:val="both"/>
        <w:outlineLvl w:val="0"/>
        <w:rPr>
          <w:rStyle w:val="Ninguno"/>
          <w:color w:val="467886"/>
        </w:rPr>
      </w:pPr>
    </w:p>
    <w:p w14:paraId="3C336FD0" w14:textId="77777777" w:rsidR="003F223C" w:rsidRDefault="003F223C">
      <w:pPr>
        <w:pStyle w:val="Standard"/>
        <w:spacing w:after="198" w:line="288" w:lineRule="auto"/>
        <w:jc w:val="both"/>
        <w:outlineLvl w:val="0"/>
        <w:rPr>
          <w:color w:val="467886"/>
        </w:rPr>
      </w:pPr>
    </w:p>
    <w:p w14:paraId="1C554825" w14:textId="77777777" w:rsidR="003F223C" w:rsidRDefault="003F223C">
      <w:pPr>
        <w:pStyle w:val="Standard"/>
        <w:spacing w:after="198" w:line="288" w:lineRule="auto"/>
        <w:jc w:val="both"/>
        <w:outlineLvl w:val="0"/>
        <w:rPr>
          <w:color w:val="467886"/>
        </w:rPr>
      </w:pPr>
    </w:p>
    <w:p w14:paraId="0EBD7528" w14:textId="77777777" w:rsidR="003F223C" w:rsidRDefault="003F223C">
      <w:pPr>
        <w:pStyle w:val="Standard"/>
        <w:spacing w:after="198" w:line="288" w:lineRule="auto"/>
        <w:jc w:val="both"/>
        <w:outlineLvl w:val="0"/>
        <w:rPr>
          <w:color w:val="467886"/>
        </w:rPr>
      </w:pPr>
    </w:p>
    <w:p w14:paraId="15443E79" w14:textId="77777777" w:rsidR="003F223C" w:rsidRDefault="003F223C">
      <w:pPr>
        <w:pStyle w:val="Standard"/>
        <w:spacing w:after="198" w:line="288" w:lineRule="auto"/>
        <w:jc w:val="both"/>
        <w:outlineLvl w:val="0"/>
        <w:rPr>
          <w:color w:val="467886"/>
        </w:rPr>
      </w:pPr>
    </w:p>
    <w:p w14:paraId="629C5CB7" w14:textId="77777777" w:rsidR="003F223C" w:rsidRPr="004F1741" w:rsidRDefault="00B66A92">
      <w:pPr>
        <w:pStyle w:val="Standard"/>
        <w:spacing w:after="198" w:line="288" w:lineRule="auto"/>
        <w:jc w:val="both"/>
        <w:outlineLvl w:val="0"/>
        <w:rPr>
          <w:rStyle w:val="Hyperlink0"/>
        </w:rPr>
      </w:pPr>
      <w:hyperlink r:id="rId203">
        <w:r w:rsidRPr="004F1741">
          <w:rPr>
            <w:rStyle w:val="Hyperlink0"/>
          </w:rPr>
          <w:t>https://www.ivap.euskadi.eus/webivap00-a5app2/es/t59auUdaWar/R1/sumario/131</w:t>
        </w:r>
      </w:hyperlink>
    </w:p>
    <w:p w14:paraId="239DB9D0" w14:textId="77777777" w:rsidR="003F223C" w:rsidRDefault="003F223C">
      <w:pPr>
        <w:pStyle w:val="Standard"/>
        <w:spacing w:after="198" w:line="288" w:lineRule="auto"/>
        <w:jc w:val="both"/>
        <w:outlineLvl w:val="0"/>
        <w:rPr>
          <w:color w:val="467886"/>
        </w:rPr>
      </w:pPr>
    </w:p>
    <w:p w14:paraId="71FB7652" w14:textId="60C2A5B5" w:rsidR="003F223C" w:rsidRDefault="00B66A92" w:rsidP="00A80019">
      <w:pPr>
        <w:pStyle w:val="Standard"/>
        <w:spacing w:after="80" w:line="288" w:lineRule="auto"/>
        <w:jc w:val="both"/>
        <w:outlineLvl w:val="0"/>
      </w:pPr>
      <w:r>
        <w:rPr>
          <w:rStyle w:val="Ninguno"/>
          <w:b/>
          <w:bCs/>
        </w:rPr>
        <w:t>- Revista Vasca de Gestión de Personas y Organizaciones Públicas. Diciembre 2025. N.º 29.</w:t>
      </w:r>
      <w:r w:rsidR="00A346D3">
        <w:rPr>
          <w:rStyle w:val="Ninguno"/>
          <w:b/>
          <w:bCs/>
        </w:rPr>
        <w:t xml:space="preserve"> </w:t>
      </w:r>
      <w:hyperlink r:id="rId204" w:history="1">
        <w:r w:rsidR="002D6038" w:rsidRPr="00F82DE6">
          <w:rPr>
            <w:rStyle w:val="Hiperesteka"/>
            <w:noProof/>
          </w:rPr>
          <w:drawing>
            <wp:anchor distT="0" distB="0" distL="0" distR="0" simplePos="0" relativeHeight="251659264" behindDoc="0" locked="0" layoutInCell="0" allowOverlap="1" wp14:anchorId="5E92DC83" wp14:editId="43228553">
              <wp:simplePos x="0" y="0"/>
              <wp:positionH relativeFrom="column">
                <wp:posOffset>127000</wp:posOffset>
              </wp:positionH>
              <wp:positionV relativeFrom="paragraph">
                <wp:posOffset>267970</wp:posOffset>
              </wp:positionV>
              <wp:extent cx="1755775" cy="2112645"/>
              <wp:effectExtent l="0" t="0" r="0" b="0"/>
              <wp:wrapSquare wrapText="largest"/>
              <wp:docPr id="2" name="Irudi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rudia2"/>
                      <pic:cNvPicPr>
                        <a:picLocks noChangeAspect="1" noChangeArrowheads="1"/>
                      </pic:cNvPicPr>
                    </pic:nvPicPr>
                    <pic:blipFill>
                      <a:blip r:embed="rId205"/>
                      <a:stretch>
                        <a:fillRect/>
                      </a:stretch>
                    </pic:blipFill>
                    <pic:spPr bwMode="auto">
                      <a:xfrm>
                        <a:off x="0" y="0"/>
                        <a:ext cx="1755775" cy="2112645"/>
                      </a:xfrm>
                      <a:prstGeom prst="rect">
                        <a:avLst/>
                      </a:prstGeom>
                    </pic:spPr>
                  </pic:pic>
                </a:graphicData>
              </a:graphic>
            </wp:anchor>
          </w:drawing>
        </w:r>
        <w:r w:rsidR="002D6038" w:rsidRPr="00F82DE6">
          <w:rPr>
            <w:rStyle w:val="Hiperesteka"/>
          </w:rPr>
          <w:t>https://doi.org/10.47623/ivap-rvgp.29.2025</w:t>
        </w:r>
      </w:hyperlink>
    </w:p>
    <w:p w14:paraId="56F71B8D" w14:textId="77777777" w:rsidR="003F223C" w:rsidRDefault="003F223C">
      <w:pPr>
        <w:pStyle w:val="Standard"/>
        <w:spacing w:after="198" w:line="288" w:lineRule="auto"/>
        <w:jc w:val="both"/>
        <w:outlineLvl w:val="0"/>
      </w:pPr>
    </w:p>
    <w:p w14:paraId="60E8E27D" w14:textId="77777777" w:rsidR="003F223C" w:rsidRDefault="003F223C">
      <w:pPr>
        <w:pStyle w:val="Standard"/>
        <w:spacing w:after="198" w:line="288" w:lineRule="auto"/>
        <w:jc w:val="both"/>
        <w:outlineLvl w:val="0"/>
      </w:pPr>
    </w:p>
    <w:p w14:paraId="6145AF53" w14:textId="77777777" w:rsidR="003F223C" w:rsidRDefault="003F223C">
      <w:pPr>
        <w:pStyle w:val="Standard"/>
        <w:spacing w:after="198" w:line="288" w:lineRule="auto"/>
        <w:jc w:val="both"/>
        <w:outlineLvl w:val="0"/>
      </w:pPr>
    </w:p>
    <w:p w14:paraId="4963DBCB" w14:textId="77777777" w:rsidR="003F223C" w:rsidRDefault="003F223C">
      <w:pPr>
        <w:pStyle w:val="Standard"/>
        <w:spacing w:after="198" w:line="288" w:lineRule="auto"/>
        <w:jc w:val="both"/>
        <w:outlineLvl w:val="0"/>
      </w:pPr>
    </w:p>
    <w:p w14:paraId="16F3D004" w14:textId="77777777" w:rsidR="003F223C" w:rsidRDefault="003F223C">
      <w:pPr>
        <w:pStyle w:val="Standard"/>
        <w:spacing w:after="198" w:line="288" w:lineRule="auto"/>
        <w:jc w:val="both"/>
        <w:outlineLvl w:val="0"/>
      </w:pPr>
    </w:p>
    <w:p w14:paraId="227FF80E" w14:textId="77777777" w:rsidR="003F223C" w:rsidRDefault="003F223C">
      <w:pPr>
        <w:pStyle w:val="Standard"/>
        <w:spacing w:after="198" w:line="288" w:lineRule="auto"/>
        <w:jc w:val="both"/>
        <w:outlineLvl w:val="0"/>
      </w:pPr>
    </w:p>
    <w:p w14:paraId="225BF952" w14:textId="77777777" w:rsidR="003F223C" w:rsidRDefault="003F223C">
      <w:pPr>
        <w:pStyle w:val="Standard"/>
        <w:spacing w:after="198" w:line="288" w:lineRule="auto"/>
        <w:jc w:val="both"/>
        <w:outlineLvl w:val="0"/>
      </w:pPr>
    </w:p>
    <w:p w14:paraId="2C58E179" w14:textId="77777777" w:rsidR="003F223C" w:rsidRDefault="00B66A92">
      <w:pPr>
        <w:pStyle w:val="Standard"/>
        <w:spacing w:after="198" w:line="288" w:lineRule="auto"/>
        <w:jc w:val="both"/>
        <w:outlineLvl w:val="0"/>
      </w:pPr>
      <w:r>
        <w:rPr>
          <w:rStyle w:val="Ninguno"/>
          <w:b/>
          <w:bCs/>
        </w:rPr>
        <w:lastRenderedPageBreak/>
        <w:t xml:space="preserve">- Documentación Administrativa. Nueva Época. Número 15. </w:t>
      </w:r>
      <w:proofErr w:type="gramStart"/>
      <w:r>
        <w:rPr>
          <w:rStyle w:val="Ninguno"/>
          <w:b/>
          <w:bCs/>
        </w:rPr>
        <w:t>Diciembre</w:t>
      </w:r>
      <w:proofErr w:type="gramEnd"/>
      <w:r>
        <w:rPr>
          <w:rStyle w:val="Ninguno"/>
          <w:b/>
          <w:bCs/>
        </w:rPr>
        <w:t xml:space="preserve"> 2025. </w:t>
      </w:r>
    </w:p>
    <w:p w14:paraId="68CEB366" w14:textId="77777777" w:rsidR="003F223C" w:rsidRDefault="00B66A92">
      <w:pPr>
        <w:pStyle w:val="Standard"/>
        <w:spacing w:after="198" w:line="288" w:lineRule="auto"/>
        <w:jc w:val="both"/>
        <w:outlineLvl w:val="0"/>
      </w:pPr>
      <w:r>
        <w:rPr>
          <w:noProof/>
        </w:rPr>
        <w:drawing>
          <wp:anchor distT="0" distB="0" distL="0" distR="0" simplePos="0" relativeHeight="132" behindDoc="0" locked="0" layoutInCell="0" allowOverlap="1" wp14:anchorId="6637A37A" wp14:editId="7F8775A1">
            <wp:simplePos x="0" y="0"/>
            <wp:positionH relativeFrom="column">
              <wp:posOffset>157480</wp:posOffset>
            </wp:positionH>
            <wp:positionV relativeFrom="paragraph">
              <wp:posOffset>635</wp:posOffset>
            </wp:positionV>
            <wp:extent cx="1809750" cy="2705100"/>
            <wp:effectExtent l="0" t="0" r="0" b="0"/>
            <wp:wrapSquare wrapText="largest"/>
            <wp:docPr id="3" name="Irudi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rudia3"/>
                    <pic:cNvPicPr>
                      <a:picLocks noChangeAspect="1" noChangeArrowheads="1"/>
                    </pic:cNvPicPr>
                  </pic:nvPicPr>
                  <pic:blipFill>
                    <a:blip r:embed="rId206"/>
                    <a:stretch>
                      <a:fillRect/>
                    </a:stretch>
                  </pic:blipFill>
                  <pic:spPr bwMode="auto">
                    <a:xfrm>
                      <a:off x="0" y="0"/>
                      <a:ext cx="1809750" cy="2705100"/>
                    </a:xfrm>
                    <a:prstGeom prst="rect">
                      <a:avLst/>
                    </a:prstGeom>
                  </pic:spPr>
                </pic:pic>
              </a:graphicData>
            </a:graphic>
          </wp:anchor>
        </w:drawing>
      </w:r>
    </w:p>
    <w:p w14:paraId="5CC55098" w14:textId="77777777" w:rsidR="003F223C" w:rsidRDefault="003F223C">
      <w:pPr>
        <w:pStyle w:val="Standard"/>
        <w:spacing w:after="198" w:line="288" w:lineRule="auto"/>
        <w:jc w:val="both"/>
        <w:outlineLvl w:val="0"/>
        <w:rPr>
          <w:b/>
          <w:bCs/>
          <w:color w:val="365F91"/>
          <w:sz w:val="28"/>
          <w:szCs w:val="28"/>
        </w:rPr>
      </w:pPr>
    </w:p>
    <w:p w14:paraId="18B1B508" w14:textId="77777777" w:rsidR="003F223C" w:rsidRDefault="003F223C">
      <w:pPr>
        <w:pStyle w:val="Standard"/>
        <w:spacing w:after="198" w:line="288" w:lineRule="auto"/>
        <w:jc w:val="both"/>
        <w:outlineLvl w:val="0"/>
        <w:rPr>
          <w:b/>
          <w:bCs/>
          <w:color w:val="365F91"/>
          <w:sz w:val="28"/>
          <w:szCs w:val="28"/>
        </w:rPr>
      </w:pPr>
    </w:p>
    <w:p w14:paraId="747AB744" w14:textId="77777777" w:rsidR="003F223C" w:rsidRDefault="003F223C">
      <w:pPr>
        <w:pStyle w:val="Standard"/>
        <w:spacing w:after="198" w:line="288" w:lineRule="auto"/>
        <w:jc w:val="both"/>
        <w:outlineLvl w:val="0"/>
        <w:rPr>
          <w:b/>
          <w:bCs/>
          <w:color w:val="365F91"/>
          <w:sz w:val="28"/>
          <w:szCs w:val="28"/>
        </w:rPr>
      </w:pPr>
    </w:p>
    <w:p w14:paraId="22D590DC" w14:textId="77777777" w:rsidR="003F223C" w:rsidRDefault="003F223C">
      <w:pPr>
        <w:pStyle w:val="Standard"/>
        <w:spacing w:after="198" w:line="288" w:lineRule="auto"/>
        <w:jc w:val="both"/>
        <w:outlineLvl w:val="0"/>
        <w:rPr>
          <w:b/>
          <w:bCs/>
          <w:color w:val="365F91"/>
          <w:sz w:val="28"/>
          <w:szCs w:val="28"/>
        </w:rPr>
      </w:pPr>
    </w:p>
    <w:p w14:paraId="762303C9" w14:textId="77777777" w:rsidR="003F223C" w:rsidRDefault="003F223C">
      <w:pPr>
        <w:pStyle w:val="Standard"/>
        <w:spacing w:after="198" w:line="288" w:lineRule="auto"/>
        <w:jc w:val="both"/>
        <w:outlineLvl w:val="0"/>
        <w:rPr>
          <w:b/>
          <w:bCs/>
          <w:color w:val="365F91"/>
          <w:sz w:val="28"/>
          <w:szCs w:val="28"/>
        </w:rPr>
      </w:pPr>
    </w:p>
    <w:p w14:paraId="38553B3E" w14:textId="77777777" w:rsidR="003F223C" w:rsidRDefault="003F223C">
      <w:pPr>
        <w:pStyle w:val="Standard"/>
        <w:spacing w:after="198" w:line="288" w:lineRule="auto"/>
        <w:jc w:val="both"/>
        <w:outlineLvl w:val="0"/>
        <w:rPr>
          <w:b/>
          <w:bCs/>
          <w:color w:val="365F91"/>
          <w:sz w:val="28"/>
          <w:szCs w:val="28"/>
        </w:rPr>
      </w:pPr>
    </w:p>
    <w:p w14:paraId="18B4A415" w14:textId="77777777" w:rsidR="003F223C" w:rsidRDefault="00B66A92">
      <w:pPr>
        <w:pStyle w:val="Standard"/>
        <w:spacing w:after="198" w:line="288" w:lineRule="auto"/>
        <w:jc w:val="both"/>
        <w:outlineLvl w:val="0"/>
      </w:pPr>
      <w:r>
        <w:rPr>
          <w:rStyle w:val="Ninguno"/>
          <w:color w:val="auto"/>
        </w:rPr>
        <w:t xml:space="preserve">DOI: </w:t>
      </w:r>
      <w:hyperlink r:id="rId207">
        <w:r w:rsidRPr="004F1741">
          <w:rPr>
            <w:rStyle w:val="Hyperlink0"/>
          </w:rPr>
          <w:t xml:space="preserve">https://doi.org/10.24965/da.15.2025 </w:t>
        </w:r>
      </w:hyperlink>
    </w:p>
    <w:p w14:paraId="6034C32C" w14:textId="77777777" w:rsidR="00A80019" w:rsidRDefault="00A80019">
      <w:pPr>
        <w:pStyle w:val="Standard"/>
        <w:spacing w:after="198" w:line="288" w:lineRule="auto"/>
        <w:jc w:val="both"/>
        <w:outlineLvl w:val="0"/>
        <w:rPr>
          <w:rStyle w:val="Ninguno"/>
          <w:b/>
          <w:bCs/>
          <w:color w:val="auto"/>
        </w:rPr>
      </w:pPr>
    </w:p>
    <w:p w14:paraId="6507805C" w14:textId="25E1BDA2" w:rsidR="003F223C" w:rsidRDefault="00B66A92">
      <w:pPr>
        <w:pStyle w:val="Standard"/>
        <w:spacing w:after="198" w:line="288" w:lineRule="auto"/>
        <w:jc w:val="both"/>
        <w:outlineLvl w:val="0"/>
      </w:pPr>
      <w:r>
        <w:rPr>
          <w:rStyle w:val="Ninguno"/>
          <w:b/>
          <w:bCs/>
          <w:color w:val="auto"/>
        </w:rPr>
        <w:t xml:space="preserve">- Gestión y Análisis de Políticas Públicas. Nueva época. Número 39. </w:t>
      </w:r>
      <w:proofErr w:type="gramStart"/>
      <w:r>
        <w:rPr>
          <w:rStyle w:val="Ninguno"/>
          <w:b/>
          <w:bCs/>
          <w:color w:val="auto"/>
        </w:rPr>
        <w:t>Noviembre</w:t>
      </w:r>
      <w:proofErr w:type="gramEnd"/>
      <w:r>
        <w:rPr>
          <w:rStyle w:val="Ninguno"/>
          <w:b/>
          <w:bCs/>
          <w:color w:val="auto"/>
        </w:rPr>
        <w:t xml:space="preserve"> 2025.</w:t>
      </w:r>
    </w:p>
    <w:p w14:paraId="6BD4353E" w14:textId="77777777" w:rsidR="003F223C" w:rsidRDefault="00B66A92">
      <w:pPr>
        <w:pStyle w:val="Standard"/>
        <w:spacing w:after="198" w:line="288" w:lineRule="auto"/>
        <w:jc w:val="both"/>
        <w:outlineLvl w:val="0"/>
        <w:rPr>
          <w:b/>
          <w:bCs/>
          <w:color w:val="365F91"/>
          <w:sz w:val="28"/>
          <w:szCs w:val="28"/>
        </w:rPr>
      </w:pPr>
      <w:r>
        <w:rPr>
          <w:b/>
          <w:bCs/>
          <w:noProof/>
          <w:color w:val="365F91"/>
          <w:sz w:val="28"/>
          <w:szCs w:val="28"/>
        </w:rPr>
        <w:drawing>
          <wp:anchor distT="0" distB="0" distL="0" distR="0" simplePos="0" relativeHeight="133" behindDoc="0" locked="0" layoutInCell="0" allowOverlap="1" wp14:anchorId="0AB89A6D" wp14:editId="670901AA">
            <wp:simplePos x="0" y="0"/>
            <wp:positionH relativeFrom="column">
              <wp:posOffset>210820</wp:posOffset>
            </wp:positionH>
            <wp:positionV relativeFrom="paragraph">
              <wp:posOffset>635</wp:posOffset>
            </wp:positionV>
            <wp:extent cx="1857375" cy="2705100"/>
            <wp:effectExtent l="0" t="0" r="0" b="0"/>
            <wp:wrapSquare wrapText="largest"/>
            <wp:docPr id="4" name="Irudi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rudia4"/>
                    <pic:cNvPicPr>
                      <a:picLocks noChangeAspect="1" noChangeArrowheads="1"/>
                    </pic:cNvPicPr>
                  </pic:nvPicPr>
                  <pic:blipFill>
                    <a:blip r:embed="rId208"/>
                    <a:stretch>
                      <a:fillRect/>
                    </a:stretch>
                  </pic:blipFill>
                  <pic:spPr bwMode="auto">
                    <a:xfrm>
                      <a:off x="0" y="0"/>
                      <a:ext cx="1857375" cy="2705100"/>
                    </a:xfrm>
                    <a:prstGeom prst="rect">
                      <a:avLst/>
                    </a:prstGeom>
                  </pic:spPr>
                </pic:pic>
              </a:graphicData>
            </a:graphic>
          </wp:anchor>
        </w:drawing>
      </w:r>
    </w:p>
    <w:p w14:paraId="470B73F9" w14:textId="77777777" w:rsidR="003F223C" w:rsidRDefault="003F223C">
      <w:pPr>
        <w:pStyle w:val="Standard"/>
        <w:spacing w:after="198" w:line="288" w:lineRule="auto"/>
        <w:jc w:val="both"/>
        <w:outlineLvl w:val="0"/>
        <w:rPr>
          <w:b/>
          <w:bCs/>
          <w:color w:val="365F91"/>
          <w:sz w:val="28"/>
          <w:szCs w:val="28"/>
        </w:rPr>
      </w:pPr>
    </w:p>
    <w:p w14:paraId="1D6CF964" w14:textId="77777777" w:rsidR="003F223C" w:rsidRDefault="003F223C">
      <w:pPr>
        <w:pStyle w:val="Standard"/>
        <w:spacing w:after="198" w:line="288" w:lineRule="auto"/>
        <w:jc w:val="both"/>
        <w:outlineLvl w:val="0"/>
        <w:rPr>
          <w:b/>
          <w:bCs/>
          <w:color w:val="365F91"/>
          <w:sz w:val="28"/>
          <w:szCs w:val="28"/>
        </w:rPr>
      </w:pPr>
    </w:p>
    <w:p w14:paraId="78A83450" w14:textId="77777777" w:rsidR="003F223C" w:rsidRDefault="003F223C">
      <w:pPr>
        <w:pStyle w:val="Standard"/>
        <w:spacing w:after="198" w:line="288" w:lineRule="auto"/>
        <w:jc w:val="both"/>
        <w:outlineLvl w:val="0"/>
        <w:rPr>
          <w:b/>
          <w:bCs/>
          <w:color w:val="365F91"/>
          <w:sz w:val="28"/>
          <w:szCs w:val="28"/>
        </w:rPr>
      </w:pPr>
    </w:p>
    <w:p w14:paraId="67EBC9BC" w14:textId="77777777" w:rsidR="003F223C" w:rsidRDefault="003F223C">
      <w:pPr>
        <w:pStyle w:val="Standard"/>
        <w:spacing w:after="198" w:line="288" w:lineRule="auto"/>
        <w:jc w:val="both"/>
        <w:outlineLvl w:val="0"/>
        <w:rPr>
          <w:b/>
          <w:bCs/>
          <w:color w:val="365F91"/>
          <w:sz w:val="28"/>
          <w:szCs w:val="28"/>
        </w:rPr>
      </w:pPr>
    </w:p>
    <w:p w14:paraId="5BA7280F" w14:textId="77777777" w:rsidR="003F223C" w:rsidRDefault="003F223C">
      <w:pPr>
        <w:pStyle w:val="Standard"/>
        <w:spacing w:after="198" w:line="288" w:lineRule="auto"/>
        <w:jc w:val="both"/>
        <w:outlineLvl w:val="0"/>
        <w:rPr>
          <w:b/>
          <w:bCs/>
          <w:color w:val="365F91"/>
          <w:sz w:val="28"/>
          <w:szCs w:val="28"/>
        </w:rPr>
      </w:pPr>
    </w:p>
    <w:p w14:paraId="36B89D78" w14:textId="77777777" w:rsidR="003F223C" w:rsidRDefault="003F223C">
      <w:pPr>
        <w:pStyle w:val="Standard"/>
        <w:spacing w:after="198" w:line="288" w:lineRule="auto"/>
        <w:jc w:val="both"/>
        <w:outlineLvl w:val="0"/>
        <w:rPr>
          <w:b/>
          <w:bCs/>
          <w:color w:val="365F91"/>
          <w:sz w:val="28"/>
          <w:szCs w:val="28"/>
        </w:rPr>
      </w:pPr>
    </w:p>
    <w:p w14:paraId="6C0DB98D" w14:textId="77777777" w:rsidR="003F223C" w:rsidRDefault="00B66A92" w:rsidP="00A80019">
      <w:pPr>
        <w:spacing w:after="198" w:line="288" w:lineRule="auto"/>
        <w:outlineLvl w:val="0"/>
      </w:pPr>
      <w:r>
        <w:rPr>
          <w:rStyle w:val="Ninguno"/>
          <w:rFonts w:ascii="Calibri" w:hAnsi="Calibri"/>
          <w:sz w:val="22"/>
          <w:szCs w:val="22"/>
          <w:lang w:val="es-ES_tradnl"/>
        </w:rPr>
        <w:t xml:space="preserve">DOI: </w:t>
      </w:r>
      <w:hyperlink r:id="rId209">
        <w:r w:rsidRPr="004F1741">
          <w:rPr>
            <w:rStyle w:val="Hyperlink0"/>
            <w:rFonts w:ascii="Calibri" w:eastAsia="Calibri" w:hAnsi="Calibri" w:cs="Calibri"/>
            <w:sz w:val="22"/>
            <w:szCs w:val="22"/>
            <w:lang w:val="es-ES_tradnl" w:eastAsia="zh-CN" w:bidi="hi-IN"/>
          </w:rPr>
          <w:t xml:space="preserve">https://doi.org/10.24965/gapp.39.2025 </w:t>
        </w:r>
      </w:hyperlink>
    </w:p>
    <w:p w14:paraId="4E4F995C" w14:textId="77777777" w:rsidR="00A80019" w:rsidRDefault="00A80019">
      <w:pPr>
        <w:suppressAutoHyphens/>
        <w:overflowPunct/>
        <w:rPr>
          <w:rStyle w:val="Ninguno"/>
          <w:rFonts w:ascii="Calibri" w:eastAsia="Calibri" w:hAnsi="Calibri" w:cs="Calibri"/>
          <w:b/>
          <w:bCs/>
          <w:color w:val="365F91"/>
          <w:sz w:val="28"/>
          <w:szCs w:val="28"/>
          <w:lang w:val="es-ES_tradnl" w:eastAsia="zh-CN" w:bidi="hi-IN"/>
        </w:rPr>
      </w:pPr>
      <w:r>
        <w:rPr>
          <w:rStyle w:val="Ninguno"/>
          <w:b/>
          <w:bCs/>
          <w:color w:val="365F91"/>
          <w:sz w:val="28"/>
          <w:szCs w:val="28"/>
        </w:rPr>
        <w:br w:type="page"/>
      </w:r>
    </w:p>
    <w:p w14:paraId="0229DA5F" w14:textId="63304839" w:rsidR="003F223C" w:rsidRDefault="00B66A92">
      <w:pPr>
        <w:pStyle w:val="Standard"/>
        <w:spacing w:after="198" w:line="288" w:lineRule="auto"/>
        <w:jc w:val="both"/>
        <w:outlineLvl w:val="0"/>
        <w:rPr>
          <w:b/>
          <w:bCs/>
          <w:color w:val="365F91"/>
          <w:sz w:val="28"/>
          <w:szCs w:val="28"/>
        </w:rPr>
      </w:pPr>
      <w:r>
        <w:rPr>
          <w:rStyle w:val="Ninguno"/>
          <w:b/>
          <w:bCs/>
          <w:color w:val="365F91"/>
          <w:sz w:val="28"/>
          <w:szCs w:val="28"/>
        </w:rPr>
        <w:lastRenderedPageBreak/>
        <w:t>CONVOCATORIAS DE INTERÉS</w:t>
      </w:r>
    </w:p>
    <w:p w14:paraId="1AAB2A28" w14:textId="77777777" w:rsidR="003F223C" w:rsidRDefault="00B66A92">
      <w:pPr>
        <w:pStyle w:val="Standard"/>
        <w:spacing w:after="198" w:line="288" w:lineRule="auto"/>
        <w:jc w:val="both"/>
        <w:outlineLvl w:val="0"/>
      </w:pPr>
      <w:r>
        <w:rPr>
          <w:noProof/>
        </w:rPr>
        <w:drawing>
          <wp:anchor distT="0" distB="0" distL="0" distR="0" simplePos="0" relativeHeight="134" behindDoc="0" locked="0" layoutInCell="0" allowOverlap="1" wp14:anchorId="5F91CE31" wp14:editId="77A01C2B">
            <wp:simplePos x="0" y="0"/>
            <wp:positionH relativeFrom="column">
              <wp:posOffset>133985</wp:posOffset>
            </wp:positionH>
            <wp:positionV relativeFrom="paragraph">
              <wp:posOffset>340995</wp:posOffset>
            </wp:positionV>
            <wp:extent cx="2691765" cy="2181225"/>
            <wp:effectExtent l="0" t="0" r="0" b="0"/>
            <wp:wrapSquare wrapText="largest"/>
            <wp:docPr id="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pic:cNvPicPr>
                      <a:picLocks noChangeAspect="1" noChangeArrowheads="1"/>
                    </pic:cNvPicPr>
                  </pic:nvPicPr>
                  <pic:blipFill>
                    <a:blip r:embed="rId210"/>
                    <a:stretch>
                      <a:fillRect/>
                    </a:stretch>
                  </pic:blipFill>
                  <pic:spPr bwMode="auto">
                    <a:xfrm>
                      <a:off x="0" y="0"/>
                      <a:ext cx="2691765" cy="2181225"/>
                    </a:xfrm>
                    <a:prstGeom prst="rect">
                      <a:avLst/>
                    </a:prstGeom>
                  </pic:spPr>
                </pic:pic>
              </a:graphicData>
            </a:graphic>
          </wp:anchor>
        </w:drawing>
      </w:r>
      <w:r>
        <w:rPr>
          <w:rStyle w:val="Ninguno"/>
          <w:b/>
          <w:bCs/>
        </w:rPr>
        <w:t>- Ciclo de seminarios de actualización jurídica local, mayo 2026.</w:t>
      </w:r>
    </w:p>
    <w:p w14:paraId="337D0A7D" w14:textId="77777777" w:rsidR="003F223C" w:rsidRDefault="003F223C">
      <w:pPr>
        <w:pStyle w:val="Standard"/>
        <w:spacing w:after="198" w:line="288" w:lineRule="auto"/>
        <w:jc w:val="both"/>
        <w:outlineLvl w:val="0"/>
        <w:rPr>
          <w:rStyle w:val="Ninguno"/>
          <w:b/>
          <w:bCs/>
        </w:rPr>
      </w:pPr>
    </w:p>
    <w:p w14:paraId="5F08329A" w14:textId="77777777" w:rsidR="003F223C" w:rsidRDefault="003F223C">
      <w:pPr>
        <w:pStyle w:val="Standard"/>
        <w:spacing w:after="198" w:line="288" w:lineRule="auto"/>
        <w:jc w:val="both"/>
        <w:outlineLvl w:val="0"/>
        <w:rPr>
          <w:rStyle w:val="Ninguno"/>
          <w:b/>
          <w:bCs/>
        </w:rPr>
      </w:pPr>
    </w:p>
    <w:p w14:paraId="588A2BF0" w14:textId="77777777" w:rsidR="003F223C" w:rsidRDefault="003F223C">
      <w:pPr>
        <w:pStyle w:val="Standard"/>
        <w:spacing w:after="198" w:line="288" w:lineRule="auto"/>
        <w:jc w:val="both"/>
        <w:outlineLvl w:val="0"/>
        <w:rPr>
          <w:rStyle w:val="Ninguno"/>
          <w:b/>
          <w:bCs/>
        </w:rPr>
      </w:pPr>
    </w:p>
    <w:p w14:paraId="47C488E7" w14:textId="77777777" w:rsidR="003F223C" w:rsidRDefault="003F223C">
      <w:pPr>
        <w:pStyle w:val="Standard"/>
        <w:spacing w:after="198" w:line="288" w:lineRule="auto"/>
        <w:jc w:val="both"/>
        <w:outlineLvl w:val="0"/>
        <w:rPr>
          <w:rStyle w:val="Ninguno"/>
          <w:b/>
          <w:bCs/>
        </w:rPr>
      </w:pPr>
    </w:p>
    <w:p w14:paraId="59C4E347" w14:textId="77777777" w:rsidR="003F223C" w:rsidRDefault="003F223C">
      <w:pPr>
        <w:pStyle w:val="Standard"/>
        <w:spacing w:after="198" w:line="288" w:lineRule="auto"/>
        <w:jc w:val="both"/>
        <w:outlineLvl w:val="0"/>
        <w:rPr>
          <w:rStyle w:val="Ninguno"/>
          <w:b/>
          <w:bCs/>
        </w:rPr>
      </w:pPr>
    </w:p>
    <w:p w14:paraId="71500111" w14:textId="77777777" w:rsidR="003F223C" w:rsidRDefault="003F223C">
      <w:pPr>
        <w:pStyle w:val="Standard"/>
        <w:spacing w:after="198" w:line="288" w:lineRule="auto"/>
        <w:jc w:val="both"/>
        <w:outlineLvl w:val="0"/>
        <w:rPr>
          <w:rStyle w:val="Ninguno"/>
          <w:b/>
          <w:bCs/>
        </w:rPr>
      </w:pPr>
    </w:p>
    <w:p w14:paraId="2545E70F" w14:textId="77777777" w:rsidR="003F223C" w:rsidRDefault="003F223C">
      <w:pPr>
        <w:pStyle w:val="Standard"/>
        <w:spacing w:after="198" w:line="288" w:lineRule="auto"/>
        <w:jc w:val="both"/>
        <w:outlineLvl w:val="0"/>
        <w:rPr>
          <w:rStyle w:val="Ninguno"/>
          <w:b/>
          <w:bCs/>
        </w:rPr>
      </w:pPr>
    </w:p>
    <w:p w14:paraId="05BDE3EC" w14:textId="77777777" w:rsidR="003F223C" w:rsidRDefault="00B66A92" w:rsidP="00A80019">
      <w:pPr>
        <w:pStyle w:val="Standard"/>
        <w:spacing w:after="80" w:line="240" w:lineRule="auto"/>
        <w:jc w:val="both"/>
        <w:outlineLvl w:val="0"/>
      </w:pPr>
      <w:r>
        <w:rPr>
          <w:rStyle w:val="Ninguno"/>
        </w:rPr>
        <w:t xml:space="preserve">Más información: </w:t>
      </w:r>
    </w:p>
    <w:p w14:paraId="60DD946C" w14:textId="77777777" w:rsidR="003F223C" w:rsidRPr="004F1741" w:rsidRDefault="00B66A92">
      <w:pPr>
        <w:pStyle w:val="Standard"/>
        <w:spacing w:after="198" w:line="288" w:lineRule="auto"/>
        <w:jc w:val="both"/>
        <w:outlineLvl w:val="0"/>
        <w:rPr>
          <w:rStyle w:val="Hyperlink0"/>
        </w:rPr>
      </w:pPr>
      <w:hyperlink r:id="rId211">
        <w:r w:rsidRPr="004F1741">
          <w:rPr>
            <w:rStyle w:val="Hyperlink0"/>
          </w:rPr>
          <w:t>https://gobiernolocal.org/Actividades/Cicle_JME/2026/ProgramaJME2026_esp.pdf</w:t>
        </w:r>
      </w:hyperlink>
    </w:p>
    <w:p w14:paraId="2F93DC36" w14:textId="77777777" w:rsidR="003F223C" w:rsidRDefault="00B66A92">
      <w:pPr>
        <w:pStyle w:val="Standard"/>
        <w:spacing w:after="198" w:line="288" w:lineRule="auto"/>
        <w:jc w:val="both"/>
        <w:outlineLvl w:val="0"/>
      </w:pPr>
      <w:r>
        <w:rPr>
          <w:rStyle w:val="Ninguno"/>
          <w:b/>
          <w:bCs/>
        </w:rPr>
        <w:t>- «XXV Congreso Ítalo-Español de Profesores de Derecho Administrativo. 60 años de diálogo entre Italia y España»</w:t>
      </w:r>
    </w:p>
    <w:p w14:paraId="5673C973" w14:textId="77777777" w:rsidR="003F223C" w:rsidRDefault="00B66A92">
      <w:pPr>
        <w:pStyle w:val="Gorputz-testua"/>
        <w:spacing w:after="0" w:line="288" w:lineRule="auto"/>
        <w:jc w:val="both"/>
        <w:rPr>
          <w:rFonts w:ascii="Calibri" w:eastAsia="Calibri" w:hAnsi="Calibri" w:cs="Calibri"/>
          <w:b/>
          <w:bCs/>
          <w:sz w:val="22"/>
          <w:szCs w:val="22"/>
          <w:lang w:val="es-ES_tradnl"/>
        </w:rPr>
      </w:pPr>
      <w:r>
        <w:rPr>
          <w:rFonts w:ascii="Calibri" w:eastAsia="Calibri" w:hAnsi="Calibri" w:cs="Calibri"/>
          <w:b/>
          <w:bCs/>
          <w:noProof/>
          <w:sz w:val="22"/>
          <w:szCs w:val="22"/>
          <w:lang w:val="es-ES_tradnl"/>
        </w:rPr>
        <w:drawing>
          <wp:anchor distT="0" distB="0" distL="0" distR="0" simplePos="0" relativeHeight="135" behindDoc="0" locked="0" layoutInCell="0" allowOverlap="1" wp14:anchorId="54658CD0" wp14:editId="56D7F6AE">
            <wp:simplePos x="0" y="0"/>
            <wp:positionH relativeFrom="column">
              <wp:posOffset>80010</wp:posOffset>
            </wp:positionH>
            <wp:positionV relativeFrom="paragraph">
              <wp:posOffset>-69850</wp:posOffset>
            </wp:positionV>
            <wp:extent cx="1851025" cy="2733040"/>
            <wp:effectExtent l="0" t="0" r="0" b="0"/>
            <wp:wrapSquare wrapText="largest"/>
            <wp:docPr id="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pic:cNvPicPr>
                      <a:picLocks noChangeAspect="1" noChangeArrowheads="1"/>
                    </pic:cNvPicPr>
                  </pic:nvPicPr>
                  <pic:blipFill>
                    <a:blip r:embed="rId212"/>
                    <a:stretch>
                      <a:fillRect/>
                    </a:stretch>
                  </pic:blipFill>
                  <pic:spPr bwMode="auto">
                    <a:xfrm>
                      <a:off x="0" y="0"/>
                      <a:ext cx="1851025" cy="2733040"/>
                    </a:xfrm>
                    <a:prstGeom prst="rect">
                      <a:avLst/>
                    </a:prstGeom>
                  </pic:spPr>
                </pic:pic>
              </a:graphicData>
            </a:graphic>
          </wp:anchor>
        </w:drawing>
      </w:r>
    </w:p>
    <w:p w14:paraId="330425B5" w14:textId="77777777" w:rsidR="003F223C" w:rsidRDefault="003F223C">
      <w:pPr>
        <w:pStyle w:val="Standard"/>
        <w:spacing w:after="198" w:line="288" w:lineRule="auto"/>
        <w:jc w:val="both"/>
        <w:outlineLvl w:val="0"/>
        <w:rPr>
          <w:rStyle w:val="Ninguno"/>
          <w:b/>
          <w:bCs/>
        </w:rPr>
      </w:pPr>
    </w:p>
    <w:p w14:paraId="41275DEE" w14:textId="77777777" w:rsidR="003F223C" w:rsidRDefault="003F223C">
      <w:pPr>
        <w:pStyle w:val="Standard"/>
        <w:spacing w:after="198" w:line="288" w:lineRule="auto"/>
        <w:jc w:val="both"/>
        <w:outlineLvl w:val="0"/>
        <w:rPr>
          <w:rStyle w:val="Ninguno"/>
          <w:b/>
          <w:bCs/>
        </w:rPr>
      </w:pPr>
    </w:p>
    <w:p w14:paraId="1E4B50C0" w14:textId="77777777" w:rsidR="003F223C" w:rsidRDefault="003F223C">
      <w:pPr>
        <w:pStyle w:val="Standard"/>
        <w:spacing w:after="198" w:line="288" w:lineRule="auto"/>
        <w:jc w:val="both"/>
        <w:outlineLvl w:val="0"/>
        <w:rPr>
          <w:rStyle w:val="Ninguno"/>
          <w:b/>
          <w:bCs/>
        </w:rPr>
      </w:pPr>
    </w:p>
    <w:p w14:paraId="4A658EB2" w14:textId="77777777" w:rsidR="003F223C" w:rsidRDefault="003F223C">
      <w:pPr>
        <w:pStyle w:val="Standard"/>
        <w:spacing w:after="198" w:line="288" w:lineRule="auto"/>
        <w:jc w:val="both"/>
        <w:outlineLvl w:val="0"/>
        <w:rPr>
          <w:rStyle w:val="Ninguno"/>
          <w:b/>
          <w:bCs/>
        </w:rPr>
      </w:pPr>
    </w:p>
    <w:p w14:paraId="35201E4D" w14:textId="77777777" w:rsidR="003F223C" w:rsidRDefault="003F223C">
      <w:pPr>
        <w:pStyle w:val="Standard"/>
        <w:spacing w:after="198" w:line="288" w:lineRule="auto"/>
        <w:jc w:val="both"/>
        <w:outlineLvl w:val="0"/>
        <w:rPr>
          <w:rStyle w:val="Ninguno"/>
          <w:b/>
          <w:bCs/>
        </w:rPr>
      </w:pPr>
    </w:p>
    <w:p w14:paraId="2C374F6F" w14:textId="77777777" w:rsidR="003F223C" w:rsidRDefault="003F223C">
      <w:pPr>
        <w:pStyle w:val="Standard"/>
        <w:spacing w:after="198" w:line="288" w:lineRule="auto"/>
        <w:jc w:val="both"/>
        <w:outlineLvl w:val="0"/>
        <w:rPr>
          <w:rStyle w:val="Ninguno"/>
          <w:b/>
          <w:bCs/>
        </w:rPr>
      </w:pPr>
    </w:p>
    <w:p w14:paraId="60EF1889" w14:textId="77777777" w:rsidR="003F223C" w:rsidRDefault="003F223C">
      <w:pPr>
        <w:pStyle w:val="Standard"/>
        <w:spacing w:after="198" w:line="288" w:lineRule="auto"/>
        <w:jc w:val="both"/>
        <w:outlineLvl w:val="0"/>
        <w:rPr>
          <w:rStyle w:val="Ninguno"/>
          <w:b/>
          <w:bCs/>
        </w:rPr>
      </w:pPr>
    </w:p>
    <w:p w14:paraId="4F8D16FC" w14:textId="77777777" w:rsidR="003F223C" w:rsidRDefault="003F223C">
      <w:pPr>
        <w:pStyle w:val="Standard"/>
        <w:spacing w:after="198" w:line="288" w:lineRule="auto"/>
        <w:jc w:val="both"/>
        <w:outlineLvl w:val="0"/>
        <w:rPr>
          <w:rStyle w:val="Ninguno"/>
          <w:b/>
          <w:bCs/>
        </w:rPr>
      </w:pPr>
    </w:p>
    <w:p w14:paraId="72B7ABDE" w14:textId="77777777" w:rsidR="003F223C" w:rsidRDefault="00B66A92">
      <w:pPr>
        <w:pStyle w:val="Standard"/>
        <w:spacing w:after="198" w:line="288" w:lineRule="auto"/>
        <w:jc w:val="both"/>
        <w:outlineLvl w:val="0"/>
      </w:pPr>
      <w:r>
        <w:rPr>
          <w:rStyle w:val="Ninguno"/>
        </w:rPr>
        <w:t xml:space="preserve">Más información: </w:t>
      </w:r>
      <w:r w:rsidRPr="004F1741">
        <w:rPr>
          <w:rStyle w:val="Hyperlink0"/>
        </w:rPr>
        <w:t>https://gobiernolocal.org/xxv-congreso-italo-espanol-de-profesores-de-derecho-administrativo-60-anos-de-dialogo-entre-italia-y-espanabarcelona-del-4-al-6-de-junio-de-2026/</w:t>
      </w:r>
    </w:p>
    <w:sectPr w:rsidR="003F223C">
      <w:headerReference w:type="default" r:id="rId213"/>
      <w:footerReference w:type="default" r:id="rId214"/>
      <w:pgSz w:w="11906" w:h="16838"/>
      <w:pgMar w:top="1417" w:right="1701" w:bottom="1417" w:left="1701" w:header="720" w:footer="72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E243FF" w14:textId="77777777" w:rsidR="004402AC" w:rsidRDefault="004402AC">
      <w:r>
        <w:separator/>
      </w:r>
    </w:p>
  </w:endnote>
  <w:endnote w:type="continuationSeparator" w:id="0">
    <w:p w14:paraId="415C94A0" w14:textId="77777777" w:rsidR="004402AC" w:rsidRDefault="00440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font>
  <w:font w:name="Songti SC">
    <w:panose1 w:val="00000000000000000000"/>
    <w:charset w:val="00"/>
    <w:family w:val="roman"/>
    <w:notTrueType/>
    <w:pitch w:val="default"/>
  </w:font>
  <w:font w:name="OpenSymbol">
    <w:altName w:val="Cambria"/>
    <w:panose1 w:val="05010000000000000000"/>
    <w:charset w:val="00"/>
    <w:family w:val="auto"/>
    <w:pitch w:val="variable"/>
    <w:sig w:usb0="800000AF" w:usb1="1001ECEA" w:usb2="00000000" w:usb3="00000000" w:csb0="80000001"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E0827" w14:textId="77777777" w:rsidR="003F223C" w:rsidRDefault="00B66A92">
    <w:pPr>
      <w:pStyle w:val="Orri-oina"/>
      <w:tabs>
        <w:tab w:val="clear" w:pos="8504"/>
        <w:tab w:val="right" w:pos="8478"/>
      </w:tabs>
      <w:jc w:val="right"/>
    </w:pPr>
    <w:r>
      <w:rPr>
        <w:rStyle w:val="NingunoA"/>
      </w:rPr>
      <w:fldChar w:fldCharType="begin"/>
    </w:r>
    <w:r>
      <w:rPr>
        <w:rStyle w:val="NingunoA"/>
      </w:rPr>
      <w:instrText xml:space="preserve"> PAGE </w:instrText>
    </w:r>
    <w:r>
      <w:rPr>
        <w:rStyle w:val="NingunoA"/>
      </w:rPr>
      <w:fldChar w:fldCharType="separate"/>
    </w:r>
    <w:r>
      <w:rPr>
        <w:rStyle w:val="NingunoA"/>
      </w:rPr>
      <w:t>64</w:t>
    </w:r>
    <w:r>
      <w:rPr>
        <w:rStyle w:val="Ninguno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7BAE72" w14:textId="77777777" w:rsidR="004402AC" w:rsidRDefault="004402AC">
      <w:r>
        <w:separator/>
      </w:r>
    </w:p>
  </w:footnote>
  <w:footnote w:type="continuationSeparator" w:id="0">
    <w:p w14:paraId="4FC5E583" w14:textId="77777777" w:rsidR="004402AC" w:rsidRDefault="004402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6E3E2" w14:textId="77777777" w:rsidR="003F223C" w:rsidRDefault="003F223C">
    <w:pPr>
      <w:pStyle w:val="Goiburua"/>
      <w:tabs>
        <w:tab w:val="clear" w:pos="8504"/>
        <w:tab w:val="right" w:pos="8478"/>
      </w:tabs>
      <w:jc w:val="both"/>
    </w:pPr>
  </w:p>
  <w:p w14:paraId="42A11504" w14:textId="77777777" w:rsidR="003F223C" w:rsidRDefault="00B66A92">
    <w:pPr>
      <w:pStyle w:val="Goiburua"/>
      <w:tabs>
        <w:tab w:val="clear" w:pos="8504"/>
        <w:tab w:val="right" w:pos="8478"/>
      </w:tabs>
      <w:ind w:left="1276"/>
      <w:rPr>
        <w:rFonts w:ascii="Times New Roman" w:eastAsia="Times New Roman" w:hAnsi="Times New Roman" w:cs="Times New Roman"/>
        <w:kern w:val="2"/>
      </w:rPr>
    </w:pPr>
    <w:r>
      <w:rPr>
        <w:noProof/>
      </w:rPr>
      <w:drawing>
        <wp:inline distT="0" distB="0" distL="0" distR="0" wp14:anchorId="38DDB857" wp14:editId="2CF5AEC8">
          <wp:extent cx="1524000" cy="1019175"/>
          <wp:effectExtent l="0" t="0" r="0" b="0"/>
          <wp:docPr id="7" name="Irudia9"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rudia9" descr="Logotipo, nombre de la empresa&#10;&#10;Descripción generada automáticamente"/>
                  <pic:cNvPicPr>
                    <a:picLocks noChangeAspect="1" noChangeArrowheads="1"/>
                  </pic:cNvPicPr>
                </pic:nvPicPr>
                <pic:blipFill>
                  <a:blip r:embed="rId1"/>
                  <a:stretch>
                    <a:fillRect/>
                  </a:stretch>
                </pic:blipFill>
                <pic:spPr bwMode="auto">
                  <a:xfrm>
                    <a:off x="0" y="0"/>
                    <a:ext cx="1524000" cy="1019175"/>
                  </a:xfrm>
                  <a:prstGeom prst="rect">
                    <a:avLst/>
                  </a:prstGeom>
                </pic:spPr>
              </pic:pic>
            </a:graphicData>
          </a:graphic>
        </wp:inline>
      </w:drawing>
    </w:r>
    <w:r>
      <w:rPr>
        <w:rStyle w:val="Ninguno"/>
        <w:kern w:val="2"/>
      </w:rPr>
      <w:t xml:space="preserve"> </w:t>
    </w:r>
    <w:r>
      <w:rPr>
        <w:noProof/>
      </w:rPr>
      <w:drawing>
        <wp:inline distT="0" distB="0" distL="0" distR="0" wp14:anchorId="683F0BF1" wp14:editId="55B9FBDC">
          <wp:extent cx="1362075" cy="904875"/>
          <wp:effectExtent l="0" t="0" r="0" b="0"/>
          <wp:docPr id="8" name="Irudia10" descr="Logotipo, nombre de la empr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rudia10" descr="Logotipo, nombre de la empresa&#10;&#10;Descripción generada automáticamente con confianza media"/>
                  <pic:cNvPicPr>
                    <a:picLocks noChangeAspect="1" noChangeArrowheads="1"/>
                  </pic:cNvPicPr>
                </pic:nvPicPr>
                <pic:blipFill>
                  <a:blip r:embed="rId2"/>
                  <a:stretch>
                    <a:fillRect/>
                  </a:stretch>
                </pic:blipFill>
                <pic:spPr bwMode="auto">
                  <a:xfrm>
                    <a:off x="0" y="0"/>
                    <a:ext cx="1362075" cy="904875"/>
                  </a:xfrm>
                  <a:prstGeom prst="rect">
                    <a:avLst/>
                  </a:prstGeom>
                </pic:spPr>
              </pic:pic>
            </a:graphicData>
          </a:graphic>
        </wp:inline>
      </w:drawing>
    </w:r>
    <w:r>
      <w:rPr>
        <w:rStyle w:val="Ninguno"/>
        <w:kern w:val="2"/>
      </w:rPr>
      <w:t xml:space="preserve"> </w:t>
    </w:r>
  </w:p>
  <w:p w14:paraId="38B011F8" w14:textId="77777777" w:rsidR="003F223C" w:rsidRDefault="003F223C">
    <w:pPr>
      <w:pStyle w:val="CuerpoA"/>
      <w:tabs>
        <w:tab w:val="center" w:pos="4252"/>
        <w:tab w:val="right" w:pos="8478"/>
      </w:tabs>
      <w:suppressAutoHyphens/>
      <w:ind w:left="439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allowHyphenationAtTrackBottom" w:uri="http://schemas.microsoft.com/office/word" w:val="1"/>
    <w:compatSetting w:name="useWord2013TrackBottomHyphenation" w:uri="http://schemas.microsoft.com/office/word" w:val="1"/>
  </w:compat>
  <w:rsids>
    <w:rsidRoot w:val="003F223C"/>
    <w:rsid w:val="00004204"/>
    <w:rsid w:val="00022FBF"/>
    <w:rsid w:val="00023C10"/>
    <w:rsid w:val="000C39B3"/>
    <w:rsid w:val="00127105"/>
    <w:rsid w:val="001972A3"/>
    <w:rsid w:val="001D4587"/>
    <w:rsid w:val="001E0B18"/>
    <w:rsid w:val="002A21C4"/>
    <w:rsid w:val="002D6038"/>
    <w:rsid w:val="002F1165"/>
    <w:rsid w:val="00300B57"/>
    <w:rsid w:val="00373233"/>
    <w:rsid w:val="003B0B1D"/>
    <w:rsid w:val="003F223C"/>
    <w:rsid w:val="00433E88"/>
    <w:rsid w:val="004402AC"/>
    <w:rsid w:val="004C7CC2"/>
    <w:rsid w:val="004F1741"/>
    <w:rsid w:val="005E250F"/>
    <w:rsid w:val="005F7F49"/>
    <w:rsid w:val="0062002E"/>
    <w:rsid w:val="006E3DB2"/>
    <w:rsid w:val="006E7BB2"/>
    <w:rsid w:val="00764261"/>
    <w:rsid w:val="007F25D2"/>
    <w:rsid w:val="00882272"/>
    <w:rsid w:val="008D4324"/>
    <w:rsid w:val="00945392"/>
    <w:rsid w:val="009954D2"/>
    <w:rsid w:val="00A346D3"/>
    <w:rsid w:val="00A80019"/>
    <w:rsid w:val="00AB07D2"/>
    <w:rsid w:val="00B024B7"/>
    <w:rsid w:val="00B207FE"/>
    <w:rsid w:val="00B66A92"/>
    <w:rsid w:val="00B70D56"/>
    <w:rsid w:val="00B85AAF"/>
    <w:rsid w:val="00D05A02"/>
    <w:rsid w:val="00DF2EAC"/>
    <w:rsid w:val="00F12E53"/>
    <w:rsid w:val="00F26833"/>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F0769"/>
  <w15:docId w15:val="{49045736-040E-4A65-9F1F-C5AB0E6E2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lang w:val="es-E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a">
    <w:name w:val="Normal"/>
    <w:qFormat/>
    <w:pPr>
      <w:suppressAutoHyphens w:val="0"/>
      <w:overflowPunct w:val="0"/>
    </w:pPr>
    <w:rPr>
      <w:sz w:val="24"/>
      <w:szCs w:val="24"/>
      <w:lang w:val="en-US" w:eastAsia="en-US" w:bidi="ar-SA"/>
    </w:rPr>
  </w:style>
  <w:style w:type="paragraph" w:styleId="1izenburua">
    <w:name w:val="heading 1"/>
    <w:basedOn w:val="Izenburua"/>
    <w:next w:val="Gorputz-testua"/>
    <w:uiPriority w:val="9"/>
    <w:qFormat/>
    <w:pPr>
      <w:outlineLvl w:val="0"/>
    </w:pPr>
    <w:rPr>
      <w:rFonts w:ascii="Liberation Serif" w:eastAsia="Songti SC" w:hAnsi="Liberation Serif" w:cs="Arial Unicode MS"/>
      <w:b/>
      <w:bCs/>
      <w:sz w:val="48"/>
      <w:szCs w:val="48"/>
    </w:rPr>
  </w:style>
  <w:style w:type="paragraph" w:styleId="2izenburua">
    <w:name w:val="heading 2"/>
    <w:basedOn w:val="Izenburua"/>
    <w:next w:val="Gorputz-testua"/>
    <w:uiPriority w:val="9"/>
    <w:semiHidden/>
    <w:unhideWhenUsed/>
    <w:qFormat/>
    <w:pPr>
      <w:spacing w:before="200"/>
      <w:outlineLvl w:val="1"/>
    </w:pPr>
    <w:rPr>
      <w:rFonts w:ascii="Liberation Serif" w:eastAsia="Songti SC" w:hAnsi="Liberation Serif" w:cs="Arial Unicode MS"/>
      <w:b/>
      <w:bCs/>
      <w:sz w:val="36"/>
      <w:szCs w:val="36"/>
    </w:rPr>
  </w:style>
  <w:style w:type="character" w:default="1" w:styleId="Paragrafoarenletra-tipolehenetsia">
    <w:name w:val="Default Paragraph Font"/>
    <w:uiPriority w:val="1"/>
    <w:semiHidden/>
    <w:unhideWhenUsed/>
  </w:style>
  <w:style w:type="table" w:default="1" w:styleId="Taulanormala">
    <w:name w:val="Normal Table"/>
    <w:uiPriority w:val="99"/>
    <w:semiHidden/>
    <w:unhideWhenUsed/>
    <w:tblPr>
      <w:tblInd w:w="0" w:type="dxa"/>
      <w:tblCellMar>
        <w:top w:w="0" w:type="dxa"/>
        <w:left w:w="108" w:type="dxa"/>
        <w:bottom w:w="0" w:type="dxa"/>
        <w:right w:w="108" w:type="dxa"/>
      </w:tblCellMar>
    </w:tblPr>
  </w:style>
  <w:style w:type="numbering" w:default="1" w:styleId="Zerrendarikez">
    <w:name w:val="No List"/>
    <w:uiPriority w:val="99"/>
    <w:semiHidden/>
    <w:unhideWhenUsed/>
  </w:style>
  <w:style w:type="character" w:styleId="Hiperesteka">
    <w:name w:val="Hyperlink"/>
    <w:rPr>
      <w:u w:val="single" w:color="FFFFFF"/>
    </w:rPr>
  </w:style>
  <w:style w:type="character" w:customStyle="1" w:styleId="Ninguno">
    <w:name w:val="Ninguno"/>
    <w:qFormat/>
  </w:style>
  <w:style w:type="character" w:customStyle="1" w:styleId="NingunoA">
    <w:name w:val="Ninguno A"/>
    <w:basedOn w:val="Ninguno"/>
    <w:qFormat/>
  </w:style>
  <w:style w:type="character" w:customStyle="1" w:styleId="Hyperlink0">
    <w:name w:val="Hyperlink.0"/>
    <w:basedOn w:val="Hiperesteka"/>
    <w:qFormat/>
    <w:rPr>
      <w:outline w:val="0"/>
      <w:color w:val="0000FF"/>
      <w:u w:val="single" w:color="0000FF"/>
    </w:rPr>
  </w:style>
  <w:style w:type="character" w:customStyle="1" w:styleId="Hyperlink1">
    <w:name w:val="Hyperlink.1"/>
    <w:basedOn w:val="Ninguno"/>
    <w:qFormat/>
    <w:rPr>
      <w:outline w:val="0"/>
      <w:color w:val="467886"/>
      <w:u w:val="single" w:color="467886"/>
    </w:rPr>
  </w:style>
  <w:style w:type="character" w:customStyle="1" w:styleId="Bullets">
    <w:name w:val="Bullets"/>
    <w:qFormat/>
    <w:rPr>
      <w:rFonts w:ascii="OpenSymbol" w:eastAsia="OpenSymbol" w:hAnsi="OpenSymbol" w:cs="OpenSymbol"/>
    </w:rPr>
  </w:style>
  <w:style w:type="character" w:styleId="Lodia">
    <w:name w:val="Strong"/>
    <w:qFormat/>
    <w:rPr>
      <w:b/>
      <w:bCs/>
    </w:rPr>
  </w:style>
  <w:style w:type="paragraph" w:customStyle="1" w:styleId="Izenburua">
    <w:name w:val="Izenburua"/>
    <w:basedOn w:val="Normala"/>
    <w:next w:val="Gorputz-testua"/>
    <w:qFormat/>
    <w:pPr>
      <w:keepNext/>
      <w:spacing w:before="240" w:after="120"/>
    </w:pPr>
    <w:rPr>
      <w:rFonts w:ascii="Liberation Sans" w:eastAsia="Microsoft YaHei" w:hAnsi="Liberation Sans" w:cs="Arial"/>
      <w:sz w:val="28"/>
      <w:szCs w:val="28"/>
    </w:rPr>
  </w:style>
  <w:style w:type="paragraph" w:styleId="Gorputz-testua">
    <w:name w:val="Body Text"/>
    <w:pPr>
      <w:suppressAutoHyphens w:val="0"/>
      <w:overflowPunct w:val="0"/>
      <w:spacing w:after="140" w:line="276" w:lineRule="auto"/>
    </w:pPr>
    <w:rPr>
      <w:rFonts w:eastAsia="Times New Roman"/>
      <w:color w:val="000000"/>
      <w:sz w:val="24"/>
      <w:szCs w:val="24"/>
      <w:lang w:val="en-US"/>
    </w:rPr>
  </w:style>
  <w:style w:type="paragraph" w:styleId="Zerrenda">
    <w:name w:val="List"/>
    <w:basedOn w:val="Gorputz-testua"/>
    <w:rPr>
      <w:rFonts w:cs="Arial"/>
    </w:rPr>
  </w:style>
  <w:style w:type="paragraph" w:styleId="Epigrafea">
    <w:name w:val="caption"/>
    <w:basedOn w:val="Normala"/>
    <w:qFormat/>
    <w:pPr>
      <w:suppressLineNumbers/>
      <w:spacing w:before="120" w:after="120"/>
    </w:pPr>
    <w:rPr>
      <w:rFonts w:cs="Arial"/>
      <w:i/>
      <w:iCs/>
    </w:rPr>
  </w:style>
  <w:style w:type="paragraph" w:customStyle="1" w:styleId="Indizea">
    <w:name w:val="Indizea"/>
    <w:basedOn w:val="Normala"/>
    <w:qFormat/>
    <w:pPr>
      <w:suppressLineNumbers/>
    </w:pPr>
    <w:rPr>
      <w:rFonts w:cs="Arial"/>
    </w:rPr>
  </w:style>
  <w:style w:type="paragraph" w:customStyle="1" w:styleId="Goiburukoaetaorri-oina">
    <w:name w:val="Goiburukoa eta orri-oina"/>
    <w:basedOn w:val="Normala"/>
    <w:qFormat/>
  </w:style>
  <w:style w:type="paragraph" w:styleId="Goiburua">
    <w:name w:val="header"/>
    <w:pPr>
      <w:tabs>
        <w:tab w:val="center" w:pos="4252"/>
        <w:tab w:val="right" w:pos="8504"/>
      </w:tabs>
      <w:suppressAutoHyphens w:val="0"/>
      <w:overflowPunct w:val="0"/>
    </w:pPr>
    <w:rPr>
      <w:rFonts w:ascii="Calibri" w:hAnsi="Calibri" w:cs="Arial Unicode MS"/>
      <w:color w:val="000000"/>
      <w:sz w:val="22"/>
      <w:szCs w:val="22"/>
      <w:lang w:val="es-ES_tradnl"/>
    </w:rPr>
  </w:style>
  <w:style w:type="paragraph" w:customStyle="1" w:styleId="CuerpoA">
    <w:name w:val="Cuerpo A"/>
    <w:qFormat/>
    <w:pPr>
      <w:suppressAutoHyphens w:val="0"/>
      <w:overflowPunct w:val="0"/>
    </w:pPr>
    <w:rPr>
      <w:rFonts w:eastAsia="Times New Roman"/>
      <w:color w:val="000000"/>
      <w:sz w:val="24"/>
      <w:szCs w:val="24"/>
    </w:rPr>
  </w:style>
  <w:style w:type="paragraph" w:styleId="Orri-oina">
    <w:name w:val="footer"/>
    <w:pPr>
      <w:tabs>
        <w:tab w:val="center" w:pos="4252"/>
        <w:tab w:val="right" w:pos="8504"/>
      </w:tabs>
      <w:suppressAutoHyphens w:val="0"/>
      <w:overflowPunct w:val="0"/>
    </w:pPr>
    <w:rPr>
      <w:rFonts w:ascii="Calibri" w:eastAsia="Calibri" w:hAnsi="Calibri" w:cs="Calibri"/>
      <w:color w:val="000000"/>
      <w:sz w:val="22"/>
      <w:szCs w:val="22"/>
      <w:lang w:val="es-ES_tradnl"/>
    </w:rPr>
  </w:style>
  <w:style w:type="paragraph" w:customStyle="1" w:styleId="Standard">
    <w:name w:val="Standard"/>
    <w:qFormat/>
    <w:pPr>
      <w:suppressAutoHyphens w:val="0"/>
      <w:overflowPunct w:val="0"/>
      <w:spacing w:after="200" w:line="276" w:lineRule="auto"/>
    </w:pPr>
    <w:rPr>
      <w:rFonts w:ascii="Calibri" w:eastAsia="Calibri" w:hAnsi="Calibri" w:cs="Calibri"/>
      <w:color w:val="000000"/>
      <w:sz w:val="22"/>
      <w:szCs w:val="22"/>
      <w:lang w:val="es-ES_tradnl"/>
    </w:rPr>
  </w:style>
  <w:style w:type="paragraph" w:customStyle="1" w:styleId="Poromisin">
    <w:name w:val="Por omisión"/>
    <w:qFormat/>
    <w:pPr>
      <w:suppressAutoHyphens w:val="0"/>
      <w:overflowPunct w:val="0"/>
      <w:spacing w:before="160" w:line="288" w:lineRule="auto"/>
    </w:pPr>
    <w:rPr>
      <w:rFonts w:ascii="Helvetica Neue" w:eastAsia="Helvetica Neue" w:hAnsi="Helvetica Neue" w:cs="Helvetica Neue"/>
      <w:color w:val="000000"/>
      <w:sz w:val="24"/>
      <w:szCs w:val="24"/>
      <w:lang w:val="es-ES_tradnl"/>
    </w:rPr>
  </w:style>
  <w:style w:type="character" w:styleId="Ebatzigabekoaipamena">
    <w:name w:val="Unresolved Mention"/>
    <w:basedOn w:val="Paragrafoarenletra-tipolehenetsia"/>
    <w:uiPriority w:val="99"/>
    <w:semiHidden/>
    <w:unhideWhenUsed/>
    <w:rsid w:val="00DF2EAC"/>
    <w:rPr>
      <w:color w:val="605E5C"/>
      <w:shd w:val="clear" w:color="auto" w:fill="E1DFDD"/>
    </w:rPr>
  </w:style>
  <w:style w:type="character" w:styleId="BisitatutakoHiperesteka">
    <w:name w:val="FollowedHyperlink"/>
    <w:basedOn w:val="Paragrafoarenletra-tipolehenetsia"/>
    <w:uiPriority w:val="99"/>
    <w:semiHidden/>
    <w:unhideWhenUsed/>
    <w:rsid w:val="001D4587"/>
    <w:rPr>
      <w:color w:val="551A8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eur-lex.europa.eu/legal-content/ES/TXT/PDF/?uri=CELEX:62024CJ0210&amp;qid=1719597171337" TargetMode="External"/><Relationship Id="rId21" Type="http://schemas.openxmlformats.org/officeDocument/2006/relationships/hyperlink" Target="https://obcp.es/opiniones/procede-la-inadmision-del-recurso-especial-cuando-el-recurrente-previamente-excluido-de" TargetMode="External"/><Relationship Id="rId42" Type="http://schemas.openxmlformats.org/officeDocument/2006/relationships/hyperlink" Target="https://www.hacienda.gob.es/tacrc/resoluciones/a&#241;o%202026/recurso%200224-2026%20clm%2028-2026%20(res%20494)%2019-03-2026.pdf" TargetMode="External"/><Relationship Id="rId63" Type="http://schemas.openxmlformats.org/officeDocument/2006/relationships/hyperlink" Target="https://www.euskadi.eus/web01-bopv/es/bopv2/datos/2026/02/2600693a.pdf" TargetMode="External"/><Relationship Id="rId84" Type="http://schemas.openxmlformats.org/officeDocument/2006/relationships/hyperlink" Target="https://www.boe.es/boe/dias/2026/01/24/pdfs/BOE-A-2026-1684.pdf" TargetMode="External"/><Relationship Id="rId138" Type="http://schemas.openxmlformats.org/officeDocument/2006/relationships/hyperlink" Target="https://www.poderjudicial.es/search/AN/openDocument/0326737c38c42d26a0a8778d75e36f0d/20260129" TargetMode="External"/><Relationship Id="rId159" Type="http://schemas.openxmlformats.org/officeDocument/2006/relationships/hyperlink" Target="https://www.poderjudicial.es/search/AN/openDocument/eec756794925e44fa0a8778d75e36f0d/20260212" TargetMode="External"/><Relationship Id="rId170" Type="http://schemas.openxmlformats.org/officeDocument/2006/relationships/hyperlink" Target="https://www.poderjudicial.es/search/AN/openDocument/55c8dcc713dde625a0a8778d75e36f0d/20260123" TargetMode="External"/><Relationship Id="rId191" Type="http://schemas.openxmlformats.org/officeDocument/2006/relationships/hyperlink" Target="https://www.poderjudicial.es/search/AN/openDocument/f0c802413a71edc1a0a8778d75e36f0d/20260128" TargetMode="External"/><Relationship Id="rId205" Type="http://schemas.openxmlformats.org/officeDocument/2006/relationships/image" Target="media/image2.png"/><Relationship Id="rId107" Type="http://schemas.openxmlformats.org/officeDocument/2006/relationships/hyperlink" Target="https://www.boe.es/boe/dias/2026/02/14/pdfs/BOE-A-2026-3386.pdf" TargetMode="External"/><Relationship Id="rId11" Type="http://schemas.openxmlformats.org/officeDocument/2006/relationships/hyperlink" Target="https://www.boe.es/boe/dias/2026/01/13/pdfs/BOE-A-2026-679.pdf" TargetMode="External"/><Relationship Id="rId32" Type="http://schemas.openxmlformats.org/officeDocument/2006/relationships/hyperlink" Target="https://www.hacienda.gob.es/tacrc/resoluciones/a%C3%B1o%202026/recurso%202018-2025%20(res%20398)%2005-03-2026.pdf" TargetMode="External"/><Relationship Id="rId53" Type="http://schemas.openxmlformats.org/officeDocument/2006/relationships/hyperlink" Target="https://www.boe.es/boe/dias/2026/01/30/pdfs/BOE-A-2026-2142.pdf" TargetMode="External"/><Relationship Id="rId74" Type="http://schemas.openxmlformats.org/officeDocument/2006/relationships/hyperlink" Target="https://www.boe.es/boe/dias/2026/02/20/pdfs/BOE-A-2026-3910.pdf" TargetMode="External"/><Relationship Id="rId128" Type="http://schemas.openxmlformats.org/officeDocument/2006/relationships/hyperlink" Target="https://www.poderjudicial.es/search/AN/openDocument/ec043726110bd7fba0a8778d75e36f0d/20260122" TargetMode="External"/><Relationship Id="rId149" Type="http://schemas.openxmlformats.org/officeDocument/2006/relationships/hyperlink" Target="https://www.poderjudicial.es/search/AN/openDocument/6d152a7f782fb4f9a0a8778d75e36f0d/20260206" TargetMode="External"/><Relationship Id="rId5" Type="http://schemas.openxmlformats.org/officeDocument/2006/relationships/footnotes" Target="footnotes.xml"/><Relationship Id="rId95" Type="http://schemas.openxmlformats.org/officeDocument/2006/relationships/hyperlink" Target="https://www.boe.es/boe/dias/2026/02/14/pdfs/BOE-A-2026-3382.pdf" TargetMode="External"/><Relationship Id="rId160" Type="http://schemas.openxmlformats.org/officeDocument/2006/relationships/hyperlink" Target="https://www.poderjudicial.es/search/AN/openDocument/25f3cb95d29e5f97a0a8778d75e36f0d/20260212" TargetMode="External"/><Relationship Id="rId181" Type="http://schemas.openxmlformats.org/officeDocument/2006/relationships/hyperlink" Target="https://www.poderjudicial.es/search/AN/openDocument/b2be837e62b18a17a0a8778d75e36f0d/20260128" TargetMode="External"/><Relationship Id="rId216" Type="http://schemas.openxmlformats.org/officeDocument/2006/relationships/theme" Target="theme/theme1.xml"/><Relationship Id="rId22" Type="http://schemas.openxmlformats.org/officeDocument/2006/relationships/hyperlink" Target="https://obcp.es/opiniones/uso-de-la-inteligencia-artificial-en-la-contratacion-publica" TargetMode="External"/><Relationship Id="rId43" Type="http://schemas.openxmlformats.org/officeDocument/2006/relationships/hyperlink" Target="https://www.hacienda.gob.es/tacrc/resoluciones/a&#241;o%202026/recurso%202062-2025%20(res%20476)%2019-03-2026.pdf" TargetMode="External"/><Relationship Id="rId64" Type="http://schemas.openxmlformats.org/officeDocument/2006/relationships/hyperlink" Target="https://www.euskadi.eus/web01-bopv/es/bopv2/datos/2026/03/2600912a.pdf" TargetMode="External"/><Relationship Id="rId118" Type="http://schemas.openxmlformats.org/officeDocument/2006/relationships/hyperlink" Target="https://noticias.juridicas.com/base_datos/Admin/526450-directiva-2014-24-ue-de-26-feb-contratacion-publica-y-por-la-que-se-deroga.html" TargetMode="External"/><Relationship Id="rId139" Type="http://schemas.openxmlformats.org/officeDocument/2006/relationships/hyperlink" Target="https://www.poderjudicial.es/search/AN/openDocument/3dadd9d322dd5865a0a8778d75e36f0d/20260205" TargetMode="External"/><Relationship Id="rId85" Type="http://schemas.openxmlformats.org/officeDocument/2006/relationships/hyperlink" Target="https://www.boe.es/boe/dias/2026/01/24/pdfs/BOE-A-2026-1685.pdf" TargetMode="External"/><Relationship Id="rId150" Type="http://schemas.openxmlformats.org/officeDocument/2006/relationships/hyperlink" Target="https://www.poderjudicial.es/search/AN/openDocument/bc8000af5a2b2402a0a8778d75e36f0d/20260205" TargetMode="External"/><Relationship Id="rId171" Type="http://schemas.openxmlformats.org/officeDocument/2006/relationships/hyperlink" Target="https://www.poderjudicial.es/search/AN/openDocument/bcfa39710846a4b5a0a8778d75e36f0d/20260123" TargetMode="External"/><Relationship Id="rId192" Type="http://schemas.openxmlformats.org/officeDocument/2006/relationships/hyperlink" Target="https://www.poderjudicial.es/search/AN/openDocument/dcf00850ab3aaf50a0a8778d75e36f0d/20260202" TargetMode="External"/><Relationship Id="rId206" Type="http://schemas.openxmlformats.org/officeDocument/2006/relationships/image" Target="media/image3.png"/><Relationship Id="rId12" Type="http://schemas.openxmlformats.org/officeDocument/2006/relationships/hyperlink" Target="https://www.boe.es/boe/dias/2026/01/19/pdfs/BOE-A-2026-1254.pdf" TargetMode="External"/><Relationship Id="rId33" Type="http://schemas.openxmlformats.org/officeDocument/2006/relationships/hyperlink" Target="https://www.hacienda.gob.es/tacrc/resoluciones/a&#241;o%202026/recurso%201978-2025%20(res%20387)%2005-03-2026.pdf" TargetMode="External"/><Relationship Id="rId108" Type="http://schemas.openxmlformats.org/officeDocument/2006/relationships/hyperlink" Target="https://www.boe.es/boe/dias/2026/03/10/pdfs/BOE-A-2026-5549.pdf" TargetMode="External"/><Relationship Id="rId129" Type="http://schemas.openxmlformats.org/officeDocument/2006/relationships/hyperlink" Target="https://www.poderjudicial.es/search/AN/openDocument/d6aacceea9674672a0a8778d75e36f0d/20260129" TargetMode="External"/><Relationship Id="rId54" Type="http://schemas.openxmlformats.org/officeDocument/2006/relationships/hyperlink" Target="https://www.boe.es/boe/dias/2026/02/04/pdfs/BOE-A-2026-2547.pdf" TargetMode="External"/><Relationship Id="rId75" Type="http://schemas.openxmlformats.org/officeDocument/2006/relationships/hyperlink" Target="https://www.boe.es/boe/dias/2026/02/20/pdfs/BOE-A-2026-3911.pdf" TargetMode="External"/><Relationship Id="rId96" Type="http://schemas.openxmlformats.org/officeDocument/2006/relationships/hyperlink" Target="https://www.boe.es/boe/dias/2026/02/20/pdfs/BOE-A-2026-3909.pdf" TargetMode="External"/><Relationship Id="rId140" Type="http://schemas.openxmlformats.org/officeDocument/2006/relationships/hyperlink" Target="https://www.poderjudicial.es/search/AN/openDocument/1ef94f8ceb2f745aa0a8778d75e36f0d/20260129" TargetMode="External"/><Relationship Id="rId161" Type="http://schemas.openxmlformats.org/officeDocument/2006/relationships/hyperlink" Target="https://www.poderjudicial.es/search/AN/openDocument/5b325076b33bd592a0a8778d75e36f0d/20260219" TargetMode="External"/><Relationship Id="rId182" Type="http://schemas.openxmlformats.org/officeDocument/2006/relationships/hyperlink" Target="https://www.poderjudicial.es/search/AN/openDocument/5c3cac5d38f26b03a0a8778d75e36f0d/20260123" TargetMode="External"/><Relationship Id="rId217" Type="http://schemas.openxmlformats.org/officeDocument/2006/relationships/customXml" Target="../customXml/item2.xml"/><Relationship Id="rId6" Type="http://schemas.openxmlformats.org/officeDocument/2006/relationships/endnotes" Target="endnotes.xml"/><Relationship Id="rId23" Type="http://schemas.openxmlformats.org/officeDocument/2006/relationships/hyperlink" Target="https://obcp.es/sites/default/files/2026-01/PROPUESTA%20INTEGRAL%20PARA%20LA%20REFORMA%20ESTRUCTURAL%20DEL%20SISTEMA%20EUROPEO%20DE%20CONTRATACI&#211;N%20P&#218;BLICA.pdf" TargetMode="External"/><Relationship Id="rId119" Type="http://schemas.openxmlformats.org/officeDocument/2006/relationships/hyperlink" Target="https://noticias.juridicas.com/base_datos/Admin/526450-directiva-2014-24-ue-de-26-feb-contratacion-publica-y-por-la-que-se-deroga.html" TargetMode="External"/><Relationship Id="rId44" Type="http://schemas.openxmlformats.org/officeDocument/2006/relationships/hyperlink" Target="https://www.hacienda.gob.es/tacrc/resoluciones/a&#241;o%202026/recurso%200017-2026%20val%205-2026%20(res%20489)%2019-03-2026.pdf" TargetMode="External"/><Relationship Id="rId65" Type="http://schemas.openxmlformats.org/officeDocument/2006/relationships/hyperlink" Target="https://www.euskadi.eus/web01-bopv/es/bopv2/datos/2026/03/2600942a.pdf" TargetMode="External"/><Relationship Id="rId86" Type="http://schemas.openxmlformats.org/officeDocument/2006/relationships/hyperlink" Target="https://www.boe.es/boe/dias/2026/02/09/pdfs/BOE-A-2026-2888.pdf" TargetMode="External"/><Relationship Id="rId130" Type="http://schemas.openxmlformats.org/officeDocument/2006/relationships/hyperlink" Target="https://www.poderjudicial.es/search/AN/openDocument/9945557b59fb87faa0a8778d75e36f0d/20260129" TargetMode="External"/><Relationship Id="rId151" Type="http://schemas.openxmlformats.org/officeDocument/2006/relationships/hyperlink" Target="https://www.poderjudicial.es/search/AN/openDocument/9ec8e0671fd07e2ea0a8778d75e36f0d/20260205" TargetMode="External"/><Relationship Id="rId172" Type="http://schemas.openxmlformats.org/officeDocument/2006/relationships/hyperlink" Target="https://www.poderjudicial.es/search/AN/openDocument/6294b1269b2a29e5a0a8778d75e36f0d/20260123" TargetMode="External"/><Relationship Id="rId193" Type="http://schemas.openxmlformats.org/officeDocument/2006/relationships/hyperlink" Target="https://www.poderjudicial.es/search/AN/openDocument/d8417c74d613496da0a8778d75e36f0d/20260210" TargetMode="External"/><Relationship Id="rId207" Type="http://schemas.openxmlformats.org/officeDocument/2006/relationships/hyperlink" Target="https://doi.org/10.24965/da.15.2025" TargetMode="External"/><Relationship Id="rId13" Type="http://schemas.openxmlformats.org/officeDocument/2006/relationships/hyperlink" Target="https://www.boe.es/boe/dias/2026/01/20/pdfs/BOE-A-2026-1255.pdf" TargetMode="External"/><Relationship Id="rId109" Type="http://schemas.openxmlformats.org/officeDocument/2006/relationships/hyperlink" Target="https://www.boe.es/boe/dias/2026/03/27/pdfs/BOE-A-2026-7044.pdf" TargetMode="External"/><Relationship Id="rId34" Type="http://schemas.openxmlformats.org/officeDocument/2006/relationships/hyperlink" Target="https://www.hacienda.gob.es/tacrc/resoluciones/a&#241;o%202026/recurso%202074-2025%20(res%20470)%2012-03-2026.pdf" TargetMode="External"/><Relationship Id="rId55" Type="http://schemas.openxmlformats.org/officeDocument/2006/relationships/hyperlink" Target="https://www.boe.es/boe/dias/2026/02/04/pdfs/BOE-A-2026-2548.pdf" TargetMode="External"/><Relationship Id="rId76" Type="http://schemas.openxmlformats.org/officeDocument/2006/relationships/hyperlink" Target="https://www.boe.es/boe/dias/2026/02/27/pdfs/BOE-A-2026-4524.pdf" TargetMode="External"/><Relationship Id="rId97" Type="http://schemas.openxmlformats.org/officeDocument/2006/relationships/hyperlink" Target="https://www.boe.es/boe/dias/2026/03/10/pdfs/BOE-A-2026-5547.pdf" TargetMode="External"/><Relationship Id="rId120" Type="http://schemas.openxmlformats.org/officeDocument/2006/relationships/hyperlink" Target="https://eur-lex.europa.eu/legal-content/ES/TXT/HTML/?uri=CELEX:62024CJ0812" TargetMode="External"/><Relationship Id="rId141" Type="http://schemas.openxmlformats.org/officeDocument/2006/relationships/hyperlink" Target="https://www.poderjudicial.es/search/AN/openDocument/8aba56fbf8c189e4a0a8778d75e36f0d/20260129" TargetMode="External"/><Relationship Id="rId7" Type="http://schemas.openxmlformats.org/officeDocument/2006/relationships/hyperlink" Target="https://www.congreso.es/webpublica/documentacion/docs_trabajo/leg15/121_000088/121_000088_dosier.pdf" TargetMode="External"/><Relationship Id="rId162" Type="http://schemas.openxmlformats.org/officeDocument/2006/relationships/hyperlink" Target="https://www.poderjudicial.es/search/AN/openDocument/1e8ea55de1555d15a0a8778d75e36f0d/20260226" TargetMode="External"/><Relationship Id="rId183" Type="http://schemas.openxmlformats.org/officeDocument/2006/relationships/hyperlink" Target="https://www.poderjudicial.es/search/AN/openDocument/324827a6480a61a7a0a8778d75e36f0d/20260123" TargetMode="External"/><Relationship Id="rId218" Type="http://schemas.openxmlformats.org/officeDocument/2006/relationships/customXml" Target="../customXml/item3.xml"/><Relationship Id="rId24" Type="http://schemas.openxmlformats.org/officeDocument/2006/relationships/hyperlink" Target="https://www.contratacion.euskadi.eus/contenidos/resolucion_oarc/2_2026/es_def/adjuntos/Resolucion2_2026.pdf" TargetMode="External"/><Relationship Id="rId45" Type="http://schemas.openxmlformats.org/officeDocument/2006/relationships/hyperlink" Target="https://www.hacienda.gob.es/tacrc/resoluciones/a&#241;o%202026/recurso%200093-2026%20(res%20340)%2026-02-2026.corregida.pdf" TargetMode="External"/><Relationship Id="rId66" Type="http://schemas.openxmlformats.org/officeDocument/2006/relationships/hyperlink" Target="https://www.euskadi.eus/web01-bopv/es/bopv2/datos/2026/03/2601003a.pdf" TargetMode="External"/><Relationship Id="rId87" Type="http://schemas.openxmlformats.org/officeDocument/2006/relationships/hyperlink" Target="https://www.boe.es/boe/dias/2026/02/10/pdfs/BOE-A-2026-3012.pdf" TargetMode="External"/><Relationship Id="rId110" Type="http://schemas.openxmlformats.org/officeDocument/2006/relationships/hyperlink" Target="https://www.boe.es/boe/dias/2026/01/09/pdfs/BOE-A-2026-487.pdf" TargetMode="External"/><Relationship Id="rId131" Type="http://schemas.openxmlformats.org/officeDocument/2006/relationships/hyperlink" Target="https://www.poderjudicial.es/search/AN/openDocument/bad7de569215fbc8a0a8778d75e36f0d/20260129" TargetMode="External"/><Relationship Id="rId152" Type="http://schemas.openxmlformats.org/officeDocument/2006/relationships/hyperlink" Target="https://www.poderjudicial.es/search/AN/openDocument/977aebf6486fb724a0a8778d75e36f0d/20260205" TargetMode="External"/><Relationship Id="rId173" Type="http://schemas.openxmlformats.org/officeDocument/2006/relationships/hyperlink" Target="https://www.poderjudicial.es/search/AN/openDocument/6f5a0aa671807751a0a8778d75e36f0d/20260123" TargetMode="External"/><Relationship Id="rId194" Type="http://schemas.openxmlformats.org/officeDocument/2006/relationships/hyperlink" Target="https://www.poderjudicial.es/search/AN/openDocument/c5b54d538e6c78a5a0a8778d75e36f0d/20260210" TargetMode="External"/><Relationship Id="rId208" Type="http://schemas.openxmlformats.org/officeDocument/2006/relationships/image" Target="media/image4.png"/><Relationship Id="rId14" Type="http://schemas.openxmlformats.org/officeDocument/2006/relationships/hyperlink" Target="https://www.boe.es/boe/dias/2026/02/04/pdfs/BOE-A-2026-2555.pdf" TargetMode="External"/><Relationship Id="rId30" Type="http://schemas.openxmlformats.org/officeDocument/2006/relationships/hyperlink" Target="https://www.contratacion.euskadi.eus/contenidos/resolucion_oarc/26_2026/es_def/adjuntos/Resolucion26_2026.pdf" TargetMode="External"/><Relationship Id="rId35" Type="http://schemas.openxmlformats.org/officeDocument/2006/relationships/hyperlink" Target="https://www.hacienda.gob.es/tacrc/resoluciones/a&#241;o%202026/recurso%202009-2025%20val%20397-2025%20(res%20436)%2012-03-2026.pdf" TargetMode="External"/><Relationship Id="rId56" Type="http://schemas.openxmlformats.org/officeDocument/2006/relationships/hyperlink" Target="https://www.boe.es/boe/dias/2026/02/11/pdfs/BOE-A-2026-3084.pdf" TargetMode="External"/><Relationship Id="rId77" Type="http://schemas.openxmlformats.org/officeDocument/2006/relationships/hyperlink" Target="https://www.boe.es/boe/dias/2026/03/11/pdfs/BOE-A-2026-5611.pdf" TargetMode="External"/><Relationship Id="rId100" Type="http://schemas.openxmlformats.org/officeDocument/2006/relationships/hyperlink" Target="https://www.boe.es/boe/dias/2026/03/27/pdfs/BOE-A-2026-7036.pdf" TargetMode="External"/><Relationship Id="rId105" Type="http://schemas.openxmlformats.org/officeDocument/2006/relationships/hyperlink" Target="https://www.boe.es/boe/dias/2026/02/14/pdfs/BOE-A-2026-3384.pdf" TargetMode="External"/><Relationship Id="rId126" Type="http://schemas.openxmlformats.org/officeDocument/2006/relationships/hyperlink" Target="https://www.poderjudicial.es/search/AN/openDocument/a1696295c87695bea0a8778d75e36f0d/20260129" TargetMode="External"/><Relationship Id="rId147" Type="http://schemas.openxmlformats.org/officeDocument/2006/relationships/hyperlink" Target="https://www.poderjudicial.es/search/AN/openDocument/27de9c377e531103a0a8778d75e36f0d/20260205" TargetMode="External"/><Relationship Id="rId168" Type="http://schemas.openxmlformats.org/officeDocument/2006/relationships/hyperlink" Target="https://www.poderjudicial.es/search/AN/openDocument/bd824c7ef4ad067da0a8778d75e36f0d/20260122" TargetMode="External"/><Relationship Id="rId8" Type="http://schemas.openxmlformats.org/officeDocument/2006/relationships/hyperlink" Target="https://www.boe.es/boe/dias/2026/01/03/pdfs/BOE-A-2026-158.pdf" TargetMode="External"/><Relationship Id="rId51" Type="http://schemas.openxmlformats.org/officeDocument/2006/relationships/hyperlink" Target="https://www.boe.es/boe/dias/2026/01/30/pdfs/BOE-A-2026-2140.pdf" TargetMode="External"/><Relationship Id="rId72" Type="http://schemas.openxmlformats.org/officeDocument/2006/relationships/hyperlink" Target="https://egoitza.gipuzkoa.eus/gao-bog/castell/bog/2026/03/12/c2601709.pdf" TargetMode="External"/><Relationship Id="rId93" Type="http://schemas.openxmlformats.org/officeDocument/2006/relationships/hyperlink" Target="https://www.boe.es/boe/dias/2026/01/10/pdfs/BOE-A-2026-561.pdf" TargetMode="External"/><Relationship Id="rId98" Type="http://schemas.openxmlformats.org/officeDocument/2006/relationships/hyperlink" Target="https://www.boe.es/boe/dias/2026/03/10/pdfs/BOE-A-2026-5548.pdf" TargetMode="External"/><Relationship Id="rId121" Type="http://schemas.openxmlformats.org/officeDocument/2006/relationships/hyperlink" Target="https://www.poderjudicial.es/search/AN/openDocument/1e5761646122fd25a0a8778d75e36f0d/20251030" TargetMode="External"/><Relationship Id="rId142" Type="http://schemas.openxmlformats.org/officeDocument/2006/relationships/hyperlink" Target="https://www.poderjudicial.es/search/AN/openDocument/28f23b30f812e74ca0a8778d75e36f0d/20260129" TargetMode="External"/><Relationship Id="rId163" Type="http://schemas.openxmlformats.org/officeDocument/2006/relationships/hyperlink" Target="https://www.poderjudicial.es/search/AN/openDocument/5e258131bda88cc7a0a8778d75e36f0d/20260305" TargetMode="External"/><Relationship Id="rId184" Type="http://schemas.openxmlformats.org/officeDocument/2006/relationships/hyperlink" Target="https://www.poderjudicial.es/search/AN/openDocument/75310a9fd8f03814a0a8778d75e36f0d/20260123" TargetMode="External"/><Relationship Id="rId189" Type="http://schemas.openxmlformats.org/officeDocument/2006/relationships/hyperlink" Target="https://www.poderjudicial.es/search/AN/openDocument/42bfacc4d7eaeaaaa0a8778d75e36f0d/20260127" TargetMode="External"/><Relationship Id="rId219" Type="http://schemas.openxmlformats.org/officeDocument/2006/relationships/customXml" Target="../customXml/item4.xml"/><Relationship Id="rId3" Type="http://schemas.openxmlformats.org/officeDocument/2006/relationships/settings" Target="settings.xml"/><Relationship Id="rId214" Type="http://schemas.openxmlformats.org/officeDocument/2006/relationships/footer" Target="footer1.xml"/><Relationship Id="rId25" Type="http://schemas.openxmlformats.org/officeDocument/2006/relationships/hyperlink" Target="https://www.contratacion.euskadi.eus/contenidos/resolucion_oarc/7_2026/es_def/adjuntos/Resolucion7_2026.pdf" TargetMode="External"/><Relationship Id="rId46" Type="http://schemas.openxmlformats.org/officeDocument/2006/relationships/hyperlink" Target="https://www.hacienda.gob.es/rsc/oirescon/estudios-guias-protocolos/aportaciones-oirescon.pdf" TargetMode="External"/><Relationship Id="rId67" Type="http://schemas.openxmlformats.org/officeDocument/2006/relationships/hyperlink" Target="https://www.euskadi.eus/web01-bopv/es/bopv2/datos/2026/03/2601004a.pdf" TargetMode="External"/><Relationship Id="rId116" Type="http://schemas.openxmlformats.org/officeDocument/2006/relationships/hyperlink" Target="https://noticias.juridicas.com/base_datos/Admin/526450-directiva-2014-24-ue-de-26-feb-contratacion-publica-y-por-la-que-se-deroga.html" TargetMode="External"/><Relationship Id="rId137" Type="http://schemas.openxmlformats.org/officeDocument/2006/relationships/hyperlink" Target="https://www.poderjudicial.es/search/AN/openDocument/fcfde4906d140a21a0a8778d75e36f0d/20260129" TargetMode="External"/><Relationship Id="rId158" Type="http://schemas.openxmlformats.org/officeDocument/2006/relationships/hyperlink" Target="https://www.poderjudicial.es/search/AN/openDocument/f05a3a431702d8eda0a8778d75e36f0d/20260212" TargetMode="External"/><Relationship Id="rId20" Type="http://schemas.openxmlformats.org/officeDocument/2006/relationships/hyperlink" Target="https://www.gobiernolocal.org/acento-local/es-posible-la-revision-de-oficio-de-los-convenios-interadministrativos/" TargetMode="External"/><Relationship Id="rId41" Type="http://schemas.openxmlformats.org/officeDocument/2006/relationships/hyperlink" Target="https://www.hacienda.gob.es/tacrc/resoluciones/a&#241;o%202026/recurso%201866-2025%20ast%2092-2025%20(res%20497)%2019-03-2026.pdf" TargetMode="External"/><Relationship Id="rId62" Type="http://schemas.openxmlformats.org/officeDocument/2006/relationships/hyperlink" Target="https://www.euskadi.eus/web01-bopv/es/bopv2/datos/2026/01/2600414a.pdf" TargetMode="External"/><Relationship Id="rId83" Type="http://schemas.openxmlformats.org/officeDocument/2006/relationships/hyperlink" Target="https://www.boe.es/boe/dias/2026/01/24/pdfs/BOE-A-2026-1683.pdf" TargetMode="External"/><Relationship Id="rId88" Type="http://schemas.openxmlformats.org/officeDocument/2006/relationships/hyperlink" Target="https://www.boe.es/boe/dias/2026/02/10/pdfs/BOE-A-2026-3013.pdf" TargetMode="External"/><Relationship Id="rId111" Type="http://schemas.openxmlformats.org/officeDocument/2006/relationships/hyperlink" Target="https://www.boe.es/boe/dias/2026/02/12/pdfs/BOE-A-2026-3216.pdf" TargetMode="External"/><Relationship Id="rId132" Type="http://schemas.openxmlformats.org/officeDocument/2006/relationships/hyperlink" Target="https://www.poderjudicial.es/search/AN/openDocument/3c8f7b58f8a9449ba0a8778d75e36f0d/20260205" TargetMode="External"/><Relationship Id="rId153" Type="http://schemas.openxmlformats.org/officeDocument/2006/relationships/hyperlink" Target="https://www.poderjudicial.es/search/AN/openDocument/201842b6df658542a0a8778d75e36f0d/20260205" TargetMode="External"/><Relationship Id="rId174" Type="http://schemas.openxmlformats.org/officeDocument/2006/relationships/hyperlink" Target="https://www.poderjudicial.es/search/AN/openDocument/44fbae58061ca4d5a0a8778d75e36f0d/20260123" TargetMode="External"/><Relationship Id="rId179" Type="http://schemas.openxmlformats.org/officeDocument/2006/relationships/hyperlink" Target="https://www.poderjudicial.es/search/AN/openDocument/b0404ba049d105d1a0a8778d75e36f0d/20260123" TargetMode="External"/><Relationship Id="rId195" Type="http://schemas.openxmlformats.org/officeDocument/2006/relationships/hyperlink" Target="https://www.poderjudicial.es/search/AN/openDocument/23c4c060cd708144a0a8778d75e36f0d/20260213" TargetMode="External"/><Relationship Id="rId209" Type="http://schemas.openxmlformats.org/officeDocument/2006/relationships/hyperlink" Target="https://doi.org/10.24965/gapp.39.2025" TargetMode="External"/><Relationship Id="rId190" Type="http://schemas.openxmlformats.org/officeDocument/2006/relationships/hyperlink" Target="https://www.poderjudicial.es/search/AN/openDocument/3e363d6e7429637ca0a8778d75e36f0d/20260127" TargetMode="External"/><Relationship Id="rId204" Type="http://schemas.openxmlformats.org/officeDocument/2006/relationships/hyperlink" Target="https://doi.org/10.47623/ivap-rvgp.29.2025" TargetMode="External"/><Relationship Id="rId15" Type="http://schemas.openxmlformats.org/officeDocument/2006/relationships/hyperlink" Target="https://www.boe.es/boe/dias/2026/03/31/pdfs/BOE-A-2026-7297.pdf" TargetMode="External"/><Relationship Id="rId36" Type="http://schemas.openxmlformats.org/officeDocument/2006/relationships/hyperlink" Target="https://www.hacienda.gob.es/tacrc/resoluciones/a&#241;o%202026/recurso%202060-2025%20(res%20459)%2012-03-2026.pdf" TargetMode="External"/><Relationship Id="rId57" Type="http://schemas.openxmlformats.org/officeDocument/2006/relationships/hyperlink" Target="https://www.boe.es/boe/dias/2026/03/04/pdfs/BOE-A-2026-5060.pdf" TargetMode="External"/><Relationship Id="rId106" Type="http://schemas.openxmlformats.org/officeDocument/2006/relationships/hyperlink" Target="https://www.boe.es/boe/dias/2026/02/14/pdfs/BOE-A-2026-3385.pdf" TargetMode="External"/><Relationship Id="rId127" Type="http://schemas.openxmlformats.org/officeDocument/2006/relationships/hyperlink" Target="https://www.poderjudicial.es/search/AN/openDocument/950df343ff258394a0a8778d75e36f0d/20260122" TargetMode="External"/><Relationship Id="rId10" Type="http://schemas.openxmlformats.org/officeDocument/2006/relationships/hyperlink" Target="https://www.boe.es/boe/dias/2026/01/13/pdfs/BOE-A-2026-678.pdf" TargetMode="External"/><Relationship Id="rId31" Type="http://schemas.openxmlformats.org/officeDocument/2006/relationships/hyperlink" Target="https://www.contratacion.euskadi.eus/contenidos/resolucion_oarc/44_2026/es_def/adjuntos/Resolucion44_2026.pdf" TargetMode="External"/><Relationship Id="rId52" Type="http://schemas.openxmlformats.org/officeDocument/2006/relationships/hyperlink" Target="https://www.boe.es/boe/dias/2026/01/30/pdfs/BOE-A-2026-2141.pdf" TargetMode="External"/><Relationship Id="rId73" Type="http://schemas.openxmlformats.org/officeDocument/2006/relationships/hyperlink" Target="https://www.boe.es/boe/dias/2026/01/30/pdfs/BOE-A-2026-2147.pdf" TargetMode="External"/><Relationship Id="rId78" Type="http://schemas.openxmlformats.org/officeDocument/2006/relationships/hyperlink" Target="https://www.boe.es/boe/dias/2026/01/08/pdfs/BOE-A-2026-422.pdf" TargetMode="External"/><Relationship Id="rId94" Type="http://schemas.openxmlformats.org/officeDocument/2006/relationships/hyperlink" Target="https://www.boe.es/boe/dias/2026/01/10/pdfs/BOE-A-2026-562.pdf" TargetMode="External"/><Relationship Id="rId99" Type="http://schemas.openxmlformats.org/officeDocument/2006/relationships/hyperlink" Target="https://www.boe.es/boe/dias/2026/03/23/pdfs/BOE-A-2026-6642.pdf" TargetMode="External"/><Relationship Id="rId101" Type="http://schemas.openxmlformats.org/officeDocument/2006/relationships/hyperlink" Target="https://www.boe.es/boe/dias/2026/01/12/pdfs/BOE-A-2026-618.pdf" TargetMode="External"/><Relationship Id="rId122" Type="http://schemas.openxmlformats.org/officeDocument/2006/relationships/hyperlink" Target="https://www.poderjudicial.es/search/AN/openDocument/b1c093d7ee80d3f2a0a8778d75e36f0d/20251212" TargetMode="External"/><Relationship Id="rId143" Type="http://schemas.openxmlformats.org/officeDocument/2006/relationships/hyperlink" Target="https://www.poderjudicial.es/search/AN/openDocument/d072a082f2021981a0a8778d75e36f0d/20260205" TargetMode="External"/><Relationship Id="rId148" Type="http://schemas.openxmlformats.org/officeDocument/2006/relationships/hyperlink" Target="https://www.poderjudicial.es/search/AN/openDocument/fde1233ccfd10806a0a8778d75e36f0d/20260205" TargetMode="External"/><Relationship Id="rId164" Type="http://schemas.openxmlformats.org/officeDocument/2006/relationships/hyperlink" Target="https://www.poderjudicial.es/search/AN/openDocument/a2b90aefe49986f0a0a8778d75e36f0d/20260306" TargetMode="External"/><Relationship Id="rId169" Type="http://schemas.openxmlformats.org/officeDocument/2006/relationships/hyperlink" Target="https://www.poderjudicial.es/search/AN/openDocument/eb471c9406aae84ba0a8778d75e36f0d/20260122" TargetMode="External"/><Relationship Id="rId185" Type="http://schemas.openxmlformats.org/officeDocument/2006/relationships/hyperlink" Target="https://www.poderjudicial.es/search/AN/openDocument/cc6446aecdf2620fa0a8778d75e36f0d/20260128" TargetMode="External"/><Relationship Id="rId4" Type="http://schemas.openxmlformats.org/officeDocument/2006/relationships/webSettings" Target="webSettings.xml"/><Relationship Id="rId9" Type="http://schemas.openxmlformats.org/officeDocument/2006/relationships/hyperlink" Target="https://www.boe.es/boe/dias/2026/01/06/pdfs/BOE-A-2026-326.pdf" TargetMode="External"/><Relationship Id="rId180" Type="http://schemas.openxmlformats.org/officeDocument/2006/relationships/hyperlink" Target="https://www.poderjudicial.es/search/AN/openDocument/13f41181d788a541a0a8778d75e36f0d/20260123" TargetMode="External"/><Relationship Id="rId210" Type="http://schemas.openxmlformats.org/officeDocument/2006/relationships/image" Target="media/image5.png"/><Relationship Id="rId215" Type="http://schemas.openxmlformats.org/officeDocument/2006/relationships/fontTable" Target="fontTable.xml"/><Relationship Id="rId26" Type="http://schemas.openxmlformats.org/officeDocument/2006/relationships/hyperlink" Target="https://www.contratacion.euskadi.eus/contenidos/resolucion_oarc/9_2026/es_def/adjuntos/Resolucion9_2026.pdf" TargetMode="External"/><Relationship Id="rId47" Type="http://schemas.openxmlformats.org/officeDocument/2006/relationships/hyperlink" Target="https://www.boe.es/boe/dias/2026/01/28/pdfs/BOE-A-2026-2024.pdf" TargetMode="External"/><Relationship Id="rId68" Type="http://schemas.openxmlformats.org/officeDocument/2006/relationships/hyperlink" Target="https://www.euskadi.eus/web01-bopv/es/bopv2/datos/2026/03/2601161a.pdf" TargetMode="External"/><Relationship Id="rId89" Type="http://schemas.openxmlformats.org/officeDocument/2006/relationships/hyperlink" Target="https://www.boe.es/boe/dias/2026/01/02/pdfs/BOE-A-2026-74.pdf" TargetMode="External"/><Relationship Id="rId112" Type="http://schemas.openxmlformats.org/officeDocument/2006/relationships/hyperlink" Target="https://www.boe.es/boe/dias/2026/02/12/pdfs/BOE-A-2026-3217.pdf" TargetMode="External"/><Relationship Id="rId133" Type="http://schemas.openxmlformats.org/officeDocument/2006/relationships/hyperlink" Target="https://www.poderjudicial.es/search/AN/openDocument/30fd83283fa823aea0a8778d75e36f0d/20260205" TargetMode="External"/><Relationship Id="rId154" Type="http://schemas.openxmlformats.org/officeDocument/2006/relationships/hyperlink" Target="https://www.poderjudicial.es/search/AN/openDocument/c5200d20faf35b4fa0a8778d75e36f0d/20260212" TargetMode="External"/><Relationship Id="rId175" Type="http://schemas.openxmlformats.org/officeDocument/2006/relationships/hyperlink" Target="https://www.poderjudicial.es/search/AN/openDocument/c79680463c2247dda0a8778d75e36f0d/20260123" TargetMode="External"/><Relationship Id="rId196" Type="http://schemas.openxmlformats.org/officeDocument/2006/relationships/hyperlink" Target="https://www.poderjudicial.es/search/AN/openDocument/ed8562e93080bb0ba0a8778d75e36f0d/20260216" TargetMode="External"/><Relationship Id="rId200" Type="http://schemas.openxmlformats.org/officeDocument/2006/relationships/hyperlink" Target="https://www.cor.europa.eu/es/noticias/el-alcalde-encarcelado-de-estambul-ekrem-imamoglu-gana-el-premio-pawel-adamowicz-por-la-defensa-de" TargetMode="External"/><Relationship Id="rId16" Type="http://schemas.openxmlformats.org/officeDocument/2006/relationships/hyperlink" Target="https://www.boe.es/boe/dias/2026/04/15/pdfs/BOE-A-2026-8287.pdf" TargetMode="External"/><Relationship Id="rId37" Type="http://schemas.openxmlformats.org/officeDocument/2006/relationships/hyperlink" Target="https://www.hacienda.gob.es/tacrc/resoluciones/a&#241;o%202026/recurso%202058-202%20val%20408-2025%20(res%20457)%2012-03-2026.pdf" TargetMode="External"/><Relationship Id="rId58" Type="http://schemas.openxmlformats.org/officeDocument/2006/relationships/hyperlink" Target="https://www.boe.es/boe/dias/2026/03/21/pdfs/BOE-A-2026-6544.pdf" TargetMode="External"/><Relationship Id="rId79" Type="http://schemas.openxmlformats.org/officeDocument/2006/relationships/hyperlink" Target="https://www.boe.es/boe/dias/2026/01/08/pdfs/BOE-A-2026-423.pdf" TargetMode="External"/><Relationship Id="rId102" Type="http://schemas.openxmlformats.org/officeDocument/2006/relationships/hyperlink" Target="https://www.boe.es/boe/dias/2026/01/12/pdfs/BOE-A-2026-619.pdf" TargetMode="External"/><Relationship Id="rId123" Type="http://schemas.openxmlformats.org/officeDocument/2006/relationships/hyperlink" Target="https://www.poderjudicial.es/search/AN/openDocument/51bb9279b0d57656a0a8778d75e36f0d/20260122" TargetMode="External"/><Relationship Id="rId144" Type="http://schemas.openxmlformats.org/officeDocument/2006/relationships/hyperlink" Target="https://www.poderjudicial.es/search/AN/openDocument/27f4ddd6d7c5889aa0a8778d75e36f0d/20260205" TargetMode="External"/><Relationship Id="rId90" Type="http://schemas.openxmlformats.org/officeDocument/2006/relationships/hyperlink" Target="https://www.boe.es/boe/dias/2026/01/20/pdfs/BOE-A-2026-1258.pdf" TargetMode="External"/><Relationship Id="rId165" Type="http://schemas.openxmlformats.org/officeDocument/2006/relationships/hyperlink" Target="https://www.poderjudicial.es/search/AN/openDocument/16ab47e06fdd58f5a0a8778d75e36f0d/20260123" TargetMode="External"/><Relationship Id="rId186" Type="http://schemas.openxmlformats.org/officeDocument/2006/relationships/hyperlink" Target="https://www.poderjudicial.es/search/AN/openDocument/1061bd3502cd1569a0a8778d75e36f0d/20260127" TargetMode="External"/><Relationship Id="rId211" Type="http://schemas.openxmlformats.org/officeDocument/2006/relationships/hyperlink" Target="https://gobiernolocal.org/Actividades/Cicle_JME/2026/ProgramaJME2026_esp.pdf" TargetMode="External"/><Relationship Id="rId27" Type="http://schemas.openxmlformats.org/officeDocument/2006/relationships/hyperlink" Target="https://www.contratacion.euskadi.eus/contenidos/resolucion_oarc/10_2026/es_def/adjuntos/Resolucion10_2026.pdf" TargetMode="External"/><Relationship Id="rId48" Type="http://schemas.openxmlformats.org/officeDocument/2006/relationships/hyperlink" Target="https://www.boe.es/boe/dias/2026/01/28/pdfs/BOE-A-2026-2025.pdf" TargetMode="External"/><Relationship Id="rId69" Type="http://schemas.openxmlformats.org/officeDocument/2006/relationships/hyperlink" Target="https://www.euskadi.eus/web01-bopv/es/bopv2/datos/2026/03/2601276a.pdf" TargetMode="External"/><Relationship Id="rId113" Type="http://schemas.openxmlformats.org/officeDocument/2006/relationships/hyperlink" Target="https://www.boe.es/boe/dias/2026/02/12/pdfs/BOE-A-2026-3218.pdf" TargetMode="External"/><Relationship Id="rId134" Type="http://schemas.openxmlformats.org/officeDocument/2006/relationships/hyperlink" Target="https://www.poderjudicial.es/search/AN/openDocument/2e07f4ba128a9b0ca0a8778d75e36f0d/20260129" TargetMode="External"/><Relationship Id="rId80" Type="http://schemas.openxmlformats.org/officeDocument/2006/relationships/hyperlink" Target="https://www.boe.es/boe/dias/2026/01/16/pdfs/BOE-A-2026-943.pdf" TargetMode="External"/><Relationship Id="rId155" Type="http://schemas.openxmlformats.org/officeDocument/2006/relationships/hyperlink" Target="https://www.poderjudicial.es/search/AN/openDocument/6714e32438c3fb16a0a8778d75e36f0d/20260212" TargetMode="External"/><Relationship Id="rId176" Type="http://schemas.openxmlformats.org/officeDocument/2006/relationships/hyperlink" Target="https://www.poderjudicial.es/search/AN/openDocument/7ece7c78f1dfaa3da0a8778d75e36f0d/20260123" TargetMode="External"/><Relationship Id="rId197" Type="http://schemas.openxmlformats.org/officeDocument/2006/relationships/hyperlink" Target="https://www.poderjudicial.es/search/indexAN.jsp" TargetMode="External"/><Relationship Id="rId201" Type="http://schemas.openxmlformats.org/officeDocument/2006/relationships/hyperlink" Target="https://www.cor.europa.eu/es/noticias/la-ampliacion-debe-reforzar-la-seguridad-de-europa-y-defender-la-democracia-local-dicen-las-regiones" TargetMode="External"/><Relationship Id="rId17" Type="http://schemas.openxmlformats.org/officeDocument/2006/relationships/hyperlink" Target="https://www.gobiernolocal.org/acento-local/el-juego-del-silencio-administrativo-en-las-solicitudes-de-informacion-ambiental/" TargetMode="External"/><Relationship Id="rId38" Type="http://schemas.openxmlformats.org/officeDocument/2006/relationships/hyperlink" Target="https://www.hacienda.gob.es/tacrc/resoluciones/a&#241;o%202026/recurso%201824-2025%20clm%20172-2025%20(res%20430)%2012-03-2026.pdf" TargetMode="External"/><Relationship Id="rId59" Type="http://schemas.openxmlformats.org/officeDocument/2006/relationships/hyperlink" Target="https://www.boe.es/boe/dias/2026/03/21/pdfs/BOE-A-2026-6545.pdf" TargetMode="External"/><Relationship Id="rId103" Type="http://schemas.openxmlformats.org/officeDocument/2006/relationships/hyperlink" Target="https://www.boe.es/boe/dias/2026/01/12/pdfs/BOE-A-2026-620.pdf" TargetMode="External"/><Relationship Id="rId124" Type="http://schemas.openxmlformats.org/officeDocument/2006/relationships/hyperlink" Target="https://www.poderjudicial.es/search/AN/openDocument/97a81cfe5e0a3a1ba0a8778d75e36f0d/20260129" TargetMode="External"/><Relationship Id="rId70" Type="http://schemas.openxmlformats.org/officeDocument/2006/relationships/hyperlink" Target="https://egoitza.gipuzkoa.eus/gao-bog/castell/bog/2026/01/16/c2600246.pdf" TargetMode="External"/><Relationship Id="rId91" Type="http://schemas.openxmlformats.org/officeDocument/2006/relationships/hyperlink" Target="https://www.boe.es/boe/dias/2026/01/20/pdfs/BOE-A-2026-1259.pdf" TargetMode="External"/><Relationship Id="rId145" Type="http://schemas.openxmlformats.org/officeDocument/2006/relationships/hyperlink" Target="https://www.poderjudicial.es/search/AN/openDocument/405aecf2c255cc7fa0a8778d75e36f0d/20260129" TargetMode="External"/><Relationship Id="rId166" Type="http://schemas.openxmlformats.org/officeDocument/2006/relationships/hyperlink" Target="https://www.poderjudicial.es/search/AN/openDocument/adb1744c45a98d11a0a8778d75e36f0d/20260119" TargetMode="External"/><Relationship Id="rId187" Type="http://schemas.openxmlformats.org/officeDocument/2006/relationships/hyperlink" Target="https://www.poderjudicial.es/search/AN/openDocument/ce9cfef196b525c3a0a8778d75e36f0d/20260128" TargetMode="External"/><Relationship Id="rId1" Type="http://schemas.openxmlformats.org/officeDocument/2006/relationships/customXml" Target="../customXml/item1.xml"/><Relationship Id="rId212" Type="http://schemas.openxmlformats.org/officeDocument/2006/relationships/image" Target="media/image6.png"/><Relationship Id="rId28" Type="http://schemas.openxmlformats.org/officeDocument/2006/relationships/hyperlink" Target="https://www.contratacion.euskadi.eus/contenidos/resolucion_oarc/17_2026/es_def/adjuntos/Resolucion17_2026.pdf" TargetMode="External"/><Relationship Id="rId49" Type="http://schemas.openxmlformats.org/officeDocument/2006/relationships/hyperlink" Target="https://www.boe.es/boe/dias/2026/01/28/pdfs/BOE-A-2026-2026.pdf" TargetMode="External"/><Relationship Id="rId114" Type="http://schemas.openxmlformats.org/officeDocument/2006/relationships/hyperlink" Target="https://www.boe.es/boe/dias/2026/01/24/pdfs/BOE-A-2026-1682.pdf" TargetMode="External"/><Relationship Id="rId60" Type="http://schemas.openxmlformats.org/officeDocument/2006/relationships/hyperlink" Target="https://www.euskadi.eus/web01-bopv/es/bopv2/datos/2026/01/2600210a.pdf" TargetMode="External"/><Relationship Id="rId81" Type="http://schemas.openxmlformats.org/officeDocument/2006/relationships/hyperlink" Target="https://www.boe.es/boe/dias/2026/01/16/pdfs/BOE-A-2026-944.pdf" TargetMode="External"/><Relationship Id="rId135" Type="http://schemas.openxmlformats.org/officeDocument/2006/relationships/hyperlink" Target="https://www.poderjudicial.es/search/AN/openDocument/13e514b27c6c7010a0a8778d75e36f0d/20260205" TargetMode="External"/><Relationship Id="rId156" Type="http://schemas.openxmlformats.org/officeDocument/2006/relationships/hyperlink" Target="https://www.poderjudicial.es/search/AN/openDocument/154960f30f9e07fba0a8778d75e36f0d/20260212" TargetMode="External"/><Relationship Id="rId177" Type="http://schemas.openxmlformats.org/officeDocument/2006/relationships/hyperlink" Target="https://www.poderjudicial.es/search/AN/openDocument/19620f0ecf4a07d1a0a8778d75e36f0d/20260123" TargetMode="External"/><Relationship Id="rId198" Type="http://schemas.openxmlformats.org/officeDocument/2006/relationships/hyperlink" Target="https://www.poderjudicial.es/search/AN/openDocument/7b700998f254b585a0a8778d75e36f0d/20260309" TargetMode="External"/><Relationship Id="rId202" Type="http://schemas.openxmlformats.org/officeDocument/2006/relationships/image" Target="media/image1.png"/><Relationship Id="rId18" Type="http://schemas.openxmlformats.org/officeDocument/2006/relationships/hyperlink" Target="https://www.gobiernolocal.org/acento-local/publicidad-sancionadora-pena-reputacional-y-tutela-cautelar/" TargetMode="External"/><Relationship Id="rId39" Type="http://schemas.openxmlformats.org/officeDocument/2006/relationships/hyperlink" Target="https://www.hacienda.gob.es/tacrc/resoluciones/a&#241;o%202026/recurso%201974-2025%20(res%20433)%2012-03-2026.pdf" TargetMode="External"/><Relationship Id="rId50" Type="http://schemas.openxmlformats.org/officeDocument/2006/relationships/hyperlink" Target="https://www.boe.es/boe/dias/2026/01/29/pdfs/BOE-A-2026-2072.pdf" TargetMode="External"/><Relationship Id="rId104" Type="http://schemas.openxmlformats.org/officeDocument/2006/relationships/hyperlink" Target="https://www.boe.es/boe/dias/2026/02/14/pdfs/BOE-A-2026-3383.pdf" TargetMode="External"/><Relationship Id="rId125" Type="http://schemas.openxmlformats.org/officeDocument/2006/relationships/hyperlink" Target="https://www.poderjudicial.es/search/AN/openDocument/36703f099045bf3aa0a8778d75e36f0d/20260122" TargetMode="External"/><Relationship Id="rId146" Type="http://schemas.openxmlformats.org/officeDocument/2006/relationships/hyperlink" Target="https://www.poderjudicial.es/search/AN/openDocument/71d8c9f97b4554b8a0a8778d75e36f0d/20260205" TargetMode="External"/><Relationship Id="rId167" Type="http://schemas.openxmlformats.org/officeDocument/2006/relationships/hyperlink" Target="https://www.poderjudicial.es/search/AN/openDocument/8a9fb6979c59e1fda0a8778d75e36f0d/20260119" TargetMode="External"/><Relationship Id="rId188" Type="http://schemas.openxmlformats.org/officeDocument/2006/relationships/hyperlink" Target="https://www.poderjudicial.es/search/AN/openDocument/3de3817fc95a6ce7a0a8778d75e36f0d/20260128" TargetMode="External"/><Relationship Id="rId71" Type="http://schemas.openxmlformats.org/officeDocument/2006/relationships/hyperlink" Target="https://egoitza.gipuzkoa.eus/gao-bog/castell/bog/2026/02/06/c2600810.pdf" TargetMode="External"/><Relationship Id="rId92" Type="http://schemas.openxmlformats.org/officeDocument/2006/relationships/hyperlink" Target="https://www.boe.es/boe/dias/2026/01/20/pdfs/BOE-A-2026-1260.pdf" TargetMode="External"/><Relationship Id="rId213" Type="http://schemas.openxmlformats.org/officeDocument/2006/relationships/header" Target="header1.xml"/><Relationship Id="rId2" Type="http://schemas.openxmlformats.org/officeDocument/2006/relationships/styles" Target="styles.xml"/><Relationship Id="rId29" Type="http://schemas.openxmlformats.org/officeDocument/2006/relationships/hyperlink" Target="https://www.contratacion.euskadi.eus/contenidos/resolucion_oarc/18_2026/es_def/adjuntos/Resolucion18_2026.pdf" TargetMode="External"/><Relationship Id="rId40" Type="http://schemas.openxmlformats.org/officeDocument/2006/relationships/hyperlink" Target="https://www.hacienda.gob.es/tacrc/resoluciones/a&#241;o%202026/recurso%201959-2025%20ib%20113-2025%20(res%20498)%2019-03-2026.pdf" TargetMode="External"/><Relationship Id="rId115" Type="http://schemas.openxmlformats.org/officeDocument/2006/relationships/hyperlink" Target="https://www.boe.es/boe/dias/2026/01/10/pdfs/BOE-A-2026-563.pdf" TargetMode="External"/><Relationship Id="rId136" Type="http://schemas.openxmlformats.org/officeDocument/2006/relationships/hyperlink" Target="https://www.poderjudicial.es/search/AN/openDocument/ffc9e804779fe6d2a0a8778d75e36f0d/20260129" TargetMode="External"/><Relationship Id="rId157" Type="http://schemas.openxmlformats.org/officeDocument/2006/relationships/hyperlink" Target="https://www.poderjudicial.es/search/AN/openDocument/c723cedf644d09f4a0a8778d75e36f0d/20260212" TargetMode="External"/><Relationship Id="rId178" Type="http://schemas.openxmlformats.org/officeDocument/2006/relationships/hyperlink" Target="https://www.poderjudicial.es/search/AN/openDocument/05446ba8a1e57331a0a8778d75e36f0d/20260123" TargetMode="External"/><Relationship Id="rId61" Type="http://schemas.openxmlformats.org/officeDocument/2006/relationships/hyperlink" Target="https://www.euskadi.eus/web01-bopv/es/bopv2/datos/2026/01/2600361a.pdf" TargetMode="External"/><Relationship Id="rId82" Type="http://schemas.openxmlformats.org/officeDocument/2006/relationships/hyperlink" Target="https://www.boe.es/boe/dias/2026/01/16/pdfs/BOE-A-2026-945.pdf" TargetMode="External"/><Relationship Id="rId199" Type="http://schemas.openxmlformats.org/officeDocument/2006/relationships/hyperlink" Target="https://www.cor.europa.eu/es/noticias/las-regiones-motor-de-la-industria-europea-de-defensa" TargetMode="External"/><Relationship Id="rId203" Type="http://schemas.openxmlformats.org/officeDocument/2006/relationships/hyperlink" Target="https://www.ivap.euskadi.eus/webivap00-a5app2/es/t59auUdaWar/R1/sumario/131" TargetMode="External"/><Relationship Id="rId19" Type="http://schemas.openxmlformats.org/officeDocument/2006/relationships/hyperlink" Target="https://www.gobiernolocal.org/acento-local/las-declaraciones-institucionales-de-los-gobiernos-locales-como-manifestacion-especifica-de-su-actuacion-internaciona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D6C18C0AE4883442AFF2B0EBD23B016F" ma:contentTypeVersion="19" ma:contentTypeDescription="Crear nuevo documento." ma:contentTypeScope="" ma:versionID="de6792c5195b3affd8a0e82adfb9b1cb">
  <xsd:schema xmlns:xsd="http://www.w3.org/2001/XMLSchema" xmlns:xs="http://www.w3.org/2001/XMLSchema" xmlns:p="http://schemas.microsoft.com/office/2006/metadata/properties" xmlns:ns2="100d237f-dbdb-4b06-af8e-32070bcf998c" xmlns:ns3="a0eed0c6-a2f9-4b40-929b-2662350a63c6" targetNamespace="http://schemas.microsoft.com/office/2006/metadata/properties" ma:root="true" ma:fieldsID="edd00a4fef37e9f05e0f909e9fb3eb96" ns2:_="" ns3:_="">
    <xsd:import namespace="100d237f-dbdb-4b06-af8e-32070bcf998c"/>
    <xsd:import namespace="a0eed0c6-a2f9-4b40-929b-2662350a63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0d237f-dbdb-4b06-af8e-32070bcf99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16238219-447f-418f-809f-6e2596424ee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0eed0c6-a2f9-4b40-929b-2662350a63c6"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bf0365da-c44b-4d1d-a84b-488cf51ebe03}" ma:internalName="TaxCatchAll" ma:showField="CatchAllData" ma:web="a0eed0c6-a2f9-4b40-929b-2662350a63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00d237f-dbdb-4b06-af8e-32070bcf998c">
      <Terms xmlns="http://schemas.microsoft.com/office/infopath/2007/PartnerControls"/>
    </lcf76f155ced4ddcb4097134ff3c332f>
    <TaxCatchAll xmlns="a0eed0c6-a2f9-4b40-929b-2662350a63c6" xsi:nil="true"/>
  </documentManagement>
</p:properties>
</file>

<file path=customXml/itemProps1.xml><?xml version="1.0" encoding="utf-8"?>
<ds:datastoreItem xmlns:ds="http://schemas.openxmlformats.org/officeDocument/2006/customXml" ds:itemID="{FC08D938-658F-4A13-B266-E7790B5AE50B}">
  <ds:schemaRefs>
    <ds:schemaRef ds:uri="http://schemas.openxmlformats.org/officeDocument/2006/bibliography"/>
  </ds:schemaRefs>
</ds:datastoreItem>
</file>

<file path=customXml/itemProps2.xml><?xml version="1.0" encoding="utf-8"?>
<ds:datastoreItem xmlns:ds="http://schemas.openxmlformats.org/officeDocument/2006/customXml" ds:itemID="{C7F93DB5-45C6-443E-9060-EB6A524F6678}"/>
</file>

<file path=customXml/itemProps3.xml><?xml version="1.0" encoding="utf-8"?>
<ds:datastoreItem xmlns:ds="http://schemas.openxmlformats.org/officeDocument/2006/customXml" ds:itemID="{54E72965-B804-40C4-AD88-44689E2FF133}"/>
</file>

<file path=customXml/itemProps4.xml><?xml version="1.0" encoding="utf-8"?>
<ds:datastoreItem xmlns:ds="http://schemas.openxmlformats.org/officeDocument/2006/customXml" ds:itemID="{2089586E-1067-401B-9FA6-A71CD450A346}"/>
</file>

<file path=docProps/app.xml><?xml version="1.0" encoding="utf-8"?>
<Properties xmlns="http://schemas.openxmlformats.org/officeDocument/2006/extended-properties" xmlns:vt="http://schemas.openxmlformats.org/officeDocument/2006/docPropsVTypes">
  <Template>Normal.dotm</Template>
  <TotalTime>1301</TotalTime>
  <Pages>57</Pages>
  <Words>19070</Words>
  <Characters>117650</Characters>
  <Application>Microsoft Office Word</Application>
  <DocSecurity>0</DocSecurity>
  <Lines>1862</Lines>
  <Paragraphs>564</Paragraphs>
  <ScaleCrop>false</ScaleCrop>
  <Company/>
  <LinksUpToDate>false</LinksUpToDate>
  <CharactersWithSpaces>136187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Gumuzio Legarreta, Lexuri</cp:lastModifiedBy>
  <cp:revision>26</cp:revision>
  <dcterms:created xsi:type="dcterms:W3CDTF">2026-05-07T07:07:00Z</dcterms:created>
  <dcterms:modified xsi:type="dcterms:W3CDTF">2026-05-08T12:14:00Z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0x010100D6C18C0AE4883442AFF2B0EBD23B016F</vt:lpwstr>
  </property>
</Properties>
</file>