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5260" w:rsidRPr="00A659F4" w:rsidRDefault="00D15260" w:rsidP="00A659F4">
      <w:pPr>
        <w:jc w:val="both"/>
        <w:rPr>
          <w:rFonts w:ascii="Arial" w:hAnsi="Arial" w:cs="Arial"/>
          <w:sz w:val="20"/>
          <w:szCs w:val="20"/>
        </w:rPr>
      </w:pPr>
    </w:p>
    <w:p w:rsidR="00D15260" w:rsidRPr="00A659F4" w:rsidRDefault="00D15260" w:rsidP="00A659F4">
      <w:pPr>
        <w:jc w:val="both"/>
        <w:rPr>
          <w:rFonts w:ascii="Arial" w:hAnsi="Arial" w:cs="Arial"/>
          <w:sz w:val="20"/>
          <w:szCs w:val="20"/>
        </w:rPr>
      </w:pPr>
    </w:p>
    <w:p w:rsidR="007D24B2" w:rsidRDefault="007D24B2" w:rsidP="007D24B2">
      <w:pPr>
        <w:pStyle w:val="Default"/>
        <w:jc w:val="both"/>
        <w:rPr>
          <w:rFonts w:eastAsia="Cambria" w:cs="Times New Roman"/>
          <w:b/>
          <w:bCs/>
          <w:sz w:val="23"/>
          <w:szCs w:val="23"/>
          <w:lang w:val="eu-ES"/>
        </w:rPr>
      </w:pPr>
      <w:r>
        <w:rPr>
          <w:rFonts w:eastAsia="Cambria" w:cs="Times New Roman"/>
          <w:b/>
          <w:bCs/>
          <w:sz w:val="23"/>
          <w:szCs w:val="23"/>
          <w:lang w:val="eu-ES"/>
        </w:rPr>
        <w:t xml:space="preserve">Pauta heterologoari uko egiteko baimen informatua , COVID-19ren aurkako Vaxzevria txertoa lehen dosian jaso duten hirurogei urtetik beherako pertsonentzat, </w:t>
      </w:r>
      <w:r w:rsidRPr="007D24B2">
        <w:rPr>
          <w:rFonts w:eastAsia="Cambria" w:cs="Times New Roman"/>
          <w:b/>
          <w:bCs/>
          <w:sz w:val="23"/>
          <w:szCs w:val="23"/>
          <w:lang w:val="eu-ES"/>
        </w:rPr>
        <w:t xml:space="preserve"> Euskadiko Osasun Sailak </w:t>
      </w:r>
      <w:r>
        <w:rPr>
          <w:rFonts w:eastAsia="Cambria" w:cs="Times New Roman"/>
          <w:b/>
          <w:bCs/>
          <w:sz w:val="23"/>
          <w:szCs w:val="23"/>
          <w:lang w:val="eu-ES"/>
        </w:rPr>
        <w:t xml:space="preserve"> Osasun Ministerioarekin koordinatuta sustatutako kanpainaren esparruan</w:t>
      </w:r>
    </w:p>
    <w:p w:rsidR="007D24B2" w:rsidRDefault="007D24B2" w:rsidP="007D24B2">
      <w:pPr>
        <w:pStyle w:val="Default"/>
        <w:jc w:val="both"/>
      </w:pPr>
    </w:p>
    <w:p w:rsidR="007D24B2" w:rsidRPr="0081627F" w:rsidRDefault="007D24B2" w:rsidP="007D24B2">
      <w:pPr>
        <w:pStyle w:val="Default"/>
        <w:jc w:val="both"/>
        <w:rPr>
          <w:lang w:val="eu-ES"/>
        </w:rPr>
      </w:pPr>
      <w:r>
        <w:rPr>
          <w:rFonts w:ascii="Calibri" w:eastAsia="Calibri" w:hAnsi="Calibri" w:cs="Calibri"/>
          <w:sz w:val="23"/>
          <w:szCs w:val="23"/>
          <w:lang w:val="eu-ES"/>
        </w:rPr>
        <w:t xml:space="preserve">COVID-19aren aurkako txertaketa da, gaur egun, urtebete baino gehiago daramagun pandemia epe labur eta ertainean gainditzeko aukera bakarra.  Alternatiba horrek are zentzu handiagoa hartzen du egiaztatu dugunean birusaren kutsatze komunitarioaren bidez immunizazioa lortzeak zenbait kasutan gaixotasun hilgarri bat edo ondorio larriak dituen gaixotasun bat sortzen duela. Konfinatzeko eta beste eskubide eta askatasun batzuk mugatzeko neurriek ere ez dute frogatu birusaren hedapena eta pandemia bera behin betiko kontrolatu ahal izan dutenik, ez eta gure gizartearen funtzionamendu normala berreskuratu ahal izan dutenik ere, aurreikus daitekeen eta zentzuzko epe batean. </w:t>
      </w:r>
    </w:p>
    <w:p w:rsidR="007D24B2" w:rsidRPr="0081627F" w:rsidRDefault="007D24B2" w:rsidP="007D24B2">
      <w:pPr>
        <w:pStyle w:val="Default"/>
        <w:jc w:val="both"/>
        <w:rPr>
          <w:lang w:val="eu-ES"/>
        </w:rPr>
      </w:pPr>
      <w:r>
        <w:rPr>
          <w:rFonts w:ascii="Calibri" w:eastAsia="Calibri" w:hAnsi="Calibri" w:cs="Calibri"/>
          <w:sz w:val="23"/>
          <w:szCs w:val="23"/>
          <w:lang w:val="eu-ES"/>
        </w:rPr>
        <w:t xml:space="preserve">Biztanleriaren zati handi baten edo osoaren txertaketak emango lukeen immunizazioarekin pandemiaren inpaktua nabarmen eta modu iraunkorrean murriztea espero da. Behaketa-azterketa berrienek (horien artean daude Espainian egindako eraginkortasun-azterlanak </w:t>
      </w:r>
      <w:r>
        <w:rPr>
          <w:rFonts w:ascii="Calibri" w:eastAsia="Calibri" w:hAnsi="Calibri" w:cs="Calibri"/>
          <w:sz w:val="16"/>
          <w:szCs w:val="16"/>
          <w:lang w:val="eu-ES"/>
        </w:rPr>
        <w:t>1</w:t>
      </w:r>
      <w:r>
        <w:rPr>
          <w:rFonts w:ascii="Calibri" w:eastAsia="Calibri" w:hAnsi="Calibri" w:cs="Calibri"/>
          <w:sz w:val="23"/>
          <w:szCs w:val="23"/>
          <w:lang w:val="eu-ES"/>
        </w:rPr>
        <w:t xml:space="preserve">) erakusten dutenez, txertaketaren bidez COVID-19aren ondoriozko ospitalizazioa eta heriotza saihestu daitezke txertatutako pertsonen proportzio handian, baina, horrez gain, infekzioa murriztu egiten da, eta, beraz, birusaren transmisioa ere bai. </w:t>
      </w:r>
    </w:p>
    <w:p w:rsidR="007D24B2" w:rsidRPr="0081627F" w:rsidRDefault="007D24B2" w:rsidP="007D24B2">
      <w:pPr>
        <w:pStyle w:val="Default"/>
        <w:jc w:val="both"/>
        <w:rPr>
          <w:lang w:val="eu-ES"/>
        </w:rPr>
      </w:pPr>
      <w:r>
        <w:rPr>
          <w:rFonts w:ascii="Calibri" w:eastAsia="Calibri" w:hAnsi="Calibri" w:cs="Calibri"/>
          <w:sz w:val="23"/>
          <w:szCs w:val="23"/>
          <w:lang w:val="eu-ES"/>
        </w:rPr>
        <w:t xml:space="preserve">Saiakuntza klinikoetan milaka pertsonak hartu dute parte, eta eskuragarri dauden ikerketek erakutsi dute txertoa jarri zuten pertsonek babes handia dutela gaixotasunaren aurrean.  Europako Batzordeak, Sendagaien Europako Agentziak egindako ebaluazioaren ondoren, gaur egun Espainian baimenduta dauden txertoen segurtasuna eta eraginkortasuna egiaztatzen du.  Ondorio kaltegarri ohikoenak normalean erabiltzen eta gomendatzen diren eta txertaketa-egutegien parte diren txertoen antzekoak dira.  Horregatik, gaur egungo ebidentzia zientifikoaren arabera, txertaketak osasun-jarduera onuragarria dakar, bai txertaketa jasotzen duen pertsonarentzat, bai gizarte osoarentzat. </w:t>
      </w:r>
    </w:p>
    <w:p w:rsidR="007D24B2" w:rsidRPr="0081627F" w:rsidRDefault="007D24B2" w:rsidP="007D24B2">
      <w:pPr>
        <w:pStyle w:val="Default"/>
        <w:jc w:val="both"/>
        <w:rPr>
          <w:lang w:val="eu-ES"/>
        </w:rPr>
      </w:pPr>
      <w:r>
        <w:rPr>
          <w:rFonts w:ascii="Calibri" w:eastAsia="Calibri" w:hAnsi="Calibri" w:cs="Calibri"/>
          <w:sz w:val="23"/>
          <w:szCs w:val="23"/>
          <w:lang w:val="eu-ES"/>
        </w:rPr>
        <w:t xml:space="preserve">Hori guztia alde batera utzi gabe, azken asteetan zenbait kontrako gertaera jakinarazi dira, hots, hodi handien tronbosia garunean eta sabelaldean (tronbosiaren sindromea tronbozitopeniarekin). Oso gutxitan gertatzen badira ere, larritzat jotzen dira. Badirudi gertaera horiek areagotu egiten direla adinean behera egin ahala, eta ohikoagoak dira hirurogei urtetik beherakoen artean, eta, horien gainean, zalantza pixka bat dago oraindik, eta hainbat azterlan daude abian sakonago aztertzeko zergatik gertatzen diren. Tronbozitopeniarekiko tronbosi-sindromearen arrisku hori minimizatzeko, Espainian 60 urteko eta gehiagoko pertsonen artean txertoaren erabilera murriztu zen apirilaren 8tik aurrera. </w:t>
      </w:r>
    </w:p>
    <w:p w:rsidR="007D24B2" w:rsidRDefault="007D24B2" w:rsidP="007D24B2">
      <w:pPr>
        <w:pStyle w:val="Default"/>
        <w:jc w:val="both"/>
        <w:rPr>
          <w:rFonts w:ascii="Calibri" w:eastAsia="Calibri" w:hAnsi="Calibri" w:cs="Calibri"/>
          <w:sz w:val="23"/>
          <w:szCs w:val="23"/>
          <w:lang w:val="eu-ES"/>
        </w:rPr>
      </w:pPr>
      <w:r>
        <w:rPr>
          <w:rFonts w:ascii="Calibri" w:eastAsia="Calibri" w:hAnsi="Calibri" w:cs="Calibri"/>
          <w:sz w:val="23"/>
          <w:szCs w:val="23"/>
          <w:lang w:val="eu-ES"/>
        </w:rPr>
        <w:t xml:space="preserve">Osasun Sistema Nazionaleko Lurraldearteko Kontseiluko Osasun Publikorako Batzordeak, 2021eko maiatzaren 18an egindako bileran, erabaki zuen AstraZenecako Vaxzevria lehen dosiarekin txertoa hartu zuten hirurogei urtetik beherakoei Comirnaty eta Pfizer/BioNTech txertoa ematea, bigarren dosi gisa, txertaketa-pauta bi dosirekin osatzeko. Hori txertaketa-pauta horretan ikusitako segurtasunari eta erantzun immuneari buruz berriki emandako datuen ondorio da. </w:t>
      </w:r>
    </w:p>
    <w:p w:rsidR="007D24B2" w:rsidRDefault="007D24B2" w:rsidP="007D24B2">
      <w:pPr>
        <w:pStyle w:val="Default"/>
        <w:jc w:val="both"/>
        <w:rPr>
          <w:rFonts w:ascii="Calibri" w:eastAsia="Calibri" w:hAnsi="Calibri" w:cs="Calibri"/>
          <w:sz w:val="23"/>
          <w:szCs w:val="23"/>
          <w:lang w:val="eu-ES"/>
        </w:rPr>
      </w:pPr>
    </w:p>
    <w:p w:rsidR="007D24B2" w:rsidRPr="0081627F" w:rsidRDefault="007D24B2" w:rsidP="007D24B2">
      <w:pPr>
        <w:pStyle w:val="Default"/>
        <w:jc w:val="both"/>
        <w:rPr>
          <w:lang w:val="eu-ES"/>
        </w:rPr>
      </w:pPr>
    </w:p>
    <w:p w:rsidR="007D24B2" w:rsidRPr="0081627F" w:rsidRDefault="007D24B2" w:rsidP="007D24B2">
      <w:pPr>
        <w:pStyle w:val="Default"/>
        <w:jc w:val="both"/>
        <w:rPr>
          <w:rFonts w:ascii="Calibri" w:hAnsi="Calibri" w:cs="Calibri"/>
          <w:sz w:val="23"/>
          <w:szCs w:val="23"/>
          <w:lang w:val="eu-ES"/>
        </w:rPr>
      </w:pPr>
    </w:p>
    <w:p w:rsidR="007D24B2" w:rsidRDefault="007D24B2" w:rsidP="007D24B2">
      <w:pPr>
        <w:spacing w:line="260" w:lineRule="auto"/>
        <w:jc w:val="both"/>
        <w:rPr>
          <w:rFonts w:ascii="Arial" w:hAnsi="Arial" w:cs="Arial"/>
          <w:sz w:val="20"/>
          <w:szCs w:val="20"/>
          <w:lang w:val="eu-ES"/>
        </w:rPr>
      </w:pPr>
    </w:p>
    <w:p w:rsidR="007D24B2" w:rsidRDefault="007D24B2" w:rsidP="007D24B2">
      <w:pPr>
        <w:pStyle w:val="Default"/>
        <w:jc w:val="both"/>
        <w:rPr>
          <w:rFonts w:ascii="Calibri" w:eastAsia="Calibri" w:hAnsi="Calibri" w:cs="Calibri"/>
          <w:sz w:val="23"/>
          <w:szCs w:val="23"/>
          <w:lang w:val="eu-ES"/>
        </w:rPr>
      </w:pPr>
    </w:p>
    <w:p w:rsidR="007D24B2" w:rsidRPr="0081627F" w:rsidRDefault="007D24B2" w:rsidP="007D24B2">
      <w:pPr>
        <w:pStyle w:val="Default"/>
        <w:jc w:val="both"/>
        <w:rPr>
          <w:rFonts w:ascii="Calibri" w:eastAsia="Calibri" w:hAnsi="Calibri" w:cs="Calibri"/>
          <w:sz w:val="23"/>
          <w:szCs w:val="23"/>
          <w:lang w:val="eu-ES"/>
        </w:rPr>
      </w:pPr>
      <w:r w:rsidRPr="0081627F">
        <w:rPr>
          <w:rFonts w:ascii="Calibri" w:eastAsia="Calibri" w:hAnsi="Calibri" w:cs="Calibri"/>
          <w:sz w:val="23"/>
          <w:szCs w:val="23"/>
          <w:lang w:val="eu-ES"/>
        </w:rPr>
        <w:t>Bigarren dosian Pfizer/BioNTech-en Comirnaty-ren txertoa jartzeari uko egin diozunez, eta zure osasunerako eta kolektibitatearen osasunerako ezarritako txertoaren bi dosiak ez betetzeak ekarriko lukeen arriskurik ez egoteko, 41/2002 Legearen 2. artikuluan xedatzen denarekin bat etorriz (4. atalak ezartzen du pazienteak edo erabiltzaileak tratamenduari uko egiten badio idatziz jaso beharko dela), BAIMEN INFORMATUAREN dokumentu honen bidez HONAKO HAU ADIERAZTEN DUZU BERARIAZ ETA IDATZIZ:</w:t>
      </w:r>
    </w:p>
    <w:p w:rsidR="007D24B2" w:rsidRPr="00EF54A6" w:rsidRDefault="007D24B2" w:rsidP="007D24B2">
      <w:pPr>
        <w:spacing w:line="260" w:lineRule="auto"/>
        <w:jc w:val="both"/>
        <w:rPr>
          <w:rFonts w:ascii="Arial" w:hAnsi="Arial" w:cs="Arial"/>
          <w:sz w:val="20"/>
          <w:szCs w:val="20"/>
          <w:lang w:val="eu-ES"/>
        </w:rPr>
      </w:pPr>
      <w:r w:rsidRPr="001D2EDF">
        <w:rPr>
          <w:rFonts w:ascii="Arial" w:hAnsi="Arial" w:cs="Arial"/>
          <w:sz w:val="20"/>
          <w:szCs w:val="20"/>
          <w:lang w:val="eu-ES"/>
        </w:rPr>
        <w:t>1.- UKO EGITEN DIOT LEHEN DOSIKOAZ BESTELAKO TXERTO BATEN BIGARREN DOSIA HARTZEARI (lehen dosia AstraZenecaren Vaxzevria txertoa izan zen).</w:t>
      </w:r>
    </w:p>
    <w:p w:rsidR="007D24B2" w:rsidRPr="00EF54A6" w:rsidRDefault="007D24B2" w:rsidP="007D24B2">
      <w:pPr>
        <w:spacing w:line="260" w:lineRule="auto"/>
        <w:jc w:val="both"/>
        <w:rPr>
          <w:rFonts w:ascii="Arial" w:hAnsi="Arial" w:cs="Arial"/>
          <w:sz w:val="20"/>
          <w:szCs w:val="20"/>
          <w:lang w:val="eu-ES"/>
        </w:rPr>
      </w:pPr>
      <w:r w:rsidRPr="00EF54A6">
        <w:rPr>
          <w:rFonts w:ascii="Arial" w:hAnsi="Arial" w:cs="Arial"/>
          <w:sz w:val="20"/>
          <w:szCs w:val="20"/>
          <w:lang w:val="eu-ES"/>
        </w:rPr>
        <w:t xml:space="preserve">2º. </w:t>
      </w:r>
      <w:r w:rsidRPr="001D2EDF">
        <w:rPr>
          <w:rFonts w:ascii="Arial" w:hAnsi="Arial" w:cs="Arial"/>
          <w:sz w:val="20"/>
          <w:szCs w:val="20"/>
          <w:lang w:val="eu-ES"/>
        </w:rPr>
        <w:t>2.- ASTRAZENECAREN VAXZEVRIA TXERTOAREN BIGARREN DOSIA JARTZEKO ESKATZEN DUT.</w:t>
      </w:r>
    </w:p>
    <w:p w:rsidR="007D24B2" w:rsidRPr="00EF54A6" w:rsidRDefault="007D24B2" w:rsidP="007D24B2">
      <w:pPr>
        <w:spacing w:line="260" w:lineRule="auto"/>
        <w:jc w:val="both"/>
        <w:rPr>
          <w:rFonts w:ascii="Arial" w:hAnsi="Arial" w:cs="Arial"/>
          <w:sz w:val="20"/>
          <w:szCs w:val="20"/>
          <w:lang w:val="eu-ES"/>
        </w:rPr>
      </w:pPr>
      <w:r w:rsidRPr="001D2EDF">
        <w:rPr>
          <w:rFonts w:ascii="Arial" w:hAnsi="Arial" w:cs="Arial"/>
          <w:sz w:val="20"/>
          <w:szCs w:val="20"/>
          <w:lang w:val="eu-ES"/>
        </w:rPr>
        <w:t>Adierazten dut, gainera, jakitun nagoela tronbosia tronbozitopeniarekin batera garatzeko arrisku ezohikoa dagoela.</w:t>
      </w:r>
    </w:p>
    <w:p w:rsidR="007D24B2" w:rsidRPr="00EF54A6" w:rsidRDefault="007D24B2" w:rsidP="007D24B2">
      <w:pPr>
        <w:spacing w:line="260" w:lineRule="auto"/>
        <w:jc w:val="both"/>
        <w:rPr>
          <w:rFonts w:ascii="Arial" w:hAnsi="Arial" w:cs="Arial"/>
          <w:sz w:val="20"/>
          <w:szCs w:val="20"/>
          <w:lang w:val="eu-ES"/>
        </w:rPr>
      </w:pPr>
      <w:r w:rsidRPr="001D2EDF">
        <w:rPr>
          <w:rFonts w:ascii="Arial" w:hAnsi="Arial" w:cs="Arial"/>
          <w:sz w:val="20"/>
          <w:szCs w:val="20"/>
          <w:lang w:val="eu-ES"/>
        </w:rPr>
        <w:t>Nik,  ___________________________________________ jaunak/andreak,  ______________ NAN/AIZ zenbakidunak,</w:t>
      </w:r>
    </w:p>
    <w:p w:rsidR="007D24B2" w:rsidRPr="00EF54A6" w:rsidRDefault="007D24B2" w:rsidP="007D24B2">
      <w:pPr>
        <w:spacing w:line="260" w:lineRule="auto"/>
        <w:jc w:val="both"/>
        <w:rPr>
          <w:rFonts w:ascii="Arial" w:hAnsi="Arial" w:cs="Arial"/>
          <w:sz w:val="20"/>
          <w:szCs w:val="20"/>
          <w:lang w:val="eu-ES"/>
        </w:rPr>
      </w:pPr>
      <w:r w:rsidRPr="001D2EDF">
        <w:rPr>
          <w:rFonts w:ascii="Arial" w:hAnsi="Arial" w:cs="Arial"/>
          <w:sz w:val="20"/>
          <w:szCs w:val="20"/>
          <w:lang w:val="eu-ES"/>
        </w:rPr>
        <w:t xml:space="preserve">baimena ematen dut COVID-19aren aurkako txertoa </w:t>
      </w:r>
      <w:r>
        <w:rPr>
          <w:rFonts w:ascii="Arial" w:hAnsi="Arial" w:cs="Arial"/>
          <w:sz w:val="20"/>
          <w:szCs w:val="20"/>
          <w:lang w:val="eu-ES"/>
        </w:rPr>
        <w:t>emateko</w:t>
      </w:r>
    </w:p>
    <w:p w:rsidR="007D24B2" w:rsidRPr="00EF54A6" w:rsidRDefault="007D24B2" w:rsidP="007D24B2">
      <w:pPr>
        <w:jc w:val="both"/>
        <w:rPr>
          <w:rFonts w:ascii="Arial" w:hAnsi="Arial" w:cs="Arial"/>
          <w:sz w:val="20"/>
          <w:szCs w:val="20"/>
          <w:lang w:val="eu-ES"/>
        </w:rPr>
      </w:pPr>
    </w:p>
    <w:p w:rsidR="007D24B2" w:rsidRPr="00EF54A6" w:rsidRDefault="007D24B2" w:rsidP="007D24B2">
      <w:pPr>
        <w:spacing w:line="260" w:lineRule="auto"/>
        <w:jc w:val="both"/>
        <w:rPr>
          <w:rFonts w:ascii="Arial" w:hAnsi="Arial" w:cs="Arial"/>
          <w:sz w:val="20"/>
          <w:szCs w:val="20"/>
          <w:lang w:val="eu-ES"/>
        </w:rPr>
      </w:pPr>
      <w:r w:rsidRPr="001D2EDF">
        <w:rPr>
          <w:rFonts w:ascii="Arial" w:hAnsi="Arial" w:cs="Arial"/>
          <w:sz w:val="20"/>
          <w:szCs w:val="20"/>
          <w:lang w:val="eu-ES"/>
        </w:rPr>
        <w:t>Lekua, eguna eta sinadura</w:t>
      </w:r>
    </w:p>
    <w:p w:rsidR="007D24B2" w:rsidRPr="00EF54A6" w:rsidRDefault="007D24B2" w:rsidP="007D24B2">
      <w:pPr>
        <w:spacing w:line="260" w:lineRule="auto"/>
        <w:jc w:val="both"/>
        <w:rPr>
          <w:rFonts w:ascii="Arial" w:hAnsi="Arial" w:cs="Arial"/>
          <w:sz w:val="20"/>
          <w:szCs w:val="20"/>
          <w:lang w:val="eu-ES"/>
        </w:rPr>
      </w:pPr>
      <w:r w:rsidRPr="001D2EDF">
        <w:rPr>
          <w:rFonts w:ascii="Arial" w:hAnsi="Arial" w:cs="Arial"/>
          <w:sz w:val="20"/>
          <w:szCs w:val="20"/>
          <w:lang w:val="eu-ES"/>
        </w:rPr>
        <w:t>Pazientearen ezgaitasunaren kasuan, legezko ordezkariaren baimena beharko da.</w:t>
      </w:r>
    </w:p>
    <w:p w:rsidR="007D24B2" w:rsidRPr="00EF54A6" w:rsidRDefault="007D24B2" w:rsidP="007D24B2">
      <w:pPr>
        <w:spacing w:line="260" w:lineRule="auto"/>
        <w:jc w:val="both"/>
        <w:rPr>
          <w:rFonts w:ascii="Arial" w:hAnsi="Arial" w:cs="Arial"/>
          <w:sz w:val="20"/>
          <w:szCs w:val="20"/>
          <w:lang w:val="eu-ES"/>
        </w:rPr>
      </w:pPr>
      <w:r w:rsidRPr="001D2EDF">
        <w:rPr>
          <w:rFonts w:ascii="Arial" w:hAnsi="Arial" w:cs="Arial"/>
          <w:sz w:val="20"/>
          <w:szCs w:val="20"/>
          <w:lang w:val="eu-ES"/>
        </w:rPr>
        <w:t>LEGEZKO ORDEZKARIAREN BAIMENA</w:t>
      </w:r>
      <w:r w:rsidRPr="00EF54A6">
        <w:rPr>
          <w:rFonts w:ascii="Arial" w:hAnsi="Arial" w:cs="Arial"/>
          <w:sz w:val="20"/>
          <w:szCs w:val="20"/>
          <w:lang w:val="eu-ES"/>
        </w:rPr>
        <w:t xml:space="preserve"> </w:t>
      </w:r>
    </w:p>
    <w:p w:rsidR="007D24B2" w:rsidRPr="00EF54A6" w:rsidRDefault="007D24B2" w:rsidP="007D24B2">
      <w:pPr>
        <w:spacing w:line="260" w:lineRule="auto"/>
        <w:jc w:val="both"/>
        <w:rPr>
          <w:rFonts w:ascii="Arial" w:hAnsi="Arial" w:cs="Arial"/>
          <w:sz w:val="20"/>
          <w:szCs w:val="20"/>
          <w:lang w:val="eu-ES"/>
        </w:rPr>
      </w:pPr>
      <w:r w:rsidRPr="001D2EDF">
        <w:rPr>
          <w:rFonts w:ascii="Arial" w:hAnsi="Arial" w:cs="Arial"/>
          <w:sz w:val="20"/>
          <w:szCs w:val="20"/>
          <w:lang w:val="eu-ES"/>
        </w:rPr>
        <w:t>___________________________________________ jauna/andrea,  ______________ NAN/AIZ zenbakiduna,</w:t>
      </w:r>
    </w:p>
    <w:p w:rsidR="007D24B2" w:rsidRPr="005A0A3A" w:rsidRDefault="007D24B2" w:rsidP="007D24B2">
      <w:pPr>
        <w:spacing w:line="260" w:lineRule="auto"/>
        <w:jc w:val="both"/>
        <w:rPr>
          <w:rFonts w:ascii="Arial" w:hAnsi="Arial" w:cs="Arial"/>
          <w:sz w:val="20"/>
          <w:szCs w:val="20"/>
          <w:lang w:val="it-IT"/>
        </w:rPr>
      </w:pPr>
      <w:r w:rsidRPr="001D2EDF">
        <w:rPr>
          <w:rFonts w:ascii="Arial" w:hAnsi="Arial" w:cs="Arial"/>
          <w:sz w:val="20"/>
          <w:szCs w:val="20"/>
          <w:lang w:val="eu-ES"/>
        </w:rPr>
        <w:t>Lekua, eguna eta sinadura</w:t>
      </w:r>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Datu pertsonalen babesari buruzko informazioa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Behar bezala betetzeko Europako Parlamentuaren eta Kontseiluaren 2016ko apirilaren 27ko (EB) 2016/679 Erregelamendua, Datu pertsonalen tratamenduari dagokionez pertsona fisikoen babesari eta datu horien zirkulazio askeari buruzko arauak ezartzen dituena, jakinarazten da datu pertsonalak tratamendu-jarduera honen barruan sartuko direla: </w:t>
      </w:r>
      <w:r w:rsidRPr="00A07B4A">
        <w:rPr>
          <w:rFonts w:ascii="Arial" w:hAnsi="Arial" w:cs="Arial"/>
          <w:i/>
          <w:iCs/>
          <w:sz w:val="20"/>
          <w:szCs w:val="20"/>
          <w:lang w:val="eu-ES"/>
        </w:rPr>
        <w:t>Covid-19ren aurkako txertaketaren erregistroa.</w:t>
      </w:r>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Tratamendu-arduraduna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Osasun Publikoaren eta Adikzioen Zuzendaritza, Osasun Saila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Donostia-San Sebastián 1,</w:t>
      </w:r>
      <w:r>
        <w:rPr>
          <w:rFonts w:ascii="Arial" w:hAnsi="Arial" w:cs="Arial"/>
          <w:sz w:val="20"/>
          <w:szCs w:val="20"/>
          <w:lang w:val="eu-ES"/>
        </w:rPr>
        <w:t xml:space="preserve"> </w:t>
      </w:r>
      <w:r w:rsidRPr="00A07B4A">
        <w:rPr>
          <w:rFonts w:ascii="Arial" w:hAnsi="Arial" w:cs="Arial"/>
          <w:sz w:val="20"/>
          <w:szCs w:val="20"/>
          <w:lang w:val="eu-ES"/>
        </w:rPr>
        <w:t>01010,</w:t>
      </w:r>
      <w:r>
        <w:rPr>
          <w:rFonts w:ascii="Arial" w:hAnsi="Arial" w:cs="Arial"/>
          <w:sz w:val="20"/>
          <w:szCs w:val="20"/>
          <w:lang w:val="eu-ES"/>
        </w:rPr>
        <w:t xml:space="preserve"> </w:t>
      </w:r>
      <w:r w:rsidRPr="00A07B4A">
        <w:rPr>
          <w:rFonts w:ascii="Arial" w:hAnsi="Arial" w:cs="Arial"/>
          <w:sz w:val="20"/>
          <w:szCs w:val="20"/>
          <w:lang w:val="eu-ES"/>
        </w:rPr>
        <w:t>Vitoria-Gasteiz,</w:t>
      </w:r>
      <w:r>
        <w:rPr>
          <w:rFonts w:ascii="Arial" w:hAnsi="Arial" w:cs="Arial"/>
          <w:sz w:val="20"/>
          <w:szCs w:val="20"/>
          <w:lang w:val="eu-ES"/>
        </w:rPr>
        <w:t xml:space="preserve"> </w:t>
      </w:r>
      <w:r w:rsidRPr="00A07B4A">
        <w:rPr>
          <w:rFonts w:ascii="Arial" w:hAnsi="Arial" w:cs="Arial"/>
          <w:sz w:val="20"/>
          <w:szCs w:val="20"/>
          <w:lang w:val="eu-ES"/>
        </w:rPr>
        <w:t>Araba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 xml:space="preserve">Telefonoa: </w:t>
      </w:r>
      <w:hyperlink r:id="rId7" w:history="1">
        <w:r w:rsidRPr="00A07B4A">
          <w:rPr>
            <w:rStyle w:val="Hyperlink"/>
            <w:rFonts w:ascii="Arial" w:hAnsi="Arial" w:cs="Arial"/>
            <w:sz w:val="20"/>
            <w:szCs w:val="20"/>
            <w:lang w:val="eu-ES"/>
          </w:rPr>
          <w:t>945018000</w:t>
        </w:r>
      </w:hyperlink>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 xml:space="preserve">Web orria: </w:t>
      </w:r>
      <w:hyperlink r:id="rId8" w:tooltip="tratamendu-jarduetako ardunaduraren web orria" w:history="1">
        <w:r w:rsidRPr="00A07B4A">
          <w:rPr>
            <w:rStyle w:val="Hyperlink"/>
            <w:rFonts w:ascii="Arial" w:hAnsi="Arial" w:cs="Arial"/>
            <w:sz w:val="20"/>
            <w:szCs w:val="20"/>
            <w:lang w:val="eu-ES"/>
          </w:rPr>
          <w:t>http://euskadi.eus</w:t>
        </w:r>
      </w:hyperlink>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Datuak babesteko ordezkaria</w:t>
      </w:r>
    </w:p>
    <w:p w:rsidR="007D24B2" w:rsidRDefault="007D24B2" w:rsidP="007D24B2">
      <w:pPr>
        <w:jc w:val="both"/>
        <w:rPr>
          <w:rFonts w:ascii="Arial" w:hAnsi="Arial" w:cs="Arial"/>
          <w:sz w:val="20"/>
          <w:szCs w:val="20"/>
          <w:lang w:val="eu-ES"/>
        </w:rPr>
      </w:pPr>
      <w:r w:rsidRPr="00A07B4A">
        <w:rPr>
          <w:rFonts w:ascii="Arial" w:hAnsi="Arial" w:cs="Arial"/>
          <w:sz w:val="20"/>
          <w:szCs w:val="20"/>
          <w:lang w:val="eu-ES"/>
        </w:rPr>
        <w:t>Donostia-San Sebastián 1,</w:t>
      </w:r>
      <w:r w:rsidRPr="005E1374">
        <w:rPr>
          <w:rFonts w:ascii="Arial" w:hAnsi="Arial" w:cs="Arial"/>
          <w:sz w:val="20"/>
          <w:szCs w:val="20"/>
          <w:lang w:val="eu-ES"/>
        </w:rPr>
        <w:t xml:space="preserve"> </w:t>
      </w:r>
      <w:r w:rsidRPr="00A07B4A">
        <w:rPr>
          <w:rFonts w:ascii="Arial" w:hAnsi="Arial" w:cs="Arial"/>
          <w:sz w:val="20"/>
          <w:szCs w:val="20"/>
          <w:lang w:val="eu-ES"/>
        </w:rPr>
        <w:t>01010,</w:t>
      </w:r>
      <w:r>
        <w:rPr>
          <w:rFonts w:ascii="Arial" w:hAnsi="Arial" w:cs="Arial"/>
          <w:sz w:val="20"/>
          <w:szCs w:val="20"/>
          <w:lang w:val="eu-ES"/>
        </w:rPr>
        <w:t xml:space="preserve"> </w:t>
      </w:r>
      <w:r w:rsidRPr="00A07B4A">
        <w:rPr>
          <w:rFonts w:ascii="Arial" w:hAnsi="Arial" w:cs="Arial"/>
          <w:sz w:val="20"/>
          <w:szCs w:val="20"/>
          <w:lang w:val="eu-ES"/>
        </w:rPr>
        <w:t>Vitoria-Gasteiz,</w:t>
      </w:r>
      <w:r>
        <w:rPr>
          <w:rFonts w:ascii="Arial" w:hAnsi="Arial" w:cs="Arial"/>
          <w:sz w:val="20"/>
          <w:szCs w:val="20"/>
          <w:lang w:val="eu-ES"/>
        </w:rPr>
        <w:t xml:space="preserve"> </w:t>
      </w:r>
      <w:r w:rsidRPr="00A07B4A">
        <w:rPr>
          <w:rFonts w:ascii="Arial" w:hAnsi="Arial" w:cs="Arial"/>
          <w:sz w:val="20"/>
          <w:szCs w:val="20"/>
          <w:lang w:val="eu-ES"/>
        </w:rPr>
        <w:t xml:space="preserve">Araba </w:t>
      </w:r>
    </w:p>
    <w:p w:rsidR="007D24B2" w:rsidRDefault="007D24B2" w:rsidP="007D24B2">
      <w:pPr>
        <w:jc w:val="both"/>
        <w:rPr>
          <w:rStyle w:val="Hyperlink"/>
        </w:rPr>
      </w:pPr>
      <w:r w:rsidRPr="00A07B4A">
        <w:rPr>
          <w:rFonts w:ascii="Arial" w:hAnsi="Arial" w:cs="Arial"/>
          <w:sz w:val="20"/>
          <w:szCs w:val="20"/>
          <w:lang w:val="eu-ES"/>
        </w:rPr>
        <w:t xml:space="preserve">Web orria: </w:t>
      </w:r>
      <w:hyperlink r:id="rId9" w:tooltip="Datuak babesteko ordezkariaren web orria" w:history="1">
        <w:r w:rsidRPr="00A07B4A">
          <w:rPr>
            <w:rStyle w:val="Hyperlink"/>
            <w:rFonts w:ascii="Arial" w:hAnsi="Arial" w:cs="Arial"/>
            <w:sz w:val="20"/>
            <w:szCs w:val="20"/>
            <w:lang w:val="eu-ES"/>
          </w:rPr>
          <w:t>www.euskadi.eus/datu-babesa</w:t>
        </w:r>
      </w:hyperlink>
    </w:p>
    <w:p w:rsidR="007D24B2" w:rsidRDefault="007D24B2" w:rsidP="007D24B2">
      <w:pPr>
        <w:jc w:val="both"/>
        <w:rPr>
          <w:rStyle w:val="Hyperlink"/>
        </w:rPr>
      </w:pPr>
    </w:p>
    <w:p w:rsidR="007D24B2" w:rsidRPr="00A07B4A" w:rsidRDefault="007D24B2" w:rsidP="007D24B2">
      <w:pPr>
        <w:jc w:val="both"/>
        <w:rPr>
          <w:rFonts w:ascii="Arial" w:hAnsi="Arial" w:cs="Arial"/>
          <w:sz w:val="20"/>
          <w:szCs w:val="20"/>
          <w:lang w:val="eu-ES"/>
        </w:rPr>
      </w:pPr>
      <w:bookmarkStart w:id="1" w:name="_GoBack"/>
      <w:bookmarkEnd w:id="1"/>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Tratamenduaren helburua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Tratamenduaren helburua SARS-CoV-2ren aurkako txertaketa-estrategiaren monitorizazioa eta jarraipena egitea da, Espainiako COVID-19ren aurkako txertaketa-estrategiaren arabera; horrez gain, txertaketa-ziurtagiriak ematea, EBko COVID ziurtagiri digitala barne.</w:t>
      </w:r>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Legitimazioa</w:t>
      </w:r>
    </w:p>
    <w:p w:rsidR="007D24B2" w:rsidRPr="00A07B4A" w:rsidRDefault="007D24B2" w:rsidP="007D24B2">
      <w:pPr>
        <w:numPr>
          <w:ilvl w:val="0"/>
          <w:numId w:val="5"/>
        </w:numPr>
        <w:jc w:val="both"/>
        <w:rPr>
          <w:rFonts w:ascii="Arial" w:hAnsi="Arial" w:cs="Arial"/>
          <w:sz w:val="20"/>
          <w:szCs w:val="20"/>
          <w:lang w:val="eu-ES"/>
        </w:rPr>
      </w:pPr>
      <w:r w:rsidRPr="00A07B4A">
        <w:rPr>
          <w:rFonts w:ascii="Arial" w:hAnsi="Arial" w:cs="Arial"/>
          <w:sz w:val="20"/>
          <w:szCs w:val="20"/>
          <w:lang w:val="eu-ES"/>
        </w:rPr>
        <w:t>Tratamendua beharrezkoa da, interesdunaren edo beste pertsona fisikoaren nahitaezko interesak babesteko.</w:t>
      </w:r>
    </w:p>
    <w:p w:rsidR="007D24B2" w:rsidRPr="00A07B4A" w:rsidRDefault="007D24B2" w:rsidP="007D24B2">
      <w:pPr>
        <w:numPr>
          <w:ilvl w:val="0"/>
          <w:numId w:val="5"/>
        </w:numPr>
        <w:jc w:val="both"/>
        <w:rPr>
          <w:rFonts w:ascii="Arial" w:hAnsi="Arial" w:cs="Arial"/>
          <w:sz w:val="20"/>
          <w:szCs w:val="20"/>
          <w:lang w:val="eu-ES"/>
        </w:rPr>
      </w:pPr>
      <w:r w:rsidRPr="00A07B4A">
        <w:rPr>
          <w:rFonts w:ascii="Arial" w:hAnsi="Arial" w:cs="Arial"/>
          <w:sz w:val="20"/>
          <w:szCs w:val="20"/>
          <w:lang w:val="eu-ES"/>
        </w:rPr>
        <w:t>Tratamendua beharrezkoa da, interes publikoaren aldeko eginkizunen bat betetzeko edo tratamenduaren arduradunari emandako botere publikoak betetzeko jardunean.</w:t>
      </w:r>
    </w:p>
    <w:p w:rsidR="007D24B2" w:rsidRPr="00A07B4A" w:rsidRDefault="007D24B2" w:rsidP="007D24B2">
      <w:pPr>
        <w:numPr>
          <w:ilvl w:val="0"/>
          <w:numId w:val="5"/>
        </w:numPr>
        <w:jc w:val="both"/>
        <w:rPr>
          <w:rFonts w:ascii="Arial" w:hAnsi="Arial" w:cs="Arial"/>
          <w:sz w:val="20"/>
          <w:szCs w:val="20"/>
          <w:lang w:val="eu-ES"/>
        </w:rPr>
      </w:pPr>
      <w:r w:rsidRPr="00A07B4A">
        <w:rPr>
          <w:rFonts w:ascii="Arial" w:hAnsi="Arial" w:cs="Arial"/>
          <w:sz w:val="20"/>
          <w:szCs w:val="20"/>
          <w:lang w:val="eu-ES"/>
        </w:rPr>
        <w:t>14/1986 Lege Orokorra, apirilaren 25ekoa, Osasunari buruzkoa.</w:t>
      </w:r>
    </w:p>
    <w:p w:rsidR="007D24B2" w:rsidRPr="00A07B4A" w:rsidRDefault="007D24B2" w:rsidP="007D24B2">
      <w:pPr>
        <w:numPr>
          <w:ilvl w:val="0"/>
          <w:numId w:val="5"/>
        </w:numPr>
        <w:jc w:val="both"/>
        <w:rPr>
          <w:rFonts w:ascii="Arial" w:hAnsi="Arial" w:cs="Arial"/>
          <w:sz w:val="20"/>
          <w:szCs w:val="20"/>
          <w:lang w:val="eu-ES"/>
        </w:rPr>
      </w:pPr>
      <w:r w:rsidRPr="00A07B4A">
        <w:rPr>
          <w:rFonts w:ascii="Arial" w:hAnsi="Arial" w:cs="Arial"/>
          <w:sz w:val="20"/>
          <w:szCs w:val="20"/>
          <w:lang w:val="eu-ES"/>
        </w:rPr>
        <w:t>33/2011 Lege Orokorra, urriaren 4koa, Osasun Publikoari buruzkoa.</w:t>
      </w:r>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Datuak gordetzeko epea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mugagabea</w:t>
      </w:r>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Hartzaileak</w:t>
      </w:r>
    </w:p>
    <w:p w:rsidR="007D24B2" w:rsidRPr="00A07B4A" w:rsidRDefault="007D24B2" w:rsidP="007D24B2">
      <w:pPr>
        <w:numPr>
          <w:ilvl w:val="0"/>
          <w:numId w:val="6"/>
        </w:numPr>
        <w:jc w:val="both"/>
        <w:rPr>
          <w:rFonts w:ascii="Arial" w:hAnsi="Arial" w:cs="Arial"/>
          <w:sz w:val="20"/>
          <w:szCs w:val="20"/>
          <w:lang w:val="eu-ES"/>
        </w:rPr>
      </w:pPr>
      <w:r w:rsidRPr="00A07B4A">
        <w:rPr>
          <w:rFonts w:ascii="Arial" w:hAnsi="Arial" w:cs="Arial"/>
          <w:sz w:val="20"/>
          <w:szCs w:val="20"/>
          <w:lang w:val="eu-ES"/>
        </w:rPr>
        <w:t>Osasun entitateak</w:t>
      </w:r>
    </w:p>
    <w:p w:rsidR="007D24B2" w:rsidRPr="00A07B4A" w:rsidRDefault="007D24B2" w:rsidP="007D24B2">
      <w:pPr>
        <w:numPr>
          <w:ilvl w:val="0"/>
          <w:numId w:val="6"/>
        </w:numPr>
        <w:jc w:val="both"/>
        <w:rPr>
          <w:rFonts w:ascii="Arial" w:hAnsi="Arial" w:cs="Arial"/>
          <w:sz w:val="20"/>
          <w:szCs w:val="20"/>
          <w:lang w:val="eu-ES"/>
        </w:rPr>
      </w:pPr>
      <w:r w:rsidRPr="00A07B4A">
        <w:rPr>
          <w:rFonts w:ascii="Arial" w:hAnsi="Arial" w:cs="Arial"/>
          <w:sz w:val="20"/>
          <w:szCs w:val="20"/>
          <w:lang w:val="eu-ES"/>
        </w:rPr>
        <w:t>Estatuko Administrazioko beste organo batzuk</w:t>
      </w:r>
    </w:p>
    <w:p w:rsidR="007D24B2" w:rsidRPr="00A07B4A" w:rsidRDefault="007D24B2" w:rsidP="007D24B2">
      <w:pPr>
        <w:numPr>
          <w:ilvl w:val="0"/>
          <w:numId w:val="6"/>
        </w:numPr>
        <w:jc w:val="both"/>
        <w:rPr>
          <w:rFonts w:ascii="Arial" w:hAnsi="Arial" w:cs="Arial"/>
          <w:sz w:val="20"/>
          <w:szCs w:val="20"/>
          <w:lang w:val="eu-ES"/>
        </w:rPr>
      </w:pPr>
      <w:r w:rsidRPr="00A07B4A">
        <w:rPr>
          <w:rFonts w:ascii="Arial" w:hAnsi="Arial" w:cs="Arial"/>
          <w:sz w:val="20"/>
          <w:szCs w:val="20"/>
          <w:lang w:val="eu-ES"/>
        </w:rPr>
        <w:t>Osasun Ministerioa, Osakidetza-Euskal Osasun Zerbitzua</w:t>
      </w:r>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Datuak babestearen arloko eskubideak</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Jasotako datu pertsonalak nori buruzkoak diren, pertsona horrek eskubide hauek egikari ditzake:</w:t>
      </w:r>
    </w:p>
    <w:p w:rsidR="007D24B2" w:rsidRPr="00A07B4A" w:rsidRDefault="007D24B2" w:rsidP="007D24B2">
      <w:pPr>
        <w:numPr>
          <w:ilvl w:val="0"/>
          <w:numId w:val="7"/>
        </w:numPr>
        <w:jc w:val="both"/>
        <w:rPr>
          <w:rFonts w:ascii="Arial" w:hAnsi="Arial" w:cs="Arial"/>
          <w:b/>
          <w:bCs/>
          <w:sz w:val="20"/>
          <w:szCs w:val="20"/>
          <w:lang w:val="eu-ES"/>
        </w:rPr>
      </w:pPr>
      <w:r w:rsidRPr="00A07B4A">
        <w:rPr>
          <w:rFonts w:ascii="Arial" w:hAnsi="Arial" w:cs="Arial"/>
          <w:b/>
          <w:bCs/>
          <w:sz w:val="20"/>
          <w:szCs w:val="20"/>
          <w:lang w:val="eu-ES"/>
        </w:rPr>
        <w:t>Irispidea izateko eskubidea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Interesdunak eskubidea dauka bere datu pertsonalen tratamendua egiten ari den ala ez egiazta diezaion tratamenduaren ardura duen organoak, eta, hala bada, datuok eskuratu ahal izango ditu.</w:t>
      </w:r>
    </w:p>
    <w:p w:rsidR="007D24B2" w:rsidRPr="00A07B4A" w:rsidRDefault="007D24B2" w:rsidP="007D24B2">
      <w:pPr>
        <w:numPr>
          <w:ilvl w:val="0"/>
          <w:numId w:val="7"/>
        </w:numPr>
        <w:jc w:val="both"/>
        <w:rPr>
          <w:rFonts w:ascii="Arial" w:hAnsi="Arial" w:cs="Arial"/>
          <w:b/>
          <w:bCs/>
          <w:sz w:val="20"/>
          <w:szCs w:val="20"/>
          <w:lang w:val="eu-ES"/>
        </w:rPr>
      </w:pPr>
      <w:r w:rsidRPr="00A07B4A">
        <w:rPr>
          <w:rFonts w:ascii="Arial" w:hAnsi="Arial" w:cs="Arial"/>
          <w:b/>
          <w:bCs/>
          <w:sz w:val="20"/>
          <w:szCs w:val="20"/>
          <w:lang w:val="eu-ES"/>
        </w:rPr>
        <w:t>Zuzentzeko eskubidea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Bere datu pertsonal okerrak zuzentzeko eskubidea dauka interesdunak, eta osatu gabe dauden datu pertsonalak osatzekoa, behar bada, adierazpen gehigarri baten bidez.</w:t>
      </w:r>
    </w:p>
    <w:p w:rsidR="007D24B2" w:rsidRPr="00A07B4A" w:rsidRDefault="007D24B2" w:rsidP="007D24B2">
      <w:pPr>
        <w:numPr>
          <w:ilvl w:val="0"/>
          <w:numId w:val="7"/>
        </w:numPr>
        <w:jc w:val="both"/>
        <w:rPr>
          <w:rFonts w:ascii="Arial" w:hAnsi="Arial" w:cs="Arial"/>
          <w:b/>
          <w:bCs/>
          <w:sz w:val="20"/>
          <w:szCs w:val="20"/>
          <w:lang w:val="eu-ES"/>
        </w:rPr>
      </w:pPr>
      <w:r w:rsidRPr="00A07B4A">
        <w:rPr>
          <w:rFonts w:ascii="Arial" w:hAnsi="Arial" w:cs="Arial"/>
          <w:b/>
          <w:bCs/>
          <w:sz w:val="20"/>
          <w:szCs w:val="20"/>
          <w:lang w:val="eu-ES"/>
        </w:rPr>
        <w:t>Ezerezteko eskubidea. Ahaztua izateko eskubidea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Bere datu pertsonalak ezabatzeko eskubidea izango du interesdunak baldintza hauetan:</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Datu pertsonalak jadanik ez direnean beharrezkoak, bildu zirenean edo beste modu batez tratatu zirenean zeuden helburuen argitan.</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Interesdunak tratamendua egiteko baimena kentzen duenean, eta tratamenduak ez badu beste oinarri juridikorik.</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Interesdunak tratamendua aurkaratzen duenean, eta ez denean bestelako arrazoi juridikorik gailentzen tratamendurako.</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Datu pertsonalen tratamendua legez kontra egin denean.</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Datu pertsonalak ezereztu behar badira, tratamenduaren arduradunari aplikagarri zaion Batasuneko edo estatu kideetako zuzenbidean ezarritako lege-betebehar baten indarrez.</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Datu pertsonalak jaso badira 8.1 artikuluan aipaturiko informazioaren gizarteko zerbitzuen eskaintzaren ingurumarian. (adingabeen datuen tratamenduari aplikagarriak zaizkion baldintzak, informazioaren gizarteko zerbitzuak direla eta).</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Datu pertsonaletarako esteka oro ezabatua izateko eskubidea izango du interesdunak, baldin eta datuok ezerezteko betebeharra badago (ahaztua izateko eskubidea).</w:t>
      </w:r>
    </w:p>
    <w:p w:rsidR="007D24B2" w:rsidRPr="00A07B4A" w:rsidRDefault="007D24B2" w:rsidP="007D24B2">
      <w:pPr>
        <w:numPr>
          <w:ilvl w:val="0"/>
          <w:numId w:val="7"/>
        </w:numPr>
        <w:jc w:val="both"/>
        <w:rPr>
          <w:rFonts w:ascii="Arial" w:hAnsi="Arial" w:cs="Arial"/>
          <w:b/>
          <w:bCs/>
          <w:sz w:val="20"/>
          <w:szCs w:val="20"/>
          <w:lang w:val="eu-ES"/>
        </w:rPr>
      </w:pPr>
      <w:r w:rsidRPr="00A07B4A">
        <w:rPr>
          <w:rFonts w:ascii="Arial" w:hAnsi="Arial" w:cs="Arial"/>
          <w:b/>
          <w:bCs/>
          <w:sz w:val="20"/>
          <w:szCs w:val="20"/>
          <w:lang w:val="eu-ES"/>
        </w:rPr>
        <w:t>Mugatzeko eskubidea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Bere datu pertsonalen tratamendua mugatzeko eskubidea izango du interesdunak baldintza hauetan:</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Datu pertsonalen zehaztasunaren aurka egiten denean, tratamenduaren ardura duen organoak datuon zehaztasuna egiaztatzeko adinako epe batez.</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Tratamendua legez kontrakoa denean eta interesdunak datu pertsonalak ezereztearen aurka egiten duenean eta, ordainetan, haien erabilera mugatzeko eskatu.</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Tratamenduaren arduradunak jadanik behar ez dituenean datu pertsonalak tratamenduaren helburuei begira, baina interesdunak bai, erreklamazioak formulatzeko, egikaritzeko edo aldezteko.</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Interesdunak tratamenduaren aurka egin duenean, eta tratamenduaren arduradunaren arrazoi legitimoak interesdunaren arrazoien gainetik dauden ala ez egiaztatzen den bitartean.</w:t>
      </w:r>
    </w:p>
    <w:p w:rsidR="007D24B2" w:rsidRPr="00A07B4A" w:rsidRDefault="007D24B2" w:rsidP="007D24B2">
      <w:pPr>
        <w:numPr>
          <w:ilvl w:val="0"/>
          <w:numId w:val="7"/>
        </w:numPr>
        <w:jc w:val="both"/>
        <w:rPr>
          <w:rFonts w:ascii="Arial" w:hAnsi="Arial" w:cs="Arial"/>
          <w:b/>
          <w:bCs/>
          <w:sz w:val="20"/>
          <w:szCs w:val="20"/>
          <w:lang w:val="eu-ES"/>
        </w:rPr>
      </w:pPr>
      <w:r w:rsidRPr="00A07B4A">
        <w:rPr>
          <w:rFonts w:ascii="Arial" w:hAnsi="Arial" w:cs="Arial"/>
          <w:b/>
          <w:bCs/>
          <w:sz w:val="20"/>
          <w:szCs w:val="20"/>
          <w:lang w:val="eu-ES"/>
        </w:rPr>
        <w:t>Aurka egiteko eskubidea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Interesdunak eskubidea izango du, bere egoera partikularra dela-eta, edozein unetan, tratamenduaren arduradunari galarazteko berari buruzko datu pertsonalen tratamendua egitea, tratamendua beharrezkoa bada ere interes publikoaren izenean burututako eginkizun bat betetzeko edo ahal publikoak erabili edo hirugarrenen interes legitimoa babesteko, baita profilak egiteko ere.</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Tratamenduaren arduradunak datuak tratatzeari utziko dio, noiz eta ez duen egiaztatzen interesdunaren interes, eskubide eta askatasunen gainetik arrazoi larriak daudela edo datuok beharrezkoak direla erreklamazioak formulatzeko, egikaritzeko edo aldezteko.</w:t>
      </w:r>
    </w:p>
    <w:p w:rsidR="007D24B2" w:rsidRPr="00A07B4A" w:rsidRDefault="007D24B2" w:rsidP="007D24B2">
      <w:pPr>
        <w:numPr>
          <w:ilvl w:val="1"/>
          <w:numId w:val="7"/>
        </w:numPr>
        <w:jc w:val="both"/>
        <w:rPr>
          <w:rFonts w:ascii="Arial" w:hAnsi="Arial" w:cs="Arial"/>
          <w:sz w:val="20"/>
          <w:szCs w:val="20"/>
          <w:lang w:val="eu-ES"/>
        </w:rPr>
      </w:pPr>
      <w:r w:rsidRPr="00A07B4A">
        <w:rPr>
          <w:rFonts w:ascii="Arial" w:hAnsi="Arial" w:cs="Arial"/>
          <w:sz w:val="20"/>
          <w:szCs w:val="20"/>
          <w:lang w:val="eu-ES"/>
        </w:rPr>
        <w:t>Datuen tratamenduaren helburua bada ikerketa zientifikoa, historikoa edo estatistikoa, interesdunak eskubidea izango du, bere egoera partikularra dela-eta, edozein unetan, berari buruzko datu pertsonalen tratamenduaren aurka egiteko, salbu eta tratamendua beharrezkoa bada interes publikoaren izenean burututako eginkizun bat betetzeko.</w:t>
      </w:r>
    </w:p>
    <w:p w:rsidR="007D24B2" w:rsidRPr="00A07B4A" w:rsidRDefault="007D24B2" w:rsidP="007D24B2">
      <w:pPr>
        <w:numPr>
          <w:ilvl w:val="0"/>
          <w:numId w:val="7"/>
        </w:numPr>
        <w:jc w:val="both"/>
        <w:rPr>
          <w:rFonts w:ascii="Arial" w:hAnsi="Arial" w:cs="Arial"/>
          <w:b/>
          <w:bCs/>
          <w:sz w:val="20"/>
          <w:szCs w:val="20"/>
          <w:lang w:val="eu-ES"/>
        </w:rPr>
      </w:pPr>
      <w:r w:rsidRPr="00A07B4A">
        <w:rPr>
          <w:rFonts w:ascii="Arial" w:hAnsi="Arial" w:cs="Arial"/>
          <w:b/>
          <w:bCs/>
          <w:sz w:val="20"/>
          <w:szCs w:val="20"/>
          <w:lang w:val="eu-ES"/>
        </w:rPr>
        <w:t>Tratamendu automatizatuta</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Eskubide honen bidez bermatu nahi da interesduna ez izatea tratamendu automatizatu batean soilik oinarrituta dagoen eta harengan ondorio juridikoak edo antzeko ondorio esanguratsuak dituen erabaki baten jomuga, profilak egitea barne.</w:t>
      </w:r>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Eskubideak egikaritu</w:t>
      </w:r>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 xml:space="preserve">Eskubide horiek erabiltzeko aukera duzu tratamenduaren arduradunaren aurrean, </w:t>
      </w:r>
      <w:r w:rsidRPr="00A07B4A">
        <w:rPr>
          <w:rFonts w:ascii="Arial" w:hAnsi="Arial" w:cs="Arial"/>
          <w:i/>
          <w:iCs/>
          <w:sz w:val="20"/>
          <w:szCs w:val="20"/>
          <w:lang w:val="eu-ES"/>
        </w:rPr>
        <w:t>eskubideak baliatzeko</w:t>
      </w:r>
      <w:r>
        <w:rPr>
          <w:rFonts w:ascii="Arial" w:hAnsi="Arial" w:cs="Arial"/>
          <w:sz w:val="20"/>
          <w:szCs w:val="20"/>
          <w:lang w:val="eu-ES"/>
        </w:rPr>
        <w:t xml:space="preserve"> </w:t>
      </w:r>
      <w:r w:rsidRPr="00A07B4A">
        <w:rPr>
          <w:rFonts w:ascii="Arial" w:hAnsi="Arial" w:cs="Arial"/>
          <w:sz w:val="20"/>
          <w:szCs w:val="20"/>
          <w:lang w:val="eu-ES"/>
        </w:rPr>
        <w:t xml:space="preserve">prozeduraren bidez: </w:t>
      </w:r>
      <w:hyperlink r:id="rId10" w:tooltip="Datu babesaren gaineko eskubideak egikaritu" w:history="1">
        <w:r w:rsidRPr="00A07B4A">
          <w:rPr>
            <w:rStyle w:val="Hyperlink"/>
            <w:rFonts w:ascii="Arial" w:hAnsi="Arial" w:cs="Arial"/>
            <w:sz w:val="20"/>
            <w:szCs w:val="20"/>
            <w:lang w:val="eu-ES"/>
          </w:rPr>
          <w:t>www.euskadi.eus/zerbitzuak/10842/</w:t>
        </w:r>
      </w:hyperlink>
    </w:p>
    <w:p w:rsidR="007D24B2" w:rsidRPr="00A07B4A" w:rsidRDefault="007D24B2" w:rsidP="007D24B2">
      <w:pPr>
        <w:jc w:val="both"/>
        <w:rPr>
          <w:rFonts w:ascii="Arial" w:hAnsi="Arial" w:cs="Arial"/>
          <w:sz w:val="20"/>
          <w:szCs w:val="20"/>
          <w:lang w:val="eu-ES"/>
        </w:rPr>
      </w:pPr>
      <w:r w:rsidRPr="00A07B4A">
        <w:rPr>
          <w:rFonts w:ascii="Arial" w:hAnsi="Arial" w:cs="Arial"/>
          <w:sz w:val="20"/>
          <w:szCs w:val="20"/>
          <w:lang w:val="eu-ES"/>
        </w:rPr>
        <w:t xml:space="preserve">Era berean, aukera daukazu edozein erreklamazio aurkezteko Datuak Babesteko Euskal Agentzian, edo </w:t>
      </w:r>
      <w:r w:rsidRPr="00A07B4A">
        <w:rPr>
          <w:rFonts w:ascii="Arial" w:hAnsi="Arial" w:cs="Arial"/>
          <w:i/>
          <w:iCs/>
          <w:sz w:val="20"/>
          <w:szCs w:val="20"/>
          <w:lang w:val="eu-ES"/>
        </w:rPr>
        <w:t>aurretiazko erreklamazioa</w:t>
      </w:r>
      <w:r>
        <w:rPr>
          <w:rFonts w:ascii="Arial" w:hAnsi="Arial" w:cs="Arial"/>
          <w:sz w:val="20"/>
          <w:szCs w:val="20"/>
          <w:lang w:val="eu-ES"/>
        </w:rPr>
        <w:t xml:space="preserve"> </w:t>
      </w:r>
      <w:r w:rsidRPr="00A07B4A">
        <w:rPr>
          <w:rFonts w:ascii="Arial" w:hAnsi="Arial" w:cs="Arial"/>
          <w:sz w:val="20"/>
          <w:szCs w:val="20"/>
          <w:lang w:val="eu-ES"/>
        </w:rPr>
        <w:t xml:space="preserve">egin dezakezu datuak babesteko ordezkariaren aurrean: </w:t>
      </w:r>
      <w:hyperlink r:id="rId11" w:tooltip="Aurretiazko erreklamazioa datuak babesteko ordezkariaren aurrean" w:history="1">
        <w:r w:rsidRPr="00A07B4A">
          <w:rPr>
            <w:rStyle w:val="Hyperlink"/>
            <w:rFonts w:ascii="Arial" w:hAnsi="Arial" w:cs="Arial"/>
            <w:sz w:val="20"/>
            <w:szCs w:val="20"/>
            <w:lang w:val="eu-ES"/>
          </w:rPr>
          <w:t>www.euskadi.eus/zerbitzuak/10843/</w:t>
        </w:r>
      </w:hyperlink>
    </w:p>
    <w:p w:rsidR="007D24B2" w:rsidRPr="00A07B4A" w:rsidRDefault="007D24B2" w:rsidP="007D24B2">
      <w:pPr>
        <w:jc w:val="both"/>
        <w:rPr>
          <w:rFonts w:ascii="Arial" w:hAnsi="Arial" w:cs="Arial"/>
          <w:b/>
          <w:bCs/>
          <w:sz w:val="20"/>
          <w:szCs w:val="20"/>
          <w:lang w:val="eu-ES"/>
        </w:rPr>
      </w:pPr>
      <w:r w:rsidRPr="00A07B4A">
        <w:rPr>
          <w:rFonts w:ascii="Arial" w:hAnsi="Arial" w:cs="Arial"/>
          <w:b/>
          <w:bCs/>
          <w:sz w:val="20"/>
          <w:szCs w:val="20"/>
          <w:lang w:val="eu-ES"/>
        </w:rPr>
        <w:t>Datu pertsonalen babesari buruzko informazio xehea</w:t>
      </w:r>
    </w:p>
    <w:p w:rsidR="007D24B2" w:rsidRPr="00A07B4A" w:rsidRDefault="007D24B2" w:rsidP="007D24B2">
      <w:pPr>
        <w:numPr>
          <w:ilvl w:val="0"/>
          <w:numId w:val="8"/>
        </w:numPr>
        <w:rPr>
          <w:rFonts w:ascii="Arial" w:hAnsi="Arial" w:cs="Arial"/>
          <w:sz w:val="20"/>
          <w:szCs w:val="20"/>
          <w:lang w:val="eu-ES"/>
        </w:rPr>
      </w:pPr>
      <w:r w:rsidRPr="00A07B4A">
        <w:rPr>
          <w:rFonts w:ascii="Arial" w:hAnsi="Arial" w:cs="Arial"/>
          <w:sz w:val="20"/>
          <w:szCs w:val="20"/>
          <w:lang w:val="eu-ES"/>
        </w:rPr>
        <w:t>EAEko Administrazio Publikoaren datuak babesteko ordezkariaren web orria</w:t>
      </w:r>
      <w:r>
        <w:rPr>
          <w:rFonts w:ascii="Arial" w:hAnsi="Arial" w:cs="Arial"/>
          <w:sz w:val="20"/>
          <w:szCs w:val="20"/>
          <w:lang w:val="eu-ES"/>
        </w:rPr>
        <w:br/>
      </w:r>
      <w:r w:rsidRPr="00A07B4A">
        <w:rPr>
          <w:rFonts w:ascii="Arial" w:hAnsi="Arial" w:cs="Arial"/>
          <w:sz w:val="20"/>
          <w:szCs w:val="20"/>
          <w:lang w:val="eu-ES"/>
        </w:rPr>
        <w:t>(</w:t>
      </w:r>
      <w:hyperlink r:id="rId12" w:history="1">
        <w:r w:rsidRPr="00A07B4A">
          <w:rPr>
            <w:rStyle w:val="Hyperlink"/>
            <w:rFonts w:ascii="Arial" w:hAnsi="Arial" w:cs="Arial"/>
            <w:sz w:val="20"/>
            <w:szCs w:val="20"/>
            <w:lang w:val="eu-ES"/>
          </w:rPr>
          <w:t>www.euskadi.eus/datu-babesa</w:t>
        </w:r>
      </w:hyperlink>
      <w:r w:rsidRPr="00A07B4A">
        <w:rPr>
          <w:rFonts w:ascii="Arial" w:hAnsi="Arial" w:cs="Arial"/>
          <w:sz w:val="20"/>
          <w:szCs w:val="20"/>
          <w:lang w:val="eu-ES"/>
        </w:rPr>
        <w:t>).</w:t>
      </w:r>
    </w:p>
    <w:p w:rsidR="007D24B2" w:rsidRPr="00A07B4A" w:rsidRDefault="007D24B2" w:rsidP="007D24B2">
      <w:pPr>
        <w:numPr>
          <w:ilvl w:val="0"/>
          <w:numId w:val="8"/>
        </w:numPr>
        <w:rPr>
          <w:rFonts w:ascii="Arial" w:hAnsi="Arial" w:cs="Arial"/>
          <w:sz w:val="20"/>
          <w:szCs w:val="20"/>
          <w:lang w:val="eu-ES"/>
        </w:rPr>
      </w:pPr>
      <w:r w:rsidRPr="00A07B4A">
        <w:rPr>
          <w:rFonts w:ascii="Arial" w:hAnsi="Arial" w:cs="Arial"/>
          <w:sz w:val="20"/>
          <w:szCs w:val="20"/>
          <w:lang w:val="eu-ES"/>
        </w:rPr>
        <w:t>Datuen Babeserako Erregelamendu Orokorra</w:t>
      </w:r>
      <w:r>
        <w:rPr>
          <w:rFonts w:ascii="Arial" w:hAnsi="Arial" w:cs="Arial"/>
          <w:sz w:val="20"/>
          <w:szCs w:val="20"/>
          <w:lang w:val="eu-ES"/>
        </w:rPr>
        <w:br/>
      </w:r>
      <w:r w:rsidRPr="00A07B4A">
        <w:rPr>
          <w:rFonts w:ascii="Arial" w:hAnsi="Arial" w:cs="Arial"/>
          <w:sz w:val="20"/>
          <w:szCs w:val="20"/>
          <w:lang w:val="eu-ES"/>
        </w:rPr>
        <w:t>(</w:t>
      </w:r>
      <w:hyperlink r:id="rId13" w:history="1">
        <w:r w:rsidRPr="00A07B4A">
          <w:rPr>
            <w:rStyle w:val="Hyperlink"/>
            <w:rFonts w:ascii="Arial" w:hAnsi="Arial" w:cs="Arial"/>
            <w:sz w:val="20"/>
            <w:szCs w:val="20"/>
            <w:lang w:val="eu-ES"/>
          </w:rPr>
          <w:t>www.euskadi.eus/contenidos/informacion/normativa_dpd/eu_def/adjuntos/RGPD-2016_0679_eu.pdf</w:t>
        </w:r>
      </w:hyperlink>
      <w:r w:rsidRPr="00A07B4A">
        <w:rPr>
          <w:rFonts w:ascii="Arial" w:hAnsi="Arial" w:cs="Arial"/>
          <w:sz w:val="20"/>
          <w:szCs w:val="20"/>
          <w:lang w:val="eu-ES"/>
        </w:rPr>
        <w:t>).</w:t>
      </w:r>
    </w:p>
    <w:p w:rsidR="007D24B2" w:rsidRPr="00EF54A6" w:rsidRDefault="007D24B2" w:rsidP="007D24B2">
      <w:pPr>
        <w:numPr>
          <w:ilvl w:val="0"/>
          <w:numId w:val="8"/>
        </w:numPr>
        <w:jc w:val="both"/>
        <w:rPr>
          <w:sz w:val="32"/>
          <w:szCs w:val="32"/>
          <w:lang w:val="eu-ES"/>
        </w:rPr>
      </w:pPr>
      <w:r w:rsidRPr="00EF54A6">
        <w:rPr>
          <w:rFonts w:ascii="Arial" w:hAnsi="Arial" w:cs="Arial"/>
          <w:sz w:val="20"/>
          <w:szCs w:val="20"/>
          <w:lang w:val="eu-ES"/>
        </w:rPr>
        <w:t>3/2018 Lege Organikoa, abenduaren 5ekoa, Datu Pertsonalak Babestekoa eta Eskubide Digitalak Bermatzekoa</w:t>
      </w:r>
      <w:r w:rsidRPr="00EF54A6">
        <w:rPr>
          <w:rFonts w:ascii="Arial" w:hAnsi="Arial" w:cs="Arial"/>
          <w:sz w:val="20"/>
          <w:szCs w:val="20"/>
          <w:lang w:val="eu-ES"/>
        </w:rPr>
        <w:br/>
        <w:t>(</w:t>
      </w:r>
      <w:hyperlink r:id="rId14" w:history="1">
        <w:r w:rsidRPr="00EF54A6">
          <w:rPr>
            <w:rStyle w:val="Hyperlink"/>
            <w:rFonts w:ascii="Arial" w:hAnsi="Arial" w:cs="Arial"/>
            <w:sz w:val="20"/>
            <w:szCs w:val="20"/>
            <w:lang w:val="eu-ES"/>
          </w:rPr>
          <w:t>www.boe.es/boe_euskera/dias/2018/12/06/pdfs/BOE-A-2018-16673-E.pdf</w:t>
        </w:r>
      </w:hyperlink>
      <w:r w:rsidRPr="00EF54A6">
        <w:rPr>
          <w:rFonts w:ascii="Arial" w:hAnsi="Arial" w:cs="Arial"/>
          <w:sz w:val="20"/>
          <w:szCs w:val="20"/>
          <w:lang w:val="eu-ES"/>
        </w:rPr>
        <w:t>)</w:t>
      </w:r>
    </w:p>
    <w:p w:rsidR="00407C27" w:rsidRPr="007D24B2" w:rsidRDefault="00407C27" w:rsidP="00407C27">
      <w:pPr>
        <w:pStyle w:val="Default"/>
        <w:jc w:val="both"/>
        <w:rPr>
          <w:lang w:val="eu-ES"/>
        </w:rPr>
      </w:pPr>
    </w:p>
    <w:p w:rsidR="002414F3" w:rsidRPr="007D24B2" w:rsidRDefault="002414F3" w:rsidP="00407C27">
      <w:pPr>
        <w:jc w:val="both"/>
        <w:rPr>
          <w:rFonts w:ascii="Arial" w:hAnsi="Arial" w:cs="Arial"/>
          <w:sz w:val="20"/>
          <w:szCs w:val="20"/>
          <w:lang w:val="eu-ES"/>
        </w:rPr>
      </w:pPr>
    </w:p>
    <w:sectPr w:rsidR="002414F3" w:rsidRPr="007D24B2" w:rsidSect="009A38F3">
      <w:headerReference w:type="default" r:id="rId15"/>
      <w:pgSz w:w="11906" w:h="16838"/>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A0BD7" w:rsidRDefault="009A0BD7" w:rsidP="002414F3">
      <w:pPr>
        <w:spacing w:after="0" w:line="240" w:lineRule="auto"/>
      </w:pPr>
      <w:r>
        <w:separator/>
      </w:r>
    </w:p>
  </w:endnote>
  <w:endnote w:type="continuationSeparator" w:id="1">
    <w:p w:rsidR="009A0BD7" w:rsidRDefault="009A0BD7" w:rsidP="0024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A0BD7" w:rsidRDefault="009A0BD7" w:rsidP="002414F3">
      <w:pPr>
        <w:spacing w:after="0" w:line="240" w:lineRule="auto"/>
      </w:pPr>
      <w:bookmarkStart w:id="0" w:name="_Hlk72510632"/>
      <w:bookmarkEnd w:id="0"/>
      <w:r>
        <w:separator/>
      </w:r>
    </w:p>
  </w:footnote>
  <w:footnote w:type="continuationSeparator" w:id="1">
    <w:p w:rsidR="009A0BD7" w:rsidRDefault="009A0BD7" w:rsidP="002414F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14F3" w:rsidRDefault="002414F3" w:rsidP="002414F3">
    <w:pPr>
      <w:pStyle w:val="Header"/>
      <w:tabs>
        <w:tab w:val="clear" w:pos="4252"/>
        <w:tab w:val="clear" w:pos="8504"/>
        <w:tab w:val="left" w:pos="6030"/>
      </w:tabs>
    </w:pPr>
    <w:r>
      <w:rPr>
        <w:noProof/>
        <w:lang w:val="en-US"/>
      </w:rPr>
      <w:drawing>
        <wp:anchor distT="0" distB="0" distL="114300" distR="114300" simplePos="0" relativeHeight="251658240" behindDoc="0" locked="0" layoutInCell="1" allowOverlap="1">
          <wp:simplePos x="0" y="0"/>
          <wp:positionH relativeFrom="column">
            <wp:posOffset>4130040</wp:posOffset>
          </wp:positionH>
          <wp:positionV relativeFrom="paragraph">
            <wp:posOffset>-86995</wp:posOffset>
          </wp:positionV>
          <wp:extent cx="1733550" cy="800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800100"/>
                  </a:xfrm>
                  <a:prstGeom prst="rect">
                    <a:avLst/>
                  </a:prstGeom>
                  <a:noFill/>
                </pic:spPr>
              </pic:pic>
            </a:graphicData>
          </a:graphic>
        </wp:anchor>
      </w:drawing>
    </w:r>
    <w:r w:rsidRPr="004264DB">
      <w:rPr>
        <w:rFonts w:ascii="Arial" w:hAnsi="Arial" w:cs="Arial"/>
        <w:b/>
        <w:noProof/>
        <w:sz w:val="36"/>
        <w:szCs w:val="36"/>
        <w:lang w:val="en-US"/>
      </w:rPr>
      <w:drawing>
        <wp:inline distT="0" distB="0" distL="0" distR="0">
          <wp:extent cx="1733550" cy="56261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562610"/>
                  </a:xfrm>
                  <a:prstGeom prst="rect">
                    <a:avLst/>
                  </a:prstGeom>
                  <a:noFill/>
                  <a:ln>
                    <a:noFill/>
                  </a:ln>
                </pic:spPr>
              </pic:pic>
            </a:graphicData>
          </a:graphic>
        </wp:inline>
      </w:drawing>
    </w: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numPicBullet w:numPicBulletId="3">
    <w:pict>
      <v:shape id="_x0000_i1032" type="#_x0000_t75" style="width:3in;height:3in" o:bullet="t"/>
    </w:pict>
  </w:numPicBullet>
  <w:numPicBullet w:numPicBulletId="4">
    <w:pict>
      <v:shape id="_x0000_i1033" type="#_x0000_t75" style="width:3in;height:3in" o:bullet="t"/>
    </w:pict>
  </w:numPicBullet>
  <w:numPicBullet w:numPicBulletId="5">
    <w:pict>
      <v:shape id="_x0000_i1034" type="#_x0000_t75" style="width:3in;height:3in" o:bullet="t"/>
    </w:pict>
  </w:numPicBullet>
  <w:abstractNum w:abstractNumId="0">
    <w:nsid w:val="0C95710A"/>
    <w:multiLevelType w:val="multilevel"/>
    <w:tmpl w:val="C20CE11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D5E67E5"/>
    <w:multiLevelType w:val="multilevel"/>
    <w:tmpl w:val="F78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44309"/>
    <w:multiLevelType w:val="multilevel"/>
    <w:tmpl w:val="EF62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1280D"/>
    <w:multiLevelType w:val="multilevel"/>
    <w:tmpl w:val="6A4A112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09D4D07"/>
    <w:multiLevelType w:val="multilevel"/>
    <w:tmpl w:val="968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25563"/>
    <w:multiLevelType w:val="multilevel"/>
    <w:tmpl w:val="067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0D47EB"/>
    <w:multiLevelType w:val="multilevel"/>
    <w:tmpl w:val="7DE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C0B0F"/>
    <w:multiLevelType w:val="multilevel"/>
    <w:tmpl w:val="001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4C1781"/>
    <w:rsid w:val="001913FF"/>
    <w:rsid w:val="001C0AF7"/>
    <w:rsid w:val="002414F3"/>
    <w:rsid w:val="00407C27"/>
    <w:rsid w:val="004C1781"/>
    <w:rsid w:val="007D24B2"/>
    <w:rsid w:val="009A0BD7"/>
    <w:rsid w:val="009A38F3"/>
    <w:rsid w:val="00A659F4"/>
    <w:rsid w:val="00B50C7F"/>
    <w:rsid w:val="00D15260"/>
    <w:rsid w:val="00D8581D"/>
  </w:rsids>
  <m:mathPr>
    <m:mathFont m:val="Calibri Ligh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B2"/>
  </w:style>
  <w:style w:type="paragraph" w:styleId="Heading1">
    <w:name w:val="heading 1"/>
    <w:basedOn w:val="Normal"/>
    <w:next w:val="Normal"/>
    <w:link w:val="Heading1Char"/>
    <w:uiPriority w:val="9"/>
    <w:qFormat/>
    <w:rsid w:val="00407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414F3"/>
    <w:pPr>
      <w:tabs>
        <w:tab w:val="center" w:pos="4252"/>
        <w:tab w:val="right" w:pos="8504"/>
      </w:tabs>
      <w:spacing w:after="0" w:line="240" w:lineRule="auto"/>
    </w:pPr>
  </w:style>
  <w:style w:type="character" w:customStyle="1" w:styleId="HeaderChar">
    <w:name w:val="Header Char"/>
    <w:basedOn w:val="DefaultParagraphFont"/>
    <w:link w:val="Header"/>
    <w:uiPriority w:val="99"/>
    <w:rsid w:val="002414F3"/>
  </w:style>
  <w:style w:type="paragraph" w:styleId="Footer">
    <w:name w:val="footer"/>
    <w:basedOn w:val="Normal"/>
    <w:link w:val="FooterChar"/>
    <w:uiPriority w:val="99"/>
    <w:unhideWhenUsed/>
    <w:rsid w:val="002414F3"/>
    <w:pPr>
      <w:tabs>
        <w:tab w:val="center" w:pos="4252"/>
        <w:tab w:val="right" w:pos="8504"/>
      </w:tabs>
      <w:spacing w:after="0" w:line="240" w:lineRule="auto"/>
    </w:pPr>
  </w:style>
  <w:style w:type="character" w:customStyle="1" w:styleId="FooterChar">
    <w:name w:val="Footer Char"/>
    <w:basedOn w:val="DefaultParagraphFont"/>
    <w:link w:val="Footer"/>
    <w:uiPriority w:val="99"/>
    <w:rsid w:val="002414F3"/>
  </w:style>
  <w:style w:type="character" w:customStyle="1" w:styleId="Heading1Char">
    <w:name w:val="Heading 1 Char"/>
    <w:basedOn w:val="DefaultParagraphFont"/>
    <w:link w:val="Heading1"/>
    <w:uiPriority w:val="9"/>
    <w:rsid w:val="00407C27"/>
    <w:rPr>
      <w:rFonts w:asciiTheme="majorHAnsi" w:eastAsiaTheme="majorEastAsia" w:hAnsiTheme="majorHAnsi" w:cstheme="majorBidi"/>
      <w:color w:val="2F5496" w:themeColor="accent1" w:themeShade="BF"/>
      <w:sz w:val="32"/>
      <w:szCs w:val="32"/>
    </w:rPr>
  </w:style>
  <w:style w:type="paragraph" w:customStyle="1" w:styleId="Default">
    <w:name w:val="Default"/>
    <w:rsid w:val="00407C2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07C2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uskadi.eus/zerbitzuak/10843/" TargetMode="External"/><Relationship Id="rId12" Type="http://schemas.openxmlformats.org/officeDocument/2006/relationships/hyperlink" Target="https://www.euskadi.eus/datu-babesa" TargetMode="External"/><Relationship Id="rId13" Type="http://schemas.openxmlformats.org/officeDocument/2006/relationships/hyperlink" Target="https://www.euskadi.eus/contenidos/informacion/normativa_dpd/eu_def/adjuntos/RGPD-2016_0679_eu.pdf" TargetMode="External"/><Relationship Id="rId14" Type="http://schemas.openxmlformats.org/officeDocument/2006/relationships/hyperlink" Target="https://www.boe.es/boe_euskera/dias/2018/12/06/pdfs/BOE-A-2018-16673-E.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34945018000" TargetMode="External"/><Relationship Id="rId8" Type="http://schemas.openxmlformats.org/officeDocument/2006/relationships/hyperlink" Target="http://euskadi.eus/" TargetMode="External"/><Relationship Id="rId9" Type="http://schemas.openxmlformats.org/officeDocument/2006/relationships/hyperlink" Target="https://www.euskadi.eus/datu-babesa" TargetMode="External"/><Relationship Id="rId10" Type="http://schemas.openxmlformats.org/officeDocument/2006/relationships/hyperlink" Target="https://www.euskadi.eus/zerbitzuak/108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9344</Characters>
  <Application>Microsoft Word 12.0.0</Application>
  <DocSecurity>0</DocSecurity>
  <Lines>77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Idoia Inoriza</dc:creator>
  <cp:keywords/>
  <dc:description/>
  <cp:lastModifiedBy>Jon Cerezo</cp:lastModifiedBy>
  <cp:revision>3</cp:revision>
  <dcterms:created xsi:type="dcterms:W3CDTF">2021-05-26T08:30:00Z</dcterms:created>
  <dcterms:modified xsi:type="dcterms:W3CDTF">2021-06-02T09:28:00Z</dcterms:modified>
</cp:coreProperties>
</file>