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F7" w:rsidRPr="001672F7" w:rsidRDefault="001672F7" w:rsidP="001672F7">
      <w:pPr>
        <w:spacing w:line="360" w:lineRule="auto"/>
        <w:jc w:val="center"/>
        <w:rPr>
          <w:rFonts w:ascii="Candara" w:hAnsi="Candara"/>
          <w:b/>
          <w:color w:val="262626" w:themeColor="text1" w:themeTint="D9"/>
          <w:sz w:val="36"/>
          <w:szCs w:val="36"/>
          <w:u w:val="single"/>
        </w:rPr>
      </w:pPr>
      <w:r w:rsidRPr="001672F7">
        <w:rPr>
          <w:rFonts w:ascii="Candara" w:hAnsi="Candara"/>
          <w:b/>
          <w:color w:val="262626" w:themeColor="text1" w:themeTint="D9"/>
          <w:sz w:val="36"/>
          <w:szCs w:val="36"/>
          <w:u w:val="single"/>
        </w:rPr>
        <w:t>IMPLANTACIÓN DEL CÓDIGO DEONTOLÓGICO Y DE AUTORREGULACIÓN PARA LA PUBLICIDAD Y LA COMUNICACIÓN NO SEXISTA EN EUSKADI</w:t>
      </w:r>
    </w:p>
    <w:p w:rsidR="000C3B53" w:rsidRPr="001672F7" w:rsidRDefault="001672F7" w:rsidP="001672F7">
      <w:pPr>
        <w:spacing w:line="360" w:lineRule="auto"/>
        <w:jc w:val="center"/>
        <w:rPr>
          <w:rFonts w:ascii="Candara" w:hAnsi="Candara"/>
          <w:b/>
          <w:i/>
          <w:color w:val="262626" w:themeColor="text1" w:themeTint="D9"/>
        </w:rPr>
      </w:pPr>
      <w:r w:rsidRPr="001672F7">
        <w:rPr>
          <w:rFonts w:ascii="Candara" w:hAnsi="Candara"/>
          <w:b/>
          <w:i/>
          <w:color w:val="262626" w:themeColor="text1" w:themeTint="D9"/>
        </w:rPr>
        <w:t>MANIFIESTO DE COMPR</w:t>
      </w:r>
      <w:bookmarkStart w:id="0" w:name="_GoBack"/>
      <w:bookmarkEnd w:id="0"/>
      <w:r w:rsidRPr="001672F7">
        <w:rPr>
          <w:rFonts w:ascii="Candara" w:hAnsi="Candara"/>
          <w:b/>
          <w:i/>
          <w:color w:val="262626" w:themeColor="text1" w:themeTint="D9"/>
        </w:rPr>
        <w:t>OMISO PARA EL AÑO 2017</w:t>
      </w:r>
    </w:p>
    <w:p w:rsidR="001445A1" w:rsidRDefault="001445A1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p w:rsidR="000C3B53" w:rsidRPr="000C3B53" w:rsidRDefault="000C3B53" w:rsidP="000C3B53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La entidad</w:t>
      </w:r>
      <w:r w:rsidRPr="000C3B53">
        <w:rPr>
          <w:rFonts w:ascii="Candara" w:hAnsi="Candara"/>
          <w:i/>
          <w:color w:val="A6A6A6" w:themeColor="background1" w:themeShade="A6"/>
        </w:rPr>
        <w:t>………….......</w:t>
      </w:r>
      <w:r w:rsidRPr="000C3B53">
        <w:rPr>
          <w:rFonts w:ascii="Candara" w:hAnsi="Candara"/>
          <w:i/>
          <w:color w:val="A6A6A6" w:themeColor="background1" w:themeShade="A6"/>
          <w:vertAlign w:val="superscript"/>
        </w:rPr>
        <w:t xml:space="preserve"> (denominación completa de la entidad)</w:t>
      </w:r>
      <w:r w:rsidRPr="000C3B53">
        <w:rPr>
          <w:rFonts w:ascii="Candara" w:hAnsi="Candara"/>
          <w:i/>
          <w:color w:val="A6A6A6" w:themeColor="background1" w:themeShade="A6"/>
        </w:rPr>
        <w:t>…………...</w:t>
      </w:r>
      <w:r w:rsidRPr="000C3B53">
        <w:rPr>
          <w:rFonts w:ascii="Candara" w:hAnsi="Candara"/>
          <w:color w:val="A6A6A6" w:themeColor="background1" w:themeShade="A6"/>
        </w:rPr>
        <w:t xml:space="preserve"> </w:t>
      </w:r>
      <w:r>
        <w:rPr>
          <w:rFonts w:ascii="Candara" w:hAnsi="Candara"/>
          <w:color w:val="262626" w:themeColor="text1" w:themeTint="D9"/>
        </w:rPr>
        <w:t>con NIF/CIF:</w:t>
      </w:r>
      <w:r w:rsidRPr="000C3B53">
        <w:rPr>
          <w:rFonts w:ascii="Candara" w:hAnsi="Candara"/>
          <w:color w:val="A6A6A6" w:themeColor="background1" w:themeShade="A6"/>
        </w:rPr>
        <w:t>…………...</w:t>
      </w:r>
      <w:r>
        <w:rPr>
          <w:rFonts w:ascii="Candara" w:hAnsi="Candara"/>
          <w:color w:val="A6A6A6" w:themeColor="background1" w:themeShade="A6"/>
        </w:rPr>
        <w:t>../</w:t>
      </w:r>
      <w:r w:rsidRPr="000C3B53">
        <w:rPr>
          <w:rFonts w:ascii="Candara" w:hAnsi="Candara"/>
          <w:color w:val="A6A6A6" w:themeColor="background1" w:themeShade="A6"/>
        </w:rPr>
        <w:t>….</w:t>
      </w:r>
      <w:r>
        <w:rPr>
          <w:rFonts w:ascii="Candara" w:hAnsi="Candara"/>
          <w:color w:val="262626" w:themeColor="text1" w:themeTint="D9"/>
        </w:rPr>
        <w:t xml:space="preserve">, adscrita al Código Deontológico y de Autorregulación para la publicidad y la comunicación no sexistas en Euskadi con fecha </w:t>
      </w:r>
      <w:r w:rsidRPr="000C3B53">
        <w:rPr>
          <w:rFonts w:ascii="Candara" w:hAnsi="Candara"/>
          <w:color w:val="A6A6A6" w:themeColor="background1" w:themeShade="A6"/>
        </w:rPr>
        <w:t>……</w:t>
      </w:r>
      <w:r>
        <w:rPr>
          <w:rFonts w:ascii="Candara" w:hAnsi="Candara"/>
          <w:color w:val="262626" w:themeColor="text1" w:themeTint="D9"/>
        </w:rPr>
        <w:t xml:space="preserve"> de</w:t>
      </w:r>
      <w:r w:rsidRPr="000C3B53">
        <w:rPr>
          <w:rFonts w:ascii="Candara" w:hAnsi="Candara"/>
          <w:color w:val="A6A6A6" w:themeColor="background1" w:themeShade="A6"/>
        </w:rPr>
        <w:t>………………………</w:t>
      </w:r>
      <w:r>
        <w:rPr>
          <w:rFonts w:ascii="Candara" w:hAnsi="Candara"/>
          <w:color w:val="262626" w:themeColor="text1" w:themeTint="D9"/>
        </w:rPr>
        <w:t xml:space="preserve"> de </w:t>
      </w:r>
      <w:r w:rsidRPr="000C3B53">
        <w:rPr>
          <w:rFonts w:ascii="Candara" w:hAnsi="Candara"/>
          <w:color w:val="A6A6A6" w:themeColor="background1" w:themeShade="A6"/>
        </w:rPr>
        <w:t>…………</w:t>
      </w:r>
      <w:r w:rsidR="001445A1">
        <w:rPr>
          <w:rFonts w:ascii="Candara" w:hAnsi="Candara"/>
        </w:rPr>
        <w:t xml:space="preserve">, manifiesta su compromiso para la implantación, uso y evaluación de mencionado Código en su </w:t>
      </w:r>
      <w:r w:rsidR="00120FB4">
        <w:rPr>
          <w:rFonts w:ascii="Candara" w:hAnsi="Candara"/>
        </w:rPr>
        <w:t xml:space="preserve">organización y </w:t>
      </w:r>
      <w:r w:rsidR="001445A1">
        <w:rPr>
          <w:rFonts w:ascii="Candara" w:hAnsi="Candara"/>
        </w:rPr>
        <w:t>actividad a lo largo del año 2017 por medio del desarrollo de las siguientes actuaciones y tareas:</w:t>
      </w:r>
    </w:p>
    <w:p w:rsidR="000C3B53" w:rsidRDefault="000C3B53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p w:rsidR="008B36AB" w:rsidRDefault="002C530B" w:rsidP="004920D9">
      <w:pPr>
        <w:spacing w:line="360" w:lineRule="auto"/>
        <w:jc w:val="both"/>
        <w:rPr>
          <w:rFonts w:ascii="Candara" w:hAnsi="Candara"/>
          <w:b/>
          <w:i/>
          <w:color w:val="262626" w:themeColor="text1" w:themeTint="D9"/>
        </w:rPr>
      </w:pPr>
      <w:r>
        <w:rPr>
          <w:rFonts w:ascii="Candara" w:hAnsi="Candara"/>
          <w:b/>
          <w:i/>
          <w:color w:val="262626" w:themeColor="text1" w:themeTint="D9"/>
        </w:rPr>
        <w:t>Planificación de la implantación del Código</w:t>
      </w:r>
      <w:r w:rsidR="001445A1">
        <w:rPr>
          <w:rFonts w:ascii="Candara" w:hAnsi="Candara"/>
          <w:b/>
          <w:i/>
          <w:color w:val="262626" w:themeColor="text1" w:themeTint="D9"/>
        </w:rPr>
        <w:t xml:space="preserve"> (primer cuatrimestre)</w:t>
      </w:r>
    </w:p>
    <w:p w:rsidR="00FB774E" w:rsidRPr="001672F7" w:rsidRDefault="001445A1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i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 xml:space="preserve">Definir </w:t>
      </w:r>
      <w:r w:rsidR="00FB774E">
        <w:rPr>
          <w:rFonts w:ascii="Candara" w:hAnsi="Candara"/>
          <w:color w:val="262626" w:themeColor="text1" w:themeTint="D9"/>
        </w:rPr>
        <w:t>indicadores propios (cuantitativos y cualitativos) de cumplimiento con el Código en la actividad de cada entidad.</w:t>
      </w:r>
    </w:p>
    <w:p w:rsidR="001672F7" w:rsidRPr="00FB774E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i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Analizar y diagnosticar el estado actual de nuestra entidad en relación con los principios del Código.</w:t>
      </w:r>
    </w:p>
    <w:p w:rsidR="002C530B" w:rsidRPr="00FB774E" w:rsidRDefault="001445A1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i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Definir</w:t>
      </w:r>
      <w:r w:rsidR="001672F7">
        <w:rPr>
          <w:rFonts w:ascii="Candara" w:hAnsi="Candara"/>
          <w:color w:val="262626" w:themeColor="text1" w:themeTint="D9"/>
        </w:rPr>
        <w:t xml:space="preserve"> p</w:t>
      </w:r>
      <w:r w:rsidR="00FB774E">
        <w:rPr>
          <w:rFonts w:ascii="Candara" w:hAnsi="Candara"/>
          <w:color w:val="262626" w:themeColor="text1" w:themeTint="D9"/>
        </w:rPr>
        <w:t>rocedimientos propios de implantación, mantenimiento y mejora del Código: Comunicación a la clientela de la existencia del Código; Procedimientos para su cumplimiento; Capacitación de personal; Evaluación y mejora del Código;  Registros de quejas, etc.</w:t>
      </w:r>
    </w:p>
    <w:p w:rsidR="002C530B" w:rsidRPr="00FB774E" w:rsidRDefault="001445A1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i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Diseñar</w:t>
      </w:r>
      <w:r w:rsidR="00FB774E" w:rsidRPr="00FB774E">
        <w:rPr>
          <w:rFonts w:ascii="Candara" w:hAnsi="Candara"/>
          <w:color w:val="262626" w:themeColor="text1" w:themeTint="D9"/>
        </w:rPr>
        <w:t xml:space="preserve"> de</w:t>
      </w:r>
      <w:r w:rsidR="001672F7">
        <w:rPr>
          <w:rFonts w:ascii="Candara" w:hAnsi="Candara"/>
          <w:color w:val="262626" w:themeColor="text1" w:themeTint="D9"/>
        </w:rPr>
        <w:t xml:space="preserve"> un p</w:t>
      </w:r>
      <w:r w:rsidR="00FB774E">
        <w:rPr>
          <w:rFonts w:ascii="Candara" w:hAnsi="Candara"/>
          <w:color w:val="262626" w:themeColor="text1" w:themeTint="D9"/>
        </w:rPr>
        <w:t>lan de comunicación interna</w:t>
      </w:r>
      <w:r w:rsidR="00FB774E" w:rsidRPr="00FB774E">
        <w:rPr>
          <w:rFonts w:ascii="Candara" w:hAnsi="Candara"/>
          <w:color w:val="262626" w:themeColor="text1" w:themeTint="D9"/>
        </w:rPr>
        <w:t xml:space="preserve"> y extern</w:t>
      </w:r>
      <w:r w:rsidR="00FB774E">
        <w:rPr>
          <w:rFonts w:ascii="Candara" w:hAnsi="Candara"/>
          <w:color w:val="262626" w:themeColor="text1" w:themeTint="D9"/>
        </w:rPr>
        <w:t>a</w:t>
      </w:r>
      <w:r w:rsidR="00FB774E" w:rsidRPr="00FB774E">
        <w:rPr>
          <w:rFonts w:ascii="Candara" w:hAnsi="Candara"/>
          <w:color w:val="262626" w:themeColor="text1" w:themeTint="D9"/>
        </w:rPr>
        <w:t xml:space="preserve"> del Código</w:t>
      </w:r>
      <w:r w:rsidR="001A612C">
        <w:rPr>
          <w:rFonts w:ascii="Candara" w:hAnsi="Candara"/>
          <w:color w:val="262626" w:themeColor="text1" w:themeTint="D9"/>
        </w:rPr>
        <w:t>.</w:t>
      </w:r>
    </w:p>
    <w:p w:rsidR="002C530B" w:rsidRDefault="001672F7" w:rsidP="004920D9">
      <w:pPr>
        <w:spacing w:line="360" w:lineRule="auto"/>
        <w:jc w:val="both"/>
        <w:rPr>
          <w:rFonts w:ascii="Candara" w:hAnsi="Candara"/>
          <w:b/>
          <w:i/>
          <w:color w:val="262626" w:themeColor="text1" w:themeTint="D9"/>
        </w:rPr>
      </w:pPr>
      <w:r>
        <w:rPr>
          <w:rFonts w:ascii="Candara" w:hAnsi="Candara"/>
          <w:b/>
          <w:i/>
          <w:color w:val="262626" w:themeColor="text1" w:themeTint="D9"/>
        </w:rPr>
        <w:t xml:space="preserve">Implantación del </w:t>
      </w:r>
      <w:r w:rsidR="002C530B">
        <w:rPr>
          <w:rFonts w:ascii="Candara" w:hAnsi="Candara"/>
          <w:b/>
          <w:i/>
          <w:color w:val="262626" w:themeColor="text1" w:themeTint="D9"/>
        </w:rPr>
        <w:t>Código a nivel organizacional</w:t>
      </w:r>
      <w:r w:rsidR="001445A1">
        <w:rPr>
          <w:rFonts w:ascii="Candara" w:hAnsi="Candara"/>
          <w:b/>
          <w:i/>
          <w:color w:val="262626" w:themeColor="text1" w:themeTint="D9"/>
        </w:rPr>
        <w:t xml:space="preserve"> (segundo cuatrimestre)</w:t>
      </w:r>
    </w:p>
    <w:p w:rsidR="00FB774E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 xml:space="preserve">Concretar </w:t>
      </w:r>
      <w:r w:rsidR="00FB774E">
        <w:rPr>
          <w:rFonts w:ascii="Candara" w:hAnsi="Candara"/>
          <w:color w:val="262626" w:themeColor="text1" w:themeTint="D9"/>
        </w:rPr>
        <w:t>los recursos necesarios</w:t>
      </w:r>
      <w:r>
        <w:rPr>
          <w:rFonts w:ascii="Candara" w:hAnsi="Candara"/>
          <w:color w:val="262626" w:themeColor="text1" w:themeTint="D9"/>
        </w:rPr>
        <w:t xml:space="preserve"> para la implantación del Código.</w:t>
      </w:r>
    </w:p>
    <w:p w:rsidR="001672F7" w:rsidRPr="001672F7" w:rsidRDefault="001672F7" w:rsidP="001672F7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Desarrollar las</w:t>
      </w:r>
      <w:r w:rsidRPr="00E10933">
        <w:rPr>
          <w:rFonts w:ascii="Candara" w:hAnsi="Candara"/>
          <w:color w:val="262626" w:themeColor="text1" w:themeTint="D9"/>
        </w:rPr>
        <w:t xml:space="preserve"> acciones derivadas </w:t>
      </w:r>
      <w:r>
        <w:rPr>
          <w:rFonts w:ascii="Candara" w:hAnsi="Candara"/>
          <w:color w:val="262626" w:themeColor="text1" w:themeTint="D9"/>
        </w:rPr>
        <w:t>del incumplimiento de los principios del Código.</w:t>
      </w:r>
    </w:p>
    <w:p w:rsidR="00FB774E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 xml:space="preserve">Desarrollar los procedimientos definidos y </w:t>
      </w:r>
      <w:r w:rsidR="00FB774E">
        <w:rPr>
          <w:rFonts w:ascii="Candara" w:hAnsi="Candara"/>
          <w:color w:val="262626" w:themeColor="text1" w:themeTint="D9"/>
        </w:rPr>
        <w:t>el plan de comunicación interna y externa</w:t>
      </w:r>
      <w:r w:rsidR="001A612C">
        <w:rPr>
          <w:rFonts w:ascii="Candara" w:hAnsi="Candara"/>
          <w:color w:val="262626" w:themeColor="text1" w:themeTint="D9"/>
        </w:rPr>
        <w:t>.</w:t>
      </w:r>
    </w:p>
    <w:p w:rsidR="002C530B" w:rsidRPr="002C530B" w:rsidRDefault="002C530B" w:rsidP="004920D9">
      <w:pPr>
        <w:spacing w:line="360" w:lineRule="auto"/>
        <w:jc w:val="both"/>
        <w:rPr>
          <w:rFonts w:ascii="Candara" w:hAnsi="Candara"/>
          <w:b/>
          <w:i/>
          <w:color w:val="262626" w:themeColor="text1" w:themeTint="D9"/>
        </w:rPr>
      </w:pPr>
      <w:r>
        <w:rPr>
          <w:rFonts w:ascii="Candara" w:hAnsi="Candara"/>
          <w:b/>
          <w:i/>
          <w:color w:val="262626" w:themeColor="text1" w:themeTint="D9"/>
        </w:rPr>
        <w:t xml:space="preserve">Mejora continua y evaluación del Código </w:t>
      </w:r>
      <w:r w:rsidR="001672F7">
        <w:rPr>
          <w:rFonts w:ascii="Candara" w:hAnsi="Candara"/>
          <w:b/>
          <w:i/>
          <w:color w:val="262626" w:themeColor="text1" w:themeTint="D9"/>
        </w:rPr>
        <w:t>(tercer cuatrimestre)</w:t>
      </w:r>
    </w:p>
    <w:p w:rsidR="00E10933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Desarrollar p</w:t>
      </w:r>
      <w:r w:rsidR="00E10933">
        <w:rPr>
          <w:rFonts w:ascii="Candara" w:hAnsi="Candara"/>
          <w:color w:val="262626" w:themeColor="text1" w:themeTint="D9"/>
        </w:rPr>
        <w:t>rocedimientos de recopilación de información</w:t>
      </w:r>
    </w:p>
    <w:p w:rsidR="00E10933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lastRenderedPageBreak/>
        <w:t>Evaluar</w:t>
      </w:r>
      <w:r w:rsidR="00E10933">
        <w:rPr>
          <w:rFonts w:ascii="Candara" w:hAnsi="Candara"/>
          <w:color w:val="262626" w:themeColor="text1" w:themeTint="D9"/>
        </w:rPr>
        <w:t xml:space="preserve"> en base a los indicadores definidos</w:t>
      </w:r>
    </w:p>
    <w:p w:rsidR="008B36AB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 xml:space="preserve">Evaluar </w:t>
      </w:r>
      <w:r w:rsidR="00E10933">
        <w:rPr>
          <w:rFonts w:ascii="Candara" w:hAnsi="Candara"/>
          <w:color w:val="262626" w:themeColor="text1" w:themeTint="D9"/>
        </w:rPr>
        <w:t xml:space="preserve">el nivel de satisfacción interna y externa con </w:t>
      </w:r>
      <w:r>
        <w:rPr>
          <w:rFonts w:ascii="Candara" w:hAnsi="Candara"/>
          <w:color w:val="262626" w:themeColor="text1" w:themeTint="D9"/>
        </w:rPr>
        <w:t xml:space="preserve">la </w:t>
      </w:r>
      <w:r w:rsidR="00E10933">
        <w:rPr>
          <w:rFonts w:ascii="Candara" w:hAnsi="Candara"/>
          <w:color w:val="262626" w:themeColor="text1" w:themeTint="D9"/>
        </w:rPr>
        <w:t>implantación Código</w:t>
      </w:r>
    </w:p>
    <w:p w:rsidR="00E10933" w:rsidRDefault="001672F7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Revisar</w:t>
      </w:r>
      <w:r w:rsidR="00E10933">
        <w:rPr>
          <w:rFonts w:ascii="Candara" w:hAnsi="Candara"/>
          <w:color w:val="262626" w:themeColor="text1" w:themeTint="D9"/>
        </w:rPr>
        <w:t xml:space="preserve"> procedimientos e indicadores, para su adecuación y eficiencia, detección de oportunidades de mejora y puesta en marcha de acciones.</w:t>
      </w:r>
    </w:p>
    <w:p w:rsidR="00E10933" w:rsidRDefault="00E10933" w:rsidP="00E10933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Mejora continua, en base al reconocimiento de experiencias y buenas prácticas internas y externas y su aplicación.</w:t>
      </w:r>
    </w:p>
    <w:p w:rsidR="001A612C" w:rsidRPr="001A612C" w:rsidRDefault="001A612C" w:rsidP="001A612C">
      <w:pPr>
        <w:pStyle w:val="Prrafodelista"/>
        <w:spacing w:line="360" w:lineRule="auto"/>
        <w:ind w:left="426"/>
        <w:jc w:val="both"/>
        <w:rPr>
          <w:rFonts w:ascii="Candara" w:hAnsi="Candara"/>
          <w:color w:val="262626" w:themeColor="text1" w:themeTint="D9"/>
          <w:sz w:val="4"/>
          <w:szCs w:val="4"/>
        </w:rPr>
      </w:pPr>
    </w:p>
    <w:p w:rsidR="00E10933" w:rsidRDefault="001672F7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  <w:r>
        <w:rPr>
          <w:rFonts w:ascii="Candara" w:hAnsi="Candara"/>
          <w:color w:val="262626" w:themeColor="text1" w:themeTint="D9"/>
        </w:rPr>
        <w:t>Y para que conste a todos los efectos, se comunica</w:t>
      </w:r>
      <w:r w:rsidR="00E41AC7">
        <w:rPr>
          <w:rFonts w:ascii="Candara" w:hAnsi="Candara"/>
          <w:color w:val="262626" w:themeColor="text1" w:themeTint="D9"/>
        </w:rPr>
        <w:t xml:space="preserve"> a la totalidad de la plantilla:</w:t>
      </w:r>
    </w:p>
    <w:p w:rsidR="00F247DA" w:rsidRDefault="00F247DA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p w:rsidR="00F247DA" w:rsidRDefault="00F247DA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p w:rsidR="001672F7" w:rsidRPr="00F0258C" w:rsidRDefault="001672F7" w:rsidP="00F247DA">
      <w:pPr>
        <w:spacing w:line="360" w:lineRule="auto"/>
        <w:jc w:val="right"/>
        <w:rPr>
          <w:rFonts w:ascii="Candara" w:hAnsi="Candara"/>
          <w:i/>
          <w:color w:val="A6A6A6" w:themeColor="background1" w:themeShade="A6"/>
          <w:sz w:val="20"/>
          <w:szCs w:val="20"/>
          <w:u w:val="single"/>
        </w:rPr>
      </w:pPr>
      <w:r w:rsidRPr="00F0258C">
        <w:rPr>
          <w:rFonts w:ascii="Candara" w:hAnsi="Candara"/>
          <w:i/>
          <w:color w:val="A6A6A6" w:themeColor="background1" w:themeShade="A6"/>
          <w:sz w:val="20"/>
          <w:szCs w:val="20"/>
          <w:u w:val="single"/>
        </w:rPr>
        <w:t>Nombre de la persona representante legal de la entidad</w:t>
      </w:r>
    </w:p>
    <w:p w:rsidR="00F247DA" w:rsidRPr="00F0258C" w:rsidRDefault="00F247DA" w:rsidP="00F247DA">
      <w:pPr>
        <w:spacing w:line="360" w:lineRule="auto"/>
        <w:jc w:val="right"/>
        <w:rPr>
          <w:rFonts w:ascii="Candara" w:hAnsi="Candara"/>
          <w:i/>
          <w:color w:val="A6A6A6" w:themeColor="background1" w:themeShade="A6"/>
          <w:sz w:val="20"/>
          <w:szCs w:val="20"/>
          <w:u w:val="single"/>
        </w:rPr>
      </w:pPr>
      <w:r w:rsidRPr="00F0258C">
        <w:rPr>
          <w:rFonts w:ascii="Candara" w:hAnsi="Candara"/>
          <w:i/>
          <w:color w:val="A6A6A6" w:themeColor="background1" w:themeShade="A6"/>
          <w:sz w:val="20"/>
          <w:szCs w:val="20"/>
          <w:u w:val="single"/>
        </w:rPr>
        <w:t>Cargo de la persona firmante</w:t>
      </w:r>
    </w:p>
    <w:p w:rsidR="00E41AC7" w:rsidRPr="00F247DA" w:rsidRDefault="00E41AC7" w:rsidP="00F247DA">
      <w:pPr>
        <w:spacing w:line="360" w:lineRule="auto"/>
        <w:jc w:val="right"/>
        <w:rPr>
          <w:rFonts w:ascii="Candara" w:hAnsi="Candara"/>
          <w:color w:val="262626" w:themeColor="text1" w:themeTint="D9"/>
          <w:sz w:val="20"/>
          <w:szCs w:val="20"/>
        </w:rPr>
      </w:pPr>
      <w:r w:rsidRPr="00F247DA">
        <w:rPr>
          <w:rFonts w:ascii="Candara" w:hAnsi="Candara"/>
          <w:color w:val="262626" w:themeColor="text1" w:themeTint="D9"/>
          <w:sz w:val="20"/>
          <w:szCs w:val="20"/>
        </w:rPr>
        <w:t>Fecha</w:t>
      </w:r>
    </w:p>
    <w:p w:rsidR="001672F7" w:rsidRPr="00F247DA" w:rsidRDefault="001672F7" w:rsidP="00F247DA">
      <w:pPr>
        <w:spacing w:line="360" w:lineRule="auto"/>
        <w:jc w:val="right"/>
        <w:rPr>
          <w:rFonts w:ascii="Candara" w:hAnsi="Candara"/>
          <w:color w:val="262626" w:themeColor="text1" w:themeTint="D9"/>
          <w:sz w:val="20"/>
          <w:szCs w:val="20"/>
        </w:rPr>
      </w:pPr>
      <w:r w:rsidRPr="00F247DA">
        <w:rPr>
          <w:rFonts w:ascii="Candara" w:hAnsi="Candara"/>
          <w:color w:val="262626" w:themeColor="text1" w:themeTint="D9"/>
          <w:sz w:val="20"/>
          <w:szCs w:val="20"/>
        </w:rPr>
        <w:t>Firma y sello</w:t>
      </w:r>
    </w:p>
    <w:p w:rsidR="001445A1" w:rsidRDefault="001445A1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p w:rsidR="001445A1" w:rsidRDefault="001445A1" w:rsidP="004920D9">
      <w:pPr>
        <w:spacing w:line="360" w:lineRule="auto"/>
        <w:jc w:val="both"/>
        <w:rPr>
          <w:rFonts w:ascii="Candara" w:hAnsi="Candara"/>
          <w:color w:val="262626" w:themeColor="text1" w:themeTint="D9"/>
        </w:rPr>
      </w:pPr>
    </w:p>
    <w:sectPr w:rsidR="00144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1367C"/>
    <w:multiLevelType w:val="hybridMultilevel"/>
    <w:tmpl w:val="B2BECDA8"/>
    <w:lvl w:ilvl="0" w:tplc="B8C4C1A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17"/>
    <w:rsid w:val="000C3B53"/>
    <w:rsid w:val="00120FB4"/>
    <w:rsid w:val="001445A1"/>
    <w:rsid w:val="001672F7"/>
    <w:rsid w:val="001A612C"/>
    <w:rsid w:val="002C530B"/>
    <w:rsid w:val="003878B8"/>
    <w:rsid w:val="0042350F"/>
    <w:rsid w:val="004920D9"/>
    <w:rsid w:val="005237C1"/>
    <w:rsid w:val="00590366"/>
    <w:rsid w:val="008B36AB"/>
    <w:rsid w:val="00931B17"/>
    <w:rsid w:val="00971CE5"/>
    <w:rsid w:val="00A663CE"/>
    <w:rsid w:val="00B96979"/>
    <w:rsid w:val="00DC294D"/>
    <w:rsid w:val="00E10933"/>
    <w:rsid w:val="00E41AC7"/>
    <w:rsid w:val="00F0258C"/>
    <w:rsid w:val="00F247DA"/>
    <w:rsid w:val="00FB774E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20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5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20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Itziar</dc:creator>
  <cp:lastModifiedBy>Itziar</cp:lastModifiedBy>
  <cp:revision>3</cp:revision>
  <cp:lastPrinted>2016-12-13T11:25:00Z</cp:lastPrinted>
  <dcterms:created xsi:type="dcterms:W3CDTF">2016-11-15T09:35:00Z</dcterms:created>
  <dcterms:modified xsi:type="dcterms:W3CDTF">2016-12-13T11:25:00Z</dcterms:modified>
</cp:coreProperties>
</file>