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F819" w14:textId="77777777" w:rsidR="00633498" w:rsidRDefault="00633498" w:rsidP="00633498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b/>
          <w:bCs/>
          <w:iCs/>
          <w:sz w:val="20"/>
        </w:rPr>
      </w:pPr>
      <w:r>
        <w:rPr>
          <w:rFonts w:ascii="Verdana" w:hAnsi="Verdana" w:cs="Arial"/>
          <w:b/>
          <w:bCs/>
          <w:iCs/>
          <w:sz w:val="20"/>
        </w:rPr>
        <w:t>Procedimiento</w:t>
      </w:r>
    </w:p>
    <w:p w14:paraId="32F59B45" w14:textId="77777777" w:rsidR="00633498" w:rsidRDefault="00633498" w:rsidP="00633498">
      <w:pPr>
        <w:pStyle w:val="Piedepgina"/>
        <w:tabs>
          <w:tab w:val="left" w:pos="708"/>
        </w:tabs>
        <w:spacing w:before="120" w:after="120" w:line="360" w:lineRule="auto"/>
        <w:jc w:val="both"/>
        <w:rPr>
          <w:rFonts w:ascii="Verdana" w:hAnsi="Verdana" w:cs="Arial"/>
          <w:color w:val="1A1A1A"/>
          <w:spacing w:val="-10"/>
          <w:sz w:val="20"/>
        </w:rPr>
      </w:pPr>
      <w:r>
        <w:rPr>
          <w:rFonts w:ascii="Verdana" w:hAnsi="Verdana" w:cs="Arial"/>
          <w:color w:val="1A1A1A"/>
          <w:spacing w:val="-10"/>
          <w:sz w:val="20"/>
        </w:rPr>
        <w:t xml:space="preserve">La tramitación se realizará acorde a la Ley del Procedimiento Administrativo Común (Ley 39/2015, de 1 de octubre) y la normativa aplicable de tramitación electrónica. </w:t>
      </w:r>
    </w:p>
    <w:p w14:paraId="135264C9" w14:textId="77777777" w:rsidR="00633498" w:rsidRDefault="00633498" w:rsidP="00633498">
      <w:pPr>
        <w:pStyle w:val="Piedepgina"/>
        <w:tabs>
          <w:tab w:val="left" w:pos="708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Además de los requerimientos de subsanación cuando sea necesario, en todas las tramitaciones se solicitará informe previo y vinculante del titular de la vía por cuyas carreteras vaya a discurrir el itinerario solicitado. </w:t>
      </w:r>
    </w:p>
    <w:p w14:paraId="5AF127C5" w14:textId="5A65B141" w:rsidR="00633498" w:rsidRDefault="00633498" w:rsidP="00633498">
      <w:pPr>
        <w:pStyle w:val="Piedepgina"/>
        <w:tabs>
          <w:tab w:val="left" w:pos="708"/>
        </w:tabs>
        <w:spacing w:before="120" w:after="120"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Resolución del expediente: Autorización o denegación de la autorización</w:t>
      </w:r>
    </w:p>
    <w:p w14:paraId="708F859B" w14:textId="77777777" w:rsidR="00633498" w:rsidRDefault="00633498" w:rsidP="00633498">
      <w:pPr>
        <w:pStyle w:val="Piedepgina"/>
        <w:tabs>
          <w:tab w:val="left" w:pos="708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tramitación concluirá con la concesión o la denegación de la autorización. En la ACC deberá figurar, en todo caso, el recorrido a realizar, horario y cuantas limitaciones se consideren necesarias para garantizar la seguridad. </w:t>
      </w:r>
    </w:p>
    <w:p w14:paraId="6AE05D5C" w14:textId="77777777" w:rsidR="002F63FD" w:rsidRDefault="002F63FD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98"/>
    <w:rsid w:val="002F63FD"/>
    <w:rsid w:val="00633498"/>
    <w:rsid w:val="007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3D6"/>
  <w15:chartTrackingRefBased/>
  <w15:docId w15:val="{786D9E35-CF48-4166-8859-D4B7DF3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633498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3498"/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>BATERA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1</cp:revision>
  <dcterms:created xsi:type="dcterms:W3CDTF">2024-11-18T12:47:00Z</dcterms:created>
  <dcterms:modified xsi:type="dcterms:W3CDTF">2024-11-18T12:48:00Z</dcterms:modified>
</cp:coreProperties>
</file>