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C54FA" w14:textId="79E287E1" w:rsidR="002F63FD" w:rsidRPr="008921C8" w:rsidRDefault="008921C8">
      <w:pPr>
        <w:rPr>
          <w:b/>
          <w:bCs/>
        </w:rPr>
      </w:pPr>
      <w:r w:rsidRPr="008921C8">
        <w:rPr>
          <w:rFonts w:ascii="Verdana" w:hAnsi="Verdana"/>
          <w:b/>
          <w:bCs/>
          <w:sz w:val="20"/>
        </w:rPr>
        <w:t>Autorización complementaria de circulación para tren turístico</w:t>
      </w:r>
    </w:p>
    <w:p w14:paraId="7EE28FD8" w14:textId="77777777" w:rsidR="008921C8" w:rsidRPr="00F72492" w:rsidRDefault="008921C8" w:rsidP="008921C8">
      <w:pPr>
        <w:pStyle w:val="Piedepgina"/>
        <w:tabs>
          <w:tab w:val="clear" w:pos="4819"/>
          <w:tab w:val="clear" w:pos="9071"/>
        </w:tabs>
        <w:spacing w:before="120" w:after="120" w:line="360" w:lineRule="auto"/>
        <w:jc w:val="both"/>
        <w:rPr>
          <w:rFonts w:ascii="Verdana" w:hAnsi="Verdana"/>
          <w:sz w:val="20"/>
        </w:rPr>
      </w:pPr>
      <w:r w:rsidRPr="00F72492">
        <w:rPr>
          <w:rFonts w:ascii="Verdana" w:hAnsi="Verdana" w:cs="Arial"/>
          <w:color w:val="1A1A1A"/>
          <w:spacing w:val="-10"/>
          <w:sz w:val="20"/>
        </w:rPr>
        <w:t xml:space="preserve">El tren turístico es un vehículo especial constituido por un </w:t>
      </w:r>
      <w:r w:rsidRPr="00F72492">
        <w:rPr>
          <w:rFonts w:ascii="Verdana" w:hAnsi="Verdana" w:cs="Arial"/>
          <w:bCs/>
          <w:color w:val="1A1A1A"/>
          <w:spacing w:val="-10"/>
          <w:sz w:val="20"/>
          <w:bdr w:val="none" w:sz="0" w:space="0" w:color="auto" w:frame="1"/>
        </w:rPr>
        <w:t>vehículo tractor y uno o varios vagones (remolques)</w:t>
      </w:r>
      <w:r w:rsidRPr="00F72492">
        <w:rPr>
          <w:rFonts w:ascii="Verdana" w:hAnsi="Verdana" w:cs="Arial"/>
          <w:color w:val="1A1A1A"/>
          <w:spacing w:val="-10"/>
          <w:sz w:val="20"/>
        </w:rPr>
        <w:t xml:space="preserve">, concebido y construido para el transporte de personas con fines </w:t>
      </w:r>
      <w:r w:rsidRPr="00F72492">
        <w:rPr>
          <w:rFonts w:ascii="Verdana" w:hAnsi="Verdana" w:cs="Arial"/>
          <w:bCs/>
          <w:color w:val="1A1A1A"/>
          <w:spacing w:val="-10"/>
          <w:sz w:val="20"/>
          <w:bdr w:val="none" w:sz="0" w:space="0" w:color="auto" w:frame="1"/>
        </w:rPr>
        <w:t>turísticos</w:t>
      </w:r>
      <w:r w:rsidRPr="00F72492">
        <w:rPr>
          <w:rFonts w:ascii="Verdana" w:hAnsi="Verdana" w:cs="Arial"/>
          <w:color w:val="1A1A1A"/>
          <w:spacing w:val="-10"/>
          <w:sz w:val="20"/>
        </w:rPr>
        <w:t xml:space="preserve">, sometido, además, a las limitaciones que la autoridad competente le imponga sobre condiciones de circulación y velocidad máxima. Por construcción, estos vehículos ya tienen limitada su velocidad máxima a </w:t>
      </w:r>
      <w:r w:rsidRPr="00F72492">
        <w:rPr>
          <w:rFonts w:ascii="Verdana" w:hAnsi="Verdana" w:cs="Arial"/>
          <w:bCs/>
          <w:color w:val="1A1A1A"/>
          <w:spacing w:val="-10"/>
          <w:sz w:val="20"/>
          <w:bdr w:val="none" w:sz="0" w:space="0" w:color="auto" w:frame="1"/>
        </w:rPr>
        <w:t>25 km/h</w:t>
      </w:r>
      <w:r w:rsidRPr="00F72492">
        <w:rPr>
          <w:rFonts w:ascii="Verdana" w:hAnsi="Verdana" w:cs="Arial"/>
          <w:color w:val="1A1A1A"/>
          <w:spacing w:val="-10"/>
          <w:sz w:val="20"/>
        </w:rPr>
        <w:t xml:space="preserve"> y no tienen instalados cinturones de seguridad. </w:t>
      </w:r>
    </w:p>
    <w:p w14:paraId="54B5466E" w14:textId="77777777" w:rsidR="008921C8" w:rsidRDefault="008921C8" w:rsidP="008921C8">
      <w:pPr>
        <w:pStyle w:val="Piedepgina"/>
        <w:tabs>
          <w:tab w:val="clear" w:pos="4819"/>
          <w:tab w:val="clear" w:pos="9071"/>
        </w:tabs>
        <w:spacing w:before="120" w:after="120" w:line="360" w:lineRule="auto"/>
        <w:jc w:val="both"/>
        <w:rPr>
          <w:rFonts w:ascii="Verdana" w:hAnsi="Verdana" w:cs="Arial"/>
          <w:bCs/>
          <w:color w:val="1A1A1A"/>
          <w:spacing w:val="-10"/>
          <w:sz w:val="20"/>
          <w:bdr w:val="none" w:sz="0" w:space="0" w:color="auto" w:frame="1"/>
        </w:rPr>
      </w:pPr>
      <w:r w:rsidRPr="00F72492">
        <w:rPr>
          <w:rFonts w:ascii="Verdana" w:hAnsi="Verdana" w:cs="Arial"/>
          <w:color w:val="1A1A1A"/>
          <w:spacing w:val="-10"/>
          <w:sz w:val="20"/>
        </w:rPr>
        <w:t>Los trenes turísticos para circular por las vías públicas deberán obtener</w:t>
      </w:r>
      <w:r>
        <w:rPr>
          <w:rFonts w:ascii="Verdana" w:hAnsi="Verdana" w:cs="Arial"/>
          <w:color w:val="1A1A1A"/>
          <w:spacing w:val="-10"/>
          <w:sz w:val="20"/>
        </w:rPr>
        <w:t>, además de la autorización ordinaria de circulación,</w:t>
      </w:r>
      <w:r w:rsidRPr="00F72492">
        <w:rPr>
          <w:rFonts w:ascii="Verdana" w:hAnsi="Verdana" w:cs="Arial"/>
          <w:color w:val="1A1A1A"/>
          <w:spacing w:val="-10"/>
          <w:sz w:val="20"/>
        </w:rPr>
        <w:t xml:space="preserve"> una </w:t>
      </w:r>
      <w:r w:rsidRPr="00F72492">
        <w:rPr>
          <w:rFonts w:ascii="Verdana" w:hAnsi="Verdana" w:cs="Arial"/>
          <w:bCs/>
          <w:color w:val="1A1A1A"/>
          <w:spacing w:val="-10"/>
          <w:sz w:val="20"/>
          <w:bdr w:val="none" w:sz="0" w:space="0" w:color="auto" w:frame="1"/>
        </w:rPr>
        <w:t>autorización complementaria de circulación (</w:t>
      </w:r>
      <w:r>
        <w:rPr>
          <w:rFonts w:ascii="Verdana" w:hAnsi="Verdana" w:cs="Arial"/>
          <w:bCs/>
          <w:color w:val="1A1A1A"/>
          <w:spacing w:val="-10"/>
          <w:sz w:val="20"/>
          <w:bdr w:val="none" w:sz="0" w:space="0" w:color="auto" w:frame="1"/>
        </w:rPr>
        <w:t xml:space="preserve">en adelante </w:t>
      </w:r>
      <w:r w:rsidRPr="00F72492">
        <w:rPr>
          <w:rFonts w:ascii="Verdana" w:hAnsi="Verdana" w:cs="Arial"/>
          <w:bCs/>
          <w:color w:val="1A1A1A"/>
          <w:spacing w:val="-10"/>
          <w:sz w:val="20"/>
          <w:bdr w:val="none" w:sz="0" w:space="0" w:color="auto" w:frame="1"/>
        </w:rPr>
        <w:t>ACC)</w:t>
      </w:r>
      <w:r w:rsidRPr="00F72492">
        <w:rPr>
          <w:rFonts w:ascii="Verdana" w:hAnsi="Verdana" w:cs="Arial"/>
          <w:color w:val="1A1A1A"/>
          <w:spacing w:val="-10"/>
          <w:sz w:val="20"/>
        </w:rPr>
        <w:t xml:space="preserve"> del órgano competente en materia de Tráfico </w:t>
      </w:r>
      <w:r>
        <w:rPr>
          <w:rFonts w:ascii="Verdana" w:hAnsi="Verdana" w:cs="Arial"/>
          <w:color w:val="1A1A1A"/>
          <w:spacing w:val="-10"/>
          <w:sz w:val="20"/>
        </w:rPr>
        <w:t xml:space="preserve">y ello </w:t>
      </w:r>
      <w:r w:rsidRPr="00F72492">
        <w:rPr>
          <w:rFonts w:ascii="Verdana" w:hAnsi="Verdana" w:cs="Arial"/>
          <w:color w:val="1A1A1A"/>
          <w:spacing w:val="-10"/>
          <w:sz w:val="20"/>
        </w:rPr>
        <w:t xml:space="preserve">con independencia de la matriculación de cada elemento </w:t>
      </w:r>
      <w:proofErr w:type="gramStart"/>
      <w:r w:rsidRPr="00F72492">
        <w:rPr>
          <w:rFonts w:ascii="Verdana" w:hAnsi="Verdana" w:cs="Arial"/>
          <w:color w:val="1A1A1A"/>
          <w:spacing w:val="-10"/>
          <w:sz w:val="20"/>
        </w:rPr>
        <w:t>del mismo</w:t>
      </w:r>
      <w:proofErr w:type="gramEnd"/>
      <w:r w:rsidRPr="00F72492">
        <w:rPr>
          <w:rFonts w:ascii="Verdana" w:hAnsi="Verdana" w:cs="Arial"/>
          <w:color w:val="1A1A1A"/>
          <w:spacing w:val="-10"/>
          <w:sz w:val="20"/>
        </w:rPr>
        <w:t xml:space="preserve"> como </w:t>
      </w:r>
      <w:r w:rsidRPr="00F72492">
        <w:rPr>
          <w:rFonts w:ascii="Verdana" w:hAnsi="Verdana" w:cs="Arial"/>
          <w:bCs/>
          <w:color w:val="1A1A1A"/>
          <w:spacing w:val="-10"/>
          <w:sz w:val="20"/>
          <w:bdr w:val="none" w:sz="0" w:space="0" w:color="auto" w:frame="1"/>
        </w:rPr>
        <w:t>vehículo especial o su matriculación como una unidad</w:t>
      </w:r>
      <w:r>
        <w:rPr>
          <w:rFonts w:ascii="Verdana" w:hAnsi="Verdana" w:cs="Arial"/>
          <w:bCs/>
          <w:color w:val="1A1A1A"/>
          <w:spacing w:val="-10"/>
          <w:sz w:val="20"/>
          <w:bdr w:val="none" w:sz="0" w:space="0" w:color="auto" w:frame="1"/>
        </w:rPr>
        <w:t xml:space="preserve"> (artículo 28</w:t>
      </w:r>
      <w:r w:rsidRPr="00F72492">
        <w:rPr>
          <w:rFonts w:ascii="Verdana" w:hAnsi="Verdana" w:cs="Arial"/>
          <w:bCs/>
          <w:color w:val="1A1A1A"/>
          <w:spacing w:val="-10"/>
          <w:sz w:val="20"/>
          <w:bdr w:val="none" w:sz="0" w:space="0" w:color="auto" w:frame="1"/>
        </w:rPr>
        <w:t>.</w:t>
      </w:r>
      <w:r>
        <w:rPr>
          <w:rFonts w:ascii="Verdana" w:hAnsi="Verdana" w:cs="Arial"/>
          <w:bCs/>
          <w:color w:val="1A1A1A"/>
          <w:spacing w:val="-10"/>
          <w:sz w:val="20"/>
          <w:bdr w:val="none" w:sz="0" w:space="0" w:color="auto" w:frame="1"/>
        </w:rPr>
        <w:t>6 del Reglamento General de Vehículos).</w:t>
      </w:r>
      <w:r w:rsidRPr="00F72492">
        <w:rPr>
          <w:rFonts w:ascii="Verdana" w:hAnsi="Verdana" w:cs="Arial"/>
          <w:bCs/>
          <w:color w:val="1A1A1A"/>
          <w:spacing w:val="-10"/>
          <w:sz w:val="20"/>
          <w:bdr w:val="none" w:sz="0" w:space="0" w:color="auto" w:frame="1"/>
        </w:rPr>
        <w:t xml:space="preserve"> </w:t>
      </w:r>
    </w:p>
    <w:p w14:paraId="495BD8A1" w14:textId="77777777" w:rsidR="008921C8" w:rsidRDefault="008921C8" w:rsidP="008921C8">
      <w:pPr>
        <w:pStyle w:val="Piedepgina"/>
        <w:tabs>
          <w:tab w:val="clear" w:pos="4819"/>
          <w:tab w:val="clear" w:pos="9071"/>
        </w:tabs>
        <w:spacing w:before="120" w:after="120"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 w:cs="Arial"/>
          <w:bCs/>
          <w:color w:val="1A1A1A"/>
          <w:spacing w:val="-10"/>
          <w:sz w:val="20"/>
          <w:bdr w:val="none" w:sz="0" w:space="0" w:color="auto" w:frame="1"/>
        </w:rPr>
        <w:t>Cuando la</w:t>
      </w:r>
      <w:r w:rsidRPr="00F72492">
        <w:rPr>
          <w:rFonts w:ascii="Verdana" w:hAnsi="Verdana" w:cs="Arial"/>
          <w:bCs/>
          <w:color w:val="1A1A1A"/>
          <w:spacing w:val="-10"/>
          <w:sz w:val="20"/>
          <w:bdr w:val="none" w:sz="0" w:space="0" w:color="auto" w:frame="1"/>
        </w:rPr>
        <w:t xml:space="preserve"> matriculación </w:t>
      </w:r>
      <w:r>
        <w:rPr>
          <w:rFonts w:ascii="Verdana" w:hAnsi="Verdana" w:cs="Arial"/>
          <w:bCs/>
          <w:color w:val="1A1A1A"/>
          <w:spacing w:val="-10"/>
          <w:sz w:val="20"/>
          <w:bdr w:val="none" w:sz="0" w:space="0" w:color="auto" w:frame="1"/>
        </w:rPr>
        <w:t xml:space="preserve">es como unidad, se expide un único </w:t>
      </w:r>
      <w:r w:rsidRPr="00F72492">
        <w:rPr>
          <w:rFonts w:ascii="Verdana" w:hAnsi="Verdana" w:cs="Arial"/>
          <w:color w:val="1A1A1A"/>
          <w:spacing w:val="-10"/>
          <w:sz w:val="20"/>
        </w:rPr>
        <w:t>permiso de circulación para todo el conjunto que</w:t>
      </w:r>
      <w:r>
        <w:rPr>
          <w:rFonts w:ascii="Verdana" w:hAnsi="Verdana" w:cs="Arial"/>
          <w:bCs/>
          <w:color w:val="1A1A1A"/>
          <w:spacing w:val="-10"/>
          <w:sz w:val="20"/>
          <w:bdr w:val="none" w:sz="0" w:space="0" w:color="auto" w:frame="1"/>
        </w:rPr>
        <w:t xml:space="preserve"> </w:t>
      </w:r>
      <w:r w:rsidRPr="00F72492">
        <w:rPr>
          <w:rFonts w:ascii="Verdana" w:hAnsi="Verdana" w:cs="Arial"/>
          <w:bCs/>
          <w:color w:val="1A1A1A"/>
          <w:spacing w:val="-10"/>
          <w:sz w:val="20"/>
          <w:bdr w:val="none" w:sz="0" w:space="0" w:color="auto" w:frame="1"/>
        </w:rPr>
        <w:t xml:space="preserve">es </w:t>
      </w:r>
      <w:r w:rsidRPr="00F72492">
        <w:rPr>
          <w:rFonts w:ascii="Verdana" w:hAnsi="Verdana" w:cs="Arial"/>
          <w:color w:val="1A1A1A"/>
          <w:spacing w:val="-10"/>
          <w:sz w:val="20"/>
        </w:rPr>
        <w:t xml:space="preserve">independiente del número de vagones </w:t>
      </w:r>
      <w:r>
        <w:rPr>
          <w:rFonts w:ascii="Verdana" w:hAnsi="Verdana" w:cs="Arial"/>
          <w:color w:val="1A1A1A"/>
          <w:spacing w:val="-10"/>
          <w:sz w:val="20"/>
        </w:rPr>
        <w:t>y</w:t>
      </w:r>
      <w:r w:rsidRPr="00F72492">
        <w:rPr>
          <w:rFonts w:ascii="Verdana" w:hAnsi="Verdana" w:cs="Arial"/>
          <w:color w:val="1A1A1A"/>
          <w:spacing w:val="-10"/>
          <w:sz w:val="20"/>
        </w:rPr>
        <w:t>, además, tiene una única tarjeta de inspección técnica con la información de todos los remolques que lo conforman.</w:t>
      </w:r>
      <w:r w:rsidRPr="00F72492">
        <w:rPr>
          <w:rFonts w:ascii="Verdana" w:hAnsi="Verdana"/>
          <w:sz w:val="20"/>
        </w:rPr>
        <w:t xml:space="preserve"> </w:t>
      </w:r>
    </w:p>
    <w:p w14:paraId="22E96235" w14:textId="77777777" w:rsidR="008921C8" w:rsidRPr="00BE683C" w:rsidRDefault="008921C8" w:rsidP="008921C8">
      <w:pPr>
        <w:pStyle w:val="Piedepgina"/>
        <w:tabs>
          <w:tab w:val="clear" w:pos="4819"/>
          <w:tab w:val="clear" w:pos="9071"/>
        </w:tabs>
        <w:spacing w:before="120" w:after="120" w:line="360" w:lineRule="auto"/>
        <w:jc w:val="both"/>
        <w:rPr>
          <w:rFonts w:ascii="Verdana" w:hAnsi="Verdana"/>
          <w:b/>
          <w:sz w:val="20"/>
        </w:rPr>
      </w:pPr>
      <w:r w:rsidRPr="00BE683C">
        <w:rPr>
          <w:rFonts w:ascii="Verdana" w:hAnsi="Verdana"/>
          <w:b/>
          <w:sz w:val="20"/>
        </w:rPr>
        <w:t>Órgano competente para expedir la autorización complementaria.</w:t>
      </w:r>
    </w:p>
    <w:p w14:paraId="6E6948EB" w14:textId="77777777" w:rsidR="008921C8" w:rsidRDefault="008921C8" w:rsidP="008921C8">
      <w:pPr>
        <w:pStyle w:val="Piedepgina"/>
        <w:tabs>
          <w:tab w:val="clear" w:pos="4819"/>
          <w:tab w:val="clear" w:pos="9071"/>
        </w:tabs>
        <w:spacing w:before="120" w:after="120"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Si el itinerario o parte </w:t>
      </w:r>
      <w:proofErr w:type="gramStart"/>
      <w:r>
        <w:rPr>
          <w:rFonts w:ascii="Verdana" w:hAnsi="Verdana"/>
          <w:sz w:val="20"/>
        </w:rPr>
        <w:t>del mismo</w:t>
      </w:r>
      <w:proofErr w:type="gramEnd"/>
      <w:r>
        <w:rPr>
          <w:rFonts w:ascii="Verdana" w:hAnsi="Verdana"/>
          <w:sz w:val="20"/>
        </w:rPr>
        <w:t xml:space="preserve"> se desarrolla por vías interurbanas o travesías del País Vasco será la Dirección de Tráfico la qua otorgará la ACC. En concreto, la tramitación le corresponderá a la Oficina Territorial de Tráfico por dónde discurra el itinerario solicitado o, en su caso, se inicie.</w:t>
      </w:r>
    </w:p>
    <w:p w14:paraId="581F4C04" w14:textId="0283BC20" w:rsidR="008921C8" w:rsidRDefault="008921C8" w:rsidP="008921C8">
      <w:pPr>
        <w:pStyle w:val="Piedepgina"/>
        <w:tabs>
          <w:tab w:val="clear" w:pos="4819"/>
          <w:tab w:val="clear" w:pos="9071"/>
        </w:tabs>
        <w:spacing w:before="120" w:after="120"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Si se circula por vías urbanas, el Ayuntamiento será la autoridad encargada del tráfico competente para emitir esas autorizaciones complementarias.</w:t>
      </w:r>
    </w:p>
    <w:p w14:paraId="05B153A5" w14:textId="77777777" w:rsidR="008921C8" w:rsidRDefault="008921C8"/>
    <w:sectPr w:rsidR="008921C8" w:rsidSect="007D6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1C8"/>
    <w:rsid w:val="002F63FD"/>
    <w:rsid w:val="007D6E33"/>
    <w:rsid w:val="0089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00CA"/>
  <w15:chartTrackingRefBased/>
  <w15:docId w15:val="{37AD0E43-9CB6-48B1-A859-FC3FFC14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8921C8"/>
    <w:pPr>
      <w:tabs>
        <w:tab w:val="center" w:pos="4819"/>
        <w:tab w:val="right" w:pos="9071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21C8"/>
    <w:rPr>
      <w:rFonts w:ascii="Times New Roman" w:eastAsia="Times New Roman" w:hAnsi="Times New Roman" w:cs="Times New Roman"/>
      <w:sz w:val="24"/>
      <w:szCs w:val="2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1450</Characters>
  <Application>Microsoft Office Word</Application>
  <DocSecurity>0</DocSecurity>
  <Lines>12</Lines>
  <Paragraphs>3</Paragraphs>
  <ScaleCrop>false</ScaleCrop>
  <Company>BATERA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 Pereda, Mª Esther</dc:creator>
  <cp:keywords/>
  <dc:description/>
  <cp:lastModifiedBy>Montes Pereda, Mª Esther</cp:lastModifiedBy>
  <cp:revision>1</cp:revision>
  <dcterms:created xsi:type="dcterms:W3CDTF">2024-11-18T12:33:00Z</dcterms:created>
  <dcterms:modified xsi:type="dcterms:W3CDTF">2024-11-18T12:36:00Z</dcterms:modified>
</cp:coreProperties>
</file>