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header1.xml" ContentType="application/vnd.openxmlformats-officedocument.wordprocessingml.header+xml"/>
  <Override PartName="/word/activeX/_rels/activeX1.xml.rels" ContentType="application/vnd.openxmlformats-package.relationships+xml"/>
  <Override PartName="/word/activeX/_rels/activeX2.xml.rels" ContentType="application/vnd.openxmlformats-package.relationships+xml"/>
  <Override PartName="/word/activeX/_rels/activeX3.xml.rels" ContentType="application/vnd.openxmlformats-package.relationships+xml"/>
  <Override PartName="/word/activeX/activeX1.bin" ContentType="application/vnd.ms-office.activeX"/>
  <Override PartName="/word/activeX/activeX3.bin" ContentType="application/vnd.ms-office.activeX"/>
  <Override PartName="/word/activeX/activeX2.xml" ContentType="application/vnd.ms-office.activeX+xml"/>
  <Override PartName="/word/activeX/activeX3.xml" ContentType="application/vnd.ms-office.activeX+xml"/>
  <Override PartName="/word/activeX/activeX2.bin" ContentType="application/vnd.ms-office.activeX"/>
  <Override PartName="/word/activeX/activeX1.xml" ContentType="application/vnd.ms-office.activeX+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media/image1.png" ContentType="image/png"/>
  <Override PartName="/word/media/image2.png" ContentType="image/png"/>
  <Override PartName="/customXml/item3.xml" ContentType="application/xml"/>
  <Override PartName="/customXml/itemProps4.xml" ContentType="application/vnd.openxmlformats-officedocument.customXmlProperties+xml"/>
  <Override PartName="/customXml/_rels/item2.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1.xml" ContentType="application/xml"/>
  <Override PartName="/customXml/item4.xml" ContentType="application/xml"/>
  <Override PartName="/customXml/itemProps3.xml" ContentType="application/vnd.openxmlformats-officedocument.customXmlProperties+xml"/>
  <Override PartName="/customXml/item2.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u w:val="single"/>
        </w:rPr>
      </w:pPr>
      <w:r>
        <w:rPr>
          <w:u w:val="single"/>
        </w:rPr>
      </w:r>
    </w:p>
    <w:tbl>
      <w:tblPr>
        <w:tblW w:w="9390" w:type="dxa"/>
        <w:jc w:val="left"/>
        <w:tblInd w:w="57" w:type="dxa"/>
        <w:tblCellMar>
          <w:top w:w="0" w:type="dxa"/>
          <w:left w:w="68" w:type="dxa"/>
          <w:bottom w:w="0" w:type="dxa"/>
          <w:right w:w="68" w:type="dxa"/>
        </w:tblCellMar>
        <w:tblLook w:val="01e0" w:noVBand="0" w:noHBand="0" w:lastColumn="1" w:firstColumn="1" w:lastRow="1" w:firstRow="1"/>
      </w:tblPr>
      <w:tblGrid>
        <w:gridCol w:w="9390"/>
      </w:tblGrid>
      <w:tr>
        <w:trPr>
          <w:trHeight w:val="465" w:hRule="atLeast"/>
        </w:trPr>
        <w:tc>
          <w:tcPr>
            <w:tcW w:w="9390" w:type="dxa"/>
            <w:tcBorders>
              <w:top w:val="single" w:sz="4" w:space="0" w:color="000000"/>
              <w:left w:val="single" w:sz="4" w:space="0" w:color="000000"/>
              <w:right w:val="single" w:sz="4" w:space="0" w:color="000000"/>
            </w:tcBorders>
            <w:shd w:color="auto" w:fill="auto" w:val="clear"/>
            <w:vAlign w:val="center"/>
          </w:tcPr>
          <w:p>
            <w:pPr>
              <w:pStyle w:val="Normal"/>
              <w:rPr>
                <w:rFonts w:ascii="Cambria" w:hAnsi="Cambria"/>
                <w:b/>
                <w:b/>
              </w:rPr>
            </w:pPr>
            <w:r>
              <w:rPr>
                <w:rFonts w:ascii="Cambria" w:hAnsi="Cambria"/>
              </w:rPr>
              <w:t xml:space="preserve">Proiektuaren zk. / Proyecto nº:  </w:t>
            </w:r>
          </w:p>
        </w:tc>
      </w:tr>
      <w:tr>
        <w:trPr>
          <w:trHeight w:val="465" w:hRule="atLeast"/>
        </w:trPr>
        <w:tc>
          <w:tcPr>
            <w:tcW w:w="9390" w:type="dxa"/>
            <w:tcBorders>
              <w:left w:val="single" w:sz="4" w:space="0" w:color="000000"/>
              <w:right w:val="single" w:sz="4" w:space="0" w:color="000000"/>
            </w:tcBorders>
            <w:shd w:color="auto" w:fill="auto" w:val="clear"/>
            <w:vAlign w:val="center"/>
          </w:tcPr>
          <w:p>
            <w:pPr>
              <w:pStyle w:val="Normal"/>
              <w:rPr>
                <w:rFonts w:ascii="Cambria" w:hAnsi="Cambria"/>
              </w:rPr>
            </w:pPr>
            <w:r>
              <w:rPr>
                <w:rFonts w:ascii="Cambria" w:hAnsi="Cambria"/>
              </w:rPr>
              <w:t xml:space="preserve">Proiektuaren izena / Denominación del proyecto: </w:t>
            </w:r>
            <w:r>
              <w:rPr>
                <w:rFonts w:ascii="Cambria" w:hAnsi="Cambria"/>
                <w:b/>
              </w:rPr>
              <w:t>Nueva aplicación de</w:t>
            </w:r>
            <w:r>
              <w:rPr>
                <w:rFonts w:ascii="Cambria" w:hAnsi="Cambria"/>
              </w:rPr>
              <w:t xml:space="preserve"> </w:t>
            </w:r>
            <w:r>
              <w:rPr>
                <w:rFonts w:ascii="Cambria" w:hAnsi="Cambria"/>
                <w:b/>
              </w:rPr>
              <w:t>Avisos a la Carta para la Dirección de Atención de Emergencias y Meteorología</w:t>
            </w:r>
          </w:p>
        </w:tc>
      </w:tr>
      <w:tr>
        <w:trPr>
          <w:trHeight w:val="465" w:hRule="atLeast"/>
        </w:trPr>
        <w:tc>
          <w:tcPr>
            <w:tcW w:w="9390" w:type="dxa"/>
            <w:tcBorders>
              <w:left w:val="single" w:sz="4" w:space="0" w:color="000000"/>
              <w:bottom w:val="single" w:sz="4" w:space="0" w:color="000000"/>
              <w:right w:val="single" w:sz="4" w:space="0" w:color="000000"/>
            </w:tcBorders>
            <w:shd w:color="auto" w:fill="auto" w:val="clear"/>
            <w:vAlign w:val="center"/>
          </w:tcPr>
          <w:p>
            <w:pPr>
              <w:pStyle w:val="Normal"/>
              <w:rPr>
                <w:rFonts w:ascii="Cambria" w:hAnsi="Cambria"/>
              </w:rPr>
            </w:pPr>
            <w:r>
              <w:rPr>
                <w:rFonts w:ascii="Cambria" w:hAnsi="Cambria"/>
              </w:rPr>
              <w:t>Akta egin den eguna / Fecha elaboración Acta: 24/10/2018</w:t>
            </w:r>
          </w:p>
        </w:tc>
      </w:tr>
    </w:tbl>
    <w:p>
      <w:pPr>
        <w:pStyle w:val="Normal"/>
        <w:rPr>
          <w:u w:val="single"/>
        </w:rPr>
      </w:pPr>
      <w:r>
        <w:rPr>
          <w:u w:val="single"/>
        </w:rPr>
      </w:r>
    </w:p>
    <w:p>
      <w:pPr>
        <w:pStyle w:val="Normal"/>
        <w:rPr/>
      </w:pPr>
      <w:r>
        <w:rPr/>
      </w:r>
    </w:p>
    <w:tbl>
      <w:tblPr>
        <w:tblW w:w="9379" w:type="dxa"/>
        <w:jc w:val="left"/>
        <w:tblInd w:w="57" w:type="dxa"/>
        <w:tblCellMar>
          <w:top w:w="0" w:type="dxa"/>
          <w:left w:w="68" w:type="dxa"/>
          <w:bottom w:w="0" w:type="dxa"/>
          <w:right w:w="68" w:type="dxa"/>
        </w:tblCellMar>
        <w:tblLook w:val="01e0" w:noVBand="0" w:noHBand="0" w:lastColumn="1" w:firstColumn="1" w:lastRow="1" w:firstRow="1"/>
      </w:tblPr>
      <w:tblGrid>
        <w:gridCol w:w="2846"/>
        <w:gridCol w:w="142"/>
        <w:gridCol w:w="2551"/>
        <w:gridCol w:w="708"/>
        <w:gridCol w:w="3132"/>
      </w:tblGrid>
      <w:tr>
        <w:trPr>
          <w:trHeight w:val="480" w:hRule="exact"/>
        </w:trPr>
        <w:tc>
          <w:tcPr>
            <w:tcW w:w="9379" w:type="dxa"/>
            <w:gridSpan w:val="5"/>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Autospacing="1"/>
              <w:rPr>
                <w:rFonts w:ascii="Cambria" w:hAnsi="Cambria"/>
                <w:b/>
                <w:b/>
              </w:rPr>
            </w:pPr>
            <w:r>
              <w:rPr>
                <w:rFonts w:ascii="Cambria" w:hAnsi="Cambria"/>
                <w:b/>
              </w:rPr>
              <w:t>Bileraren helburua / Objeto de la reunión:  Ajustes de interfaz, manejo y formato de email</w:t>
            </w:r>
          </w:p>
          <w:p>
            <w:pPr>
              <w:pStyle w:val="Normal"/>
              <w:spacing w:beforeAutospacing="1" w:after="0"/>
              <w:rPr>
                <w:rFonts w:ascii="Cambria" w:hAnsi="Cambria"/>
                <w:b/>
                <w:b/>
              </w:rPr>
            </w:pPr>
            <w:r>
              <w:rPr>
                <w:rFonts w:ascii="Cambria" w:hAnsi="Cambria"/>
                <w:b/>
              </w:rPr>
              <w:t xml:space="preserve">Objeto de la reunión: </w:t>
            </w:r>
          </w:p>
        </w:tc>
      </w:tr>
      <w:tr>
        <w:trPr>
          <w:trHeight w:val="480" w:hRule="exact"/>
        </w:trPr>
        <w:tc>
          <w:tcPr>
            <w:tcW w:w="28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Eguna / Fecha: 24/10/2018</w:t>
            </w:r>
          </w:p>
        </w:tc>
        <w:tc>
          <w:tcPr>
            <w:tcW w:w="2693"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Ordua / Hora: 08:00</w:t>
            </w:r>
          </w:p>
        </w:tc>
        <w:tc>
          <w:tcPr>
            <w:tcW w:w="3840"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Autospacing="1"/>
              <w:rPr>
                <w:rFonts w:ascii="Arial Narrow" w:hAnsi="Arial Narrow"/>
              </w:rPr>
            </w:pPr>
            <w:r>
              <w:rPr>
                <w:rFonts w:ascii="Arial Narrow" w:hAnsi="Arial Narrow"/>
              </w:rPr>
              <w:t xml:space="preserve">Lekua / Lugar: </w:t>
            </w:r>
            <w:r>
              <w:rPr>
                <w:rFonts w:ascii="Cambria" w:hAnsi="Cambria"/>
              </w:rPr>
              <w:t>Dirección de Atención de Emergencias y Meteorología</w:t>
            </w:r>
          </w:p>
          <w:p>
            <w:pPr>
              <w:pStyle w:val="Normal"/>
              <w:spacing w:beforeAutospacing="1" w:afterAutospacing="1"/>
              <w:rPr>
                <w:rFonts w:ascii="Arial Narrow" w:hAnsi="Arial Narrow"/>
              </w:rPr>
            </w:pPr>
            <w:r>
              <w:rPr>
                <w:rFonts w:ascii="Arial Narrow" w:hAnsi="Arial Narrow"/>
              </w:rPr>
            </w:r>
          </w:p>
          <w:p>
            <w:pPr>
              <w:pStyle w:val="Normal"/>
              <w:spacing w:beforeAutospacing="1" w:after="0"/>
              <w:rPr>
                <w:rFonts w:ascii="Arial Narrow" w:hAnsi="Arial Narrow"/>
              </w:rPr>
            </w:pPr>
            <w:r>
              <w:rPr>
                <w:rFonts w:ascii="Arial Narrow" w:hAnsi="Arial Narrow"/>
              </w:rPr>
            </w:r>
          </w:p>
        </w:tc>
      </w:tr>
      <w:tr>
        <w:trPr>
          <w:trHeight w:val="511" w:hRule="atLeast"/>
        </w:trPr>
        <w:tc>
          <w:tcPr>
            <w:tcW w:w="9379"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pPr>
            <w:r>
              <w:rPr>
                <w:rFonts w:ascii="Arial Narrow" w:hAnsi="Arial Narrow"/>
              </w:rPr>
              <w:t xml:space="preserve">Deitu duena / Convocante: </w:t>
            </w:r>
            <w:r>
              <w:rPr>
                <w:rFonts w:ascii="Arial Narrow" w:hAnsi="Arial Narrow"/>
              </w:rPr>
              <w:t>XXXX</w:t>
            </w:r>
          </w:p>
        </w:tc>
      </w:tr>
      <w:tr>
        <w:trPr>
          <w:trHeight w:val="483" w:hRule="atLeast"/>
        </w:trPr>
        <w:tc>
          <w:tcPr>
            <w:tcW w:w="9379"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 xml:space="preserve">Deitutakoak / Convocados: </w:t>
            </w:r>
          </w:p>
        </w:tc>
      </w:tr>
      <w:tr>
        <w:trPr>
          <w:trHeight w:val="447" w:hRule="atLeast"/>
        </w:trPr>
        <w:tc>
          <w:tcPr>
            <w:tcW w:w="2988"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Bertaratuak / Asistentes</w:t>
            </w:r>
          </w:p>
        </w:tc>
        <w:tc>
          <w:tcPr>
            <w:tcW w:w="3259" w:type="dxa"/>
            <w:gridSpan w:val="2"/>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Entitatea / Entidad</w:t>
            </w:r>
          </w:p>
        </w:tc>
        <w:tc>
          <w:tcPr>
            <w:tcW w:w="313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beforeAutospacing="1" w:after="0"/>
              <w:jc w:val="center"/>
              <w:rPr>
                <w:rFonts w:ascii="Arial Narrow" w:hAnsi="Arial Narrow"/>
                <w:b/>
                <w:b/>
              </w:rPr>
            </w:pPr>
            <w:r>
              <w:rPr>
                <w:rFonts w:ascii="Arial Narrow" w:hAnsi="Arial Narrow"/>
                <w:b/>
              </w:rPr>
              <w:t>Kargua / Cargo</w:t>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Director</w:t>
            </w:r>
          </w:p>
        </w:tc>
      </w:tr>
      <w:tr>
        <w:trPr>
          <w:trHeight w:val="41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23"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de Atención de Emergencias y Meteorología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5"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Dirección Servicios (Area Informática)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07"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EJIE</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Jefe de Proyecto</w:t>
            </w:r>
          </w:p>
        </w:tc>
      </w:tr>
      <w:tr>
        <w:trPr>
          <w:trHeight w:val="42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t>Tecnalia</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9"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lang w:eastAsia="es-ES_tradnl"/>
              </w:rPr>
            </w:pPr>
            <w:r>
              <w:rPr>
                <w:rFonts w:eastAsia="Arial Unicode MS" w:cs="Arial Unicode M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rPr>
            </w:pPr>
            <w:r>
              <w:rPr>
                <w:rFonts w:eastAsia="Arial Unicode MS" w:cs="Arial Unicode MS" w:ascii="Arial Narrow" w:hAnsi="Arial Narrow"/>
              </w:rPr>
              <w:t>Eurohelp</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eastAsia="Arial Unicode MS" w:cs="Arial Unicode MS"/>
              </w:rPr>
            </w:pPr>
            <w:r>
              <w:rPr>
                <w:rFonts w:eastAsia="Arial Unicode MS" w:cs="Arial Unicode MS" w:ascii="Arial Narrow" w:hAnsi="Arial Narrow"/>
              </w:rPr>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lang w:eastAsia="es-ES_tradnl"/>
              </w:rPr>
            </w:pPr>
            <w:r>
              <w:rPr>
                <w:rFonts w:ascii="Arial Narrow" w:hAnsi="Arial Narrow"/>
                <w:lang w:eastAsia="es-ES_tradnl"/>
              </w:rPr>
              <w:t>XXXXX</w:t>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eastAsia="Arial Unicode MS" w:cs="Arial Unicode MS" w:ascii="Arial Narrow" w:hAnsi="Arial Narrow"/>
              </w:rPr>
              <w:t>Eurohelp</w:t>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7"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1"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16"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423" w:hRule="atLeast"/>
        </w:trPr>
        <w:tc>
          <w:tcPr>
            <w:tcW w:w="2988"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259"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c>
          <w:tcPr>
            <w:tcW w:w="313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Autospacing="1" w:after="0"/>
              <w:rPr>
                <w:rFonts w:ascii="Arial Narrow" w:hAnsi="Arial Narrow"/>
              </w:rPr>
            </w:pPr>
            <w:r>
              <w:rPr>
                <w:rFonts w:ascii="Arial Narrow" w:hAnsi="Arial Narrow"/>
              </w:rPr>
            </w:r>
          </w:p>
        </w:tc>
      </w:tr>
      <w:tr>
        <w:trPr>
          <w:trHeight w:val="501" w:hRule="atLeast"/>
        </w:trPr>
        <w:tc>
          <w:tcPr>
            <w:tcW w:w="9379"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Autospacing="1" w:after="0"/>
              <w:rPr>
                <w:rFonts w:ascii="Arial Narrow" w:hAnsi="Arial Narrow"/>
              </w:rPr>
            </w:pPr>
            <w:r>
              <w:rPr>
                <w:rFonts w:ascii="Arial Narrow" w:hAnsi="Arial Narrow"/>
              </w:rPr>
              <w:t xml:space="preserve">Bertaratu ez direnak / Ausentes: </w:t>
            </w:r>
          </w:p>
        </w:tc>
      </w:tr>
    </w:tbl>
    <w:p>
      <w:pPr>
        <w:pStyle w:val="TextBody"/>
        <w:rPr>
          <w:rFonts w:ascii="Arial Narrow" w:hAnsi="Arial Narrow"/>
          <w:lang w:val="eu-ES"/>
        </w:rPr>
      </w:pPr>
      <w:r>
        <w:rPr>
          <w:rFonts w:ascii="Arial Narrow" w:hAnsi="Arial Narrow"/>
          <w:lang w:val="eu-ES"/>
        </w:rPr>
      </w:r>
    </w:p>
    <w:p>
      <w:pPr>
        <w:pStyle w:val="Normal"/>
        <w:rPr>
          <w:rFonts w:ascii="Arial Narrow" w:hAnsi="Arial Narrow"/>
          <w:u w:val="single"/>
        </w:rPr>
      </w:pPr>
      <w:r>
        <w:rPr>
          <w:rFonts w:ascii="Arial Narrow" w:hAnsi="Arial Narrow"/>
          <w:u w:val="single"/>
        </w:rPr>
      </w:r>
    </w:p>
    <w:p>
      <w:pPr>
        <w:pStyle w:val="Normal"/>
        <w:rPr>
          <w:rFonts w:ascii="Arial Narrow" w:hAnsi="Arial Narrow"/>
        </w:rPr>
      </w:pPr>
      <w:r>
        <w:rPr>
          <w:rFonts w:ascii="Arial Narrow" w:hAnsi="Arial Narrow"/>
        </w:rPr>
      </w:r>
    </w:p>
    <w:p>
      <w:pPr>
        <w:pStyle w:val="Normal"/>
        <w:rPr>
          <w:rFonts w:ascii="Arial Narrow" w:hAnsi="Arial Narrow" w:cs="Arial"/>
        </w:rPr>
      </w:pPr>
      <w:r>
        <w:rPr>
          <w:rFonts w:cs="Arial" w:ascii="Arial Narrow" w:hAnsi="Arial Narrow"/>
        </w:rPr>
      </w:r>
    </w:p>
    <w:p>
      <w:pPr>
        <w:pStyle w:val="Normal"/>
        <w:rPr>
          <w:rFonts w:ascii="Arial Narrow" w:hAnsi="Arial Narrow" w:cs="Arial"/>
        </w:rPr>
      </w:pPr>
      <w:r>
        <w:rPr>
          <w:rFonts w:cs="Arial" w:ascii="Arial Narrow" w:hAnsi="Arial Narrow"/>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rHeight w:val="261" w:hRule="atLeast"/>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Autospacing="1" w:afterAutospacing="1"/>
              <w:rPr>
                <w:rFonts w:ascii="Cambria" w:hAnsi="Cambria"/>
                <w:b/>
                <w:b/>
              </w:rPr>
            </w:pPr>
            <w:r>
              <w:rPr>
                <w:rFonts w:ascii="Cambria" w:hAnsi="Cambria"/>
                <w:b/>
              </w:rPr>
              <w:t xml:space="preserve">Gai zerrenda / Orden del día: </w:t>
            </w:r>
          </w:p>
          <w:p>
            <w:pPr>
              <w:pStyle w:val="ListParagraph"/>
              <w:numPr>
                <w:ilvl w:val="0"/>
                <w:numId w:val="1"/>
              </w:numPr>
              <w:spacing w:beforeAutospacing="1" w:after="0"/>
              <w:contextualSpacing/>
              <w:rPr>
                <w:rFonts w:ascii="Cambria" w:hAnsi="Cambria"/>
                <w:b/>
                <w:b/>
              </w:rPr>
            </w:pPr>
            <w:r>
              <w:rPr>
                <w:rFonts w:ascii="Cambria" w:hAnsi="Cambria"/>
                <w:b/>
              </w:rPr>
              <w:t>Analizar y concretar los requisitos del nuevo sistema en base a:</w:t>
            </w:r>
          </w:p>
          <w:p>
            <w:pPr>
              <w:pStyle w:val="ListParagraph"/>
              <w:numPr>
                <w:ilvl w:val="1"/>
                <w:numId w:val="1"/>
              </w:numPr>
              <w:spacing w:before="0" w:after="0"/>
              <w:contextualSpacing/>
              <w:rPr>
                <w:rFonts w:ascii="Cambria" w:hAnsi="Cambria"/>
                <w:b/>
                <w:b/>
              </w:rPr>
            </w:pPr>
            <w:r>
              <w:rPr>
                <w:rFonts w:ascii="Cambria" w:hAnsi="Cambria"/>
                <w:b/>
              </w:rPr>
              <w:t>Presentación de interfaz de escritorio</w:t>
            </w:r>
          </w:p>
          <w:p>
            <w:pPr>
              <w:pStyle w:val="ListParagraph"/>
              <w:numPr>
                <w:ilvl w:val="1"/>
                <w:numId w:val="1"/>
              </w:numPr>
              <w:spacing w:before="0" w:after="0"/>
              <w:contextualSpacing/>
              <w:rPr>
                <w:rFonts w:ascii="Cambria" w:hAnsi="Cambria"/>
                <w:b/>
                <w:b/>
              </w:rPr>
            </w:pPr>
            <w:r>
              <w:rPr>
                <w:rFonts w:ascii="Cambria" w:hAnsi="Cambria"/>
                <w:b/>
              </w:rPr>
              <w:t>Presentación de interfaz de móvil</w:t>
            </w:r>
          </w:p>
          <w:p>
            <w:pPr>
              <w:pStyle w:val="ListParagraph"/>
              <w:numPr>
                <w:ilvl w:val="1"/>
                <w:numId w:val="1"/>
              </w:numPr>
              <w:spacing w:before="0" w:afterAutospacing="1"/>
              <w:contextualSpacing/>
              <w:rPr>
                <w:rFonts w:ascii="Cambria" w:hAnsi="Cambria"/>
                <w:b/>
                <w:b/>
              </w:rPr>
            </w:pPr>
            <w:r>
              <w:rPr>
                <w:rFonts w:ascii="Cambria" w:hAnsi="Cambria"/>
                <w:b/>
              </w:rPr>
              <w:t>Presentación del formato del email</w:t>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rHeight w:val="261" w:hRule="atLeast"/>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Heading1"/>
              <w:rPr/>
            </w:pPr>
            <w:r>
              <w:rPr/>
              <w:t>Eztabaidatutakoaren laburpena / Resumen de lo tratado:</w:t>
            </w:r>
          </w:p>
          <w:p>
            <w:pPr>
              <w:pStyle w:val="Normal"/>
              <w:spacing w:beforeAutospacing="1" w:afterAutospacing="1"/>
              <w:rPr>
                <w:rFonts w:ascii="Cambria" w:hAnsi="Cambria"/>
              </w:rPr>
            </w:pPr>
            <w:r>
              <w:rPr>
                <w:rFonts w:ascii="Cambria" w:hAnsi="Cambria"/>
              </w:rPr>
              <w:t>Se aborda la presentación del prototipado de la interfaz de usuario para visualización desde escritorio presentada por EUROHELP, desglosando brevemente los siguientes puntos:</w:t>
            </w:r>
          </w:p>
          <w:p>
            <w:pPr>
              <w:pStyle w:val="ListParagraph"/>
              <w:numPr>
                <w:ilvl w:val="0"/>
                <w:numId w:val="2"/>
              </w:numPr>
              <w:spacing w:beforeAutospacing="1" w:after="0"/>
              <w:contextualSpacing/>
              <w:rPr>
                <w:rFonts w:ascii="Cambria" w:hAnsi="Cambria"/>
              </w:rPr>
            </w:pPr>
            <w:r>
              <w:rPr>
                <w:rFonts w:ascii="Cambria" w:hAnsi="Cambria"/>
              </w:rPr>
              <w:t>Acceso a la aplicación, login y registro</w:t>
            </w:r>
          </w:p>
          <w:p>
            <w:pPr>
              <w:pStyle w:val="ListParagraph"/>
              <w:numPr>
                <w:ilvl w:val="0"/>
                <w:numId w:val="2"/>
              </w:numPr>
              <w:spacing w:before="0" w:after="0"/>
              <w:contextualSpacing/>
              <w:rPr>
                <w:rFonts w:ascii="Cambria" w:hAnsi="Cambria"/>
              </w:rPr>
            </w:pPr>
            <w:r>
              <w:rPr>
                <w:rFonts w:ascii="Cambria" w:hAnsi="Cambria"/>
              </w:rPr>
              <w:t>Pantalla de alta/modificación de suscripciones</w:t>
            </w:r>
          </w:p>
          <w:p>
            <w:pPr>
              <w:pStyle w:val="ListParagraph"/>
              <w:numPr>
                <w:ilvl w:val="0"/>
                <w:numId w:val="2"/>
              </w:numPr>
              <w:spacing w:before="0" w:afterAutospacing="1"/>
              <w:contextualSpacing/>
              <w:rPr>
                <w:rFonts w:ascii="Cambria" w:hAnsi="Cambria"/>
              </w:rPr>
            </w:pPr>
            <w:r>
              <w:rPr>
                <w:rFonts w:ascii="Cambria" w:hAnsi="Cambria"/>
              </w:rPr>
              <w:t>Pantalla principal con la bandeja de suscripciones</w:t>
            </w:r>
          </w:p>
          <w:p>
            <w:pPr>
              <w:pStyle w:val="Normal"/>
              <w:spacing w:beforeAutospacing="1" w:afterAutospacing="1"/>
              <w:rPr>
                <w:rFonts w:ascii="Cambria" w:hAnsi="Cambria"/>
              </w:rPr>
            </w:pPr>
            <w:r>
              <w:rPr>
                <w:rFonts w:ascii="Cambria" w:hAnsi="Cambria"/>
              </w:rPr>
              <w:t>Sobre el contenido comentado de la presentación, se destacan los temas que se recogen a continuación.</w:t>
            </w:r>
          </w:p>
          <w:p>
            <w:pPr>
              <w:pStyle w:val="Heading1"/>
              <w:numPr>
                <w:ilvl w:val="0"/>
                <w:numId w:val="3"/>
              </w:numPr>
              <w:rPr/>
            </w:pPr>
            <w:r>
              <w:rPr/>
              <w:t>Inclusión en portal</w:t>
            </w:r>
          </w:p>
          <w:p>
            <w:pPr>
              <w:pStyle w:val="Normal"/>
              <w:spacing w:beforeAutospacing="1" w:afterAutospacing="1"/>
              <w:ind w:left="709" w:hanging="0"/>
              <w:jc w:val="both"/>
              <w:rPr>
                <w:rFonts w:ascii="Cambria" w:hAnsi="Cambria"/>
              </w:rPr>
            </w:pPr>
            <w:r>
              <w:rPr>
                <w:rFonts w:ascii="Cambria" w:hAnsi="Cambria"/>
              </w:rPr>
              <w:t>Tanto las pantallas de escritorio mostradas como las de dispositivo móvil se presentan embebidas en un “portal tipo”, habiéndose basado EUROHELP en la página actual del departamento de seguridad y emergencias.</w:t>
            </w:r>
          </w:p>
          <w:p>
            <w:pPr>
              <w:pStyle w:val="Normal"/>
              <w:spacing w:beforeAutospacing="1" w:afterAutospacing="1"/>
              <w:ind w:left="709" w:hanging="0"/>
              <w:jc w:val="both"/>
              <w:rPr>
                <w:rFonts w:ascii="Cambria" w:hAnsi="Cambria"/>
              </w:rPr>
            </w:pPr>
            <w:r>
              <w:rPr>
                <w:rFonts w:ascii="Cambria" w:hAnsi="Cambria"/>
              </w:rPr>
              <w:t>Se recuerda por parte de EUROHELP que actualmente la Dirección de Atención de Emergencias y Meteorología no dispone de ningún portal contenedor de aplicaciones, con lo que se requerirá de un desarrollo de portal nuevo por parte del Departamento en el que poder incrustar la nueva aplicación AC09A.</w:t>
            </w:r>
          </w:p>
          <w:p>
            <w:pPr>
              <w:pStyle w:val="Normal"/>
              <w:spacing w:beforeAutospacing="1" w:afterAutospacing="1"/>
              <w:ind w:left="709" w:hanging="0"/>
              <w:jc w:val="both"/>
              <w:rPr>
                <w:rFonts w:ascii="Cambria" w:hAnsi="Cambria"/>
              </w:rPr>
            </w:pPr>
            <w:r>
              <w:rPr>
                <w:rFonts w:ascii="Cambria" w:hAnsi="Cambria"/>
              </w:rPr>
              <w:t>Por parte del Departamento de Seguridad se acuerda que el portal nuevo será el mostrado en el prototipo de EUROHELP, que es el actual y de acuerdo a la hoja de estilos del propio portal de “euskadi.eus”.</w:t>
            </w:r>
          </w:p>
          <w:p>
            <w:pPr>
              <w:pStyle w:val="Heading1"/>
              <w:numPr>
                <w:ilvl w:val="0"/>
                <w:numId w:val="3"/>
              </w:numPr>
              <w:rPr/>
            </w:pPr>
            <w:r>
              <w:rPr/>
              <w:t>Pantalla de login y registro:</w:t>
            </w:r>
          </w:p>
          <w:p>
            <w:pPr>
              <w:pStyle w:val="Normal"/>
              <w:spacing w:beforeAutospacing="1" w:afterAutospacing="1"/>
              <w:ind w:left="709" w:hanging="0"/>
              <w:jc w:val="both"/>
              <w:rPr>
                <w:rFonts w:ascii="Cambria" w:hAnsi="Cambria"/>
              </w:rPr>
            </w:pPr>
            <w:r>
              <w:rPr>
                <w:rFonts w:ascii="Cambria" w:hAnsi="Cambria"/>
              </w:rPr>
              <w:t>Se recuerda que el acceso a la aplicación se realizará mediante un código de usuario que será la dirección de mail del solicitante, y una contraseña que se almacenará encriptada. Es decir, no se guardará ni se solicitará ningún dato personal ni identificativo del usuario. Por otro lado, el proceso de alta en el servicio requerirá la confirmación de la dirección de correo electrónico por parte del usuario (precisamente por la recepción de un mensaje en dicha dirección), lo cual asegura la corrección de dicha dirección de correo.</w:t>
            </w:r>
          </w:p>
          <w:p>
            <w:pPr>
              <w:pStyle w:val="Normal"/>
              <w:spacing w:beforeAutospacing="1" w:afterAutospacing="1"/>
              <w:ind w:left="709" w:hanging="0"/>
              <w:jc w:val="both"/>
              <w:rPr>
                <w:rFonts w:ascii="Cambria" w:hAnsi="Cambria"/>
              </w:rPr>
            </w:pPr>
            <w:r>
              <w:rPr>
                <w:rFonts w:ascii="Cambria" w:hAnsi="Cambria"/>
              </w:rPr>
              <w:t xml:space="preserve">En relación al idioma con el que el suscriptor desea recibir los avisos, en los datos de su perfil podrá seleccionarse euskera, castellano o bilingüe. Es decir, se contempla la generación de los correos electrónicos en las 3 formas. </w:t>
            </w:r>
          </w:p>
          <w:p>
            <w:pPr>
              <w:pStyle w:val="Heading1"/>
              <w:numPr>
                <w:ilvl w:val="0"/>
                <w:numId w:val="3"/>
              </w:numPr>
              <w:rPr/>
            </w:pPr>
            <w:r>
              <w:rPr/>
              <w:t>Pantalla de alta y modificación de suscripciones:</w:t>
            </w:r>
          </w:p>
          <w:p>
            <w:pPr>
              <w:pStyle w:val="Normal"/>
              <w:spacing w:beforeAutospacing="1" w:afterAutospacing="1"/>
              <w:ind w:left="709" w:hanging="0"/>
              <w:jc w:val="both"/>
              <w:rPr>
                <w:rFonts w:ascii="Cambria" w:hAnsi="Cambria"/>
              </w:rPr>
            </w:pPr>
            <w:r>
              <w:rPr>
                <w:rFonts w:ascii="Cambria" w:hAnsi="Cambria"/>
              </w:rPr>
              <w:t>Sobre la pantalla de alta de suscripciones presentada por EUROHELP es donde aparecen la mayor parte de dudas y debate sobre lo que interesa al Departamento y lo que EUROHELP en su experiencia interpreta mejor para el usuario final se deciden los siguientes puntos:</w:t>
            </w:r>
          </w:p>
          <w:p>
            <w:pPr>
              <w:pStyle w:val="ListParagraph"/>
              <w:numPr>
                <w:ilvl w:val="1"/>
                <w:numId w:val="4"/>
              </w:numPr>
              <w:spacing w:beforeAutospacing="1" w:after="0"/>
              <w:contextualSpacing/>
              <w:rPr>
                <w:rFonts w:ascii="Cambria" w:hAnsi="Cambria"/>
              </w:rPr>
            </w:pPr>
            <w:r>
              <w:rPr>
                <w:rFonts w:ascii="Cambria" w:hAnsi="Cambria"/>
              </w:rPr>
              <w:t>La pantalla de alta o modificación de suscripción no tendrá por qué resolverse en una única suscripción al guardar sino que podrán ser múltiples en función de a lo que el usuario se haya suscrito.</w:t>
              <w:br/>
            </w:r>
          </w:p>
          <w:p>
            <w:pPr>
              <w:pStyle w:val="ListParagraph"/>
              <w:numPr>
                <w:ilvl w:val="1"/>
                <w:numId w:val="4"/>
              </w:numPr>
              <w:spacing w:before="0" w:after="0"/>
              <w:contextualSpacing/>
              <w:rPr>
                <w:rFonts w:ascii="Cambria" w:hAnsi="Cambria"/>
              </w:rPr>
            </w:pPr>
            <w:r>
              <w:rPr>
                <w:rFonts w:ascii="Cambria" w:hAnsi="Cambria"/>
              </w:rPr>
              <w:t>Se podrán seleccionar más de una variable meteorológica cada vez.</w:t>
              <w:br/>
            </w:r>
          </w:p>
          <w:p>
            <w:pPr>
              <w:pStyle w:val="ListParagraph"/>
              <w:numPr>
                <w:ilvl w:val="1"/>
                <w:numId w:val="4"/>
              </w:numPr>
              <w:spacing w:before="0" w:after="0"/>
              <w:contextualSpacing/>
              <w:rPr>
                <w:rFonts w:ascii="Cambria" w:hAnsi="Cambria"/>
              </w:rPr>
            </w:pPr>
            <w:r>
              <w:rPr>
                <w:rFonts w:ascii="Cambria" w:hAnsi="Cambria"/>
              </w:rPr>
              <w:t>En las altas, por defecto aparecerán seleccionados  todas las variables meteorológicas.</w:t>
              <w:br/>
            </w:r>
          </w:p>
          <w:p>
            <w:pPr>
              <w:pStyle w:val="ListParagraph"/>
              <w:numPr>
                <w:ilvl w:val="1"/>
                <w:numId w:val="4"/>
              </w:numPr>
              <w:spacing w:before="0" w:after="0"/>
              <w:contextualSpacing/>
              <w:rPr>
                <w:rFonts w:ascii="Cambria" w:hAnsi="Cambria"/>
              </w:rPr>
            </w:pPr>
            <w:r>
              <w:rPr>
                <w:rFonts w:ascii="Cambria" w:hAnsi="Cambria"/>
              </w:rPr>
              <w:t>Aparece una nueva variable con el nombre “Avisos especiales”, la cual estará seleccionada y deshabilitada para que el usuario sea consciente de que siempre que se suscriba a una zona recibirá la información que la Dirección considere oportuna sobre esa zona. Se pone el ejemplo de los incendios forestales.</w:t>
              <w:br/>
            </w:r>
          </w:p>
          <w:p>
            <w:pPr>
              <w:pStyle w:val="ListParagraph"/>
              <w:numPr>
                <w:ilvl w:val="1"/>
                <w:numId w:val="4"/>
              </w:numPr>
              <w:spacing w:before="0" w:afterAutospacing="1"/>
              <w:contextualSpacing/>
              <w:rPr>
                <w:rFonts w:ascii="Cambria" w:hAnsi="Cambria"/>
              </w:rPr>
            </w:pPr>
            <w:r>
              <w:rPr>
                <w:rFonts w:ascii="Cambria" w:hAnsi="Cambria"/>
              </w:rPr>
              <w:t>En los bloques de variables meteorológicas hay que añadir un botón de interrogante “?” o “</w:t>
            </w:r>
            <w:r>
              <w:rPr>
                <w:rFonts w:cs="Cambria Math" w:ascii="Cambria Math" w:hAnsi="Cambria Math"/>
              </w:rPr>
              <w:t>ℹ</w:t>
            </w:r>
            <w:r>
              <w:rPr>
                <w:rFonts w:ascii="Cambria" w:hAnsi="Cambria"/>
              </w:rPr>
              <w:t>” para que se puede obtener información contextual sobre la variable en concreto a la que los usuarios se suscriben.</w:t>
              <w:br/>
              <w:t>Se detalla que los textos que muestren estos botones estarán almacenados en la base de datos y no con el resto de literales para que sea más sencilla su futura modificación (sin existir aplicación interna de gestión ya que no está contemplado en el proyecto).</w:t>
            </w:r>
          </w:p>
          <w:p>
            <w:pPr>
              <w:pStyle w:val="ListParagraph"/>
              <w:spacing w:beforeAutospacing="1" w:afterAutospacing="1"/>
              <w:ind w:left="1440" w:hanging="0"/>
              <w:contextualSpacing/>
              <w:rPr>
                <w:rFonts w:ascii="Cambria" w:hAnsi="Cambria"/>
              </w:rPr>
            </w:pPr>
            <w:r>
              <w:rPr>
                <w:rFonts w:ascii="Cambria" w:hAnsi="Cambria"/>
              </w:rPr>
            </w:r>
          </w:p>
          <w:p>
            <w:pPr>
              <w:pStyle w:val="ListParagraph"/>
              <w:numPr>
                <w:ilvl w:val="1"/>
                <w:numId w:val="4"/>
              </w:numPr>
              <w:spacing w:beforeAutospacing="1" w:after="0"/>
              <w:contextualSpacing/>
              <w:rPr>
                <w:rFonts w:ascii="Cambria" w:hAnsi="Cambria"/>
              </w:rPr>
            </w:pPr>
            <w:r>
              <w:rPr>
                <w:rFonts w:ascii="Cambria" w:hAnsi="Cambria"/>
              </w:rPr>
              <w:t>Las suscripciones quedarán ligadas entre las variables meteorológicas y las zonas. Esto es un cambio importante respecto a la reunión de arranque donde debió haber algún “malentendido” (que no se apercibió hasta esta reunión) donde se especificaba que se realizarían avisos si se coincidía en variable meteorológica o zona entre las suscripciones.</w:t>
              <w:br/>
              <w:t>De esta manera todo queda más comprensible para el usuario final de la aplicación dado tal y como se presentaba la interfaz se da a entender que la suscripción va ligado al fenómeno meteorológico que se vaya a producir en la zona que se haya seleccionado.</w:t>
              <w:br/>
            </w:r>
          </w:p>
          <w:p>
            <w:pPr>
              <w:pStyle w:val="ListParagraph"/>
              <w:numPr>
                <w:ilvl w:val="1"/>
                <w:numId w:val="4"/>
              </w:numPr>
              <w:spacing w:before="0" w:after="0"/>
              <w:contextualSpacing/>
              <w:rPr>
                <w:rFonts w:ascii="Cambria" w:hAnsi="Cambria"/>
              </w:rPr>
            </w:pPr>
            <w:r>
              <w:rPr>
                <w:rFonts w:ascii="Cambria" w:hAnsi="Cambria"/>
              </w:rPr>
              <w:t>En el combo de selección de “Territorio Histórico” se incluirá como primera opción “Euskadi”, estando ésta marcada por defecto en las nuevas altas.</w:t>
              <w:br/>
            </w:r>
          </w:p>
          <w:p>
            <w:pPr>
              <w:pStyle w:val="ListParagraph"/>
              <w:numPr>
                <w:ilvl w:val="1"/>
                <w:numId w:val="4"/>
              </w:numPr>
              <w:spacing w:before="0" w:after="0"/>
              <w:contextualSpacing/>
              <w:rPr>
                <w:rFonts w:ascii="Cambria" w:hAnsi="Cambria"/>
              </w:rPr>
            </w:pPr>
            <w:r>
              <w:rPr>
                <w:rFonts w:ascii="Cambria" w:hAnsi="Cambria"/>
              </w:rPr>
              <w:t>El combo de selección de comarcas se cargará al seleccionar un territorio que no sea “Euskadi” con sus comarcas, permitiendo seleccionar varias de ellas para la misma suscripción.</w:t>
              <w:br/>
            </w:r>
          </w:p>
          <w:p>
            <w:pPr>
              <w:pStyle w:val="ListParagraph"/>
              <w:numPr>
                <w:ilvl w:val="1"/>
                <w:numId w:val="4"/>
              </w:numPr>
              <w:spacing w:before="0" w:after="0"/>
              <w:contextualSpacing/>
              <w:rPr>
                <w:rFonts w:ascii="Cambria" w:hAnsi="Cambria"/>
              </w:rPr>
            </w:pPr>
            <w:r>
              <w:rPr>
                <w:rFonts w:ascii="Cambria" w:hAnsi="Cambria"/>
              </w:rPr>
              <w:t>No será obligatorio seleccionar la zona a nivel de comarca, pudiéndose seleccionar todo un territorio entero en su lugar, o todos los territorios en caso de seleccionar “Euskadi”.</w:t>
              <w:br/>
            </w:r>
          </w:p>
          <w:p>
            <w:pPr>
              <w:pStyle w:val="ListParagraph"/>
              <w:numPr>
                <w:ilvl w:val="1"/>
                <w:numId w:val="4"/>
              </w:numPr>
              <w:spacing w:before="0" w:after="0"/>
              <w:contextualSpacing/>
              <w:rPr>
                <w:rFonts w:ascii="Cambria" w:hAnsi="Cambria"/>
              </w:rPr>
            </w:pPr>
            <w:r>
              <w:rPr>
                <w:rFonts w:ascii="Cambria" w:hAnsi="Cambria"/>
              </w:rPr>
              <w:t>Cambiar el literal de “AÑADIR SUSCRIPCIÓN” por “Guardar” para no inducir a errores.</w:t>
              <w:br/>
            </w:r>
          </w:p>
          <w:p>
            <w:pPr>
              <w:pStyle w:val="ListParagraph"/>
              <w:numPr>
                <w:ilvl w:val="1"/>
                <w:numId w:val="4"/>
              </w:numPr>
              <w:spacing w:before="0" w:afterAutospacing="1"/>
              <w:contextualSpacing/>
              <w:rPr>
                <w:rFonts w:ascii="Cambria" w:hAnsi="Cambria"/>
              </w:rPr>
            </w:pPr>
            <w:r>
              <w:rPr>
                <w:rFonts w:ascii="Cambria" w:hAnsi="Cambria"/>
              </w:rPr>
              <w:t>Una vez guardada la suscripción se mostrará un mensaje de confirmación al usuario informando de que la información se ha procesado correctamente.</w:t>
            </w:r>
          </w:p>
          <w:p>
            <w:pPr>
              <w:pStyle w:val="Heading1"/>
              <w:numPr>
                <w:ilvl w:val="0"/>
                <w:numId w:val="3"/>
              </w:numPr>
              <w:rPr/>
            </w:pPr>
            <w:r>
              <w:rPr/>
              <w:t>Pantalla de bandeja de “Mis suscripciones”:</w:t>
            </w:r>
          </w:p>
          <w:p>
            <w:pPr>
              <w:pStyle w:val="Normal"/>
              <w:spacing w:beforeAutospacing="1" w:afterAutospacing="1"/>
              <w:ind w:left="709" w:hanging="0"/>
              <w:jc w:val="both"/>
              <w:rPr>
                <w:rFonts w:ascii="Cambria" w:hAnsi="Cambria"/>
              </w:rPr>
            </w:pPr>
            <w:r>
              <w:rPr>
                <w:rFonts w:ascii="Cambria" w:hAnsi="Cambria"/>
              </w:rPr>
              <w:t>Sobre la pantalla de interfaz mostrada por EUROHELP se concretan varios puntos tras haber realizado un análisis en profundidad del alta de suscripciones:</w:t>
            </w:r>
          </w:p>
          <w:p>
            <w:pPr>
              <w:pStyle w:val="ListParagraph"/>
              <w:numPr>
                <w:ilvl w:val="1"/>
                <w:numId w:val="4"/>
              </w:numPr>
              <w:spacing w:beforeAutospacing="1" w:after="0"/>
              <w:contextualSpacing/>
              <w:rPr>
                <w:rFonts w:ascii="Cambria" w:hAnsi="Cambria"/>
              </w:rPr>
            </w:pPr>
            <w:r>
              <w:rPr>
                <w:rFonts w:ascii="Cambria" w:hAnsi="Cambria"/>
              </w:rPr>
              <w:t>Los textos y literales a mostrar por la interfaz serán revisados y ajustados por la Dirección.</w:t>
              <w:br/>
            </w:r>
          </w:p>
          <w:p>
            <w:pPr>
              <w:pStyle w:val="ListParagraph"/>
              <w:numPr>
                <w:ilvl w:val="1"/>
                <w:numId w:val="4"/>
              </w:numPr>
              <w:spacing w:before="0" w:afterAutospacing="1"/>
              <w:contextualSpacing/>
              <w:rPr>
                <w:rFonts w:ascii="Cambria" w:hAnsi="Cambria"/>
              </w:rPr>
            </w:pPr>
            <w:r>
              <w:rPr>
                <w:rFonts w:ascii="Cambria" w:hAnsi="Cambria"/>
              </w:rPr>
              <w:t>Las suscripciones mostradas en la lista se separarán por variable meteorológica y territorio. De esta forma, si un usuario se suscribe a varias comarcas de un territorio, para una misma variable, éstas se agruparan en una única suscripción. Si un usuario se suscribe a varias variables meteorológicas para una misma zona al volver a la bandeja verá tantas suscripciones como variables-zonas haya seleccionado.</w:t>
            </w:r>
          </w:p>
          <w:p>
            <w:pPr>
              <w:pStyle w:val="Heading1"/>
              <w:numPr>
                <w:ilvl w:val="0"/>
                <w:numId w:val="3"/>
              </w:numPr>
              <w:rPr/>
            </w:pPr>
            <w:r>
              <w:rPr/>
              <w:t>El Menú</w:t>
            </w:r>
          </w:p>
          <w:p>
            <w:pPr>
              <w:pStyle w:val="Normal"/>
              <w:spacing w:beforeAutospacing="1" w:afterAutospacing="1"/>
              <w:ind w:left="709" w:hanging="0"/>
              <w:jc w:val="both"/>
              <w:rPr>
                <w:rFonts w:ascii="Cambria" w:hAnsi="Cambria"/>
              </w:rPr>
            </w:pPr>
            <w:r>
              <w:rPr>
                <w:rFonts w:ascii="Cambria" w:hAnsi="Cambria"/>
              </w:rPr>
              <w:t>El menú se muestra siempre visible en formato de escritorio y oculto en dispositivos móviles en los que se despliega a través de un icono con la forma de un engranaje.</w:t>
            </w:r>
          </w:p>
          <w:p>
            <w:pPr>
              <w:pStyle w:val="Normal"/>
              <w:spacing w:beforeAutospacing="1" w:afterAutospacing="1"/>
              <w:ind w:left="709" w:hanging="0"/>
              <w:jc w:val="both"/>
              <w:rPr>
                <w:rFonts w:ascii="Cambria" w:hAnsi="Cambria"/>
              </w:rPr>
            </w:pPr>
            <w:r>
              <w:rPr>
                <w:rFonts w:ascii="Cambria" w:hAnsi="Cambria"/>
              </w:rPr>
              <w:t>Se explica la elección del icono de engranaje dado que ya se contará con dos iconos de “hamburguesa” para los menús del portal de “euskadi.eus” y el del propio departamento.</w:t>
            </w:r>
          </w:p>
          <w:p>
            <w:pPr>
              <w:pStyle w:val="Normal"/>
              <w:spacing w:beforeAutospacing="1" w:afterAutospacing="1"/>
              <w:ind w:left="709" w:hanging="0"/>
              <w:jc w:val="both"/>
              <w:rPr>
                <w:rFonts w:ascii="Cambria" w:hAnsi="Cambria"/>
              </w:rPr>
            </w:pPr>
            <w:r>
              <w:rPr>
                <w:rFonts w:ascii="Cambria" w:hAnsi="Cambria"/>
              </w:rPr>
              <w:t>De las opciones de menú se tratan cambiar los siguientes puntos:</w:t>
            </w:r>
          </w:p>
          <w:p>
            <w:pPr>
              <w:pStyle w:val="ListParagraph"/>
              <w:numPr>
                <w:ilvl w:val="1"/>
                <w:numId w:val="4"/>
              </w:numPr>
              <w:spacing w:beforeAutospacing="1" w:after="0"/>
              <w:contextualSpacing/>
              <w:rPr>
                <w:rFonts w:ascii="Cambria" w:hAnsi="Cambria"/>
              </w:rPr>
            </w:pPr>
            <w:r>
              <w:rPr>
                <w:rFonts w:ascii="Cambria" w:hAnsi="Cambria"/>
              </w:rPr>
              <w:t>Aclarar la opción de “Idioma: xxx” dado que parece que se trata del idioma de sesión y realmente es el idioma en el que se desean recibir las comunicaciones por email.</w:t>
              <w:br/>
            </w:r>
          </w:p>
          <w:p>
            <w:pPr>
              <w:pStyle w:val="ListParagraph"/>
              <w:numPr>
                <w:ilvl w:val="1"/>
                <w:numId w:val="4"/>
              </w:numPr>
              <w:spacing w:before="0" w:afterAutospacing="1"/>
              <w:contextualSpacing/>
              <w:rPr>
                <w:rFonts w:ascii="Cambria" w:hAnsi="Cambria"/>
              </w:rPr>
            </w:pPr>
            <w:r>
              <w:rPr>
                <w:rFonts w:ascii="Cambria" w:hAnsi="Cambria"/>
              </w:rPr>
              <w:t>Añadir una opción para cambiar el email del usuario.</w:t>
            </w:r>
          </w:p>
          <w:p>
            <w:pPr>
              <w:pStyle w:val="ListParagraph"/>
              <w:spacing w:beforeAutospacing="1" w:afterAutospacing="1"/>
              <w:ind w:left="1440" w:hanging="0"/>
              <w:contextualSpacing/>
              <w:rPr>
                <w:rFonts w:ascii="Cambria" w:hAnsi="Cambria"/>
              </w:rPr>
            </w:pPr>
            <w:r>
              <w:rPr>
                <w:rFonts w:ascii="Cambria" w:hAnsi="Cambria"/>
              </w:rPr>
            </w:r>
          </w:p>
          <w:p>
            <w:pPr>
              <w:pStyle w:val="Heading1"/>
              <w:numPr>
                <w:ilvl w:val="0"/>
                <w:numId w:val="3"/>
              </w:numPr>
              <w:rPr/>
            </w:pPr>
            <w:r>
              <w:rPr/>
              <w:t>El email con el boletín de avisos</w:t>
            </w:r>
          </w:p>
          <w:p>
            <w:pPr>
              <w:pStyle w:val="Normal"/>
              <w:spacing w:beforeAutospacing="1" w:afterAutospacing="1"/>
              <w:ind w:left="709" w:hanging="0"/>
              <w:jc w:val="both"/>
              <w:rPr/>
            </w:pPr>
            <w:r>
              <w:rPr/>
              <w:t>Se presenta el diseño del email a enviar a los suscriptores tanto en versión de escritorio como en versión móvil y se hacen las siguientes puntualizaciones:</w:t>
            </w:r>
          </w:p>
          <w:p>
            <w:pPr>
              <w:pStyle w:val="ListParagraph"/>
              <w:numPr>
                <w:ilvl w:val="0"/>
                <w:numId w:val="5"/>
              </w:numPr>
              <w:spacing w:beforeAutospacing="1" w:afterAutospacing="1"/>
              <w:contextualSpacing/>
              <w:jc w:val="both"/>
              <w:rPr/>
            </w:pPr>
            <w:r>
              <w:rPr/>
              <w:t>Eliminar los logos actuales y cambiarlos por uno único que irá centrado en la cabecera y será suministrado por el departamento.</w:t>
            </w:r>
          </w:p>
          <w:p>
            <w:pPr>
              <w:pStyle w:val="ListParagraph"/>
              <w:spacing w:beforeAutospacing="1" w:afterAutospacing="1"/>
              <w:ind w:left="1429" w:hanging="0"/>
              <w:contextualSpacing/>
              <w:jc w:val="both"/>
              <w:rPr/>
            </w:pPr>
            <w:r>
              <w:rPr/>
            </w:r>
          </w:p>
          <w:p>
            <w:pPr>
              <w:pStyle w:val="ListParagraph"/>
              <w:numPr>
                <w:ilvl w:val="0"/>
                <w:numId w:val="5"/>
              </w:numPr>
              <w:spacing w:beforeAutospacing="1" w:after="0"/>
              <w:contextualSpacing/>
              <w:jc w:val="both"/>
              <w:rPr/>
            </w:pPr>
            <w:r>
              <w:rPr/>
              <w:t>Añadir el enlace a la cuenta de Twitter del departamento en el pie a la izquierda del de Euskalmet.</w:t>
              <w:br/>
            </w:r>
          </w:p>
          <w:p>
            <w:pPr>
              <w:pStyle w:val="ListParagraph"/>
              <w:numPr>
                <w:ilvl w:val="0"/>
                <w:numId w:val="5"/>
              </w:numPr>
              <w:spacing w:before="0" w:afterAutospacing="1"/>
              <w:contextualSpacing/>
              <w:jc w:val="both"/>
              <w:rPr/>
            </w:pPr>
            <w:r>
              <w:rPr/>
              <w:t>Se menciona la posibilidad de añadir unos iconos en función del grado de los avisos para los daltónicos pero queda descartado porque de forma escrita ya se indican los colores.</w:t>
            </w:r>
          </w:p>
          <w:p>
            <w:pPr>
              <w:pStyle w:val="ListParagraph"/>
              <w:spacing w:beforeAutospacing="1" w:afterAutospacing="1"/>
              <w:ind w:left="1429" w:hanging="0"/>
              <w:contextualSpacing/>
              <w:jc w:val="both"/>
              <w:rPr/>
            </w:pPr>
            <w:r>
              <w:rPr/>
            </w:r>
          </w:p>
          <w:p>
            <w:pPr>
              <w:pStyle w:val="Normal"/>
              <w:spacing w:beforeAutospacing="1" w:afterAutospacing="1"/>
              <w:ind w:left="709" w:hanging="0"/>
              <w:jc w:val="both"/>
              <w:rPr/>
            </w:pPr>
            <w:r>
              <w:rPr/>
              <w:t>Para la recepción del contenido de los boletines, se confirma por parte de TECNALIA la validez y aceptación  de la estructura y el formato propuesto anteriormente por EUROHELP.</w:t>
            </w:r>
          </w:p>
          <w:p>
            <w:pPr>
              <w:pStyle w:val="Heading1"/>
              <w:numPr>
                <w:ilvl w:val="0"/>
                <w:numId w:val="3"/>
              </w:numPr>
              <w:rPr/>
            </w:pPr>
            <w:bookmarkStart w:id="0" w:name="_GoBack"/>
            <w:bookmarkEnd w:id="0"/>
            <w:r>
              <w:rPr/>
              <w:t>Como próximos pasos:</w:t>
            </w:r>
          </w:p>
          <w:p>
            <w:pPr>
              <w:pStyle w:val="Normal"/>
              <w:spacing w:beforeAutospacing="1" w:afterAutospacing="1"/>
              <w:ind w:left="709" w:hanging="0"/>
              <w:jc w:val="both"/>
              <w:rPr>
                <w:rFonts w:ascii="Cambria" w:hAnsi="Cambria"/>
              </w:rPr>
            </w:pPr>
            <w:r>
              <w:rPr>
                <w:rFonts w:ascii="Cambria" w:hAnsi="Cambria"/>
              </w:rPr>
              <w:t>Se convienen los siguientes puntos a abordar:</w:t>
            </w:r>
          </w:p>
          <w:p>
            <w:pPr>
              <w:pStyle w:val="ListParagraph"/>
              <w:numPr>
                <w:ilvl w:val="1"/>
                <w:numId w:val="4"/>
              </w:numPr>
              <w:spacing w:beforeAutospacing="1" w:after="0"/>
              <w:contextualSpacing/>
              <w:rPr>
                <w:rFonts w:ascii="Cambria" w:hAnsi="Cambria"/>
              </w:rPr>
            </w:pPr>
            <w:r>
              <w:rPr>
                <w:rFonts w:ascii="Cambria" w:hAnsi="Cambria"/>
              </w:rPr>
              <w:t>Proporcionar las imágenes del diseño propuesto por EUROHELP.</w:t>
            </w:r>
          </w:p>
          <w:p>
            <w:pPr>
              <w:pStyle w:val="ListParagraph"/>
              <w:numPr>
                <w:ilvl w:val="1"/>
                <w:numId w:val="4"/>
              </w:numPr>
              <w:spacing w:before="0" w:after="0"/>
              <w:contextualSpacing/>
              <w:rPr>
                <w:rFonts w:ascii="Cambria" w:hAnsi="Cambria"/>
              </w:rPr>
            </w:pPr>
            <w:r>
              <w:rPr>
                <w:rFonts w:ascii="Cambria" w:hAnsi="Cambria"/>
              </w:rPr>
              <w:t>La Dirección actualizará los literales y textos de la aplicación.</w:t>
            </w:r>
          </w:p>
          <w:p>
            <w:pPr>
              <w:pStyle w:val="ListParagraph"/>
              <w:numPr>
                <w:ilvl w:val="1"/>
                <w:numId w:val="4"/>
              </w:numPr>
              <w:spacing w:before="0" w:after="0"/>
              <w:contextualSpacing/>
              <w:rPr>
                <w:rFonts w:ascii="Cambria" w:hAnsi="Cambria"/>
              </w:rPr>
            </w:pPr>
            <w:r>
              <w:rPr>
                <w:rFonts w:ascii="Cambria" w:hAnsi="Cambria"/>
              </w:rPr>
              <w:t>Valorar la posibilidad de usar los iconos de la Dirección para meteorología que podrían incluirse en el nuevo aplicativo.</w:t>
            </w:r>
          </w:p>
          <w:p>
            <w:pPr>
              <w:pStyle w:val="ListParagraph"/>
              <w:numPr>
                <w:ilvl w:val="1"/>
                <w:numId w:val="4"/>
              </w:numPr>
              <w:spacing w:before="0" w:afterAutospacing="1"/>
              <w:contextualSpacing/>
              <w:rPr>
                <w:rFonts w:ascii="Cambria" w:hAnsi="Cambria"/>
              </w:rPr>
            </w:pPr>
            <w:r>
              <w:rPr>
                <w:rFonts w:ascii="Cambria" w:hAnsi="Cambria"/>
              </w:rPr>
              <w:t>El Departamento suministrará el logo que deberá visualizarse en la cabecera de los emails.</w:t>
            </w:r>
          </w:p>
          <w:p>
            <w:pPr>
              <w:pStyle w:val="Normal"/>
              <w:spacing w:beforeAutospacing="1" w:after="0"/>
              <w:rPr>
                <w:rFonts w:ascii="Cambria" w:hAnsi="Cambria"/>
                <w:b/>
                <w:b/>
              </w:rPr>
            </w:pPr>
            <w:r>
              <w:rPr>
                <w:rFonts w:ascii="Cambria" w:hAnsi="Cambria"/>
                <w:b/>
              </w:rPr>
            </w:r>
          </w:p>
        </w:tc>
      </w:tr>
    </w:tbl>
    <w:p>
      <w:pPr>
        <w:pStyle w:val="Normal"/>
        <w:rPr>
          <w:rFonts w:ascii="Arial Narrow" w:hAnsi="Arial Narrow"/>
          <w:u w:val="single"/>
        </w:rPr>
      </w:pPr>
      <w:r>
        <w:rPr>
          <w:rFonts w:ascii="Arial Narrow" w:hAnsi="Arial Narrow"/>
          <w:u w:val="single"/>
        </w:rPr>
      </w:r>
    </w:p>
    <w:tbl>
      <w:tblPr>
        <w:tblW w:w="4900" w:type="pct"/>
        <w:jc w:val="left"/>
        <w:tblInd w:w="0" w:type="dxa"/>
        <w:tblCellMar>
          <w:top w:w="0" w:type="dxa"/>
          <w:left w:w="108" w:type="dxa"/>
          <w:bottom w:w="0" w:type="dxa"/>
          <w:right w:w="108" w:type="dxa"/>
        </w:tblCellMar>
        <w:tblLook w:val="04a0" w:noVBand="1" w:noHBand="0" w:lastColumn="0" w:firstColumn="1" w:lastRow="0" w:firstRow="1"/>
      </w:tblPr>
      <w:tblGrid>
        <w:gridCol w:w="3016"/>
        <w:gridCol w:w="3126"/>
        <w:gridCol w:w="3024"/>
      </w:tblGrid>
      <w:tr>
        <w:trPr>
          <w:trHeight w:val="509" w:hRule="atLeast"/>
        </w:trPr>
        <w:tc>
          <w:tcPr>
            <w:tcW w:w="916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rFonts w:ascii="Cambria" w:hAnsi="Cambria"/>
                <w:b/>
                <w:b/>
                <w:u w:val="single"/>
              </w:rPr>
            </w:pPr>
            <w:r>
              <w:rPr>
                <w:rFonts w:ascii="Cambria" w:hAnsi="Cambria"/>
                <w:b/>
                <w:u w:val="single"/>
              </w:rPr>
              <w:t>Erabaki - ekintzen laburpena / Resumen de decisiones – acciones</w:t>
            </w:r>
          </w:p>
        </w:tc>
      </w:tr>
      <w:tr>
        <w:trPr/>
        <w:tc>
          <w:tcPr>
            <w:tcW w:w="9166"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Azalpena / Descripción</w:t>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Arduraduna / Responsable</w:t>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Arial Narrow" w:hAnsi="Arial Narrow"/>
                <w:u w:val="single"/>
              </w:rPr>
            </w:pPr>
            <w:r>
              <w:rPr>
                <w:rFonts w:ascii="Arial Narrow" w:hAnsi="Arial Narrow"/>
                <w:u w:val="single"/>
              </w:rPr>
              <w:t>Eguna / Fecha</w:t>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r>
        <w:trPr/>
        <w:tc>
          <w:tcPr>
            <w:tcW w:w="301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126"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c>
          <w:tcPr>
            <w:tcW w:w="302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Arial Narrow" w:hAnsi="Arial Narrow"/>
                <w:u w:val="single"/>
              </w:rPr>
            </w:pPr>
            <w:r>
              <w:rPr>
                <w:rFonts w:ascii="Arial Narrow" w:hAnsi="Arial Narrow"/>
                <w:u w:val="single"/>
              </w:rPr>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rPr>
                <w:rFonts w:ascii="Cambria" w:hAnsi="Cambria"/>
                <w:b/>
                <w:b/>
                <w:u w:val="single"/>
              </w:rPr>
            </w:pPr>
            <w:r>
              <w:rPr>
                <w:rFonts w:ascii="Cambria" w:hAnsi="Cambria"/>
                <w:b/>
                <w:u w:val="single"/>
              </w:rPr>
              <w:t>Hurrengo bilerarako deialdia / Convocatoria de la próxima reunión:</w:t>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t>Erabaki - ekintzen laburpena / Resumen de decisiones - acciones</w:t>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tc>
      </w:tr>
    </w:tbl>
    <w:p>
      <w:pPr>
        <w:pStyle w:val="Normal"/>
        <w:rPr>
          <w:rFonts w:ascii="Arial Narrow" w:hAnsi="Arial Narrow"/>
          <w:u w:val="single"/>
        </w:rPr>
      </w:pPr>
      <w:r>
        <w:rPr>
          <w:rFonts w:ascii="Arial Narrow" w:hAnsi="Arial Narrow"/>
          <w:u w:val="single"/>
        </w:rPr>
      </w:r>
    </w:p>
    <w:p>
      <w:pPr>
        <w:pStyle w:val="Normal"/>
        <w:spacing w:before="120" w:after="0"/>
        <w:rPr>
          <w:rFonts w:ascii="Cambria" w:hAnsi="Cambria"/>
          <w:b/>
          <w:b/>
          <w:u w:val="single"/>
        </w:rPr>
      </w:pPr>
      <w:r>
        <w:rPr>
          <w:rFonts w:ascii="Cambria" w:hAnsi="Cambria"/>
          <w:b/>
          <w:u w:val="single"/>
        </w:rPr>
      </w:r>
    </w:p>
    <w:p>
      <w:pPr>
        <w:pStyle w:val="Normal"/>
        <w:spacing w:before="0" w:after="120"/>
        <w:rPr>
          <w:rFonts w:ascii="Cambria" w:hAnsi="Cambria"/>
          <w:b/>
          <w:b/>
          <w:u w:val="single"/>
          <w:lang w:val="eu-ES"/>
        </w:rPr>
      </w:pPr>
      <w:r>
        <w:rPr>
          <w:rFonts w:ascii="Cambria" w:hAnsi="Cambria"/>
          <w:b/>
          <w:u w:val="single"/>
          <w:lang w:val="eu-ES"/>
        </w:rPr>
        <w:t>Soilik proiektu “ez arrakastatsurik” egotekotan “Itxiera/Onarpena” bileran sartu:</w:t>
        <w:br/>
      </w:r>
      <w:r>
        <w:rPr>
          <w:rFonts w:ascii="Cambria" w:hAnsi="Cambria"/>
          <w:b/>
          <w:u w:val="single"/>
        </w:rPr>
        <w:t>A incluir en la Reunión de “Cierre/Aceptación”, solo en caso de proyecto “no exitoso”:</w:t>
      </w:r>
    </w:p>
    <w:tbl>
      <w:tblPr>
        <w:tblW w:w="9494" w:type="dxa"/>
        <w:jc w:val="left"/>
        <w:tblInd w:w="0" w:type="dxa"/>
        <w:tblCellMar>
          <w:top w:w="0" w:type="dxa"/>
          <w:left w:w="108" w:type="dxa"/>
          <w:bottom w:w="0" w:type="dxa"/>
          <w:right w:w="108" w:type="dxa"/>
        </w:tblCellMar>
        <w:tblLook w:val="04a0" w:noVBand="1" w:noHBand="0" w:lastColumn="0" w:firstColumn="1" w:lastRow="0" w:firstRow="1"/>
      </w:tblPr>
      <w:tblGrid>
        <w:gridCol w:w="9494"/>
      </w:tblGrid>
      <w:tr>
        <w:trPr/>
        <w:tc>
          <w:tcPr>
            <w:tcW w:w="9494"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Cambria" w:hAnsi="Cambria"/>
                <w:b/>
                <w:b/>
                <w:u w:val="single"/>
              </w:rPr>
            </w:pPr>
            <w:r>
              <w:rPr>
                <w:rFonts w:ascii="Cambria" w:hAnsi="Cambria"/>
                <w:b/>
                <w:u w:val="single"/>
                <w:lang w:val="eu-ES"/>
              </w:rPr>
              <w:t>Ez Adostasunaren balorazioa</w:t>
            </w:r>
            <w:r>
              <w:rPr>
                <w:rFonts w:ascii="Cambria" w:hAnsi="Cambria"/>
                <w:b/>
                <w:u w:val="single"/>
              </w:rPr>
              <w:t xml:space="preserve"> / Valoración de la No Conformidad:</w:t>
            </w:r>
          </w:p>
          <w:p>
            <w:pPr>
              <w:pStyle w:val="Normal"/>
              <w:spacing w:before="120" w:after="0"/>
              <w:jc w:val="center"/>
              <w:rPr>
                <w:rFonts w:ascii="Arial Narrow" w:hAnsi="Arial Narrow"/>
              </w:rPr>
            </w:pPr>
            <w:r>
              <w:rPr/>
              <w:obje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style="width:441.6pt;height:19.3pt" type="#shapetype_75"/>
                <w:control r:id="rId2" w:name="OptionButton1" w:shapeid="control_shape_0"/>
              </w:object>
            </w:r>
          </w:p>
          <w:p>
            <w:pPr>
              <w:pStyle w:val="Normal"/>
              <w:jc w:val="center"/>
              <w:rPr>
                <w:rFonts w:ascii="Arial Narrow" w:hAnsi="Arial Narrow"/>
              </w:rPr>
            </w:pPr>
            <w:r>
              <w:rPr/>
              <w:object>
                <v:shape id="control_shape_1" style="width:441.1pt;height:48.85pt" type="#shapetype_75"/>
                <w:control r:id="rId3" w:name="OptionButton2" w:shapeid="control_shape_1"/>
              </w:object>
            </w:r>
          </w:p>
          <w:p>
            <w:pPr>
              <w:pStyle w:val="Normal"/>
              <w:spacing w:before="0" w:after="120"/>
              <w:jc w:val="center"/>
              <w:rPr>
                <w:rFonts w:ascii="Arial Narrow" w:hAnsi="Arial Narrow"/>
              </w:rPr>
            </w:pPr>
            <w:r>
              <w:rPr/>
              <w:object>
                <v:shape id="control_shape_2" style="width:441.6pt;height:19.3pt" type="#shapetype_75"/>
                <w:control r:id="rId4" w:name="OptionButton3" w:shapeid="control_shape_2"/>
              </w:object>
            </w:r>
          </w:p>
        </w:tc>
      </w:tr>
    </w:tbl>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Normal"/>
        <w:rPr>
          <w:rFonts w:ascii="Arial Narrow" w:hAnsi="Arial Narrow"/>
          <w:u w:val="single"/>
        </w:rPr>
      </w:pPr>
      <w:r>
        <w:rPr>
          <w:rFonts w:ascii="Arial Narrow" w:hAnsi="Arial Narrow"/>
          <w:u w:val="single"/>
        </w:rPr>
      </w:r>
    </w:p>
    <w:p>
      <w:pPr>
        <w:pStyle w:val="Declaracin"/>
        <w:pageBreakBefore w:val="false"/>
        <w:spacing w:before="480" w:after="240"/>
        <w:rPr/>
      </w:pPr>
      <w:r>
        <w:rPr/>
        <w:t>Este documento es propiedad de Eusko Jaurlaritzen Informatika Elkartea – Sociedad Informática del Gobierno Vasco, S.A. (EJIE) y su contenido es CONFIDENCIAL. Este documento no puede ser reproducido, en su totalidad o parcialmente, ni mostrado a otros, ni utilizado para otros propósitos que los que han originado su entrega, sin el previo permiso escrito de EJIE. En el caso de ser entregado en virtud de un contrato, su utilización estará limitada a lo expresamente autorizado en dicho contrato. EJIE no podrá ser considerada responsable de eventuales errores u omisiones en la edición del documento.</w:t>
      </w:r>
    </w:p>
    <w:p>
      <w:pPr>
        <w:pStyle w:val="Declaracin"/>
        <w:pageBreakBefore w:val="false"/>
        <w:spacing w:before="120" w:after="120"/>
        <w:rPr/>
      </w:pPr>
      <w:r>
        <w:rPr/>
        <w:t xml:space="preserve">La plantilla utilizada para generar este documento </w:t>
      </w:r>
      <w:r>
        <w:rPr/>
        <w:t xml:space="preserve">User Field Plantilla = </w:t>
      </w:r>
      <w:r>
        <w:rPr/>
        <w:t xml:space="preserve">está licenciada bajo licencia </w:t>
      </w:r>
      <w:r>
        <w:rPr/>
        <w:drawing>
          <wp:inline distT="0" distB="0" distL="0" distR="0">
            <wp:extent cx="838200" cy="295275"/>
            <wp:effectExtent l="0" t="0" r="0" b="0"/>
            <wp:docPr id="1" name="Imagen 3" descr="Descripción: 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Descripción: CC">
                      <a:hlinkClick r:id="rId6"/>
                    </pic:cNvPr>
                    <pic:cNvPicPr>
                      <a:picLocks noChangeAspect="1" noChangeArrowheads="1"/>
                    </pic:cNvPicPr>
                  </pic:nvPicPr>
                  <pic:blipFill>
                    <a:blip r:embed="rId5"/>
                    <a:stretch>
                      <a:fillRect/>
                    </a:stretch>
                  </pic:blipFill>
                  <pic:spPr bwMode="auto">
                    <a:xfrm>
                      <a:off x="0" y="0"/>
                      <a:ext cx="838200" cy="295275"/>
                    </a:xfrm>
                    <a:prstGeom prst="rect">
                      <a:avLst/>
                    </a:prstGeom>
                  </pic:spPr>
                </pic:pic>
              </a:graphicData>
            </a:graphic>
          </wp:inline>
        </w:drawing>
      </w:r>
    </w:p>
    <w:p>
      <w:pPr>
        <w:pStyle w:val="Declaracin"/>
        <w:pageBreakBefore w:val="false"/>
        <w:spacing w:before="120" w:after="480"/>
        <w:rPr/>
      </w:pPr>
      <w:hyperlink r:id="rId7">
        <w:r>
          <w:rPr>
            <w:rStyle w:val="InternetLink"/>
            <w:i/>
            <w:color w:val="0000FF"/>
            <w:lang w:val="en-US"/>
          </w:rPr>
          <w:t>ARINbide</w:t>
        </w:r>
      </w:hyperlink>
      <w:r>
        <w:rPr>
          <w:lang w:val="en-US"/>
        </w:rPr>
        <w:t xml:space="preserve"> by </w:t>
      </w:r>
      <w:hyperlink r:id="rId8">
        <w:r>
          <w:rPr>
            <w:rStyle w:val="InternetLink"/>
            <w:i/>
            <w:color w:val="0000FF"/>
            <w:lang w:val="en-US"/>
          </w:rPr>
          <w:t>EJIE</w:t>
        </w:r>
      </w:hyperlink>
      <w:r>
        <w:rPr>
          <w:lang w:val="en-US"/>
        </w:rPr>
        <w:t xml:space="preserve"> is licensed under a </w:t>
      </w:r>
      <w:hyperlink r:id="rId9">
        <w:r>
          <w:rPr>
            <w:rStyle w:val="InternetLink"/>
            <w:i/>
            <w:color w:val="0000FF"/>
            <w:lang w:val="en-US"/>
          </w:rPr>
          <w:t>Creative Commons Reconocimiento-NoComercial-CompartirIgual 3.0 Unported License</w:t>
        </w:r>
      </w:hyperlink>
      <w:r>
        <w:rPr>
          <w:lang w:val="en-US"/>
        </w:rPr>
        <w:t>.</w:t>
      </w:r>
    </w:p>
    <w:p>
      <w:pPr>
        <w:pStyle w:val="Normal"/>
        <w:rPr/>
      </w:pPr>
      <w:r>
        <w:rPr/>
      </w:r>
    </w:p>
    <w:sectPr>
      <w:headerReference w:type="default" r:id="rId10"/>
      <w:footerReference w:type="default" r:id="rId11"/>
      <w:type w:val="nextPage"/>
      <w:pgSz w:w="11906" w:h="16838"/>
      <w:pgMar w:left="1276" w:right="1276" w:header="720" w:top="1418" w:footer="720" w:bottom="1418"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Arial Narrow">
    <w:charset w:val="01"/>
    <w:family w:val="roman"/>
    <w:pitch w:val="variable"/>
  </w:font>
  <w:font w:name="Tahoma">
    <w:charset w:val="01"/>
    <w:family w:val="roman"/>
    <w:pitch w:val="variable"/>
  </w:font>
  <w:font w:name="Liberation Sans">
    <w:altName w:val="Arial"/>
    <w:charset w:val="01"/>
    <w:family w:val="swiss"/>
    <w:pitch w:val="variable"/>
  </w:font>
  <w:font w:name="Cambria">
    <w:charset w:val="01"/>
    <w:family w:val="roman"/>
    <w:pitch w:val="variable"/>
  </w:font>
  <w:font w:name="Cambria Math">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mc:AlternateContent>
        <mc:Choice Requires="wps">
          <w:drawing>
            <wp:anchor behindDoc="1" distT="0" distB="0" distL="0" distR="0" simplePos="0" locked="0" layoutInCell="1" allowOverlap="1" relativeHeight="9">
              <wp:simplePos x="0" y="0"/>
              <wp:positionH relativeFrom="column">
                <wp:posOffset>94615</wp:posOffset>
              </wp:positionH>
              <wp:positionV relativeFrom="paragraph">
                <wp:posOffset>64770</wp:posOffset>
              </wp:positionV>
              <wp:extent cx="5953760" cy="635"/>
              <wp:effectExtent l="0" t="0" r="9525" b="19050"/>
              <wp:wrapNone/>
              <wp:docPr id="3" name="Line 2"/>
              <a:graphic xmlns:a="http://schemas.openxmlformats.org/drawingml/2006/main">
                <a:graphicData uri="http://schemas.microsoft.com/office/word/2010/wordprocessingShape">
                  <wps:wsp>
                    <wps:cNvSpPr/>
                    <wps:spPr>
                      <a:xfrm>
                        <a:off x="0" y="0"/>
                        <a:ext cx="5952960" cy="0"/>
                      </a:xfrm>
                      <a:prstGeom prst="line">
                        <a:avLst/>
                      </a:prstGeom>
                      <a:ln w="9360">
                        <a:solidFill>
                          <a:srgbClr val="99d7d7"/>
                        </a:solidFill>
                        <a:round/>
                      </a:ln>
                    </wps:spPr>
                    <wps:style>
                      <a:lnRef idx="0"/>
                      <a:fillRef idx="0"/>
                      <a:effectRef idx="0"/>
                      <a:fontRef idx="minor"/>
                    </wps:style>
                    <wps:bodyPr/>
                  </wps:wsp>
                </a:graphicData>
              </a:graphic>
            </wp:anchor>
          </w:drawing>
        </mc:Choice>
        <mc:Fallback>
          <w:pict>
            <v:line id="shape_0" from="7.45pt,5.1pt" to="476.15pt,5.1pt" ID="Line 2" stroked="t" style="position:absolute">
              <v:stroke color="#99d7d7" weight="9360" joinstyle="round" endcap="flat"/>
              <v:fill o:detectmouseclick="t" on="false"/>
            </v:line>
          </w:pict>
        </mc:Fallback>
      </mc:AlternateContent>
    </w:r>
  </w:p>
  <w:p>
    <w:pPr>
      <w:pStyle w:val="Normal"/>
      <w:rPr>
        <w:rFonts w:ascii="Arial" w:hAnsi="Arial"/>
      </w:rPr>
    </w:pPr>
    <w:r>
      <w:rPr>
        <w:rFonts w:ascii="Arial" w:hAnsi="Arial"/>
      </w:rPr>
    </w:r>
  </w:p>
  <w:tbl>
    <w:tblPr>
      <w:tblW w:w="9462" w:type="dxa"/>
      <w:jc w:val="right"/>
      <w:tblInd w:w="0" w:type="dxa"/>
      <w:tblCellMar>
        <w:top w:w="0" w:type="dxa"/>
        <w:left w:w="108" w:type="dxa"/>
        <w:bottom w:w="0" w:type="dxa"/>
        <w:right w:w="108" w:type="dxa"/>
      </w:tblCellMar>
      <w:tblLook w:val="01e0" w:noVBand="0" w:noHBand="0" w:lastColumn="1" w:firstColumn="1" w:lastRow="1" w:firstRow="1"/>
    </w:tblPr>
    <w:tblGrid>
      <w:gridCol w:w="7911"/>
      <w:gridCol w:w="1550"/>
    </w:tblGrid>
    <w:tr>
      <w:trPr/>
      <w:tc>
        <w:tcPr>
          <w:tcW w:w="7911" w:type="dxa"/>
          <w:tcBorders/>
          <w:shd w:color="auto" w:fill="auto" w:val="clear"/>
          <w:vAlign w:val="center"/>
        </w:tcPr>
        <w:p>
          <w:pPr>
            <w:pStyle w:val="Normal"/>
            <w:rPr>
              <w:rFonts w:ascii="Arial" w:hAnsi="Arial"/>
              <w:color w:val="99D7D7"/>
              <w:sz w:val="16"/>
              <w:szCs w:val="16"/>
            </w:rPr>
          </w:pPr>
          <w:r>
            <w:rPr>
              <w:rFonts w:ascii="Arial" w:hAnsi="Arial"/>
              <w:color w:val="99D7D7"/>
              <w:sz w:val="16"/>
              <w:szCs w:val="16"/>
            </w:rPr>
          </w:r>
        </w:p>
      </w:tc>
      <w:tc>
        <w:tcPr>
          <w:tcW w:w="1550" w:type="dxa"/>
          <w:tcBorders/>
          <w:shd w:color="auto" w:fill="auto" w:val="clear"/>
          <w:vAlign w:val="center"/>
        </w:tcPr>
        <w:p>
          <w:pPr>
            <w:pStyle w:val="Normal"/>
            <w:tabs>
              <w:tab w:val="clear" w:pos="709"/>
              <w:tab w:val="center" w:pos="4252" w:leader="none"/>
              <w:tab w:val="right" w:pos="8504" w:leader="none"/>
            </w:tabs>
            <w:jc w:val="right"/>
            <w:rPr/>
          </w:pPr>
          <w:r>
            <w:rPr>
              <w:rFonts w:ascii="Arial" w:hAnsi="Arial"/>
            </w:rPr>
            <w:fldChar w:fldCharType="begin"/>
          </w:r>
          <w:r>
            <w:rPr>
              <w:rFonts w:ascii="Arial" w:hAnsi="Arial"/>
            </w:rPr>
            <w:instrText> PAGE </w:instrText>
          </w:r>
          <w:r>
            <w:rPr>
              <w:rFonts w:ascii="Arial" w:hAnsi="Arial"/>
            </w:rPr>
            <w:fldChar w:fldCharType="separate"/>
          </w:r>
          <w:r>
            <w:rPr>
              <w:rFonts w:ascii="Arial" w:hAnsi="Arial"/>
            </w:rPr>
            <w:t>7</w:t>
          </w:r>
          <w:r>
            <w:rPr>
              <w:rFonts w:ascii="Arial" w:hAnsi="Arial"/>
            </w:rPr>
            <w:fldChar w:fldCharType="end"/>
          </w:r>
          <w:r>
            <w:rPr>
              <w:rFonts w:ascii="Arial" w:hAnsi="Arial"/>
            </w:rPr>
            <w:t>/</w:t>
          </w:r>
          <w:r>
            <w:rPr>
              <w:rFonts w:ascii="Arial" w:hAnsi="Arial"/>
            </w:rPr>
            <w:fldChar w:fldCharType="begin"/>
          </w:r>
          <w:r>
            <w:rPr>
              <w:rFonts w:ascii="Arial" w:hAnsi="Arial"/>
            </w:rPr>
            <w:instrText> NUMPAGES </w:instrText>
          </w:r>
          <w:r>
            <w:rPr>
              <w:rFonts w:ascii="Arial" w:hAnsi="Arial"/>
            </w:rPr>
            <w:fldChar w:fldCharType="separate"/>
          </w:r>
          <w:r>
            <w:rPr>
              <w:rFonts w:ascii="Arial" w:hAnsi="Arial"/>
            </w:rPr>
            <w:t>7</w:t>
          </w:r>
          <w:r>
            <w:rPr>
              <w:rFonts w:ascii="Arial" w:hAnsi="Arial"/>
            </w:rPr>
            <w:fldChar w:fldCharType="end"/>
          </w:r>
        </w:p>
      </w:tc>
    </w:tr>
    <w:tr>
      <w:trPr/>
      <w:tc>
        <w:tcPr>
          <w:tcW w:w="7911" w:type="dxa"/>
          <w:tcBorders/>
          <w:shd w:color="auto" w:fill="auto" w:val="clear"/>
          <w:vAlign w:val="center"/>
        </w:tcPr>
        <w:p>
          <w:pPr>
            <w:pStyle w:val="Normal"/>
            <w:rPr>
              <w:rFonts w:ascii="Arial" w:hAnsi="Arial"/>
              <w:color w:val="99D7D7"/>
              <w:sz w:val="16"/>
              <w:szCs w:val="16"/>
            </w:rPr>
          </w:pPr>
          <w:r>
            <w:rPr>
              <w:rFonts w:ascii="Arial" w:hAnsi="Arial"/>
              <w:color w:val="99D7D7"/>
              <w:sz w:val="16"/>
              <w:szCs w:val="16"/>
            </w:rPr>
          </w:r>
        </w:p>
      </w:tc>
      <w:tc>
        <w:tcPr>
          <w:tcW w:w="1550" w:type="dxa"/>
          <w:tcBorders/>
          <w:shd w:color="auto" w:fill="auto" w:val="clear"/>
          <w:vAlign w:val="center"/>
        </w:tcPr>
        <w:p>
          <w:pPr>
            <w:pStyle w:val="Normal"/>
            <w:tabs>
              <w:tab w:val="clear" w:pos="709"/>
              <w:tab w:val="center" w:pos="4252" w:leader="none"/>
              <w:tab w:val="right" w:pos="8504" w:leader="none"/>
            </w:tabs>
            <w:jc w:val="right"/>
            <w:rPr>
              <w:rFonts w:ascii="Arial" w:hAnsi="Arial"/>
            </w:rPr>
          </w:pPr>
          <w:r>
            <w:rPr>
              <w:rFonts w:ascii="Arial" w:hAnsi="Arial"/>
            </w:rPr>
          </w:r>
        </w:p>
      </w:tc>
    </w:tr>
  </w:tbl>
  <w:p>
    <w:pPr>
      <w:pStyle w:val="Normal"/>
      <w:tabs>
        <w:tab w:val="clear" w:pos="709"/>
        <w:tab w:val="center" w:pos="4252" w:leader="none"/>
        <w:tab w:val="right" w:pos="8504" w:leader="none"/>
      </w:tabs>
      <w:ind w:right="360" w:hanging="0"/>
      <w:rPr>
        <w:rFonts w:ascii="Arial" w:hAnsi="Arial"/>
      </w:rPr>
    </w:pPr>
    <w:r>
      <w:rPr>
        <w:rFonts w:ascii="Arial" w:hAnsi="Arial"/>
      </w:rPr>
    </w:r>
  </w:p>
  <w:p>
    <w:pPr>
      <w:pStyle w:val="Normal"/>
      <w:rPr>
        <w:rFonts w:ascii="Arial" w:hAnsi="Arial"/>
      </w:rPr>
    </w:pPr>
    <w:r>
      <w:rPr>
        <w:rFonts w:ascii="Arial" w:hAnsi="Arial"/>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468" w:type="dxa"/>
      <w:jc w:val="left"/>
      <w:tblInd w:w="-4" w:type="dxa"/>
      <w:tblCellMar>
        <w:top w:w="0" w:type="dxa"/>
        <w:left w:w="108" w:type="dxa"/>
        <w:bottom w:w="0" w:type="dxa"/>
        <w:right w:w="108" w:type="dxa"/>
      </w:tblCellMar>
      <w:tblLook w:val="01e0" w:noVBand="0" w:firstColumn="1" w:lastColumn="1" w:noHBand="0" w:lastRow="1" w:firstRow="1"/>
    </w:tblPr>
    <w:tblGrid>
      <w:gridCol w:w="9468"/>
    </w:tblGrid>
    <w:tr>
      <w:trPr/>
      <w:tc>
        <w:tcPr>
          <w:tcW w:w="9468" w:type="dxa"/>
          <w:tcBorders>
            <w:top w:val="single" w:sz="4" w:space="0" w:color="000000"/>
            <w:bottom w:val="single" w:sz="4" w:space="0" w:color="000000"/>
          </w:tcBorders>
          <w:shd w:fill="auto" w:val="clear"/>
        </w:tcPr>
        <w:p>
          <w:pPr>
            <w:pStyle w:val="Header"/>
            <w:tabs>
              <w:tab w:val="clear" w:pos="8504"/>
              <w:tab w:val="left" w:pos="150" w:leader="none"/>
              <w:tab w:val="left" w:pos="510" w:leader="none"/>
              <w:tab w:val="left" w:pos="690" w:leader="none"/>
              <w:tab w:val="center" w:pos="4252" w:leader="none"/>
              <w:tab w:val="left" w:pos="8100" w:leader="none"/>
            </w:tabs>
            <w:rPr/>
          </w:pPr>
          <w:r>
            <w:rPr/>
            <w:drawing>
              <wp:inline distT="0" distB="0" distL="0" distR="0">
                <wp:extent cx="4286250" cy="942975"/>
                <wp:effectExtent l="0" t="0" r="0" b="0"/>
                <wp:docPr id="2" name="Imagen 1" descr="Descripción: 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Descripción: color_apaisado"/>
                        <pic:cNvPicPr>
                          <a:picLocks noChangeAspect="1" noChangeArrowheads="1"/>
                        </pic:cNvPicPr>
                      </pic:nvPicPr>
                      <pic:blipFill>
                        <a:blip r:embed="rId1"/>
                        <a:srcRect l="8347" t="0" r="0" b="0"/>
                        <a:stretch>
                          <a:fillRect/>
                        </a:stretch>
                      </pic:blipFill>
                      <pic:spPr bwMode="auto">
                        <a:xfrm>
                          <a:off x="0" y="0"/>
                          <a:ext cx="4286250" cy="942975"/>
                        </a:xfrm>
                        <a:prstGeom prst="rect">
                          <a:avLst/>
                        </a:prstGeom>
                      </pic:spPr>
                    </pic:pic>
                  </a:graphicData>
                </a:graphic>
              </wp:inline>
            </w:drawing>
          </w:r>
        </w:p>
        <w:p>
          <w:pPr>
            <w:pStyle w:val="Header"/>
            <w:tabs>
              <w:tab w:val="clear" w:pos="8504"/>
              <w:tab w:val="left" w:pos="150" w:leader="none"/>
              <w:tab w:val="left" w:pos="510" w:leader="none"/>
              <w:tab w:val="left" w:pos="690" w:leader="none"/>
              <w:tab w:val="center" w:pos="4252" w:leader="none"/>
              <w:tab w:val="left" w:pos="8100" w:leader="none"/>
            </w:tabs>
            <w:rPr/>
          </w:pPr>
          <w:r>
            <w:rPr/>
          </w:r>
        </w:p>
        <w:p>
          <w:pPr>
            <w:pStyle w:val="EJIETitulo1"/>
            <w:jc w:val="left"/>
            <w:rPr/>
          </w:pPr>
          <w:r>
            <w:rPr>
              <w:sz w:val="26"/>
              <w:szCs w:val="26"/>
            </w:rPr>
            <w:t xml:space="preserve">Bileraren akta / Acta de reunión                                                                                </w:t>
          </w:r>
          <w:r>
            <w:rPr>
              <w:sz w:val="16"/>
              <w:szCs w:val="16"/>
            </w:rPr>
            <w:t xml:space="preserve">Versión Plantilla </w:t>
          </w:r>
          <w:r>
            <w:rPr>
              <w:sz w:val="16"/>
              <w:szCs w:val="16"/>
            </w:rPr>
            <w:fldChar w:fldCharType="begin"/>
          </w:r>
          <w:r>
            <w:rPr>
              <w:sz w:val="16"/>
              <w:szCs w:val="16"/>
            </w:rPr>
            <w:instrText> DOCPROPERTY "TemplateVersion"</w:instrText>
          </w:r>
          <w:r>
            <w:rPr>
              <w:sz w:val="16"/>
              <w:szCs w:val="16"/>
            </w:rPr>
            <w:fldChar w:fldCharType="separate"/>
          </w:r>
          <w:r>
            <w:rPr>
              <w:sz w:val="16"/>
              <w:szCs w:val="16"/>
            </w:rPr>
            <w:t>1.2</w:t>
          </w:r>
          <w:r>
            <w:rPr>
              <w:sz w:val="16"/>
              <w:szCs w:val="16"/>
            </w:rPr>
            <w:fldChar w:fldCharType="end"/>
          </w:r>
        </w:p>
      </w:tc>
    </w:tr>
  </w:tbl>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709"/>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24ea5"/>
    <w:pPr>
      <w:widowControl/>
      <w:bidi w:val="0"/>
      <w:spacing w:before="0" w:after="0"/>
      <w:jc w:val="left"/>
    </w:pPr>
    <w:rPr>
      <w:rFonts w:ascii="Times New Roman" w:hAnsi="Times New Roman" w:eastAsia="Times New Roman" w:cs="Times New Roman"/>
      <w:color w:val="auto"/>
      <w:kern w:val="0"/>
      <w:sz w:val="20"/>
      <w:szCs w:val="20"/>
      <w:lang w:eastAsia="es-ES_tradnl" w:val="es-ES" w:bidi="ar-SA"/>
    </w:rPr>
  </w:style>
  <w:style w:type="paragraph" w:styleId="Heading1">
    <w:name w:val="Heading 1"/>
    <w:basedOn w:val="Normal"/>
    <w:next w:val="Normal"/>
    <w:qFormat/>
    <w:rsid w:val="00d24ea5"/>
    <w:pPr>
      <w:keepNext w:val="true"/>
      <w:outlineLvl w:val="0"/>
    </w:pPr>
    <w:rPr>
      <w:rFonts w:ascii="Arial" w:hAnsi="Arial"/>
      <w:b/>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e902a4"/>
    <w:rPr/>
  </w:style>
  <w:style w:type="character" w:styleId="EJIEnormal" w:customStyle="1">
    <w:name w:val="EJIE normal"/>
    <w:qFormat/>
    <w:rsid w:val="00fa5171"/>
    <w:rPr>
      <w:rFonts w:ascii="Arial Narrow" w:hAnsi="Arial Narrow"/>
      <w:color w:val="auto"/>
      <w:sz w:val="20"/>
    </w:rPr>
  </w:style>
  <w:style w:type="character" w:styleId="EJIEnegrita" w:customStyle="1">
    <w:name w:val="EJIE negrita"/>
    <w:qFormat/>
    <w:rsid w:val="00fa5171"/>
    <w:rPr>
      <w:rFonts w:ascii="Arial Narrow" w:hAnsi="Arial Narrow"/>
      <w:b/>
      <w:color w:val="auto"/>
      <w:sz w:val="20"/>
    </w:rPr>
  </w:style>
  <w:style w:type="character" w:styleId="EJIEnota" w:customStyle="1">
    <w:name w:val="EJIE nota"/>
    <w:qFormat/>
    <w:rsid w:val="00fa5171"/>
    <w:rPr>
      <w:rFonts w:ascii="Arial Narrow" w:hAnsi="Arial Narrow"/>
      <w:sz w:val="14"/>
    </w:rPr>
  </w:style>
  <w:style w:type="character" w:styleId="EJIEpie" w:customStyle="1">
    <w:name w:val="EJIE pie"/>
    <w:qFormat/>
    <w:rsid w:val="00fa5171"/>
    <w:rPr>
      <w:rFonts w:ascii="Arial Narrow" w:hAnsi="Arial Narrow"/>
      <w:b/>
      <w:sz w:val="14"/>
    </w:rPr>
  </w:style>
  <w:style w:type="character" w:styleId="EJIEcodigo" w:customStyle="1">
    <w:name w:val="EJIE codigo"/>
    <w:qFormat/>
    <w:rsid w:val="00fa5171"/>
    <w:rPr>
      <w:rFonts w:ascii="Arial Narrow" w:hAnsi="Arial Narrow"/>
      <w:b/>
      <w:color w:val="999999"/>
      <w:sz w:val="32"/>
    </w:rPr>
  </w:style>
  <w:style w:type="character" w:styleId="EJIEtitulo" w:customStyle="1">
    <w:name w:val="EJIE titulo"/>
    <w:qFormat/>
    <w:rsid w:val="00fa5171"/>
    <w:rPr>
      <w:rFonts w:ascii="Arial Narrow" w:hAnsi="Arial Narrow"/>
      <w:b/>
      <w:color w:val="999999"/>
      <w:sz w:val="28"/>
    </w:rPr>
  </w:style>
  <w:style w:type="character" w:styleId="TextodegloboCar" w:customStyle="1">
    <w:name w:val="Texto de globo Car"/>
    <w:link w:val="Textodeglobo"/>
    <w:qFormat/>
    <w:rsid w:val="000b5181"/>
    <w:rPr>
      <w:rFonts w:ascii="Tahoma" w:hAnsi="Tahoma" w:cs="Tahoma"/>
      <w:sz w:val="16"/>
      <w:szCs w:val="16"/>
      <w:lang w:eastAsia="es-ES_tradnl"/>
    </w:rPr>
  </w:style>
  <w:style w:type="character" w:styleId="InternetLink">
    <w:name w:val="Internet Link"/>
    <w:uiPriority w:val="99"/>
    <w:rsid w:val="005c4a5a"/>
    <w:rPr>
      <w:rFonts w:ascii="Arial" w:hAnsi="Arial"/>
      <w:color w:val="009797"/>
      <w:u w:val="single"/>
    </w:rPr>
  </w:style>
  <w:style w:type="paragraph" w:styleId="Heading">
    <w:name w:val="Heading"/>
    <w:basedOn w:val="Normal"/>
    <w:next w:val="TextBody"/>
    <w:qFormat/>
    <w:pPr>
      <w:keepNext w:val="true"/>
      <w:spacing w:before="240" w:after="120"/>
    </w:pPr>
    <w:rPr>
      <w:rFonts w:ascii="Liberation Sans" w:hAnsi="Liberation Sans" w:eastAsia="Nimbus Sans" w:cs="Noto Sans Devanagari"/>
      <w:sz w:val="28"/>
      <w:szCs w:val="28"/>
    </w:rPr>
  </w:style>
  <w:style w:type="paragraph" w:styleId="TextBody">
    <w:name w:val="Body Text"/>
    <w:basedOn w:val="Normal"/>
    <w:rsid w:val="00d24ea5"/>
    <w:pPr>
      <w:jc w:val="center"/>
    </w:pPr>
    <w:rPr>
      <w:rFonts w:ascii="Arial" w:hAnsi="Arial"/>
      <w:b/>
      <w:sz w:val="28"/>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basedOn w:val="Normal"/>
    <w:rsid w:val="008259ec"/>
    <w:pPr>
      <w:tabs>
        <w:tab w:val="clear" w:pos="709"/>
        <w:tab w:val="center" w:pos="4252" w:leader="none"/>
        <w:tab w:val="right" w:pos="8504" w:leader="none"/>
      </w:tabs>
    </w:pPr>
    <w:rPr/>
  </w:style>
  <w:style w:type="paragraph" w:styleId="Footer">
    <w:name w:val="Footer"/>
    <w:basedOn w:val="Normal"/>
    <w:rsid w:val="008259ec"/>
    <w:pPr>
      <w:tabs>
        <w:tab w:val="clear" w:pos="709"/>
        <w:tab w:val="center" w:pos="4252" w:leader="none"/>
        <w:tab w:val="right" w:pos="8504" w:leader="none"/>
      </w:tabs>
    </w:pPr>
    <w:rPr/>
  </w:style>
  <w:style w:type="paragraph" w:styleId="EJIETitulo1" w:customStyle="1">
    <w:name w:val="EJIE Titulo"/>
    <w:basedOn w:val="TextBody"/>
    <w:qFormat/>
    <w:rsid w:val="00f80107"/>
    <w:pPr/>
    <w:rPr>
      <w:rFonts w:ascii="Arial Narrow" w:hAnsi="Arial Narrow" w:cs="Arial"/>
      <w:color w:val="999999"/>
      <w:szCs w:val="28"/>
    </w:rPr>
  </w:style>
  <w:style w:type="paragraph" w:styleId="BalloonText">
    <w:name w:val="Balloon Text"/>
    <w:basedOn w:val="Normal"/>
    <w:link w:val="TextodegloboCar"/>
    <w:qFormat/>
    <w:rsid w:val="000b5181"/>
    <w:pPr/>
    <w:rPr>
      <w:rFonts w:ascii="Tahoma" w:hAnsi="Tahoma" w:cs="Tahoma"/>
      <w:sz w:val="16"/>
      <w:szCs w:val="16"/>
    </w:rPr>
  </w:style>
  <w:style w:type="paragraph" w:styleId="Declaracin" w:customStyle="1">
    <w:name w:val="Declaración"/>
    <w:basedOn w:val="Normal"/>
    <w:qFormat/>
    <w:rsid w:val="005c4a5a"/>
    <w:pPr>
      <w:pageBreakBefore/>
      <w:spacing w:before="480" w:after="480"/>
      <w:jc w:val="both"/>
    </w:pPr>
    <w:rPr>
      <w:rFonts w:ascii="Arial" w:hAnsi="Arial" w:cs="Arial"/>
      <w:b/>
      <w:sz w:val="18"/>
      <w:szCs w:val="18"/>
      <w:lang w:eastAsia="es-ES"/>
    </w:rPr>
  </w:style>
  <w:style w:type="paragraph" w:styleId="ListParagraph">
    <w:name w:val="List Paragraph"/>
    <w:basedOn w:val="Normal"/>
    <w:uiPriority w:val="34"/>
    <w:qFormat/>
    <w:rsid w:val="001c729c"/>
    <w:pPr>
      <w:spacing w:before="0" w:after="0"/>
      <w:ind w:left="720" w:hanging="0"/>
      <w:contextualSpacing/>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rsid w:val="008259e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EJIEtabla">
    <w:name w:val="EJIE tabla"/>
    <w:basedOn w:val="Tablanormal"/>
    <w:rsid w:val="00cb0ebf"/>
    <w:rPr/>
    <w:tblPr>
      <w:tblInd w:w="0" w:type="dxa"/>
      <w:tblBorders>
        <w:top w:val="single" w:color="008000" w:sz="12" w:space="0"/>
        <w:left w:val="single" w:color="auto" w:sz="4" w:space="0"/>
        <w:bottom w:val="single" w:color="008000" w:sz="12" w:space="0"/>
        <w:right w:val="single" w:color="auto" w:sz="4" w:space="0"/>
      </w:tblBorders>
      <w:tblCellMar>
        <w:top w:w="0" w:type="dxa"/>
        <w:left w:w="68" w:type="dxa"/>
        <w:bottom w:w="0" w:type="dxa"/>
        <w:right w:w="68" w:type="dxa"/>
      </w:tblCellMar>
    </w:tblPr>
    <w:tblStylePr w:type="firstRow">
      <w:rPr>
        <w:b/>
        <w:sz w:val="20"/>
      </w:rPr>
      <w:tblPr/>
      <w:tcPr>
        <w:tcBorders>
          <w:top w:val="nil"/>
          <w:left w:val="single" w:color="auto" w:sz="4" w:space="0"/>
          <w:bottom w:val="nil"/>
          <w:right w:val="single" w:color="auto" w:sz="4" w:space="0"/>
          <w:insideH w:val="nil"/>
          <w:insideV w:val="nil"/>
          <w:tl2br w:val="nil"/>
          <w:tr2bl w:val="nil"/>
        </w:tcBorders>
        <w:shd w:val="clear" w:color="auto" w:fill="D9D9D9"/>
      </w:tcPr>
    </w:tblStylePr>
    <w:tblStylePr w:type="lastRow">
      <w:tblPr/>
      <w:tcPr>
        <w:tcBorders>
          <w:top w:val="nil"/>
          <w:left w:val="single" w:color="auto" w:sz="4" w:space="0"/>
          <w:bottom w:val="single" w:color="auto" w:sz="4" w:space="0"/>
          <w:right w:val="single" w:color="auto" w:sz="4" w:space="0"/>
          <w:insideH w:val="nil"/>
          <w:insideV w:val="nil"/>
          <w:tl2br w:val="nil"/>
          <w:tr2bl w:val="nil"/>
        </w:tcBorders>
        <w:shd w:val="clear" w:color="auto" w:fill="auto"/>
      </w:tcPr>
    </w:tblStylePr>
  </w:style>
  <w:style w:type="table" w:styleId="Tablabsica1">
    <w:name w:val="Table Simple 1"/>
    <w:basedOn w:val="Tablanormal"/>
    <w:rsid w:val="00fa5171"/>
    <w:tblPr>
      <w:tblInd w:w="0" w:type="dxa"/>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ntrol" Target="activeX/activeX1.xml"/><Relationship Id="rId3" Type="http://schemas.openxmlformats.org/officeDocument/2006/relationships/control" Target="activeX/activeX2.xml"/><Relationship Id="rId4" Type="http://schemas.openxmlformats.org/officeDocument/2006/relationships/control" Target="activeX/activeX3.xml"/><Relationship Id="rId5" Type="http://schemas.openxmlformats.org/officeDocument/2006/relationships/image" Target="media/image1.png"/><Relationship Id="rId6" Type="http://schemas.openxmlformats.org/officeDocument/2006/relationships/hyperlink" Target="http://creativecommons.org/licenses/by-nc-sa/3.0/" TargetMode="External"/><Relationship Id="rId7" Type="http://schemas.openxmlformats.org/officeDocument/2006/relationships/hyperlink" Target="http://www.ejie.eus/y79-04/es/contenidos/informacion/metodologia_desarrollo_ejie/es_0212/metodologia_desarrollo.html" TargetMode="External"/><Relationship Id="rId8" Type="http://schemas.openxmlformats.org/officeDocument/2006/relationships/hyperlink" Target="http://www.ejie.eus/" TargetMode="External"/><Relationship Id="rId9" Type="http://schemas.openxmlformats.org/officeDocument/2006/relationships/hyperlink" Target="http://creativecommons.org/licenses/by-nc-sa/3.0/"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F520EE28F04A4BBA733FBE74485EF4" ma:contentTypeVersion="1" ma:contentTypeDescription="Crear nuevo documento." ma:contentTypeScope="" ma:versionID="7d6e495fc1d597957f1ee9c62e9ed8bb">
  <xsd:schema xmlns:xsd="http://www.w3.org/2001/XMLSchema" xmlns:xs="http://www.w3.org/2001/XMLSchema" xmlns:p="http://schemas.microsoft.com/office/2006/metadata/properties" targetNamespace="http://schemas.microsoft.com/office/2006/metadata/properties" ma:root="true" ma:fieldsID="d2437a8bd0477083861190055fe83a8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08FC8-E257-4361-963F-FFEDA23FF7C2}">
  <ds:schemaRef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C8939D4-D21C-418A-BA86-29E0C130CB46}">
  <ds:schemaRefs>
    <ds:schemaRef ds:uri="http://schemas.microsoft.com/sharepoint/v3/contenttype/forms"/>
  </ds:schemaRefs>
</ds:datastoreItem>
</file>

<file path=customXml/itemProps3.xml><?xml version="1.0" encoding="utf-8"?>
<ds:datastoreItem xmlns:ds="http://schemas.openxmlformats.org/officeDocument/2006/customXml" ds:itemID="{E1DAC00E-6D66-4A8B-AF73-E8139DC6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73DF52-6162-4775-BA6C-B210B881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AR(1.2)</Template>
  <TotalTime>266</TotalTime>
  <Application>LibreOffice/6.3.4.2.0$Linux_X86_64 LibreOffice_project/30$Build-2</Application>
  <Pages>7</Pages>
  <Words>1577</Words>
  <Characters>8263</Characters>
  <CharactersWithSpaces>9810</CharactersWithSpaces>
  <Paragraphs>102</Paragraphs>
  <Company>EJIE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2018-10-24T09:35:00Z</dcterms:created>
  <dc:creator>Eurohelp S.L.</dc:creator>
  <dc:description/>
  <dc:language>es-ES</dc:language>
  <cp:lastModifiedBy/>
  <cp:lastPrinted>2012-11-14T06:45:00Z</cp:lastPrinted>
  <dcterms:modified xsi:type="dcterms:W3CDTF">2019-12-17T16:31:12Z</dcterms:modified>
  <cp:revision>24</cp:revision>
  <dc:subject/>
  <dc:title>Acta Reunion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EJIE</vt:lpwstr>
  </property>
  <property fmtid="{D5CDD505-2E9C-101B-9397-08002B2CF9AE}" pid="4" name="ContentTypeId">
    <vt:lpwstr>0x01010041F520EE28F04A4BBA733FBE74485EF4</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TemplateVersion">
    <vt:lpwstr>1.2</vt:lpwstr>
  </property>
</Properties>
</file>