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theme/themeOverride1.xml" ContentType="application/vnd.openxmlformats-officedocument.themeOverride+xml"/>
  <Override PartName="/word/charts/chart59.xml" ContentType="application/vnd.openxmlformats-officedocument.drawingml.chart+xml"/>
  <Override PartName="/word/theme/themeOverride2.xml" ContentType="application/vnd.openxmlformats-officedocument.themeOverride+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8598634"/>
        <w:docPartObj>
          <w:docPartGallery w:val="Cover Pages"/>
          <w:docPartUnique/>
        </w:docPartObj>
      </w:sdtPr>
      <w:sdtEndPr>
        <w:rPr>
          <w:rFonts w:cs="Arial"/>
        </w:rPr>
      </w:sdtEndPr>
      <w:sdtContent>
        <w:p w:rsidR="00E60057" w:rsidRPr="00DE01F8" w:rsidRDefault="00503E0A" w:rsidP="00BB313D">
          <w:pPr>
            <w:widowControl w:val="0"/>
          </w:pPr>
          <w:r>
            <w:rPr>
              <w:noProof/>
              <w:lang w:eastAsia="es-ES"/>
            </w:rPr>
            <w:pict>
              <v:rect id="_x0000_s1029" style="position:absolute;left:0;text-align:left;margin-left:85.3pt;margin-top:-64.9pt;width:412.45pt;height:791.95pt;z-index:251764736;mso-position-horizontal-relative:text;mso-position-vertical-relative:text;mso-width-relative:margin" fillcolor="#b8cce4 [1300]" strokecolor="#17365d [2415]" strokeweight="1pt">
                <v:shadow color="#d8d8d8 [2732]" offset="3pt,3pt" offset2="2pt,2pt"/>
                <v:textbox style="mso-next-textbox:#_x0000_s1029" inset="18pt,108pt,36pt">
                  <w:txbxContent>
                    <w:p w:rsidR="006367E5" w:rsidRDefault="006367E5" w:rsidP="009A00F2">
                      <w:pPr>
                        <w:pStyle w:val="Sinespaciado"/>
                        <w:rPr>
                          <w:rFonts w:ascii="Arial" w:eastAsiaTheme="minorHAnsi" w:hAnsi="Arial" w:cs="Arial"/>
                          <w:b/>
                          <w:spacing w:val="4"/>
                          <w:sz w:val="50"/>
                          <w:szCs w:val="50"/>
                          <w:lang w:eastAsia="en-US"/>
                        </w:rPr>
                      </w:pPr>
                    </w:p>
                    <w:p w:rsidR="006367E5" w:rsidRDefault="006367E5" w:rsidP="009A00F2">
                      <w:pPr>
                        <w:pStyle w:val="Sinespaciado"/>
                        <w:rPr>
                          <w:rFonts w:ascii="Arial" w:eastAsiaTheme="minorHAnsi" w:hAnsi="Arial" w:cs="Arial"/>
                          <w:b/>
                          <w:spacing w:val="4"/>
                          <w:sz w:val="50"/>
                          <w:szCs w:val="50"/>
                          <w:lang w:eastAsia="en-US"/>
                        </w:rPr>
                      </w:pPr>
                    </w:p>
                    <w:p w:rsidR="006367E5" w:rsidRDefault="006367E5" w:rsidP="009A00F2">
                      <w:pPr>
                        <w:pStyle w:val="Sinespaciado"/>
                        <w:rPr>
                          <w:rFonts w:ascii="Arial" w:eastAsiaTheme="minorHAnsi" w:hAnsi="Arial" w:cs="Arial"/>
                          <w:b/>
                          <w:spacing w:val="4"/>
                          <w:sz w:val="70"/>
                          <w:szCs w:val="70"/>
                          <w:lang w:eastAsia="en-US"/>
                        </w:rPr>
                      </w:pPr>
                    </w:p>
                    <w:p w:rsidR="006367E5" w:rsidRDefault="006367E5" w:rsidP="009A00F2">
                      <w:pPr>
                        <w:pStyle w:val="Sinespaciado"/>
                        <w:rPr>
                          <w:rFonts w:ascii="Arial" w:eastAsiaTheme="minorHAnsi" w:hAnsi="Arial" w:cs="Arial"/>
                          <w:b/>
                          <w:spacing w:val="4"/>
                          <w:sz w:val="70"/>
                          <w:szCs w:val="70"/>
                          <w:lang w:eastAsia="en-US"/>
                        </w:rPr>
                      </w:pPr>
                    </w:p>
                    <w:p w:rsidR="006367E5" w:rsidRDefault="006367E5" w:rsidP="009A00F2">
                      <w:pPr>
                        <w:pStyle w:val="Sinespaciado"/>
                        <w:rPr>
                          <w:rFonts w:ascii="Arial" w:eastAsiaTheme="minorHAnsi" w:hAnsi="Arial" w:cs="Arial"/>
                          <w:b/>
                          <w:spacing w:val="4"/>
                          <w:sz w:val="70"/>
                          <w:szCs w:val="70"/>
                          <w:lang w:eastAsia="en-US"/>
                        </w:rPr>
                      </w:pPr>
                    </w:p>
                    <w:p w:rsidR="006367E5" w:rsidRPr="00C44E3A" w:rsidRDefault="006367E5" w:rsidP="009A00F2">
                      <w:pPr>
                        <w:pStyle w:val="Sinespaciado"/>
                        <w:rPr>
                          <w:rFonts w:ascii="Arial" w:eastAsiaTheme="minorHAnsi" w:hAnsi="Arial" w:cs="Arial"/>
                          <w:b/>
                          <w:color w:val="404040" w:themeColor="text1" w:themeTint="BF"/>
                          <w:spacing w:val="4"/>
                          <w:sz w:val="70"/>
                          <w:szCs w:val="70"/>
                          <w:lang w:eastAsia="en-US"/>
                        </w:rPr>
                      </w:pPr>
                      <w:r w:rsidRPr="00C44E3A">
                        <w:rPr>
                          <w:rFonts w:ascii="Arial" w:eastAsiaTheme="minorHAnsi" w:hAnsi="Arial" w:cs="Arial"/>
                          <w:b/>
                          <w:color w:val="404040" w:themeColor="text1" w:themeTint="BF"/>
                          <w:spacing w:val="4"/>
                          <w:sz w:val="70"/>
                          <w:szCs w:val="70"/>
                          <w:lang w:eastAsia="en-US"/>
                        </w:rPr>
                        <w:t xml:space="preserve">ESTADÍSTICA </w:t>
                      </w:r>
                    </w:p>
                    <w:p w:rsidR="006367E5" w:rsidRPr="00C44E3A" w:rsidRDefault="006367E5" w:rsidP="009A00F2">
                      <w:pPr>
                        <w:pStyle w:val="Sinespaciado"/>
                        <w:rPr>
                          <w:rFonts w:ascii="Arial" w:eastAsiaTheme="minorHAnsi" w:hAnsi="Arial" w:cs="Arial"/>
                          <w:b/>
                          <w:color w:val="404040" w:themeColor="text1" w:themeTint="BF"/>
                          <w:spacing w:val="4"/>
                          <w:sz w:val="70"/>
                          <w:szCs w:val="70"/>
                          <w:lang w:eastAsia="en-US"/>
                        </w:rPr>
                      </w:pPr>
                      <w:r w:rsidRPr="00C44E3A">
                        <w:rPr>
                          <w:rFonts w:ascii="Arial" w:eastAsiaTheme="minorHAnsi" w:hAnsi="Arial" w:cs="Arial"/>
                          <w:b/>
                          <w:color w:val="404040" w:themeColor="text1" w:themeTint="BF"/>
                          <w:spacing w:val="4"/>
                          <w:sz w:val="70"/>
                          <w:szCs w:val="70"/>
                          <w:lang w:eastAsia="en-US"/>
                        </w:rPr>
                        <w:t xml:space="preserve">DE LA ECONOMÍA SOCIAL 2014 </w:t>
                      </w:r>
                    </w:p>
                    <w:p w:rsidR="006367E5" w:rsidRPr="00C44E3A" w:rsidRDefault="006367E5" w:rsidP="009A00F2">
                      <w:pPr>
                        <w:pStyle w:val="Sinespaciado"/>
                        <w:rPr>
                          <w:color w:val="404040" w:themeColor="text1" w:themeTint="BF"/>
                          <w:sz w:val="70"/>
                          <w:szCs w:val="70"/>
                        </w:rPr>
                      </w:pPr>
                      <w:r w:rsidRPr="00C44E3A">
                        <w:rPr>
                          <w:rFonts w:ascii="Arial" w:eastAsiaTheme="minorHAnsi" w:hAnsi="Arial" w:cs="Arial"/>
                          <w:b/>
                          <w:color w:val="404040" w:themeColor="text1" w:themeTint="BF"/>
                          <w:spacing w:val="4"/>
                          <w:sz w:val="70"/>
                          <w:szCs w:val="70"/>
                          <w:lang w:eastAsia="en-US"/>
                        </w:rPr>
                        <w:t>Y AVANCE 2015</w:t>
                      </w:r>
                    </w:p>
                    <w:p w:rsidR="006367E5" w:rsidRPr="009A00F2" w:rsidRDefault="006367E5">
                      <w:pPr>
                        <w:pStyle w:val="Sinespaciado"/>
                        <w:rPr>
                          <w:rFonts w:cs="Arial"/>
                          <w:i/>
                          <w:iCs/>
                          <w:color w:val="DBE5F1" w:themeColor="accent1" w:themeTint="33"/>
                          <w:szCs w:val="20"/>
                        </w:rPr>
                      </w:pPr>
                    </w:p>
                    <w:p w:rsidR="006367E5" w:rsidRDefault="006367E5">
                      <w:pPr>
                        <w:pStyle w:val="Sinespaciado"/>
                        <w:rPr>
                          <w:rFonts w:cs="Arial"/>
                          <w:i/>
                          <w:iCs/>
                          <w:szCs w:val="20"/>
                        </w:rPr>
                      </w:pPr>
                    </w:p>
                    <w:p w:rsidR="006367E5" w:rsidRPr="00D1592D" w:rsidRDefault="006367E5">
                      <w:pPr>
                        <w:pStyle w:val="Sinespaciado"/>
                        <w:rPr>
                          <w:rFonts w:cs="Arial"/>
                          <w:i/>
                          <w:iCs/>
                          <w:color w:val="548DD4" w:themeColor="text2" w:themeTint="99"/>
                          <w:szCs w:val="20"/>
                        </w:rPr>
                      </w:pPr>
                    </w:p>
                    <w:p w:rsidR="006367E5" w:rsidRPr="00D1592D" w:rsidRDefault="006367E5">
                      <w:pPr>
                        <w:pStyle w:val="Sinespaciado"/>
                        <w:rPr>
                          <w:rFonts w:cs="Arial"/>
                          <w:i/>
                          <w:iCs/>
                          <w:color w:val="548DD4" w:themeColor="text2" w:themeTint="99"/>
                          <w:szCs w:val="20"/>
                        </w:rPr>
                      </w:pPr>
                    </w:p>
                    <w:p w:rsidR="006367E5" w:rsidRPr="00D1592D" w:rsidRDefault="006367E5">
                      <w:pPr>
                        <w:pStyle w:val="Sinespaciado"/>
                        <w:rPr>
                          <w:rFonts w:cs="Arial"/>
                          <w:i/>
                          <w:iCs/>
                          <w:color w:val="365F91" w:themeColor="accent1" w:themeShade="BF"/>
                          <w:szCs w:val="20"/>
                        </w:rPr>
                      </w:pPr>
                    </w:p>
                    <w:p w:rsidR="006367E5" w:rsidRPr="00D1592D" w:rsidRDefault="006367E5">
                      <w:pPr>
                        <w:pStyle w:val="Sinespaciado"/>
                        <w:rPr>
                          <w:rFonts w:cs="Arial"/>
                          <w:i/>
                          <w:iCs/>
                          <w:color w:val="17365D" w:themeColor="text2" w:themeShade="BF"/>
                          <w:szCs w:val="20"/>
                        </w:rPr>
                      </w:pPr>
                    </w:p>
                    <w:p w:rsidR="006367E5" w:rsidRPr="00D1592D" w:rsidRDefault="006367E5">
                      <w:pPr>
                        <w:pStyle w:val="Sinespaciado"/>
                        <w:rPr>
                          <w:rFonts w:cs="Arial"/>
                          <w:i/>
                          <w:iCs/>
                          <w:color w:val="17365D" w:themeColor="text2" w:themeShade="BF"/>
                          <w:szCs w:val="20"/>
                        </w:rPr>
                      </w:pPr>
                    </w:p>
                    <w:p w:rsidR="006367E5" w:rsidRPr="00D1592D" w:rsidRDefault="006367E5">
                      <w:pPr>
                        <w:pStyle w:val="Sinespaciado"/>
                        <w:rPr>
                          <w:rFonts w:cs="Arial"/>
                          <w:i/>
                          <w:iCs/>
                          <w:color w:val="17365D" w:themeColor="text2" w:themeShade="BF"/>
                          <w:szCs w:val="20"/>
                        </w:rPr>
                      </w:pPr>
                    </w:p>
                    <w:p w:rsidR="006367E5" w:rsidRPr="00D1592D" w:rsidRDefault="006367E5">
                      <w:pPr>
                        <w:pStyle w:val="Sinespaciado"/>
                        <w:rPr>
                          <w:rFonts w:cs="Arial"/>
                          <w:i/>
                          <w:iCs/>
                          <w:color w:val="17365D" w:themeColor="text2" w:themeShade="BF"/>
                          <w:szCs w:val="20"/>
                        </w:rPr>
                      </w:pPr>
                    </w:p>
                    <w:p w:rsidR="006367E5" w:rsidRPr="00D1592D" w:rsidRDefault="006367E5" w:rsidP="009A00F2">
                      <w:pPr>
                        <w:pStyle w:val="Sinespaciado"/>
                        <w:jc w:val="right"/>
                        <w:rPr>
                          <w:rFonts w:ascii="Arial" w:hAnsi="Arial" w:cs="Arial"/>
                          <w:i/>
                          <w:iCs/>
                          <w:color w:val="17365D" w:themeColor="text2" w:themeShade="BF"/>
                          <w:szCs w:val="20"/>
                        </w:rPr>
                      </w:pPr>
                    </w:p>
                    <w:p w:rsidR="006367E5" w:rsidRPr="00C44E3A" w:rsidRDefault="006367E5" w:rsidP="009A00F2">
                      <w:pPr>
                        <w:pStyle w:val="Sinespaciado"/>
                        <w:jc w:val="right"/>
                        <w:rPr>
                          <w:rFonts w:ascii="Arial" w:hAnsi="Arial" w:cs="Arial"/>
                          <w:b/>
                          <w:color w:val="404040" w:themeColor="text1" w:themeTint="BF"/>
                          <w:sz w:val="28"/>
                          <w:szCs w:val="28"/>
                        </w:rPr>
                      </w:pPr>
                      <w:r>
                        <w:rPr>
                          <w:rFonts w:ascii="Arial" w:hAnsi="Arial" w:cs="Arial"/>
                          <w:b/>
                          <w:color w:val="404040" w:themeColor="text1" w:themeTint="BF"/>
                          <w:sz w:val="28"/>
                          <w:szCs w:val="28"/>
                        </w:rPr>
                        <w:t>Abril</w:t>
                      </w:r>
                      <w:r w:rsidRPr="00C44E3A">
                        <w:rPr>
                          <w:rFonts w:ascii="Arial" w:hAnsi="Arial" w:cs="Arial"/>
                          <w:b/>
                          <w:color w:val="404040" w:themeColor="text1" w:themeTint="BF"/>
                          <w:sz w:val="28"/>
                          <w:szCs w:val="28"/>
                        </w:rPr>
                        <w:t xml:space="preserve"> 2016</w:t>
                      </w:r>
                    </w:p>
                    <w:p w:rsidR="006367E5" w:rsidRPr="00D1592D" w:rsidRDefault="006367E5" w:rsidP="009A00F2">
                      <w:pPr>
                        <w:pStyle w:val="Sinespaciado"/>
                        <w:jc w:val="right"/>
                        <w:rPr>
                          <w:rFonts w:ascii="Arial" w:hAnsi="Arial" w:cs="Arial"/>
                          <w:color w:val="17365D" w:themeColor="text2" w:themeShade="BF"/>
                          <w:sz w:val="28"/>
                          <w:szCs w:val="28"/>
                        </w:rPr>
                      </w:pPr>
                    </w:p>
                    <w:p w:rsidR="006367E5" w:rsidRPr="00D1592D" w:rsidRDefault="006367E5" w:rsidP="009A00F2">
                      <w:pPr>
                        <w:pStyle w:val="Sinespaciado"/>
                        <w:jc w:val="right"/>
                        <w:rPr>
                          <w:rFonts w:ascii="Arial" w:hAnsi="Arial" w:cs="Arial"/>
                          <w:color w:val="365F91" w:themeColor="accent1" w:themeShade="BF"/>
                          <w:sz w:val="26"/>
                          <w:szCs w:val="26"/>
                        </w:rPr>
                      </w:pPr>
                    </w:p>
                    <w:p w:rsidR="006367E5" w:rsidRPr="00C44E3A" w:rsidRDefault="006367E5" w:rsidP="009A00F2">
                      <w:pPr>
                        <w:pStyle w:val="Sinespaciado"/>
                        <w:jc w:val="right"/>
                        <w:rPr>
                          <w:rFonts w:ascii="Arial" w:eastAsiaTheme="minorHAnsi" w:hAnsi="Arial" w:cs="Arial"/>
                          <w:i/>
                          <w:iCs/>
                          <w:color w:val="404040" w:themeColor="text1" w:themeTint="BF"/>
                          <w:sz w:val="26"/>
                          <w:szCs w:val="26"/>
                          <w:lang w:eastAsia="en-US"/>
                        </w:rPr>
                      </w:pPr>
                      <w:r w:rsidRPr="00C44E3A">
                        <w:rPr>
                          <w:rFonts w:ascii="Arial" w:eastAsiaTheme="minorHAnsi" w:hAnsi="Arial" w:cs="Arial"/>
                          <w:i/>
                          <w:iCs/>
                          <w:color w:val="404040" w:themeColor="text1" w:themeTint="BF"/>
                          <w:sz w:val="26"/>
                          <w:szCs w:val="26"/>
                          <w:lang w:eastAsia="en-US"/>
                        </w:rPr>
                        <w:t>Órgano Estadístico Específico del Departamento de Empleo y Políticas Sociales en colaboración con Ikertalde</w:t>
                      </w:r>
                    </w:p>
                  </w:txbxContent>
                </v:textbox>
              </v:rect>
            </w:pict>
          </w:r>
          <w:r>
            <w:rPr>
              <w:noProof/>
              <w:sz w:val="30"/>
              <w:szCs w:val="30"/>
              <w:lang w:eastAsia="es-ES"/>
            </w:rPr>
            <w:pict>
              <v:rect id="_x0000_s1028" style="position:absolute;left:0;text-align:left;margin-left:-65.75pt;margin-top:-66.1pt;width:563.65pt;height:793.05pt;z-index:-251596801;mso-position-horizontal-relative:text;mso-position-vertical-relative:text;mso-width-relative:margin;v-text-anchor:middle" fillcolor="#dbe5f1 [660]" strokecolor="white [3212]" strokeweight="1pt">
                <v:fill r:id="rId10" o:title="Zig zag" color2="#bfbfbf [2412]" type="pattern"/>
                <v:shadow color="#d8d8d8 [2732]" offset="3pt,3pt" offset2="2pt,2pt"/>
              </v:rect>
            </w:pict>
          </w:r>
          <w:r w:rsidR="009A00F2">
            <w:rPr>
              <w:noProof/>
              <w:lang w:eastAsia="es-ES"/>
            </w:rPr>
            <w:drawing>
              <wp:anchor distT="0" distB="0" distL="114300" distR="114300" simplePos="0" relativeHeight="251766784" behindDoc="0" locked="0" layoutInCell="1" allowOverlap="1">
                <wp:simplePos x="0" y="0"/>
                <wp:positionH relativeFrom="column">
                  <wp:posOffset>2070735</wp:posOffset>
                </wp:positionH>
                <wp:positionV relativeFrom="paragraph">
                  <wp:posOffset>-835660</wp:posOffset>
                </wp:positionV>
                <wp:extent cx="4286250" cy="1152525"/>
                <wp:effectExtent l="19050" t="0" r="0" b="0"/>
                <wp:wrapNone/>
                <wp:docPr id="10" name="Imagen 448" descr="logo emp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emple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1152525"/>
                        </a:xfrm>
                        <a:prstGeom prst="rect">
                          <a:avLst/>
                        </a:prstGeom>
                        <a:noFill/>
                        <a:ln>
                          <a:noFill/>
                        </a:ln>
                      </pic:spPr>
                    </pic:pic>
                  </a:graphicData>
                </a:graphic>
              </wp:anchor>
            </w:drawing>
          </w:r>
        </w:p>
      </w:sdtContent>
    </w:sdt>
    <w:p w:rsidR="00E60057" w:rsidRPr="00DE01F8" w:rsidRDefault="00E60057" w:rsidP="00BB313D">
      <w:pPr>
        <w:widowControl w:val="0"/>
        <w:rPr>
          <w:rFonts w:cs="Arial"/>
          <w:lang w:val="es-ES_tradnl"/>
        </w:rPr>
      </w:pPr>
    </w:p>
    <w:p w:rsidR="00E60057" w:rsidRPr="00DE01F8" w:rsidRDefault="00E60057" w:rsidP="00BB313D">
      <w:pPr>
        <w:widowControl w:val="0"/>
      </w:pPr>
    </w:p>
    <w:p w:rsidR="00371E34" w:rsidRDefault="00503E0A" w:rsidP="00BB313D">
      <w:pPr>
        <w:widowControl w:val="0"/>
        <w:spacing w:after="200" w:line="276" w:lineRule="auto"/>
        <w:jc w:val="left"/>
        <w:rPr>
          <w:rFonts w:eastAsia="Times New Roman" w:cs="Arial"/>
          <w:szCs w:val="20"/>
          <w:lang w:val="es-ES_tradnl" w:eastAsia="es-ES"/>
        </w:rPr>
      </w:pPr>
      <w:r>
        <w:rPr>
          <w:rFonts w:ascii="Times New Roman" w:hAnsi="Times New Roman" w:cs="Times New Roman"/>
          <w:sz w:val="24"/>
          <w:szCs w:val="24"/>
        </w:rPr>
        <w:pict>
          <v:group id="_x0000_s1032" style="position:absolute;margin-left:-65.75pt;margin-top:90.4pt;width:152.1pt;height:322.65pt;z-index:251841536" coordorigin="654,3599" coordsize="2880,5760">
            <v:rect id="_x0000_s1033" style="position:absolute;left:2094;top:6479;width:1440;height:1440;flip:x;mso-width-relative:margin;v-text-anchor:middle" fillcolor="#a7bfde [1620]" strokecolor="white [3212]" strokeweight="1pt">
              <v:fill opacity="52429f"/>
              <v:shadow color="#d8d8d8 [2732]" offset="3pt,3pt" offset2="2pt,2pt"/>
            </v:rect>
            <v:rect id="_x0000_s1034" style="position:absolute;left:2094;top:5039;width:1440;height:1440;flip:x;mso-width-relative:margin;v-text-anchor:middle" fillcolor="#a7bfde [1620]" strokecolor="white [3212]" strokeweight="1pt">
              <v:fill opacity=".5"/>
              <v:shadow color="#d8d8d8 [2732]" offset="3pt,3pt" offset2="2pt,2pt"/>
            </v:rect>
            <v:rect id="_x0000_s1035" style="position:absolute;left:654;top:5039;width:1440;height:1440;flip:x;mso-width-relative:margin;v-text-anchor:middle" fillcolor="#a7bfde [1620]" strokecolor="white [3212]" strokeweight="1pt">
              <v:fill opacity="52429f"/>
              <v:shadow color="#d8d8d8 [2732]" offset="3pt,3pt" offset2="2pt,2pt"/>
            </v:rect>
            <v:rect id="_x0000_s1036" style="position:absolute;left:654;top:3599;width:1440;height:1440;flip:x;mso-width-relative:margin;v-text-anchor:middle" fillcolor="#a7bfde [1620]" strokecolor="white [3212]" strokeweight="1pt">
              <v:fill opacity=".5"/>
              <v:shadow color="#d8d8d8 [2732]" offset="3pt,3pt" offset2="2pt,2pt"/>
            </v:rect>
            <v:rect id="_x0000_s1037" style="position:absolute;left:654;top:6479;width:1440;height:1440;flip:x;mso-width-relative:margin;v-text-anchor:middle" fillcolor="#a7bfde [1620]" strokecolor="white [3212]" strokeweight="1pt">
              <v:fill opacity=".5"/>
              <v:shadow color="#d8d8d8 [2732]" offset="3pt,3pt" offset2="2pt,2pt"/>
            </v:rect>
            <v:rect id="_x0000_s1038" style="position:absolute;left:2094;top:7919;width:1440;height:1440;flip:x;mso-width-relative:margin;v-text-anchor:middle" fillcolor="#a7bfde [1620]" strokecolor="white [3212]" strokeweight="1pt">
              <v:fill opacity=".5"/>
              <v:shadow color="#d8d8d8 [2732]" offset="3pt,3pt" offset2="2pt,2pt"/>
            </v:rect>
          </v:group>
        </w:pict>
      </w:r>
      <w:r w:rsidR="00371E34">
        <w:br w:type="page"/>
      </w:r>
    </w:p>
    <w:p w:rsidR="00950419" w:rsidRDefault="00950419">
      <w:pPr>
        <w:spacing w:after="200" w:line="276" w:lineRule="auto"/>
        <w:jc w:val="left"/>
      </w:pPr>
      <w:r>
        <w:lastRenderedPageBreak/>
        <w:br w:type="page"/>
      </w:r>
    </w:p>
    <w:p w:rsidR="00950419" w:rsidRPr="00DE01F8" w:rsidRDefault="00950419" w:rsidP="00950419">
      <w:pPr>
        <w:pStyle w:val="Ttulo1"/>
        <w:keepLines/>
        <w:widowControl/>
        <w:spacing w:before="480"/>
        <w:ind w:left="360" w:hanging="360"/>
        <w:rPr>
          <w:rFonts w:cs="Arial"/>
        </w:rPr>
      </w:pPr>
      <w:bookmarkStart w:id="0" w:name="_Toc391999488"/>
      <w:bookmarkStart w:id="1" w:name="_Toc450118890"/>
      <w:r w:rsidRPr="00DE01F8">
        <w:rPr>
          <w:rFonts w:cs="Arial"/>
        </w:rPr>
        <w:lastRenderedPageBreak/>
        <w:t>INTRODUCCIÓN</w:t>
      </w:r>
      <w:bookmarkEnd w:id="0"/>
      <w:bookmarkEnd w:id="1"/>
    </w:p>
    <w:p w:rsidR="00950419" w:rsidRPr="00DE01F8" w:rsidRDefault="00950419" w:rsidP="00950419">
      <w:pPr>
        <w:rPr>
          <w:rFonts w:cs="Arial"/>
        </w:rPr>
      </w:pPr>
    </w:p>
    <w:p w:rsidR="00C44E3A" w:rsidRDefault="00C44E3A" w:rsidP="00C44E3A">
      <w:pPr>
        <w:rPr>
          <w:rFonts w:cs="Arial"/>
        </w:rPr>
      </w:pPr>
      <w:r w:rsidRPr="00D74FED">
        <w:rPr>
          <w:rFonts w:cs="Arial"/>
        </w:rPr>
        <w:t xml:space="preserve">El </w:t>
      </w:r>
      <w:r>
        <w:rPr>
          <w:rFonts w:cs="Arial"/>
        </w:rPr>
        <w:t>Órgano Estadístico E</w:t>
      </w:r>
      <w:r w:rsidRPr="00D74FED">
        <w:rPr>
          <w:rFonts w:cs="Arial"/>
        </w:rPr>
        <w:t xml:space="preserve">specífico </w:t>
      </w:r>
      <w:r>
        <w:rPr>
          <w:rFonts w:cs="Arial"/>
        </w:rPr>
        <w:t xml:space="preserve">del </w:t>
      </w:r>
      <w:r w:rsidRPr="00D74FED">
        <w:rPr>
          <w:rFonts w:cs="Arial"/>
        </w:rPr>
        <w:t>Departamento de Empleo y Políticas Sociales del Gobierno Vasco</w:t>
      </w:r>
      <w:r>
        <w:rPr>
          <w:rFonts w:cs="Arial"/>
        </w:rPr>
        <w:t xml:space="preserve">, en colaboración con </w:t>
      </w:r>
      <w:proofErr w:type="spellStart"/>
      <w:r>
        <w:rPr>
          <w:rFonts w:cs="Arial"/>
        </w:rPr>
        <w:t>Ikertalde</w:t>
      </w:r>
      <w:proofErr w:type="spellEnd"/>
      <w:r>
        <w:rPr>
          <w:rFonts w:cs="Arial"/>
        </w:rPr>
        <w:t>,</w:t>
      </w:r>
      <w:r w:rsidRPr="00D74FED">
        <w:rPr>
          <w:rFonts w:cs="Arial"/>
        </w:rPr>
        <w:t xml:space="preserve"> ha </w:t>
      </w:r>
      <w:r>
        <w:rPr>
          <w:rFonts w:cs="Arial"/>
        </w:rPr>
        <w:t>completado la undécima</w:t>
      </w:r>
      <w:r w:rsidRPr="00D74FED">
        <w:rPr>
          <w:rFonts w:cs="Arial"/>
        </w:rPr>
        <w:t xml:space="preserve"> edición de la Estadística </w:t>
      </w:r>
      <w:r>
        <w:rPr>
          <w:rFonts w:cs="Arial"/>
        </w:rPr>
        <w:t xml:space="preserve">de </w:t>
      </w:r>
      <w:r w:rsidRPr="00D74FED">
        <w:rPr>
          <w:rFonts w:cs="Arial"/>
        </w:rPr>
        <w:t>la Economía Social</w:t>
      </w:r>
      <w:r>
        <w:rPr>
          <w:rFonts w:cs="Arial"/>
        </w:rPr>
        <w:t>, una operación estadística que,</w:t>
      </w:r>
      <w:r w:rsidRPr="00641B22">
        <w:rPr>
          <w:rFonts w:cs="Arial"/>
        </w:rPr>
        <w:t xml:space="preserve"> </w:t>
      </w:r>
      <w:r>
        <w:rPr>
          <w:rFonts w:cs="Arial"/>
        </w:rPr>
        <w:t>a lo largo del periodo 1994–2014, recoge los principales rasgos y evolución del sector de la Economía Social.</w:t>
      </w:r>
    </w:p>
    <w:p w:rsidR="00950419" w:rsidRDefault="00950419" w:rsidP="00950419">
      <w:pPr>
        <w:rPr>
          <w:rFonts w:cs="Arial"/>
        </w:rPr>
      </w:pPr>
    </w:p>
    <w:p w:rsidR="00950419" w:rsidRDefault="00950419" w:rsidP="00950419">
      <w:r w:rsidRPr="00D74FED">
        <w:t xml:space="preserve">El objetivo de </w:t>
      </w:r>
      <w:r>
        <w:t>est</w:t>
      </w:r>
      <w:r w:rsidRPr="00D74FED">
        <w:t xml:space="preserve">a operación </w:t>
      </w:r>
      <w:r>
        <w:t xml:space="preserve">estadística </w:t>
      </w:r>
      <w:r w:rsidRPr="00D74FED">
        <w:t xml:space="preserve">es dimensionar y caracterizar la Economía Social en el contexto del tejido económico de la </w:t>
      </w:r>
      <w:r>
        <w:t>Comunidad Autónoma de Euskadi (</w:t>
      </w:r>
      <w:r w:rsidRPr="00D74FED">
        <w:t>CAE</w:t>
      </w:r>
      <w:r>
        <w:t>)</w:t>
      </w:r>
      <w:r w:rsidRPr="00D74FED">
        <w:t>, ilustrando su evolución respecto a años anteriores.</w:t>
      </w:r>
    </w:p>
    <w:p w:rsidR="00950419" w:rsidRDefault="00950419" w:rsidP="00950419"/>
    <w:p w:rsidR="00950419" w:rsidRPr="00D74FED" w:rsidRDefault="00950419" w:rsidP="00950419">
      <w:pPr>
        <w:rPr>
          <w:rFonts w:cs="Arial"/>
        </w:rPr>
      </w:pPr>
      <w:r>
        <w:rPr>
          <w:rFonts w:cs="Arial"/>
        </w:rPr>
        <w:t>E</w:t>
      </w:r>
      <w:r w:rsidRPr="00D74FED">
        <w:rPr>
          <w:rFonts w:cs="Arial"/>
        </w:rPr>
        <w:t xml:space="preserve">l presente </w:t>
      </w:r>
      <w:r>
        <w:rPr>
          <w:rFonts w:cs="Arial"/>
        </w:rPr>
        <w:t>documento</w:t>
      </w:r>
      <w:r w:rsidRPr="00D74FED">
        <w:rPr>
          <w:rFonts w:cs="Arial"/>
        </w:rPr>
        <w:t xml:space="preserve"> presenta</w:t>
      </w:r>
      <w:r>
        <w:rPr>
          <w:rFonts w:cs="Arial"/>
        </w:rPr>
        <w:t xml:space="preserve"> </w:t>
      </w:r>
      <w:r w:rsidRPr="00D74FED">
        <w:rPr>
          <w:rFonts w:cs="Arial"/>
        </w:rPr>
        <w:t xml:space="preserve">las principales magnitudes </w:t>
      </w:r>
      <w:r>
        <w:rPr>
          <w:rFonts w:cs="Arial"/>
        </w:rPr>
        <w:t xml:space="preserve">estadísticas </w:t>
      </w:r>
      <w:r w:rsidRPr="00D74FED">
        <w:rPr>
          <w:rFonts w:cs="Arial"/>
        </w:rPr>
        <w:t>de la Economía Social a través de cuatro grandes apartados.</w:t>
      </w:r>
    </w:p>
    <w:p w:rsidR="00950419" w:rsidRPr="00D74FED" w:rsidRDefault="00950419" w:rsidP="00950419">
      <w:pPr>
        <w:rPr>
          <w:rFonts w:cs="Arial"/>
        </w:rPr>
      </w:pPr>
    </w:p>
    <w:p w:rsidR="006834F9" w:rsidRDefault="00950419" w:rsidP="004114B8">
      <w:pPr>
        <w:numPr>
          <w:ilvl w:val="0"/>
          <w:numId w:val="6"/>
        </w:numPr>
        <w:tabs>
          <w:tab w:val="clear" w:pos="360"/>
        </w:tabs>
        <w:ind w:left="720"/>
        <w:rPr>
          <w:rFonts w:cs="Arial"/>
        </w:rPr>
      </w:pPr>
      <w:r w:rsidRPr="00D74FED">
        <w:rPr>
          <w:rFonts w:cs="Arial"/>
        </w:rPr>
        <w:t xml:space="preserve">El primero </w:t>
      </w:r>
      <w:r>
        <w:rPr>
          <w:rFonts w:cs="Arial"/>
        </w:rPr>
        <w:t>permite abordar</w:t>
      </w:r>
      <w:r w:rsidRPr="00D74FED">
        <w:rPr>
          <w:rFonts w:cs="Arial"/>
        </w:rPr>
        <w:t xml:space="preserve"> la evolución </w:t>
      </w:r>
      <w:r w:rsidR="006834F9" w:rsidRPr="00D74FED">
        <w:rPr>
          <w:rFonts w:cs="Arial"/>
        </w:rPr>
        <w:t>en el b</w:t>
      </w:r>
      <w:r w:rsidR="006834F9">
        <w:rPr>
          <w:rFonts w:cs="Arial"/>
        </w:rPr>
        <w:t xml:space="preserve">ienio 2012-2014 </w:t>
      </w:r>
      <w:r w:rsidRPr="00D74FED">
        <w:rPr>
          <w:rFonts w:cs="Arial"/>
        </w:rPr>
        <w:t>de las Formas Clásicas de la Economía Social (FCES)</w:t>
      </w:r>
      <w:r>
        <w:rPr>
          <w:rFonts w:cs="Arial"/>
        </w:rPr>
        <w:t>, incluyendo</w:t>
      </w:r>
      <w:r w:rsidRPr="00D74FED">
        <w:rPr>
          <w:rFonts w:cs="Arial"/>
        </w:rPr>
        <w:t xml:space="preserve"> </w:t>
      </w:r>
      <w:r>
        <w:rPr>
          <w:rFonts w:cs="Arial"/>
        </w:rPr>
        <w:t xml:space="preserve">en esta categoría a </w:t>
      </w:r>
      <w:r w:rsidRPr="00D74FED">
        <w:rPr>
          <w:rFonts w:cs="Arial"/>
        </w:rPr>
        <w:t>Cooperativas, Sociedades Anónimas Laborales (</w:t>
      </w:r>
      <w:proofErr w:type="spellStart"/>
      <w:r w:rsidRPr="00D74FED">
        <w:rPr>
          <w:rFonts w:cs="Arial"/>
        </w:rPr>
        <w:t>SALes</w:t>
      </w:r>
      <w:proofErr w:type="spellEnd"/>
      <w:r w:rsidRPr="00D74FED">
        <w:rPr>
          <w:rFonts w:cs="Arial"/>
        </w:rPr>
        <w:t>) y Sociedades Limitadas Laborales (</w:t>
      </w:r>
      <w:proofErr w:type="spellStart"/>
      <w:r w:rsidRPr="00D74FED">
        <w:rPr>
          <w:rFonts w:cs="Arial"/>
        </w:rPr>
        <w:t>SLLes</w:t>
      </w:r>
      <w:proofErr w:type="spellEnd"/>
      <w:r w:rsidRPr="00D74FED">
        <w:rPr>
          <w:rFonts w:cs="Arial"/>
        </w:rPr>
        <w:t>)</w:t>
      </w:r>
      <w:r>
        <w:rPr>
          <w:rFonts w:cs="Arial"/>
        </w:rPr>
        <w:t>.</w:t>
      </w:r>
    </w:p>
    <w:p w:rsidR="006834F9" w:rsidRDefault="006834F9" w:rsidP="006834F9">
      <w:pPr>
        <w:ind w:left="720"/>
        <w:rPr>
          <w:rFonts w:cs="Arial"/>
        </w:rPr>
      </w:pPr>
    </w:p>
    <w:p w:rsidR="006834F9" w:rsidRDefault="00950419" w:rsidP="006834F9">
      <w:pPr>
        <w:ind w:left="720"/>
        <w:rPr>
          <w:rFonts w:cs="Arial"/>
        </w:rPr>
      </w:pPr>
      <w:r>
        <w:rPr>
          <w:rFonts w:cs="Arial"/>
        </w:rPr>
        <w:t xml:space="preserve">El análisis se centra en la evolución del volumen de </w:t>
      </w:r>
      <w:r w:rsidRPr="00D74FED">
        <w:rPr>
          <w:rFonts w:cs="Arial"/>
        </w:rPr>
        <w:t>establecimientos</w:t>
      </w:r>
      <w:r>
        <w:rPr>
          <w:rFonts w:cs="Arial"/>
        </w:rPr>
        <w:t xml:space="preserve"> y de empleo y en las variaciones relativas a las principales magnitudes económicas (VAB</w:t>
      </w:r>
      <w:r w:rsidRPr="00D74FED">
        <w:rPr>
          <w:rFonts w:cs="Arial"/>
        </w:rPr>
        <w:t xml:space="preserve"> generado, comportamiento de las exportaciones, ratios de productividad, </w:t>
      </w:r>
      <w:r>
        <w:rPr>
          <w:rFonts w:cs="Arial"/>
        </w:rPr>
        <w:t xml:space="preserve">inversiones, etc.). Se abordan estas variables </w:t>
      </w:r>
      <w:r w:rsidRPr="00D74FED">
        <w:rPr>
          <w:rFonts w:cs="Arial"/>
        </w:rPr>
        <w:t>desde una perspectiva sectorial, territorial y por forma jurídica.</w:t>
      </w:r>
    </w:p>
    <w:p w:rsidR="006834F9" w:rsidRDefault="006834F9" w:rsidP="006834F9">
      <w:pPr>
        <w:ind w:left="720"/>
        <w:rPr>
          <w:rFonts w:cs="Arial"/>
        </w:rPr>
      </w:pPr>
    </w:p>
    <w:p w:rsidR="00950419" w:rsidRPr="00D74FED" w:rsidRDefault="00FE4DF8" w:rsidP="006834F9">
      <w:pPr>
        <w:ind w:left="720"/>
        <w:rPr>
          <w:rFonts w:cs="Arial"/>
        </w:rPr>
      </w:pPr>
      <w:r>
        <w:rPr>
          <w:rFonts w:cs="Arial"/>
        </w:rPr>
        <w:t xml:space="preserve">En la presente edición 2014, el análisis territorial </w:t>
      </w:r>
      <w:r w:rsidR="00117697">
        <w:rPr>
          <w:rFonts w:cs="Arial"/>
        </w:rPr>
        <w:t>incorpora por primera vez una visión</w:t>
      </w:r>
      <w:r w:rsidR="009C4F85">
        <w:rPr>
          <w:rFonts w:cs="Arial"/>
        </w:rPr>
        <w:t xml:space="preserve"> de la situació</w:t>
      </w:r>
      <w:r w:rsidR="00A55F7A">
        <w:rPr>
          <w:rFonts w:cs="Arial"/>
        </w:rPr>
        <w:t xml:space="preserve">n de la Economía Social </w:t>
      </w:r>
      <w:r w:rsidR="006834F9">
        <w:rPr>
          <w:rFonts w:cs="Arial"/>
        </w:rPr>
        <w:t>en el ámbito</w:t>
      </w:r>
      <w:r w:rsidR="00A55F7A">
        <w:rPr>
          <w:rFonts w:cs="Arial"/>
        </w:rPr>
        <w:t xml:space="preserve"> comarcal</w:t>
      </w:r>
      <w:r w:rsidR="006834F9">
        <w:rPr>
          <w:rFonts w:cs="Arial"/>
        </w:rPr>
        <w:t xml:space="preserve">. Se consideran </w:t>
      </w:r>
      <w:r w:rsidR="002270D0">
        <w:rPr>
          <w:rFonts w:cs="Arial"/>
        </w:rPr>
        <w:t xml:space="preserve">los parámetros socioeconómicos más relevantes (empleo, </w:t>
      </w:r>
      <w:r w:rsidR="00A70BE4">
        <w:rPr>
          <w:rFonts w:cs="Arial"/>
        </w:rPr>
        <w:t>establecimientos, facturación, exportaciones, sueldos y salarios, VAB y productividad aparente)</w:t>
      </w:r>
      <w:r w:rsidR="009C4F85">
        <w:rPr>
          <w:rFonts w:cs="Arial"/>
        </w:rPr>
        <w:t xml:space="preserve"> </w:t>
      </w:r>
      <w:r w:rsidR="00EE3AF1">
        <w:rPr>
          <w:rFonts w:cs="Arial"/>
        </w:rPr>
        <w:t>desagregados en el grupo de 11 grandes comarcas que componen la realidad territorial de la CAE</w:t>
      </w:r>
      <w:r w:rsidR="00EE3AF1">
        <w:rPr>
          <w:rStyle w:val="Refdenotaalpie"/>
          <w:rFonts w:cs="Arial"/>
        </w:rPr>
        <w:footnoteReference w:id="1"/>
      </w:r>
      <w:r w:rsidR="006834F9">
        <w:rPr>
          <w:rFonts w:cs="Arial"/>
        </w:rPr>
        <w:t>.</w:t>
      </w:r>
    </w:p>
    <w:p w:rsidR="000D2A8B" w:rsidRPr="00D74FED" w:rsidRDefault="000D2A8B" w:rsidP="00950419">
      <w:pPr>
        <w:ind w:left="720"/>
        <w:rPr>
          <w:rFonts w:cs="Arial"/>
        </w:rPr>
      </w:pPr>
    </w:p>
    <w:p w:rsidR="00950419" w:rsidRPr="00D74FED" w:rsidRDefault="00950419" w:rsidP="004114B8">
      <w:pPr>
        <w:numPr>
          <w:ilvl w:val="0"/>
          <w:numId w:val="6"/>
        </w:numPr>
        <w:tabs>
          <w:tab w:val="clear" w:pos="360"/>
        </w:tabs>
        <w:ind w:left="720"/>
        <w:rPr>
          <w:rFonts w:cs="Arial"/>
        </w:rPr>
      </w:pPr>
      <w:r w:rsidRPr="00D74FED">
        <w:rPr>
          <w:rFonts w:cs="Arial"/>
        </w:rPr>
        <w:t xml:space="preserve">El segundo de los apartados presenta </w:t>
      </w:r>
      <w:r>
        <w:rPr>
          <w:rFonts w:cs="Arial"/>
        </w:rPr>
        <w:t>los resultados del A</w:t>
      </w:r>
      <w:r w:rsidRPr="00D74FED">
        <w:rPr>
          <w:rFonts w:cs="Arial"/>
        </w:rPr>
        <w:t xml:space="preserve">vance </w:t>
      </w:r>
      <w:r w:rsidR="00164A5C">
        <w:rPr>
          <w:rFonts w:cs="Arial"/>
        </w:rPr>
        <w:t xml:space="preserve">en términos de empleo y facturación </w:t>
      </w:r>
      <w:r w:rsidR="005837A3">
        <w:rPr>
          <w:rFonts w:cs="Arial"/>
        </w:rPr>
        <w:t xml:space="preserve">de las Formas Clásicas de la </w:t>
      </w:r>
      <w:r>
        <w:rPr>
          <w:rFonts w:cs="Arial"/>
        </w:rPr>
        <w:t xml:space="preserve">Economía Social </w:t>
      </w:r>
      <w:r w:rsidR="00164A5C">
        <w:rPr>
          <w:rFonts w:cs="Arial"/>
        </w:rPr>
        <w:t xml:space="preserve">prevista </w:t>
      </w:r>
      <w:r>
        <w:rPr>
          <w:rFonts w:cs="Arial"/>
        </w:rPr>
        <w:t>para 2015</w:t>
      </w:r>
      <w:r w:rsidRPr="00D74FED">
        <w:rPr>
          <w:rFonts w:cs="Arial"/>
        </w:rPr>
        <w:t xml:space="preserve">, lo que permite realizar una aproximación al previsible comportamiento de las </w:t>
      </w:r>
      <w:r>
        <w:rPr>
          <w:rFonts w:cs="Arial"/>
        </w:rPr>
        <w:t>c</w:t>
      </w:r>
      <w:r w:rsidRPr="00D74FED">
        <w:rPr>
          <w:rFonts w:cs="Arial"/>
        </w:rPr>
        <w:t xml:space="preserve">ooperativas y </w:t>
      </w:r>
      <w:r>
        <w:rPr>
          <w:rFonts w:cs="Arial"/>
        </w:rPr>
        <w:t>s</w:t>
      </w:r>
      <w:r w:rsidRPr="00D74FED">
        <w:rPr>
          <w:rFonts w:cs="Arial"/>
        </w:rPr>
        <w:t xml:space="preserve">ociedades </w:t>
      </w:r>
      <w:r>
        <w:rPr>
          <w:rFonts w:cs="Arial"/>
        </w:rPr>
        <w:t>l</w:t>
      </w:r>
      <w:r w:rsidRPr="00D74FED">
        <w:rPr>
          <w:rFonts w:cs="Arial"/>
        </w:rPr>
        <w:t>aborales</w:t>
      </w:r>
      <w:r>
        <w:rPr>
          <w:rFonts w:cs="Arial"/>
        </w:rPr>
        <w:t xml:space="preserve"> </w:t>
      </w:r>
      <w:r w:rsidRPr="00D74FED">
        <w:rPr>
          <w:rFonts w:cs="Arial"/>
        </w:rPr>
        <w:t>en el futuro más inmediato.</w:t>
      </w:r>
    </w:p>
    <w:p w:rsidR="00950419" w:rsidRPr="00D74FED" w:rsidRDefault="00950419" w:rsidP="00950419">
      <w:pPr>
        <w:ind w:left="720"/>
        <w:rPr>
          <w:rFonts w:cs="Arial"/>
        </w:rPr>
      </w:pPr>
    </w:p>
    <w:p w:rsidR="005837A3" w:rsidRDefault="00950419" w:rsidP="004114B8">
      <w:pPr>
        <w:numPr>
          <w:ilvl w:val="0"/>
          <w:numId w:val="6"/>
        </w:numPr>
        <w:tabs>
          <w:tab w:val="clear" w:pos="360"/>
        </w:tabs>
        <w:ind w:left="720"/>
        <w:rPr>
          <w:rFonts w:cs="Arial"/>
        </w:rPr>
      </w:pPr>
      <w:r w:rsidRPr="00D74FED">
        <w:rPr>
          <w:rFonts w:cs="Arial"/>
        </w:rPr>
        <w:t>El tercer</w:t>
      </w:r>
      <w:r>
        <w:rPr>
          <w:rFonts w:cs="Arial"/>
        </w:rPr>
        <w:t xml:space="preserve"> apartado</w:t>
      </w:r>
      <w:r w:rsidRPr="00D74FED">
        <w:rPr>
          <w:rFonts w:cs="Arial"/>
        </w:rPr>
        <w:t xml:space="preserve"> </w:t>
      </w:r>
      <w:r>
        <w:rPr>
          <w:rFonts w:cs="Arial"/>
        </w:rPr>
        <w:t>se centra en</w:t>
      </w:r>
      <w:r w:rsidRPr="00D74FED">
        <w:rPr>
          <w:rFonts w:cs="Arial"/>
        </w:rPr>
        <w:t xml:space="preserve"> las estrategias y herramientas que las empresas que conforman la Economía Social </w:t>
      </w:r>
      <w:r>
        <w:rPr>
          <w:rFonts w:cs="Arial"/>
        </w:rPr>
        <w:t>han</w:t>
      </w:r>
      <w:r w:rsidRPr="00D74FED">
        <w:rPr>
          <w:rFonts w:cs="Arial"/>
        </w:rPr>
        <w:t xml:space="preserve"> </w:t>
      </w:r>
      <w:r>
        <w:rPr>
          <w:rFonts w:cs="Arial"/>
        </w:rPr>
        <w:t>aplicado</w:t>
      </w:r>
      <w:r w:rsidRPr="00D74FED">
        <w:rPr>
          <w:rFonts w:cs="Arial"/>
        </w:rPr>
        <w:t xml:space="preserve"> </w:t>
      </w:r>
      <w:r>
        <w:rPr>
          <w:rFonts w:cs="Arial"/>
        </w:rPr>
        <w:t xml:space="preserve">en los últimos años </w:t>
      </w:r>
      <w:r w:rsidRPr="00D74FED">
        <w:rPr>
          <w:rFonts w:cs="Arial"/>
        </w:rPr>
        <w:t>para afrontar la crisis económica y</w:t>
      </w:r>
      <w:r>
        <w:rPr>
          <w:rFonts w:cs="Arial"/>
        </w:rPr>
        <w:t>/o</w:t>
      </w:r>
      <w:r w:rsidRPr="00D74FED">
        <w:rPr>
          <w:rFonts w:cs="Arial"/>
        </w:rPr>
        <w:t xml:space="preserve"> para </w:t>
      </w:r>
      <w:r>
        <w:rPr>
          <w:rFonts w:cs="Arial"/>
        </w:rPr>
        <w:t xml:space="preserve">mejorar su </w:t>
      </w:r>
      <w:r w:rsidRPr="00D74FED">
        <w:rPr>
          <w:rFonts w:cs="Arial"/>
        </w:rPr>
        <w:t>gestión organizativa y estratégica.</w:t>
      </w:r>
    </w:p>
    <w:p w:rsidR="005837A3" w:rsidRDefault="005837A3" w:rsidP="005837A3">
      <w:pPr>
        <w:pStyle w:val="Prrafodelista"/>
        <w:rPr>
          <w:rFonts w:cs="Arial"/>
        </w:rPr>
      </w:pPr>
    </w:p>
    <w:p w:rsidR="00950419" w:rsidRPr="00D74FED" w:rsidRDefault="005837A3" w:rsidP="005837A3">
      <w:pPr>
        <w:ind w:left="720"/>
        <w:rPr>
          <w:rFonts w:cs="Arial"/>
        </w:rPr>
      </w:pPr>
      <w:r>
        <w:rPr>
          <w:rFonts w:cs="Arial"/>
        </w:rPr>
        <w:lastRenderedPageBreak/>
        <w:t>C</w:t>
      </w:r>
      <w:r w:rsidR="00950419">
        <w:rPr>
          <w:rFonts w:cs="Arial"/>
        </w:rPr>
        <w:t>omo novedad</w:t>
      </w:r>
      <w:r>
        <w:rPr>
          <w:rFonts w:cs="Arial"/>
        </w:rPr>
        <w:t xml:space="preserve"> de</w:t>
      </w:r>
      <w:r w:rsidR="00950419">
        <w:rPr>
          <w:rFonts w:cs="Arial"/>
        </w:rPr>
        <w:t xml:space="preserve"> </w:t>
      </w:r>
      <w:r>
        <w:rPr>
          <w:rFonts w:cs="Arial"/>
        </w:rPr>
        <w:t xml:space="preserve">la </w:t>
      </w:r>
      <w:r w:rsidR="00950419">
        <w:rPr>
          <w:rFonts w:cs="Arial"/>
        </w:rPr>
        <w:t>edición</w:t>
      </w:r>
      <w:r w:rsidR="00164A5C">
        <w:rPr>
          <w:rFonts w:cs="Arial"/>
        </w:rPr>
        <w:t xml:space="preserve"> 2014</w:t>
      </w:r>
      <w:r w:rsidR="00950419">
        <w:rPr>
          <w:rFonts w:cs="Arial"/>
        </w:rPr>
        <w:t xml:space="preserve">, se incorpora </w:t>
      </w:r>
      <w:r w:rsidR="00534486">
        <w:rPr>
          <w:rFonts w:cs="Arial"/>
        </w:rPr>
        <w:t xml:space="preserve">un análisis </w:t>
      </w:r>
      <w:r w:rsidR="00950419">
        <w:rPr>
          <w:rFonts w:cs="Arial"/>
        </w:rPr>
        <w:t>asociado a la actividad desarrollada en el ámbito de la innovación</w:t>
      </w:r>
      <w:r w:rsidR="00534486">
        <w:rPr>
          <w:rFonts w:cs="Arial"/>
        </w:rPr>
        <w:t xml:space="preserve"> y </w:t>
      </w:r>
      <w:r w:rsidR="00950419">
        <w:rPr>
          <w:rFonts w:cs="Arial"/>
        </w:rPr>
        <w:t>su impacto o in</w:t>
      </w:r>
      <w:r w:rsidR="00EE3AF1">
        <w:rPr>
          <w:rFonts w:cs="Arial"/>
        </w:rPr>
        <w:t xml:space="preserve">cidencia sobre el empleo total, </w:t>
      </w:r>
      <w:r w:rsidR="00534486">
        <w:rPr>
          <w:rFonts w:cs="Arial"/>
        </w:rPr>
        <w:t xml:space="preserve">en particular </w:t>
      </w:r>
      <w:r w:rsidR="00950419">
        <w:rPr>
          <w:rFonts w:cs="Arial"/>
        </w:rPr>
        <w:t>sobre el empleo cualificado.</w:t>
      </w:r>
    </w:p>
    <w:p w:rsidR="00950419" w:rsidRPr="00D74FED" w:rsidRDefault="00950419" w:rsidP="00950419">
      <w:pPr>
        <w:ind w:left="720"/>
        <w:rPr>
          <w:rFonts w:cs="Arial"/>
        </w:rPr>
      </w:pPr>
    </w:p>
    <w:p w:rsidR="00950419" w:rsidRDefault="00950419" w:rsidP="004114B8">
      <w:pPr>
        <w:numPr>
          <w:ilvl w:val="0"/>
          <w:numId w:val="6"/>
        </w:numPr>
        <w:tabs>
          <w:tab w:val="clear" w:pos="360"/>
        </w:tabs>
        <w:ind w:left="720"/>
        <w:rPr>
          <w:rFonts w:cs="Arial"/>
        </w:rPr>
      </w:pPr>
      <w:r w:rsidRPr="00D74FED">
        <w:rPr>
          <w:rFonts w:cs="Arial"/>
        </w:rPr>
        <w:t xml:space="preserve">En el </w:t>
      </w:r>
      <w:r>
        <w:rPr>
          <w:rFonts w:cs="Arial"/>
        </w:rPr>
        <w:t>cuarto y último apartado</w:t>
      </w:r>
      <w:r w:rsidRPr="00D74FED">
        <w:rPr>
          <w:rFonts w:cs="Arial"/>
        </w:rPr>
        <w:t xml:space="preserve"> se </w:t>
      </w:r>
      <w:r>
        <w:rPr>
          <w:rFonts w:cs="Arial"/>
        </w:rPr>
        <w:t>presenta el análisis de las nuevas</w:t>
      </w:r>
      <w:r w:rsidRPr="00D74FED">
        <w:rPr>
          <w:rFonts w:cs="Arial"/>
        </w:rPr>
        <w:t xml:space="preserve"> formas de la Economía Social (NFES).</w:t>
      </w:r>
      <w:r>
        <w:rPr>
          <w:rFonts w:cs="Arial"/>
        </w:rPr>
        <w:t xml:space="preserve"> En la presente edición, gra</w:t>
      </w:r>
      <w:r w:rsidR="000C61FB">
        <w:rPr>
          <w:rFonts w:cs="Arial"/>
        </w:rPr>
        <w:t>cias a la</w:t>
      </w:r>
      <w:r w:rsidR="00583852">
        <w:rPr>
          <w:rFonts w:cs="Arial"/>
        </w:rPr>
        <w:t xml:space="preserve"> nueva</w:t>
      </w:r>
      <w:r w:rsidR="000C61FB">
        <w:rPr>
          <w:rFonts w:cs="Arial"/>
        </w:rPr>
        <w:t xml:space="preserve"> metodología </w:t>
      </w:r>
      <w:r w:rsidR="00781A0E">
        <w:rPr>
          <w:rFonts w:cs="Arial"/>
        </w:rPr>
        <w:t>empleada</w:t>
      </w:r>
      <w:r w:rsidR="000C61FB">
        <w:rPr>
          <w:rStyle w:val="Refdenotaalpie"/>
          <w:rFonts w:cs="Arial"/>
        </w:rPr>
        <w:footnoteReference w:id="2"/>
      </w:r>
      <w:r w:rsidR="000C61FB">
        <w:rPr>
          <w:rFonts w:cs="Arial"/>
        </w:rPr>
        <w:t>,</w:t>
      </w:r>
      <w:r w:rsidR="00583852">
        <w:rPr>
          <w:rFonts w:cs="Arial"/>
        </w:rPr>
        <w:t xml:space="preserve"> </w:t>
      </w:r>
      <w:r>
        <w:rPr>
          <w:rFonts w:cs="Arial"/>
        </w:rPr>
        <w:t xml:space="preserve">la estructura del análisis desarrollado se asemeja al </w:t>
      </w:r>
      <w:r w:rsidR="00583852">
        <w:rPr>
          <w:rFonts w:cs="Arial"/>
        </w:rPr>
        <w:t>desarrollado</w:t>
      </w:r>
      <w:r>
        <w:rPr>
          <w:rFonts w:cs="Arial"/>
        </w:rPr>
        <w:t xml:space="preserve"> en el </w:t>
      </w:r>
      <w:r w:rsidR="00781A0E">
        <w:rPr>
          <w:rFonts w:cs="Arial"/>
        </w:rPr>
        <w:t>apartado relativo a</w:t>
      </w:r>
      <w:r>
        <w:rPr>
          <w:rFonts w:cs="Arial"/>
        </w:rPr>
        <w:t xml:space="preserve"> las FCES</w:t>
      </w:r>
      <w:r w:rsidR="00781A0E">
        <w:rPr>
          <w:rFonts w:cs="Arial"/>
        </w:rPr>
        <w:t xml:space="preserve">. La aproximación se centra en </w:t>
      </w:r>
      <w:r>
        <w:rPr>
          <w:rFonts w:cs="Arial"/>
        </w:rPr>
        <w:t xml:space="preserve">la cuantificación del número de establecimientos y </w:t>
      </w:r>
      <w:r w:rsidR="00781A0E">
        <w:rPr>
          <w:rFonts w:cs="Arial"/>
        </w:rPr>
        <w:t xml:space="preserve">del </w:t>
      </w:r>
      <w:r>
        <w:rPr>
          <w:rFonts w:cs="Arial"/>
        </w:rPr>
        <w:t xml:space="preserve">empleo generado por las diferentes entidades que conforman las NFES </w:t>
      </w:r>
      <w:r w:rsidR="00781A0E">
        <w:rPr>
          <w:rFonts w:cs="Arial"/>
        </w:rPr>
        <w:t>(</w:t>
      </w:r>
      <w:r>
        <w:rPr>
          <w:rFonts w:cs="Arial"/>
        </w:rPr>
        <w:t>Fundaciones, Centros Especiales de Empleo, Asociaciones de Utilidad Pública, Empresas de Inserción, S</w:t>
      </w:r>
      <w:r w:rsidR="00164A5C">
        <w:rPr>
          <w:rFonts w:cs="Arial"/>
        </w:rPr>
        <w:t>ociedades Agrarias de Transformación</w:t>
      </w:r>
      <w:r w:rsidR="00781A0E">
        <w:rPr>
          <w:rFonts w:cs="Arial"/>
        </w:rPr>
        <w:t>/</w:t>
      </w:r>
      <w:proofErr w:type="spellStart"/>
      <w:r w:rsidR="00164A5C">
        <w:rPr>
          <w:rFonts w:cs="Arial"/>
        </w:rPr>
        <w:t>S</w:t>
      </w:r>
      <w:r>
        <w:rPr>
          <w:rFonts w:cs="Arial"/>
        </w:rPr>
        <w:t>ATs</w:t>
      </w:r>
      <w:proofErr w:type="spellEnd"/>
      <w:r>
        <w:rPr>
          <w:rFonts w:cs="Arial"/>
        </w:rPr>
        <w:t>, Cofradías de Pescadores y Entidades de Previsión Social Voluntaria</w:t>
      </w:r>
      <w:r w:rsidR="00781A0E">
        <w:rPr>
          <w:rFonts w:cs="Arial"/>
        </w:rPr>
        <w:t>/</w:t>
      </w:r>
      <w:proofErr w:type="spellStart"/>
      <w:r>
        <w:rPr>
          <w:rFonts w:cs="Arial"/>
        </w:rPr>
        <w:t>EPSVs</w:t>
      </w:r>
      <w:proofErr w:type="spellEnd"/>
      <w:r w:rsidR="00781A0E">
        <w:rPr>
          <w:rFonts w:cs="Arial"/>
        </w:rPr>
        <w:t xml:space="preserve">). Se abordan igualmente </w:t>
      </w:r>
      <w:r>
        <w:rPr>
          <w:rFonts w:cs="Arial"/>
        </w:rPr>
        <w:t xml:space="preserve">como las principales </w:t>
      </w:r>
      <w:proofErr w:type="spellStart"/>
      <w:r>
        <w:rPr>
          <w:rFonts w:cs="Arial"/>
        </w:rPr>
        <w:t>macromagnitudes</w:t>
      </w:r>
      <w:proofErr w:type="spellEnd"/>
      <w:r>
        <w:rPr>
          <w:rFonts w:cs="Arial"/>
        </w:rPr>
        <w:t xml:space="preserve"> económicas que </w:t>
      </w:r>
      <w:r w:rsidR="00781A0E">
        <w:rPr>
          <w:rFonts w:cs="Arial"/>
        </w:rPr>
        <w:t xml:space="preserve">este conjunto de entidades </w:t>
      </w:r>
      <w:r>
        <w:rPr>
          <w:rFonts w:cs="Arial"/>
        </w:rPr>
        <w:t>representa</w:t>
      </w:r>
      <w:r w:rsidR="00781A0E">
        <w:rPr>
          <w:rFonts w:cs="Arial"/>
        </w:rPr>
        <w:t>n</w:t>
      </w:r>
      <w:r>
        <w:rPr>
          <w:rFonts w:cs="Arial"/>
        </w:rPr>
        <w:t xml:space="preserve"> </w:t>
      </w:r>
      <w:r w:rsidR="00735FEC">
        <w:rPr>
          <w:rFonts w:cs="Arial"/>
        </w:rPr>
        <w:t>en el ejercicio 2014</w:t>
      </w:r>
      <w:r w:rsidR="00781A0E">
        <w:rPr>
          <w:rFonts w:cs="Arial"/>
        </w:rPr>
        <w:t>: V</w:t>
      </w:r>
      <w:r>
        <w:rPr>
          <w:rFonts w:cs="Arial"/>
        </w:rPr>
        <w:t>AB generado, niveles de facturación, subvenciones, inversiones</w:t>
      </w:r>
      <w:r w:rsidR="00735FEC">
        <w:rPr>
          <w:rFonts w:cs="Arial"/>
        </w:rPr>
        <w:t xml:space="preserve"> materiales e inmateriales realizadas</w:t>
      </w:r>
      <w:r>
        <w:rPr>
          <w:rFonts w:cs="Arial"/>
        </w:rPr>
        <w:t>, etc.</w:t>
      </w:r>
    </w:p>
    <w:p w:rsidR="00950419" w:rsidRPr="00D74FED" w:rsidRDefault="00950419" w:rsidP="00950419">
      <w:pPr>
        <w:rPr>
          <w:rFonts w:cs="Arial"/>
          <w:b/>
          <w:highlight w:val="yellow"/>
        </w:rPr>
      </w:pPr>
    </w:p>
    <w:p w:rsidR="00950419" w:rsidRDefault="00781A0E" w:rsidP="00950419">
      <w:pPr>
        <w:rPr>
          <w:rFonts w:cs="Arial"/>
        </w:rPr>
      </w:pPr>
      <w:r>
        <w:rPr>
          <w:rFonts w:cs="Arial"/>
        </w:rPr>
        <w:t xml:space="preserve">La parte central del </w:t>
      </w:r>
      <w:r w:rsidR="00950419">
        <w:rPr>
          <w:rFonts w:cs="Arial"/>
        </w:rPr>
        <w:t xml:space="preserve">documento incluye un análisis sintético de los principales resultados de la Estadística de la Economía Social 2014 </w:t>
      </w:r>
      <w:r w:rsidR="00595B29">
        <w:rPr>
          <w:rFonts w:cs="Arial"/>
        </w:rPr>
        <w:t xml:space="preserve">(FCES + NFES) </w:t>
      </w:r>
      <w:r w:rsidR="00950419">
        <w:rPr>
          <w:rFonts w:cs="Arial"/>
        </w:rPr>
        <w:t xml:space="preserve">y del Avance 2015. El Anexo estadístico asociado permite </w:t>
      </w:r>
      <w:r w:rsidR="00950419" w:rsidRPr="00D74FED">
        <w:rPr>
          <w:rFonts w:cs="Arial"/>
        </w:rPr>
        <w:t>profundizar</w:t>
      </w:r>
      <w:r w:rsidR="00950419">
        <w:rPr>
          <w:rFonts w:cs="Arial"/>
        </w:rPr>
        <w:t xml:space="preserve"> de forma detallada </w:t>
      </w:r>
      <w:r w:rsidR="00950419" w:rsidRPr="00D74FED">
        <w:rPr>
          <w:rFonts w:cs="Arial"/>
        </w:rPr>
        <w:t>en</w:t>
      </w:r>
      <w:r w:rsidR="00950419">
        <w:rPr>
          <w:rFonts w:cs="Arial"/>
        </w:rPr>
        <w:t xml:space="preserve"> los distint</w:t>
      </w:r>
      <w:r w:rsidR="0058025B">
        <w:rPr>
          <w:rFonts w:cs="Arial"/>
        </w:rPr>
        <w:t>os resultados estadísticos del conjunto de la operación.</w:t>
      </w:r>
    </w:p>
    <w:p w:rsidR="00E7466B" w:rsidRDefault="00E7466B" w:rsidP="00BB313D">
      <w:pPr>
        <w:widowControl w:val="0"/>
        <w:spacing w:after="200" w:line="276" w:lineRule="auto"/>
        <w:jc w:val="left"/>
        <w:rPr>
          <w:rFonts w:eastAsia="Times New Roman" w:cs="Arial"/>
          <w:szCs w:val="20"/>
          <w:lang w:val="es-ES_tradnl" w:eastAsia="es-ES"/>
        </w:rPr>
      </w:pPr>
      <w:r>
        <w:br w:type="page"/>
      </w:r>
    </w:p>
    <w:p w:rsidR="00E60057" w:rsidRDefault="00E60057" w:rsidP="00BB313D">
      <w:pPr>
        <w:pStyle w:val="ARIALNARROW"/>
        <w:widowControl w:val="0"/>
        <w:spacing w:line="360" w:lineRule="auto"/>
        <w:ind w:left="227"/>
      </w:pPr>
    </w:p>
    <w:p w:rsidR="00665097" w:rsidRDefault="00665097"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735FEC" w:rsidRDefault="00735FEC" w:rsidP="00735FEC">
      <w:pPr>
        <w:pStyle w:val="ARIALNARROW"/>
        <w:widowControl w:val="0"/>
        <w:spacing w:line="360" w:lineRule="auto"/>
        <w:ind w:left="227"/>
      </w:pPr>
    </w:p>
    <w:p w:rsidR="00A67658" w:rsidRDefault="00A67658" w:rsidP="00735FEC">
      <w:pPr>
        <w:pStyle w:val="ARIALNARROW"/>
        <w:widowControl w:val="0"/>
        <w:spacing w:line="360" w:lineRule="auto"/>
        <w:ind w:left="227"/>
      </w:pPr>
    </w:p>
    <w:p w:rsidR="00A67658" w:rsidRDefault="00A67658" w:rsidP="00735FEC">
      <w:pPr>
        <w:pStyle w:val="ARIALNARROW"/>
        <w:widowControl w:val="0"/>
        <w:spacing w:line="360" w:lineRule="auto"/>
        <w:ind w:left="227"/>
      </w:pPr>
    </w:p>
    <w:p w:rsidR="00735FEC" w:rsidRPr="00665097" w:rsidRDefault="00066A5D" w:rsidP="00735FEC">
      <w:pPr>
        <w:pStyle w:val="Ttulo1"/>
        <w:keepNext w:val="0"/>
        <w:pBdr>
          <w:bottom w:val="single" w:sz="4" w:space="1" w:color="BFBFBF" w:themeColor="background1" w:themeShade="BF"/>
        </w:pBdr>
        <w:jc w:val="center"/>
        <w:rPr>
          <w:sz w:val="32"/>
          <w:szCs w:val="32"/>
        </w:rPr>
      </w:pPr>
      <w:bookmarkStart w:id="2" w:name="_Toc450118891"/>
      <w:r>
        <w:rPr>
          <w:sz w:val="32"/>
          <w:szCs w:val="32"/>
        </w:rPr>
        <w:t>PRINCIPALES RESULTADOS</w:t>
      </w:r>
      <w:bookmarkEnd w:id="2"/>
    </w:p>
    <w:p w:rsidR="00735FEC" w:rsidRDefault="00735FEC" w:rsidP="00735FEC">
      <w:pPr>
        <w:pStyle w:val="ARIALNARROW"/>
        <w:widowControl w:val="0"/>
        <w:spacing w:line="360" w:lineRule="auto"/>
        <w:ind w:left="227"/>
        <w:jc w:val="center"/>
      </w:pPr>
    </w:p>
    <w:p w:rsidR="00735FEC" w:rsidRDefault="00735FEC" w:rsidP="00735FEC">
      <w:pPr>
        <w:pStyle w:val="ARIALNARROW"/>
        <w:widowControl w:val="0"/>
        <w:spacing w:line="360" w:lineRule="auto"/>
        <w:ind w:left="227"/>
      </w:pPr>
    </w:p>
    <w:p w:rsidR="00735FEC" w:rsidRDefault="00735FEC" w:rsidP="00735FEC">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735FEC" w:rsidRDefault="00735FEC">
      <w:pPr>
        <w:spacing w:after="200" w:line="276" w:lineRule="auto"/>
        <w:jc w:val="left"/>
        <w:rPr>
          <w:rFonts w:eastAsia="Times New Roman" w:cs="Arial"/>
          <w:szCs w:val="20"/>
          <w:lang w:val="es-ES_tradnl" w:eastAsia="es-ES"/>
        </w:rPr>
      </w:pPr>
      <w:r>
        <w:br w:type="page"/>
      </w:r>
    </w:p>
    <w:p w:rsidR="00FA5547" w:rsidRDefault="00FA5547">
      <w:pPr>
        <w:spacing w:after="200" w:line="276" w:lineRule="auto"/>
        <w:jc w:val="left"/>
        <w:rPr>
          <w:rFonts w:eastAsia="Times New Roman" w:cs="Times New Roman"/>
          <w:b/>
          <w:snapToGrid w:val="0"/>
          <w:sz w:val="28"/>
          <w:szCs w:val="28"/>
          <w:lang w:eastAsia="es-ES"/>
        </w:rPr>
      </w:pPr>
      <w:bookmarkStart w:id="3" w:name="_Toc391999490"/>
      <w:r>
        <w:rPr>
          <w:szCs w:val="28"/>
        </w:rPr>
        <w:lastRenderedPageBreak/>
        <w:br w:type="page"/>
      </w:r>
    </w:p>
    <w:p w:rsidR="004114B8" w:rsidRPr="00454F7B" w:rsidRDefault="004114B8" w:rsidP="0097064F">
      <w:pPr>
        <w:pStyle w:val="Ttulo1"/>
        <w:keepLines/>
        <w:widowControl/>
        <w:numPr>
          <w:ilvl w:val="0"/>
          <w:numId w:val="8"/>
        </w:numPr>
        <w:spacing w:before="480"/>
        <w:ind w:left="227" w:hanging="227"/>
        <w:rPr>
          <w:szCs w:val="28"/>
        </w:rPr>
      </w:pPr>
      <w:bookmarkStart w:id="4" w:name="_Toc450118892"/>
      <w:r w:rsidRPr="00454F7B">
        <w:rPr>
          <w:szCs w:val="28"/>
        </w:rPr>
        <w:lastRenderedPageBreak/>
        <w:t>LAS FORMAS CLÁ</w:t>
      </w:r>
      <w:r>
        <w:rPr>
          <w:szCs w:val="28"/>
        </w:rPr>
        <w:t>SICAS DE LA ECONOMÍA SOCIAL 2014</w:t>
      </w:r>
      <w:r w:rsidRPr="00454F7B">
        <w:rPr>
          <w:szCs w:val="28"/>
        </w:rPr>
        <w:t xml:space="preserve"> (FCES)</w:t>
      </w:r>
      <w:bookmarkEnd w:id="3"/>
      <w:bookmarkEnd w:id="4"/>
    </w:p>
    <w:p w:rsidR="004114B8" w:rsidRDefault="004114B8" w:rsidP="004114B8">
      <w:pPr>
        <w:rPr>
          <w:rFonts w:cs="Arial"/>
        </w:rPr>
      </w:pPr>
    </w:p>
    <w:p w:rsidR="00E85EB3" w:rsidRDefault="003B7A70" w:rsidP="00E85EB3">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sidRPr="003B7A70">
        <w:rPr>
          <w:rFonts w:eastAsia="Times New Roman" w:cs="Times New Roman"/>
          <w:b/>
          <w:snapToGrid w:val="0"/>
          <w:sz w:val="28"/>
          <w:szCs w:val="28"/>
          <w:lang w:eastAsia="es-ES"/>
        </w:rPr>
        <w:t xml:space="preserve">Entre </w:t>
      </w:r>
      <w:r>
        <w:rPr>
          <w:rFonts w:eastAsia="Times New Roman" w:cs="Times New Roman"/>
          <w:b/>
          <w:snapToGrid w:val="0"/>
          <w:sz w:val="28"/>
          <w:szCs w:val="28"/>
          <w:lang w:eastAsia="es-ES"/>
        </w:rPr>
        <w:t xml:space="preserve">2012 y 2014 </w:t>
      </w:r>
      <w:r w:rsidR="00412B97">
        <w:rPr>
          <w:rFonts w:eastAsia="Times New Roman" w:cs="Times New Roman"/>
          <w:b/>
          <w:snapToGrid w:val="0"/>
          <w:sz w:val="28"/>
          <w:szCs w:val="28"/>
          <w:lang w:eastAsia="es-ES"/>
        </w:rPr>
        <w:t>se prolonga</w:t>
      </w:r>
      <w:r w:rsidR="00E85EB3">
        <w:rPr>
          <w:rFonts w:eastAsia="Times New Roman" w:cs="Times New Roman"/>
          <w:b/>
          <w:snapToGrid w:val="0"/>
          <w:sz w:val="28"/>
          <w:szCs w:val="28"/>
          <w:lang w:eastAsia="es-ES"/>
        </w:rPr>
        <w:t xml:space="preserve"> la caída del empleo </w:t>
      </w:r>
      <w:r w:rsidR="002E2BB9">
        <w:rPr>
          <w:rFonts w:eastAsia="Times New Roman" w:cs="Times New Roman"/>
          <w:b/>
          <w:snapToGrid w:val="0"/>
          <w:sz w:val="28"/>
          <w:szCs w:val="28"/>
          <w:lang w:eastAsia="es-ES"/>
        </w:rPr>
        <w:t xml:space="preserve">en las FCES </w:t>
      </w:r>
      <w:r w:rsidR="00412B97">
        <w:rPr>
          <w:rFonts w:eastAsia="Times New Roman" w:cs="Times New Roman"/>
          <w:b/>
          <w:snapToGrid w:val="0"/>
          <w:sz w:val="28"/>
          <w:szCs w:val="28"/>
          <w:lang w:eastAsia="es-ES"/>
        </w:rPr>
        <w:t xml:space="preserve">de la Economía Social, </w:t>
      </w:r>
      <w:r w:rsidR="002E2BB9">
        <w:rPr>
          <w:rFonts w:eastAsia="Times New Roman" w:cs="Times New Roman"/>
          <w:b/>
          <w:snapToGrid w:val="0"/>
          <w:sz w:val="28"/>
          <w:szCs w:val="28"/>
          <w:lang w:eastAsia="es-ES"/>
        </w:rPr>
        <w:t xml:space="preserve">un </w:t>
      </w:r>
      <w:r w:rsidR="00412B97">
        <w:rPr>
          <w:rFonts w:eastAsia="Times New Roman" w:cs="Times New Roman"/>
          <w:b/>
          <w:snapToGrid w:val="0"/>
          <w:sz w:val="28"/>
          <w:szCs w:val="28"/>
          <w:lang w:eastAsia="es-ES"/>
        </w:rPr>
        <w:t xml:space="preserve">sector que pierde </w:t>
      </w:r>
      <w:r w:rsidR="00F21ED9">
        <w:rPr>
          <w:rFonts w:eastAsia="Times New Roman" w:cs="Times New Roman"/>
          <w:b/>
          <w:snapToGrid w:val="0"/>
          <w:sz w:val="28"/>
          <w:szCs w:val="28"/>
          <w:lang w:eastAsia="es-ES"/>
        </w:rPr>
        <w:t xml:space="preserve">peso </w:t>
      </w:r>
      <w:r w:rsidR="00412B97">
        <w:rPr>
          <w:rFonts w:eastAsia="Times New Roman" w:cs="Times New Roman"/>
          <w:b/>
          <w:snapToGrid w:val="0"/>
          <w:sz w:val="28"/>
          <w:szCs w:val="28"/>
          <w:lang w:eastAsia="es-ES"/>
        </w:rPr>
        <w:t>en</w:t>
      </w:r>
      <w:r w:rsidR="0058025B">
        <w:rPr>
          <w:rFonts w:eastAsia="Times New Roman" w:cs="Times New Roman"/>
          <w:b/>
          <w:snapToGrid w:val="0"/>
          <w:sz w:val="28"/>
          <w:szCs w:val="28"/>
          <w:lang w:eastAsia="es-ES"/>
        </w:rPr>
        <w:t xml:space="preserve"> la economía de la CAE</w:t>
      </w:r>
      <w:r w:rsidR="00412B97">
        <w:rPr>
          <w:rFonts w:eastAsia="Times New Roman" w:cs="Times New Roman"/>
          <w:b/>
          <w:snapToGrid w:val="0"/>
          <w:sz w:val="28"/>
          <w:szCs w:val="28"/>
          <w:lang w:eastAsia="es-ES"/>
        </w:rPr>
        <w:t>. Esta evolución se asocia a la dinámica d</w:t>
      </w:r>
      <w:r w:rsidR="00E85EB3">
        <w:rPr>
          <w:rFonts w:eastAsia="Times New Roman" w:cs="Times New Roman"/>
          <w:b/>
          <w:snapToGrid w:val="0"/>
          <w:sz w:val="28"/>
          <w:szCs w:val="28"/>
          <w:lang w:eastAsia="es-ES"/>
        </w:rPr>
        <w:t>el empleo industrial</w:t>
      </w:r>
      <w:r w:rsidR="0058025B">
        <w:rPr>
          <w:rFonts w:eastAsia="Times New Roman" w:cs="Times New Roman"/>
          <w:b/>
          <w:snapToGrid w:val="0"/>
          <w:sz w:val="28"/>
          <w:szCs w:val="28"/>
          <w:lang w:eastAsia="es-ES"/>
        </w:rPr>
        <w:t>.</w:t>
      </w:r>
    </w:p>
    <w:p w:rsidR="003B7A70" w:rsidRDefault="003B7A70" w:rsidP="004114B8">
      <w:pPr>
        <w:rPr>
          <w:rFonts w:cs="Arial"/>
        </w:rPr>
      </w:pPr>
    </w:p>
    <w:p w:rsidR="00E85EB3" w:rsidRDefault="00E85EB3" w:rsidP="00BD60C8">
      <w:pPr>
        <w:pStyle w:val="ARIALNARROW"/>
        <w:spacing w:line="360" w:lineRule="auto"/>
        <w:rPr>
          <w:b/>
        </w:rPr>
      </w:pPr>
      <w:r>
        <w:rPr>
          <w:b/>
        </w:rPr>
        <w:t>E</w:t>
      </w:r>
      <w:r w:rsidR="002E2BB9">
        <w:rPr>
          <w:b/>
        </w:rPr>
        <w:t>ntre 2012 y 2014, e</w:t>
      </w:r>
      <w:r>
        <w:rPr>
          <w:b/>
        </w:rPr>
        <w:t>l empleo generado por las Cooperativas y Socie</w:t>
      </w:r>
      <w:r w:rsidR="00786C10">
        <w:rPr>
          <w:b/>
        </w:rPr>
        <w:t>dades Laborales de la Economía S</w:t>
      </w:r>
      <w:r w:rsidR="004114B8">
        <w:rPr>
          <w:b/>
        </w:rPr>
        <w:t>ocial</w:t>
      </w:r>
      <w:r w:rsidR="002E2BB9">
        <w:rPr>
          <w:b/>
        </w:rPr>
        <w:t xml:space="preserve"> </w:t>
      </w:r>
      <w:r>
        <w:rPr>
          <w:b/>
        </w:rPr>
        <w:t>continúa la</w:t>
      </w:r>
      <w:r w:rsidR="004114B8">
        <w:rPr>
          <w:b/>
        </w:rPr>
        <w:t xml:space="preserve"> senda decreciente abierta</w:t>
      </w:r>
      <w:r w:rsidR="00F1749A">
        <w:rPr>
          <w:b/>
        </w:rPr>
        <w:t xml:space="preserve"> en 2008</w:t>
      </w:r>
      <w:r>
        <w:rPr>
          <w:b/>
        </w:rPr>
        <w:t>.</w:t>
      </w:r>
      <w:r w:rsidR="002E2BB9">
        <w:rPr>
          <w:b/>
        </w:rPr>
        <w:t xml:space="preserve"> El </w:t>
      </w:r>
      <w:r w:rsidR="00153F75">
        <w:rPr>
          <w:b/>
        </w:rPr>
        <w:t xml:space="preserve">ritmo de caída </w:t>
      </w:r>
      <w:r w:rsidR="002E2BB9">
        <w:rPr>
          <w:b/>
        </w:rPr>
        <w:t>del empleo se reduce sin embargo</w:t>
      </w:r>
      <w:r w:rsidR="006D4B9A">
        <w:rPr>
          <w:b/>
        </w:rPr>
        <w:t xml:space="preserve"> en los últimos dos años</w:t>
      </w:r>
      <w:r>
        <w:rPr>
          <w:b/>
        </w:rPr>
        <w:t>.</w:t>
      </w:r>
    </w:p>
    <w:p w:rsidR="00E85EB3" w:rsidRPr="00DE01F8" w:rsidRDefault="00E85EB3" w:rsidP="00E85EB3">
      <w:pPr>
        <w:pStyle w:val="ARIALNARROW"/>
        <w:spacing w:line="360" w:lineRule="auto"/>
        <w:ind w:left="709" w:hanging="283"/>
        <w:rPr>
          <w:i/>
        </w:rPr>
      </w:pPr>
    </w:p>
    <w:p w:rsidR="00FD43F8" w:rsidRDefault="004114B8" w:rsidP="00FD43F8">
      <w:pPr>
        <w:pStyle w:val="ARIALNARROW"/>
        <w:spacing w:line="360" w:lineRule="auto"/>
      </w:pPr>
      <w:r w:rsidRPr="00DE01F8">
        <w:t>E</w:t>
      </w:r>
      <w:r>
        <w:t xml:space="preserve">n </w:t>
      </w:r>
      <w:r w:rsidR="00FD43F8">
        <w:t>2014</w:t>
      </w:r>
      <w:r>
        <w:t xml:space="preserve">, </w:t>
      </w:r>
      <w:r w:rsidR="00C3320A">
        <w:t>los puestos de trabajo</w:t>
      </w:r>
      <w:r w:rsidR="00FD43F8">
        <w:t xml:space="preserve"> generado</w:t>
      </w:r>
      <w:r w:rsidR="00840A4C">
        <w:t>s</w:t>
      </w:r>
      <w:r w:rsidR="00FD43F8">
        <w:t xml:space="preserve"> por las Formas Clásicas de la Economía Social se sitúa</w:t>
      </w:r>
      <w:r w:rsidR="00C3320A">
        <w:t>n</w:t>
      </w:r>
      <w:r w:rsidR="00FD43F8">
        <w:t xml:space="preserve"> en 54.582 empleos. Se mantiene así la línea de caída continuada que se inicia a partir de mediados de la pasada década. El nivel de empleo de 2014 se aleja del máximo registrado en 2006, año en el que la Economía Social </w:t>
      </w:r>
      <w:r w:rsidR="00C3320A">
        <w:t xml:space="preserve">empleaba </w:t>
      </w:r>
      <w:r w:rsidR="00FD43F8">
        <w:t>a un total de 63.480 personas.</w:t>
      </w:r>
    </w:p>
    <w:p w:rsidR="00C3320A" w:rsidRDefault="00C3320A" w:rsidP="00FD43F8">
      <w:pPr>
        <w:pStyle w:val="ARIALNARROW"/>
        <w:spacing w:line="360" w:lineRule="auto"/>
      </w:pPr>
    </w:p>
    <w:p w:rsidR="004114B8" w:rsidRPr="00DE01F8" w:rsidRDefault="00E85EB3" w:rsidP="004114B8">
      <w:pPr>
        <w:spacing w:line="240" w:lineRule="auto"/>
        <w:jc w:val="center"/>
        <w:rPr>
          <w:rFonts w:cs="Arial"/>
          <w:b/>
          <w:color w:val="1F497D" w:themeColor="text2"/>
          <w:sz w:val="18"/>
          <w:szCs w:val="18"/>
        </w:rPr>
      </w:pPr>
      <w:r>
        <w:rPr>
          <w:rFonts w:cs="Arial"/>
          <w:b/>
          <w:noProof/>
          <w:color w:val="1F497D" w:themeColor="text2"/>
          <w:sz w:val="18"/>
          <w:szCs w:val="18"/>
          <w:lang w:eastAsia="es-ES"/>
        </w:rPr>
        <w:drawing>
          <wp:anchor distT="0" distB="0" distL="114300" distR="114300" simplePos="0" relativeHeight="251797504" behindDoc="0" locked="0" layoutInCell="1" allowOverlap="1">
            <wp:simplePos x="0" y="0"/>
            <wp:positionH relativeFrom="column">
              <wp:posOffset>51214</wp:posOffset>
            </wp:positionH>
            <wp:positionV relativeFrom="paragraph">
              <wp:posOffset>27024</wp:posOffset>
            </wp:positionV>
            <wp:extent cx="5380074" cy="1828800"/>
            <wp:effectExtent l="0" t="0" r="0" b="0"/>
            <wp:wrapNone/>
            <wp:docPr id="5"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4114B8" w:rsidRPr="00DE01F8">
        <w:rPr>
          <w:rFonts w:cs="Arial"/>
          <w:b/>
          <w:color w:val="1F497D" w:themeColor="text2"/>
          <w:sz w:val="18"/>
          <w:szCs w:val="18"/>
        </w:rPr>
        <w:t>EVOLUCIÓN</w:t>
      </w:r>
      <w:r w:rsidR="004114B8" w:rsidRPr="00DE01F8">
        <w:rPr>
          <w:rFonts w:eastAsia="Arial" w:cs="Arial"/>
          <w:b/>
          <w:color w:val="1F497D" w:themeColor="text2"/>
          <w:sz w:val="18"/>
          <w:szCs w:val="18"/>
        </w:rPr>
        <w:t xml:space="preserve"> </w:t>
      </w:r>
      <w:r w:rsidR="004114B8" w:rsidRPr="00DE01F8">
        <w:rPr>
          <w:rFonts w:cs="Arial"/>
          <w:b/>
          <w:color w:val="1F497D" w:themeColor="text2"/>
          <w:sz w:val="18"/>
          <w:szCs w:val="18"/>
        </w:rPr>
        <w:t>DEL</w:t>
      </w:r>
      <w:r w:rsidR="004114B8" w:rsidRPr="00DE01F8">
        <w:rPr>
          <w:rFonts w:eastAsia="Arial" w:cs="Arial"/>
          <w:b/>
          <w:color w:val="1F497D" w:themeColor="text2"/>
          <w:sz w:val="18"/>
          <w:szCs w:val="18"/>
        </w:rPr>
        <w:t xml:space="preserve"> </w:t>
      </w:r>
      <w:r w:rsidR="004114B8" w:rsidRPr="00DE01F8">
        <w:rPr>
          <w:rFonts w:cs="Arial"/>
          <w:b/>
          <w:color w:val="1F497D" w:themeColor="text2"/>
          <w:sz w:val="18"/>
          <w:szCs w:val="18"/>
        </w:rPr>
        <w:t>EMPLEO</w:t>
      </w:r>
      <w:r w:rsidR="004114B8" w:rsidRPr="00DE01F8">
        <w:rPr>
          <w:rFonts w:eastAsia="Arial" w:cs="Arial"/>
          <w:b/>
          <w:color w:val="1F497D" w:themeColor="text2"/>
          <w:sz w:val="18"/>
          <w:szCs w:val="18"/>
        </w:rPr>
        <w:t xml:space="preserve"> </w:t>
      </w:r>
      <w:r w:rsidR="004114B8" w:rsidRPr="00DE01F8">
        <w:rPr>
          <w:rFonts w:cs="Arial"/>
          <w:b/>
          <w:color w:val="1F497D" w:themeColor="text2"/>
          <w:sz w:val="18"/>
          <w:szCs w:val="18"/>
        </w:rPr>
        <w:t>EN</w:t>
      </w:r>
      <w:r w:rsidR="004114B8" w:rsidRPr="00DE01F8">
        <w:rPr>
          <w:rFonts w:eastAsia="Arial" w:cs="Arial"/>
          <w:b/>
          <w:color w:val="1F497D" w:themeColor="text2"/>
          <w:sz w:val="18"/>
          <w:szCs w:val="18"/>
        </w:rPr>
        <w:t xml:space="preserve"> </w:t>
      </w:r>
      <w:r w:rsidR="004114B8" w:rsidRPr="00DE01F8">
        <w:rPr>
          <w:rFonts w:cs="Arial"/>
          <w:b/>
          <w:color w:val="1F497D" w:themeColor="text2"/>
          <w:sz w:val="18"/>
          <w:szCs w:val="18"/>
        </w:rPr>
        <w:t>LA</w:t>
      </w:r>
      <w:r w:rsidR="004114B8" w:rsidRPr="00DE01F8">
        <w:rPr>
          <w:rFonts w:eastAsia="Arial" w:cs="Arial"/>
          <w:b/>
          <w:color w:val="1F497D" w:themeColor="text2"/>
          <w:sz w:val="18"/>
          <w:szCs w:val="18"/>
        </w:rPr>
        <w:t xml:space="preserve"> </w:t>
      </w:r>
      <w:r w:rsidR="004114B8" w:rsidRPr="00DE01F8">
        <w:rPr>
          <w:rFonts w:cs="Arial"/>
          <w:b/>
          <w:color w:val="1F497D" w:themeColor="text2"/>
          <w:sz w:val="18"/>
          <w:szCs w:val="18"/>
        </w:rPr>
        <w:t>ECONOMÍA</w:t>
      </w:r>
      <w:r w:rsidR="004114B8" w:rsidRPr="00DE01F8">
        <w:rPr>
          <w:rFonts w:eastAsia="Arial" w:cs="Arial"/>
          <w:b/>
          <w:color w:val="1F497D" w:themeColor="text2"/>
          <w:sz w:val="18"/>
          <w:szCs w:val="18"/>
        </w:rPr>
        <w:t xml:space="preserve"> </w:t>
      </w:r>
      <w:r w:rsidR="004114B8" w:rsidRPr="00DE01F8">
        <w:rPr>
          <w:rFonts w:cs="Arial"/>
          <w:b/>
          <w:color w:val="1F497D" w:themeColor="text2"/>
          <w:sz w:val="18"/>
          <w:szCs w:val="18"/>
        </w:rPr>
        <w:t>SOCIAL</w:t>
      </w:r>
      <w:r w:rsidR="004114B8" w:rsidRPr="00DE01F8">
        <w:rPr>
          <w:rFonts w:eastAsia="Arial" w:cs="Arial"/>
          <w:b/>
          <w:color w:val="1F497D" w:themeColor="text2"/>
          <w:sz w:val="18"/>
          <w:szCs w:val="18"/>
        </w:rPr>
        <w:t xml:space="preserve"> DE LA CAE </w:t>
      </w:r>
      <w:r w:rsidR="004114B8">
        <w:rPr>
          <w:rFonts w:cs="Arial"/>
          <w:b/>
          <w:color w:val="1F497D" w:themeColor="text2"/>
          <w:sz w:val="18"/>
          <w:szCs w:val="18"/>
        </w:rPr>
        <w:t>1994-2014</w:t>
      </w:r>
    </w:p>
    <w:p w:rsidR="004114B8" w:rsidRPr="00DE01F8" w:rsidRDefault="004114B8" w:rsidP="00E85EB3">
      <w:pPr>
        <w:rPr>
          <w:rFonts w:cs="Arial"/>
          <w:szCs w:val="20"/>
        </w:rPr>
      </w:pPr>
    </w:p>
    <w:p w:rsidR="004114B8" w:rsidRDefault="004114B8" w:rsidP="004114B8">
      <w:pPr>
        <w:spacing w:line="312" w:lineRule="auto"/>
        <w:rPr>
          <w:rFonts w:cs="Arial"/>
          <w:szCs w:val="20"/>
        </w:rPr>
      </w:pPr>
    </w:p>
    <w:p w:rsidR="004114B8" w:rsidRDefault="004114B8" w:rsidP="004114B8">
      <w:pPr>
        <w:spacing w:line="312" w:lineRule="auto"/>
        <w:rPr>
          <w:rFonts w:cs="Arial"/>
          <w:szCs w:val="20"/>
        </w:rPr>
      </w:pPr>
    </w:p>
    <w:p w:rsidR="004114B8" w:rsidRDefault="004114B8" w:rsidP="004114B8">
      <w:pPr>
        <w:spacing w:line="312" w:lineRule="auto"/>
        <w:rPr>
          <w:rFonts w:cs="Arial"/>
          <w:szCs w:val="20"/>
        </w:rPr>
      </w:pPr>
    </w:p>
    <w:p w:rsidR="004114B8" w:rsidRDefault="004114B8" w:rsidP="004114B8">
      <w:pPr>
        <w:spacing w:line="312" w:lineRule="auto"/>
        <w:rPr>
          <w:rFonts w:cs="Arial"/>
          <w:szCs w:val="20"/>
        </w:rPr>
      </w:pPr>
    </w:p>
    <w:p w:rsidR="004114B8" w:rsidRPr="00DE01F8" w:rsidRDefault="004114B8" w:rsidP="004114B8">
      <w:pPr>
        <w:spacing w:line="312" w:lineRule="auto"/>
        <w:rPr>
          <w:rFonts w:cs="Arial"/>
          <w:szCs w:val="20"/>
        </w:rPr>
      </w:pPr>
    </w:p>
    <w:p w:rsidR="004114B8" w:rsidRDefault="004114B8" w:rsidP="004114B8">
      <w:pPr>
        <w:jc w:val="left"/>
        <w:rPr>
          <w:rFonts w:cs="Arial"/>
          <w:szCs w:val="20"/>
        </w:rPr>
      </w:pPr>
    </w:p>
    <w:p w:rsidR="00502A2C" w:rsidRDefault="00502A2C" w:rsidP="004114B8">
      <w:pPr>
        <w:jc w:val="left"/>
        <w:rPr>
          <w:rFonts w:cs="Arial"/>
          <w:szCs w:val="20"/>
        </w:rPr>
      </w:pPr>
    </w:p>
    <w:p w:rsidR="00E85EB3" w:rsidRDefault="00E85EB3" w:rsidP="004114B8">
      <w:pPr>
        <w:jc w:val="left"/>
        <w:rPr>
          <w:rFonts w:cs="Arial"/>
          <w:szCs w:val="20"/>
        </w:rPr>
      </w:pPr>
    </w:p>
    <w:p w:rsidR="00C3320A" w:rsidRDefault="00C3320A" w:rsidP="004114B8">
      <w:pPr>
        <w:jc w:val="left"/>
        <w:rPr>
          <w:rFonts w:cs="Arial"/>
          <w:szCs w:val="20"/>
        </w:rPr>
      </w:pPr>
    </w:p>
    <w:p w:rsidR="00C3320A" w:rsidRDefault="00C3320A" w:rsidP="00C3320A">
      <w:pPr>
        <w:pStyle w:val="ARIALNARROW"/>
        <w:spacing w:line="360" w:lineRule="auto"/>
      </w:pPr>
      <w:r>
        <w:t>La línea de descenso del empleo de los últimos años se ve sin embargo algo matizada por una reducción en los ritmos de caída. Entre 2012 y 2104, el empleo de las FCES se contrae en un 2,2%, rompiendo con ello la línea de deterioro acelerado del periodo 2006-2012. Así, d</w:t>
      </w:r>
      <w:r w:rsidRPr="00DE01F8">
        <w:t xml:space="preserve">espués de una </w:t>
      </w:r>
      <w:r>
        <w:t>caída</w:t>
      </w:r>
      <w:r w:rsidRPr="00DE01F8">
        <w:t xml:space="preserve"> del 1,4% entre 2006 y 2008, el empleo se reduc</w:t>
      </w:r>
      <w:r>
        <w:t>ía</w:t>
      </w:r>
      <w:r w:rsidRPr="00DE01F8">
        <w:t xml:space="preserve"> en un 4,3% entre 2008 y 2010</w:t>
      </w:r>
      <w:r>
        <w:t>,</w:t>
      </w:r>
      <w:r w:rsidRPr="00DE01F8">
        <w:t xml:space="preserve"> y en un 6,9% entre 2010 y 2012</w:t>
      </w:r>
      <w:r w:rsidRPr="00DE01F8">
        <w:rPr>
          <w:rStyle w:val="Refdenotaalpie"/>
        </w:rPr>
        <w:footnoteReference w:id="3"/>
      </w:r>
      <w:r w:rsidRPr="00DE01F8">
        <w:t>.</w:t>
      </w:r>
      <w:r>
        <w:t xml:space="preserve"> </w:t>
      </w:r>
    </w:p>
    <w:p w:rsidR="00C3320A" w:rsidRDefault="00C3320A" w:rsidP="00C3320A">
      <w:pPr>
        <w:pStyle w:val="ARIALNARROW"/>
        <w:spacing w:line="360" w:lineRule="auto"/>
      </w:pPr>
    </w:p>
    <w:p w:rsidR="00C3320A" w:rsidRPr="00DE01F8" w:rsidRDefault="00C3320A" w:rsidP="00C3320A">
      <w:pPr>
        <w:pStyle w:val="ARIALNARROW"/>
        <w:spacing w:line="360" w:lineRule="auto"/>
      </w:pPr>
      <w:r w:rsidRPr="00DE01F8">
        <w:t xml:space="preserve">En conjunto, el sector pierde un </w:t>
      </w:r>
      <w:r>
        <w:t>14% de su empleo entre 2006 y 2014</w:t>
      </w:r>
      <w:r w:rsidRPr="00DE01F8">
        <w:t xml:space="preserve">, </w:t>
      </w:r>
      <w:r>
        <w:t xml:space="preserve">con cifras de empleo en 2014 </w:t>
      </w:r>
      <w:r w:rsidRPr="00DE01F8">
        <w:t xml:space="preserve">apenas </w:t>
      </w:r>
      <w:r>
        <w:t>un 0,6%</w:t>
      </w:r>
      <w:r w:rsidRPr="00DE01F8">
        <w:t xml:space="preserve"> </w:t>
      </w:r>
      <w:proofErr w:type="gramStart"/>
      <w:r w:rsidRPr="00DE01F8">
        <w:t>superiores</w:t>
      </w:r>
      <w:proofErr w:type="gramEnd"/>
      <w:r w:rsidRPr="00DE01F8">
        <w:t xml:space="preserve"> a los 54.259 empleos del año 2000. En los últimos años</w:t>
      </w:r>
      <w:r>
        <w:t>,</w:t>
      </w:r>
      <w:r w:rsidRPr="00DE01F8">
        <w:t xml:space="preserve"> se </w:t>
      </w:r>
      <w:r>
        <w:t>anula</w:t>
      </w:r>
      <w:r w:rsidRPr="00DE01F8">
        <w:t xml:space="preserve"> </w:t>
      </w:r>
      <w:r>
        <w:t>por tanto gran parte d</w:t>
      </w:r>
      <w:r w:rsidRPr="00DE01F8">
        <w:t xml:space="preserve">el suplemento neto de empleo generado </w:t>
      </w:r>
      <w:r>
        <w:t xml:space="preserve">en el periodo de bonanza </w:t>
      </w:r>
      <w:r>
        <w:lastRenderedPageBreak/>
        <w:t>económica</w:t>
      </w:r>
      <w:r w:rsidRPr="00DE01F8">
        <w:t xml:space="preserve">. </w:t>
      </w:r>
      <w:r>
        <w:t>Entre 2006 y 2014</w:t>
      </w:r>
      <w:r w:rsidRPr="00DE01F8">
        <w:t xml:space="preserve">, la magnitud del empleo neto destruido –o trasladado hacia formas societarias mercantiles- alcanza un total de </w:t>
      </w:r>
      <w:r>
        <w:t>8.898</w:t>
      </w:r>
      <w:r w:rsidRPr="00DE01F8">
        <w:t xml:space="preserve"> </w:t>
      </w:r>
      <w:r w:rsidRPr="00B57CC7">
        <w:t xml:space="preserve">empleos, lo que supone un </w:t>
      </w:r>
      <w:r w:rsidR="001133D2">
        <w:t>41,2</w:t>
      </w:r>
      <w:r w:rsidRPr="00B57CC7">
        <w:t>% de los</w:t>
      </w:r>
      <w:r w:rsidRPr="00DE01F8">
        <w:t xml:space="preserve"> empleos netos generados</w:t>
      </w:r>
      <w:r>
        <w:t xml:space="preserve"> por la</w:t>
      </w:r>
      <w:r w:rsidR="00145900">
        <w:t>s</w:t>
      </w:r>
      <w:r>
        <w:t xml:space="preserve"> </w:t>
      </w:r>
      <w:r w:rsidR="001133D2">
        <w:t>FCES</w:t>
      </w:r>
      <w:r w:rsidRPr="00DE01F8">
        <w:t xml:space="preserve"> en</w:t>
      </w:r>
      <w:r w:rsidR="001133D2">
        <w:t xml:space="preserve"> el periodo de bonanza 1994-</w:t>
      </w:r>
      <w:r w:rsidRPr="00DE01F8">
        <w:t>2006</w:t>
      </w:r>
      <w:r w:rsidR="001133D2">
        <w:t xml:space="preserve"> (96,5% de los generados entre 2000 y 2006)</w:t>
      </w:r>
      <w:r w:rsidRPr="00DE01F8">
        <w:t>.</w:t>
      </w:r>
    </w:p>
    <w:p w:rsidR="00C3320A" w:rsidRDefault="00C3320A" w:rsidP="00C3320A">
      <w:pPr>
        <w:ind w:left="426" w:hanging="426"/>
        <w:rPr>
          <w:rFonts w:cs="Arial"/>
          <w:lang w:val="es-ES_tradnl"/>
        </w:rPr>
      </w:pPr>
    </w:p>
    <w:p w:rsidR="00153F75" w:rsidRDefault="00153F75" w:rsidP="00BD60C8">
      <w:pPr>
        <w:pStyle w:val="ARIALNARROW"/>
        <w:spacing w:line="360" w:lineRule="auto"/>
        <w:rPr>
          <w:b/>
        </w:rPr>
      </w:pPr>
      <w:r>
        <w:rPr>
          <w:b/>
        </w:rPr>
        <w:t>La reducción</w:t>
      </w:r>
      <w:r w:rsidR="004114B8">
        <w:rPr>
          <w:b/>
        </w:rPr>
        <w:t xml:space="preserve"> en el empleo global de la</w:t>
      </w:r>
      <w:r w:rsidR="00145900">
        <w:rPr>
          <w:b/>
        </w:rPr>
        <w:t>s</w:t>
      </w:r>
      <w:r w:rsidR="004114B8">
        <w:rPr>
          <w:b/>
        </w:rPr>
        <w:t xml:space="preserve"> </w:t>
      </w:r>
      <w:r w:rsidR="00145900">
        <w:rPr>
          <w:b/>
        </w:rPr>
        <w:t>FCES</w:t>
      </w:r>
      <w:r w:rsidR="001D1EE0">
        <w:rPr>
          <w:b/>
        </w:rPr>
        <w:t xml:space="preserve"> </w:t>
      </w:r>
      <w:r w:rsidR="00145900">
        <w:rPr>
          <w:b/>
        </w:rPr>
        <w:t>se asocia en gran medida</w:t>
      </w:r>
      <w:r w:rsidR="004114B8">
        <w:rPr>
          <w:b/>
        </w:rPr>
        <w:t xml:space="preserve"> </w:t>
      </w:r>
      <w:r>
        <w:rPr>
          <w:b/>
        </w:rPr>
        <w:t>a la liquidación</w:t>
      </w:r>
      <w:r w:rsidR="004114B8">
        <w:rPr>
          <w:b/>
        </w:rPr>
        <w:t xml:space="preserve"> </w:t>
      </w:r>
      <w:r w:rsidR="0064338C">
        <w:rPr>
          <w:b/>
        </w:rPr>
        <w:t xml:space="preserve">empresarial de </w:t>
      </w:r>
      <w:r w:rsidR="004114B8">
        <w:rPr>
          <w:b/>
        </w:rPr>
        <w:t>una enseña del ámbito cooperativo</w:t>
      </w:r>
      <w:r w:rsidR="003B7A70">
        <w:rPr>
          <w:b/>
        </w:rPr>
        <w:t xml:space="preserve"> y </w:t>
      </w:r>
      <w:r>
        <w:rPr>
          <w:b/>
        </w:rPr>
        <w:t>a cierres también significativos</w:t>
      </w:r>
      <w:r w:rsidR="001535FE">
        <w:rPr>
          <w:b/>
        </w:rPr>
        <w:t xml:space="preserve"> </w:t>
      </w:r>
      <w:r w:rsidR="00145900">
        <w:rPr>
          <w:b/>
        </w:rPr>
        <w:t>en algunas</w:t>
      </w:r>
      <w:r w:rsidR="001535FE">
        <w:rPr>
          <w:b/>
        </w:rPr>
        <w:t xml:space="preserve"> </w:t>
      </w:r>
      <w:proofErr w:type="spellStart"/>
      <w:r w:rsidR="001535FE">
        <w:rPr>
          <w:b/>
        </w:rPr>
        <w:t>SALes</w:t>
      </w:r>
      <w:proofErr w:type="spellEnd"/>
      <w:r w:rsidR="00145900">
        <w:rPr>
          <w:b/>
        </w:rPr>
        <w:t>.</w:t>
      </w:r>
    </w:p>
    <w:p w:rsidR="004114B8" w:rsidRDefault="004114B8" w:rsidP="000D3619">
      <w:pPr>
        <w:pStyle w:val="ARIALNARROW"/>
        <w:spacing w:line="360" w:lineRule="auto"/>
      </w:pPr>
    </w:p>
    <w:p w:rsidR="000D3619" w:rsidRDefault="004D2721" w:rsidP="00BD60C8">
      <w:pPr>
        <w:pStyle w:val="ARIALNARROW"/>
        <w:spacing w:line="360" w:lineRule="auto"/>
      </w:pPr>
      <w:r>
        <w:t>L</w:t>
      </w:r>
      <w:r w:rsidR="004114B8">
        <w:t xml:space="preserve">a tendencia decreciente </w:t>
      </w:r>
      <w:r>
        <w:t xml:space="preserve">del empleo </w:t>
      </w:r>
      <w:r w:rsidR="004114B8">
        <w:t>viene sectorial y territorialmente marcada por la liquidación de una enseña cooperativa industrial guipuzcoana a lo largo del ejercicio 2014</w:t>
      </w:r>
      <w:r w:rsidR="006605C6">
        <w:rPr>
          <w:rStyle w:val="Refdenotaalpie"/>
          <w:b/>
        </w:rPr>
        <w:footnoteReference w:id="4"/>
      </w:r>
      <w:r>
        <w:t xml:space="preserve">. Descontado este efecto, </w:t>
      </w:r>
      <w:r w:rsidR="004114B8">
        <w:t>el nivel de empleo</w:t>
      </w:r>
      <w:r w:rsidR="003F3BBB">
        <w:t xml:space="preserve"> global</w:t>
      </w:r>
      <w:r w:rsidR="004114B8">
        <w:t xml:space="preserve"> representado por la Economía Social hubiera </w:t>
      </w:r>
      <w:r>
        <w:t xml:space="preserve">podido introducirse </w:t>
      </w:r>
      <w:r w:rsidR="004114B8">
        <w:t xml:space="preserve">en cifras positivas y </w:t>
      </w:r>
      <w:r>
        <w:t>situarse en</w:t>
      </w:r>
      <w:r w:rsidR="004114B8">
        <w:t xml:space="preserve"> un crecimiento </w:t>
      </w:r>
      <w:r>
        <w:t xml:space="preserve">cercano al </w:t>
      </w:r>
      <w:r w:rsidR="004114B8">
        <w:t>1%</w:t>
      </w:r>
      <w:r>
        <w:t>. Este nivel habría contrastado</w:t>
      </w:r>
      <w:r w:rsidR="00CD3139">
        <w:t xml:space="preserve"> en positivo con la ligera tasa de decrecimiento registrada entre la pobl</w:t>
      </w:r>
      <w:r w:rsidR="0000303C">
        <w:t xml:space="preserve">ación ocupada de la </w:t>
      </w:r>
      <w:r w:rsidR="00331C46">
        <w:t>Comunidad Autónoma de Euskadi (</w:t>
      </w:r>
      <w:r w:rsidR="0000303C">
        <w:t>CAE</w:t>
      </w:r>
      <w:r w:rsidR="00331C46">
        <w:t>)</w:t>
      </w:r>
      <w:r w:rsidR="0000303C">
        <w:t xml:space="preserve"> entre los año</w:t>
      </w:r>
      <w:r>
        <w:t>s 2012 y 2014 (-0,7%).</w:t>
      </w:r>
      <w:r w:rsidR="000D3619">
        <w:t xml:space="preserve"> </w:t>
      </w:r>
    </w:p>
    <w:p w:rsidR="000D3619" w:rsidRDefault="000D3619" w:rsidP="00BD60C8">
      <w:pPr>
        <w:pStyle w:val="ARIALNARROW"/>
        <w:spacing w:line="360" w:lineRule="auto"/>
      </w:pPr>
    </w:p>
    <w:p w:rsidR="004114B8" w:rsidRDefault="000D3619" w:rsidP="00BD60C8">
      <w:pPr>
        <w:pStyle w:val="ARIALNARROW"/>
        <w:spacing w:line="360" w:lineRule="auto"/>
      </w:pPr>
      <w:r>
        <w:t xml:space="preserve">Como se señala con posterioridad, la evolución de </w:t>
      </w:r>
      <w:proofErr w:type="spellStart"/>
      <w:r>
        <w:t>Fagor</w:t>
      </w:r>
      <w:proofErr w:type="spellEnd"/>
      <w:r>
        <w:t xml:space="preserve"> Electrodomésticos refleja un problema más amplio en el contexto de las FCES, asociado a la pérdida de vigor del empleo industrial</w:t>
      </w:r>
      <w:r w:rsidR="00A677D4">
        <w:t xml:space="preserve">. </w:t>
      </w:r>
      <w:r w:rsidR="00C1578D">
        <w:t>En e</w:t>
      </w:r>
      <w:r w:rsidR="00A677D4">
        <w:t xml:space="preserve">sta dinámica </w:t>
      </w:r>
      <w:r w:rsidR="00C1578D">
        <w:t>se producen</w:t>
      </w:r>
      <w:r w:rsidR="00A677D4">
        <w:t xml:space="preserve"> </w:t>
      </w:r>
      <w:r w:rsidR="00A677D4" w:rsidRPr="0016025D">
        <w:t xml:space="preserve">otros cierres y/o procesos de reducción de plantillas en el ámbito industrial de </w:t>
      </w:r>
      <w:r w:rsidR="00A677D4">
        <w:t xml:space="preserve">la Economía Social </w:t>
      </w:r>
      <w:r>
        <w:t xml:space="preserve">por lo que, en general, la línea descendente general refleja una </w:t>
      </w:r>
      <w:r w:rsidR="00C1578D">
        <w:t>evolución</w:t>
      </w:r>
      <w:r>
        <w:t xml:space="preserve"> todavía claramente negativa del empleo </w:t>
      </w:r>
      <w:r w:rsidR="00A677D4">
        <w:t>en las FCES</w:t>
      </w:r>
      <w:r>
        <w:t>.</w:t>
      </w:r>
    </w:p>
    <w:p w:rsidR="00DB1BF6" w:rsidRDefault="00DB1BF6" w:rsidP="004114B8">
      <w:pPr>
        <w:ind w:left="426" w:hanging="426"/>
        <w:rPr>
          <w:rFonts w:cs="Arial"/>
          <w:lang w:val="es-ES_tradnl"/>
        </w:rPr>
      </w:pPr>
    </w:p>
    <w:p w:rsidR="00B91998" w:rsidRPr="00B91998" w:rsidRDefault="00B91998" w:rsidP="00B91998">
      <w:pPr>
        <w:rPr>
          <w:rFonts w:cs="Arial"/>
          <w:b/>
          <w:lang w:val="es-ES_tradnl"/>
        </w:rPr>
      </w:pPr>
      <w:r w:rsidRPr="00B91998">
        <w:rPr>
          <w:b/>
        </w:rPr>
        <w:t>Estas tendencias llevan a que la</w:t>
      </w:r>
      <w:r w:rsidR="00743ABE">
        <w:rPr>
          <w:b/>
        </w:rPr>
        <w:t>s Formas Clásicas de la</w:t>
      </w:r>
      <w:r w:rsidRPr="00B91998">
        <w:rPr>
          <w:b/>
        </w:rPr>
        <w:t xml:space="preserve"> Economía Social siga</w:t>
      </w:r>
      <w:r w:rsidR="00F01DDE">
        <w:rPr>
          <w:b/>
        </w:rPr>
        <w:t>n</w:t>
      </w:r>
      <w:r w:rsidRPr="00B91998">
        <w:rPr>
          <w:b/>
        </w:rPr>
        <w:t xml:space="preserve"> perdiendo peso en el conjunto de la economía vasca</w:t>
      </w:r>
      <w:r w:rsidR="00176631">
        <w:rPr>
          <w:b/>
        </w:rPr>
        <w:t>.</w:t>
      </w:r>
    </w:p>
    <w:p w:rsidR="004114B8" w:rsidRDefault="004114B8" w:rsidP="004114B8">
      <w:pPr>
        <w:pStyle w:val="ARIALNARROW"/>
        <w:spacing w:line="360" w:lineRule="auto"/>
        <w:ind w:left="426" w:hanging="426"/>
      </w:pPr>
    </w:p>
    <w:p w:rsidR="004114B8" w:rsidRDefault="004114B8" w:rsidP="00BD60C8">
      <w:pPr>
        <w:pStyle w:val="ARIALNARROW"/>
        <w:spacing w:line="360" w:lineRule="auto"/>
      </w:pPr>
      <w:r>
        <w:t>Desde 2006 la evolución del empleo en la</w:t>
      </w:r>
      <w:r w:rsidR="00743ABE">
        <w:t>s</w:t>
      </w:r>
      <w:r>
        <w:t xml:space="preserve"> Economía Social resulta</w:t>
      </w:r>
      <w:r w:rsidR="00B91998">
        <w:t xml:space="preserve"> en general </w:t>
      </w:r>
      <w:r>
        <w:t xml:space="preserve">menos favorable que la </w:t>
      </w:r>
      <w:r w:rsidR="00B91998">
        <w:t>d</w:t>
      </w:r>
      <w:r>
        <w:t>el co</w:t>
      </w:r>
      <w:r w:rsidR="00745AEF">
        <w:t>njunto de la economía vasca</w:t>
      </w:r>
      <w:r w:rsidR="00B91998">
        <w:t xml:space="preserve">. En </w:t>
      </w:r>
      <w:r>
        <w:t xml:space="preserve">los momentos iniciales de la crisis </w:t>
      </w:r>
      <w:r w:rsidRPr="00DE01F8">
        <w:t xml:space="preserve">entre 2006 y 2008, la Economía Social </w:t>
      </w:r>
      <w:r w:rsidR="00743ABE">
        <w:t xml:space="preserve">ya </w:t>
      </w:r>
      <w:r>
        <w:t xml:space="preserve">comenzaba </w:t>
      </w:r>
      <w:r w:rsidRPr="00DE01F8">
        <w:t>a perder empleo (-1,4%) mientras</w:t>
      </w:r>
      <w:r>
        <w:t xml:space="preserve"> </w:t>
      </w:r>
      <w:r w:rsidRPr="00DE01F8">
        <w:t xml:space="preserve">la economía general </w:t>
      </w:r>
      <w:r>
        <w:t xml:space="preserve">vasca </w:t>
      </w:r>
      <w:r w:rsidRPr="00DE01F8">
        <w:t xml:space="preserve">se </w:t>
      </w:r>
      <w:r>
        <w:t>mantenía aún</w:t>
      </w:r>
      <w:r w:rsidRPr="00DE01F8">
        <w:t xml:space="preserve"> al alza, con un aumento del</w:t>
      </w:r>
      <w:r>
        <w:t xml:space="preserve"> 2,7% en </w:t>
      </w:r>
      <w:r w:rsidR="00745AEF">
        <w:t xml:space="preserve">sus </w:t>
      </w:r>
      <w:r>
        <w:t>cifras de ocupación.</w:t>
      </w:r>
    </w:p>
    <w:p w:rsidR="00B91998" w:rsidRDefault="00B91998" w:rsidP="00BD60C8">
      <w:pPr>
        <w:pStyle w:val="ARIALNARROW"/>
        <w:spacing w:line="360" w:lineRule="auto"/>
      </w:pPr>
    </w:p>
    <w:p w:rsidR="0036725A" w:rsidRDefault="004114B8" w:rsidP="00BD60C8">
      <w:pPr>
        <w:pStyle w:val="ARIALNARROW"/>
        <w:spacing w:line="360" w:lineRule="auto"/>
      </w:pPr>
      <w:r>
        <w:t>Posteriormente, en el bienio 2008</w:t>
      </w:r>
      <w:r w:rsidR="00743ABE">
        <w:t>-</w:t>
      </w:r>
      <w:r>
        <w:t>2010, la</w:t>
      </w:r>
      <w:r w:rsidR="00743ABE">
        <w:t>s</w:t>
      </w:r>
      <w:r>
        <w:t xml:space="preserve"> pérdida</w:t>
      </w:r>
      <w:r w:rsidR="00743ABE">
        <w:t>s</w:t>
      </w:r>
      <w:r>
        <w:t xml:space="preserve"> de empleo se generalizaba</w:t>
      </w:r>
      <w:r w:rsidR="00743ABE">
        <w:t>n</w:t>
      </w:r>
      <w:r>
        <w:t xml:space="preserve"> y se extendía</w:t>
      </w:r>
      <w:r w:rsidR="00743ABE">
        <w:t>n</w:t>
      </w:r>
      <w:r>
        <w:t xml:space="preserve"> al conjunto de la economía vasca</w:t>
      </w:r>
      <w:r w:rsidR="00743ABE">
        <w:t>. No obstante, la</w:t>
      </w:r>
      <w:r>
        <w:t xml:space="preserve"> caída resultaba ligeramente superior en el ámbito de la Economía Social</w:t>
      </w:r>
      <w:r w:rsidR="00743ABE">
        <w:t xml:space="preserve">, </w:t>
      </w:r>
      <w:r>
        <w:t xml:space="preserve">con una caída del empleo de </w:t>
      </w:r>
      <w:r w:rsidR="00331C46">
        <w:t>-</w:t>
      </w:r>
      <w:r>
        <w:t>4,3%</w:t>
      </w:r>
      <w:r w:rsidR="00743ABE">
        <w:t xml:space="preserve"> que resultaba</w:t>
      </w:r>
      <w:r>
        <w:t xml:space="preserve"> algo superior al </w:t>
      </w:r>
    </w:p>
    <w:p w:rsidR="004114B8" w:rsidRDefault="00331C46" w:rsidP="00BD60C8">
      <w:pPr>
        <w:pStyle w:val="ARIALNARROW"/>
        <w:spacing w:line="360" w:lineRule="auto"/>
      </w:pPr>
      <w:r>
        <w:t>-</w:t>
      </w:r>
      <w:r w:rsidR="004114B8">
        <w:t xml:space="preserve">3,9% </w:t>
      </w:r>
      <w:r w:rsidR="005576D6">
        <w:t>registrado por</w:t>
      </w:r>
      <w:r w:rsidR="004114B8">
        <w:t xml:space="preserve"> el nivel de ocupación </w:t>
      </w:r>
      <w:r w:rsidR="00743ABE">
        <w:t xml:space="preserve">en el conjunto de la </w:t>
      </w:r>
      <w:r w:rsidR="004114B8">
        <w:t xml:space="preserve">CAE. </w:t>
      </w:r>
      <w:r>
        <w:t>E</w:t>
      </w:r>
      <w:r w:rsidR="004114B8">
        <w:t xml:space="preserve">ntre 2010 </w:t>
      </w:r>
      <w:r>
        <w:t>y</w:t>
      </w:r>
      <w:r w:rsidR="004114B8">
        <w:t xml:space="preserve"> 2012 se acentuaba e</w:t>
      </w:r>
      <w:r>
        <w:t>l</w:t>
      </w:r>
      <w:r w:rsidR="004114B8">
        <w:t xml:space="preserve"> deterioro comparativo entre el empleo de la Economía social</w:t>
      </w:r>
      <w:r>
        <w:t xml:space="preserve">, </w:t>
      </w:r>
      <w:r w:rsidR="004114B8">
        <w:t xml:space="preserve">con un </w:t>
      </w:r>
      <w:r>
        <w:t xml:space="preserve">fuerte </w:t>
      </w:r>
      <w:r w:rsidR="004114B8">
        <w:t xml:space="preserve">descenso de </w:t>
      </w:r>
      <w:r>
        <w:t>-</w:t>
      </w:r>
      <w:r w:rsidR="004114B8">
        <w:t>6,9%</w:t>
      </w:r>
      <w:r>
        <w:t xml:space="preserve"> que superaba el -4,7% de </w:t>
      </w:r>
      <w:r w:rsidR="004114B8">
        <w:t>caída en la población ocupada de la CAE</w:t>
      </w:r>
      <w:r w:rsidR="008F5D5E">
        <w:t>.</w:t>
      </w:r>
    </w:p>
    <w:p w:rsidR="004114B8" w:rsidRDefault="004114B8" w:rsidP="00331C46">
      <w:pPr>
        <w:pStyle w:val="ARIALNARROW"/>
        <w:spacing w:line="360" w:lineRule="auto"/>
      </w:pPr>
    </w:p>
    <w:p w:rsidR="004114B8" w:rsidRDefault="00331C46" w:rsidP="00BD60C8">
      <w:pPr>
        <w:pStyle w:val="ARIALNARROW"/>
        <w:spacing w:line="360" w:lineRule="auto"/>
      </w:pPr>
      <w:r>
        <w:lastRenderedPageBreak/>
        <w:t>En el bienio 2012-</w:t>
      </w:r>
      <w:r w:rsidR="004114B8">
        <w:t xml:space="preserve">2014, el ritmo de la pérdida de empleo se modera </w:t>
      </w:r>
      <w:r>
        <w:t>hasta situarse en un -</w:t>
      </w:r>
      <w:r w:rsidR="004114B8">
        <w:t>2,2%</w:t>
      </w:r>
      <w:r>
        <w:t>. Pero est</w:t>
      </w:r>
      <w:r w:rsidR="005576D6">
        <w:t xml:space="preserve">a </w:t>
      </w:r>
      <w:r>
        <w:t xml:space="preserve">caída sigue </w:t>
      </w:r>
      <w:r w:rsidR="004114B8">
        <w:t>supera</w:t>
      </w:r>
      <w:r>
        <w:t>ndo</w:t>
      </w:r>
      <w:r w:rsidR="004114B8">
        <w:t xml:space="preserve"> </w:t>
      </w:r>
      <w:r>
        <w:t xml:space="preserve">de forma significativa </w:t>
      </w:r>
      <w:r w:rsidR="004114B8">
        <w:t xml:space="preserve">la pérdida ocupacional del 0,7% </w:t>
      </w:r>
      <w:r w:rsidR="00957041">
        <w:t xml:space="preserve">registrada </w:t>
      </w:r>
      <w:r>
        <w:t>en el conjunto de la economía vasca</w:t>
      </w:r>
      <w:r w:rsidR="004114B8">
        <w:t>.</w:t>
      </w:r>
    </w:p>
    <w:p w:rsidR="004114B8" w:rsidRDefault="004114B8" w:rsidP="00331C46">
      <w:pPr>
        <w:pStyle w:val="ARIALNARROW"/>
        <w:spacing w:line="360" w:lineRule="auto"/>
      </w:pPr>
    </w:p>
    <w:p w:rsidR="00331C46" w:rsidRPr="00571406" w:rsidRDefault="00331C46" w:rsidP="00331C46">
      <w:pPr>
        <w:pStyle w:val="ARIALNARROW"/>
        <w:spacing w:line="360" w:lineRule="auto"/>
      </w:pPr>
      <w:r w:rsidRPr="00571406">
        <w:t>Esta evolución ha provocado una pérdida de peso relativo del empleo de la Economía Social en la economía vasca</w:t>
      </w:r>
      <w:r>
        <w:t xml:space="preserve">. </w:t>
      </w:r>
      <w:r w:rsidRPr="00571406">
        <w:t xml:space="preserve">La Economía Social, que había llegado a representar en 2002 un 6,8% del empleo de la economía de la CAE, ve pasar su contribución </w:t>
      </w:r>
      <w:r>
        <w:t>a</w:t>
      </w:r>
      <w:r w:rsidRPr="00571406">
        <w:t xml:space="preserve"> 6,6% en 2004 y 2006, 6,3% en 2008 y 2010</w:t>
      </w:r>
      <w:r>
        <w:t>, 6,2% en 2012 y</w:t>
      </w:r>
      <w:r w:rsidRPr="00571406">
        <w:t xml:space="preserve"> un mínimo del 6,</w:t>
      </w:r>
      <w:r>
        <w:t>1</w:t>
      </w:r>
      <w:r w:rsidRPr="00571406">
        <w:t>% en 201</w:t>
      </w:r>
      <w:r>
        <w:t>4</w:t>
      </w:r>
      <w:r w:rsidRPr="00571406">
        <w:t>.</w:t>
      </w:r>
    </w:p>
    <w:p w:rsidR="00331C46" w:rsidRDefault="00331C46" w:rsidP="00331C46">
      <w:pPr>
        <w:pStyle w:val="ARIALNARROW"/>
        <w:spacing w:line="360" w:lineRule="auto"/>
      </w:pPr>
    </w:p>
    <w:p w:rsidR="004114B8" w:rsidRDefault="004114B8" w:rsidP="004114B8">
      <w:pPr>
        <w:spacing w:line="240" w:lineRule="auto"/>
        <w:jc w:val="center"/>
        <w:rPr>
          <w:rFonts w:cs="Arial"/>
          <w:b/>
          <w:color w:val="1F497D" w:themeColor="text2"/>
          <w:sz w:val="18"/>
          <w:szCs w:val="18"/>
          <w:lang w:val="es-ES_tradnl"/>
        </w:rPr>
      </w:pPr>
      <w:r w:rsidRPr="00DE01F8">
        <w:rPr>
          <w:rFonts w:cs="Arial"/>
          <w:b/>
          <w:color w:val="1F497D" w:themeColor="text2"/>
          <w:sz w:val="18"/>
          <w:szCs w:val="18"/>
          <w:lang w:val="es-ES_tradnl"/>
        </w:rPr>
        <w:t xml:space="preserve">EVOLUCIÓN DEL PESO RELATIVO DEL EMPLEO DE LA ECONOMÍA SOCIAL EN LA ECONOMÍA </w:t>
      </w:r>
    </w:p>
    <w:p w:rsidR="004114B8" w:rsidRPr="00DE01F8" w:rsidRDefault="004114B8" w:rsidP="004114B8">
      <w:pPr>
        <w:spacing w:line="240" w:lineRule="auto"/>
        <w:jc w:val="center"/>
        <w:rPr>
          <w:rFonts w:cs="Arial"/>
          <w:b/>
          <w:color w:val="1F497D" w:themeColor="text2"/>
          <w:sz w:val="18"/>
          <w:szCs w:val="18"/>
          <w:lang w:val="es-ES_tradnl"/>
        </w:rPr>
      </w:pPr>
      <w:r>
        <w:rPr>
          <w:rFonts w:cs="Arial"/>
          <w:b/>
          <w:color w:val="1F497D" w:themeColor="text2"/>
          <w:sz w:val="18"/>
          <w:szCs w:val="18"/>
          <w:lang w:val="es-ES_tradnl"/>
        </w:rPr>
        <w:t>DE LA CAE 1994-2014</w:t>
      </w:r>
      <w:r w:rsidRPr="00DE01F8">
        <w:rPr>
          <w:rFonts w:cs="Arial"/>
          <w:b/>
          <w:color w:val="1F497D" w:themeColor="text2"/>
          <w:sz w:val="18"/>
          <w:szCs w:val="18"/>
          <w:lang w:val="es-ES_tradnl"/>
        </w:rPr>
        <w:t xml:space="preserve"> (% sobre el total del empleo de la CAE).</w:t>
      </w:r>
    </w:p>
    <w:p w:rsidR="004114B8" w:rsidRPr="00DE01F8" w:rsidRDefault="004114B8" w:rsidP="004114B8">
      <w:pPr>
        <w:rPr>
          <w:lang w:val="es-ES_tradnl"/>
        </w:rPr>
      </w:pPr>
      <w:r>
        <w:rPr>
          <w:noProof/>
          <w:lang w:eastAsia="es-ES"/>
        </w:rPr>
        <w:drawing>
          <wp:anchor distT="0" distB="0" distL="114300" distR="114300" simplePos="0" relativeHeight="251798528" behindDoc="0" locked="0" layoutInCell="1" allowOverlap="1">
            <wp:simplePos x="0" y="0"/>
            <wp:positionH relativeFrom="column">
              <wp:posOffset>487148</wp:posOffset>
            </wp:positionH>
            <wp:positionV relativeFrom="paragraph">
              <wp:posOffset>172439</wp:posOffset>
            </wp:positionV>
            <wp:extent cx="4880345" cy="1828800"/>
            <wp:effectExtent l="0" t="0" r="0" b="0"/>
            <wp:wrapNone/>
            <wp:docPr id="3"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4114B8" w:rsidRPr="00DE01F8" w:rsidRDefault="004114B8" w:rsidP="004114B8">
      <w:pPr>
        <w:rPr>
          <w:rFonts w:cs="Arial"/>
          <w:b/>
          <w:lang w:val="es-ES_tradnl"/>
        </w:rPr>
      </w:pPr>
    </w:p>
    <w:p w:rsidR="004114B8" w:rsidRPr="00DE01F8" w:rsidRDefault="004114B8" w:rsidP="004114B8">
      <w:pPr>
        <w:rPr>
          <w:rFonts w:cs="Arial"/>
          <w:lang w:val="es-ES_tradnl"/>
        </w:rPr>
      </w:pPr>
    </w:p>
    <w:p w:rsidR="004114B8" w:rsidRPr="00DE01F8" w:rsidRDefault="004114B8" w:rsidP="004114B8">
      <w:pPr>
        <w:rPr>
          <w:rFonts w:cs="Arial"/>
          <w:lang w:val="es-ES_tradnl"/>
        </w:rPr>
      </w:pPr>
    </w:p>
    <w:p w:rsidR="004114B8" w:rsidRPr="00DE01F8" w:rsidRDefault="004114B8" w:rsidP="004114B8">
      <w:pPr>
        <w:rPr>
          <w:rFonts w:cs="Arial"/>
          <w:lang w:val="es-ES_tradnl"/>
        </w:rPr>
      </w:pPr>
    </w:p>
    <w:p w:rsidR="004114B8" w:rsidRPr="00DE01F8" w:rsidRDefault="004114B8" w:rsidP="004114B8">
      <w:pPr>
        <w:rPr>
          <w:rFonts w:cs="Arial"/>
          <w:lang w:val="es-ES_tradnl"/>
        </w:rPr>
      </w:pPr>
    </w:p>
    <w:p w:rsidR="004114B8" w:rsidRDefault="004114B8" w:rsidP="004114B8">
      <w:pPr>
        <w:rPr>
          <w:rFonts w:cs="Arial"/>
          <w:lang w:val="es-ES_tradnl"/>
        </w:rPr>
      </w:pPr>
    </w:p>
    <w:p w:rsidR="004114B8" w:rsidRDefault="004114B8" w:rsidP="004114B8">
      <w:pPr>
        <w:rPr>
          <w:rFonts w:cs="Arial"/>
          <w:lang w:val="es-ES_tradnl"/>
        </w:rPr>
      </w:pPr>
    </w:p>
    <w:p w:rsidR="004114B8" w:rsidRDefault="004114B8" w:rsidP="004114B8">
      <w:pPr>
        <w:rPr>
          <w:rFonts w:cs="Arial"/>
          <w:lang w:val="es-ES_tradnl"/>
        </w:rPr>
      </w:pPr>
    </w:p>
    <w:p w:rsidR="00BD60C8" w:rsidRDefault="00BD60C8" w:rsidP="00BD60C8">
      <w:pPr>
        <w:rPr>
          <w:rFonts w:cs="Arial"/>
          <w:lang w:val="es-ES_tradnl"/>
        </w:rPr>
      </w:pPr>
    </w:p>
    <w:p w:rsidR="000D3619" w:rsidRDefault="000D3619" w:rsidP="000D3619">
      <w:pPr>
        <w:rPr>
          <w:rFonts w:cs="Arial"/>
          <w:lang w:val="es-ES_tradnl"/>
        </w:rPr>
      </w:pPr>
      <w:r>
        <w:rPr>
          <w:rFonts w:cs="Arial"/>
          <w:lang w:val="es-ES_tradnl"/>
        </w:rPr>
        <w:t xml:space="preserve">El peso relativo de las FCES en la economía local resulta sin embargo muy diferente en los distintos territorios de la CAE. En el ámbito comarcal, </w:t>
      </w:r>
      <w:r w:rsidR="006F59A7">
        <w:rPr>
          <w:rFonts w:cs="Arial"/>
          <w:lang w:val="es-ES_tradnl"/>
        </w:rPr>
        <w:t xml:space="preserve">destaca el peso </w:t>
      </w:r>
      <w:r>
        <w:rPr>
          <w:rFonts w:cs="Arial"/>
          <w:lang w:val="es-ES_tradnl"/>
        </w:rPr>
        <w:t xml:space="preserve">que representa </w:t>
      </w:r>
      <w:r w:rsidR="006F59A7">
        <w:rPr>
          <w:rFonts w:cs="Arial"/>
          <w:lang w:val="es-ES_tradnl"/>
        </w:rPr>
        <w:t xml:space="preserve">el empleo </w:t>
      </w:r>
      <w:r>
        <w:rPr>
          <w:rFonts w:cs="Arial"/>
          <w:lang w:val="es-ES_tradnl"/>
        </w:rPr>
        <w:t>de</w:t>
      </w:r>
      <w:r w:rsidR="006F59A7">
        <w:rPr>
          <w:rFonts w:cs="Arial"/>
          <w:lang w:val="es-ES_tradnl"/>
        </w:rPr>
        <w:t xml:space="preserve"> la Economía Social en el Alto Deba, </w:t>
      </w:r>
      <w:r>
        <w:rPr>
          <w:rFonts w:cs="Arial"/>
          <w:lang w:val="es-ES_tradnl"/>
        </w:rPr>
        <w:t>zona en el que un 40,8</w:t>
      </w:r>
      <w:r w:rsidR="006F59A7">
        <w:rPr>
          <w:rFonts w:cs="Arial"/>
          <w:lang w:val="es-ES_tradnl"/>
        </w:rPr>
        <w:t xml:space="preserve">% del empleo se vincula a este tejido empresarial. </w:t>
      </w:r>
      <w:r>
        <w:rPr>
          <w:rFonts w:cs="Arial"/>
          <w:lang w:val="es-ES_tradnl"/>
        </w:rPr>
        <w:t>Aunque muy alejadas de estos niveles, las comarcas de Tolosa-</w:t>
      </w:r>
      <w:proofErr w:type="spellStart"/>
      <w:r>
        <w:rPr>
          <w:rFonts w:cs="Arial"/>
          <w:lang w:val="es-ES_tradnl"/>
        </w:rPr>
        <w:t>Goierri</w:t>
      </w:r>
      <w:proofErr w:type="spellEnd"/>
      <w:r>
        <w:rPr>
          <w:rFonts w:cs="Arial"/>
          <w:lang w:val="es-ES_tradnl"/>
        </w:rPr>
        <w:t xml:space="preserve"> y </w:t>
      </w:r>
      <w:proofErr w:type="spellStart"/>
      <w:r>
        <w:rPr>
          <w:rFonts w:cs="Arial"/>
          <w:lang w:val="es-ES_tradnl"/>
        </w:rPr>
        <w:t>Duranguesado</w:t>
      </w:r>
      <w:proofErr w:type="spellEnd"/>
      <w:r>
        <w:rPr>
          <w:rFonts w:cs="Arial"/>
          <w:lang w:val="es-ES_tradnl"/>
        </w:rPr>
        <w:t xml:space="preserve"> también destacan por una fuerte presencia del empleo en las FCES, con cifras situadas en el 11,0 y el 10,1% del empleo comarcal.</w:t>
      </w:r>
    </w:p>
    <w:p w:rsidR="000D3619" w:rsidRDefault="000D3619" w:rsidP="000D3619">
      <w:pPr>
        <w:rPr>
          <w:rFonts w:cs="Arial"/>
          <w:lang w:val="es-ES_tradnl"/>
        </w:rPr>
      </w:pPr>
    </w:p>
    <w:p w:rsidR="004114B8" w:rsidRDefault="000D3619" w:rsidP="000D3619">
      <w:pPr>
        <w:rPr>
          <w:rFonts w:cs="Arial"/>
          <w:lang w:val="es-ES_tradnl"/>
        </w:rPr>
      </w:pPr>
      <w:r>
        <w:rPr>
          <w:rFonts w:cs="Arial"/>
          <w:lang w:val="es-ES_tradnl"/>
        </w:rPr>
        <w:t>En Bajo Deba</w:t>
      </w:r>
      <w:r w:rsidR="00B55878">
        <w:rPr>
          <w:rFonts w:cs="Arial"/>
          <w:lang w:val="es-ES_tradnl"/>
        </w:rPr>
        <w:t xml:space="preserve"> y </w:t>
      </w:r>
      <w:proofErr w:type="spellStart"/>
      <w:r w:rsidR="00B55878">
        <w:rPr>
          <w:rFonts w:cs="Arial"/>
          <w:lang w:val="es-ES_tradnl"/>
        </w:rPr>
        <w:t>Bizkaia</w:t>
      </w:r>
      <w:proofErr w:type="spellEnd"/>
      <w:r w:rsidR="00B55878">
        <w:rPr>
          <w:rFonts w:cs="Arial"/>
          <w:lang w:val="es-ES_tradnl"/>
        </w:rPr>
        <w:t xml:space="preserve"> - Costa</w:t>
      </w:r>
      <w:r>
        <w:rPr>
          <w:rFonts w:cs="Arial"/>
          <w:lang w:val="es-ES_tradnl"/>
        </w:rPr>
        <w:t xml:space="preserve">, el peso de las FCES se sitúa entre el 7 y 8%, </w:t>
      </w:r>
      <w:r w:rsidR="00B55878">
        <w:rPr>
          <w:rFonts w:cs="Arial"/>
          <w:lang w:val="es-ES_tradnl"/>
        </w:rPr>
        <w:t>y en</w:t>
      </w:r>
      <w:r>
        <w:rPr>
          <w:rFonts w:cs="Arial"/>
          <w:lang w:val="es-ES_tradnl"/>
        </w:rPr>
        <w:t xml:space="preserve"> cifras cercanas al 5% en Margen Derecha y </w:t>
      </w:r>
      <w:proofErr w:type="spellStart"/>
      <w:r>
        <w:rPr>
          <w:rFonts w:cs="Arial"/>
          <w:lang w:val="es-ES_tradnl"/>
        </w:rPr>
        <w:t>Donostialdea</w:t>
      </w:r>
      <w:proofErr w:type="spellEnd"/>
      <w:r>
        <w:rPr>
          <w:rFonts w:cs="Arial"/>
          <w:lang w:val="es-ES_tradnl"/>
        </w:rPr>
        <w:t>. E</w:t>
      </w:r>
      <w:r w:rsidR="006F59A7">
        <w:rPr>
          <w:rFonts w:cs="Arial"/>
          <w:lang w:val="es-ES_tradnl"/>
        </w:rPr>
        <w:t>n</w:t>
      </w:r>
      <w:r w:rsidR="00D70943">
        <w:rPr>
          <w:rFonts w:cs="Arial"/>
          <w:lang w:val="es-ES_tradnl"/>
        </w:rPr>
        <w:t xml:space="preserve"> las comarcas de</w:t>
      </w:r>
      <w:r w:rsidR="006F59A7">
        <w:rPr>
          <w:rFonts w:cs="Arial"/>
          <w:lang w:val="es-ES_tradnl"/>
        </w:rPr>
        <w:t xml:space="preserve"> Ayala, Bilbao y Margen Izquierda </w:t>
      </w:r>
      <w:r>
        <w:rPr>
          <w:rFonts w:cs="Arial"/>
          <w:lang w:val="es-ES_tradnl"/>
        </w:rPr>
        <w:t>el</w:t>
      </w:r>
      <w:r w:rsidR="006F59A7">
        <w:rPr>
          <w:rFonts w:cs="Arial"/>
          <w:lang w:val="es-ES_tradnl"/>
        </w:rPr>
        <w:t xml:space="preserve"> peso relativo </w:t>
      </w:r>
      <w:r>
        <w:rPr>
          <w:rFonts w:cs="Arial"/>
          <w:lang w:val="es-ES_tradnl"/>
        </w:rPr>
        <w:t>de las FCES se reduce, en cambio, a niveles cercanos al 3%.</w:t>
      </w:r>
      <w:r w:rsidR="006F59A7">
        <w:rPr>
          <w:rFonts w:cs="Arial"/>
          <w:lang w:val="es-ES_tradnl"/>
        </w:rPr>
        <w:t xml:space="preserve"> </w:t>
      </w:r>
    </w:p>
    <w:p w:rsidR="006F59A7" w:rsidRDefault="006F59A7" w:rsidP="000D3619">
      <w:pPr>
        <w:rPr>
          <w:rFonts w:cs="Arial"/>
          <w:lang w:val="es-ES_tradnl"/>
        </w:rPr>
      </w:pPr>
    </w:p>
    <w:p w:rsidR="006F59A7" w:rsidRDefault="00BD60C8" w:rsidP="006F59A7">
      <w:pPr>
        <w:widowControl w:val="0"/>
        <w:spacing w:line="240" w:lineRule="auto"/>
        <w:jc w:val="center"/>
        <w:rPr>
          <w:rFonts w:cs="Arial"/>
          <w:b/>
          <w:color w:val="1F497D" w:themeColor="text2"/>
          <w:sz w:val="18"/>
          <w:szCs w:val="18"/>
          <w:lang w:val="es-ES_tradnl"/>
        </w:rPr>
      </w:pPr>
      <w:r>
        <w:rPr>
          <w:rFonts w:cs="Arial"/>
          <w:b/>
          <w:noProof/>
          <w:color w:val="1F497D" w:themeColor="text2"/>
          <w:sz w:val="18"/>
          <w:szCs w:val="18"/>
          <w:lang w:eastAsia="es-ES"/>
        </w:rPr>
        <w:drawing>
          <wp:anchor distT="0" distB="0" distL="114300" distR="114300" simplePos="0" relativeHeight="251855872" behindDoc="0" locked="0" layoutInCell="1" allowOverlap="1">
            <wp:simplePos x="0" y="0"/>
            <wp:positionH relativeFrom="column">
              <wp:posOffset>487045</wp:posOffset>
            </wp:positionH>
            <wp:positionV relativeFrom="paragraph">
              <wp:posOffset>203835</wp:posOffset>
            </wp:positionV>
            <wp:extent cx="4658995" cy="2243455"/>
            <wp:effectExtent l="19050" t="0" r="0" b="0"/>
            <wp:wrapNone/>
            <wp:docPr id="13"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6F59A7" w:rsidRPr="00627246">
        <w:rPr>
          <w:rFonts w:cs="Arial"/>
          <w:b/>
          <w:color w:val="1F497D" w:themeColor="text2"/>
          <w:sz w:val="18"/>
          <w:szCs w:val="18"/>
          <w:lang w:val="es-ES_tradnl"/>
        </w:rPr>
        <w:t xml:space="preserve">PESO RELATIVO DEL EMPLEO DE LA ECONOMÍA SOCIAL EN LA ECONOMÍA DE LA CAE </w:t>
      </w:r>
      <w:r w:rsidR="006F59A7">
        <w:rPr>
          <w:rFonts w:cs="Arial"/>
          <w:b/>
          <w:color w:val="1F497D" w:themeColor="text2"/>
          <w:sz w:val="18"/>
          <w:szCs w:val="18"/>
          <w:lang w:val="es-ES_tradnl"/>
        </w:rPr>
        <w:t>POR COMARCAS 2014</w:t>
      </w:r>
      <w:r w:rsidR="006F59A7" w:rsidRPr="00627246">
        <w:rPr>
          <w:rFonts w:cs="Arial"/>
          <w:b/>
          <w:color w:val="1F497D" w:themeColor="text2"/>
          <w:sz w:val="18"/>
          <w:szCs w:val="18"/>
          <w:lang w:val="es-ES_tradnl"/>
        </w:rPr>
        <w:t xml:space="preserve"> (% sobre el total del empleo de la CAE).</w:t>
      </w:r>
    </w:p>
    <w:p w:rsidR="006F59A7" w:rsidRPr="00B46047" w:rsidRDefault="006F59A7" w:rsidP="006F59A7">
      <w:pPr>
        <w:rPr>
          <w:lang w:val="es-ES_tradnl"/>
        </w:rPr>
      </w:pPr>
    </w:p>
    <w:p w:rsidR="006F59A7" w:rsidRDefault="006F59A7" w:rsidP="006F59A7"/>
    <w:p w:rsidR="006F59A7" w:rsidRDefault="006F59A7" w:rsidP="006F59A7"/>
    <w:p w:rsidR="006F59A7" w:rsidRDefault="006F59A7" w:rsidP="006F59A7"/>
    <w:p w:rsidR="006F59A7" w:rsidRDefault="006F59A7" w:rsidP="006F59A7"/>
    <w:p w:rsidR="006F59A7" w:rsidRDefault="006F59A7" w:rsidP="006F59A7"/>
    <w:p w:rsidR="00B91998" w:rsidRDefault="00B91998" w:rsidP="006F59A7"/>
    <w:p w:rsidR="00B91998" w:rsidRDefault="00B91998" w:rsidP="006F59A7"/>
    <w:p w:rsidR="004114B8" w:rsidRPr="00BD60C8" w:rsidRDefault="00B7317C" w:rsidP="00BD60C8">
      <w:pPr>
        <w:rPr>
          <w:rFonts w:eastAsia="Times New Roman" w:cs="Arial"/>
          <w:b/>
          <w:szCs w:val="20"/>
          <w:lang w:val="es-ES_tradnl" w:eastAsia="es-ES"/>
        </w:rPr>
      </w:pPr>
      <w:r>
        <w:rPr>
          <w:rFonts w:eastAsia="Times New Roman" w:cs="Arial"/>
          <w:b/>
          <w:szCs w:val="20"/>
          <w:lang w:val="es-ES_tradnl" w:eastAsia="es-ES"/>
        </w:rPr>
        <w:lastRenderedPageBreak/>
        <w:t>L</w:t>
      </w:r>
      <w:r w:rsidR="004114B8" w:rsidRPr="00BD60C8">
        <w:rPr>
          <w:rFonts w:eastAsia="Times New Roman" w:cs="Arial"/>
          <w:b/>
          <w:szCs w:val="20"/>
          <w:lang w:val="es-ES_tradnl" w:eastAsia="es-ES"/>
        </w:rPr>
        <w:t>a notable caída del empleo industrial</w:t>
      </w:r>
      <w:r w:rsidR="00957041" w:rsidRPr="00BD60C8">
        <w:rPr>
          <w:rFonts w:eastAsia="Times New Roman" w:cs="Arial"/>
          <w:b/>
          <w:szCs w:val="20"/>
          <w:lang w:val="es-ES_tradnl" w:eastAsia="es-ES"/>
        </w:rPr>
        <w:t xml:space="preserve"> (-7,5%)</w:t>
      </w:r>
      <w:r>
        <w:rPr>
          <w:rFonts w:eastAsia="Times New Roman" w:cs="Arial"/>
          <w:b/>
          <w:szCs w:val="20"/>
          <w:lang w:val="es-ES_tradnl" w:eastAsia="es-ES"/>
        </w:rPr>
        <w:t xml:space="preserve"> cont</w:t>
      </w:r>
      <w:r w:rsidR="00A677D4">
        <w:rPr>
          <w:rFonts w:eastAsia="Times New Roman" w:cs="Arial"/>
          <w:b/>
          <w:szCs w:val="20"/>
          <w:lang w:val="es-ES_tradnl" w:eastAsia="es-ES"/>
        </w:rPr>
        <w:t>r</w:t>
      </w:r>
      <w:r>
        <w:rPr>
          <w:rFonts w:eastAsia="Times New Roman" w:cs="Arial"/>
          <w:b/>
          <w:szCs w:val="20"/>
          <w:lang w:val="es-ES_tradnl" w:eastAsia="es-ES"/>
        </w:rPr>
        <w:t>asta</w:t>
      </w:r>
      <w:r w:rsidR="00840A4C">
        <w:rPr>
          <w:rFonts w:eastAsia="Times New Roman" w:cs="Arial"/>
          <w:b/>
          <w:szCs w:val="20"/>
          <w:lang w:val="es-ES_tradnl" w:eastAsia="es-ES"/>
        </w:rPr>
        <w:t xml:space="preserve"> con</w:t>
      </w:r>
      <w:r w:rsidR="004114B8" w:rsidRPr="00BD60C8">
        <w:rPr>
          <w:rFonts w:eastAsia="Times New Roman" w:cs="Arial"/>
          <w:b/>
          <w:szCs w:val="20"/>
          <w:lang w:val="es-ES_tradnl" w:eastAsia="es-ES"/>
        </w:rPr>
        <w:t xml:space="preserve"> una recuperación en empleo del sector servicios </w:t>
      </w:r>
      <w:r w:rsidR="00073CBF" w:rsidRPr="00BD60C8">
        <w:rPr>
          <w:rFonts w:eastAsia="Times New Roman" w:cs="Arial"/>
          <w:b/>
          <w:szCs w:val="20"/>
          <w:lang w:val="es-ES_tradnl" w:eastAsia="es-ES"/>
        </w:rPr>
        <w:t>(+3,7%)</w:t>
      </w:r>
      <w:r w:rsidR="00A147E9" w:rsidRPr="00BD60C8">
        <w:rPr>
          <w:rFonts w:eastAsia="Times New Roman" w:cs="Arial"/>
          <w:b/>
          <w:szCs w:val="20"/>
          <w:lang w:val="es-ES_tradnl" w:eastAsia="es-ES"/>
        </w:rPr>
        <w:t>.</w:t>
      </w:r>
    </w:p>
    <w:p w:rsidR="004114B8" w:rsidRDefault="004114B8" w:rsidP="004114B8">
      <w:pPr>
        <w:rPr>
          <w:rFonts w:eastAsia="Times New Roman" w:cs="Arial"/>
          <w:b/>
          <w:szCs w:val="20"/>
          <w:lang w:val="es-ES_tradnl" w:eastAsia="es-ES"/>
        </w:rPr>
      </w:pPr>
    </w:p>
    <w:p w:rsidR="0021527D" w:rsidRPr="00DE01F8" w:rsidRDefault="004114B8" w:rsidP="0021527D">
      <w:pPr>
        <w:rPr>
          <w:rFonts w:cs="Arial"/>
          <w:szCs w:val="20"/>
        </w:rPr>
      </w:pPr>
      <w:r>
        <w:rPr>
          <w:rFonts w:eastAsia="Times New Roman" w:cs="Arial"/>
          <w:szCs w:val="20"/>
          <w:lang w:val="es-ES_tradnl" w:eastAsia="es-ES"/>
        </w:rPr>
        <w:t>Atendiendo</w:t>
      </w:r>
      <w:r w:rsidR="0083369C">
        <w:rPr>
          <w:rFonts w:eastAsia="Times New Roman" w:cs="Arial"/>
          <w:szCs w:val="20"/>
          <w:lang w:val="es-ES_tradnl" w:eastAsia="es-ES"/>
        </w:rPr>
        <w:t xml:space="preserve"> a</w:t>
      </w:r>
      <w:r>
        <w:rPr>
          <w:rFonts w:eastAsia="Times New Roman" w:cs="Arial"/>
          <w:szCs w:val="20"/>
          <w:lang w:val="es-ES_tradnl" w:eastAsia="es-ES"/>
        </w:rPr>
        <w:t xml:space="preserve"> la evolución del empleo </w:t>
      </w:r>
      <w:r w:rsidR="00957041">
        <w:rPr>
          <w:rFonts w:eastAsia="Times New Roman" w:cs="Arial"/>
          <w:szCs w:val="20"/>
          <w:lang w:val="es-ES_tradnl" w:eastAsia="es-ES"/>
        </w:rPr>
        <w:t>sectorial</w:t>
      </w:r>
      <w:r w:rsidR="00073CBF">
        <w:rPr>
          <w:rFonts w:eastAsia="Times New Roman" w:cs="Arial"/>
          <w:szCs w:val="20"/>
          <w:lang w:val="es-ES_tradnl" w:eastAsia="es-ES"/>
        </w:rPr>
        <w:t>,</w:t>
      </w:r>
      <w:r>
        <w:rPr>
          <w:rFonts w:eastAsia="Times New Roman" w:cs="Arial"/>
          <w:szCs w:val="20"/>
          <w:lang w:val="es-ES_tradnl" w:eastAsia="es-ES"/>
        </w:rPr>
        <w:t xml:space="preserve"> </w:t>
      </w:r>
      <w:r w:rsidR="0021527D">
        <w:rPr>
          <w:rFonts w:eastAsia="Times New Roman" w:cs="Arial"/>
          <w:szCs w:val="20"/>
          <w:lang w:val="es-ES_tradnl" w:eastAsia="es-ES"/>
        </w:rPr>
        <w:t xml:space="preserve">el dato más negativo es </w:t>
      </w:r>
      <w:r w:rsidR="0021527D" w:rsidRPr="0016025D">
        <w:rPr>
          <w:rFonts w:cs="Arial"/>
          <w:szCs w:val="20"/>
        </w:rPr>
        <w:t xml:space="preserve">una caída efectiva en el empleo en el sector industrial del 7,5% entre 2012 y 2014. </w:t>
      </w:r>
      <w:r w:rsidR="0021527D" w:rsidRPr="00372FF7">
        <w:rPr>
          <w:rFonts w:cs="Arial"/>
          <w:szCs w:val="20"/>
        </w:rPr>
        <w:t xml:space="preserve">Esta tasa duplica el descenso producido en el bienio precedente 2010-2012 (-3%). Aunque la pérdida de empleo industrial observada entre 2012 y 2014 no es tan </w:t>
      </w:r>
      <w:r w:rsidR="0021527D" w:rsidRPr="00B976B0">
        <w:rPr>
          <w:rFonts w:cs="Arial"/>
          <w:szCs w:val="20"/>
        </w:rPr>
        <w:t>elevada como la de los años de inicio de la crisis, con una reducción del 11,4% entre 2008 y 2010, la actual caída recuerda a la pérdida de empleo industrial vivida en el periodo de antesala de la crisis, entre 2006 y 2008</w:t>
      </w:r>
      <w:r w:rsidR="00B976B0" w:rsidRPr="00B976B0">
        <w:rPr>
          <w:rFonts w:cs="Arial"/>
          <w:szCs w:val="20"/>
        </w:rPr>
        <w:t>,</w:t>
      </w:r>
      <w:r w:rsidR="00840A4C" w:rsidRPr="00B976B0">
        <w:rPr>
          <w:rFonts w:cs="Arial"/>
          <w:szCs w:val="20"/>
        </w:rPr>
        <w:t xml:space="preserve"> también del 7,5%</w:t>
      </w:r>
      <w:r w:rsidR="00B976B0" w:rsidRPr="00B976B0">
        <w:rPr>
          <w:rFonts w:cs="Arial"/>
          <w:szCs w:val="20"/>
        </w:rPr>
        <w:t>.</w:t>
      </w:r>
    </w:p>
    <w:p w:rsidR="0021527D" w:rsidRDefault="0021527D" w:rsidP="00BD60C8">
      <w:pPr>
        <w:rPr>
          <w:rFonts w:eastAsia="Times New Roman" w:cs="Arial"/>
          <w:szCs w:val="20"/>
          <w:lang w:eastAsia="es-ES"/>
        </w:rPr>
      </w:pPr>
    </w:p>
    <w:p w:rsidR="00B11F7C" w:rsidRDefault="00B11F7C" w:rsidP="00B11F7C">
      <w:pPr>
        <w:rPr>
          <w:rFonts w:eastAsia="Times New Roman" w:cs="Arial"/>
          <w:szCs w:val="20"/>
          <w:lang w:val="es-ES_tradnl" w:eastAsia="es-ES"/>
        </w:rPr>
      </w:pPr>
      <w:r w:rsidRPr="00572EEE">
        <w:rPr>
          <w:rFonts w:eastAsia="Times New Roman" w:cs="Arial"/>
          <w:szCs w:val="20"/>
          <w:lang w:val="es-ES_tradnl" w:eastAsia="es-ES"/>
        </w:rPr>
        <w:t xml:space="preserve">En caso de neutralizar el cierre empresarial de </w:t>
      </w:r>
      <w:proofErr w:type="spellStart"/>
      <w:r w:rsidRPr="00572EEE">
        <w:rPr>
          <w:rFonts w:eastAsia="Times New Roman" w:cs="Arial"/>
          <w:szCs w:val="20"/>
          <w:lang w:val="es-ES_tradnl" w:eastAsia="es-ES"/>
        </w:rPr>
        <w:t>Fagor</w:t>
      </w:r>
      <w:proofErr w:type="spellEnd"/>
      <w:r w:rsidRPr="00572EEE">
        <w:rPr>
          <w:rFonts w:eastAsia="Times New Roman" w:cs="Arial"/>
          <w:szCs w:val="20"/>
          <w:lang w:val="es-ES_tradnl" w:eastAsia="es-ES"/>
        </w:rPr>
        <w:t xml:space="preserve"> Electrodomésticos, la caída en el empleo</w:t>
      </w:r>
      <w:r>
        <w:rPr>
          <w:rFonts w:eastAsia="Times New Roman" w:cs="Arial"/>
          <w:szCs w:val="20"/>
          <w:lang w:val="es-ES_tradnl" w:eastAsia="es-ES"/>
        </w:rPr>
        <w:t xml:space="preserve"> industrial entre 2012 y 2014 se hubiera amortiguado y cuantificado en una reducción del -0,5%, hecho que podría haber anticipado un freno evidente en el proceso de descenso del empleo industrial</w:t>
      </w:r>
      <w:r w:rsidR="00372FF7">
        <w:rPr>
          <w:rFonts w:eastAsia="Times New Roman" w:cs="Arial"/>
          <w:szCs w:val="20"/>
          <w:lang w:val="es-ES_tradnl" w:eastAsia="es-ES"/>
        </w:rPr>
        <w:t xml:space="preserve"> (coherente además con la reducción</w:t>
      </w:r>
      <w:r w:rsidR="00572EEE">
        <w:rPr>
          <w:rFonts w:eastAsia="Times New Roman" w:cs="Arial"/>
          <w:szCs w:val="20"/>
          <w:lang w:val="es-ES_tradnl" w:eastAsia="es-ES"/>
        </w:rPr>
        <w:t xml:space="preserve"> de la caída</w:t>
      </w:r>
      <w:r w:rsidR="00372FF7">
        <w:rPr>
          <w:rFonts w:eastAsia="Times New Roman" w:cs="Arial"/>
          <w:szCs w:val="20"/>
          <w:lang w:val="es-ES_tradnl" w:eastAsia="es-ES"/>
        </w:rPr>
        <w:t xml:space="preserve"> de -11,4% entre 2008 y 2010 a -3% entre 2010-2012 en las pérdidas de empleo industrial)</w:t>
      </w:r>
      <w:r>
        <w:rPr>
          <w:rFonts w:eastAsia="Times New Roman" w:cs="Arial"/>
          <w:szCs w:val="20"/>
          <w:lang w:val="es-ES_tradnl" w:eastAsia="es-ES"/>
        </w:rPr>
        <w:t xml:space="preserve">. Esta </w:t>
      </w:r>
      <w:r w:rsidR="00372FF7">
        <w:rPr>
          <w:rFonts w:eastAsia="Times New Roman" w:cs="Arial"/>
          <w:szCs w:val="20"/>
          <w:lang w:val="es-ES_tradnl" w:eastAsia="es-ES"/>
        </w:rPr>
        <w:t>línea de cambio evolutivo es</w:t>
      </w:r>
      <w:r>
        <w:rPr>
          <w:rFonts w:eastAsia="Times New Roman" w:cs="Arial"/>
          <w:szCs w:val="20"/>
          <w:lang w:val="es-ES_tradnl" w:eastAsia="es-ES"/>
        </w:rPr>
        <w:t xml:space="preserve">, de hecho, la realidad que hoy vive el sector industrial de las FCES y que viene a clarificarse en </w:t>
      </w:r>
      <w:r w:rsidR="00372FF7">
        <w:rPr>
          <w:rFonts w:eastAsia="Times New Roman" w:cs="Arial"/>
          <w:szCs w:val="20"/>
          <w:lang w:val="es-ES_tradnl" w:eastAsia="es-ES"/>
        </w:rPr>
        <w:t xml:space="preserve">buena </w:t>
      </w:r>
      <w:r>
        <w:rPr>
          <w:rFonts w:eastAsia="Times New Roman" w:cs="Arial"/>
          <w:szCs w:val="20"/>
          <w:lang w:val="es-ES_tradnl" w:eastAsia="es-ES"/>
        </w:rPr>
        <w:t>medida a través de las previsiones sobre la evolución del empleo industrial de 2015. Estas previsiones anticipan así, para el periodo 2014-2015, un crecimiento del 2,2% en los niveles de empleo.</w:t>
      </w:r>
    </w:p>
    <w:p w:rsidR="00B11F7C" w:rsidRPr="00B11F7C" w:rsidRDefault="00B11F7C" w:rsidP="00BD60C8">
      <w:pPr>
        <w:rPr>
          <w:rFonts w:eastAsia="Times New Roman" w:cs="Arial"/>
          <w:szCs w:val="20"/>
          <w:lang w:val="es-ES_tradnl" w:eastAsia="es-ES"/>
        </w:rPr>
      </w:pPr>
    </w:p>
    <w:p w:rsidR="004114B8" w:rsidRDefault="0021527D" w:rsidP="00BD60C8">
      <w:pPr>
        <w:rPr>
          <w:rFonts w:eastAsia="Times New Roman" w:cs="Arial"/>
          <w:szCs w:val="20"/>
          <w:lang w:val="es-ES_tradnl" w:eastAsia="es-ES"/>
        </w:rPr>
      </w:pPr>
      <w:r>
        <w:rPr>
          <w:rFonts w:eastAsia="Times New Roman" w:cs="Arial"/>
          <w:szCs w:val="20"/>
          <w:lang w:val="es-ES_tradnl" w:eastAsia="es-ES"/>
        </w:rPr>
        <w:t xml:space="preserve">En </w:t>
      </w:r>
      <w:r w:rsidR="000E4C7A">
        <w:rPr>
          <w:rFonts w:eastAsia="Times New Roman" w:cs="Arial"/>
          <w:szCs w:val="20"/>
          <w:lang w:val="es-ES_tradnl" w:eastAsia="es-ES"/>
        </w:rPr>
        <w:t>contraste con el empleo industrial</w:t>
      </w:r>
      <w:r>
        <w:rPr>
          <w:rFonts w:eastAsia="Times New Roman" w:cs="Arial"/>
          <w:szCs w:val="20"/>
          <w:lang w:val="es-ES_tradnl" w:eastAsia="es-ES"/>
        </w:rPr>
        <w:t xml:space="preserve">, </w:t>
      </w:r>
      <w:r w:rsidR="004114B8">
        <w:rPr>
          <w:rFonts w:eastAsia="Times New Roman" w:cs="Arial"/>
          <w:szCs w:val="20"/>
          <w:lang w:val="es-ES_tradnl" w:eastAsia="es-ES"/>
        </w:rPr>
        <w:t>t</w:t>
      </w:r>
      <w:r w:rsidR="004114B8" w:rsidRPr="00515068">
        <w:rPr>
          <w:rFonts w:eastAsia="Times New Roman" w:cs="Arial"/>
          <w:szCs w:val="20"/>
          <w:lang w:val="es-ES_tradnl" w:eastAsia="es-ES"/>
        </w:rPr>
        <w:t>ras la ruptura de la tendencia alcista vivida en el empleo terciario de la Economía S</w:t>
      </w:r>
      <w:r w:rsidR="00073CBF">
        <w:rPr>
          <w:rFonts w:eastAsia="Times New Roman" w:cs="Arial"/>
          <w:szCs w:val="20"/>
          <w:lang w:val="es-ES_tradnl" w:eastAsia="es-ES"/>
        </w:rPr>
        <w:t>ocial en el bienio 2010</w:t>
      </w:r>
      <w:r>
        <w:rPr>
          <w:rFonts w:eastAsia="Times New Roman" w:cs="Arial"/>
          <w:szCs w:val="20"/>
          <w:lang w:val="es-ES_tradnl" w:eastAsia="es-ES"/>
        </w:rPr>
        <w:t>-</w:t>
      </w:r>
      <w:r w:rsidR="00073CBF">
        <w:rPr>
          <w:rFonts w:eastAsia="Times New Roman" w:cs="Arial"/>
          <w:szCs w:val="20"/>
          <w:lang w:val="es-ES_tradnl" w:eastAsia="es-ES"/>
        </w:rPr>
        <w:t>2012</w:t>
      </w:r>
      <w:r w:rsidR="004114B8">
        <w:rPr>
          <w:rFonts w:eastAsia="Times New Roman" w:cs="Arial"/>
          <w:szCs w:val="20"/>
          <w:lang w:val="es-ES_tradnl" w:eastAsia="es-ES"/>
        </w:rPr>
        <w:t xml:space="preserve">, </w:t>
      </w:r>
      <w:r w:rsidR="00B11F7C">
        <w:rPr>
          <w:rFonts w:eastAsia="Times New Roman" w:cs="Arial"/>
          <w:szCs w:val="20"/>
          <w:lang w:val="es-ES_tradnl" w:eastAsia="es-ES"/>
        </w:rPr>
        <w:t xml:space="preserve">con una </w:t>
      </w:r>
      <w:r w:rsidR="004114B8">
        <w:rPr>
          <w:rFonts w:eastAsia="Times New Roman" w:cs="Arial"/>
          <w:szCs w:val="20"/>
          <w:lang w:val="es-ES_tradnl" w:eastAsia="es-ES"/>
        </w:rPr>
        <w:t>caída del 10,3%</w:t>
      </w:r>
      <w:r w:rsidR="00B11F7C">
        <w:rPr>
          <w:rFonts w:eastAsia="Times New Roman" w:cs="Arial"/>
          <w:szCs w:val="20"/>
          <w:lang w:val="es-ES_tradnl" w:eastAsia="es-ES"/>
        </w:rPr>
        <w:t xml:space="preserve"> en el volumen de puestos de trabajo</w:t>
      </w:r>
      <w:r w:rsidR="004114B8">
        <w:rPr>
          <w:rFonts w:eastAsia="Times New Roman" w:cs="Arial"/>
          <w:szCs w:val="20"/>
          <w:lang w:val="es-ES_tradnl" w:eastAsia="es-ES"/>
        </w:rPr>
        <w:t xml:space="preserve">, </w:t>
      </w:r>
      <w:r>
        <w:rPr>
          <w:rFonts w:eastAsia="Times New Roman" w:cs="Arial"/>
          <w:szCs w:val="20"/>
          <w:lang w:val="es-ES_tradnl" w:eastAsia="es-ES"/>
        </w:rPr>
        <w:t>el</w:t>
      </w:r>
      <w:r w:rsidR="004114B8">
        <w:rPr>
          <w:rFonts w:eastAsia="Times New Roman" w:cs="Arial"/>
          <w:szCs w:val="20"/>
          <w:lang w:val="es-ES_tradnl" w:eastAsia="es-ES"/>
        </w:rPr>
        <w:t xml:space="preserve"> empleo </w:t>
      </w:r>
      <w:r>
        <w:rPr>
          <w:rFonts w:eastAsia="Times New Roman" w:cs="Arial"/>
          <w:szCs w:val="20"/>
          <w:lang w:val="es-ES_tradnl" w:eastAsia="es-ES"/>
        </w:rPr>
        <w:t xml:space="preserve">en los servicios </w:t>
      </w:r>
      <w:r w:rsidR="00B11F7C">
        <w:rPr>
          <w:rFonts w:eastAsia="Times New Roman" w:cs="Arial"/>
          <w:szCs w:val="20"/>
          <w:lang w:val="es-ES_tradnl" w:eastAsia="es-ES"/>
        </w:rPr>
        <w:t xml:space="preserve">vuelve a remontar </w:t>
      </w:r>
      <w:r>
        <w:rPr>
          <w:rFonts w:eastAsia="Times New Roman" w:cs="Arial"/>
          <w:szCs w:val="20"/>
          <w:lang w:val="es-ES_tradnl" w:eastAsia="es-ES"/>
        </w:rPr>
        <w:t xml:space="preserve">entre 2012 y 2014, </w:t>
      </w:r>
      <w:r w:rsidR="004114B8">
        <w:rPr>
          <w:rFonts w:eastAsia="Times New Roman" w:cs="Arial"/>
          <w:szCs w:val="20"/>
          <w:lang w:val="es-ES_tradnl" w:eastAsia="es-ES"/>
        </w:rPr>
        <w:t>con un crecimiento del 3,7%</w:t>
      </w:r>
      <w:r>
        <w:rPr>
          <w:rFonts w:eastAsia="Times New Roman" w:cs="Arial"/>
          <w:szCs w:val="20"/>
          <w:lang w:val="es-ES_tradnl" w:eastAsia="es-ES"/>
        </w:rPr>
        <w:t xml:space="preserve">. Esta </w:t>
      </w:r>
      <w:r w:rsidR="001554CF">
        <w:rPr>
          <w:rFonts w:eastAsia="Times New Roman" w:cs="Arial"/>
          <w:szCs w:val="20"/>
          <w:lang w:val="es-ES_tradnl" w:eastAsia="es-ES"/>
        </w:rPr>
        <w:t xml:space="preserve">tasa </w:t>
      </w:r>
      <w:r w:rsidR="004114B8">
        <w:rPr>
          <w:rFonts w:eastAsia="Times New Roman" w:cs="Arial"/>
          <w:szCs w:val="20"/>
          <w:lang w:val="es-ES_tradnl" w:eastAsia="es-ES"/>
        </w:rPr>
        <w:t xml:space="preserve">supera el incremento del 2,7% vivido en </w:t>
      </w:r>
      <w:r>
        <w:rPr>
          <w:rFonts w:eastAsia="Times New Roman" w:cs="Arial"/>
          <w:szCs w:val="20"/>
          <w:lang w:val="es-ES_tradnl" w:eastAsia="es-ES"/>
        </w:rPr>
        <w:t>las FCES</w:t>
      </w:r>
      <w:r w:rsidR="00A3550C">
        <w:rPr>
          <w:rFonts w:eastAsia="Times New Roman" w:cs="Arial"/>
          <w:szCs w:val="20"/>
          <w:lang w:val="es-ES_tradnl" w:eastAsia="es-ES"/>
        </w:rPr>
        <w:t xml:space="preserve"> entre 2008 y 2010</w:t>
      </w:r>
      <w:r w:rsidR="00D96285">
        <w:rPr>
          <w:rFonts w:eastAsia="Times New Roman" w:cs="Arial"/>
          <w:szCs w:val="20"/>
          <w:lang w:val="es-ES_tradnl" w:eastAsia="es-ES"/>
        </w:rPr>
        <w:t>,</w:t>
      </w:r>
      <w:r w:rsidR="00A3550C">
        <w:rPr>
          <w:rFonts w:eastAsia="Times New Roman" w:cs="Arial"/>
          <w:szCs w:val="20"/>
          <w:lang w:val="es-ES_tradnl" w:eastAsia="es-ES"/>
        </w:rPr>
        <w:t xml:space="preserve"> pero se queda aún por debajo de los ritmos de crecimiento propios del periodo anterior a la crisis. Así, </w:t>
      </w:r>
      <w:proofErr w:type="gramStart"/>
      <w:r w:rsidR="00A3550C">
        <w:rPr>
          <w:rFonts w:eastAsia="Times New Roman" w:cs="Arial"/>
          <w:szCs w:val="20"/>
          <w:lang w:val="es-ES_tradnl" w:eastAsia="es-ES"/>
        </w:rPr>
        <w:t>c</w:t>
      </w:r>
      <w:r w:rsidR="004114B8">
        <w:rPr>
          <w:rFonts w:eastAsia="Times New Roman" w:cs="Arial"/>
          <w:szCs w:val="20"/>
          <w:lang w:val="es-ES_tradnl" w:eastAsia="es-ES"/>
        </w:rPr>
        <w:t>abe</w:t>
      </w:r>
      <w:proofErr w:type="gramEnd"/>
      <w:r w:rsidR="004114B8">
        <w:rPr>
          <w:rFonts w:eastAsia="Times New Roman" w:cs="Arial"/>
          <w:szCs w:val="20"/>
          <w:lang w:val="es-ES_tradnl" w:eastAsia="es-ES"/>
        </w:rPr>
        <w:t xml:space="preserve"> recordar que el </w:t>
      </w:r>
      <w:r w:rsidR="00957041">
        <w:rPr>
          <w:rFonts w:eastAsia="Times New Roman" w:cs="Arial"/>
          <w:szCs w:val="20"/>
          <w:lang w:val="es-ES_tradnl" w:eastAsia="es-ES"/>
        </w:rPr>
        <w:t>ascenso</w:t>
      </w:r>
      <w:r w:rsidR="004114B8">
        <w:rPr>
          <w:rFonts w:eastAsia="Times New Roman" w:cs="Arial"/>
          <w:szCs w:val="20"/>
          <w:lang w:val="es-ES_tradnl" w:eastAsia="es-ES"/>
        </w:rPr>
        <w:t xml:space="preserve"> experimentado en el empleo terciario en los bienios comprendidos entre 2004 y 2008 se situaba en ritmos de </w:t>
      </w:r>
      <w:r w:rsidR="00957041">
        <w:rPr>
          <w:rFonts w:eastAsia="Times New Roman" w:cs="Arial"/>
          <w:szCs w:val="20"/>
          <w:lang w:val="es-ES_tradnl" w:eastAsia="es-ES"/>
        </w:rPr>
        <w:t>crecimiento</w:t>
      </w:r>
      <w:r w:rsidR="00D96285">
        <w:rPr>
          <w:rFonts w:eastAsia="Times New Roman" w:cs="Arial"/>
          <w:szCs w:val="20"/>
          <w:lang w:val="es-ES_tradnl" w:eastAsia="es-ES"/>
        </w:rPr>
        <w:t xml:space="preserve"> bienales</w:t>
      </w:r>
      <w:r w:rsidR="00957041">
        <w:rPr>
          <w:rFonts w:eastAsia="Times New Roman" w:cs="Arial"/>
          <w:szCs w:val="20"/>
          <w:lang w:val="es-ES_tradnl" w:eastAsia="es-ES"/>
        </w:rPr>
        <w:t xml:space="preserve"> </w:t>
      </w:r>
      <w:r w:rsidR="004114B8">
        <w:rPr>
          <w:rFonts w:eastAsia="Times New Roman" w:cs="Arial"/>
          <w:szCs w:val="20"/>
          <w:lang w:val="es-ES_tradnl" w:eastAsia="es-ES"/>
        </w:rPr>
        <w:t>superiores al 5%.</w:t>
      </w:r>
    </w:p>
    <w:p w:rsidR="004114B8" w:rsidRDefault="004114B8" w:rsidP="00A3550C">
      <w:pPr>
        <w:rPr>
          <w:rFonts w:eastAsia="Times New Roman" w:cs="Arial"/>
          <w:szCs w:val="20"/>
          <w:lang w:val="es-ES_tradnl" w:eastAsia="es-ES"/>
        </w:rPr>
      </w:pPr>
    </w:p>
    <w:p w:rsidR="004114B8" w:rsidRDefault="00F62FCA" w:rsidP="004114B8">
      <w:pPr>
        <w:widowControl w:val="0"/>
        <w:spacing w:line="240" w:lineRule="auto"/>
        <w:jc w:val="center"/>
        <w:rPr>
          <w:rFonts w:cs="Arial"/>
          <w:b/>
          <w:noProof/>
          <w:color w:val="1F497D" w:themeColor="text2"/>
          <w:sz w:val="18"/>
          <w:szCs w:val="18"/>
        </w:rPr>
      </w:pPr>
      <w:r>
        <w:rPr>
          <w:rFonts w:cs="Arial"/>
          <w:b/>
          <w:noProof/>
          <w:color w:val="1F497D" w:themeColor="text2"/>
          <w:sz w:val="18"/>
          <w:szCs w:val="18"/>
          <w:lang w:eastAsia="es-ES"/>
        </w:rPr>
        <w:drawing>
          <wp:anchor distT="121920" distB="30480" distL="333756" distR="166497" simplePos="0" relativeHeight="251799552" behindDoc="0" locked="0" layoutInCell="1" allowOverlap="1">
            <wp:simplePos x="0" y="0"/>
            <wp:positionH relativeFrom="column">
              <wp:posOffset>-129540</wp:posOffset>
            </wp:positionH>
            <wp:positionV relativeFrom="paragraph">
              <wp:posOffset>221615</wp:posOffset>
            </wp:positionV>
            <wp:extent cx="5730875" cy="2870200"/>
            <wp:effectExtent l="0" t="0" r="0" b="0"/>
            <wp:wrapNone/>
            <wp:docPr id="4"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114B8" w:rsidRPr="00D96911">
        <w:rPr>
          <w:rFonts w:cs="Arial"/>
          <w:b/>
          <w:noProof/>
          <w:color w:val="1F497D" w:themeColor="text2"/>
          <w:sz w:val="18"/>
          <w:szCs w:val="18"/>
        </w:rPr>
        <w:t>EVOLUCIÓN DEL EMPLEO INDUSTRIAL Y TERCIARIO DE LA ECONOMÍA SOCIAL</w:t>
      </w:r>
      <w:r w:rsidR="004114B8">
        <w:rPr>
          <w:rFonts w:cs="Arial"/>
          <w:b/>
          <w:noProof/>
          <w:color w:val="1F497D" w:themeColor="text2"/>
          <w:sz w:val="18"/>
          <w:szCs w:val="18"/>
        </w:rPr>
        <w:t xml:space="preserve"> </w:t>
      </w:r>
      <w:r w:rsidR="004114B8" w:rsidRPr="00D96911">
        <w:rPr>
          <w:rFonts w:cs="Arial"/>
          <w:b/>
          <w:noProof/>
          <w:color w:val="1F497D" w:themeColor="text2"/>
          <w:sz w:val="18"/>
          <w:szCs w:val="18"/>
        </w:rPr>
        <w:t>(Tasas de</w:t>
      </w:r>
      <w:r w:rsidR="004114B8">
        <w:rPr>
          <w:rFonts w:cs="Arial"/>
          <w:b/>
          <w:noProof/>
          <w:color w:val="1F497D" w:themeColor="text2"/>
          <w:sz w:val="18"/>
          <w:szCs w:val="18"/>
        </w:rPr>
        <w:t xml:space="preserve"> crecimiento en los bienios 2010-2012 y 2012-2014</w:t>
      </w:r>
      <w:r w:rsidR="004114B8" w:rsidRPr="00D96911">
        <w:rPr>
          <w:rFonts w:cs="Arial"/>
          <w:b/>
          <w:noProof/>
          <w:color w:val="1F497D" w:themeColor="text2"/>
          <w:sz w:val="18"/>
          <w:szCs w:val="18"/>
        </w:rPr>
        <w:t>)</w:t>
      </w: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i/>
          <w:sz w:val="16"/>
          <w:szCs w:val="16"/>
        </w:rPr>
      </w:pPr>
    </w:p>
    <w:p w:rsidR="004114B8" w:rsidRPr="0089428C" w:rsidRDefault="004114B8" w:rsidP="004114B8">
      <w:pPr>
        <w:widowControl w:val="0"/>
        <w:jc w:val="center"/>
        <w:rPr>
          <w:rFonts w:cs="Arial"/>
          <w:i/>
          <w:sz w:val="16"/>
          <w:szCs w:val="16"/>
        </w:rPr>
      </w:pPr>
    </w:p>
    <w:p w:rsidR="004114B8" w:rsidRDefault="004114B8" w:rsidP="004114B8">
      <w:pPr>
        <w:widowControl w:val="0"/>
      </w:pPr>
    </w:p>
    <w:p w:rsidR="00BD60C8" w:rsidRDefault="00BD60C8" w:rsidP="004114B8">
      <w:pPr>
        <w:widowControl w:val="0"/>
      </w:pPr>
    </w:p>
    <w:p w:rsidR="00DD0252" w:rsidRPr="003B09CD" w:rsidRDefault="00DD0252" w:rsidP="00DD0252">
      <w:pPr>
        <w:rPr>
          <w:rFonts w:eastAsia="Times New Roman" w:cs="Arial"/>
          <w:szCs w:val="20"/>
          <w:lang w:val="es-ES_tradnl" w:eastAsia="es-ES"/>
        </w:rPr>
      </w:pPr>
      <w:r>
        <w:rPr>
          <w:rFonts w:eastAsia="Times New Roman" w:cs="Arial"/>
          <w:szCs w:val="20"/>
          <w:lang w:val="es-ES_tradnl" w:eastAsia="es-ES"/>
        </w:rPr>
        <w:t xml:space="preserve">En cifras absolutas, el empleo terciario en 2014 </w:t>
      </w:r>
      <w:r w:rsidR="007E0949">
        <w:rPr>
          <w:rFonts w:eastAsia="Times New Roman" w:cs="Arial"/>
          <w:szCs w:val="20"/>
          <w:lang w:val="es-ES_tradnl" w:eastAsia="es-ES"/>
        </w:rPr>
        <w:t>asciende a un</w:t>
      </w:r>
      <w:r>
        <w:rPr>
          <w:rFonts w:eastAsia="Times New Roman" w:cs="Arial"/>
          <w:szCs w:val="20"/>
          <w:lang w:val="es-ES_tradnl" w:eastAsia="es-ES"/>
        </w:rPr>
        <w:t xml:space="preserve"> total de 29.005 empleos, lo que supone más de la mitad (53,1%) del empleo de las FCES. A pesar de ello, estas cifras quedan aún alejadas de los 31.171 empleos registrados en el año 2010. Para el conjunto del cuatrienio 2010-2014 dejan todavía una herencia de destrucción neta de </w:t>
      </w:r>
      <w:r w:rsidRPr="003B09CD">
        <w:rPr>
          <w:rFonts w:eastAsia="Times New Roman" w:cs="Arial"/>
          <w:szCs w:val="20"/>
          <w:lang w:val="es-ES_tradnl" w:eastAsia="es-ES"/>
        </w:rPr>
        <w:t>empleo de 2.166 empleos en el sector servicios.</w:t>
      </w:r>
    </w:p>
    <w:p w:rsidR="00DD0252" w:rsidRPr="00DD0252" w:rsidRDefault="00DD0252" w:rsidP="004114B8">
      <w:pPr>
        <w:widowControl w:val="0"/>
        <w:rPr>
          <w:lang w:val="es-ES_tradnl"/>
        </w:rPr>
      </w:pPr>
    </w:p>
    <w:p w:rsidR="004114B8" w:rsidRDefault="004114B8" w:rsidP="00BD60C8">
      <w:pPr>
        <w:rPr>
          <w:rFonts w:eastAsia="Times New Roman" w:cs="Arial"/>
          <w:szCs w:val="20"/>
          <w:lang w:val="es-ES_tradnl" w:eastAsia="es-ES"/>
        </w:rPr>
      </w:pPr>
      <w:r>
        <w:rPr>
          <w:rFonts w:eastAsia="Times New Roman" w:cs="Arial"/>
          <w:szCs w:val="20"/>
          <w:lang w:val="es-ES_tradnl" w:eastAsia="es-ES"/>
        </w:rPr>
        <w:t>Por su parte</w:t>
      </w:r>
      <w:r w:rsidR="00FB3B69">
        <w:rPr>
          <w:rFonts w:eastAsia="Times New Roman" w:cs="Arial"/>
          <w:szCs w:val="20"/>
          <w:lang w:val="es-ES_tradnl" w:eastAsia="es-ES"/>
        </w:rPr>
        <w:t xml:space="preserve">, </w:t>
      </w:r>
      <w:r>
        <w:rPr>
          <w:rFonts w:eastAsia="Times New Roman" w:cs="Arial"/>
          <w:szCs w:val="20"/>
          <w:lang w:val="es-ES_tradnl" w:eastAsia="es-ES"/>
        </w:rPr>
        <w:t>el negativo comportamiento registrado en el sector industrial, con una caída del 7,5%</w:t>
      </w:r>
      <w:r w:rsidR="00FB3B69">
        <w:rPr>
          <w:rFonts w:eastAsia="Times New Roman" w:cs="Arial"/>
          <w:szCs w:val="20"/>
          <w:lang w:val="es-ES_tradnl" w:eastAsia="es-ES"/>
        </w:rPr>
        <w:t xml:space="preserve"> en el último bienio</w:t>
      </w:r>
      <w:r>
        <w:rPr>
          <w:rFonts w:eastAsia="Times New Roman" w:cs="Arial"/>
          <w:szCs w:val="20"/>
          <w:lang w:val="es-ES_tradnl" w:eastAsia="es-ES"/>
        </w:rPr>
        <w:t>, condicionada</w:t>
      </w:r>
      <w:r w:rsidR="00DF00EB">
        <w:rPr>
          <w:rFonts w:eastAsia="Times New Roman" w:cs="Arial"/>
          <w:szCs w:val="20"/>
          <w:lang w:val="es-ES_tradnl" w:eastAsia="es-ES"/>
        </w:rPr>
        <w:t xml:space="preserve"> por</w:t>
      </w:r>
      <w:r>
        <w:rPr>
          <w:rFonts w:eastAsia="Times New Roman" w:cs="Arial"/>
          <w:szCs w:val="20"/>
          <w:lang w:val="es-ES_tradnl" w:eastAsia="es-ES"/>
        </w:rPr>
        <w:t xml:space="preserve"> </w:t>
      </w:r>
      <w:r w:rsidR="00DF00EB">
        <w:rPr>
          <w:rFonts w:eastAsia="Times New Roman" w:cs="Arial"/>
          <w:szCs w:val="20"/>
          <w:lang w:val="es-ES_tradnl" w:eastAsia="es-ES"/>
        </w:rPr>
        <w:t>los cierres</w:t>
      </w:r>
      <w:r w:rsidR="004E5F33">
        <w:rPr>
          <w:rFonts w:eastAsia="Times New Roman" w:cs="Arial"/>
          <w:szCs w:val="20"/>
          <w:lang w:val="es-ES_tradnl" w:eastAsia="es-ES"/>
        </w:rPr>
        <w:t xml:space="preserve"> empresariales</w:t>
      </w:r>
      <w:r>
        <w:rPr>
          <w:rFonts w:eastAsia="Times New Roman" w:cs="Arial"/>
          <w:szCs w:val="20"/>
          <w:lang w:val="es-ES_tradnl" w:eastAsia="es-ES"/>
        </w:rPr>
        <w:t xml:space="preserve"> industrial</w:t>
      </w:r>
      <w:r w:rsidR="004E5F33">
        <w:rPr>
          <w:rFonts w:eastAsia="Times New Roman" w:cs="Arial"/>
          <w:szCs w:val="20"/>
          <w:lang w:val="es-ES_tradnl" w:eastAsia="es-ES"/>
        </w:rPr>
        <w:t>es</w:t>
      </w:r>
      <w:r w:rsidR="00DF00EB">
        <w:rPr>
          <w:rFonts w:eastAsia="Times New Roman" w:cs="Arial"/>
          <w:szCs w:val="20"/>
          <w:lang w:val="es-ES_tradnl" w:eastAsia="es-ES"/>
        </w:rPr>
        <w:t xml:space="preserve"> de calado </w:t>
      </w:r>
      <w:proofErr w:type="gramStart"/>
      <w:r w:rsidR="00FB3B69">
        <w:rPr>
          <w:rFonts w:eastAsia="Times New Roman" w:cs="Arial"/>
          <w:szCs w:val="20"/>
          <w:lang w:val="es-ES_tradnl" w:eastAsia="es-ES"/>
        </w:rPr>
        <w:t>registrados</w:t>
      </w:r>
      <w:proofErr w:type="gramEnd"/>
      <w:r w:rsidR="00FB3B69">
        <w:rPr>
          <w:rFonts w:eastAsia="Times New Roman" w:cs="Arial"/>
          <w:szCs w:val="20"/>
          <w:lang w:val="es-ES_tradnl" w:eastAsia="es-ES"/>
        </w:rPr>
        <w:t xml:space="preserve"> en ese periodo</w:t>
      </w:r>
      <w:r>
        <w:rPr>
          <w:rFonts w:eastAsia="Times New Roman" w:cs="Arial"/>
          <w:szCs w:val="20"/>
          <w:lang w:val="es-ES_tradnl" w:eastAsia="es-ES"/>
        </w:rPr>
        <w:t>, sitúa a</w:t>
      </w:r>
      <w:r w:rsidR="00FB3B69">
        <w:rPr>
          <w:rFonts w:eastAsia="Times New Roman" w:cs="Arial"/>
          <w:szCs w:val="20"/>
          <w:lang w:val="es-ES_tradnl" w:eastAsia="es-ES"/>
        </w:rPr>
        <w:t xml:space="preserve">l </w:t>
      </w:r>
      <w:r w:rsidR="00DF00EB">
        <w:rPr>
          <w:rFonts w:eastAsia="Times New Roman" w:cs="Arial"/>
          <w:szCs w:val="20"/>
          <w:lang w:val="es-ES_tradnl" w:eastAsia="es-ES"/>
        </w:rPr>
        <w:t>sector</w:t>
      </w:r>
      <w:r w:rsidR="00FB3B69">
        <w:rPr>
          <w:rFonts w:eastAsia="Times New Roman" w:cs="Arial"/>
          <w:szCs w:val="20"/>
          <w:lang w:val="es-ES_tradnl" w:eastAsia="es-ES"/>
        </w:rPr>
        <w:t xml:space="preserve"> industrial </w:t>
      </w:r>
      <w:r>
        <w:rPr>
          <w:rFonts w:eastAsia="Times New Roman" w:cs="Arial"/>
          <w:szCs w:val="20"/>
          <w:lang w:val="es-ES_tradnl" w:eastAsia="es-ES"/>
        </w:rPr>
        <w:t xml:space="preserve">con un total </w:t>
      </w:r>
      <w:r w:rsidR="00DF00EB">
        <w:rPr>
          <w:rFonts w:eastAsia="Times New Roman" w:cs="Arial"/>
          <w:szCs w:val="20"/>
          <w:lang w:val="es-ES_tradnl" w:eastAsia="es-ES"/>
        </w:rPr>
        <w:t>de 23.807 empleos</w:t>
      </w:r>
      <w:r w:rsidR="005E3631">
        <w:rPr>
          <w:rFonts w:eastAsia="Times New Roman" w:cs="Arial"/>
          <w:szCs w:val="20"/>
          <w:lang w:val="es-ES_tradnl" w:eastAsia="es-ES"/>
        </w:rPr>
        <w:t>; una cifra que supone u</w:t>
      </w:r>
      <w:r w:rsidR="00FB3B69">
        <w:rPr>
          <w:rFonts w:eastAsia="Times New Roman" w:cs="Arial"/>
          <w:szCs w:val="20"/>
          <w:lang w:val="es-ES_tradnl" w:eastAsia="es-ES"/>
        </w:rPr>
        <w:t xml:space="preserve">n </w:t>
      </w:r>
      <w:r>
        <w:rPr>
          <w:rFonts w:eastAsia="Times New Roman" w:cs="Arial"/>
          <w:szCs w:val="20"/>
          <w:lang w:val="es-ES_tradnl" w:eastAsia="es-ES"/>
        </w:rPr>
        <w:t xml:space="preserve">43,6% </w:t>
      </w:r>
      <w:r w:rsidR="00FB3B69">
        <w:rPr>
          <w:rFonts w:eastAsia="Times New Roman" w:cs="Arial"/>
          <w:szCs w:val="20"/>
          <w:lang w:val="es-ES_tradnl" w:eastAsia="es-ES"/>
        </w:rPr>
        <w:t>de</w:t>
      </w:r>
      <w:r w:rsidR="00DF00EB">
        <w:rPr>
          <w:rFonts w:eastAsia="Times New Roman" w:cs="Arial"/>
          <w:szCs w:val="20"/>
          <w:lang w:val="es-ES_tradnl" w:eastAsia="es-ES"/>
        </w:rPr>
        <w:t xml:space="preserve">l empleo </w:t>
      </w:r>
      <w:r w:rsidR="00FB3B69">
        <w:rPr>
          <w:rFonts w:eastAsia="Times New Roman" w:cs="Arial"/>
          <w:szCs w:val="20"/>
          <w:lang w:val="es-ES_tradnl" w:eastAsia="es-ES"/>
        </w:rPr>
        <w:t xml:space="preserve">total </w:t>
      </w:r>
      <w:r w:rsidR="00DF00EB">
        <w:rPr>
          <w:rFonts w:eastAsia="Times New Roman" w:cs="Arial"/>
          <w:szCs w:val="20"/>
          <w:lang w:val="es-ES_tradnl" w:eastAsia="es-ES"/>
        </w:rPr>
        <w:t>de la</w:t>
      </w:r>
      <w:r w:rsidR="00FB3B69">
        <w:rPr>
          <w:rFonts w:eastAsia="Times New Roman" w:cs="Arial"/>
          <w:szCs w:val="20"/>
          <w:lang w:val="es-ES_tradnl" w:eastAsia="es-ES"/>
        </w:rPr>
        <w:t>s</w:t>
      </w:r>
      <w:r w:rsidR="00DF00EB">
        <w:rPr>
          <w:rFonts w:eastAsia="Times New Roman" w:cs="Arial"/>
          <w:szCs w:val="20"/>
          <w:lang w:val="es-ES_tradnl" w:eastAsia="es-ES"/>
        </w:rPr>
        <w:t xml:space="preserve"> </w:t>
      </w:r>
      <w:r w:rsidR="00FB3B69">
        <w:rPr>
          <w:rFonts w:eastAsia="Times New Roman" w:cs="Arial"/>
          <w:szCs w:val="20"/>
          <w:lang w:val="es-ES_tradnl" w:eastAsia="es-ES"/>
        </w:rPr>
        <w:t>FCES</w:t>
      </w:r>
      <w:r>
        <w:rPr>
          <w:rFonts w:eastAsia="Times New Roman" w:cs="Arial"/>
          <w:szCs w:val="20"/>
          <w:lang w:val="es-ES_tradnl" w:eastAsia="es-ES"/>
        </w:rPr>
        <w:t xml:space="preserve">. </w:t>
      </w:r>
      <w:r w:rsidR="00DF00EB">
        <w:rPr>
          <w:rFonts w:eastAsia="Times New Roman" w:cs="Arial"/>
          <w:szCs w:val="20"/>
          <w:lang w:val="es-ES_tradnl" w:eastAsia="es-ES"/>
        </w:rPr>
        <w:t>Est</w:t>
      </w:r>
      <w:r w:rsidR="00FB3B69">
        <w:rPr>
          <w:rFonts w:eastAsia="Times New Roman" w:cs="Arial"/>
          <w:szCs w:val="20"/>
          <w:lang w:val="es-ES_tradnl" w:eastAsia="es-ES"/>
        </w:rPr>
        <w:t xml:space="preserve">a proporción </w:t>
      </w:r>
      <w:r>
        <w:rPr>
          <w:rFonts w:eastAsia="Times New Roman" w:cs="Arial"/>
          <w:szCs w:val="20"/>
          <w:lang w:val="es-ES_tradnl" w:eastAsia="es-ES"/>
        </w:rPr>
        <w:t>contrasta con el nivel</w:t>
      </w:r>
      <w:r w:rsidR="004E5F33">
        <w:rPr>
          <w:rFonts w:eastAsia="Times New Roman" w:cs="Arial"/>
          <w:szCs w:val="20"/>
          <w:lang w:val="es-ES_tradnl" w:eastAsia="es-ES"/>
        </w:rPr>
        <w:t xml:space="preserve"> registrado en años precedentes a</w:t>
      </w:r>
      <w:r>
        <w:rPr>
          <w:rFonts w:eastAsia="Times New Roman" w:cs="Arial"/>
          <w:szCs w:val="20"/>
          <w:lang w:val="es-ES_tradnl" w:eastAsia="es-ES"/>
        </w:rPr>
        <w:t xml:space="preserve"> la crisis, donde la contribución del empleo industrial suponía un </w:t>
      </w:r>
      <w:r w:rsidR="00DF00EB">
        <w:rPr>
          <w:rFonts w:eastAsia="Times New Roman" w:cs="Arial"/>
          <w:szCs w:val="20"/>
          <w:lang w:val="es-ES_tradnl" w:eastAsia="es-ES"/>
        </w:rPr>
        <w:t xml:space="preserve">51% </w:t>
      </w:r>
      <w:r w:rsidR="00FB3B69">
        <w:rPr>
          <w:rFonts w:eastAsia="Times New Roman" w:cs="Arial"/>
          <w:szCs w:val="20"/>
          <w:lang w:val="es-ES_tradnl" w:eastAsia="es-ES"/>
        </w:rPr>
        <w:t>del empleo</w:t>
      </w:r>
      <w:r w:rsidR="00DF00EB">
        <w:rPr>
          <w:rFonts w:eastAsia="Times New Roman" w:cs="Arial"/>
          <w:szCs w:val="20"/>
          <w:lang w:val="es-ES_tradnl" w:eastAsia="es-ES"/>
        </w:rPr>
        <w:t>,</w:t>
      </w:r>
      <w:r>
        <w:rPr>
          <w:rFonts w:eastAsia="Times New Roman" w:cs="Arial"/>
          <w:szCs w:val="20"/>
          <w:lang w:val="es-ES_tradnl" w:eastAsia="es-ES"/>
        </w:rPr>
        <w:t xml:space="preserve"> </w:t>
      </w:r>
      <w:r w:rsidR="00FB3B69">
        <w:rPr>
          <w:rFonts w:eastAsia="Times New Roman" w:cs="Arial"/>
          <w:szCs w:val="20"/>
          <w:lang w:val="es-ES_tradnl" w:eastAsia="es-ES"/>
        </w:rPr>
        <w:t xml:space="preserve">con una cifra absoluta que llegaba a </w:t>
      </w:r>
      <w:r>
        <w:rPr>
          <w:rFonts w:eastAsia="Times New Roman" w:cs="Arial"/>
          <w:szCs w:val="20"/>
          <w:lang w:val="es-ES_tradnl" w:eastAsia="es-ES"/>
        </w:rPr>
        <w:t>los 32.350 puestos de trabajo</w:t>
      </w:r>
      <w:r w:rsidR="00FB3B69">
        <w:rPr>
          <w:rFonts w:eastAsia="Times New Roman" w:cs="Arial"/>
          <w:szCs w:val="20"/>
          <w:lang w:val="es-ES_tradnl" w:eastAsia="es-ES"/>
        </w:rPr>
        <w:t xml:space="preserve"> en 2006</w:t>
      </w:r>
      <w:r>
        <w:rPr>
          <w:rFonts w:eastAsia="Times New Roman" w:cs="Arial"/>
          <w:szCs w:val="20"/>
          <w:lang w:val="es-ES_tradnl" w:eastAsia="es-ES"/>
        </w:rPr>
        <w:t>.</w:t>
      </w:r>
    </w:p>
    <w:p w:rsidR="004114B8" w:rsidRPr="006F46C5" w:rsidRDefault="004114B8" w:rsidP="004114B8">
      <w:pPr>
        <w:rPr>
          <w:rFonts w:eastAsia="Times New Roman" w:cs="Arial"/>
          <w:szCs w:val="20"/>
          <w:lang w:val="es-ES_tradnl" w:eastAsia="es-ES"/>
        </w:rPr>
      </w:pPr>
    </w:p>
    <w:p w:rsidR="004114B8" w:rsidRPr="009262B3" w:rsidRDefault="004114B8" w:rsidP="004114B8">
      <w:pPr>
        <w:widowControl w:val="0"/>
        <w:spacing w:line="240" w:lineRule="auto"/>
        <w:jc w:val="center"/>
        <w:rPr>
          <w:rFonts w:cs="Arial"/>
          <w:b/>
          <w:color w:val="1F497D" w:themeColor="text2"/>
          <w:sz w:val="18"/>
          <w:szCs w:val="18"/>
        </w:rPr>
      </w:pPr>
      <w:r w:rsidRPr="009262B3">
        <w:rPr>
          <w:rFonts w:cs="Arial"/>
          <w:b/>
          <w:color w:val="1F497D" w:themeColor="text2"/>
          <w:sz w:val="18"/>
          <w:szCs w:val="18"/>
        </w:rPr>
        <w:t>DISTRIBUCIÓN SECTORIAL DEL EMPL</w:t>
      </w:r>
      <w:r>
        <w:rPr>
          <w:rFonts w:cs="Arial"/>
          <w:b/>
          <w:color w:val="1F497D" w:themeColor="text2"/>
          <w:sz w:val="18"/>
          <w:szCs w:val="18"/>
        </w:rPr>
        <w:t>EO DE LA ECONOMÍA SOCIAL EN 2012 y 2014</w:t>
      </w:r>
      <w:r w:rsidRPr="009262B3">
        <w:rPr>
          <w:rFonts w:cs="Arial"/>
          <w:b/>
          <w:color w:val="1F497D" w:themeColor="text2"/>
          <w:sz w:val="18"/>
          <w:szCs w:val="18"/>
        </w:rPr>
        <w:t xml:space="preserve"> </w:t>
      </w:r>
      <w:r w:rsidRPr="009262B3">
        <w:rPr>
          <w:rFonts w:cs="Arial"/>
          <w:b/>
          <w:noProof/>
          <w:color w:val="1F497D" w:themeColor="text2"/>
          <w:sz w:val="18"/>
          <w:szCs w:val="18"/>
        </w:rPr>
        <w:t>(</w:t>
      </w:r>
      <w:r>
        <w:rPr>
          <w:rFonts w:cs="Arial"/>
          <w:b/>
          <w:noProof/>
          <w:color w:val="1F497D" w:themeColor="text2"/>
          <w:sz w:val="18"/>
          <w:szCs w:val="18"/>
        </w:rPr>
        <w:t>cifras absolutas y % verticales</w:t>
      </w:r>
      <w:r w:rsidRPr="009262B3">
        <w:rPr>
          <w:rFonts w:cs="Arial"/>
          <w:b/>
          <w:noProof/>
          <w:color w:val="1F497D" w:themeColor="text2"/>
          <w:sz w:val="18"/>
          <w:szCs w:val="18"/>
        </w:rPr>
        <w:t>)</w:t>
      </w:r>
    </w:p>
    <w:tbl>
      <w:tblPr>
        <w:tblW w:w="5000" w:type="pct"/>
        <w:jc w:val="center"/>
        <w:tblLook w:val="04A0" w:firstRow="1" w:lastRow="0" w:firstColumn="1" w:lastColumn="0" w:noHBand="0" w:noVBand="1"/>
      </w:tblPr>
      <w:tblGrid>
        <w:gridCol w:w="2678"/>
        <w:gridCol w:w="1698"/>
        <w:gridCol w:w="20"/>
        <w:gridCol w:w="1610"/>
        <w:gridCol w:w="1617"/>
        <w:gridCol w:w="1381"/>
      </w:tblGrid>
      <w:tr w:rsidR="004114B8" w:rsidRPr="008F2765" w:rsidTr="00AF3C20">
        <w:trPr>
          <w:jc w:val="center"/>
        </w:trPr>
        <w:tc>
          <w:tcPr>
            <w:tcW w:w="1487"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rPr>
                <w:rFonts w:cs="Arial"/>
                <w:b/>
                <w:sz w:val="16"/>
                <w:szCs w:val="16"/>
              </w:rPr>
            </w:pPr>
          </w:p>
        </w:tc>
        <w:tc>
          <w:tcPr>
            <w:tcW w:w="184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jc w:val="center"/>
              <w:rPr>
                <w:rFonts w:cs="Arial"/>
                <w:b/>
                <w:bCs/>
                <w:sz w:val="16"/>
                <w:szCs w:val="16"/>
              </w:rPr>
            </w:pPr>
            <w:r>
              <w:rPr>
                <w:rFonts w:cs="Arial"/>
                <w:b/>
                <w:bCs/>
                <w:sz w:val="16"/>
                <w:szCs w:val="16"/>
              </w:rPr>
              <w:t>2012</w:t>
            </w:r>
          </w:p>
        </w:tc>
        <w:tc>
          <w:tcPr>
            <w:tcW w:w="16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jc w:val="center"/>
              <w:rPr>
                <w:rFonts w:cs="Arial"/>
                <w:b/>
                <w:bCs/>
                <w:sz w:val="16"/>
                <w:szCs w:val="16"/>
              </w:rPr>
            </w:pPr>
            <w:r>
              <w:rPr>
                <w:rFonts w:cs="Arial"/>
                <w:b/>
                <w:bCs/>
                <w:sz w:val="16"/>
                <w:szCs w:val="16"/>
              </w:rPr>
              <w:t>2014</w:t>
            </w:r>
          </w:p>
        </w:tc>
      </w:tr>
      <w:tr w:rsidR="004114B8" w:rsidRPr="008F2765" w:rsidTr="00AF3C20">
        <w:trPr>
          <w:jc w:val="center"/>
        </w:trPr>
        <w:tc>
          <w:tcPr>
            <w:tcW w:w="1487"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rPr>
                <w:rFonts w:cs="Arial"/>
                <w:b/>
                <w:sz w:val="16"/>
                <w:szCs w:val="16"/>
              </w:rPr>
            </w:pPr>
          </w:p>
        </w:tc>
        <w:tc>
          <w:tcPr>
            <w:tcW w:w="95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jc w:val="center"/>
              <w:rPr>
                <w:rFonts w:cs="Arial"/>
                <w:b/>
                <w:bCs/>
                <w:sz w:val="16"/>
                <w:szCs w:val="16"/>
              </w:rPr>
            </w:pPr>
            <w:r>
              <w:rPr>
                <w:rFonts w:cs="Arial"/>
                <w:b/>
                <w:bCs/>
                <w:sz w:val="16"/>
                <w:szCs w:val="16"/>
              </w:rPr>
              <w:t>% ver.</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76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4114B8" w:rsidRPr="008F2765" w:rsidRDefault="004114B8" w:rsidP="00D86960">
            <w:pPr>
              <w:widowControl w:val="0"/>
              <w:spacing w:line="240" w:lineRule="exact"/>
              <w:jc w:val="center"/>
              <w:rPr>
                <w:rFonts w:cs="Arial"/>
                <w:b/>
                <w:bCs/>
                <w:sz w:val="16"/>
                <w:szCs w:val="16"/>
              </w:rPr>
            </w:pPr>
            <w:r>
              <w:rPr>
                <w:rFonts w:cs="Arial"/>
                <w:b/>
                <w:bCs/>
                <w:sz w:val="16"/>
                <w:szCs w:val="16"/>
              </w:rPr>
              <w:t>% ver.</w:t>
            </w:r>
          </w:p>
        </w:tc>
      </w:tr>
      <w:tr w:rsidR="004114B8" w:rsidRPr="00D96911" w:rsidTr="00AF3C20">
        <w:trPr>
          <w:jc w:val="center"/>
        </w:trPr>
        <w:tc>
          <w:tcPr>
            <w:tcW w:w="1487" w:type="pct"/>
            <w:tcBorders>
              <w:top w:val="single" w:sz="4" w:space="0" w:color="BFBFBF" w:themeColor="background1" w:themeShade="BF"/>
              <w:right w:val="single" w:sz="4" w:space="0" w:color="BFBFBF" w:themeColor="background1" w:themeShade="BF"/>
            </w:tcBorders>
            <w:hideMark/>
          </w:tcPr>
          <w:p w:rsidR="004114B8" w:rsidRPr="00D96911" w:rsidRDefault="004114B8" w:rsidP="00D86960">
            <w:pPr>
              <w:widowControl w:val="0"/>
              <w:spacing w:line="240" w:lineRule="exact"/>
              <w:rPr>
                <w:rFonts w:cs="Arial"/>
                <w:sz w:val="16"/>
                <w:szCs w:val="16"/>
              </w:rPr>
            </w:pPr>
            <w:r w:rsidRPr="00D96911">
              <w:rPr>
                <w:rFonts w:cs="Arial"/>
                <w:sz w:val="16"/>
                <w:szCs w:val="16"/>
              </w:rPr>
              <w:t xml:space="preserve">Primario </w:t>
            </w:r>
          </w:p>
        </w:tc>
        <w:tc>
          <w:tcPr>
            <w:tcW w:w="943" w:type="pct"/>
            <w:tcBorders>
              <w:top w:val="single" w:sz="4" w:space="0" w:color="BFBFBF" w:themeColor="background1" w:themeShade="BF"/>
              <w:lef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117</w:t>
            </w:r>
          </w:p>
        </w:tc>
        <w:tc>
          <w:tcPr>
            <w:tcW w:w="905" w:type="pct"/>
            <w:gridSpan w:val="2"/>
            <w:tcBorders>
              <w:top w:val="single" w:sz="4" w:space="0" w:color="BFBFBF" w:themeColor="background1" w:themeShade="BF"/>
              <w:righ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0,2</w:t>
            </w:r>
          </w:p>
        </w:tc>
        <w:tc>
          <w:tcPr>
            <w:tcW w:w="898" w:type="pct"/>
            <w:tcBorders>
              <w:top w:val="single" w:sz="4" w:space="0" w:color="BFBFBF" w:themeColor="background1" w:themeShade="BF"/>
              <w:left w:val="single" w:sz="4" w:space="0" w:color="BFBFBF" w:themeColor="background1" w:themeShade="BF"/>
            </w:tcBorders>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171</w:t>
            </w:r>
          </w:p>
        </w:tc>
        <w:tc>
          <w:tcPr>
            <w:tcW w:w="767" w:type="pct"/>
            <w:tcBorders>
              <w:top w:val="single" w:sz="4" w:space="0" w:color="BFBFBF" w:themeColor="background1" w:themeShade="BF"/>
            </w:tcBorders>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0,3</w:t>
            </w:r>
          </w:p>
        </w:tc>
      </w:tr>
      <w:tr w:rsidR="004114B8" w:rsidRPr="00D96911" w:rsidTr="00AF3C20">
        <w:trPr>
          <w:jc w:val="center"/>
        </w:trPr>
        <w:tc>
          <w:tcPr>
            <w:tcW w:w="1487" w:type="pct"/>
            <w:tcBorders>
              <w:right w:val="single" w:sz="4" w:space="0" w:color="BFBFBF" w:themeColor="background1" w:themeShade="BF"/>
            </w:tcBorders>
            <w:hideMark/>
          </w:tcPr>
          <w:p w:rsidR="004114B8" w:rsidRPr="00D96911" w:rsidRDefault="004114B8" w:rsidP="00D86960">
            <w:pPr>
              <w:widowControl w:val="0"/>
              <w:spacing w:line="240" w:lineRule="exact"/>
              <w:rPr>
                <w:rFonts w:cs="Arial"/>
                <w:sz w:val="16"/>
                <w:szCs w:val="16"/>
              </w:rPr>
            </w:pPr>
            <w:r w:rsidRPr="00D96911">
              <w:rPr>
                <w:rFonts w:cs="Arial"/>
                <w:sz w:val="16"/>
                <w:szCs w:val="16"/>
              </w:rPr>
              <w:t>Industria</w:t>
            </w:r>
          </w:p>
        </w:tc>
        <w:tc>
          <w:tcPr>
            <w:tcW w:w="943" w:type="pct"/>
            <w:tcBorders>
              <w:lef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25.727</w:t>
            </w:r>
          </w:p>
        </w:tc>
        <w:tc>
          <w:tcPr>
            <w:tcW w:w="905" w:type="pct"/>
            <w:gridSpan w:val="2"/>
            <w:tcBorders>
              <w:righ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46,1</w:t>
            </w:r>
          </w:p>
        </w:tc>
        <w:tc>
          <w:tcPr>
            <w:tcW w:w="898" w:type="pct"/>
            <w:tcBorders>
              <w:left w:val="single" w:sz="4" w:space="0" w:color="BFBFBF" w:themeColor="background1" w:themeShade="BF"/>
            </w:tcBorders>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23.807</w:t>
            </w:r>
          </w:p>
        </w:tc>
        <w:tc>
          <w:tcPr>
            <w:tcW w:w="767" w:type="pct"/>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43,6</w:t>
            </w:r>
          </w:p>
        </w:tc>
      </w:tr>
      <w:tr w:rsidR="004114B8" w:rsidRPr="00D96911" w:rsidTr="00AF3C20">
        <w:trPr>
          <w:jc w:val="center"/>
        </w:trPr>
        <w:tc>
          <w:tcPr>
            <w:tcW w:w="1487" w:type="pct"/>
            <w:tcBorders>
              <w:right w:val="single" w:sz="4" w:space="0" w:color="BFBFBF" w:themeColor="background1" w:themeShade="BF"/>
            </w:tcBorders>
            <w:hideMark/>
          </w:tcPr>
          <w:p w:rsidR="004114B8" w:rsidRPr="00D96911" w:rsidRDefault="004114B8" w:rsidP="00D86960">
            <w:pPr>
              <w:widowControl w:val="0"/>
              <w:spacing w:line="240" w:lineRule="exact"/>
              <w:rPr>
                <w:rFonts w:cs="Arial"/>
                <w:sz w:val="16"/>
                <w:szCs w:val="16"/>
              </w:rPr>
            </w:pPr>
            <w:r w:rsidRPr="00D96911">
              <w:rPr>
                <w:rFonts w:cs="Arial"/>
                <w:sz w:val="16"/>
                <w:szCs w:val="16"/>
              </w:rPr>
              <w:t>Construcción</w:t>
            </w:r>
          </w:p>
        </w:tc>
        <w:tc>
          <w:tcPr>
            <w:tcW w:w="943" w:type="pct"/>
            <w:tcBorders>
              <w:lef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2.000</w:t>
            </w:r>
          </w:p>
        </w:tc>
        <w:tc>
          <w:tcPr>
            <w:tcW w:w="905" w:type="pct"/>
            <w:gridSpan w:val="2"/>
            <w:tcBorders>
              <w:righ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3,6</w:t>
            </w:r>
          </w:p>
        </w:tc>
        <w:tc>
          <w:tcPr>
            <w:tcW w:w="898" w:type="pct"/>
            <w:tcBorders>
              <w:left w:val="single" w:sz="4" w:space="0" w:color="BFBFBF" w:themeColor="background1" w:themeShade="BF"/>
            </w:tcBorders>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1.599</w:t>
            </w:r>
          </w:p>
        </w:tc>
        <w:tc>
          <w:tcPr>
            <w:tcW w:w="767" w:type="pct"/>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2,9</w:t>
            </w:r>
          </w:p>
        </w:tc>
      </w:tr>
      <w:tr w:rsidR="004114B8" w:rsidRPr="00D96911" w:rsidTr="00AF3C20">
        <w:trPr>
          <w:jc w:val="center"/>
        </w:trPr>
        <w:tc>
          <w:tcPr>
            <w:tcW w:w="1487" w:type="pct"/>
            <w:tcBorders>
              <w:bottom w:val="single" w:sz="4" w:space="0" w:color="BFBFBF" w:themeColor="background1" w:themeShade="BF"/>
              <w:right w:val="single" w:sz="4" w:space="0" w:color="BFBFBF" w:themeColor="background1" w:themeShade="BF"/>
            </w:tcBorders>
            <w:hideMark/>
          </w:tcPr>
          <w:p w:rsidR="004114B8" w:rsidRPr="00D96911" w:rsidRDefault="004114B8" w:rsidP="00D86960">
            <w:pPr>
              <w:widowControl w:val="0"/>
              <w:spacing w:line="240" w:lineRule="exact"/>
              <w:rPr>
                <w:rFonts w:cs="Arial"/>
                <w:sz w:val="16"/>
                <w:szCs w:val="16"/>
              </w:rPr>
            </w:pPr>
            <w:r w:rsidRPr="00D96911">
              <w:rPr>
                <w:rFonts w:cs="Arial"/>
                <w:sz w:val="16"/>
                <w:szCs w:val="16"/>
              </w:rPr>
              <w:t>Servicios</w:t>
            </w:r>
          </w:p>
        </w:tc>
        <w:tc>
          <w:tcPr>
            <w:tcW w:w="943" w:type="pct"/>
            <w:tcBorders>
              <w:left w:val="single" w:sz="4" w:space="0" w:color="BFBFBF" w:themeColor="background1" w:themeShade="BF"/>
              <w:bottom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27.966</w:t>
            </w:r>
          </w:p>
        </w:tc>
        <w:tc>
          <w:tcPr>
            <w:tcW w:w="905" w:type="pct"/>
            <w:gridSpan w:val="2"/>
            <w:tcBorders>
              <w:bottom w:val="single" w:sz="4" w:space="0" w:color="BFBFBF" w:themeColor="background1" w:themeShade="BF"/>
              <w:righ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sz w:val="16"/>
                <w:szCs w:val="16"/>
              </w:rPr>
            </w:pPr>
            <w:r w:rsidRPr="00D96911">
              <w:rPr>
                <w:rFonts w:cs="Arial"/>
                <w:sz w:val="16"/>
                <w:szCs w:val="16"/>
              </w:rPr>
              <w:t>50,1</w:t>
            </w:r>
          </w:p>
        </w:tc>
        <w:tc>
          <w:tcPr>
            <w:tcW w:w="898" w:type="pct"/>
            <w:tcBorders>
              <w:left w:val="single" w:sz="4" w:space="0" w:color="BFBFBF" w:themeColor="background1" w:themeShade="BF"/>
              <w:bottom w:val="single" w:sz="4" w:space="0" w:color="BFBFBF" w:themeColor="background1" w:themeShade="BF"/>
            </w:tcBorders>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29.005</w:t>
            </w:r>
          </w:p>
        </w:tc>
        <w:tc>
          <w:tcPr>
            <w:tcW w:w="767" w:type="pct"/>
            <w:tcBorders>
              <w:bottom w:val="single" w:sz="4" w:space="0" w:color="BFBFBF" w:themeColor="background1" w:themeShade="BF"/>
            </w:tcBorders>
            <w:vAlign w:val="bottom"/>
            <w:hideMark/>
          </w:tcPr>
          <w:p w:rsidR="004114B8" w:rsidRPr="000F1E35" w:rsidRDefault="004114B8" w:rsidP="00D86960">
            <w:pPr>
              <w:widowControl w:val="0"/>
              <w:spacing w:line="240" w:lineRule="exact"/>
              <w:ind w:right="170"/>
              <w:jc w:val="right"/>
              <w:rPr>
                <w:rFonts w:cs="Arial"/>
                <w:sz w:val="16"/>
                <w:szCs w:val="16"/>
              </w:rPr>
            </w:pPr>
            <w:r w:rsidRPr="000F1E35">
              <w:rPr>
                <w:rFonts w:cs="Arial"/>
                <w:sz w:val="16"/>
                <w:szCs w:val="16"/>
              </w:rPr>
              <w:t>53,1</w:t>
            </w:r>
          </w:p>
        </w:tc>
      </w:tr>
      <w:tr w:rsidR="004114B8" w:rsidRPr="00D96911" w:rsidTr="00AF3C20">
        <w:trPr>
          <w:jc w:val="center"/>
        </w:trPr>
        <w:tc>
          <w:tcPr>
            <w:tcW w:w="148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114B8" w:rsidRPr="00D96911" w:rsidRDefault="004114B8" w:rsidP="00D86960">
            <w:pPr>
              <w:widowControl w:val="0"/>
              <w:spacing w:line="240" w:lineRule="exact"/>
              <w:rPr>
                <w:rFonts w:cs="Arial"/>
                <w:b/>
                <w:bCs/>
                <w:sz w:val="16"/>
                <w:szCs w:val="16"/>
              </w:rPr>
            </w:pPr>
            <w:r w:rsidRPr="00D96911">
              <w:rPr>
                <w:rFonts w:cs="Arial"/>
                <w:b/>
                <w:bCs/>
                <w:sz w:val="16"/>
                <w:szCs w:val="16"/>
              </w:rPr>
              <w:t>TOTAL</w:t>
            </w:r>
          </w:p>
        </w:tc>
        <w:tc>
          <w:tcPr>
            <w:tcW w:w="943"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b/>
                <w:bCs/>
                <w:sz w:val="16"/>
                <w:szCs w:val="16"/>
              </w:rPr>
            </w:pPr>
            <w:r w:rsidRPr="00D96911">
              <w:rPr>
                <w:rFonts w:cs="Arial"/>
                <w:b/>
                <w:bCs/>
                <w:sz w:val="16"/>
                <w:szCs w:val="16"/>
              </w:rPr>
              <w:t>55.809</w:t>
            </w:r>
          </w:p>
        </w:tc>
        <w:tc>
          <w:tcPr>
            <w:tcW w:w="905"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b/>
                <w:bCs/>
                <w:sz w:val="16"/>
                <w:szCs w:val="16"/>
              </w:rPr>
            </w:pPr>
            <w:r w:rsidRPr="00D96911">
              <w:rPr>
                <w:rFonts w:cs="Arial"/>
                <w:b/>
                <w:bCs/>
                <w:sz w:val="16"/>
                <w:szCs w:val="16"/>
              </w:rPr>
              <w:t>100</w:t>
            </w:r>
            <w:r w:rsidR="00E85C7E">
              <w:rPr>
                <w:rFonts w:cs="Arial"/>
                <w:b/>
                <w:bCs/>
                <w:sz w:val="16"/>
                <w:szCs w:val="16"/>
              </w:rPr>
              <w:t>,0</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b/>
                <w:bCs/>
                <w:sz w:val="16"/>
                <w:szCs w:val="16"/>
              </w:rPr>
            </w:pPr>
            <w:r w:rsidRPr="000F1E35">
              <w:rPr>
                <w:rFonts w:cs="Arial"/>
                <w:b/>
                <w:bCs/>
                <w:sz w:val="16"/>
                <w:szCs w:val="16"/>
              </w:rPr>
              <w:t>54.582</w:t>
            </w:r>
          </w:p>
        </w:tc>
        <w:tc>
          <w:tcPr>
            <w:tcW w:w="767" w:type="pct"/>
            <w:tcBorders>
              <w:top w:val="single" w:sz="4" w:space="0" w:color="BFBFBF" w:themeColor="background1" w:themeShade="BF"/>
              <w:bottom w:val="single" w:sz="4" w:space="0" w:color="BFBFBF" w:themeColor="background1" w:themeShade="BF"/>
            </w:tcBorders>
            <w:hideMark/>
          </w:tcPr>
          <w:p w:rsidR="004114B8" w:rsidRPr="00D96911" w:rsidRDefault="004114B8" w:rsidP="00D86960">
            <w:pPr>
              <w:widowControl w:val="0"/>
              <w:spacing w:line="240" w:lineRule="exact"/>
              <w:ind w:right="170"/>
              <w:jc w:val="right"/>
              <w:rPr>
                <w:rFonts w:cs="Arial"/>
                <w:b/>
                <w:bCs/>
                <w:sz w:val="16"/>
                <w:szCs w:val="16"/>
              </w:rPr>
            </w:pPr>
            <w:r w:rsidRPr="00D96911">
              <w:rPr>
                <w:rFonts w:cs="Arial"/>
                <w:b/>
                <w:bCs/>
                <w:sz w:val="16"/>
                <w:szCs w:val="16"/>
              </w:rPr>
              <w:t>100</w:t>
            </w:r>
            <w:r w:rsidR="00E85C7E">
              <w:rPr>
                <w:rFonts w:cs="Arial"/>
                <w:b/>
                <w:bCs/>
                <w:sz w:val="16"/>
                <w:szCs w:val="16"/>
              </w:rPr>
              <w:t>,0</w:t>
            </w:r>
          </w:p>
        </w:tc>
      </w:tr>
    </w:tbl>
    <w:p w:rsidR="00BD60C8" w:rsidRDefault="00BD60C8" w:rsidP="00BD60C8">
      <w:pPr>
        <w:rPr>
          <w:rFonts w:eastAsia="Times New Roman" w:cs="Arial"/>
          <w:szCs w:val="20"/>
          <w:lang w:val="es-ES_tradnl" w:eastAsia="es-ES"/>
        </w:rPr>
      </w:pPr>
    </w:p>
    <w:p w:rsidR="00FB3B69" w:rsidRDefault="00FB3B69" w:rsidP="00BD60C8">
      <w:pPr>
        <w:rPr>
          <w:rFonts w:eastAsia="Times New Roman" w:cs="Arial"/>
          <w:szCs w:val="20"/>
          <w:lang w:val="es-ES_tradnl" w:eastAsia="es-ES"/>
        </w:rPr>
      </w:pPr>
    </w:p>
    <w:p w:rsidR="004114B8" w:rsidRDefault="00FB3B69" w:rsidP="00BD60C8">
      <w:pPr>
        <w:rPr>
          <w:rFonts w:eastAsia="Times New Roman" w:cs="Arial"/>
          <w:szCs w:val="20"/>
          <w:lang w:val="es-ES_tradnl" w:eastAsia="es-ES"/>
        </w:rPr>
      </w:pPr>
      <w:r>
        <w:rPr>
          <w:rFonts w:eastAsia="Times New Roman" w:cs="Arial"/>
          <w:szCs w:val="20"/>
          <w:lang w:val="es-ES_tradnl" w:eastAsia="es-ES"/>
        </w:rPr>
        <w:t>En el contexto general de la economía vasca, l</w:t>
      </w:r>
      <w:r w:rsidR="004114B8">
        <w:rPr>
          <w:rFonts w:eastAsia="Times New Roman" w:cs="Arial"/>
          <w:szCs w:val="20"/>
          <w:lang w:val="es-ES_tradnl" w:eastAsia="es-ES"/>
        </w:rPr>
        <w:t xml:space="preserve">a importancia relativa del empleo terciario de la Economía Social </w:t>
      </w:r>
      <w:r>
        <w:rPr>
          <w:rFonts w:eastAsia="Times New Roman" w:cs="Arial"/>
          <w:szCs w:val="20"/>
          <w:lang w:val="es-ES_tradnl" w:eastAsia="es-ES"/>
        </w:rPr>
        <w:t xml:space="preserve">tiende a mantenerse a largo plazo. Así, después de reducirse de 4,9 a 4,5% entre 2010 y 2014, </w:t>
      </w:r>
      <w:r w:rsidR="004114B8">
        <w:rPr>
          <w:rFonts w:eastAsia="Times New Roman" w:cs="Arial"/>
          <w:szCs w:val="20"/>
          <w:lang w:val="es-ES_tradnl" w:eastAsia="es-ES"/>
        </w:rPr>
        <w:t xml:space="preserve">la participación del sector servicios se </w:t>
      </w:r>
      <w:r>
        <w:rPr>
          <w:rFonts w:eastAsia="Times New Roman" w:cs="Arial"/>
          <w:szCs w:val="20"/>
          <w:lang w:val="es-ES_tradnl" w:eastAsia="es-ES"/>
        </w:rPr>
        <w:t xml:space="preserve">estabiliza </w:t>
      </w:r>
      <w:r w:rsidR="004114B8">
        <w:rPr>
          <w:rFonts w:eastAsia="Times New Roman" w:cs="Arial"/>
          <w:szCs w:val="20"/>
          <w:lang w:val="es-ES_tradnl" w:eastAsia="es-ES"/>
        </w:rPr>
        <w:t>en el 4,5%, en un nivel semejante al del año 2006 (4,6%).</w:t>
      </w:r>
    </w:p>
    <w:p w:rsidR="00BD60C8" w:rsidRDefault="00BD60C8" w:rsidP="00BD60C8">
      <w:pPr>
        <w:rPr>
          <w:rFonts w:eastAsia="Times New Roman" w:cs="Arial"/>
          <w:szCs w:val="20"/>
          <w:lang w:val="es-ES_tradnl" w:eastAsia="es-ES"/>
        </w:rPr>
      </w:pPr>
    </w:p>
    <w:p w:rsidR="004114B8" w:rsidRPr="003B5717" w:rsidRDefault="004114B8" w:rsidP="004114B8">
      <w:pPr>
        <w:widowControl w:val="0"/>
        <w:spacing w:line="240" w:lineRule="auto"/>
        <w:jc w:val="center"/>
        <w:rPr>
          <w:rFonts w:cs="Arial"/>
          <w:b/>
          <w:color w:val="1F497D" w:themeColor="text2"/>
          <w:sz w:val="18"/>
          <w:szCs w:val="18"/>
        </w:rPr>
      </w:pPr>
      <w:r w:rsidRPr="003B5717">
        <w:rPr>
          <w:rFonts w:cs="Arial"/>
          <w:b/>
          <w:color w:val="1F497D" w:themeColor="text2"/>
          <w:sz w:val="18"/>
          <w:szCs w:val="18"/>
        </w:rPr>
        <w:t xml:space="preserve">IMPORTANCIA RELATIVA DE LA ECONOMÍA SOCIAL EN LA ECONOMÍA DE LA CAE </w:t>
      </w:r>
      <w:r>
        <w:rPr>
          <w:rFonts w:cs="Arial"/>
          <w:b/>
          <w:color w:val="1F497D" w:themeColor="text2"/>
          <w:sz w:val="18"/>
          <w:szCs w:val="18"/>
        </w:rPr>
        <w:t>(Peso relativo del empleo). 2010</w:t>
      </w:r>
      <w:r w:rsidRPr="003B5717">
        <w:rPr>
          <w:rFonts w:cs="Arial"/>
          <w:b/>
          <w:color w:val="1F497D" w:themeColor="text2"/>
          <w:sz w:val="18"/>
          <w:szCs w:val="18"/>
        </w:rPr>
        <w:t>-201</w:t>
      </w:r>
      <w:r>
        <w:rPr>
          <w:rFonts w:cs="Arial"/>
          <w:b/>
          <w:color w:val="1F497D" w:themeColor="text2"/>
          <w:sz w:val="18"/>
          <w:szCs w:val="18"/>
        </w:rPr>
        <w:t>4</w:t>
      </w:r>
    </w:p>
    <w:p w:rsidR="004114B8" w:rsidRDefault="004114B8" w:rsidP="004114B8">
      <w:pPr>
        <w:widowControl w:val="0"/>
        <w:rPr>
          <w:b/>
          <w:highlight w:val="yellow"/>
        </w:rPr>
      </w:pPr>
    </w:p>
    <w:p w:rsidR="004114B8" w:rsidRDefault="004114B8" w:rsidP="004114B8">
      <w:pPr>
        <w:widowControl w:val="0"/>
        <w:rPr>
          <w:b/>
          <w:highlight w:val="yellow"/>
        </w:rPr>
      </w:pPr>
    </w:p>
    <w:p w:rsidR="004114B8" w:rsidRDefault="004114B8" w:rsidP="004114B8">
      <w:pPr>
        <w:widowControl w:val="0"/>
        <w:rPr>
          <w:b/>
          <w:highlight w:val="yellow"/>
        </w:rPr>
      </w:pPr>
      <w:r w:rsidRPr="006E4576">
        <w:rPr>
          <w:b/>
          <w:noProof/>
          <w:lang w:eastAsia="es-ES"/>
        </w:rPr>
        <w:drawing>
          <wp:anchor distT="0" distB="0" distL="114300" distR="114300" simplePos="0" relativeHeight="251800576" behindDoc="0" locked="0" layoutInCell="1" allowOverlap="1">
            <wp:simplePos x="0" y="0"/>
            <wp:positionH relativeFrom="column">
              <wp:posOffset>24765</wp:posOffset>
            </wp:positionH>
            <wp:positionV relativeFrom="paragraph">
              <wp:posOffset>-263525</wp:posOffset>
            </wp:positionV>
            <wp:extent cx="5362575" cy="1828800"/>
            <wp:effectExtent l="0" t="0" r="0" b="0"/>
            <wp:wrapNone/>
            <wp:docPr id="6"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114B8" w:rsidRDefault="004114B8" w:rsidP="004114B8">
      <w:pPr>
        <w:widowControl w:val="0"/>
        <w:rPr>
          <w:highlight w:val="yellow"/>
        </w:rPr>
      </w:pPr>
    </w:p>
    <w:p w:rsidR="004114B8" w:rsidRDefault="004114B8" w:rsidP="004114B8">
      <w:pPr>
        <w:widowControl w:val="0"/>
        <w:rPr>
          <w:highlight w:val="yellow"/>
        </w:rPr>
      </w:pPr>
    </w:p>
    <w:p w:rsidR="004114B8" w:rsidRDefault="004114B8" w:rsidP="004114B8">
      <w:pPr>
        <w:widowControl w:val="0"/>
        <w:rPr>
          <w:highlight w:val="yellow"/>
        </w:rPr>
      </w:pPr>
    </w:p>
    <w:p w:rsidR="004114B8" w:rsidRDefault="004114B8" w:rsidP="004114B8">
      <w:pPr>
        <w:widowControl w:val="0"/>
        <w:rPr>
          <w:highlight w:val="yellow"/>
        </w:rPr>
      </w:pPr>
    </w:p>
    <w:p w:rsidR="004114B8" w:rsidRDefault="004114B8" w:rsidP="004114B8">
      <w:pPr>
        <w:widowControl w:val="0"/>
        <w:rPr>
          <w:highlight w:val="yellow"/>
        </w:rPr>
      </w:pPr>
    </w:p>
    <w:p w:rsidR="004114B8" w:rsidRDefault="004114B8" w:rsidP="004114B8">
      <w:pPr>
        <w:widowControl w:val="0"/>
        <w:rPr>
          <w:highlight w:val="yellow"/>
        </w:rPr>
      </w:pPr>
    </w:p>
    <w:p w:rsidR="004114B8" w:rsidRPr="008E49F0" w:rsidRDefault="004114B8" w:rsidP="004114B8">
      <w:pPr>
        <w:pStyle w:val="Piedepgina"/>
        <w:widowControl w:val="0"/>
        <w:tabs>
          <w:tab w:val="clear" w:pos="4252"/>
          <w:tab w:val="clear" w:pos="8504"/>
          <w:tab w:val="left" w:pos="1276"/>
        </w:tabs>
        <w:ind w:left="1276" w:hanging="425"/>
        <w:rPr>
          <w:rFonts w:ascii="Tahoma" w:hAnsi="Tahoma" w:cs="Tahoma"/>
          <w:snapToGrid w:val="0"/>
          <w:lang w:val="es-ES_tradnl"/>
        </w:rPr>
      </w:pPr>
      <w:r w:rsidRPr="008E49F0">
        <w:rPr>
          <w:rFonts w:cs="Arial"/>
          <w:i/>
          <w:sz w:val="16"/>
          <w:szCs w:val="16"/>
        </w:rPr>
        <w:t xml:space="preserve">Nota: Los datos de </w:t>
      </w:r>
      <w:r>
        <w:rPr>
          <w:rFonts w:cs="Arial"/>
          <w:i/>
          <w:sz w:val="16"/>
          <w:szCs w:val="16"/>
        </w:rPr>
        <w:t xml:space="preserve">comparación proceden de la </w:t>
      </w:r>
      <w:r w:rsidRPr="008E49F0">
        <w:rPr>
          <w:rFonts w:cs="Arial"/>
          <w:i/>
          <w:sz w:val="16"/>
          <w:szCs w:val="16"/>
        </w:rPr>
        <w:t xml:space="preserve">Encuesta de Población en Relación con la Actividad PRA </w:t>
      </w:r>
      <w:proofErr w:type="spellStart"/>
      <w:r w:rsidRPr="008E49F0">
        <w:rPr>
          <w:rFonts w:cs="Arial"/>
          <w:i/>
          <w:sz w:val="16"/>
          <w:szCs w:val="16"/>
        </w:rPr>
        <w:t>Eustat</w:t>
      </w:r>
      <w:proofErr w:type="spellEnd"/>
      <w:r>
        <w:rPr>
          <w:rFonts w:cs="Arial"/>
          <w:i/>
          <w:sz w:val="16"/>
          <w:szCs w:val="16"/>
        </w:rPr>
        <w:t>. Promedio de ocupación anual</w:t>
      </w:r>
    </w:p>
    <w:p w:rsidR="004114B8" w:rsidRDefault="004114B8" w:rsidP="004114B8">
      <w:pPr>
        <w:widowControl w:val="0"/>
        <w:rPr>
          <w:color w:val="1F497D" w:themeColor="text2"/>
          <w:sz w:val="18"/>
          <w:szCs w:val="18"/>
          <w:lang w:val="es-ES_tradnl"/>
        </w:rPr>
      </w:pPr>
    </w:p>
    <w:p w:rsidR="00BD60C8" w:rsidRDefault="00BD60C8">
      <w:pPr>
        <w:spacing w:after="200" w:line="276" w:lineRule="auto"/>
        <w:jc w:val="left"/>
        <w:rPr>
          <w:rFonts w:eastAsia="Times New Roman" w:cs="Arial"/>
          <w:szCs w:val="20"/>
          <w:lang w:val="es-ES_tradnl" w:eastAsia="es-ES"/>
        </w:rPr>
      </w:pPr>
    </w:p>
    <w:p w:rsidR="00FB3B69" w:rsidRDefault="00FB3B69">
      <w:pPr>
        <w:spacing w:after="200" w:line="276" w:lineRule="auto"/>
        <w:jc w:val="left"/>
        <w:rPr>
          <w:rFonts w:eastAsia="Times New Roman" w:cs="Arial"/>
          <w:szCs w:val="20"/>
          <w:lang w:val="es-ES_tradnl" w:eastAsia="es-ES"/>
        </w:rPr>
      </w:pPr>
    </w:p>
    <w:p w:rsidR="00FB3B69" w:rsidRDefault="00FB3B69" w:rsidP="00FB3B69">
      <w:pPr>
        <w:rPr>
          <w:rFonts w:eastAsia="Times New Roman" w:cs="Arial"/>
          <w:szCs w:val="20"/>
          <w:lang w:val="es-ES_tradnl" w:eastAsia="es-ES"/>
        </w:rPr>
      </w:pPr>
      <w:r>
        <w:rPr>
          <w:rFonts w:eastAsia="Times New Roman" w:cs="Arial"/>
          <w:szCs w:val="20"/>
          <w:lang w:val="es-ES_tradnl" w:eastAsia="es-ES"/>
        </w:rPr>
        <w:t>Por su parte, la negativa dinámica industrial vivida en la Economía Social en el bienio 2012-2014 resulta similar a la observada en el marco general de la industria vasca, donde el empleo caía en un 7,4% en ese periodo. Esta dinámica deja una participación de</w:t>
      </w:r>
      <w:r w:rsidR="001140A6">
        <w:rPr>
          <w:rFonts w:eastAsia="Times New Roman" w:cs="Arial"/>
          <w:szCs w:val="20"/>
          <w:lang w:val="es-ES_tradnl" w:eastAsia="es-ES"/>
        </w:rPr>
        <w:t xml:space="preserve"> </w:t>
      </w:r>
      <w:r>
        <w:rPr>
          <w:rFonts w:eastAsia="Times New Roman" w:cs="Arial"/>
          <w:szCs w:val="20"/>
          <w:lang w:val="es-ES_tradnl" w:eastAsia="es-ES"/>
        </w:rPr>
        <w:t>l</w:t>
      </w:r>
      <w:r w:rsidR="001140A6">
        <w:rPr>
          <w:rFonts w:eastAsia="Times New Roman" w:cs="Arial"/>
          <w:szCs w:val="20"/>
          <w:lang w:val="es-ES_tradnl" w:eastAsia="es-ES"/>
        </w:rPr>
        <w:t>as FCES</w:t>
      </w:r>
      <w:r>
        <w:rPr>
          <w:rFonts w:eastAsia="Times New Roman" w:cs="Arial"/>
          <w:szCs w:val="20"/>
          <w:lang w:val="es-ES_tradnl" w:eastAsia="es-ES"/>
        </w:rPr>
        <w:t xml:space="preserve"> </w:t>
      </w:r>
      <w:r w:rsidR="001140A6">
        <w:rPr>
          <w:rFonts w:eastAsia="Times New Roman" w:cs="Arial"/>
          <w:szCs w:val="20"/>
          <w:lang w:val="es-ES_tradnl" w:eastAsia="es-ES"/>
        </w:rPr>
        <w:t xml:space="preserve">en el </w:t>
      </w:r>
      <w:r>
        <w:rPr>
          <w:rFonts w:eastAsia="Times New Roman" w:cs="Arial"/>
          <w:szCs w:val="20"/>
          <w:lang w:val="es-ES_tradnl" w:eastAsia="es-ES"/>
        </w:rPr>
        <w:t xml:space="preserve">empleo industrial (12,1%) </w:t>
      </w:r>
      <w:r w:rsidR="001140A6">
        <w:rPr>
          <w:rFonts w:eastAsia="Times New Roman" w:cs="Arial"/>
          <w:szCs w:val="20"/>
          <w:lang w:val="es-ES_tradnl" w:eastAsia="es-ES"/>
        </w:rPr>
        <w:t xml:space="preserve">que resulta incluso una décima </w:t>
      </w:r>
      <w:r w:rsidR="00532D24">
        <w:rPr>
          <w:rFonts w:eastAsia="Times New Roman" w:cs="Arial"/>
          <w:szCs w:val="20"/>
          <w:lang w:val="es-ES_tradnl" w:eastAsia="es-ES"/>
        </w:rPr>
        <w:t xml:space="preserve">de punto </w:t>
      </w:r>
      <w:r w:rsidR="001140A6">
        <w:rPr>
          <w:rFonts w:eastAsia="Times New Roman" w:cs="Arial"/>
          <w:szCs w:val="20"/>
          <w:lang w:val="es-ES_tradnl" w:eastAsia="es-ES"/>
        </w:rPr>
        <w:t xml:space="preserve">superior </w:t>
      </w:r>
      <w:r>
        <w:rPr>
          <w:rFonts w:eastAsia="Times New Roman" w:cs="Arial"/>
          <w:szCs w:val="20"/>
          <w:lang w:val="es-ES_tradnl" w:eastAsia="es-ES"/>
        </w:rPr>
        <w:t>a la de</w:t>
      </w:r>
      <w:r w:rsidR="000E4C7A">
        <w:rPr>
          <w:rFonts w:eastAsia="Times New Roman" w:cs="Arial"/>
          <w:szCs w:val="20"/>
          <w:lang w:val="es-ES_tradnl" w:eastAsia="es-ES"/>
        </w:rPr>
        <w:t xml:space="preserve"> 2012</w:t>
      </w:r>
      <w:r>
        <w:rPr>
          <w:rFonts w:eastAsia="Times New Roman" w:cs="Arial"/>
          <w:szCs w:val="20"/>
          <w:lang w:val="es-ES_tradnl" w:eastAsia="es-ES"/>
        </w:rPr>
        <w:t xml:space="preserve"> (12,0%)</w:t>
      </w:r>
      <w:r w:rsidR="000E4C7A">
        <w:rPr>
          <w:rFonts w:eastAsia="Times New Roman" w:cs="Arial"/>
          <w:szCs w:val="20"/>
          <w:lang w:val="es-ES_tradnl" w:eastAsia="es-ES"/>
        </w:rPr>
        <w:t xml:space="preserve"> y tres al 11,8% de 2010</w:t>
      </w:r>
      <w:r>
        <w:rPr>
          <w:rFonts w:eastAsia="Times New Roman" w:cs="Arial"/>
          <w:szCs w:val="20"/>
          <w:lang w:val="es-ES_tradnl" w:eastAsia="es-ES"/>
        </w:rPr>
        <w:t>.</w:t>
      </w:r>
    </w:p>
    <w:p w:rsidR="00FB3B69" w:rsidRDefault="00FB3B69" w:rsidP="00FB3B69">
      <w:pPr>
        <w:rPr>
          <w:rFonts w:eastAsia="Times New Roman" w:cs="Arial"/>
          <w:szCs w:val="20"/>
          <w:lang w:val="es-ES_tradnl" w:eastAsia="es-ES"/>
        </w:rPr>
      </w:pPr>
    </w:p>
    <w:p w:rsidR="004114B8" w:rsidRDefault="004114B8" w:rsidP="004114B8">
      <w:pPr>
        <w:rPr>
          <w:rFonts w:eastAsia="Times New Roman" w:cs="Arial"/>
          <w:szCs w:val="20"/>
          <w:lang w:val="es-ES_tradnl" w:eastAsia="es-ES"/>
        </w:rPr>
      </w:pPr>
      <w:r w:rsidRPr="00E839F8">
        <w:rPr>
          <w:rFonts w:eastAsia="Times New Roman" w:cs="Arial"/>
          <w:szCs w:val="20"/>
          <w:lang w:val="es-ES_tradnl" w:eastAsia="es-ES"/>
        </w:rPr>
        <w:t xml:space="preserve">Este peso relativo resulta además superior al que corresponde a la participación de las empresas industriales de la Economía Social en el PIB industrial de Euskadi, situado en el 9,3% en 2014, </w:t>
      </w:r>
      <w:r w:rsidR="001140A6">
        <w:rPr>
          <w:rFonts w:eastAsia="Times New Roman" w:cs="Arial"/>
          <w:szCs w:val="20"/>
          <w:lang w:val="es-ES_tradnl" w:eastAsia="es-ES"/>
        </w:rPr>
        <w:t>inferior</w:t>
      </w:r>
      <w:r w:rsidRPr="00E839F8">
        <w:rPr>
          <w:rFonts w:eastAsia="Times New Roman" w:cs="Arial"/>
          <w:szCs w:val="20"/>
          <w:lang w:val="es-ES_tradnl" w:eastAsia="es-ES"/>
        </w:rPr>
        <w:t xml:space="preserve"> al 9,9% </w:t>
      </w:r>
      <w:r w:rsidR="001140A6">
        <w:rPr>
          <w:rFonts w:eastAsia="Times New Roman" w:cs="Arial"/>
          <w:szCs w:val="20"/>
          <w:lang w:val="es-ES_tradnl" w:eastAsia="es-ES"/>
        </w:rPr>
        <w:t xml:space="preserve">registrado </w:t>
      </w:r>
      <w:r w:rsidRPr="00E839F8">
        <w:rPr>
          <w:rFonts w:eastAsia="Times New Roman" w:cs="Arial"/>
          <w:szCs w:val="20"/>
          <w:lang w:val="es-ES_tradnl" w:eastAsia="es-ES"/>
        </w:rPr>
        <w:t xml:space="preserve">en el año 2012. De </w:t>
      </w:r>
      <w:r w:rsidR="001140A6">
        <w:rPr>
          <w:rFonts w:eastAsia="Times New Roman" w:cs="Arial"/>
          <w:szCs w:val="20"/>
          <w:lang w:val="es-ES_tradnl" w:eastAsia="es-ES"/>
        </w:rPr>
        <w:t xml:space="preserve">esta forma, destaca </w:t>
      </w:r>
      <w:r w:rsidRPr="00E839F8">
        <w:rPr>
          <w:rFonts w:eastAsia="Times New Roman" w:cs="Arial"/>
          <w:szCs w:val="20"/>
          <w:lang w:val="es-ES_tradnl" w:eastAsia="es-ES"/>
        </w:rPr>
        <w:t xml:space="preserve">la mayor capacidad de generación relativa de empleo por unidad de producto </w:t>
      </w:r>
      <w:r>
        <w:rPr>
          <w:rFonts w:eastAsia="Times New Roman" w:cs="Arial"/>
          <w:szCs w:val="20"/>
          <w:lang w:val="es-ES_tradnl" w:eastAsia="es-ES"/>
        </w:rPr>
        <w:t>por parte de</w:t>
      </w:r>
      <w:r w:rsidRPr="00E839F8">
        <w:rPr>
          <w:rFonts w:eastAsia="Times New Roman" w:cs="Arial"/>
          <w:szCs w:val="20"/>
          <w:lang w:val="es-ES_tradnl" w:eastAsia="es-ES"/>
        </w:rPr>
        <w:t xml:space="preserve"> la Economía Social </w:t>
      </w:r>
      <w:r w:rsidR="001140A6">
        <w:rPr>
          <w:rFonts w:eastAsia="Times New Roman" w:cs="Arial"/>
          <w:szCs w:val="20"/>
          <w:lang w:val="es-ES_tradnl" w:eastAsia="es-ES"/>
        </w:rPr>
        <w:t xml:space="preserve">respecto al </w:t>
      </w:r>
      <w:r w:rsidRPr="00E839F8">
        <w:rPr>
          <w:rFonts w:eastAsia="Times New Roman" w:cs="Arial"/>
          <w:szCs w:val="20"/>
          <w:lang w:val="es-ES_tradnl" w:eastAsia="es-ES"/>
        </w:rPr>
        <w:t>conjunto del tejido industrial vasco.</w:t>
      </w:r>
    </w:p>
    <w:p w:rsidR="004114B8" w:rsidRDefault="004114B8" w:rsidP="004114B8">
      <w:pPr>
        <w:rPr>
          <w:rFonts w:eastAsia="Times New Roman" w:cs="Arial"/>
          <w:szCs w:val="20"/>
          <w:lang w:val="es-ES_tradnl" w:eastAsia="es-ES"/>
        </w:rPr>
      </w:pPr>
    </w:p>
    <w:p w:rsidR="004114B8" w:rsidRPr="00E839F8" w:rsidRDefault="004114B8" w:rsidP="004114B8">
      <w:pPr>
        <w:rPr>
          <w:rFonts w:eastAsia="Times New Roman" w:cs="Arial"/>
          <w:szCs w:val="20"/>
          <w:lang w:val="es-ES_tradnl" w:eastAsia="es-ES"/>
        </w:rPr>
      </w:pPr>
      <w:r>
        <w:rPr>
          <w:rFonts w:eastAsia="Times New Roman" w:cs="Arial"/>
          <w:szCs w:val="20"/>
          <w:lang w:val="es-ES_tradnl" w:eastAsia="es-ES"/>
        </w:rPr>
        <w:t>Por su parte,</w:t>
      </w:r>
      <w:r w:rsidR="00421899">
        <w:rPr>
          <w:rFonts w:eastAsia="Times New Roman" w:cs="Arial"/>
          <w:szCs w:val="20"/>
          <w:lang w:val="es-ES_tradnl" w:eastAsia="es-ES"/>
        </w:rPr>
        <w:t xml:space="preserve"> el sector de la construcción</w:t>
      </w:r>
      <w:r w:rsidR="001140A6">
        <w:rPr>
          <w:rFonts w:eastAsia="Times New Roman" w:cs="Arial"/>
          <w:szCs w:val="20"/>
          <w:lang w:val="es-ES_tradnl" w:eastAsia="es-ES"/>
        </w:rPr>
        <w:t xml:space="preserve"> de las FCES se caracteriza por </w:t>
      </w:r>
      <w:r w:rsidR="006F3ABA">
        <w:rPr>
          <w:rFonts w:eastAsia="Times New Roman" w:cs="Arial"/>
          <w:szCs w:val="20"/>
          <w:lang w:val="es-ES_tradnl" w:eastAsia="es-ES"/>
        </w:rPr>
        <w:t xml:space="preserve">una </w:t>
      </w:r>
      <w:r>
        <w:rPr>
          <w:rFonts w:eastAsia="Times New Roman" w:cs="Arial"/>
          <w:szCs w:val="20"/>
          <w:lang w:val="es-ES_tradnl" w:eastAsia="es-ES"/>
        </w:rPr>
        <w:t>caída</w:t>
      </w:r>
      <w:r w:rsidR="006F3ABA">
        <w:rPr>
          <w:rFonts w:eastAsia="Times New Roman" w:cs="Arial"/>
          <w:szCs w:val="20"/>
          <w:lang w:val="es-ES_tradnl" w:eastAsia="es-ES"/>
        </w:rPr>
        <w:t xml:space="preserve"> muy acusada</w:t>
      </w:r>
      <w:r>
        <w:rPr>
          <w:rFonts w:eastAsia="Times New Roman" w:cs="Arial"/>
          <w:szCs w:val="20"/>
          <w:lang w:val="es-ES_tradnl" w:eastAsia="es-ES"/>
        </w:rPr>
        <w:t xml:space="preserve"> en el empleo entre 2012 </w:t>
      </w:r>
      <w:r w:rsidRPr="000C4A38">
        <w:rPr>
          <w:rFonts w:eastAsia="Times New Roman" w:cs="Arial"/>
          <w:szCs w:val="20"/>
          <w:lang w:val="es-ES_tradnl" w:eastAsia="es-ES"/>
        </w:rPr>
        <w:t xml:space="preserve">y 2014, situada en </w:t>
      </w:r>
      <w:r w:rsidR="006F3ABA" w:rsidRPr="000C4A38">
        <w:rPr>
          <w:rFonts w:eastAsia="Times New Roman" w:cs="Arial"/>
          <w:szCs w:val="20"/>
          <w:lang w:val="es-ES_tradnl" w:eastAsia="es-ES"/>
        </w:rPr>
        <w:t xml:space="preserve">el </w:t>
      </w:r>
      <w:r w:rsidR="00F25706" w:rsidRPr="000C4A38">
        <w:rPr>
          <w:rFonts w:eastAsia="Times New Roman" w:cs="Arial"/>
          <w:szCs w:val="20"/>
          <w:lang w:val="es-ES_tradnl" w:eastAsia="es-ES"/>
        </w:rPr>
        <w:t>20,1</w:t>
      </w:r>
      <w:r w:rsidRPr="000C4A38">
        <w:rPr>
          <w:rFonts w:eastAsia="Times New Roman" w:cs="Arial"/>
          <w:szCs w:val="20"/>
          <w:lang w:val="es-ES_tradnl" w:eastAsia="es-ES"/>
        </w:rPr>
        <w:t>%</w:t>
      </w:r>
      <w:r w:rsidR="001140A6" w:rsidRPr="000C4A38">
        <w:rPr>
          <w:rFonts w:eastAsia="Times New Roman" w:cs="Arial"/>
          <w:szCs w:val="20"/>
          <w:lang w:val="es-ES_tradnl" w:eastAsia="es-ES"/>
        </w:rPr>
        <w:t>. M</w:t>
      </w:r>
      <w:r w:rsidR="0087691B" w:rsidRPr="000C4A38">
        <w:rPr>
          <w:rFonts w:eastAsia="Times New Roman" w:cs="Arial"/>
          <w:szCs w:val="20"/>
          <w:lang w:val="es-ES_tradnl" w:eastAsia="es-ES"/>
        </w:rPr>
        <w:t>antiene</w:t>
      </w:r>
      <w:r w:rsidR="00421899" w:rsidRPr="000C4A38">
        <w:rPr>
          <w:rFonts w:eastAsia="Times New Roman" w:cs="Arial"/>
          <w:szCs w:val="20"/>
          <w:lang w:val="es-ES_tradnl" w:eastAsia="es-ES"/>
        </w:rPr>
        <w:t xml:space="preserve"> prácticamente</w:t>
      </w:r>
      <w:r w:rsidR="00421899">
        <w:rPr>
          <w:rFonts w:eastAsia="Times New Roman" w:cs="Arial"/>
          <w:szCs w:val="20"/>
          <w:lang w:val="es-ES_tradnl" w:eastAsia="es-ES"/>
        </w:rPr>
        <w:t xml:space="preserve"> su nivel de contribución al empleo sectorial sobre la ocupación CAE en 2014</w:t>
      </w:r>
      <w:r w:rsidR="001140A6">
        <w:rPr>
          <w:rFonts w:eastAsia="Times New Roman" w:cs="Arial"/>
          <w:szCs w:val="20"/>
          <w:lang w:val="es-ES_tradnl" w:eastAsia="es-ES"/>
        </w:rPr>
        <w:t xml:space="preserve"> (3,4 por 3,5% en 2012) dado que la caída de la ocupación en el ámbito general de la </w:t>
      </w:r>
      <w:r w:rsidR="00421899">
        <w:rPr>
          <w:rFonts w:eastAsia="Times New Roman" w:cs="Arial"/>
          <w:szCs w:val="20"/>
          <w:lang w:val="es-ES_tradnl" w:eastAsia="es-ES"/>
        </w:rPr>
        <w:t xml:space="preserve">CAE resulta </w:t>
      </w:r>
      <w:r w:rsidR="001140A6">
        <w:rPr>
          <w:rFonts w:eastAsia="Times New Roman" w:cs="Arial"/>
          <w:szCs w:val="20"/>
          <w:lang w:val="es-ES_tradnl" w:eastAsia="es-ES"/>
        </w:rPr>
        <w:t xml:space="preserve">similar </w:t>
      </w:r>
      <w:r w:rsidR="00421899">
        <w:rPr>
          <w:rFonts w:eastAsia="Times New Roman" w:cs="Arial"/>
          <w:szCs w:val="20"/>
          <w:lang w:val="es-ES_tradnl" w:eastAsia="es-ES"/>
        </w:rPr>
        <w:t>(-18,1%).</w:t>
      </w:r>
    </w:p>
    <w:p w:rsidR="004114B8" w:rsidRDefault="004114B8" w:rsidP="004114B8">
      <w:pPr>
        <w:ind w:left="426" w:hanging="426"/>
        <w:rPr>
          <w:rFonts w:eastAsia="Times New Roman" w:cs="Arial"/>
          <w:szCs w:val="20"/>
          <w:highlight w:val="yellow"/>
          <w:lang w:val="es-ES_tradnl" w:eastAsia="es-ES"/>
        </w:rPr>
      </w:pPr>
    </w:p>
    <w:p w:rsidR="004114B8" w:rsidRDefault="001140A6" w:rsidP="004114B8">
      <w:pPr>
        <w:rPr>
          <w:rFonts w:eastAsia="Times New Roman" w:cs="Arial"/>
          <w:szCs w:val="20"/>
          <w:lang w:val="es-ES_tradnl" w:eastAsia="es-ES"/>
        </w:rPr>
      </w:pPr>
      <w:r>
        <w:rPr>
          <w:rFonts w:eastAsia="Times New Roman" w:cs="Arial"/>
          <w:szCs w:val="20"/>
          <w:lang w:val="es-ES_tradnl" w:eastAsia="es-ES"/>
        </w:rPr>
        <w:t>E</w:t>
      </w:r>
      <w:r w:rsidR="004114B8">
        <w:rPr>
          <w:rFonts w:eastAsia="Times New Roman" w:cs="Arial"/>
          <w:szCs w:val="20"/>
          <w:lang w:val="es-ES_tradnl" w:eastAsia="es-ES"/>
        </w:rPr>
        <w:t xml:space="preserve">n términos </w:t>
      </w:r>
      <w:r>
        <w:rPr>
          <w:rFonts w:eastAsia="Times New Roman" w:cs="Arial"/>
          <w:szCs w:val="20"/>
          <w:lang w:val="es-ES_tradnl" w:eastAsia="es-ES"/>
        </w:rPr>
        <w:t xml:space="preserve">de distribución sectorial del empleo, por último, </w:t>
      </w:r>
      <w:r w:rsidR="004114B8">
        <w:rPr>
          <w:rFonts w:eastAsia="Times New Roman" w:cs="Arial"/>
          <w:szCs w:val="20"/>
          <w:lang w:val="es-ES_tradnl" w:eastAsia="es-ES"/>
        </w:rPr>
        <w:t xml:space="preserve">el proceso de </w:t>
      </w:r>
      <w:proofErr w:type="spellStart"/>
      <w:r w:rsidR="004114B8">
        <w:rPr>
          <w:rFonts w:eastAsia="Times New Roman" w:cs="Arial"/>
          <w:szCs w:val="20"/>
          <w:lang w:val="es-ES_tradnl" w:eastAsia="es-ES"/>
        </w:rPr>
        <w:t>terciarización</w:t>
      </w:r>
      <w:proofErr w:type="spellEnd"/>
      <w:r w:rsidR="004114B8">
        <w:rPr>
          <w:rFonts w:eastAsia="Times New Roman" w:cs="Arial"/>
          <w:szCs w:val="20"/>
          <w:lang w:val="es-ES_tradnl" w:eastAsia="es-ES"/>
        </w:rPr>
        <w:t xml:space="preserve"> en la Economía Social se percibe como una realidad que se consolida</w:t>
      </w:r>
      <w:r>
        <w:rPr>
          <w:rFonts w:eastAsia="Times New Roman" w:cs="Arial"/>
          <w:szCs w:val="20"/>
          <w:lang w:val="es-ES_tradnl" w:eastAsia="es-ES"/>
        </w:rPr>
        <w:t xml:space="preserve">, con un incremento del </w:t>
      </w:r>
      <w:r w:rsidR="004114B8">
        <w:rPr>
          <w:rFonts w:eastAsia="Times New Roman" w:cs="Arial"/>
          <w:szCs w:val="20"/>
          <w:lang w:val="es-ES_tradnl" w:eastAsia="es-ES"/>
        </w:rPr>
        <w:t xml:space="preserve">peso sectorial del </w:t>
      </w:r>
      <w:r>
        <w:rPr>
          <w:rFonts w:eastAsia="Times New Roman" w:cs="Arial"/>
          <w:szCs w:val="20"/>
          <w:lang w:val="es-ES_tradnl" w:eastAsia="es-ES"/>
        </w:rPr>
        <w:t xml:space="preserve">sector servicios del </w:t>
      </w:r>
      <w:r w:rsidR="004114B8">
        <w:rPr>
          <w:rFonts w:eastAsia="Times New Roman" w:cs="Arial"/>
          <w:szCs w:val="20"/>
          <w:lang w:val="es-ES_tradnl" w:eastAsia="es-ES"/>
        </w:rPr>
        <w:t>50,1% del 2012 al 53,1% en 2014</w:t>
      </w:r>
      <w:r>
        <w:rPr>
          <w:rFonts w:eastAsia="Times New Roman" w:cs="Arial"/>
          <w:szCs w:val="20"/>
          <w:lang w:val="es-ES_tradnl" w:eastAsia="es-ES"/>
        </w:rPr>
        <w:t xml:space="preserve">. </w:t>
      </w:r>
      <w:r w:rsidR="00BD60FE">
        <w:rPr>
          <w:rFonts w:eastAsia="Times New Roman" w:cs="Arial"/>
          <w:szCs w:val="20"/>
          <w:lang w:val="es-ES_tradnl" w:eastAsia="es-ES"/>
        </w:rPr>
        <w:t>Sin embargo</w:t>
      </w:r>
      <w:r w:rsidR="004114B8">
        <w:rPr>
          <w:rFonts w:eastAsia="Times New Roman" w:cs="Arial"/>
          <w:szCs w:val="20"/>
          <w:lang w:val="es-ES_tradnl" w:eastAsia="es-ES"/>
        </w:rPr>
        <w:t xml:space="preserve">, no deja de resultar destacable el mayor peso relativo que ostenta el </w:t>
      </w:r>
      <w:r>
        <w:rPr>
          <w:rFonts w:eastAsia="Times New Roman" w:cs="Arial"/>
          <w:szCs w:val="20"/>
          <w:lang w:val="es-ES_tradnl" w:eastAsia="es-ES"/>
        </w:rPr>
        <w:t xml:space="preserve">empleo </w:t>
      </w:r>
      <w:r w:rsidR="004114B8">
        <w:rPr>
          <w:rFonts w:eastAsia="Times New Roman" w:cs="Arial"/>
          <w:szCs w:val="20"/>
          <w:lang w:val="es-ES_tradnl" w:eastAsia="es-ES"/>
        </w:rPr>
        <w:t xml:space="preserve">industrial en el ámbito cooperativo y </w:t>
      </w:r>
      <w:r w:rsidR="0087691B">
        <w:rPr>
          <w:rFonts w:eastAsia="Times New Roman" w:cs="Arial"/>
          <w:szCs w:val="20"/>
          <w:lang w:val="es-ES_tradnl" w:eastAsia="es-ES"/>
        </w:rPr>
        <w:t>entre las</w:t>
      </w:r>
      <w:r w:rsidR="004114B8">
        <w:rPr>
          <w:rFonts w:eastAsia="Times New Roman" w:cs="Arial"/>
          <w:szCs w:val="20"/>
          <w:lang w:val="es-ES_tradnl" w:eastAsia="es-ES"/>
        </w:rPr>
        <w:t xml:space="preserve"> sociedades laborales (43,6%)</w:t>
      </w:r>
      <w:r>
        <w:rPr>
          <w:rFonts w:eastAsia="Times New Roman" w:cs="Arial"/>
          <w:szCs w:val="20"/>
          <w:lang w:val="es-ES_tradnl" w:eastAsia="es-ES"/>
        </w:rPr>
        <w:t>. En el conjunto de la economía vasca, el peso del empleo industrial se sitúa</w:t>
      </w:r>
      <w:r w:rsidR="004114B8">
        <w:rPr>
          <w:rFonts w:eastAsia="Times New Roman" w:cs="Arial"/>
          <w:szCs w:val="20"/>
          <w:lang w:val="es-ES_tradnl" w:eastAsia="es-ES"/>
        </w:rPr>
        <w:t xml:space="preserve"> prácticamente a la mitad (22%).</w:t>
      </w:r>
    </w:p>
    <w:p w:rsidR="00FA5547" w:rsidRDefault="00FA5547">
      <w:pPr>
        <w:spacing w:after="200" w:line="276" w:lineRule="auto"/>
        <w:jc w:val="left"/>
        <w:rPr>
          <w:rFonts w:eastAsia="Times New Roman" w:cs="Arial"/>
          <w:szCs w:val="20"/>
          <w:lang w:val="es-ES_tradnl" w:eastAsia="es-ES"/>
        </w:rPr>
      </w:pPr>
    </w:p>
    <w:p w:rsidR="004114B8" w:rsidRDefault="004114B8" w:rsidP="004114B8">
      <w:pPr>
        <w:widowControl w:val="0"/>
        <w:spacing w:line="240" w:lineRule="auto"/>
        <w:jc w:val="center"/>
        <w:rPr>
          <w:rFonts w:cs="Arial"/>
          <w:b/>
          <w:noProof/>
          <w:color w:val="1F497D" w:themeColor="text2"/>
          <w:sz w:val="18"/>
          <w:szCs w:val="18"/>
        </w:rPr>
      </w:pPr>
      <w:r w:rsidRPr="009262B3">
        <w:rPr>
          <w:rFonts w:cs="Arial"/>
          <w:b/>
          <w:noProof/>
          <w:color w:val="1F497D" w:themeColor="text2"/>
          <w:sz w:val="18"/>
          <w:szCs w:val="18"/>
        </w:rPr>
        <w:t xml:space="preserve">COMPARATIVA DE LA DISTRIBUCIÓN SECTORIAL DEL EMPLEO EN EL TOTAL DE LA ECONOMÍA DE LA </w:t>
      </w:r>
      <w:r>
        <w:rPr>
          <w:rFonts w:cs="Arial"/>
          <w:b/>
          <w:noProof/>
          <w:color w:val="1F497D" w:themeColor="text2"/>
          <w:sz w:val="18"/>
          <w:szCs w:val="18"/>
        </w:rPr>
        <w:t>CAE Y EN LA ECONOMÍA SOCIAL 2014</w:t>
      </w:r>
      <w:r w:rsidRPr="009262B3">
        <w:rPr>
          <w:rFonts w:cs="Arial"/>
          <w:b/>
          <w:noProof/>
          <w:color w:val="1F497D" w:themeColor="text2"/>
          <w:sz w:val="18"/>
          <w:szCs w:val="18"/>
        </w:rPr>
        <w:t xml:space="preserve"> (%v sobre el total de empleo en cada ámbito)</w:t>
      </w:r>
    </w:p>
    <w:p w:rsidR="004114B8" w:rsidRDefault="004114B8" w:rsidP="004114B8">
      <w:pPr>
        <w:widowControl w:val="0"/>
        <w:jc w:val="center"/>
        <w:rPr>
          <w:rFonts w:cs="Arial"/>
          <w:b/>
          <w:noProof/>
          <w:color w:val="1F497D" w:themeColor="text2"/>
          <w:sz w:val="18"/>
          <w:szCs w:val="18"/>
        </w:rPr>
      </w:pPr>
      <w:r>
        <w:rPr>
          <w:rFonts w:cs="Arial"/>
          <w:b/>
          <w:noProof/>
          <w:color w:val="1F497D" w:themeColor="text2"/>
          <w:sz w:val="18"/>
          <w:szCs w:val="18"/>
          <w:lang w:eastAsia="es-ES"/>
        </w:rPr>
        <w:drawing>
          <wp:anchor distT="0" distB="0" distL="114300" distR="114300" simplePos="0" relativeHeight="251801600" behindDoc="0" locked="0" layoutInCell="1" allowOverlap="1">
            <wp:simplePos x="0" y="0"/>
            <wp:positionH relativeFrom="column">
              <wp:posOffset>137436</wp:posOffset>
            </wp:positionH>
            <wp:positionV relativeFrom="paragraph">
              <wp:posOffset>58144</wp:posOffset>
            </wp:positionV>
            <wp:extent cx="5390984" cy="1828800"/>
            <wp:effectExtent l="0" t="0" r="0" b="0"/>
            <wp:wrapNone/>
            <wp:docPr id="7"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Default="004114B8" w:rsidP="004114B8">
      <w:pPr>
        <w:widowControl w:val="0"/>
        <w:jc w:val="center"/>
        <w:rPr>
          <w:rFonts w:cs="Arial"/>
          <w:b/>
          <w:noProof/>
          <w:color w:val="1F497D" w:themeColor="text2"/>
          <w:sz w:val="18"/>
          <w:szCs w:val="18"/>
        </w:rPr>
      </w:pPr>
    </w:p>
    <w:p w:rsidR="004114B8" w:rsidRPr="00662291" w:rsidRDefault="004114B8" w:rsidP="004114B8">
      <w:pPr>
        <w:pStyle w:val="Piedepgina"/>
        <w:widowControl w:val="0"/>
        <w:tabs>
          <w:tab w:val="clear" w:pos="4252"/>
          <w:tab w:val="clear" w:pos="8504"/>
          <w:tab w:val="left" w:pos="1276"/>
        </w:tabs>
        <w:ind w:left="1276" w:hanging="425"/>
        <w:rPr>
          <w:rFonts w:ascii="Tahoma" w:hAnsi="Tahoma" w:cs="Tahoma"/>
          <w:snapToGrid w:val="0"/>
          <w:lang w:val="es-ES_tradnl"/>
        </w:rPr>
      </w:pPr>
      <w:r>
        <w:rPr>
          <w:rFonts w:cs="Arial"/>
          <w:i/>
          <w:sz w:val="16"/>
          <w:szCs w:val="16"/>
        </w:rPr>
        <w:t xml:space="preserve">Nota: </w:t>
      </w:r>
      <w:r w:rsidRPr="00662291">
        <w:rPr>
          <w:rFonts w:cs="Arial"/>
          <w:i/>
          <w:sz w:val="16"/>
          <w:szCs w:val="16"/>
        </w:rPr>
        <w:t>Los datos de comparación proceden de la Encuesta de Población en Relación con la Actividad PRA</w:t>
      </w:r>
      <w:r>
        <w:rPr>
          <w:rFonts w:cs="Arial"/>
          <w:i/>
          <w:sz w:val="16"/>
          <w:szCs w:val="16"/>
        </w:rPr>
        <w:t xml:space="preserve"> </w:t>
      </w:r>
      <w:proofErr w:type="spellStart"/>
      <w:r>
        <w:rPr>
          <w:rFonts w:cs="Arial"/>
          <w:i/>
          <w:sz w:val="16"/>
          <w:szCs w:val="16"/>
        </w:rPr>
        <w:t>Eustat</w:t>
      </w:r>
      <w:proofErr w:type="spellEnd"/>
      <w:r>
        <w:rPr>
          <w:rFonts w:cs="Arial"/>
          <w:i/>
          <w:sz w:val="16"/>
          <w:szCs w:val="16"/>
        </w:rPr>
        <w:t xml:space="preserve"> 2014.</w:t>
      </w:r>
      <w:r w:rsidRPr="00662291">
        <w:rPr>
          <w:rFonts w:cs="Arial"/>
          <w:i/>
          <w:sz w:val="16"/>
          <w:szCs w:val="16"/>
        </w:rPr>
        <w:t xml:space="preserve"> Promedio de ocupación anual</w:t>
      </w:r>
    </w:p>
    <w:p w:rsidR="004114B8" w:rsidRDefault="004114B8" w:rsidP="00421899">
      <w:pPr>
        <w:pStyle w:val="Prrafodelista"/>
        <w:spacing w:after="0" w:line="360" w:lineRule="auto"/>
        <w:ind w:left="426"/>
        <w:rPr>
          <w:rFonts w:ascii="Arial" w:eastAsia="Times New Roman" w:hAnsi="Arial" w:cs="Arial"/>
          <w:b/>
          <w:szCs w:val="20"/>
          <w:lang w:val="es-ES_tradnl" w:eastAsia="es-ES"/>
        </w:rPr>
      </w:pPr>
    </w:p>
    <w:p w:rsidR="001140A6" w:rsidRPr="006F3ABA" w:rsidRDefault="001140A6" w:rsidP="00421899">
      <w:pPr>
        <w:pStyle w:val="Prrafodelista"/>
        <w:spacing w:after="0" w:line="360" w:lineRule="auto"/>
        <w:ind w:left="426"/>
        <w:rPr>
          <w:rFonts w:ascii="Arial" w:eastAsia="Times New Roman" w:hAnsi="Arial" w:cs="Arial"/>
          <w:b/>
          <w:szCs w:val="20"/>
          <w:lang w:val="es-ES_tradnl" w:eastAsia="es-ES"/>
        </w:rPr>
      </w:pPr>
    </w:p>
    <w:p w:rsidR="005C30BC" w:rsidRDefault="001140A6" w:rsidP="00B53573">
      <w:pPr>
        <w:spacing w:after="200" w:line="276" w:lineRule="auto"/>
        <w:rPr>
          <w:rFonts w:eastAsia="Times New Roman" w:cs="Arial"/>
          <w:b/>
          <w:szCs w:val="20"/>
          <w:lang w:val="es-ES_tradnl" w:eastAsia="es-ES"/>
        </w:rPr>
      </w:pPr>
      <w:r>
        <w:rPr>
          <w:rFonts w:eastAsia="Times New Roman" w:cs="Arial"/>
          <w:b/>
          <w:szCs w:val="20"/>
          <w:lang w:val="es-ES_tradnl" w:eastAsia="es-ES"/>
        </w:rPr>
        <w:br w:type="page"/>
      </w:r>
      <w:r w:rsidR="009066A7" w:rsidRPr="00D10F72">
        <w:rPr>
          <w:rFonts w:eastAsia="Times New Roman" w:cs="Arial"/>
          <w:b/>
          <w:szCs w:val="20"/>
          <w:lang w:val="es-ES_tradnl" w:eastAsia="es-ES"/>
        </w:rPr>
        <w:lastRenderedPageBreak/>
        <w:t>Atendiendo a las diferentes formas jurídicas</w:t>
      </w:r>
      <w:r w:rsidR="00D10F72">
        <w:rPr>
          <w:rFonts w:eastAsia="Times New Roman" w:cs="Arial"/>
          <w:b/>
          <w:szCs w:val="20"/>
          <w:lang w:val="es-ES_tradnl" w:eastAsia="es-ES"/>
        </w:rPr>
        <w:t xml:space="preserve"> que componen la Economía Social</w:t>
      </w:r>
      <w:r w:rsidR="009066A7" w:rsidRPr="00D10F72">
        <w:rPr>
          <w:rFonts w:eastAsia="Times New Roman" w:cs="Arial"/>
          <w:b/>
          <w:szCs w:val="20"/>
          <w:lang w:val="es-ES_tradnl" w:eastAsia="es-ES"/>
        </w:rPr>
        <w:t xml:space="preserve">, la pérdida de empleo </w:t>
      </w:r>
      <w:r w:rsidR="00B53573">
        <w:rPr>
          <w:rFonts w:eastAsia="Times New Roman" w:cs="Arial"/>
          <w:b/>
          <w:szCs w:val="20"/>
          <w:lang w:val="es-ES_tradnl" w:eastAsia="es-ES"/>
        </w:rPr>
        <w:t xml:space="preserve">del periodo 2012-2014 </w:t>
      </w:r>
      <w:r w:rsidR="009066A7" w:rsidRPr="00D10F72">
        <w:rPr>
          <w:rFonts w:eastAsia="Times New Roman" w:cs="Arial"/>
          <w:b/>
          <w:szCs w:val="20"/>
          <w:lang w:val="es-ES_tradnl" w:eastAsia="es-ES"/>
        </w:rPr>
        <w:t>viene</w:t>
      </w:r>
      <w:r w:rsidR="00B53573">
        <w:rPr>
          <w:rFonts w:eastAsia="Times New Roman" w:cs="Arial"/>
          <w:b/>
          <w:szCs w:val="20"/>
          <w:lang w:val="es-ES_tradnl" w:eastAsia="es-ES"/>
        </w:rPr>
        <w:t xml:space="preserve"> en gran medida condicionada por dos grandes factores:</w:t>
      </w:r>
    </w:p>
    <w:p w:rsidR="005C30BC" w:rsidRDefault="005C30BC" w:rsidP="00B53573">
      <w:pPr>
        <w:pStyle w:val="Prrafodelista"/>
        <w:numPr>
          <w:ilvl w:val="0"/>
          <w:numId w:val="15"/>
        </w:numPr>
        <w:spacing w:after="0" w:line="360" w:lineRule="auto"/>
        <w:ind w:left="227" w:hanging="227"/>
        <w:rPr>
          <w:rFonts w:ascii="Arial" w:eastAsia="Times New Roman" w:hAnsi="Arial" w:cs="Arial"/>
          <w:b/>
          <w:szCs w:val="20"/>
          <w:lang w:val="es-ES_tradnl" w:eastAsia="es-ES"/>
        </w:rPr>
      </w:pPr>
      <w:r>
        <w:rPr>
          <w:rFonts w:ascii="Arial" w:eastAsia="Times New Roman" w:hAnsi="Arial" w:cs="Arial"/>
          <w:b/>
          <w:szCs w:val="20"/>
          <w:lang w:val="es-ES_tradnl" w:eastAsia="es-ES"/>
        </w:rPr>
        <w:t>L</w:t>
      </w:r>
      <w:r w:rsidR="009066A7" w:rsidRPr="005C30BC">
        <w:rPr>
          <w:rFonts w:ascii="Arial" w:eastAsia="Times New Roman" w:hAnsi="Arial" w:cs="Arial"/>
          <w:b/>
          <w:szCs w:val="20"/>
          <w:lang w:val="es-ES_tradnl" w:eastAsia="es-ES"/>
        </w:rPr>
        <w:t xml:space="preserve">a importante y continuada caída </w:t>
      </w:r>
      <w:r w:rsidR="00B53573">
        <w:rPr>
          <w:rFonts w:ascii="Arial" w:eastAsia="Times New Roman" w:hAnsi="Arial" w:cs="Arial"/>
          <w:b/>
          <w:szCs w:val="20"/>
          <w:lang w:val="es-ES_tradnl" w:eastAsia="es-ES"/>
        </w:rPr>
        <w:t>observada</w:t>
      </w:r>
      <w:r w:rsidR="009066A7" w:rsidRPr="005C30BC">
        <w:rPr>
          <w:rFonts w:ascii="Arial" w:eastAsia="Times New Roman" w:hAnsi="Arial" w:cs="Arial"/>
          <w:b/>
          <w:szCs w:val="20"/>
          <w:lang w:val="es-ES_tradnl" w:eastAsia="es-ES"/>
        </w:rPr>
        <w:t xml:space="preserve"> </w:t>
      </w:r>
      <w:r w:rsidR="00923403">
        <w:rPr>
          <w:rFonts w:ascii="Arial" w:eastAsia="Times New Roman" w:hAnsi="Arial" w:cs="Arial"/>
          <w:b/>
          <w:szCs w:val="20"/>
          <w:lang w:val="es-ES_tradnl" w:eastAsia="es-ES"/>
        </w:rPr>
        <w:t>en el nivel de empleo atribuible a las</w:t>
      </w:r>
      <w:r w:rsidR="009066A7" w:rsidRPr="005C30BC">
        <w:rPr>
          <w:rFonts w:ascii="Arial" w:eastAsia="Times New Roman" w:hAnsi="Arial" w:cs="Arial"/>
          <w:b/>
          <w:szCs w:val="20"/>
          <w:lang w:val="es-ES_tradnl" w:eastAsia="es-ES"/>
        </w:rPr>
        <w:t xml:space="preserve"> </w:t>
      </w:r>
      <w:proofErr w:type="spellStart"/>
      <w:r w:rsidR="009066A7" w:rsidRPr="005C30BC">
        <w:rPr>
          <w:rFonts w:ascii="Arial" w:eastAsia="Times New Roman" w:hAnsi="Arial" w:cs="Arial"/>
          <w:b/>
          <w:szCs w:val="20"/>
          <w:lang w:val="es-ES_tradnl" w:eastAsia="es-ES"/>
        </w:rPr>
        <w:t>SALes</w:t>
      </w:r>
      <w:proofErr w:type="spellEnd"/>
      <w:r>
        <w:rPr>
          <w:rFonts w:ascii="Arial" w:eastAsia="Times New Roman" w:hAnsi="Arial" w:cs="Arial"/>
          <w:b/>
          <w:szCs w:val="20"/>
          <w:lang w:val="es-ES_tradnl" w:eastAsia="es-ES"/>
        </w:rPr>
        <w:t xml:space="preserve"> (</w:t>
      </w:r>
      <w:r w:rsidR="00D60F76">
        <w:rPr>
          <w:rFonts w:ascii="Arial" w:eastAsia="Times New Roman" w:hAnsi="Arial" w:cs="Arial"/>
          <w:b/>
          <w:szCs w:val="20"/>
          <w:lang w:val="es-ES_tradnl" w:eastAsia="es-ES"/>
        </w:rPr>
        <w:t>-</w:t>
      </w:r>
      <w:r>
        <w:rPr>
          <w:rFonts w:ascii="Arial" w:eastAsia="Times New Roman" w:hAnsi="Arial" w:cs="Arial"/>
          <w:b/>
          <w:szCs w:val="20"/>
          <w:lang w:val="es-ES_tradnl" w:eastAsia="es-ES"/>
        </w:rPr>
        <w:t>20,7%)</w:t>
      </w:r>
      <w:r w:rsidR="009066A7" w:rsidRPr="005C30BC">
        <w:rPr>
          <w:rFonts w:ascii="Arial" w:eastAsia="Times New Roman" w:hAnsi="Arial" w:cs="Arial"/>
          <w:b/>
          <w:szCs w:val="20"/>
          <w:lang w:val="es-ES_tradnl" w:eastAsia="es-ES"/>
        </w:rPr>
        <w:t xml:space="preserve"> que</w:t>
      </w:r>
      <w:r w:rsidR="00B53573">
        <w:rPr>
          <w:rFonts w:ascii="Arial" w:eastAsia="Times New Roman" w:hAnsi="Arial" w:cs="Arial"/>
          <w:b/>
          <w:szCs w:val="20"/>
          <w:lang w:val="es-ES_tradnl" w:eastAsia="es-ES"/>
        </w:rPr>
        <w:t>,</w:t>
      </w:r>
      <w:r w:rsidR="009066A7" w:rsidRPr="005C30BC">
        <w:rPr>
          <w:rFonts w:ascii="Arial" w:eastAsia="Times New Roman" w:hAnsi="Arial" w:cs="Arial"/>
          <w:b/>
          <w:szCs w:val="20"/>
          <w:lang w:val="es-ES_tradnl" w:eastAsia="es-ES"/>
        </w:rPr>
        <w:t xml:space="preserve"> además</w:t>
      </w:r>
      <w:r w:rsidR="00B53573">
        <w:rPr>
          <w:rFonts w:ascii="Arial" w:eastAsia="Times New Roman" w:hAnsi="Arial" w:cs="Arial"/>
          <w:b/>
          <w:szCs w:val="20"/>
          <w:lang w:val="es-ES_tradnl" w:eastAsia="es-ES"/>
        </w:rPr>
        <w:t>,</w:t>
      </w:r>
      <w:r w:rsidR="009066A7" w:rsidRPr="005C30BC">
        <w:rPr>
          <w:rFonts w:ascii="Arial" w:eastAsia="Times New Roman" w:hAnsi="Arial" w:cs="Arial"/>
          <w:b/>
          <w:szCs w:val="20"/>
          <w:lang w:val="es-ES_tradnl" w:eastAsia="es-ES"/>
        </w:rPr>
        <w:t xml:space="preserve"> ven reduci</w:t>
      </w:r>
      <w:r>
        <w:rPr>
          <w:rFonts w:ascii="Arial" w:eastAsia="Times New Roman" w:hAnsi="Arial" w:cs="Arial"/>
          <w:b/>
          <w:szCs w:val="20"/>
          <w:lang w:val="es-ES_tradnl" w:eastAsia="es-ES"/>
        </w:rPr>
        <w:t>r su número de establecimientos (</w:t>
      </w:r>
      <w:r w:rsidR="00D60F76">
        <w:rPr>
          <w:rFonts w:ascii="Arial" w:eastAsia="Times New Roman" w:hAnsi="Arial" w:cs="Arial"/>
          <w:b/>
          <w:szCs w:val="20"/>
          <w:lang w:val="es-ES_tradnl" w:eastAsia="es-ES"/>
        </w:rPr>
        <w:t>-</w:t>
      </w:r>
      <w:r>
        <w:rPr>
          <w:rFonts w:ascii="Arial" w:eastAsia="Times New Roman" w:hAnsi="Arial" w:cs="Arial"/>
          <w:b/>
          <w:szCs w:val="20"/>
          <w:lang w:val="es-ES_tradnl" w:eastAsia="es-ES"/>
        </w:rPr>
        <w:t>14,2%)</w:t>
      </w:r>
      <w:r w:rsidR="00D10F72">
        <w:rPr>
          <w:rFonts w:ascii="Arial" w:eastAsia="Times New Roman" w:hAnsi="Arial" w:cs="Arial"/>
          <w:b/>
          <w:szCs w:val="20"/>
          <w:lang w:val="es-ES_tradnl" w:eastAsia="es-ES"/>
        </w:rPr>
        <w:t>.</w:t>
      </w:r>
    </w:p>
    <w:p w:rsidR="009066A7" w:rsidRPr="00D64CDE" w:rsidRDefault="00B53573" w:rsidP="00B53573">
      <w:pPr>
        <w:pStyle w:val="Prrafodelista"/>
        <w:numPr>
          <w:ilvl w:val="0"/>
          <w:numId w:val="15"/>
        </w:numPr>
        <w:spacing w:after="0" w:line="360" w:lineRule="auto"/>
        <w:ind w:left="227" w:hanging="227"/>
        <w:rPr>
          <w:rFonts w:cs="Arial"/>
          <w:b/>
          <w:lang w:val="es-ES_tradnl" w:eastAsia="es-ES"/>
        </w:rPr>
      </w:pPr>
      <w:r w:rsidRPr="00D64CDE">
        <w:rPr>
          <w:rFonts w:ascii="Arial" w:eastAsia="Times New Roman" w:hAnsi="Arial" w:cs="Arial"/>
          <w:b/>
          <w:szCs w:val="20"/>
          <w:lang w:val="es-ES_tradnl" w:eastAsia="es-ES"/>
        </w:rPr>
        <w:t>E</w:t>
      </w:r>
      <w:r w:rsidR="005C30BC" w:rsidRPr="00D64CDE">
        <w:rPr>
          <w:rFonts w:ascii="Arial" w:eastAsia="Times New Roman" w:hAnsi="Arial" w:cs="Arial"/>
          <w:b/>
          <w:szCs w:val="20"/>
          <w:lang w:val="es-ES_tradnl" w:eastAsia="es-ES"/>
        </w:rPr>
        <w:t>l</w:t>
      </w:r>
      <w:r w:rsidR="009066A7" w:rsidRPr="00D64CDE">
        <w:rPr>
          <w:rFonts w:ascii="Arial" w:eastAsia="Times New Roman" w:hAnsi="Arial" w:cs="Arial"/>
          <w:b/>
          <w:szCs w:val="20"/>
          <w:lang w:val="es-ES_tradnl" w:eastAsia="es-ES"/>
        </w:rPr>
        <w:t xml:space="preserve"> </w:t>
      </w:r>
      <w:r w:rsidR="00FC0F3D" w:rsidRPr="00D64CDE">
        <w:rPr>
          <w:rFonts w:ascii="Arial" w:eastAsia="Times New Roman" w:hAnsi="Arial" w:cs="Arial"/>
          <w:b/>
          <w:szCs w:val="20"/>
          <w:lang w:val="es-ES_tradnl" w:eastAsia="es-ES"/>
        </w:rPr>
        <w:t>r</w:t>
      </w:r>
      <w:r w:rsidR="009066A7" w:rsidRPr="00D64CDE">
        <w:rPr>
          <w:rFonts w:ascii="Arial" w:eastAsia="Times New Roman" w:hAnsi="Arial" w:cs="Arial"/>
          <w:b/>
          <w:szCs w:val="20"/>
          <w:lang w:val="es-ES_tradnl" w:eastAsia="es-ES"/>
        </w:rPr>
        <w:t>etroceso registrado</w:t>
      </w:r>
      <w:r w:rsidR="005C30BC" w:rsidRPr="00D64CDE">
        <w:rPr>
          <w:rFonts w:ascii="Arial" w:eastAsia="Times New Roman" w:hAnsi="Arial" w:cs="Arial"/>
          <w:b/>
          <w:szCs w:val="20"/>
          <w:lang w:val="es-ES_tradnl" w:eastAsia="es-ES"/>
        </w:rPr>
        <w:t xml:space="preserve"> en este bienio</w:t>
      </w:r>
      <w:r w:rsidR="009066A7" w:rsidRPr="00D64CDE">
        <w:rPr>
          <w:rFonts w:ascii="Arial" w:eastAsia="Times New Roman" w:hAnsi="Arial" w:cs="Arial"/>
          <w:b/>
          <w:szCs w:val="20"/>
          <w:lang w:val="es-ES_tradnl" w:eastAsia="es-ES"/>
        </w:rPr>
        <w:t xml:space="preserve"> en</w:t>
      </w:r>
      <w:r w:rsidR="005C30BC" w:rsidRPr="00D64CDE">
        <w:rPr>
          <w:rFonts w:ascii="Arial" w:eastAsia="Times New Roman" w:hAnsi="Arial" w:cs="Arial"/>
          <w:b/>
          <w:szCs w:val="20"/>
          <w:lang w:val="es-ES_tradnl" w:eastAsia="es-ES"/>
        </w:rPr>
        <w:t xml:space="preserve"> el nivel de</w:t>
      </w:r>
      <w:r w:rsidR="009066A7" w:rsidRPr="00D64CDE">
        <w:rPr>
          <w:rFonts w:ascii="Arial" w:eastAsia="Times New Roman" w:hAnsi="Arial" w:cs="Arial"/>
          <w:b/>
          <w:szCs w:val="20"/>
          <w:lang w:val="es-ES_tradnl" w:eastAsia="es-ES"/>
        </w:rPr>
        <w:t xml:space="preserve"> empleo cooperativo</w:t>
      </w:r>
      <w:r w:rsidR="005C30BC" w:rsidRPr="00D64CDE">
        <w:rPr>
          <w:rFonts w:ascii="Arial" w:eastAsia="Times New Roman" w:hAnsi="Arial" w:cs="Arial"/>
          <w:b/>
          <w:szCs w:val="20"/>
          <w:lang w:val="es-ES_tradnl" w:eastAsia="es-ES"/>
        </w:rPr>
        <w:t xml:space="preserve"> (-1,4%)</w:t>
      </w:r>
      <w:r w:rsidR="00FC0F3D" w:rsidRPr="00D64CDE">
        <w:rPr>
          <w:rFonts w:ascii="Arial" w:eastAsia="Times New Roman" w:hAnsi="Arial" w:cs="Arial"/>
          <w:b/>
          <w:szCs w:val="20"/>
          <w:lang w:val="es-ES_tradnl" w:eastAsia="es-ES"/>
        </w:rPr>
        <w:t xml:space="preserve"> que resulta superior al -0,3% observado en el periodo</w:t>
      </w:r>
      <w:r w:rsidRPr="00D64CDE">
        <w:rPr>
          <w:rFonts w:ascii="Arial" w:eastAsia="Times New Roman" w:hAnsi="Arial" w:cs="Arial"/>
          <w:b/>
          <w:szCs w:val="20"/>
          <w:lang w:val="es-ES_tradnl" w:eastAsia="es-ES"/>
        </w:rPr>
        <w:t xml:space="preserve"> 2010</w:t>
      </w:r>
      <w:r w:rsidR="00FC0F3D" w:rsidRPr="00D64CDE">
        <w:rPr>
          <w:rFonts w:ascii="Arial" w:eastAsia="Times New Roman" w:hAnsi="Arial" w:cs="Arial"/>
          <w:b/>
          <w:szCs w:val="20"/>
          <w:lang w:val="es-ES_tradnl" w:eastAsia="es-ES"/>
        </w:rPr>
        <w:t>-</w:t>
      </w:r>
      <w:r w:rsidRPr="00D64CDE">
        <w:rPr>
          <w:rFonts w:ascii="Arial" w:eastAsia="Times New Roman" w:hAnsi="Arial" w:cs="Arial"/>
          <w:b/>
          <w:szCs w:val="20"/>
          <w:lang w:val="es-ES_tradnl" w:eastAsia="es-ES"/>
        </w:rPr>
        <w:t>2012</w:t>
      </w:r>
    </w:p>
    <w:p w:rsidR="009066A7" w:rsidRDefault="009066A7" w:rsidP="009066A7">
      <w:pPr>
        <w:rPr>
          <w:rFonts w:eastAsia="Times New Roman" w:cs="Arial"/>
          <w:b/>
          <w:snapToGrid w:val="0"/>
          <w:szCs w:val="20"/>
          <w:lang w:val="es-ES_tradnl" w:eastAsia="es-ES"/>
        </w:rPr>
      </w:pPr>
    </w:p>
    <w:p w:rsidR="00897C43" w:rsidRDefault="005A1E7A" w:rsidP="00B53573">
      <w:pPr>
        <w:rPr>
          <w:lang w:val="es-ES_tradnl" w:eastAsia="es-ES"/>
        </w:rPr>
      </w:pPr>
      <w:r>
        <w:rPr>
          <w:lang w:val="es-ES_tradnl" w:eastAsia="es-ES"/>
        </w:rPr>
        <w:t>El principal factor explicativo</w:t>
      </w:r>
      <w:r w:rsidR="009066A7" w:rsidRPr="001C74CE">
        <w:rPr>
          <w:lang w:val="es-ES_tradnl" w:eastAsia="es-ES"/>
        </w:rPr>
        <w:t xml:space="preserve"> de </w:t>
      </w:r>
      <w:r w:rsidR="009066A7">
        <w:rPr>
          <w:lang w:val="es-ES_tradnl" w:eastAsia="es-ES"/>
        </w:rPr>
        <w:t xml:space="preserve">la negativa evolución </w:t>
      </w:r>
      <w:r w:rsidR="00897C43">
        <w:rPr>
          <w:lang w:val="es-ES_tradnl" w:eastAsia="es-ES"/>
        </w:rPr>
        <w:t>experimentada en el</w:t>
      </w:r>
      <w:r w:rsidR="00923403">
        <w:rPr>
          <w:lang w:val="es-ES_tradnl" w:eastAsia="es-ES"/>
        </w:rPr>
        <w:t xml:space="preserve"> empleo se corresponde con </w:t>
      </w:r>
      <w:r>
        <w:rPr>
          <w:lang w:val="es-ES_tradnl" w:eastAsia="es-ES"/>
        </w:rPr>
        <w:t>la</w:t>
      </w:r>
      <w:r w:rsidR="00923403">
        <w:rPr>
          <w:lang w:val="es-ES_tradnl" w:eastAsia="es-ES"/>
        </w:rPr>
        <w:t xml:space="preserve"> tendencia</w:t>
      </w:r>
      <w:r>
        <w:rPr>
          <w:lang w:val="es-ES_tradnl" w:eastAsia="es-ES"/>
        </w:rPr>
        <w:t xml:space="preserve"> a la baja,</w:t>
      </w:r>
      <w:r w:rsidR="00923403">
        <w:rPr>
          <w:lang w:val="es-ES_tradnl" w:eastAsia="es-ES"/>
        </w:rPr>
        <w:t xml:space="preserve"> ya constatada </w:t>
      </w:r>
      <w:r w:rsidR="009066A7">
        <w:rPr>
          <w:lang w:val="es-ES_tradnl" w:eastAsia="es-ES"/>
        </w:rPr>
        <w:t>en años precedentes</w:t>
      </w:r>
      <w:r>
        <w:rPr>
          <w:lang w:val="es-ES_tradnl" w:eastAsia="es-ES"/>
        </w:rPr>
        <w:t>,</w:t>
      </w:r>
      <w:r w:rsidR="009066A7">
        <w:rPr>
          <w:lang w:val="es-ES_tradnl" w:eastAsia="es-ES"/>
        </w:rPr>
        <w:t xml:space="preserve"> </w:t>
      </w:r>
      <w:r>
        <w:rPr>
          <w:lang w:val="es-ES_tradnl" w:eastAsia="es-ES"/>
        </w:rPr>
        <w:t xml:space="preserve">del empleo de las </w:t>
      </w:r>
      <w:r w:rsidR="009066A7">
        <w:rPr>
          <w:lang w:val="es-ES_tradnl" w:eastAsia="es-ES"/>
        </w:rPr>
        <w:t>Sociedades Anónimas Laborales (</w:t>
      </w:r>
      <w:proofErr w:type="spellStart"/>
      <w:r w:rsidR="009066A7">
        <w:rPr>
          <w:lang w:val="es-ES_tradnl" w:eastAsia="es-ES"/>
        </w:rPr>
        <w:t>SALes</w:t>
      </w:r>
      <w:proofErr w:type="spellEnd"/>
      <w:r w:rsidR="009066A7">
        <w:rPr>
          <w:lang w:val="es-ES_tradnl" w:eastAsia="es-ES"/>
        </w:rPr>
        <w:t xml:space="preserve">). </w:t>
      </w:r>
      <w:r>
        <w:rPr>
          <w:lang w:val="es-ES_tradnl" w:eastAsia="es-ES"/>
        </w:rPr>
        <w:t>En este caso, la pérdi</w:t>
      </w:r>
      <w:r w:rsidR="006D6DCF">
        <w:rPr>
          <w:lang w:val="es-ES_tradnl" w:eastAsia="es-ES"/>
        </w:rPr>
        <w:t>d</w:t>
      </w:r>
      <w:r>
        <w:rPr>
          <w:lang w:val="es-ES_tradnl" w:eastAsia="es-ES"/>
        </w:rPr>
        <w:t>a de</w:t>
      </w:r>
      <w:r w:rsidR="006D6DCF">
        <w:rPr>
          <w:lang w:val="es-ES_tradnl" w:eastAsia="es-ES"/>
        </w:rPr>
        <w:t xml:space="preserve"> un</w:t>
      </w:r>
      <w:r>
        <w:rPr>
          <w:lang w:val="es-ES_tradnl" w:eastAsia="es-ES"/>
        </w:rPr>
        <w:t xml:space="preserve"> 14,2% </w:t>
      </w:r>
      <w:r w:rsidR="006D6DCF">
        <w:rPr>
          <w:lang w:val="es-ES_tradnl" w:eastAsia="es-ES"/>
        </w:rPr>
        <w:t xml:space="preserve">de los establecimientos existentes </w:t>
      </w:r>
      <w:r w:rsidR="009066A7">
        <w:rPr>
          <w:lang w:val="es-ES_tradnl" w:eastAsia="es-ES"/>
        </w:rPr>
        <w:t>en el bienio 2012</w:t>
      </w:r>
      <w:r w:rsidR="006D6DCF">
        <w:rPr>
          <w:lang w:val="es-ES_tradnl" w:eastAsia="es-ES"/>
        </w:rPr>
        <w:t>-</w:t>
      </w:r>
      <w:r w:rsidR="009066A7">
        <w:rPr>
          <w:lang w:val="es-ES_tradnl" w:eastAsia="es-ES"/>
        </w:rPr>
        <w:t>2014 se salda con una caída en el empleo del 20,7%</w:t>
      </w:r>
      <w:r w:rsidR="00897C43">
        <w:rPr>
          <w:lang w:val="es-ES_tradnl" w:eastAsia="es-ES"/>
        </w:rPr>
        <w:t xml:space="preserve">. </w:t>
      </w:r>
      <w:r w:rsidR="006D6DCF">
        <w:rPr>
          <w:lang w:val="es-ES_tradnl" w:eastAsia="es-ES"/>
        </w:rPr>
        <w:t>L</w:t>
      </w:r>
      <w:r w:rsidR="00897C43">
        <w:rPr>
          <w:lang w:val="es-ES_tradnl" w:eastAsia="es-ES"/>
        </w:rPr>
        <w:t xml:space="preserve">a </w:t>
      </w:r>
      <w:r w:rsidR="002E1D19">
        <w:rPr>
          <w:lang w:val="es-ES_tradnl" w:eastAsia="es-ES"/>
        </w:rPr>
        <w:t>reducción</w:t>
      </w:r>
      <w:r w:rsidR="00897C43">
        <w:rPr>
          <w:lang w:val="es-ES_tradnl" w:eastAsia="es-ES"/>
        </w:rPr>
        <w:t xml:space="preserve"> de empleo protagonizada por las </w:t>
      </w:r>
      <w:proofErr w:type="spellStart"/>
      <w:r w:rsidR="00897C43">
        <w:rPr>
          <w:lang w:val="es-ES_tradnl" w:eastAsia="es-ES"/>
        </w:rPr>
        <w:t>SALes</w:t>
      </w:r>
      <w:proofErr w:type="spellEnd"/>
      <w:r w:rsidR="00897C43">
        <w:rPr>
          <w:lang w:val="es-ES_tradnl" w:eastAsia="es-ES"/>
        </w:rPr>
        <w:t xml:space="preserve"> explica </w:t>
      </w:r>
      <w:r w:rsidR="00A97DE2">
        <w:rPr>
          <w:lang w:val="es-ES_tradnl" w:eastAsia="es-ES"/>
        </w:rPr>
        <w:t xml:space="preserve">un 55,7% </w:t>
      </w:r>
      <w:r w:rsidR="00897C43">
        <w:rPr>
          <w:lang w:val="es-ES_tradnl" w:eastAsia="es-ES"/>
        </w:rPr>
        <w:t xml:space="preserve">de la pérdida de empleos netos producida en este </w:t>
      </w:r>
      <w:r w:rsidR="00897C43" w:rsidRPr="002E1D19">
        <w:rPr>
          <w:lang w:val="es-ES_tradnl" w:eastAsia="es-ES"/>
        </w:rPr>
        <w:t>bienio</w:t>
      </w:r>
      <w:r w:rsidR="006D6DCF" w:rsidRPr="002E1D19">
        <w:rPr>
          <w:lang w:val="es-ES_tradnl" w:eastAsia="es-ES"/>
        </w:rPr>
        <w:t xml:space="preserve"> </w:t>
      </w:r>
      <w:r w:rsidR="002E1D19" w:rsidRPr="002E1D19">
        <w:rPr>
          <w:lang w:val="es-ES_tradnl" w:eastAsia="es-ES"/>
        </w:rPr>
        <w:t>en las formas jurídicas de Economía Social</w:t>
      </w:r>
      <w:r w:rsidR="006D6DCF" w:rsidRPr="002E1D19">
        <w:rPr>
          <w:lang w:val="es-ES_tradnl" w:eastAsia="es-ES"/>
        </w:rPr>
        <w:t xml:space="preserve"> </w:t>
      </w:r>
      <w:r w:rsidR="001244F4" w:rsidRPr="002E1D19">
        <w:rPr>
          <w:lang w:val="es-ES_tradnl" w:eastAsia="es-ES"/>
        </w:rPr>
        <w:t>que</w:t>
      </w:r>
      <w:r w:rsidR="001244F4">
        <w:rPr>
          <w:lang w:val="es-ES_tradnl" w:eastAsia="es-ES"/>
        </w:rPr>
        <w:t xml:space="preserve"> ofrecen una evolución negativa del empleo</w:t>
      </w:r>
      <w:r w:rsidR="00897C43">
        <w:rPr>
          <w:lang w:val="es-ES_tradnl" w:eastAsia="es-ES"/>
        </w:rPr>
        <w:t>.</w:t>
      </w:r>
    </w:p>
    <w:p w:rsidR="009066A7" w:rsidRDefault="009066A7" w:rsidP="00B53573">
      <w:pPr>
        <w:rPr>
          <w:lang w:val="es-ES_tradnl" w:eastAsia="es-ES"/>
        </w:rPr>
      </w:pPr>
    </w:p>
    <w:p w:rsidR="006D6DCF" w:rsidRDefault="006D6DCF" w:rsidP="006D6DCF">
      <w:pPr>
        <w:rPr>
          <w:lang w:val="es-ES_tradnl" w:eastAsia="es-ES"/>
        </w:rPr>
      </w:pPr>
      <w:r>
        <w:rPr>
          <w:lang w:val="es-ES_tradnl" w:eastAsia="es-ES"/>
        </w:rPr>
        <w:t xml:space="preserve">El descenso en el empleo en las </w:t>
      </w:r>
      <w:proofErr w:type="spellStart"/>
      <w:r>
        <w:rPr>
          <w:lang w:val="es-ES_tradnl" w:eastAsia="es-ES"/>
        </w:rPr>
        <w:t>SALes</w:t>
      </w:r>
      <w:proofErr w:type="spellEnd"/>
      <w:r>
        <w:rPr>
          <w:lang w:val="es-ES_tradnl" w:eastAsia="es-ES"/>
        </w:rPr>
        <w:t xml:space="preserve"> se modera en relación a la dinámica vivida en el bienio 2010-2012, periodo en el que el ritmo de caída se situaba por </w:t>
      </w:r>
      <w:r w:rsidRPr="00893777">
        <w:rPr>
          <w:lang w:val="es-ES_tradnl" w:eastAsia="es-ES"/>
        </w:rPr>
        <w:t>encima del 45</w:t>
      </w:r>
      <w:r w:rsidR="001244F4" w:rsidRPr="00893777">
        <w:rPr>
          <w:lang w:val="es-ES_tradnl" w:eastAsia="es-ES"/>
        </w:rPr>
        <w:t>%</w:t>
      </w:r>
      <w:r w:rsidRPr="00893777">
        <w:rPr>
          <w:lang w:val="es-ES_tradnl" w:eastAsia="es-ES"/>
        </w:rPr>
        <w:t>. Pero la</w:t>
      </w:r>
      <w:r>
        <w:rPr>
          <w:lang w:val="es-ES_tradnl" w:eastAsia="es-ES"/>
        </w:rPr>
        <w:t xml:space="preserve"> dinámica reciente evidencia la tendencia clara a la pérdida de representatividad de esta fórmula societaria en el conjunto de la Economía Social. Así, si en el año 2010 el colectivo empleado en las </w:t>
      </w:r>
      <w:proofErr w:type="spellStart"/>
      <w:r>
        <w:rPr>
          <w:lang w:val="es-ES_tradnl" w:eastAsia="es-ES"/>
        </w:rPr>
        <w:t>SALes</w:t>
      </w:r>
      <w:proofErr w:type="spellEnd"/>
      <w:r>
        <w:rPr>
          <w:lang w:val="es-ES_tradnl" w:eastAsia="es-ES"/>
        </w:rPr>
        <w:t xml:space="preserve"> suponía un 12,3% de las FCES, en 2012 esta proporción bajaba a un 7,2% para situarse, en 2014, en 5,8%. </w:t>
      </w:r>
    </w:p>
    <w:p w:rsidR="005A1E7A" w:rsidRDefault="005A1E7A" w:rsidP="005A1E7A">
      <w:pPr>
        <w:pStyle w:val="Prrafodelista"/>
        <w:spacing w:after="0"/>
        <w:ind w:left="227" w:hanging="227"/>
        <w:rPr>
          <w:rFonts w:eastAsia="Times New Roman" w:cs="Arial"/>
          <w:szCs w:val="20"/>
          <w:lang w:val="es-ES_tradnl" w:eastAsia="es-ES"/>
        </w:rPr>
      </w:pPr>
    </w:p>
    <w:p w:rsidR="005C30BC" w:rsidRDefault="005C30BC" w:rsidP="005C30BC">
      <w:pPr>
        <w:widowControl w:val="0"/>
        <w:spacing w:line="240" w:lineRule="auto"/>
        <w:jc w:val="center"/>
        <w:rPr>
          <w:rFonts w:cs="Arial"/>
          <w:b/>
          <w:color w:val="1F497D" w:themeColor="text2"/>
          <w:sz w:val="18"/>
          <w:szCs w:val="18"/>
        </w:rPr>
      </w:pPr>
      <w:r w:rsidRPr="00DE3A4D">
        <w:rPr>
          <w:rFonts w:cs="Arial"/>
          <w:b/>
          <w:color w:val="1F497D" w:themeColor="text2"/>
          <w:sz w:val="18"/>
          <w:szCs w:val="18"/>
        </w:rPr>
        <w:t>EVOLUCIÓN 20</w:t>
      </w:r>
      <w:r>
        <w:rPr>
          <w:rFonts w:cs="Arial"/>
          <w:b/>
          <w:color w:val="1F497D" w:themeColor="text2"/>
          <w:sz w:val="18"/>
          <w:szCs w:val="18"/>
        </w:rPr>
        <w:t>12</w:t>
      </w:r>
      <w:r w:rsidRPr="00DE3A4D">
        <w:rPr>
          <w:rFonts w:cs="Arial"/>
          <w:b/>
          <w:color w:val="1F497D" w:themeColor="text2"/>
          <w:sz w:val="18"/>
          <w:szCs w:val="18"/>
        </w:rPr>
        <w:t>-201</w:t>
      </w:r>
      <w:r>
        <w:rPr>
          <w:rFonts w:cs="Arial"/>
          <w:b/>
          <w:color w:val="1F497D" w:themeColor="text2"/>
          <w:sz w:val="18"/>
          <w:szCs w:val="18"/>
        </w:rPr>
        <w:t>4</w:t>
      </w:r>
      <w:r w:rsidRPr="00DE3A4D">
        <w:rPr>
          <w:rFonts w:cs="Arial"/>
          <w:b/>
          <w:color w:val="1F497D" w:themeColor="text2"/>
          <w:sz w:val="18"/>
          <w:szCs w:val="18"/>
        </w:rPr>
        <w:t xml:space="preserve"> DE LOS EMPLEOS DE LA ECONOMÍA S</w:t>
      </w:r>
      <w:r>
        <w:rPr>
          <w:rFonts w:cs="Arial"/>
          <w:b/>
          <w:color w:val="1F497D" w:themeColor="text2"/>
          <w:sz w:val="18"/>
          <w:szCs w:val="18"/>
        </w:rPr>
        <w:t>OCIAL SEGÚN FORMA JURÍDICA. 2012-2014</w:t>
      </w:r>
      <w:r w:rsidRPr="00DE3A4D">
        <w:rPr>
          <w:rFonts w:cs="Arial"/>
          <w:b/>
          <w:color w:val="1F497D" w:themeColor="text2"/>
          <w:sz w:val="18"/>
          <w:szCs w:val="18"/>
        </w:rPr>
        <w:t xml:space="preserve"> (</w:t>
      </w:r>
      <w:r>
        <w:rPr>
          <w:rFonts w:cs="Arial"/>
          <w:b/>
          <w:color w:val="1F497D" w:themeColor="text2"/>
          <w:sz w:val="18"/>
          <w:szCs w:val="18"/>
        </w:rPr>
        <w:t>cifras absolutas y % verticales</w:t>
      </w:r>
      <w:r w:rsidRPr="00DE3A4D">
        <w:rPr>
          <w:rFonts w:cs="Arial"/>
          <w:b/>
          <w:color w:val="1F497D" w:themeColor="text2"/>
          <w:sz w:val="18"/>
          <w:szCs w:val="18"/>
        </w:rPr>
        <w:t>)</w:t>
      </w:r>
    </w:p>
    <w:tbl>
      <w:tblPr>
        <w:tblW w:w="5000" w:type="pct"/>
        <w:jc w:val="center"/>
        <w:tblLook w:val="04A0" w:firstRow="1" w:lastRow="0" w:firstColumn="1" w:lastColumn="0" w:noHBand="0" w:noVBand="1"/>
      </w:tblPr>
      <w:tblGrid>
        <w:gridCol w:w="1825"/>
        <w:gridCol w:w="1394"/>
        <w:gridCol w:w="1198"/>
        <w:gridCol w:w="1394"/>
        <w:gridCol w:w="1396"/>
        <w:gridCol w:w="1797"/>
      </w:tblGrid>
      <w:tr w:rsidR="005C30BC" w:rsidRPr="00F04D4B" w:rsidTr="00AF3C20">
        <w:trPr>
          <w:jc w:val="center"/>
        </w:trPr>
        <w:tc>
          <w:tcPr>
            <w:tcW w:w="1014"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p>
        </w:tc>
        <w:tc>
          <w:tcPr>
            <w:tcW w:w="143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r w:rsidRPr="00F04D4B">
              <w:rPr>
                <w:rFonts w:cs="Arial"/>
                <w:b/>
                <w:bCs/>
                <w:sz w:val="16"/>
                <w:szCs w:val="16"/>
                <w:lang w:val="pt-BR"/>
              </w:rPr>
              <w:t>2012</w:t>
            </w:r>
          </w:p>
        </w:tc>
        <w:tc>
          <w:tcPr>
            <w:tcW w:w="1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c>
          <w:tcPr>
            <w:tcW w:w="998"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r>
              <w:rPr>
                <w:rFonts w:cs="Arial"/>
                <w:b/>
                <w:bCs/>
                <w:sz w:val="16"/>
                <w:szCs w:val="16"/>
                <w:lang w:val="pt-BR"/>
              </w:rPr>
              <w:t>%∆14/12</w:t>
            </w:r>
            <w:r w:rsidRPr="00F04D4B">
              <w:rPr>
                <w:rFonts w:cs="Arial"/>
                <w:b/>
                <w:bCs/>
                <w:sz w:val="16"/>
                <w:szCs w:val="16"/>
                <w:lang w:val="pt-BR"/>
              </w:rPr>
              <w:t xml:space="preserve"> (1)</w:t>
            </w:r>
          </w:p>
        </w:tc>
      </w:tr>
      <w:tr w:rsidR="005C30BC" w:rsidRPr="00F04D4B" w:rsidTr="00AF3C20">
        <w:trPr>
          <w:jc w:val="center"/>
        </w:trPr>
        <w:tc>
          <w:tcPr>
            <w:tcW w:w="1014"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sz w:val="16"/>
                <w:szCs w:val="16"/>
              </w:rPr>
            </w:pP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r>
              <w:rPr>
                <w:rFonts w:cs="Arial"/>
                <w:b/>
                <w:bCs/>
                <w:sz w:val="16"/>
                <w:szCs w:val="16"/>
                <w:lang w:val="pt-BR"/>
              </w:rPr>
              <w:t>Abs.</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r>
              <w:rPr>
                <w:rFonts w:cs="Arial"/>
                <w:b/>
                <w:bCs/>
                <w:sz w:val="16"/>
                <w:szCs w:val="16"/>
                <w:lang w:val="pt-BR"/>
              </w:rPr>
              <w:t>% ver.</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r>
              <w:rPr>
                <w:rFonts w:cs="Arial"/>
                <w:b/>
                <w:bCs/>
                <w:sz w:val="16"/>
                <w:szCs w:val="16"/>
                <w:lang w:val="pt-BR"/>
              </w:rPr>
              <w:t>Abs.</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r>
              <w:rPr>
                <w:rFonts w:cs="Arial"/>
                <w:b/>
                <w:bCs/>
                <w:sz w:val="16"/>
                <w:szCs w:val="16"/>
                <w:lang w:val="pt-BR"/>
              </w:rPr>
              <w:t>% ver.</w:t>
            </w:r>
          </w:p>
        </w:tc>
        <w:tc>
          <w:tcPr>
            <w:tcW w:w="998"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5C30BC" w:rsidRPr="00F04D4B" w:rsidRDefault="005C30BC" w:rsidP="00D86960">
            <w:pPr>
              <w:widowControl w:val="0"/>
              <w:spacing w:line="240" w:lineRule="exact"/>
              <w:jc w:val="center"/>
              <w:rPr>
                <w:rFonts w:cs="Arial"/>
                <w:b/>
                <w:bCs/>
                <w:sz w:val="16"/>
                <w:szCs w:val="16"/>
              </w:rPr>
            </w:pPr>
          </w:p>
        </w:tc>
      </w:tr>
      <w:tr w:rsidR="005C30BC" w:rsidRPr="00F04D4B" w:rsidTr="00AF3C20">
        <w:trPr>
          <w:jc w:val="center"/>
        </w:trPr>
        <w:tc>
          <w:tcPr>
            <w:tcW w:w="1014" w:type="pct"/>
            <w:tcBorders>
              <w:top w:val="single" w:sz="4" w:space="0" w:color="BFBFBF" w:themeColor="background1" w:themeShade="BF"/>
              <w:right w:val="single" w:sz="4" w:space="0" w:color="BFBFBF" w:themeColor="background1" w:themeShade="BF"/>
            </w:tcBorders>
            <w:hideMark/>
          </w:tcPr>
          <w:p w:rsidR="005C30BC" w:rsidRPr="00F04D4B" w:rsidRDefault="005C30BC" w:rsidP="00D86960">
            <w:pPr>
              <w:widowControl w:val="0"/>
              <w:spacing w:line="240" w:lineRule="exact"/>
              <w:rPr>
                <w:rFonts w:cs="Arial"/>
                <w:sz w:val="16"/>
                <w:szCs w:val="16"/>
              </w:rPr>
            </w:pPr>
            <w:r w:rsidRPr="00F04D4B">
              <w:rPr>
                <w:rFonts w:cs="Arial"/>
                <w:sz w:val="16"/>
                <w:szCs w:val="16"/>
                <w:lang w:val="pt-BR"/>
              </w:rPr>
              <w:t>Cooperativas</w:t>
            </w:r>
          </w:p>
        </w:tc>
        <w:tc>
          <w:tcPr>
            <w:tcW w:w="774" w:type="pct"/>
            <w:tcBorders>
              <w:top w:val="single" w:sz="4" w:space="0" w:color="BFBFBF" w:themeColor="background1" w:themeShade="BF"/>
              <w:lef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sidRPr="00504EF3">
              <w:rPr>
                <w:rFonts w:cs="Arial"/>
                <w:color w:val="000000"/>
                <w:sz w:val="16"/>
                <w:szCs w:val="16"/>
              </w:rPr>
              <w:t>47.981</w:t>
            </w:r>
          </w:p>
        </w:tc>
        <w:tc>
          <w:tcPr>
            <w:tcW w:w="665" w:type="pct"/>
            <w:tcBorders>
              <w:top w:val="single" w:sz="4" w:space="0" w:color="BFBFBF" w:themeColor="background1" w:themeShade="BF"/>
              <w:righ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86,0</w:t>
            </w:r>
          </w:p>
        </w:tc>
        <w:tc>
          <w:tcPr>
            <w:tcW w:w="774" w:type="pct"/>
            <w:tcBorders>
              <w:top w:val="single" w:sz="4" w:space="0" w:color="BFBFBF" w:themeColor="background1" w:themeShade="BF"/>
              <w:left w:val="single" w:sz="4" w:space="0" w:color="BFBFBF" w:themeColor="background1" w:themeShade="BF"/>
            </w:tcBorders>
            <w:vAlign w:val="bottom"/>
            <w:hideMark/>
          </w:tcPr>
          <w:p w:rsidR="005C30BC" w:rsidRPr="007E6F1C" w:rsidRDefault="005C30BC" w:rsidP="00D86960">
            <w:pPr>
              <w:widowControl w:val="0"/>
              <w:spacing w:line="240" w:lineRule="exact"/>
              <w:ind w:right="284"/>
              <w:jc w:val="right"/>
              <w:rPr>
                <w:rFonts w:cs="Arial"/>
                <w:color w:val="000000"/>
                <w:sz w:val="16"/>
                <w:szCs w:val="16"/>
              </w:rPr>
            </w:pPr>
            <w:r w:rsidRPr="007E6F1C">
              <w:rPr>
                <w:rFonts w:cs="Arial"/>
                <w:color w:val="000000"/>
                <w:sz w:val="16"/>
                <w:szCs w:val="16"/>
              </w:rPr>
              <w:t>47.322</w:t>
            </w:r>
          </w:p>
        </w:tc>
        <w:tc>
          <w:tcPr>
            <w:tcW w:w="775" w:type="pct"/>
            <w:tcBorders>
              <w:top w:val="single" w:sz="4" w:space="0" w:color="BFBFBF" w:themeColor="background1" w:themeShade="BF"/>
              <w:right w:val="single" w:sz="4" w:space="0" w:color="BFBFBF" w:themeColor="background1" w:themeShade="BF"/>
            </w:tcBorders>
            <w:vAlign w:val="bottom"/>
            <w:hideMark/>
          </w:tcPr>
          <w:p w:rsidR="005C30BC" w:rsidRPr="007E6F1C" w:rsidRDefault="005C30BC" w:rsidP="00D86960">
            <w:pPr>
              <w:widowControl w:val="0"/>
              <w:spacing w:line="240" w:lineRule="exact"/>
              <w:ind w:right="284"/>
              <w:jc w:val="right"/>
              <w:rPr>
                <w:rFonts w:cs="Arial"/>
                <w:color w:val="000000"/>
                <w:sz w:val="16"/>
                <w:szCs w:val="16"/>
              </w:rPr>
            </w:pPr>
            <w:r w:rsidRPr="007E6F1C">
              <w:rPr>
                <w:rFonts w:cs="Arial"/>
                <w:color w:val="000000"/>
                <w:sz w:val="16"/>
                <w:szCs w:val="16"/>
              </w:rPr>
              <w:t>86,7</w:t>
            </w:r>
          </w:p>
        </w:tc>
        <w:tc>
          <w:tcPr>
            <w:tcW w:w="998" w:type="pct"/>
            <w:tcBorders>
              <w:top w:val="single" w:sz="4" w:space="0" w:color="BFBFBF" w:themeColor="background1" w:themeShade="BF"/>
              <w:lef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-1,4</w:t>
            </w:r>
          </w:p>
        </w:tc>
      </w:tr>
      <w:tr w:rsidR="005C30BC" w:rsidRPr="00F04D4B" w:rsidTr="00AF3C20">
        <w:trPr>
          <w:jc w:val="center"/>
        </w:trPr>
        <w:tc>
          <w:tcPr>
            <w:tcW w:w="1014" w:type="pct"/>
            <w:tcBorders>
              <w:right w:val="single" w:sz="4" w:space="0" w:color="BFBFBF" w:themeColor="background1" w:themeShade="BF"/>
            </w:tcBorders>
            <w:hideMark/>
          </w:tcPr>
          <w:p w:rsidR="005C30BC" w:rsidRPr="00F04D4B" w:rsidRDefault="005C30BC" w:rsidP="00D86960">
            <w:pPr>
              <w:widowControl w:val="0"/>
              <w:spacing w:line="240" w:lineRule="exact"/>
              <w:rPr>
                <w:rFonts w:cs="Arial"/>
                <w:sz w:val="16"/>
                <w:szCs w:val="16"/>
              </w:rPr>
            </w:pPr>
            <w:r w:rsidRPr="00F04D4B">
              <w:rPr>
                <w:rFonts w:cs="Arial"/>
                <w:sz w:val="16"/>
                <w:szCs w:val="16"/>
                <w:lang w:val="pt-BR"/>
              </w:rPr>
              <w:t>S.L.</w:t>
            </w:r>
            <w:proofErr w:type="gramStart"/>
            <w:r w:rsidRPr="00F04D4B">
              <w:rPr>
                <w:rFonts w:cs="Arial"/>
                <w:sz w:val="16"/>
                <w:szCs w:val="16"/>
                <w:lang w:val="pt-BR"/>
              </w:rPr>
              <w:t>es</w:t>
            </w:r>
            <w:proofErr w:type="gramEnd"/>
          </w:p>
        </w:tc>
        <w:tc>
          <w:tcPr>
            <w:tcW w:w="774" w:type="pct"/>
            <w:tcBorders>
              <w:lef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sidRPr="00504EF3">
              <w:rPr>
                <w:rFonts w:cs="Arial"/>
                <w:color w:val="000000"/>
                <w:sz w:val="16"/>
                <w:szCs w:val="16"/>
              </w:rPr>
              <w:t>7.828</w:t>
            </w:r>
          </w:p>
        </w:tc>
        <w:tc>
          <w:tcPr>
            <w:tcW w:w="665" w:type="pct"/>
            <w:tcBorders>
              <w:righ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14,0</w:t>
            </w:r>
          </w:p>
        </w:tc>
        <w:tc>
          <w:tcPr>
            <w:tcW w:w="774" w:type="pct"/>
            <w:tcBorders>
              <w:left w:val="single" w:sz="4" w:space="0" w:color="BFBFBF" w:themeColor="background1" w:themeShade="BF"/>
            </w:tcBorders>
            <w:vAlign w:val="bottom"/>
            <w:hideMark/>
          </w:tcPr>
          <w:p w:rsidR="005C30BC" w:rsidRPr="007E6F1C" w:rsidRDefault="005C30BC" w:rsidP="00D86960">
            <w:pPr>
              <w:widowControl w:val="0"/>
              <w:spacing w:line="240" w:lineRule="exact"/>
              <w:ind w:right="284"/>
              <w:jc w:val="right"/>
              <w:rPr>
                <w:rFonts w:cs="Arial"/>
                <w:color w:val="000000"/>
                <w:sz w:val="16"/>
                <w:szCs w:val="16"/>
              </w:rPr>
            </w:pPr>
            <w:r>
              <w:rPr>
                <w:rFonts w:cs="Arial"/>
                <w:color w:val="000000"/>
                <w:sz w:val="16"/>
                <w:szCs w:val="16"/>
              </w:rPr>
              <w:t>7.259</w:t>
            </w:r>
          </w:p>
        </w:tc>
        <w:tc>
          <w:tcPr>
            <w:tcW w:w="775" w:type="pct"/>
            <w:tcBorders>
              <w:righ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13,3</w:t>
            </w:r>
          </w:p>
        </w:tc>
        <w:tc>
          <w:tcPr>
            <w:tcW w:w="998" w:type="pct"/>
            <w:tcBorders>
              <w:lef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-7,3</w:t>
            </w:r>
          </w:p>
        </w:tc>
      </w:tr>
      <w:tr w:rsidR="005C30BC" w:rsidRPr="00F04D4B" w:rsidTr="00AF3C20">
        <w:trPr>
          <w:jc w:val="center"/>
        </w:trPr>
        <w:tc>
          <w:tcPr>
            <w:tcW w:w="1014" w:type="pct"/>
            <w:tcBorders>
              <w:right w:val="single" w:sz="4" w:space="0" w:color="BFBFBF" w:themeColor="background1" w:themeShade="BF"/>
            </w:tcBorders>
            <w:hideMark/>
          </w:tcPr>
          <w:p w:rsidR="005C30BC" w:rsidRPr="00F04D4B" w:rsidRDefault="005C30BC" w:rsidP="00D86960">
            <w:pPr>
              <w:widowControl w:val="0"/>
              <w:spacing w:line="240" w:lineRule="exact"/>
              <w:rPr>
                <w:rFonts w:cs="Arial"/>
                <w:sz w:val="16"/>
                <w:szCs w:val="16"/>
              </w:rPr>
            </w:pPr>
            <w:r w:rsidRPr="00F04D4B">
              <w:rPr>
                <w:rFonts w:cs="Arial"/>
                <w:sz w:val="16"/>
                <w:szCs w:val="16"/>
              </w:rPr>
              <w:t xml:space="preserve">  S.A.L.es</w:t>
            </w:r>
          </w:p>
        </w:tc>
        <w:tc>
          <w:tcPr>
            <w:tcW w:w="774" w:type="pct"/>
            <w:tcBorders>
              <w:lef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sidRPr="00504EF3">
              <w:rPr>
                <w:rFonts w:cs="Arial"/>
                <w:color w:val="000000"/>
                <w:sz w:val="16"/>
                <w:szCs w:val="16"/>
              </w:rPr>
              <w:t>4.005</w:t>
            </w:r>
          </w:p>
        </w:tc>
        <w:tc>
          <w:tcPr>
            <w:tcW w:w="665" w:type="pct"/>
            <w:tcBorders>
              <w:righ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7,2</w:t>
            </w:r>
          </w:p>
        </w:tc>
        <w:tc>
          <w:tcPr>
            <w:tcW w:w="774" w:type="pct"/>
            <w:tcBorders>
              <w:left w:val="single" w:sz="4" w:space="0" w:color="BFBFBF" w:themeColor="background1" w:themeShade="BF"/>
            </w:tcBorders>
            <w:vAlign w:val="bottom"/>
            <w:hideMark/>
          </w:tcPr>
          <w:p w:rsidR="005C30BC" w:rsidRPr="007E6F1C" w:rsidRDefault="005C30BC" w:rsidP="00D86960">
            <w:pPr>
              <w:widowControl w:val="0"/>
              <w:spacing w:line="240" w:lineRule="exact"/>
              <w:ind w:right="284"/>
              <w:jc w:val="right"/>
              <w:rPr>
                <w:rFonts w:cs="Arial"/>
                <w:color w:val="000000"/>
                <w:sz w:val="16"/>
                <w:szCs w:val="16"/>
              </w:rPr>
            </w:pPr>
            <w:r w:rsidRPr="007E6F1C">
              <w:rPr>
                <w:rFonts w:cs="Arial"/>
                <w:color w:val="000000"/>
                <w:sz w:val="16"/>
                <w:szCs w:val="16"/>
              </w:rPr>
              <w:t>3.177</w:t>
            </w:r>
          </w:p>
        </w:tc>
        <w:tc>
          <w:tcPr>
            <w:tcW w:w="775" w:type="pct"/>
            <w:tcBorders>
              <w:right w:val="single" w:sz="4" w:space="0" w:color="BFBFBF" w:themeColor="background1" w:themeShade="BF"/>
            </w:tcBorders>
            <w:vAlign w:val="bottom"/>
            <w:hideMark/>
          </w:tcPr>
          <w:p w:rsidR="005C30BC" w:rsidRPr="007E6F1C" w:rsidRDefault="005C30BC" w:rsidP="00D86960">
            <w:pPr>
              <w:widowControl w:val="0"/>
              <w:spacing w:line="240" w:lineRule="exact"/>
              <w:ind w:right="284"/>
              <w:jc w:val="right"/>
              <w:rPr>
                <w:rFonts w:cs="Arial"/>
                <w:color w:val="000000"/>
                <w:sz w:val="16"/>
                <w:szCs w:val="16"/>
              </w:rPr>
            </w:pPr>
            <w:r w:rsidRPr="007E6F1C">
              <w:rPr>
                <w:rFonts w:cs="Arial"/>
                <w:color w:val="000000"/>
                <w:sz w:val="16"/>
                <w:szCs w:val="16"/>
              </w:rPr>
              <w:t>5,8</w:t>
            </w:r>
          </w:p>
        </w:tc>
        <w:tc>
          <w:tcPr>
            <w:tcW w:w="998" w:type="pct"/>
            <w:tcBorders>
              <w:lef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-20,7</w:t>
            </w:r>
          </w:p>
        </w:tc>
      </w:tr>
      <w:tr w:rsidR="005C30BC" w:rsidRPr="00F04D4B" w:rsidTr="00AF3C20">
        <w:trPr>
          <w:jc w:val="center"/>
        </w:trPr>
        <w:tc>
          <w:tcPr>
            <w:tcW w:w="1014" w:type="pct"/>
            <w:tcBorders>
              <w:bottom w:val="single" w:sz="4" w:space="0" w:color="BFBFBF" w:themeColor="background1" w:themeShade="BF"/>
              <w:right w:val="single" w:sz="4" w:space="0" w:color="BFBFBF" w:themeColor="background1" w:themeShade="BF"/>
            </w:tcBorders>
            <w:hideMark/>
          </w:tcPr>
          <w:p w:rsidR="005C30BC" w:rsidRPr="00F04D4B" w:rsidRDefault="005C30BC" w:rsidP="00D86960">
            <w:pPr>
              <w:widowControl w:val="0"/>
              <w:spacing w:line="240" w:lineRule="exact"/>
              <w:rPr>
                <w:rFonts w:cs="Arial"/>
                <w:sz w:val="16"/>
                <w:szCs w:val="16"/>
              </w:rPr>
            </w:pPr>
            <w:r w:rsidRPr="00F04D4B">
              <w:rPr>
                <w:rFonts w:cs="Arial"/>
                <w:sz w:val="16"/>
                <w:szCs w:val="16"/>
              </w:rPr>
              <w:t xml:space="preserve">  S.L.L.es</w:t>
            </w:r>
          </w:p>
        </w:tc>
        <w:tc>
          <w:tcPr>
            <w:tcW w:w="774" w:type="pct"/>
            <w:tcBorders>
              <w:left w:val="single" w:sz="4" w:space="0" w:color="BFBFBF" w:themeColor="background1" w:themeShade="BF"/>
              <w:bottom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sidRPr="00504EF3">
              <w:rPr>
                <w:rFonts w:cs="Arial"/>
                <w:color w:val="000000"/>
                <w:sz w:val="16"/>
                <w:szCs w:val="16"/>
              </w:rPr>
              <w:t>3.823</w:t>
            </w:r>
          </w:p>
        </w:tc>
        <w:tc>
          <w:tcPr>
            <w:tcW w:w="665" w:type="pct"/>
            <w:tcBorders>
              <w:bottom w:val="single" w:sz="4" w:space="0" w:color="BFBFBF" w:themeColor="background1" w:themeShade="BF"/>
              <w:righ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6,8</w:t>
            </w:r>
          </w:p>
        </w:tc>
        <w:tc>
          <w:tcPr>
            <w:tcW w:w="774" w:type="pct"/>
            <w:tcBorders>
              <w:left w:val="single" w:sz="4" w:space="0" w:color="BFBFBF" w:themeColor="background1" w:themeShade="BF"/>
              <w:bottom w:val="single" w:sz="4" w:space="0" w:color="BFBFBF" w:themeColor="background1" w:themeShade="BF"/>
            </w:tcBorders>
            <w:vAlign w:val="bottom"/>
            <w:hideMark/>
          </w:tcPr>
          <w:p w:rsidR="005C30BC" w:rsidRPr="007E6F1C" w:rsidRDefault="005C30BC" w:rsidP="00D86960">
            <w:pPr>
              <w:widowControl w:val="0"/>
              <w:spacing w:line="240" w:lineRule="exact"/>
              <w:ind w:right="284"/>
              <w:jc w:val="right"/>
              <w:rPr>
                <w:rFonts w:cs="Arial"/>
                <w:color w:val="000000"/>
                <w:sz w:val="16"/>
                <w:szCs w:val="16"/>
              </w:rPr>
            </w:pPr>
            <w:r w:rsidRPr="007E6F1C">
              <w:rPr>
                <w:rFonts w:cs="Arial"/>
                <w:color w:val="000000"/>
                <w:sz w:val="16"/>
                <w:szCs w:val="16"/>
              </w:rPr>
              <w:t>4.082</w:t>
            </w:r>
          </w:p>
        </w:tc>
        <w:tc>
          <w:tcPr>
            <w:tcW w:w="775" w:type="pct"/>
            <w:tcBorders>
              <w:bottom w:val="single" w:sz="4" w:space="0" w:color="BFBFBF" w:themeColor="background1" w:themeShade="BF"/>
              <w:right w:val="single" w:sz="4" w:space="0" w:color="BFBFBF" w:themeColor="background1" w:themeShade="BF"/>
            </w:tcBorders>
            <w:vAlign w:val="bottom"/>
            <w:hideMark/>
          </w:tcPr>
          <w:p w:rsidR="005C30BC" w:rsidRPr="007E6F1C" w:rsidRDefault="005C30BC" w:rsidP="00D86960">
            <w:pPr>
              <w:widowControl w:val="0"/>
              <w:spacing w:line="240" w:lineRule="exact"/>
              <w:ind w:right="284"/>
              <w:jc w:val="right"/>
              <w:rPr>
                <w:rFonts w:cs="Arial"/>
                <w:color w:val="000000"/>
                <w:sz w:val="16"/>
                <w:szCs w:val="16"/>
              </w:rPr>
            </w:pPr>
            <w:r w:rsidRPr="007E6F1C">
              <w:rPr>
                <w:rFonts w:cs="Arial"/>
                <w:color w:val="000000"/>
                <w:sz w:val="16"/>
                <w:szCs w:val="16"/>
              </w:rPr>
              <w:t>7,5</w:t>
            </w:r>
          </w:p>
        </w:tc>
        <w:tc>
          <w:tcPr>
            <w:tcW w:w="998" w:type="pct"/>
            <w:tcBorders>
              <w:left w:val="single" w:sz="4" w:space="0" w:color="BFBFBF" w:themeColor="background1" w:themeShade="BF"/>
              <w:bottom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color w:val="000000"/>
                <w:sz w:val="16"/>
                <w:szCs w:val="16"/>
              </w:rPr>
            </w:pPr>
            <w:r>
              <w:rPr>
                <w:rFonts w:cs="Arial"/>
                <w:color w:val="000000"/>
                <w:sz w:val="16"/>
                <w:szCs w:val="16"/>
              </w:rPr>
              <w:t>6,8</w:t>
            </w:r>
          </w:p>
        </w:tc>
      </w:tr>
      <w:tr w:rsidR="005C30BC" w:rsidRPr="00F04D4B" w:rsidTr="00AF3C20">
        <w:trPr>
          <w:jc w:val="center"/>
        </w:trPr>
        <w:tc>
          <w:tcPr>
            <w:tcW w:w="101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5C30BC" w:rsidRPr="00F04D4B" w:rsidRDefault="005C30BC" w:rsidP="00D86960">
            <w:pPr>
              <w:widowControl w:val="0"/>
              <w:spacing w:line="240" w:lineRule="exact"/>
              <w:rPr>
                <w:rFonts w:cs="Arial"/>
                <w:b/>
                <w:bCs/>
                <w:sz w:val="16"/>
                <w:szCs w:val="16"/>
              </w:rPr>
            </w:pPr>
            <w:r w:rsidRPr="00F04D4B">
              <w:rPr>
                <w:rFonts w:cs="Arial"/>
                <w:b/>
                <w:bCs/>
                <w:sz w:val="16"/>
                <w:szCs w:val="16"/>
              </w:rPr>
              <w:t>TOTAL</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b/>
                <w:bCs/>
                <w:color w:val="000000"/>
                <w:sz w:val="16"/>
                <w:szCs w:val="16"/>
              </w:rPr>
            </w:pPr>
            <w:r w:rsidRPr="00504EF3">
              <w:rPr>
                <w:rFonts w:cs="Arial"/>
                <w:b/>
                <w:bCs/>
                <w:color w:val="000000"/>
                <w:sz w:val="16"/>
                <w:szCs w:val="16"/>
              </w:rPr>
              <w:t>55.809</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b/>
                <w:bCs/>
                <w:color w:val="000000"/>
                <w:sz w:val="16"/>
                <w:szCs w:val="16"/>
              </w:rPr>
            </w:pPr>
            <w:r>
              <w:rPr>
                <w:rFonts w:cs="Arial"/>
                <w:b/>
                <w:bCs/>
                <w:sz w:val="16"/>
                <w:szCs w:val="16"/>
              </w:rPr>
              <w:t>100</w:t>
            </w:r>
            <w:r w:rsidR="007F441F">
              <w:rPr>
                <w:rFonts w:cs="Arial"/>
                <w:b/>
                <w:bCs/>
                <w:sz w:val="16"/>
                <w:szCs w:val="16"/>
              </w:rPr>
              <w:t>,0</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b/>
                <w:bCs/>
                <w:color w:val="000000"/>
                <w:sz w:val="16"/>
                <w:szCs w:val="16"/>
              </w:rPr>
            </w:pPr>
            <w:r w:rsidRPr="007E6F1C">
              <w:rPr>
                <w:rFonts w:cs="Arial"/>
                <w:b/>
                <w:bCs/>
                <w:color w:val="000000"/>
                <w:sz w:val="16"/>
                <w:szCs w:val="16"/>
              </w:rPr>
              <w:t>54.58</w:t>
            </w:r>
            <w:r>
              <w:rPr>
                <w:rFonts w:cs="Arial"/>
                <w:b/>
                <w:bCs/>
                <w:color w:val="000000"/>
                <w:sz w:val="16"/>
                <w:szCs w:val="16"/>
              </w:rPr>
              <w:t>2</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b/>
                <w:bCs/>
                <w:color w:val="000000"/>
                <w:sz w:val="16"/>
                <w:szCs w:val="16"/>
              </w:rPr>
            </w:pPr>
            <w:r w:rsidRPr="00504EF3">
              <w:rPr>
                <w:rFonts w:cs="Arial"/>
                <w:b/>
                <w:bCs/>
                <w:color w:val="000000"/>
                <w:sz w:val="16"/>
                <w:szCs w:val="16"/>
              </w:rPr>
              <w:t>100</w:t>
            </w:r>
            <w:r w:rsidR="007F441F">
              <w:rPr>
                <w:rFonts w:cs="Arial"/>
                <w:b/>
                <w:bCs/>
                <w:color w:val="000000"/>
                <w:sz w:val="16"/>
                <w:szCs w:val="16"/>
              </w:rPr>
              <w:t>,0</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5C30BC" w:rsidRPr="00504EF3" w:rsidRDefault="005C30BC" w:rsidP="00D86960">
            <w:pPr>
              <w:widowControl w:val="0"/>
              <w:spacing w:line="240" w:lineRule="exact"/>
              <w:ind w:right="284"/>
              <w:jc w:val="right"/>
              <w:rPr>
                <w:rFonts w:cs="Arial"/>
                <w:b/>
                <w:bCs/>
                <w:color w:val="000000"/>
                <w:sz w:val="16"/>
                <w:szCs w:val="16"/>
              </w:rPr>
            </w:pPr>
            <w:r>
              <w:rPr>
                <w:rFonts w:cs="Arial"/>
                <w:b/>
                <w:bCs/>
                <w:color w:val="000000"/>
                <w:sz w:val="16"/>
                <w:szCs w:val="16"/>
              </w:rPr>
              <w:t>-2,2</w:t>
            </w:r>
          </w:p>
        </w:tc>
      </w:tr>
    </w:tbl>
    <w:p w:rsidR="005C30BC" w:rsidRDefault="005C30BC" w:rsidP="005C30BC">
      <w:pPr>
        <w:widowControl w:val="0"/>
        <w:tabs>
          <w:tab w:val="left" w:pos="993"/>
        </w:tabs>
        <w:ind w:firstLine="709"/>
        <w:jc w:val="center"/>
        <w:rPr>
          <w:rFonts w:cs="Arial"/>
          <w:sz w:val="16"/>
          <w:szCs w:val="16"/>
        </w:rPr>
      </w:pPr>
      <w:r>
        <w:rPr>
          <w:rFonts w:cs="Arial"/>
          <w:sz w:val="16"/>
          <w:szCs w:val="16"/>
        </w:rPr>
        <w:t xml:space="preserve">(1) </w:t>
      </w:r>
      <w:r>
        <w:rPr>
          <w:rFonts w:cs="Arial"/>
          <w:sz w:val="16"/>
          <w:szCs w:val="16"/>
        </w:rPr>
        <w:tab/>
        <w:t>Incremento porcentual registrado por las cifras absolutas.</w:t>
      </w:r>
    </w:p>
    <w:p w:rsidR="005C30BC" w:rsidRDefault="005C30BC" w:rsidP="006D6DCF">
      <w:pPr>
        <w:rPr>
          <w:rFonts w:eastAsia="Times New Roman" w:cs="Arial"/>
          <w:szCs w:val="20"/>
          <w:lang w:eastAsia="es-ES"/>
        </w:rPr>
      </w:pPr>
    </w:p>
    <w:p w:rsidR="001244F4" w:rsidRPr="005C30BC" w:rsidRDefault="001244F4" w:rsidP="006D6DCF">
      <w:pPr>
        <w:rPr>
          <w:rFonts w:eastAsia="Times New Roman" w:cs="Arial"/>
          <w:szCs w:val="20"/>
          <w:lang w:eastAsia="es-ES"/>
        </w:rPr>
      </w:pPr>
    </w:p>
    <w:p w:rsidR="009066A7" w:rsidRPr="001C74CE" w:rsidRDefault="001244F4" w:rsidP="00BD60C8">
      <w:pPr>
        <w:rPr>
          <w:rFonts w:eastAsia="Times New Roman" w:cs="Arial"/>
          <w:szCs w:val="20"/>
          <w:lang w:val="es-ES_tradnl" w:eastAsia="es-ES"/>
        </w:rPr>
      </w:pPr>
      <w:r>
        <w:rPr>
          <w:rFonts w:eastAsia="Times New Roman" w:cs="Arial"/>
          <w:szCs w:val="20"/>
          <w:lang w:val="es-ES_tradnl" w:eastAsia="es-ES"/>
        </w:rPr>
        <w:t xml:space="preserve">El sector cooperativo recoge, por su parte, el </w:t>
      </w:r>
      <w:r w:rsidR="00A97DE2">
        <w:rPr>
          <w:rFonts w:eastAsia="Times New Roman" w:cs="Arial"/>
          <w:szCs w:val="20"/>
          <w:lang w:val="es-ES_tradnl" w:eastAsia="es-ES"/>
        </w:rPr>
        <w:t>44,3%</w:t>
      </w:r>
      <w:r w:rsidR="009066A7">
        <w:rPr>
          <w:rFonts w:eastAsia="Times New Roman" w:cs="Arial"/>
          <w:szCs w:val="20"/>
          <w:lang w:val="es-ES_tradnl" w:eastAsia="es-ES"/>
        </w:rPr>
        <w:t xml:space="preserve"> de empleos netos perdidos en el</w:t>
      </w:r>
      <w:r w:rsidR="00B75B71">
        <w:rPr>
          <w:rFonts w:eastAsia="Times New Roman" w:cs="Arial"/>
          <w:szCs w:val="20"/>
          <w:lang w:val="es-ES_tradnl" w:eastAsia="es-ES"/>
        </w:rPr>
        <w:t xml:space="preserve"> marco de la</w:t>
      </w:r>
      <w:r>
        <w:rPr>
          <w:rFonts w:eastAsia="Times New Roman" w:cs="Arial"/>
          <w:szCs w:val="20"/>
          <w:lang w:val="es-ES_tradnl" w:eastAsia="es-ES"/>
        </w:rPr>
        <w:t>s formas societarias de la</w:t>
      </w:r>
      <w:r w:rsidR="00B75B71">
        <w:rPr>
          <w:rFonts w:eastAsia="Times New Roman" w:cs="Arial"/>
          <w:szCs w:val="20"/>
          <w:lang w:val="es-ES_tradnl" w:eastAsia="es-ES"/>
        </w:rPr>
        <w:t xml:space="preserve"> Economía Social </w:t>
      </w:r>
      <w:r>
        <w:rPr>
          <w:rFonts w:eastAsia="Times New Roman" w:cs="Arial"/>
          <w:szCs w:val="20"/>
          <w:lang w:val="es-ES_tradnl" w:eastAsia="es-ES"/>
        </w:rPr>
        <w:t>con evolución negativa del empleo</w:t>
      </w:r>
      <w:r w:rsidR="009066A7">
        <w:rPr>
          <w:rFonts w:eastAsia="Times New Roman" w:cs="Arial"/>
          <w:szCs w:val="20"/>
          <w:lang w:val="es-ES_tradnl" w:eastAsia="es-ES"/>
        </w:rPr>
        <w:t>. Sin embargo</w:t>
      </w:r>
      <w:r w:rsidR="004665D9">
        <w:rPr>
          <w:rFonts w:eastAsia="Times New Roman" w:cs="Arial"/>
          <w:szCs w:val="20"/>
          <w:lang w:val="es-ES_tradnl" w:eastAsia="es-ES"/>
        </w:rPr>
        <w:t xml:space="preserve">, en comparación con las </w:t>
      </w:r>
      <w:proofErr w:type="spellStart"/>
      <w:r w:rsidR="004665D9">
        <w:rPr>
          <w:rFonts w:eastAsia="Times New Roman" w:cs="Arial"/>
          <w:szCs w:val="20"/>
          <w:lang w:val="es-ES_tradnl" w:eastAsia="es-ES"/>
        </w:rPr>
        <w:t>SALes</w:t>
      </w:r>
      <w:proofErr w:type="spellEnd"/>
      <w:r w:rsidR="004665D9">
        <w:rPr>
          <w:rFonts w:eastAsia="Times New Roman" w:cs="Arial"/>
          <w:szCs w:val="20"/>
          <w:lang w:val="es-ES_tradnl" w:eastAsia="es-ES"/>
        </w:rPr>
        <w:t xml:space="preserve">, </w:t>
      </w:r>
      <w:r w:rsidR="00626CD4">
        <w:rPr>
          <w:rFonts w:eastAsia="Times New Roman" w:cs="Arial"/>
          <w:szCs w:val="20"/>
          <w:lang w:val="es-ES_tradnl" w:eastAsia="es-ES"/>
        </w:rPr>
        <w:t>se obs</w:t>
      </w:r>
      <w:r w:rsidR="00F01DDE">
        <w:rPr>
          <w:rFonts w:eastAsia="Times New Roman" w:cs="Arial"/>
          <w:szCs w:val="20"/>
          <w:lang w:val="es-ES_tradnl" w:eastAsia="es-ES"/>
        </w:rPr>
        <w:t>e</w:t>
      </w:r>
      <w:r w:rsidR="00626CD4">
        <w:rPr>
          <w:rFonts w:eastAsia="Times New Roman" w:cs="Arial"/>
          <w:szCs w:val="20"/>
          <w:lang w:val="es-ES_tradnl" w:eastAsia="es-ES"/>
        </w:rPr>
        <w:t>rva</w:t>
      </w:r>
      <w:r w:rsidR="004665D9">
        <w:rPr>
          <w:rFonts w:eastAsia="Times New Roman" w:cs="Arial"/>
          <w:szCs w:val="20"/>
          <w:lang w:val="es-ES_tradnl" w:eastAsia="es-ES"/>
        </w:rPr>
        <w:t xml:space="preserve"> un </w:t>
      </w:r>
      <w:r w:rsidR="009066A7">
        <w:rPr>
          <w:rFonts w:eastAsia="Times New Roman" w:cs="Arial"/>
          <w:szCs w:val="20"/>
          <w:lang w:val="es-ES_tradnl" w:eastAsia="es-ES"/>
        </w:rPr>
        <w:t>crecimiento en el número de establecimientos cooperativos (+1,8%) y</w:t>
      </w:r>
      <w:r w:rsidR="004665D9">
        <w:rPr>
          <w:rFonts w:eastAsia="Times New Roman" w:cs="Arial"/>
          <w:szCs w:val="20"/>
          <w:lang w:val="es-ES_tradnl" w:eastAsia="es-ES"/>
        </w:rPr>
        <w:t>, sobre todo,</w:t>
      </w:r>
      <w:r w:rsidR="009066A7">
        <w:rPr>
          <w:rFonts w:eastAsia="Times New Roman" w:cs="Arial"/>
          <w:szCs w:val="20"/>
          <w:lang w:val="es-ES_tradnl" w:eastAsia="es-ES"/>
        </w:rPr>
        <w:t xml:space="preserve"> una caída en el empleo significativamente menor </w:t>
      </w:r>
      <w:r w:rsidR="009B4A5B">
        <w:rPr>
          <w:rFonts w:eastAsia="Times New Roman" w:cs="Arial"/>
          <w:szCs w:val="20"/>
          <w:lang w:val="es-ES_tradnl" w:eastAsia="es-ES"/>
        </w:rPr>
        <w:t>en términos relativos (-1,4%</w:t>
      </w:r>
      <w:r w:rsidR="004665D9">
        <w:rPr>
          <w:rFonts w:eastAsia="Times New Roman" w:cs="Arial"/>
          <w:szCs w:val="20"/>
          <w:lang w:val="es-ES_tradnl" w:eastAsia="es-ES"/>
        </w:rPr>
        <w:t xml:space="preserve"> frente al -20,7% de las </w:t>
      </w:r>
      <w:proofErr w:type="spellStart"/>
      <w:r w:rsidR="004665D9" w:rsidRPr="00412904">
        <w:rPr>
          <w:rFonts w:eastAsia="Times New Roman" w:cs="Arial"/>
          <w:szCs w:val="20"/>
          <w:lang w:val="es-ES_tradnl" w:eastAsia="es-ES"/>
        </w:rPr>
        <w:t>SALes</w:t>
      </w:r>
      <w:proofErr w:type="spellEnd"/>
      <w:r w:rsidR="009B4A5B" w:rsidRPr="00412904">
        <w:rPr>
          <w:rFonts w:eastAsia="Times New Roman" w:cs="Arial"/>
          <w:szCs w:val="20"/>
          <w:lang w:val="es-ES_tradnl" w:eastAsia="es-ES"/>
        </w:rPr>
        <w:t>)</w:t>
      </w:r>
      <w:r w:rsidR="004665D9" w:rsidRPr="00412904">
        <w:rPr>
          <w:rFonts w:eastAsia="Times New Roman" w:cs="Arial"/>
          <w:szCs w:val="20"/>
          <w:lang w:val="es-ES_tradnl" w:eastAsia="es-ES"/>
        </w:rPr>
        <w:t xml:space="preserve">. </w:t>
      </w:r>
      <w:r w:rsidR="002E54B5" w:rsidRPr="00412904">
        <w:rPr>
          <w:rFonts w:eastAsia="Times New Roman" w:cs="Arial"/>
          <w:szCs w:val="20"/>
          <w:lang w:val="es-ES_tradnl" w:eastAsia="es-ES"/>
        </w:rPr>
        <w:t>Aun</w:t>
      </w:r>
      <w:r w:rsidR="00FC0F3D" w:rsidRPr="00412904">
        <w:rPr>
          <w:rFonts w:eastAsia="Times New Roman" w:cs="Arial"/>
          <w:szCs w:val="20"/>
          <w:lang w:val="es-ES_tradnl" w:eastAsia="es-ES"/>
        </w:rPr>
        <w:t xml:space="preserve">que la reducción de empleo </w:t>
      </w:r>
      <w:r w:rsidR="0000325D" w:rsidRPr="00412904">
        <w:rPr>
          <w:rFonts w:eastAsia="Times New Roman" w:cs="Arial"/>
          <w:szCs w:val="20"/>
          <w:lang w:val="es-ES_tradnl" w:eastAsia="es-ES"/>
        </w:rPr>
        <w:t xml:space="preserve">en las cooperativas </w:t>
      </w:r>
      <w:r w:rsidR="00FC0F3D" w:rsidRPr="00412904">
        <w:rPr>
          <w:rFonts w:eastAsia="Times New Roman" w:cs="Arial"/>
          <w:szCs w:val="20"/>
          <w:lang w:val="es-ES_tradnl" w:eastAsia="es-ES"/>
        </w:rPr>
        <w:t>es superior a la del bienio 2010-2012 (-0,3%)</w:t>
      </w:r>
      <w:r w:rsidR="004665D9" w:rsidRPr="00412904">
        <w:rPr>
          <w:rFonts w:eastAsia="Times New Roman" w:cs="Arial"/>
          <w:szCs w:val="20"/>
          <w:lang w:val="es-ES_tradnl" w:eastAsia="es-ES"/>
        </w:rPr>
        <w:t xml:space="preserve">, la </w:t>
      </w:r>
      <w:r w:rsidR="002E54B5" w:rsidRPr="00412904">
        <w:rPr>
          <w:rFonts w:eastAsia="Times New Roman" w:cs="Arial"/>
          <w:szCs w:val="20"/>
          <w:lang w:val="es-ES_tradnl" w:eastAsia="es-ES"/>
        </w:rPr>
        <w:t xml:space="preserve">dinámica </w:t>
      </w:r>
      <w:r w:rsidR="00FC0F3D" w:rsidRPr="00412904">
        <w:rPr>
          <w:rFonts w:eastAsia="Times New Roman" w:cs="Arial"/>
          <w:szCs w:val="20"/>
          <w:lang w:val="es-ES_tradnl" w:eastAsia="es-ES"/>
        </w:rPr>
        <w:t xml:space="preserve">de este sector </w:t>
      </w:r>
      <w:r w:rsidR="002E54B5" w:rsidRPr="00412904">
        <w:rPr>
          <w:rFonts w:eastAsia="Times New Roman" w:cs="Arial"/>
          <w:szCs w:val="20"/>
          <w:lang w:val="es-ES_tradnl" w:eastAsia="es-ES"/>
        </w:rPr>
        <w:t xml:space="preserve">entre 2012 y 2014 </w:t>
      </w:r>
      <w:r w:rsidR="004665D9" w:rsidRPr="00412904">
        <w:rPr>
          <w:rFonts w:eastAsia="Times New Roman" w:cs="Arial"/>
          <w:szCs w:val="20"/>
          <w:lang w:val="es-ES_tradnl" w:eastAsia="es-ES"/>
        </w:rPr>
        <w:t xml:space="preserve">se ve condicionada por el cierre de una de sus empresas más señeras, un factor que oculta una tendencia </w:t>
      </w:r>
      <w:r w:rsidR="002E54B5" w:rsidRPr="00412904">
        <w:rPr>
          <w:rFonts w:eastAsia="Times New Roman" w:cs="Arial"/>
          <w:szCs w:val="20"/>
          <w:lang w:val="es-ES_tradnl" w:eastAsia="es-ES"/>
        </w:rPr>
        <w:t>a la recuperación en el resto de las empresas</w:t>
      </w:r>
      <w:r w:rsidR="009066A7" w:rsidRPr="00412904">
        <w:rPr>
          <w:rFonts w:eastAsia="Times New Roman" w:cs="Arial"/>
          <w:szCs w:val="20"/>
          <w:lang w:val="es-ES_tradnl" w:eastAsia="es-ES"/>
        </w:rPr>
        <w:t>.</w:t>
      </w:r>
      <w:r w:rsidR="009066A7">
        <w:rPr>
          <w:rFonts w:eastAsia="Times New Roman" w:cs="Arial"/>
          <w:szCs w:val="20"/>
          <w:lang w:val="es-ES_tradnl" w:eastAsia="es-ES"/>
        </w:rPr>
        <w:t xml:space="preserve"> </w:t>
      </w:r>
    </w:p>
    <w:p w:rsidR="009066A7" w:rsidRPr="004665D9" w:rsidRDefault="009066A7" w:rsidP="00626CD4">
      <w:pPr>
        <w:rPr>
          <w:lang w:val="es-ES_tradnl"/>
        </w:rPr>
      </w:pPr>
    </w:p>
    <w:p w:rsidR="009066A7" w:rsidRDefault="009066A7" w:rsidP="009066A7">
      <w:pPr>
        <w:widowControl w:val="0"/>
        <w:rPr>
          <w:rFonts w:eastAsia="Times New Roman" w:cs="Arial"/>
          <w:szCs w:val="20"/>
          <w:lang w:val="es-ES_tradnl" w:eastAsia="es-ES"/>
        </w:rPr>
      </w:pPr>
      <w:r w:rsidRPr="006C35FB">
        <w:rPr>
          <w:rFonts w:eastAsia="Times New Roman" w:cs="Arial"/>
          <w:szCs w:val="20"/>
          <w:lang w:val="es-ES_tradnl" w:eastAsia="es-ES"/>
        </w:rPr>
        <w:lastRenderedPageBreak/>
        <w:t xml:space="preserve">El contrapunto positivo lo </w:t>
      </w:r>
      <w:r>
        <w:rPr>
          <w:rFonts w:eastAsia="Times New Roman" w:cs="Arial"/>
          <w:szCs w:val="20"/>
          <w:lang w:val="es-ES_tradnl" w:eastAsia="es-ES"/>
        </w:rPr>
        <w:t xml:space="preserve">protagonizan las Sociedades Limitadas Laborales que revierten </w:t>
      </w:r>
      <w:r w:rsidR="004665D9">
        <w:rPr>
          <w:rFonts w:eastAsia="Times New Roman" w:cs="Arial"/>
          <w:szCs w:val="20"/>
          <w:lang w:val="es-ES_tradnl" w:eastAsia="es-ES"/>
        </w:rPr>
        <w:t xml:space="preserve">el retroceso </w:t>
      </w:r>
      <w:r>
        <w:rPr>
          <w:rFonts w:eastAsia="Times New Roman" w:cs="Arial"/>
          <w:szCs w:val="20"/>
          <w:lang w:val="es-ES_tradnl" w:eastAsia="es-ES"/>
        </w:rPr>
        <w:t>en el empleo experimentad</w:t>
      </w:r>
      <w:r w:rsidR="004665D9">
        <w:rPr>
          <w:rFonts w:eastAsia="Times New Roman" w:cs="Arial"/>
          <w:szCs w:val="20"/>
          <w:lang w:val="es-ES_tradnl" w:eastAsia="es-ES"/>
        </w:rPr>
        <w:t>o</w:t>
      </w:r>
      <w:r>
        <w:rPr>
          <w:rFonts w:eastAsia="Times New Roman" w:cs="Arial"/>
          <w:szCs w:val="20"/>
          <w:lang w:val="es-ES_tradnl" w:eastAsia="es-ES"/>
        </w:rPr>
        <w:t xml:space="preserve"> en el </w:t>
      </w:r>
      <w:r w:rsidR="004665D9">
        <w:rPr>
          <w:rFonts w:eastAsia="Times New Roman" w:cs="Arial"/>
          <w:szCs w:val="20"/>
          <w:lang w:val="es-ES_tradnl" w:eastAsia="es-ES"/>
        </w:rPr>
        <w:t xml:space="preserve">2010-2014 </w:t>
      </w:r>
      <w:r>
        <w:rPr>
          <w:rFonts w:eastAsia="Times New Roman" w:cs="Arial"/>
          <w:szCs w:val="20"/>
          <w:lang w:val="es-ES_tradnl" w:eastAsia="es-ES"/>
        </w:rPr>
        <w:t>(-12,4%), logrando situarse nuevamente por encima de los 4.000 empleos (4.082 en 2014)</w:t>
      </w:r>
      <w:r w:rsidR="004665D9">
        <w:rPr>
          <w:rFonts w:eastAsia="Times New Roman" w:cs="Arial"/>
          <w:szCs w:val="20"/>
          <w:lang w:val="es-ES_tradnl" w:eastAsia="es-ES"/>
        </w:rPr>
        <w:t xml:space="preserve">. El fuerte dinamismo en la apertura de nuevos establecimientos (+7,8%) se traduce en un crecimiento del </w:t>
      </w:r>
      <w:r>
        <w:rPr>
          <w:rFonts w:eastAsia="Times New Roman" w:cs="Arial"/>
          <w:szCs w:val="20"/>
          <w:lang w:val="es-ES_tradnl" w:eastAsia="es-ES"/>
        </w:rPr>
        <w:t>6,8%</w:t>
      </w:r>
      <w:r w:rsidR="004665D9">
        <w:rPr>
          <w:rFonts w:eastAsia="Times New Roman" w:cs="Arial"/>
          <w:szCs w:val="20"/>
          <w:lang w:val="es-ES_tradnl" w:eastAsia="es-ES"/>
        </w:rPr>
        <w:t xml:space="preserve"> en el empleo</w:t>
      </w:r>
      <w:r>
        <w:rPr>
          <w:rFonts w:eastAsia="Times New Roman" w:cs="Arial"/>
          <w:szCs w:val="20"/>
          <w:lang w:val="es-ES_tradnl" w:eastAsia="es-ES"/>
        </w:rPr>
        <w:t xml:space="preserve">. </w:t>
      </w:r>
      <w:r w:rsidR="004665D9">
        <w:rPr>
          <w:rFonts w:eastAsia="Times New Roman" w:cs="Arial"/>
          <w:szCs w:val="20"/>
          <w:lang w:val="es-ES_tradnl" w:eastAsia="es-ES"/>
        </w:rPr>
        <w:t xml:space="preserve">En </w:t>
      </w:r>
      <w:r w:rsidR="009B4A5B">
        <w:rPr>
          <w:rFonts w:eastAsia="Times New Roman" w:cs="Arial"/>
          <w:szCs w:val="20"/>
          <w:lang w:val="es-ES_tradnl" w:eastAsia="es-ES"/>
        </w:rPr>
        <w:t>2014,</w:t>
      </w:r>
      <w:r>
        <w:rPr>
          <w:rFonts w:eastAsia="Times New Roman" w:cs="Arial"/>
          <w:szCs w:val="20"/>
          <w:lang w:val="es-ES_tradnl" w:eastAsia="es-ES"/>
        </w:rPr>
        <w:t xml:space="preserve"> el parque de establecimientos de las </w:t>
      </w:r>
      <w:proofErr w:type="spellStart"/>
      <w:r>
        <w:rPr>
          <w:rFonts w:eastAsia="Times New Roman" w:cs="Arial"/>
          <w:szCs w:val="20"/>
          <w:lang w:val="es-ES_tradnl" w:eastAsia="es-ES"/>
        </w:rPr>
        <w:t>SLLes</w:t>
      </w:r>
      <w:proofErr w:type="spellEnd"/>
      <w:r>
        <w:rPr>
          <w:rFonts w:eastAsia="Times New Roman" w:cs="Arial"/>
          <w:szCs w:val="20"/>
          <w:lang w:val="es-ES_tradnl" w:eastAsia="es-ES"/>
        </w:rPr>
        <w:t xml:space="preserve"> (664 establecimientos) triplica </w:t>
      </w:r>
      <w:r w:rsidR="004665D9">
        <w:rPr>
          <w:rFonts w:eastAsia="Times New Roman" w:cs="Arial"/>
          <w:szCs w:val="20"/>
          <w:lang w:val="es-ES_tradnl" w:eastAsia="es-ES"/>
        </w:rPr>
        <w:t xml:space="preserve">de hecho </w:t>
      </w:r>
      <w:r>
        <w:rPr>
          <w:rFonts w:eastAsia="Times New Roman" w:cs="Arial"/>
          <w:szCs w:val="20"/>
          <w:lang w:val="es-ES_tradnl" w:eastAsia="es-ES"/>
        </w:rPr>
        <w:t xml:space="preserve">el parque representado por las </w:t>
      </w:r>
      <w:proofErr w:type="spellStart"/>
      <w:r>
        <w:rPr>
          <w:rFonts w:eastAsia="Times New Roman" w:cs="Arial"/>
          <w:szCs w:val="20"/>
          <w:lang w:val="es-ES_tradnl" w:eastAsia="es-ES"/>
        </w:rPr>
        <w:t>SALes</w:t>
      </w:r>
      <w:proofErr w:type="spellEnd"/>
      <w:r>
        <w:rPr>
          <w:rFonts w:eastAsia="Times New Roman" w:cs="Arial"/>
          <w:szCs w:val="20"/>
          <w:lang w:val="es-ES_tradnl" w:eastAsia="es-ES"/>
        </w:rPr>
        <w:t xml:space="preserve"> (230 establecimientos).</w:t>
      </w:r>
    </w:p>
    <w:p w:rsidR="008C1A7E" w:rsidRDefault="008C1A7E" w:rsidP="009066A7">
      <w:pPr>
        <w:widowControl w:val="0"/>
        <w:rPr>
          <w:rFonts w:eastAsia="Times New Roman" w:cs="Arial"/>
          <w:szCs w:val="20"/>
          <w:lang w:val="es-ES_tradnl" w:eastAsia="es-ES"/>
        </w:rPr>
      </w:pPr>
    </w:p>
    <w:p w:rsidR="00626CD4" w:rsidRPr="00BB0F3F" w:rsidRDefault="00626CD4" w:rsidP="009066A7">
      <w:pPr>
        <w:widowControl w:val="0"/>
        <w:rPr>
          <w:rFonts w:eastAsia="Times New Roman" w:cs="Arial"/>
          <w:szCs w:val="20"/>
          <w:lang w:val="es-ES_tradnl" w:eastAsia="es-ES"/>
        </w:rPr>
      </w:pPr>
      <w:r w:rsidRPr="00BB0F3F">
        <w:rPr>
          <w:rFonts w:eastAsia="Times New Roman" w:cs="Arial"/>
          <w:szCs w:val="20"/>
          <w:lang w:val="es-ES_tradnl" w:eastAsia="es-ES"/>
        </w:rPr>
        <w:t xml:space="preserve">En una perspectiva a largo plazo, la pérdida de 8.033 empleos en las FCES entre 2008 y 2014 muestra una dinámica negativa generalizada en la que, sin embargo, el grueso de la caída se vincula a las </w:t>
      </w:r>
      <w:proofErr w:type="spellStart"/>
      <w:r w:rsidRPr="00BB0F3F">
        <w:rPr>
          <w:rFonts w:eastAsia="Times New Roman" w:cs="Arial"/>
          <w:szCs w:val="20"/>
          <w:lang w:val="es-ES_tradnl" w:eastAsia="es-ES"/>
        </w:rPr>
        <w:t>SALes</w:t>
      </w:r>
      <w:proofErr w:type="spellEnd"/>
      <w:r w:rsidRPr="00BB0F3F">
        <w:rPr>
          <w:rFonts w:eastAsia="Times New Roman" w:cs="Arial"/>
          <w:szCs w:val="20"/>
          <w:lang w:val="es-ES_tradnl" w:eastAsia="es-ES"/>
        </w:rPr>
        <w:t>. Éstas recogen un 53,2% de la reducción de empleo observada durante la crisis</w:t>
      </w:r>
      <w:r w:rsidR="00D3130E" w:rsidRPr="00BB0F3F">
        <w:rPr>
          <w:rFonts w:eastAsia="Times New Roman" w:cs="Arial"/>
          <w:szCs w:val="20"/>
          <w:lang w:val="es-ES_tradnl" w:eastAsia="es-ES"/>
        </w:rPr>
        <w:t>, una crisis que ya</w:t>
      </w:r>
      <w:r w:rsidR="00F01DDE" w:rsidRPr="00BB0F3F">
        <w:rPr>
          <w:rFonts w:eastAsia="Times New Roman" w:cs="Arial"/>
          <w:szCs w:val="20"/>
          <w:lang w:val="es-ES_tradnl" w:eastAsia="es-ES"/>
        </w:rPr>
        <w:t xml:space="preserve"> se perfila a partir de 2006. Au</w:t>
      </w:r>
      <w:r w:rsidR="00D3130E" w:rsidRPr="00BB0F3F">
        <w:rPr>
          <w:rFonts w:eastAsia="Times New Roman" w:cs="Arial"/>
          <w:szCs w:val="20"/>
          <w:lang w:val="es-ES_tradnl" w:eastAsia="es-ES"/>
        </w:rPr>
        <w:t xml:space="preserve">n así, </w:t>
      </w:r>
      <w:r w:rsidRPr="00BB0F3F">
        <w:rPr>
          <w:rFonts w:eastAsia="Times New Roman" w:cs="Arial"/>
          <w:szCs w:val="20"/>
          <w:lang w:val="es-ES_tradnl" w:eastAsia="es-ES"/>
        </w:rPr>
        <w:t xml:space="preserve">un 37,8% de la caída </w:t>
      </w:r>
      <w:r w:rsidR="00D3130E" w:rsidRPr="00BB0F3F">
        <w:rPr>
          <w:rFonts w:eastAsia="Times New Roman" w:cs="Arial"/>
          <w:szCs w:val="20"/>
          <w:lang w:val="es-ES_tradnl" w:eastAsia="es-ES"/>
        </w:rPr>
        <w:t xml:space="preserve">del periodo </w:t>
      </w:r>
      <w:r w:rsidRPr="00BB0F3F">
        <w:rPr>
          <w:rFonts w:eastAsia="Times New Roman" w:cs="Arial"/>
          <w:szCs w:val="20"/>
          <w:lang w:val="es-ES_tradnl" w:eastAsia="es-ES"/>
        </w:rPr>
        <w:t xml:space="preserve">corresponde al sistema cooperativo. Las </w:t>
      </w:r>
      <w:proofErr w:type="spellStart"/>
      <w:r w:rsidRPr="00BB0F3F">
        <w:rPr>
          <w:rFonts w:eastAsia="Times New Roman" w:cs="Arial"/>
          <w:szCs w:val="20"/>
          <w:lang w:val="es-ES_tradnl" w:eastAsia="es-ES"/>
        </w:rPr>
        <w:t>SLLes</w:t>
      </w:r>
      <w:proofErr w:type="spellEnd"/>
      <w:r w:rsidRPr="00BB0F3F">
        <w:rPr>
          <w:rFonts w:eastAsia="Times New Roman" w:cs="Arial"/>
          <w:szCs w:val="20"/>
          <w:lang w:val="es-ES_tradnl" w:eastAsia="es-ES"/>
        </w:rPr>
        <w:t xml:space="preserve"> recogen el 9% restante de la</w:t>
      </w:r>
      <w:r w:rsidR="00D3130E" w:rsidRPr="00BB0F3F">
        <w:rPr>
          <w:rFonts w:eastAsia="Times New Roman" w:cs="Arial"/>
          <w:szCs w:val="20"/>
          <w:lang w:val="es-ES_tradnl" w:eastAsia="es-ES"/>
        </w:rPr>
        <w:t>s pérdidas</w:t>
      </w:r>
      <w:r w:rsidRPr="00BB0F3F">
        <w:rPr>
          <w:rFonts w:eastAsia="Times New Roman" w:cs="Arial"/>
          <w:szCs w:val="20"/>
          <w:lang w:val="es-ES_tradnl" w:eastAsia="es-ES"/>
        </w:rPr>
        <w:t xml:space="preserve"> de empleo.</w:t>
      </w:r>
    </w:p>
    <w:p w:rsidR="00626CD4" w:rsidRDefault="00626CD4" w:rsidP="009066A7">
      <w:pPr>
        <w:widowControl w:val="0"/>
        <w:rPr>
          <w:rFonts w:eastAsia="Times New Roman" w:cs="Arial"/>
          <w:szCs w:val="20"/>
          <w:lang w:val="es-ES_tradnl" w:eastAsia="es-ES"/>
        </w:rPr>
      </w:pPr>
    </w:p>
    <w:p w:rsidR="008C1A7E" w:rsidRPr="005B16C9" w:rsidRDefault="008C1A7E" w:rsidP="008C1A7E">
      <w:pPr>
        <w:rPr>
          <w:rFonts w:eastAsia="Times New Roman" w:cs="Arial"/>
          <w:b/>
          <w:szCs w:val="20"/>
          <w:lang w:val="es-ES_tradnl" w:eastAsia="es-ES"/>
        </w:rPr>
      </w:pPr>
      <w:r>
        <w:rPr>
          <w:rFonts w:eastAsia="Times New Roman" w:cs="Arial"/>
          <w:b/>
          <w:szCs w:val="20"/>
          <w:lang w:val="es-ES_tradnl" w:eastAsia="es-ES"/>
        </w:rPr>
        <w:t>L</w:t>
      </w:r>
      <w:r w:rsidRPr="005B16C9">
        <w:rPr>
          <w:rFonts w:eastAsia="Times New Roman" w:cs="Arial"/>
          <w:b/>
          <w:szCs w:val="20"/>
          <w:lang w:val="es-ES_tradnl" w:eastAsia="es-ES"/>
        </w:rPr>
        <w:t xml:space="preserve">a caída del empleo se vincula en </w:t>
      </w:r>
      <w:r>
        <w:rPr>
          <w:rFonts w:eastAsia="Times New Roman" w:cs="Arial"/>
          <w:b/>
          <w:szCs w:val="20"/>
          <w:lang w:val="es-ES_tradnl" w:eastAsia="es-ES"/>
        </w:rPr>
        <w:t xml:space="preserve">buena medida al colectivo de Socios/as. El </w:t>
      </w:r>
      <w:r w:rsidRPr="005B16C9">
        <w:rPr>
          <w:rFonts w:eastAsia="Times New Roman" w:cs="Arial"/>
          <w:b/>
          <w:szCs w:val="20"/>
          <w:lang w:val="es-ES_tradnl" w:eastAsia="es-ES"/>
        </w:rPr>
        <w:t>colectivo asalariado</w:t>
      </w:r>
      <w:r>
        <w:rPr>
          <w:rFonts w:eastAsia="Times New Roman" w:cs="Arial"/>
          <w:b/>
          <w:szCs w:val="20"/>
          <w:lang w:val="es-ES_tradnl" w:eastAsia="es-ES"/>
        </w:rPr>
        <w:t>, tanto</w:t>
      </w:r>
      <w:r w:rsidRPr="005B16C9">
        <w:rPr>
          <w:rFonts w:eastAsia="Times New Roman" w:cs="Arial"/>
          <w:b/>
          <w:szCs w:val="20"/>
          <w:lang w:val="es-ES_tradnl" w:eastAsia="es-ES"/>
        </w:rPr>
        <w:t xml:space="preserve"> eventual </w:t>
      </w:r>
      <w:r>
        <w:rPr>
          <w:rFonts w:eastAsia="Times New Roman" w:cs="Arial"/>
          <w:b/>
          <w:szCs w:val="20"/>
          <w:lang w:val="es-ES_tradnl" w:eastAsia="es-ES"/>
        </w:rPr>
        <w:t xml:space="preserve">como en aún mayor medida </w:t>
      </w:r>
      <w:r w:rsidRPr="005B16C9">
        <w:rPr>
          <w:rFonts w:eastAsia="Times New Roman" w:cs="Arial"/>
          <w:b/>
          <w:szCs w:val="20"/>
          <w:lang w:val="es-ES_tradnl" w:eastAsia="es-ES"/>
        </w:rPr>
        <w:t>indefinido, mejora</w:t>
      </w:r>
      <w:r>
        <w:rPr>
          <w:rFonts w:eastAsia="Times New Roman" w:cs="Arial"/>
          <w:b/>
          <w:szCs w:val="20"/>
          <w:lang w:val="es-ES_tradnl" w:eastAsia="es-ES"/>
        </w:rPr>
        <w:t xml:space="preserve"> sus cifras.</w:t>
      </w:r>
    </w:p>
    <w:p w:rsidR="008C1A7E" w:rsidRDefault="008C1A7E" w:rsidP="008C1A7E">
      <w:pPr>
        <w:ind w:left="227" w:hanging="227"/>
        <w:rPr>
          <w:rFonts w:eastAsia="Arial" w:cs="Arial"/>
          <w:lang w:val="es-ES_tradnl"/>
        </w:rPr>
      </w:pPr>
    </w:p>
    <w:p w:rsidR="008C1A7E" w:rsidRDefault="008C1A7E" w:rsidP="00B53573">
      <w:pPr>
        <w:rPr>
          <w:rFonts w:eastAsia="Arial" w:cs="Arial"/>
          <w:lang w:val="es-ES_tradnl"/>
        </w:rPr>
      </w:pPr>
      <w:r>
        <w:rPr>
          <w:rFonts w:eastAsia="Arial" w:cs="Arial"/>
          <w:lang w:val="es-ES_tradnl"/>
        </w:rPr>
        <w:t xml:space="preserve">La evolución del empleo viene marcada por dinámicas bien diferenciadas atendiendo al tipo de relación contractual al que queda circunscrito el empleo. Así, la caída general experimentada en las cifras de la Economía Social se atribuye al notable descenso vivido en el empleo societario. Éste se </w:t>
      </w:r>
      <w:r w:rsidRPr="00434262">
        <w:rPr>
          <w:rFonts w:eastAsia="Arial" w:cs="Arial"/>
          <w:lang w:val="es-ES_tradnl"/>
        </w:rPr>
        <w:t>reduce en un 7,2% en el bienio</w:t>
      </w:r>
      <w:r>
        <w:rPr>
          <w:rFonts w:eastAsia="Arial" w:cs="Arial"/>
          <w:lang w:val="es-ES_tradnl"/>
        </w:rPr>
        <w:t xml:space="preserve"> 2012-2014, llegando hasta un -28,3% en el empleo societario de las </w:t>
      </w:r>
      <w:proofErr w:type="spellStart"/>
      <w:r>
        <w:rPr>
          <w:rFonts w:eastAsia="Arial" w:cs="Arial"/>
          <w:lang w:val="es-ES_tradnl"/>
        </w:rPr>
        <w:t>SALes</w:t>
      </w:r>
      <w:proofErr w:type="spellEnd"/>
      <w:r>
        <w:rPr>
          <w:rFonts w:eastAsia="Arial" w:cs="Arial"/>
          <w:lang w:val="es-ES_tradnl"/>
        </w:rPr>
        <w:t xml:space="preserve"> (</w:t>
      </w:r>
      <w:r w:rsidR="00B53573">
        <w:rPr>
          <w:rFonts w:eastAsia="Arial" w:cs="Arial"/>
          <w:lang w:val="es-ES_tradnl"/>
        </w:rPr>
        <w:t xml:space="preserve">en contraste con un repunte del 1% en los socios/as de las </w:t>
      </w:r>
      <w:proofErr w:type="spellStart"/>
      <w:r w:rsidR="00B53573">
        <w:rPr>
          <w:rFonts w:eastAsia="Arial" w:cs="Arial"/>
          <w:lang w:val="es-ES_tradnl"/>
        </w:rPr>
        <w:t>SLLes</w:t>
      </w:r>
      <w:proofErr w:type="spellEnd"/>
      <w:r w:rsidR="00B53573">
        <w:rPr>
          <w:rFonts w:eastAsia="Arial" w:cs="Arial"/>
          <w:lang w:val="es-ES_tradnl"/>
        </w:rPr>
        <w:t xml:space="preserve">). Aunque la caída es menor en el sector cooperativo (-6,3%), se trata del descenso más fuerte registrado desde el inicio de la crisis que, además, rompe la mejora registrada entre 2010 y 2012. </w:t>
      </w:r>
    </w:p>
    <w:p w:rsidR="008C1A7E" w:rsidRDefault="008C1A7E" w:rsidP="008C1A7E">
      <w:pPr>
        <w:rPr>
          <w:lang w:val="es-ES_tradnl"/>
        </w:rPr>
      </w:pPr>
    </w:p>
    <w:p w:rsidR="008C1A7E" w:rsidRDefault="008C1A7E" w:rsidP="008C1A7E">
      <w:pPr>
        <w:rPr>
          <w:rFonts w:eastAsia="Arial" w:cs="Arial"/>
          <w:lang w:val="es-ES_tradnl"/>
        </w:rPr>
      </w:pPr>
      <w:r>
        <w:rPr>
          <w:rFonts w:eastAsia="Arial" w:cs="Arial"/>
          <w:lang w:val="es-ES_tradnl"/>
        </w:rPr>
        <w:t xml:space="preserve">La negativa dinámica de las </w:t>
      </w:r>
      <w:proofErr w:type="spellStart"/>
      <w:r>
        <w:rPr>
          <w:rFonts w:eastAsia="Arial" w:cs="Arial"/>
          <w:lang w:val="es-ES_tradnl"/>
        </w:rPr>
        <w:t>SALes</w:t>
      </w:r>
      <w:proofErr w:type="spellEnd"/>
      <w:r>
        <w:rPr>
          <w:rFonts w:eastAsia="Arial" w:cs="Arial"/>
          <w:lang w:val="es-ES_tradnl"/>
        </w:rPr>
        <w:t xml:space="preserve"> también se percibe en el empleo asalariado, con una pérdida del 10,6% de este tipo de empleo. El contraste es llamativo en este caso con el aumento del empleo asalariado en otras formas societarias, tanto en el caso de las Cooperativas (11,3%) como de las </w:t>
      </w:r>
      <w:proofErr w:type="spellStart"/>
      <w:r>
        <w:rPr>
          <w:rFonts w:eastAsia="Arial" w:cs="Arial"/>
          <w:lang w:val="es-ES_tradnl"/>
        </w:rPr>
        <w:t>SLLes</w:t>
      </w:r>
      <w:proofErr w:type="spellEnd"/>
      <w:r>
        <w:rPr>
          <w:rFonts w:eastAsia="Arial" w:cs="Arial"/>
          <w:lang w:val="es-ES_tradnl"/>
        </w:rPr>
        <w:t xml:space="preserve"> (17,6%). En conjunto, el empleo asalariado aumenta en un 9,6% entre 2012 y 2014.</w:t>
      </w:r>
    </w:p>
    <w:p w:rsidR="008C1A7E" w:rsidRDefault="008C1A7E" w:rsidP="008C1A7E">
      <w:pPr>
        <w:rPr>
          <w:rFonts w:eastAsia="Arial" w:cs="Arial"/>
          <w:lang w:val="es-ES_tradnl"/>
        </w:rPr>
      </w:pPr>
    </w:p>
    <w:p w:rsidR="008C1A7E" w:rsidRDefault="008C1A7E" w:rsidP="008C1A7E">
      <w:pPr>
        <w:rPr>
          <w:rFonts w:eastAsia="Arial" w:cs="Arial"/>
          <w:lang w:val="es-ES_tradnl"/>
        </w:rPr>
      </w:pPr>
      <w:r>
        <w:rPr>
          <w:rFonts w:eastAsia="Arial" w:cs="Arial"/>
          <w:lang w:val="es-ES_tradnl"/>
        </w:rPr>
        <w:t>El repunte alcista del colectivo asalariado en el ámbito cooperativo se observa tanto entre personas con contrato fijo como eventual, con una tasa de crecimiento semejante (11,4% y 11,2%, respectivamente). En esta forma de la Economía Social, este hecho contribuye a suavizar la caída del empleo total entre 2012 y 2014 (-1,</w:t>
      </w:r>
      <w:r w:rsidR="005A1E7A">
        <w:rPr>
          <w:rFonts w:eastAsia="Arial" w:cs="Arial"/>
          <w:lang w:val="es-ES_tradnl"/>
        </w:rPr>
        <w:t>4</w:t>
      </w:r>
      <w:r>
        <w:rPr>
          <w:rFonts w:eastAsia="Arial" w:cs="Arial"/>
          <w:lang w:val="es-ES_tradnl"/>
        </w:rPr>
        <w:t>%).</w:t>
      </w:r>
    </w:p>
    <w:p w:rsidR="008C1A7E" w:rsidRDefault="008C1A7E" w:rsidP="008C1A7E">
      <w:pPr>
        <w:rPr>
          <w:rFonts w:eastAsia="Arial" w:cs="Arial"/>
          <w:lang w:val="es-ES_tradnl"/>
        </w:rPr>
      </w:pPr>
    </w:p>
    <w:p w:rsidR="008C1A7E" w:rsidRDefault="008C1A7E" w:rsidP="008C1A7E">
      <w:pPr>
        <w:rPr>
          <w:rFonts w:eastAsia="Arial" w:cs="Arial"/>
          <w:lang w:val="es-ES_tradnl"/>
        </w:rPr>
      </w:pPr>
      <w:r>
        <w:rPr>
          <w:rFonts w:eastAsia="Arial" w:cs="Arial"/>
          <w:lang w:val="es-ES_tradnl"/>
        </w:rPr>
        <w:t xml:space="preserve">Lo mismo ocurre en las </w:t>
      </w:r>
      <w:proofErr w:type="spellStart"/>
      <w:r>
        <w:rPr>
          <w:rFonts w:eastAsia="Arial" w:cs="Arial"/>
          <w:lang w:val="es-ES_tradnl"/>
        </w:rPr>
        <w:t>SLLes</w:t>
      </w:r>
      <w:proofErr w:type="spellEnd"/>
      <w:r>
        <w:rPr>
          <w:rFonts w:eastAsia="Arial" w:cs="Arial"/>
          <w:lang w:val="es-ES_tradnl"/>
        </w:rPr>
        <w:t>, con un crecimiento del empleo asalariado que compensa la caída del empleo societario para contribuir a un incremento final del empleo del 6,</w:t>
      </w:r>
      <w:r w:rsidR="005A1E7A">
        <w:rPr>
          <w:rFonts w:eastAsia="Arial" w:cs="Arial"/>
          <w:lang w:val="es-ES_tradnl"/>
        </w:rPr>
        <w:t>8</w:t>
      </w:r>
      <w:r>
        <w:rPr>
          <w:rFonts w:eastAsia="Arial" w:cs="Arial"/>
          <w:lang w:val="es-ES_tradnl"/>
        </w:rPr>
        <w:t>% entre 2012 y 2014. Sin embargo, en este caso el aumento de la contratación asalariada se sostiene íntegramente en las formas indefinidas, con un incremento del 41,4% que contrasta con el descenso del 11,2% en la contratación eventual.</w:t>
      </w:r>
    </w:p>
    <w:p w:rsidR="008C1A7E" w:rsidRDefault="008C1A7E" w:rsidP="008C1A7E">
      <w:pPr>
        <w:rPr>
          <w:rFonts w:eastAsia="Arial" w:cs="Arial"/>
          <w:lang w:val="es-ES_tradnl"/>
        </w:rPr>
      </w:pPr>
      <w:r>
        <w:rPr>
          <w:rFonts w:eastAsia="Arial" w:cs="Arial"/>
          <w:lang w:val="es-ES_tradnl"/>
        </w:rPr>
        <w:lastRenderedPageBreak/>
        <w:t xml:space="preserve">La recuperación del empleo asalariado en Cooperativas y </w:t>
      </w:r>
      <w:proofErr w:type="spellStart"/>
      <w:r>
        <w:rPr>
          <w:rFonts w:eastAsia="Arial" w:cs="Arial"/>
          <w:lang w:val="es-ES_tradnl"/>
        </w:rPr>
        <w:t>SLLes</w:t>
      </w:r>
      <w:proofErr w:type="spellEnd"/>
      <w:r>
        <w:rPr>
          <w:rFonts w:eastAsia="Arial" w:cs="Arial"/>
          <w:lang w:val="es-ES_tradnl"/>
        </w:rPr>
        <w:t xml:space="preserve"> supone un claro cambio de tendencia respecto a lo observado entre 2008 y 2012, con caídas muy llamativas</w:t>
      </w:r>
      <w:r w:rsidR="00CA5FEC">
        <w:rPr>
          <w:rFonts w:eastAsia="Arial" w:cs="Arial"/>
          <w:lang w:val="es-ES_tradnl"/>
        </w:rPr>
        <w:t>,</w:t>
      </w:r>
      <w:r>
        <w:rPr>
          <w:rFonts w:eastAsia="Arial" w:cs="Arial"/>
          <w:lang w:val="es-ES_tradnl"/>
        </w:rPr>
        <w:t xml:space="preserve"> que el proceso de recuperación no consigue compensar. </w:t>
      </w:r>
      <w:r w:rsidR="00B53573">
        <w:rPr>
          <w:rFonts w:eastAsia="Arial" w:cs="Arial"/>
          <w:lang w:val="es-ES_tradnl"/>
        </w:rPr>
        <w:t xml:space="preserve">Esto es particularmente evidente en las </w:t>
      </w:r>
      <w:proofErr w:type="spellStart"/>
      <w:r w:rsidR="00B53573">
        <w:rPr>
          <w:rFonts w:eastAsia="Arial" w:cs="Arial"/>
          <w:lang w:val="es-ES_tradnl"/>
        </w:rPr>
        <w:t>SLLes</w:t>
      </w:r>
      <w:proofErr w:type="spellEnd"/>
      <w:r w:rsidR="00B53573">
        <w:rPr>
          <w:rFonts w:eastAsia="Arial" w:cs="Arial"/>
          <w:lang w:val="es-ES_tradnl"/>
        </w:rPr>
        <w:t xml:space="preserve">, con un empleo asalariado que, en 2014, resulta un 30,9% inferior al de 2008 (-51,3% en las </w:t>
      </w:r>
      <w:proofErr w:type="spellStart"/>
      <w:r w:rsidR="00B53573">
        <w:rPr>
          <w:rFonts w:eastAsia="Arial" w:cs="Arial"/>
          <w:lang w:val="es-ES_tradnl"/>
        </w:rPr>
        <w:t>SALes</w:t>
      </w:r>
      <w:proofErr w:type="spellEnd"/>
      <w:r w:rsidR="00B53573">
        <w:rPr>
          <w:rFonts w:eastAsia="Arial" w:cs="Arial"/>
          <w:lang w:val="es-ES_tradnl"/>
        </w:rPr>
        <w:t>). La recuperación de este tipo de empleo en el sector cooperativo le acerca a la situación de 2008, con apenas un 2,5% menos de personal asalariado con contrato indefinido.</w:t>
      </w:r>
    </w:p>
    <w:p w:rsidR="00FF2320" w:rsidRDefault="00FF2320" w:rsidP="008C1A7E">
      <w:pPr>
        <w:rPr>
          <w:rFonts w:eastAsia="Arial" w:cs="Arial"/>
          <w:lang w:val="es-ES_tradnl"/>
        </w:rPr>
      </w:pPr>
    </w:p>
    <w:p w:rsidR="008C1A7E" w:rsidRDefault="008C1A7E" w:rsidP="008C1A7E">
      <w:pPr>
        <w:jc w:val="left"/>
        <w:rPr>
          <w:rFonts w:eastAsia="Arial" w:cs="Arial"/>
          <w:lang w:val="es-ES_tradnl"/>
        </w:rPr>
      </w:pPr>
    </w:p>
    <w:p w:rsidR="008C1A7E" w:rsidRPr="001C63DE" w:rsidRDefault="008C1A7E" w:rsidP="008C1A7E">
      <w:pPr>
        <w:widowControl w:val="0"/>
        <w:spacing w:line="240" w:lineRule="auto"/>
        <w:ind w:left="227" w:hanging="227"/>
        <w:jc w:val="center"/>
        <w:rPr>
          <w:rFonts w:ascii="Times New Roman" w:eastAsia="Times New Roman" w:hAnsi="Times New Roman" w:cs="Times New Roman"/>
          <w:color w:val="1F497D" w:themeColor="text2"/>
          <w:sz w:val="24"/>
          <w:szCs w:val="24"/>
          <w:lang w:val="es-ES_tradnl" w:eastAsia="es-ES"/>
        </w:rPr>
      </w:pPr>
      <w:r w:rsidRPr="001C63DE">
        <w:rPr>
          <w:rFonts w:cs="Arial"/>
          <w:b/>
          <w:noProof/>
          <w:color w:val="1F497D" w:themeColor="text2"/>
          <w:sz w:val="18"/>
          <w:szCs w:val="18"/>
          <w:lang w:val="es-ES_tradnl"/>
        </w:rPr>
        <w:t>DISTRIBUCIÓN DEL EMPLEO POR FORMA JURÍDICA Y TIPO DE RELACIÓN CONTRACTUAL EN</w:t>
      </w:r>
      <w:r w:rsidRPr="001C63DE">
        <w:rPr>
          <w:rFonts w:cs="Arial"/>
          <w:b/>
          <w:noProof/>
          <w:color w:val="1F497D" w:themeColor="text2"/>
          <w:sz w:val="18"/>
          <w:szCs w:val="18"/>
        </w:rPr>
        <w:t xml:space="preserve"> LA ECONOMÍA SOCIAL DE LA CAE </w:t>
      </w:r>
      <w:r>
        <w:rPr>
          <w:rFonts w:cs="Arial"/>
          <w:b/>
          <w:noProof/>
          <w:color w:val="1F497D" w:themeColor="text2"/>
          <w:sz w:val="18"/>
          <w:szCs w:val="18"/>
        </w:rPr>
        <w:t>2008 – 2014</w:t>
      </w:r>
      <w:r w:rsidRPr="001C63DE">
        <w:rPr>
          <w:rFonts w:cs="Arial"/>
          <w:b/>
          <w:noProof/>
          <w:color w:val="1F497D" w:themeColor="text2"/>
          <w:sz w:val="18"/>
          <w:szCs w:val="18"/>
        </w:rPr>
        <w:t xml:space="preserve"> (cifras absolutos)</w:t>
      </w:r>
    </w:p>
    <w:tbl>
      <w:tblPr>
        <w:tblW w:w="5000" w:type="pct"/>
        <w:jc w:val="center"/>
        <w:tblCellMar>
          <w:left w:w="70" w:type="dxa"/>
          <w:right w:w="70" w:type="dxa"/>
        </w:tblCellMar>
        <w:tblLook w:val="04A0" w:firstRow="1" w:lastRow="0" w:firstColumn="1" w:lastColumn="0" w:noHBand="0" w:noVBand="1"/>
      </w:tblPr>
      <w:tblGrid>
        <w:gridCol w:w="1785"/>
        <w:gridCol w:w="1785"/>
        <w:gridCol w:w="1786"/>
        <w:gridCol w:w="1786"/>
        <w:gridCol w:w="1786"/>
      </w:tblGrid>
      <w:tr w:rsidR="008C1A7E" w:rsidRPr="001C63DE" w:rsidTr="00AF3C20">
        <w:trPr>
          <w:jc w:val="center"/>
        </w:trPr>
        <w:tc>
          <w:tcPr>
            <w:tcW w:w="10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8C1A7E" w:rsidRPr="001C63DE" w:rsidRDefault="008C1A7E" w:rsidP="00D6542C">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8C1A7E" w:rsidRPr="001C63DE" w:rsidRDefault="008C1A7E" w:rsidP="00D6542C">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Socios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8C1A7E" w:rsidRPr="001C63DE" w:rsidRDefault="008C1A7E" w:rsidP="00D6542C">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Asalariados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8C1A7E" w:rsidRPr="001C63DE" w:rsidRDefault="008C1A7E" w:rsidP="00D6542C">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Fijos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rsidR="008C1A7E" w:rsidRPr="001C63DE" w:rsidRDefault="008C1A7E" w:rsidP="00D6542C">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Eventuales</w:t>
            </w:r>
          </w:p>
        </w:tc>
      </w:tr>
      <w:tr w:rsidR="008C1A7E" w:rsidRPr="001C63DE" w:rsidTr="00AF3C20">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b/>
                <w:bCs/>
                <w:sz w:val="16"/>
                <w:szCs w:val="16"/>
                <w:lang w:eastAsia="es-ES"/>
              </w:rPr>
            </w:pPr>
            <w:r w:rsidRPr="001C63DE">
              <w:rPr>
                <w:rFonts w:eastAsia="Times New Roman" w:cs="Arial"/>
                <w:b/>
                <w:bCs/>
                <w:sz w:val="16"/>
                <w:szCs w:val="16"/>
                <w:lang w:eastAsia="es-ES"/>
              </w:rPr>
              <w:t>S.</w:t>
            </w:r>
            <w:r>
              <w:rPr>
                <w:rFonts w:eastAsia="Times New Roman" w:cs="Arial"/>
                <w:b/>
                <w:bCs/>
                <w:sz w:val="16"/>
                <w:szCs w:val="16"/>
                <w:lang w:eastAsia="es-ES"/>
              </w:rPr>
              <w:t xml:space="preserve"> </w:t>
            </w:r>
            <w:r w:rsidRPr="001C63DE">
              <w:rPr>
                <w:rFonts w:eastAsia="Times New Roman" w:cs="Arial"/>
                <w:b/>
                <w:bCs/>
                <w:sz w:val="16"/>
                <w:szCs w:val="16"/>
                <w:lang w:eastAsia="es-ES"/>
              </w:rPr>
              <w:t>COOP</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34.710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15.649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6.534</w:t>
            </w:r>
          </w:p>
        </w:tc>
        <w:tc>
          <w:tcPr>
            <w:tcW w:w="1000" w:type="pct"/>
            <w:tcBorders>
              <w:left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9.115</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33.895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14.197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8.256</w:t>
            </w:r>
          </w:p>
        </w:tc>
        <w:tc>
          <w:tcPr>
            <w:tcW w:w="1000" w:type="pct"/>
            <w:tcBorders>
              <w:left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5.941</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34.241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13.703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6.251</w:t>
            </w:r>
          </w:p>
        </w:tc>
        <w:tc>
          <w:tcPr>
            <w:tcW w:w="1000" w:type="pct"/>
            <w:tcBorders>
              <w:left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7.451</w:t>
            </w:r>
          </w:p>
        </w:tc>
      </w:tr>
      <w:tr w:rsidR="008C1A7E" w:rsidRPr="001C63DE" w:rsidTr="00AF3C20">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32.071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15.251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6.965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8C1A7E" w:rsidRPr="00D741B8" w:rsidRDefault="008C1A7E" w:rsidP="00D6542C">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8.286</w:t>
            </w:r>
          </w:p>
        </w:tc>
      </w:tr>
      <w:tr w:rsidR="008C1A7E" w:rsidRPr="001C63DE" w:rsidTr="00AF3C20">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b/>
                <w:bCs/>
                <w:sz w:val="16"/>
                <w:szCs w:val="16"/>
                <w:lang w:eastAsia="es-ES"/>
              </w:rPr>
            </w:pPr>
            <w:proofErr w:type="spellStart"/>
            <w:r w:rsidRPr="001C63DE">
              <w:rPr>
                <w:rFonts w:eastAsia="Times New Roman" w:cs="Arial"/>
                <w:b/>
                <w:bCs/>
                <w:sz w:val="16"/>
                <w:szCs w:val="16"/>
                <w:lang w:eastAsia="es-ES"/>
              </w:rPr>
              <w:t>S.Les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7.159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5.098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3.364</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1.734</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5.471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6.353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3.985</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2.368</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5.001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2.865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1.767</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1.098</w:t>
            </w:r>
          </w:p>
        </w:tc>
      </w:tr>
      <w:tr w:rsidR="008C1A7E" w:rsidRPr="001C63DE" w:rsidTr="00AF3C20">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4.351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2.908</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Pr>
                <w:rFonts w:eastAsia="Times New Roman" w:cs="Arial"/>
                <w:sz w:val="16"/>
                <w:szCs w:val="16"/>
                <w:lang w:eastAsia="es-ES"/>
              </w:rPr>
              <w:t>1.965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Pr>
                <w:rFonts w:eastAsia="Times New Roman" w:cs="Arial"/>
                <w:sz w:val="16"/>
                <w:szCs w:val="16"/>
                <w:lang w:eastAsia="es-ES"/>
              </w:rPr>
              <w:t>943</w:t>
            </w:r>
          </w:p>
        </w:tc>
      </w:tr>
      <w:tr w:rsidR="008C1A7E" w:rsidRPr="001C63DE" w:rsidTr="00AF3C20">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b/>
                <w:bCs/>
                <w:sz w:val="16"/>
                <w:szCs w:val="16"/>
                <w:lang w:eastAsia="es-ES"/>
              </w:rPr>
            </w:pPr>
            <w:proofErr w:type="spellStart"/>
            <w:r w:rsidRPr="001C63DE">
              <w:rPr>
                <w:rFonts w:eastAsia="Times New Roman" w:cs="Arial"/>
                <w:b/>
                <w:bCs/>
                <w:sz w:val="16"/>
                <w:szCs w:val="16"/>
                <w:lang w:eastAsia="es-ES"/>
              </w:rPr>
              <w:t>S.A.Les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4.441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2.288</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722</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2.592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4.828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3.060</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1.768</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2.387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1.638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1.096</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542</w:t>
            </w:r>
          </w:p>
        </w:tc>
      </w:tr>
      <w:tr w:rsidR="008C1A7E" w:rsidRPr="001C63DE" w:rsidTr="00AF3C20">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5C5966">
              <w:rPr>
                <w:rFonts w:eastAsia="Times New Roman" w:cs="Arial"/>
                <w:bCs/>
                <w:sz w:val="16"/>
                <w:szCs w:val="16"/>
                <w:lang w:eastAsia="es-ES"/>
              </w:rPr>
              <w:t>1.712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1.465</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5C5966" w:rsidRDefault="008C1A7E" w:rsidP="00D6542C">
            <w:pPr>
              <w:widowControl w:val="0"/>
              <w:spacing w:line="240" w:lineRule="exact"/>
              <w:ind w:right="170"/>
              <w:jc w:val="right"/>
              <w:rPr>
                <w:rFonts w:eastAsia="Times New Roman" w:cs="Arial"/>
                <w:sz w:val="16"/>
                <w:szCs w:val="16"/>
                <w:lang w:eastAsia="es-ES"/>
              </w:rPr>
            </w:pPr>
            <w:r w:rsidRPr="005C5966">
              <w:rPr>
                <w:rFonts w:eastAsia="Times New Roman" w:cs="Arial"/>
                <w:sz w:val="16"/>
                <w:szCs w:val="16"/>
                <w:lang w:eastAsia="es-ES"/>
              </w:rPr>
              <w:t>1.016</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8C1A7E" w:rsidRPr="005C5966" w:rsidRDefault="008C1A7E" w:rsidP="00D6542C">
            <w:pPr>
              <w:widowControl w:val="0"/>
              <w:spacing w:line="240" w:lineRule="exact"/>
              <w:ind w:right="170"/>
              <w:jc w:val="right"/>
              <w:rPr>
                <w:rFonts w:eastAsia="Times New Roman" w:cs="Arial"/>
                <w:sz w:val="16"/>
                <w:szCs w:val="16"/>
                <w:lang w:eastAsia="es-ES"/>
              </w:rPr>
            </w:pPr>
            <w:r w:rsidRPr="005C5966">
              <w:rPr>
                <w:rFonts w:eastAsia="Times New Roman" w:cs="Arial"/>
                <w:sz w:val="16"/>
                <w:szCs w:val="16"/>
                <w:lang w:eastAsia="es-ES"/>
              </w:rPr>
              <w:t>449</w:t>
            </w:r>
          </w:p>
        </w:tc>
      </w:tr>
      <w:tr w:rsidR="008C1A7E" w:rsidRPr="001C63DE" w:rsidTr="00AF3C20">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b/>
                <w:bCs/>
                <w:sz w:val="16"/>
                <w:szCs w:val="16"/>
                <w:lang w:eastAsia="es-ES"/>
              </w:rPr>
            </w:pPr>
            <w:proofErr w:type="spellStart"/>
            <w:r w:rsidRPr="001C63DE">
              <w:rPr>
                <w:rFonts w:eastAsia="Times New Roman" w:cs="Arial"/>
                <w:b/>
                <w:bCs/>
                <w:sz w:val="16"/>
                <w:szCs w:val="16"/>
                <w:lang w:eastAsia="es-ES"/>
              </w:rPr>
              <w:t>S.L.Les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2.718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2.088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1.076</w:t>
            </w:r>
          </w:p>
        </w:tc>
        <w:tc>
          <w:tcPr>
            <w:tcW w:w="1000" w:type="pct"/>
            <w:tcBorders>
              <w:left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1.012</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2.879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1.525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925</w:t>
            </w:r>
          </w:p>
        </w:tc>
        <w:tc>
          <w:tcPr>
            <w:tcW w:w="1000" w:type="pct"/>
            <w:tcBorders>
              <w:left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600</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2.614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1.227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671</w:t>
            </w:r>
          </w:p>
        </w:tc>
        <w:tc>
          <w:tcPr>
            <w:tcW w:w="1000" w:type="pct"/>
            <w:tcBorders>
              <w:left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556</w:t>
            </w:r>
          </w:p>
        </w:tc>
      </w:tr>
      <w:tr w:rsidR="008C1A7E" w:rsidRPr="001C63DE" w:rsidTr="00AF3C20">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sidRPr="005C5966">
              <w:rPr>
                <w:rFonts w:eastAsia="Times New Roman" w:cs="Arial"/>
                <w:bCs/>
                <w:sz w:val="16"/>
                <w:szCs w:val="16"/>
                <w:lang w:eastAsia="es-ES"/>
              </w:rPr>
              <w:t>2.639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1.443</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949</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8C1A7E" w:rsidRPr="00BF260D" w:rsidRDefault="008C1A7E" w:rsidP="00D6542C">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494</w:t>
            </w:r>
          </w:p>
        </w:tc>
      </w:tr>
      <w:tr w:rsidR="008C1A7E" w:rsidRPr="001C63DE" w:rsidTr="00AF3C20">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b/>
                <w:bCs/>
                <w:sz w:val="16"/>
                <w:szCs w:val="16"/>
                <w:lang w:eastAsia="es-ES"/>
              </w:rPr>
            </w:pPr>
            <w:r w:rsidRPr="001C63DE">
              <w:rPr>
                <w:rFonts w:eastAsia="Times New Roman" w:cs="Arial"/>
                <w:b/>
                <w:bCs/>
                <w:sz w:val="16"/>
                <w:szCs w:val="16"/>
                <w:lang w:eastAsia="es-ES"/>
              </w:rPr>
              <w:t>TOTAL</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41.869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20.747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9.898</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10.849</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39.366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20.550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12.241</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8.309</w:t>
            </w:r>
          </w:p>
        </w:tc>
      </w:tr>
      <w:tr w:rsidR="008C1A7E" w:rsidRPr="001C63DE" w:rsidTr="00AF3C20">
        <w:trPr>
          <w:jc w:val="center"/>
        </w:trPr>
        <w:tc>
          <w:tcPr>
            <w:tcW w:w="1000" w:type="pct"/>
            <w:tcBorders>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39.242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16.568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8.018</w:t>
            </w:r>
          </w:p>
        </w:tc>
        <w:tc>
          <w:tcPr>
            <w:tcW w:w="1000" w:type="pct"/>
            <w:tcBorders>
              <w:lef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8.549</w:t>
            </w:r>
          </w:p>
        </w:tc>
      </w:tr>
      <w:tr w:rsidR="008C1A7E" w:rsidRPr="001C63DE" w:rsidTr="00AF3C20">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36.422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18.159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8.930</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8C1A7E" w:rsidRPr="001C63DE" w:rsidRDefault="008C1A7E" w:rsidP="00D6542C">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9.229</w:t>
            </w:r>
          </w:p>
        </w:tc>
      </w:tr>
    </w:tbl>
    <w:p w:rsidR="008C1A7E" w:rsidRDefault="008C1A7E" w:rsidP="008C1A7E">
      <w:pPr>
        <w:widowControl w:val="0"/>
        <w:ind w:left="227" w:hanging="227"/>
        <w:rPr>
          <w:rFonts w:cs="Arial"/>
          <w:lang w:val="es-ES_tradnl" w:eastAsia="es-ES"/>
        </w:rPr>
      </w:pPr>
    </w:p>
    <w:p w:rsidR="008C1A7E" w:rsidRDefault="008C1A7E" w:rsidP="009066A7">
      <w:pPr>
        <w:widowControl w:val="0"/>
        <w:rPr>
          <w:rFonts w:eastAsia="Times New Roman" w:cs="Arial"/>
          <w:szCs w:val="20"/>
          <w:lang w:val="es-ES_tradnl" w:eastAsia="es-ES"/>
        </w:rPr>
      </w:pPr>
    </w:p>
    <w:p w:rsidR="00A40BF0" w:rsidRPr="006111CA" w:rsidRDefault="00CD5FBF" w:rsidP="003B7EB5">
      <w:pPr>
        <w:rPr>
          <w:rFonts w:cs="Arial"/>
          <w:b/>
          <w:lang w:val="es-ES_tradnl" w:eastAsia="es-ES"/>
        </w:rPr>
      </w:pPr>
      <w:proofErr w:type="spellStart"/>
      <w:r>
        <w:rPr>
          <w:rFonts w:cs="Arial"/>
          <w:b/>
          <w:lang w:val="es-ES_tradnl" w:eastAsia="es-ES"/>
        </w:rPr>
        <w:t>Gipuzkoa</w:t>
      </w:r>
      <w:proofErr w:type="spellEnd"/>
      <w:r>
        <w:rPr>
          <w:rFonts w:cs="Arial"/>
          <w:b/>
          <w:lang w:val="es-ES_tradnl" w:eastAsia="es-ES"/>
        </w:rPr>
        <w:t xml:space="preserve">, territorio </w:t>
      </w:r>
      <w:r w:rsidR="009B4A5B">
        <w:rPr>
          <w:rFonts w:cs="Arial"/>
          <w:b/>
          <w:lang w:val="es-ES_tradnl" w:eastAsia="es-ES"/>
        </w:rPr>
        <w:t xml:space="preserve">históricamente </w:t>
      </w:r>
      <w:r w:rsidR="00A40BF0" w:rsidRPr="006111CA">
        <w:rPr>
          <w:rFonts w:cs="Arial"/>
          <w:b/>
          <w:lang w:val="es-ES_tradnl" w:eastAsia="es-ES"/>
        </w:rPr>
        <w:t xml:space="preserve">más representativo de la Economía Social, </w:t>
      </w:r>
      <w:r w:rsidRPr="006111CA">
        <w:rPr>
          <w:rFonts w:cs="Arial"/>
          <w:b/>
          <w:lang w:val="es-ES_tradnl" w:eastAsia="es-ES"/>
        </w:rPr>
        <w:t>registra</w:t>
      </w:r>
      <w:r w:rsidR="009B4A5B">
        <w:rPr>
          <w:rFonts w:cs="Arial"/>
          <w:b/>
          <w:lang w:val="es-ES_tradnl" w:eastAsia="es-ES"/>
        </w:rPr>
        <w:t xml:space="preserve"> </w:t>
      </w:r>
      <w:r w:rsidRPr="006111CA">
        <w:rPr>
          <w:rFonts w:cs="Arial"/>
          <w:b/>
          <w:lang w:val="es-ES_tradnl" w:eastAsia="es-ES"/>
        </w:rPr>
        <w:t>la mayor pérdid</w:t>
      </w:r>
      <w:r>
        <w:rPr>
          <w:rFonts w:cs="Arial"/>
          <w:b/>
          <w:lang w:val="es-ES_tradnl" w:eastAsia="es-ES"/>
        </w:rPr>
        <w:t>a de empleo en cifras absolutas</w:t>
      </w:r>
      <w:r w:rsidR="004665D9">
        <w:rPr>
          <w:rFonts w:cs="Arial"/>
          <w:b/>
          <w:lang w:val="es-ES_tradnl" w:eastAsia="es-ES"/>
        </w:rPr>
        <w:t>,</w:t>
      </w:r>
      <w:r w:rsidR="00CA5FEC">
        <w:rPr>
          <w:rFonts w:cs="Arial"/>
          <w:b/>
          <w:lang w:val="es-ES_tradnl" w:eastAsia="es-ES"/>
        </w:rPr>
        <w:t xml:space="preserve"> con una caída del 4,1%.</w:t>
      </w:r>
      <w:r w:rsidR="009B4A5B">
        <w:rPr>
          <w:rFonts w:cs="Arial"/>
          <w:b/>
          <w:lang w:val="es-ES_tradnl" w:eastAsia="es-ES"/>
        </w:rPr>
        <w:t xml:space="preserve">  </w:t>
      </w:r>
    </w:p>
    <w:p w:rsidR="00A40BF0" w:rsidRDefault="00A40BF0" w:rsidP="003B7EB5">
      <w:pPr>
        <w:pStyle w:val="Prrafodelista"/>
        <w:spacing w:after="0"/>
        <w:ind w:left="426" w:hanging="426"/>
        <w:rPr>
          <w:rFonts w:eastAsia="Times New Roman" w:cs="Arial"/>
          <w:szCs w:val="20"/>
          <w:lang w:val="es-ES_tradnl" w:eastAsia="es-ES"/>
        </w:rPr>
      </w:pPr>
    </w:p>
    <w:p w:rsidR="00A40BF0" w:rsidRDefault="004665D9" w:rsidP="00BD5A65">
      <w:pPr>
        <w:pStyle w:val="Prrafodelista"/>
        <w:spacing w:after="0" w:line="360" w:lineRule="auto"/>
        <w:ind w:left="0"/>
        <w:rPr>
          <w:rFonts w:ascii="Arial" w:eastAsia="Times New Roman" w:hAnsi="Arial" w:cs="Arial"/>
          <w:szCs w:val="20"/>
          <w:lang w:val="es-ES_tradnl" w:eastAsia="es-ES"/>
        </w:rPr>
      </w:pPr>
      <w:r>
        <w:rPr>
          <w:rFonts w:ascii="Arial" w:eastAsia="Times New Roman" w:hAnsi="Arial" w:cs="Arial"/>
          <w:szCs w:val="20"/>
          <w:lang w:val="es-ES_tradnl" w:eastAsia="es-ES"/>
        </w:rPr>
        <w:t>Con un 50,8%</w:t>
      </w:r>
      <w:r w:rsidR="00BD5A65">
        <w:rPr>
          <w:rFonts w:ascii="Arial" w:eastAsia="Times New Roman" w:hAnsi="Arial" w:cs="Arial"/>
          <w:szCs w:val="20"/>
          <w:lang w:val="es-ES_tradnl" w:eastAsia="es-ES"/>
        </w:rPr>
        <w:t xml:space="preserve"> del total</w:t>
      </w:r>
      <w:r>
        <w:rPr>
          <w:rFonts w:ascii="Arial" w:eastAsia="Times New Roman" w:hAnsi="Arial" w:cs="Arial"/>
          <w:szCs w:val="20"/>
          <w:lang w:val="es-ES_tradnl" w:eastAsia="es-ES"/>
        </w:rPr>
        <w:t xml:space="preserve">, </w:t>
      </w:r>
      <w:proofErr w:type="spellStart"/>
      <w:r w:rsidR="00CD5FBF">
        <w:rPr>
          <w:rFonts w:ascii="Arial" w:eastAsia="Times New Roman" w:hAnsi="Arial" w:cs="Arial"/>
          <w:szCs w:val="20"/>
          <w:lang w:val="es-ES_tradnl" w:eastAsia="es-ES"/>
        </w:rPr>
        <w:t>Gipuzkoa</w:t>
      </w:r>
      <w:proofErr w:type="spellEnd"/>
      <w:r w:rsidR="00CD5FBF">
        <w:rPr>
          <w:rFonts w:ascii="Arial" w:eastAsia="Times New Roman" w:hAnsi="Arial" w:cs="Arial"/>
          <w:szCs w:val="20"/>
          <w:lang w:val="es-ES_tradnl" w:eastAsia="es-ES"/>
        </w:rPr>
        <w:t xml:space="preserve"> </w:t>
      </w:r>
      <w:r>
        <w:rPr>
          <w:rFonts w:ascii="Arial" w:eastAsia="Times New Roman" w:hAnsi="Arial" w:cs="Arial"/>
          <w:szCs w:val="20"/>
          <w:lang w:val="es-ES_tradnl" w:eastAsia="es-ES"/>
        </w:rPr>
        <w:t xml:space="preserve">sigue siendo en 2014 el territorio que concentra la mayor parte </w:t>
      </w:r>
      <w:r w:rsidR="00BD5A65">
        <w:rPr>
          <w:rFonts w:ascii="Arial" w:eastAsia="Times New Roman" w:hAnsi="Arial" w:cs="Arial"/>
          <w:szCs w:val="20"/>
          <w:lang w:val="es-ES_tradnl" w:eastAsia="es-ES"/>
        </w:rPr>
        <w:t>del empleo de las FCES en la CAE. El</w:t>
      </w:r>
      <w:r w:rsidR="00A40BF0" w:rsidRPr="00A40BF0">
        <w:rPr>
          <w:rFonts w:ascii="Arial" w:eastAsia="Times New Roman" w:hAnsi="Arial" w:cs="Arial"/>
          <w:szCs w:val="20"/>
          <w:lang w:val="es-ES_tradnl" w:eastAsia="es-ES"/>
        </w:rPr>
        <w:t xml:space="preserve"> empleo </w:t>
      </w:r>
      <w:r w:rsidR="00BD5A65">
        <w:rPr>
          <w:rFonts w:ascii="Arial" w:eastAsia="Times New Roman" w:hAnsi="Arial" w:cs="Arial"/>
          <w:szCs w:val="20"/>
          <w:lang w:val="es-ES_tradnl" w:eastAsia="es-ES"/>
        </w:rPr>
        <w:t xml:space="preserve">de </w:t>
      </w:r>
      <w:proofErr w:type="spellStart"/>
      <w:r w:rsidR="00BD5A65">
        <w:rPr>
          <w:rFonts w:ascii="Arial" w:eastAsia="Times New Roman" w:hAnsi="Arial" w:cs="Arial"/>
          <w:szCs w:val="20"/>
          <w:lang w:val="es-ES_tradnl" w:eastAsia="es-ES"/>
        </w:rPr>
        <w:t>Bizkaia</w:t>
      </w:r>
      <w:proofErr w:type="spellEnd"/>
      <w:r w:rsidR="00BD5A65">
        <w:rPr>
          <w:rFonts w:ascii="Arial" w:eastAsia="Times New Roman" w:hAnsi="Arial" w:cs="Arial"/>
          <w:szCs w:val="20"/>
          <w:lang w:val="es-ES_tradnl" w:eastAsia="es-ES"/>
        </w:rPr>
        <w:t xml:space="preserve"> representa el 39%, recogiendo Álava </w:t>
      </w:r>
      <w:r w:rsidR="00A40BF0" w:rsidRPr="00A40BF0">
        <w:rPr>
          <w:rFonts w:ascii="Arial" w:eastAsia="Times New Roman" w:hAnsi="Arial" w:cs="Arial"/>
          <w:szCs w:val="20"/>
          <w:lang w:val="es-ES_tradnl" w:eastAsia="es-ES"/>
        </w:rPr>
        <w:t>10,2%</w:t>
      </w:r>
      <w:r w:rsidR="00BD5A65">
        <w:rPr>
          <w:rFonts w:ascii="Arial" w:eastAsia="Times New Roman" w:hAnsi="Arial" w:cs="Arial"/>
          <w:szCs w:val="20"/>
          <w:lang w:val="es-ES_tradnl" w:eastAsia="es-ES"/>
        </w:rPr>
        <w:t xml:space="preserve"> restante</w:t>
      </w:r>
      <w:r w:rsidR="00A40BF0">
        <w:rPr>
          <w:rFonts w:ascii="Arial" w:eastAsia="Times New Roman" w:hAnsi="Arial" w:cs="Arial"/>
          <w:szCs w:val="20"/>
          <w:lang w:val="es-ES_tradnl" w:eastAsia="es-ES"/>
        </w:rPr>
        <w:t>.</w:t>
      </w:r>
    </w:p>
    <w:p w:rsidR="00A40BF0" w:rsidRDefault="00A40BF0" w:rsidP="003B7EB5">
      <w:pPr>
        <w:pStyle w:val="Prrafodelista"/>
        <w:spacing w:after="0"/>
        <w:ind w:left="0"/>
        <w:rPr>
          <w:rFonts w:eastAsia="Times New Roman" w:cs="Arial"/>
          <w:szCs w:val="20"/>
          <w:lang w:val="es-ES_tradnl" w:eastAsia="es-ES"/>
        </w:rPr>
      </w:pPr>
    </w:p>
    <w:p w:rsidR="0035362C" w:rsidRDefault="0035362C">
      <w:pPr>
        <w:spacing w:after="200" w:line="276" w:lineRule="auto"/>
        <w:jc w:val="left"/>
        <w:rPr>
          <w:rFonts w:cs="Arial"/>
          <w:b/>
          <w:color w:val="1F497D" w:themeColor="text2"/>
          <w:sz w:val="18"/>
          <w:szCs w:val="18"/>
        </w:rPr>
      </w:pPr>
      <w:r>
        <w:rPr>
          <w:rFonts w:cs="Arial"/>
          <w:b/>
          <w:color w:val="1F497D" w:themeColor="text2"/>
          <w:sz w:val="18"/>
          <w:szCs w:val="18"/>
        </w:rPr>
        <w:br w:type="page"/>
      </w:r>
    </w:p>
    <w:p w:rsidR="00A40BF0" w:rsidRPr="00F5602F" w:rsidRDefault="00A40BF0" w:rsidP="00A40BF0">
      <w:pPr>
        <w:widowControl w:val="0"/>
        <w:spacing w:line="240" w:lineRule="auto"/>
        <w:jc w:val="center"/>
        <w:rPr>
          <w:rFonts w:cs="Arial"/>
          <w:b/>
          <w:color w:val="1F497D" w:themeColor="text2"/>
          <w:sz w:val="18"/>
          <w:szCs w:val="18"/>
        </w:rPr>
      </w:pPr>
      <w:r w:rsidRPr="00F5602F">
        <w:rPr>
          <w:rFonts w:cs="Arial"/>
          <w:b/>
          <w:color w:val="1F497D" w:themeColor="text2"/>
          <w:sz w:val="18"/>
          <w:szCs w:val="18"/>
        </w:rPr>
        <w:lastRenderedPageBreak/>
        <w:t>EVOLUCIÓN DE LA DISTRIBUCIÓN TERRITORIAL DEL EM</w:t>
      </w:r>
      <w:r>
        <w:rPr>
          <w:rFonts w:cs="Arial"/>
          <w:b/>
          <w:color w:val="1F497D" w:themeColor="text2"/>
          <w:sz w:val="18"/>
          <w:szCs w:val="18"/>
        </w:rPr>
        <w:t>PLEO DE LA ECONOMÍA SOCIAL. 2012</w:t>
      </w:r>
      <w:r w:rsidRPr="00F5602F">
        <w:rPr>
          <w:rFonts w:cs="Arial"/>
          <w:b/>
          <w:color w:val="1F497D" w:themeColor="text2"/>
          <w:sz w:val="18"/>
          <w:szCs w:val="18"/>
        </w:rPr>
        <w:t>-201</w:t>
      </w:r>
      <w:r>
        <w:rPr>
          <w:rFonts w:cs="Arial"/>
          <w:b/>
          <w:color w:val="1F497D" w:themeColor="text2"/>
          <w:sz w:val="18"/>
          <w:szCs w:val="18"/>
        </w:rPr>
        <w:t>4</w:t>
      </w:r>
    </w:p>
    <w:p w:rsidR="00A40BF0" w:rsidRDefault="00A40BF0" w:rsidP="00A40BF0">
      <w:pPr>
        <w:widowControl w:val="0"/>
        <w:jc w:val="center"/>
        <w:rPr>
          <w:rFonts w:cs="Arial"/>
        </w:rPr>
      </w:pPr>
      <w:r>
        <w:rPr>
          <w:rFonts w:cs="Arial"/>
          <w:noProof/>
          <w:lang w:eastAsia="es-ES"/>
        </w:rPr>
        <w:drawing>
          <wp:anchor distT="0" distB="0" distL="114300" distR="114300" simplePos="0" relativeHeight="251817984" behindDoc="0" locked="0" layoutInCell="1" allowOverlap="1">
            <wp:simplePos x="0" y="0"/>
            <wp:positionH relativeFrom="column">
              <wp:posOffset>3264535</wp:posOffset>
            </wp:positionH>
            <wp:positionV relativeFrom="paragraph">
              <wp:posOffset>94615</wp:posOffset>
            </wp:positionV>
            <wp:extent cx="2752725" cy="1828800"/>
            <wp:effectExtent l="0" t="0" r="0" b="0"/>
            <wp:wrapNone/>
            <wp:docPr id="23"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cs="Arial"/>
          <w:noProof/>
          <w:lang w:eastAsia="es-ES"/>
        </w:rPr>
        <w:drawing>
          <wp:anchor distT="0" distB="0" distL="114300" distR="114300" simplePos="0" relativeHeight="251819008" behindDoc="0" locked="0" layoutInCell="1" allowOverlap="1">
            <wp:simplePos x="0" y="0"/>
            <wp:positionH relativeFrom="column">
              <wp:posOffset>16510</wp:posOffset>
            </wp:positionH>
            <wp:positionV relativeFrom="paragraph">
              <wp:posOffset>27940</wp:posOffset>
            </wp:positionV>
            <wp:extent cx="2752725" cy="1828800"/>
            <wp:effectExtent l="0" t="0" r="0" b="0"/>
            <wp:wrapNone/>
            <wp:docPr id="24"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A40BF0" w:rsidRDefault="00A40BF0" w:rsidP="00A40BF0">
      <w:pPr>
        <w:widowControl w:val="0"/>
        <w:jc w:val="center"/>
        <w:rPr>
          <w:rFonts w:cs="Arial"/>
        </w:rPr>
      </w:pPr>
    </w:p>
    <w:p w:rsidR="00A40BF0" w:rsidRDefault="004665D9" w:rsidP="00A40BF0">
      <w:pPr>
        <w:widowControl w:val="0"/>
        <w:jc w:val="center"/>
        <w:rPr>
          <w:rFonts w:cs="Arial"/>
        </w:rPr>
      </w:pPr>
      <w:r>
        <w:rPr>
          <w:rFonts w:cs="Arial"/>
        </w:rPr>
        <w:t>*</w:t>
      </w:r>
    </w:p>
    <w:p w:rsidR="00A40BF0" w:rsidRDefault="00A40BF0" w:rsidP="00A40BF0">
      <w:pPr>
        <w:widowControl w:val="0"/>
        <w:jc w:val="center"/>
        <w:rPr>
          <w:rFonts w:cs="Arial"/>
        </w:rPr>
      </w:pPr>
    </w:p>
    <w:p w:rsidR="00A40BF0" w:rsidRDefault="00A40BF0" w:rsidP="00A40BF0">
      <w:pPr>
        <w:widowControl w:val="0"/>
        <w:jc w:val="center"/>
        <w:rPr>
          <w:rFonts w:cs="Arial"/>
        </w:rPr>
      </w:pPr>
    </w:p>
    <w:p w:rsidR="00A40BF0" w:rsidRDefault="00A40BF0" w:rsidP="00A40BF0">
      <w:pPr>
        <w:widowControl w:val="0"/>
        <w:jc w:val="center"/>
        <w:rPr>
          <w:rFonts w:cs="Arial"/>
        </w:rPr>
      </w:pPr>
    </w:p>
    <w:p w:rsidR="00A40BF0" w:rsidRDefault="00A40BF0" w:rsidP="00A40BF0">
      <w:pPr>
        <w:widowControl w:val="0"/>
        <w:jc w:val="center"/>
        <w:rPr>
          <w:rFonts w:cs="Arial"/>
        </w:rPr>
      </w:pPr>
    </w:p>
    <w:p w:rsidR="00A40BF0" w:rsidRDefault="00A40BF0" w:rsidP="00A40BF0">
      <w:pPr>
        <w:widowControl w:val="0"/>
        <w:jc w:val="center"/>
        <w:rPr>
          <w:rFonts w:cs="Arial"/>
        </w:rPr>
      </w:pPr>
    </w:p>
    <w:p w:rsidR="00A40BF0" w:rsidRPr="009207B5" w:rsidRDefault="00A40BF0" w:rsidP="00A40BF0">
      <w:pPr>
        <w:widowControl w:val="0"/>
      </w:pPr>
    </w:p>
    <w:p w:rsidR="00BD5A65" w:rsidRDefault="00BD5A65" w:rsidP="00CA3C57">
      <w:pPr>
        <w:pStyle w:val="Prrafodelista"/>
        <w:spacing w:line="360" w:lineRule="auto"/>
        <w:ind w:left="0"/>
        <w:rPr>
          <w:rFonts w:ascii="Arial" w:eastAsia="Times New Roman" w:hAnsi="Arial" w:cs="Arial"/>
          <w:szCs w:val="20"/>
          <w:lang w:val="es-ES_tradnl" w:eastAsia="es-ES"/>
        </w:rPr>
      </w:pPr>
    </w:p>
    <w:p w:rsidR="00A40BF0" w:rsidRPr="00CA3C57" w:rsidRDefault="00BD5A65" w:rsidP="00CA3C57">
      <w:pPr>
        <w:pStyle w:val="Prrafodelista"/>
        <w:spacing w:line="360" w:lineRule="auto"/>
        <w:ind w:left="0"/>
        <w:rPr>
          <w:rFonts w:ascii="Arial" w:eastAsia="Times New Roman" w:hAnsi="Arial" w:cs="Arial"/>
          <w:szCs w:val="20"/>
          <w:lang w:val="es-ES_tradnl" w:eastAsia="es-ES"/>
        </w:rPr>
      </w:pPr>
      <w:proofErr w:type="spellStart"/>
      <w:r>
        <w:rPr>
          <w:rFonts w:ascii="Arial" w:eastAsia="Times New Roman" w:hAnsi="Arial" w:cs="Arial"/>
          <w:szCs w:val="20"/>
          <w:lang w:val="es-ES_tradnl" w:eastAsia="es-ES"/>
        </w:rPr>
        <w:t>Gipuzkoa</w:t>
      </w:r>
      <w:proofErr w:type="spellEnd"/>
      <w:r>
        <w:rPr>
          <w:rFonts w:ascii="Arial" w:eastAsia="Times New Roman" w:hAnsi="Arial" w:cs="Arial"/>
          <w:szCs w:val="20"/>
          <w:lang w:val="es-ES_tradnl" w:eastAsia="es-ES"/>
        </w:rPr>
        <w:t xml:space="preserve"> también destaca por ser el territorio con mayor peso de </w:t>
      </w:r>
      <w:r w:rsidR="00A40BF0" w:rsidRPr="00CA3C57">
        <w:rPr>
          <w:rFonts w:ascii="Arial" w:eastAsia="Times New Roman" w:hAnsi="Arial" w:cs="Arial"/>
          <w:szCs w:val="20"/>
          <w:lang w:val="es-ES_tradnl" w:eastAsia="es-ES"/>
        </w:rPr>
        <w:t xml:space="preserve">la Economía Social </w:t>
      </w:r>
      <w:r>
        <w:rPr>
          <w:rFonts w:ascii="Arial" w:eastAsia="Times New Roman" w:hAnsi="Arial" w:cs="Arial"/>
          <w:szCs w:val="20"/>
          <w:lang w:val="es-ES_tradnl" w:eastAsia="es-ES"/>
        </w:rPr>
        <w:t xml:space="preserve">en </w:t>
      </w:r>
      <w:r w:rsidR="00A40BF0" w:rsidRPr="00CA3C57">
        <w:rPr>
          <w:rFonts w:ascii="Arial" w:eastAsia="Times New Roman" w:hAnsi="Arial" w:cs="Arial"/>
          <w:szCs w:val="20"/>
          <w:lang w:val="es-ES_tradnl" w:eastAsia="es-ES"/>
        </w:rPr>
        <w:t>el conjunto de la población ocupada</w:t>
      </w:r>
      <w:r>
        <w:rPr>
          <w:rFonts w:ascii="Arial" w:eastAsia="Times New Roman" w:hAnsi="Arial" w:cs="Arial"/>
          <w:szCs w:val="20"/>
          <w:lang w:val="es-ES_tradnl" w:eastAsia="es-ES"/>
        </w:rPr>
        <w:t xml:space="preserve">, con </w:t>
      </w:r>
      <w:r w:rsidR="00A40BF0" w:rsidRPr="00CA3C57">
        <w:rPr>
          <w:rFonts w:ascii="Arial" w:eastAsia="Times New Roman" w:hAnsi="Arial" w:cs="Arial"/>
          <w:szCs w:val="20"/>
          <w:lang w:val="es-ES_tradnl" w:eastAsia="es-ES"/>
        </w:rPr>
        <w:t>un 9,2%</w:t>
      </w:r>
      <w:r>
        <w:rPr>
          <w:rFonts w:ascii="Arial" w:eastAsia="Times New Roman" w:hAnsi="Arial" w:cs="Arial"/>
          <w:szCs w:val="20"/>
          <w:lang w:val="es-ES_tradnl" w:eastAsia="es-ES"/>
        </w:rPr>
        <w:t xml:space="preserve">. En </w:t>
      </w:r>
      <w:proofErr w:type="spellStart"/>
      <w:r w:rsidR="00A40BF0" w:rsidRPr="00CA3C57">
        <w:rPr>
          <w:rFonts w:ascii="Arial" w:eastAsia="Times New Roman" w:hAnsi="Arial" w:cs="Arial"/>
          <w:szCs w:val="20"/>
          <w:lang w:val="es-ES_tradnl" w:eastAsia="es-ES"/>
        </w:rPr>
        <w:t>Bizkaia</w:t>
      </w:r>
      <w:proofErr w:type="spellEnd"/>
      <w:r>
        <w:rPr>
          <w:rFonts w:ascii="Arial" w:eastAsia="Times New Roman" w:hAnsi="Arial" w:cs="Arial"/>
          <w:szCs w:val="20"/>
          <w:lang w:val="es-ES_tradnl" w:eastAsia="es-ES"/>
        </w:rPr>
        <w:t>,</w:t>
      </w:r>
      <w:r w:rsidR="00A40BF0" w:rsidRPr="00CA3C57">
        <w:rPr>
          <w:rFonts w:ascii="Arial" w:eastAsia="Times New Roman" w:hAnsi="Arial" w:cs="Arial"/>
          <w:szCs w:val="20"/>
          <w:lang w:val="es-ES_tradnl" w:eastAsia="es-ES"/>
        </w:rPr>
        <w:t xml:space="preserve"> esta </w:t>
      </w:r>
      <w:r>
        <w:rPr>
          <w:rFonts w:ascii="Arial" w:eastAsia="Times New Roman" w:hAnsi="Arial" w:cs="Arial"/>
          <w:szCs w:val="20"/>
          <w:lang w:val="es-ES_tradnl" w:eastAsia="es-ES"/>
        </w:rPr>
        <w:t xml:space="preserve">proporción </w:t>
      </w:r>
      <w:r w:rsidR="002E1D19">
        <w:rPr>
          <w:rFonts w:ascii="Arial" w:eastAsia="Times New Roman" w:hAnsi="Arial" w:cs="Arial"/>
          <w:szCs w:val="20"/>
          <w:lang w:val="es-ES_tradnl" w:eastAsia="es-ES"/>
        </w:rPr>
        <w:t>es de un</w:t>
      </w:r>
      <w:r w:rsidR="00A40BF0" w:rsidRPr="00CA3C57">
        <w:rPr>
          <w:rFonts w:ascii="Arial" w:eastAsia="Times New Roman" w:hAnsi="Arial" w:cs="Arial"/>
          <w:szCs w:val="20"/>
          <w:lang w:val="es-ES_tradnl" w:eastAsia="es-ES"/>
        </w:rPr>
        <w:t xml:space="preserve"> 4,7%</w:t>
      </w:r>
      <w:r>
        <w:rPr>
          <w:rFonts w:ascii="Arial" w:eastAsia="Times New Roman" w:hAnsi="Arial" w:cs="Arial"/>
          <w:szCs w:val="20"/>
          <w:lang w:val="es-ES_tradnl" w:eastAsia="es-ES"/>
        </w:rPr>
        <w:t>. En Álav</w:t>
      </w:r>
      <w:r w:rsidR="00F37BDF">
        <w:rPr>
          <w:rFonts w:ascii="Arial" w:eastAsia="Times New Roman" w:hAnsi="Arial" w:cs="Arial"/>
          <w:szCs w:val="20"/>
          <w:lang w:val="es-ES_tradnl" w:eastAsia="es-ES"/>
        </w:rPr>
        <w:t xml:space="preserve">a, por su parte, </w:t>
      </w:r>
      <w:r w:rsidR="00A40BF0" w:rsidRPr="00CA3C57">
        <w:rPr>
          <w:rFonts w:ascii="Arial" w:eastAsia="Times New Roman" w:hAnsi="Arial" w:cs="Arial"/>
          <w:szCs w:val="20"/>
          <w:lang w:val="es-ES_tradnl" w:eastAsia="es-ES"/>
        </w:rPr>
        <w:t xml:space="preserve">la Economía Social aporta un 4,1% al conjunto de la población ocupada alavesa. </w:t>
      </w:r>
    </w:p>
    <w:p w:rsidR="00701230" w:rsidRDefault="00BD5A65" w:rsidP="00BD5A65">
      <w:pPr>
        <w:widowControl w:val="0"/>
        <w:spacing w:line="240" w:lineRule="auto"/>
        <w:jc w:val="center"/>
        <w:rPr>
          <w:rFonts w:cs="Arial"/>
          <w:b/>
          <w:color w:val="1F497D" w:themeColor="text2"/>
          <w:sz w:val="18"/>
          <w:szCs w:val="18"/>
        </w:rPr>
      </w:pPr>
      <w:r w:rsidRPr="00506010">
        <w:rPr>
          <w:rFonts w:cs="Arial"/>
          <w:b/>
          <w:color w:val="1F497D" w:themeColor="text2"/>
          <w:sz w:val="18"/>
          <w:szCs w:val="18"/>
        </w:rPr>
        <w:t xml:space="preserve">IMPORTANCIA RELATIVA DE LA ECONOMÍA SOCIAL EN LA ECONOMÍA DE LA CAE </w:t>
      </w:r>
    </w:p>
    <w:p w:rsidR="00BD5A65" w:rsidRDefault="00BD5A65" w:rsidP="00BD5A65">
      <w:pPr>
        <w:widowControl w:val="0"/>
        <w:spacing w:line="240" w:lineRule="auto"/>
        <w:jc w:val="center"/>
        <w:rPr>
          <w:rFonts w:cs="Arial"/>
          <w:b/>
          <w:color w:val="1F497D" w:themeColor="text2"/>
          <w:sz w:val="18"/>
          <w:szCs w:val="18"/>
        </w:rPr>
      </w:pPr>
      <w:r w:rsidRPr="00506010">
        <w:rPr>
          <w:rFonts w:cs="Arial"/>
          <w:b/>
          <w:color w:val="1F497D" w:themeColor="text2"/>
          <w:sz w:val="18"/>
          <w:szCs w:val="18"/>
        </w:rPr>
        <w:t>(Peso relativo del empleo</w:t>
      </w:r>
      <w:r>
        <w:rPr>
          <w:rFonts w:cs="Arial"/>
          <w:b/>
          <w:color w:val="1F497D" w:themeColor="text2"/>
          <w:sz w:val="18"/>
          <w:szCs w:val="18"/>
        </w:rPr>
        <w:t xml:space="preserve"> por Territorio Histórico). 2012</w:t>
      </w:r>
      <w:r w:rsidRPr="00506010">
        <w:rPr>
          <w:rFonts w:cs="Arial"/>
          <w:b/>
          <w:color w:val="1F497D" w:themeColor="text2"/>
          <w:sz w:val="18"/>
          <w:szCs w:val="18"/>
        </w:rPr>
        <w:t>-201</w:t>
      </w:r>
      <w:r>
        <w:rPr>
          <w:rFonts w:cs="Arial"/>
          <w:b/>
          <w:color w:val="1F497D" w:themeColor="text2"/>
          <w:sz w:val="18"/>
          <w:szCs w:val="18"/>
        </w:rPr>
        <w:t>4</w:t>
      </w:r>
    </w:p>
    <w:p w:rsidR="00BD5A65" w:rsidRDefault="00BD5A65" w:rsidP="00BD5A65">
      <w:pPr>
        <w:widowControl w:val="0"/>
        <w:jc w:val="center"/>
        <w:rPr>
          <w:rFonts w:cs="Arial"/>
          <w:b/>
          <w:color w:val="1F497D" w:themeColor="text2"/>
          <w:sz w:val="18"/>
          <w:szCs w:val="18"/>
        </w:rPr>
      </w:pPr>
      <w:r>
        <w:rPr>
          <w:rFonts w:cs="Arial"/>
          <w:b/>
          <w:noProof/>
          <w:color w:val="1F497D" w:themeColor="text2"/>
          <w:sz w:val="18"/>
          <w:szCs w:val="18"/>
          <w:lang w:eastAsia="es-ES"/>
        </w:rPr>
        <w:drawing>
          <wp:anchor distT="0" distB="0" distL="114300" distR="114300" simplePos="0" relativeHeight="251860992" behindDoc="0" locked="0" layoutInCell="1" allowOverlap="1">
            <wp:simplePos x="0" y="0"/>
            <wp:positionH relativeFrom="column">
              <wp:posOffset>172610</wp:posOffset>
            </wp:positionH>
            <wp:positionV relativeFrom="paragraph">
              <wp:posOffset>38818</wp:posOffset>
            </wp:positionV>
            <wp:extent cx="5255812" cy="1765189"/>
            <wp:effectExtent l="0" t="0" r="0" b="0"/>
            <wp:wrapNone/>
            <wp:docPr id="26"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BD5A65" w:rsidRDefault="00BD5A65" w:rsidP="00BD5A65">
      <w:pPr>
        <w:widowControl w:val="0"/>
        <w:jc w:val="center"/>
        <w:rPr>
          <w:rFonts w:cs="Arial"/>
          <w:b/>
          <w:color w:val="1F497D" w:themeColor="text2"/>
          <w:sz w:val="18"/>
          <w:szCs w:val="18"/>
        </w:rPr>
      </w:pPr>
    </w:p>
    <w:p w:rsidR="00BD5A65" w:rsidRDefault="00BD5A65" w:rsidP="00BD5A65">
      <w:pPr>
        <w:widowControl w:val="0"/>
        <w:jc w:val="center"/>
        <w:rPr>
          <w:rFonts w:cs="Arial"/>
          <w:b/>
          <w:color w:val="1F497D" w:themeColor="text2"/>
          <w:sz w:val="18"/>
          <w:szCs w:val="18"/>
        </w:rPr>
      </w:pPr>
    </w:p>
    <w:p w:rsidR="00BD5A65" w:rsidRDefault="00BD5A65" w:rsidP="00BD5A65">
      <w:pPr>
        <w:widowControl w:val="0"/>
        <w:jc w:val="center"/>
        <w:rPr>
          <w:rFonts w:cs="Arial"/>
          <w:b/>
          <w:color w:val="1F497D" w:themeColor="text2"/>
          <w:sz w:val="18"/>
          <w:szCs w:val="18"/>
        </w:rPr>
      </w:pPr>
    </w:p>
    <w:p w:rsidR="00BD5A65" w:rsidRDefault="00BD5A65" w:rsidP="00BD5A65">
      <w:pPr>
        <w:widowControl w:val="0"/>
        <w:jc w:val="center"/>
        <w:rPr>
          <w:rFonts w:cs="Arial"/>
          <w:b/>
          <w:color w:val="1F497D" w:themeColor="text2"/>
          <w:sz w:val="18"/>
          <w:szCs w:val="18"/>
        </w:rPr>
      </w:pPr>
    </w:p>
    <w:p w:rsidR="00BD5A65" w:rsidRDefault="00BD5A65" w:rsidP="00BD5A65">
      <w:pPr>
        <w:widowControl w:val="0"/>
        <w:jc w:val="center"/>
        <w:rPr>
          <w:rFonts w:cs="Arial"/>
          <w:b/>
          <w:color w:val="1F497D" w:themeColor="text2"/>
          <w:sz w:val="18"/>
          <w:szCs w:val="18"/>
        </w:rPr>
      </w:pPr>
    </w:p>
    <w:p w:rsidR="00BD5A65" w:rsidRDefault="00BD5A65" w:rsidP="00BD5A65">
      <w:pPr>
        <w:widowControl w:val="0"/>
        <w:jc w:val="center"/>
        <w:rPr>
          <w:rFonts w:cs="Arial"/>
          <w:b/>
          <w:color w:val="1F497D" w:themeColor="text2"/>
          <w:sz w:val="18"/>
          <w:szCs w:val="18"/>
        </w:rPr>
      </w:pPr>
    </w:p>
    <w:p w:rsidR="00BD5A65" w:rsidRDefault="00BD5A65" w:rsidP="00BD5A65">
      <w:pPr>
        <w:widowControl w:val="0"/>
        <w:jc w:val="center"/>
        <w:rPr>
          <w:rFonts w:cs="Arial"/>
          <w:b/>
          <w:color w:val="1F497D" w:themeColor="text2"/>
          <w:sz w:val="18"/>
          <w:szCs w:val="18"/>
        </w:rPr>
      </w:pPr>
    </w:p>
    <w:p w:rsidR="00BD5A65" w:rsidRDefault="00BD5A65" w:rsidP="00BD5A65">
      <w:pPr>
        <w:widowControl w:val="0"/>
        <w:jc w:val="center"/>
        <w:rPr>
          <w:rFonts w:cs="Arial"/>
          <w:b/>
          <w:color w:val="1F497D" w:themeColor="text2"/>
          <w:sz w:val="18"/>
          <w:szCs w:val="18"/>
        </w:rPr>
      </w:pPr>
    </w:p>
    <w:p w:rsidR="00BD5A65" w:rsidRPr="00B45288" w:rsidRDefault="00BD5A65" w:rsidP="00BD5A65">
      <w:pPr>
        <w:widowControl w:val="0"/>
        <w:jc w:val="center"/>
        <w:rPr>
          <w:rFonts w:cs="Arial"/>
          <w:i/>
          <w:color w:val="000000"/>
          <w:sz w:val="16"/>
          <w:szCs w:val="16"/>
        </w:rPr>
      </w:pPr>
      <w:r w:rsidRPr="00B45288">
        <w:rPr>
          <w:rFonts w:cs="Arial"/>
          <w:i/>
          <w:color w:val="000000"/>
          <w:sz w:val="16"/>
          <w:szCs w:val="16"/>
        </w:rPr>
        <w:t xml:space="preserve">Fuente para la comparación: Encuesta de Población en Relación </w:t>
      </w:r>
      <w:r>
        <w:rPr>
          <w:rFonts w:cs="Arial"/>
          <w:i/>
          <w:color w:val="000000"/>
          <w:sz w:val="16"/>
          <w:szCs w:val="16"/>
        </w:rPr>
        <w:t xml:space="preserve">con la Actividad PRA </w:t>
      </w:r>
      <w:proofErr w:type="spellStart"/>
      <w:r>
        <w:rPr>
          <w:rFonts w:cs="Arial"/>
          <w:i/>
          <w:color w:val="000000"/>
          <w:sz w:val="16"/>
          <w:szCs w:val="16"/>
        </w:rPr>
        <w:t>Eustat</w:t>
      </w:r>
      <w:proofErr w:type="spellEnd"/>
      <w:r>
        <w:rPr>
          <w:rFonts w:cs="Arial"/>
          <w:i/>
          <w:color w:val="000000"/>
          <w:sz w:val="16"/>
          <w:szCs w:val="16"/>
        </w:rPr>
        <w:t xml:space="preserve"> 2014</w:t>
      </w:r>
    </w:p>
    <w:p w:rsidR="00BD5A65" w:rsidRPr="00BD5A65" w:rsidRDefault="00BD5A65" w:rsidP="00CA3C57">
      <w:pPr>
        <w:pStyle w:val="Prrafodelista"/>
        <w:spacing w:line="360" w:lineRule="auto"/>
        <w:ind w:left="426" w:hanging="426"/>
        <w:rPr>
          <w:rFonts w:ascii="Arial" w:eastAsia="Times New Roman" w:hAnsi="Arial" w:cs="Arial"/>
          <w:szCs w:val="20"/>
          <w:lang w:eastAsia="es-ES"/>
        </w:rPr>
      </w:pPr>
    </w:p>
    <w:p w:rsidR="00F37BDF" w:rsidRDefault="00F37BDF" w:rsidP="00CA3C57">
      <w:pPr>
        <w:pStyle w:val="Prrafodelista"/>
        <w:spacing w:line="360" w:lineRule="auto"/>
        <w:ind w:left="0"/>
        <w:rPr>
          <w:rFonts w:ascii="Arial" w:eastAsia="Times New Roman" w:hAnsi="Arial" w:cs="Arial"/>
          <w:szCs w:val="20"/>
          <w:lang w:val="es-ES_tradnl" w:eastAsia="es-ES"/>
        </w:rPr>
      </w:pPr>
    </w:p>
    <w:p w:rsidR="00A40BF0" w:rsidRPr="00880569" w:rsidRDefault="00880569" w:rsidP="00CA3C57">
      <w:pPr>
        <w:pStyle w:val="Prrafodelista"/>
        <w:spacing w:line="360" w:lineRule="auto"/>
        <w:ind w:left="0"/>
        <w:rPr>
          <w:rFonts w:ascii="Arial" w:eastAsia="Times New Roman" w:hAnsi="Arial" w:cs="Arial"/>
          <w:szCs w:val="20"/>
          <w:highlight w:val="yellow"/>
          <w:lang w:val="es-ES_tradnl" w:eastAsia="es-ES"/>
        </w:rPr>
      </w:pPr>
      <w:r w:rsidRPr="002F6746">
        <w:rPr>
          <w:rFonts w:ascii="Arial" w:eastAsia="Times New Roman" w:hAnsi="Arial" w:cs="Arial"/>
          <w:szCs w:val="20"/>
          <w:lang w:val="es-ES_tradnl" w:eastAsia="es-ES"/>
        </w:rPr>
        <w:t>E</w:t>
      </w:r>
      <w:r w:rsidR="00A40BF0" w:rsidRPr="002F6746">
        <w:rPr>
          <w:rFonts w:ascii="Arial" w:eastAsia="Times New Roman" w:hAnsi="Arial" w:cs="Arial"/>
          <w:szCs w:val="20"/>
          <w:lang w:val="es-ES_tradnl" w:eastAsia="es-ES"/>
        </w:rPr>
        <w:t xml:space="preserve">l empleo guipuzcoano </w:t>
      </w:r>
      <w:r w:rsidRPr="002F6746">
        <w:rPr>
          <w:rFonts w:ascii="Arial" w:eastAsia="Times New Roman" w:hAnsi="Arial" w:cs="Arial"/>
          <w:szCs w:val="20"/>
          <w:lang w:val="es-ES_tradnl" w:eastAsia="es-ES"/>
        </w:rPr>
        <w:t>de las FCES muestra sin embargo</w:t>
      </w:r>
      <w:r w:rsidR="00A40BF0" w:rsidRPr="002F6746">
        <w:rPr>
          <w:rFonts w:ascii="Arial" w:eastAsia="Times New Roman" w:hAnsi="Arial" w:cs="Arial"/>
          <w:szCs w:val="20"/>
          <w:lang w:val="es-ES_tradnl" w:eastAsia="es-ES"/>
        </w:rPr>
        <w:t xml:space="preserve"> una deriva negativa</w:t>
      </w:r>
      <w:r w:rsidRPr="002F6746">
        <w:rPr>
          <w:rFonts w:ascii="Arial" w:eastAsia="Times New Roman" w:hAnsi="Arial" w:cs="Arial"/>
          <w:szCs w:val="20"/>
          <w:lang w:val="es-ES_tradnl" w:eastAsia="es-ES"/>
        </w:rPr>
        <w:t xml:space="preserve"> entre 2012 y 2014</w:t>
      </w:r>
      <w:r w:rsidR="00A40BF0" w:rsidRPr="002F6746">
        <w:rPr>
          <w:rFonts w:ascii="Arial" w:eastAsia="Times New Roman" w:hAnsi="Arial" w:cs="Arial"/>
          <w:szCs w:val="20"/>
          <w:lang w:val="es-ES_tradnl" w:eastAsia="es-ES"/>
        </w:rPr>
        <w:t>, al descender el nivel de empleo en un 4,1%</w:t>
      </w:r>
      <w:r w:rsidRPr="002F6746">
        <w:rPr>
          <w:rFonts w:ascii="Arial" w:eastAsia="Times New Roman" w:hAnsi="Arial" w:cs="Arial"/>
          <w:szCs w:val="20"/>
          <w:lang w:val="es-ES_tradnl" w:eastAsia="es-ES"/>
        </w:rPr>
        <w:t xml:space="preserve">. Con un total de 27.699 empleos anualizados, y a </w:t>
      </w:r>
      <w:r w:rsidRPr="00AF4AE0">
        <w:rPr>
          <w:rFonts w:ascii="Arial" w:eastAsia="Times New Roman" w:hAnsi="Arial" w:cs="Arial"/>
          <w:szCs w:val="20"/>
          <w:lang w:val="es-ES_tradnl" w:eastAsia="es-ES"/>
        </w:rPr>
        <w:t xml:space="preserve">pesar de crecer un 1,1% en el número de establecimientos, la contribución de </w:t>
      </w:r>
      <w:proofErr w:type="spellStart"/>
      <w:r w:rsidRPr="00AF4AE0">
        <w:rPr>
          <w:rFonts w:ascii="Arial" w:eastAsia="Times New Roman" w:hAnsi="Arial" w:cs="Arial"/>
          <w:szCs w:val="20"/>
          <w:lang w:val="es-ES_tradnl" w:eastAsia="es-ES"/>
        </w:rPr>
        <w:t>Gipuzkoa</w:t>
      </w:r>
      <w:proofErr w:type="spellEnd"/>
      <w:r w:rsidRPr="00AF4AE0">
        <w:rPr>
          <w:rFonts w:ascii="Arial" w:eastAsia="Times New Roman" w:hAnsi="Arial" w:cs="Arial"/>
          <w:szCs w:val="20"/>
          <w:lang w:val="es-ES_tradnl" w:eastAsia="es-ES"/>
        </w:rPr>
        <w:t xml:space="preserve"> al empleo de las FCES en la CAE se reduce en 0,9 puntos porcentuales (de 51,7% en 2012 a 50,8% en 2014). </w:t>
      </w:r>
      <w:proofErr w:type="spellStart"/>
      <w:r w:rsidRPr="00AF4AE0">
        <w:rPr>
          <w:rFonts w:ascii="Arial" w:eastAsia="Times New Roman" w:hAnsi="Arial" w:cs="Arial"/>
          <w:szCs w:val="20"/>
          <w:lang w:val="es-ES_tradnl" w:eastAsia="es-ES"/>
        </w:rPr>
        <w:t>Gipuzkoa</w:t>
      </w:r>
      <w:proofErr w:type="spellEnd"/>
      <w:r w:rsidRPr="00AF4AE0">
        <w:rPr>
          <w:rFonts w:ascii="Arial" w:eastAsia="Times New Roman" w:hAnsi="Arial" w:cs="Arial"/>
          <w:szCs w:val="20"/>
          <w:lang w:val="es-ES_tradnl" w:eastAsia="es-ES"/>
        </w:rPr>
        <w:t xml:space="preserve"> pierde</w:t>
      </w:r>
      <w:r w:rsidR="00A40BF0" w:rsidRPr="00AF4AE0">
        <w:rPr>
          <w:rFonts w:ascii="Arial" w:eastAsia="Times New Roman" w:hAnsi="Arial" w:cs="Arial"/>
          <w:szCs w:val="20"/>
          <w:lang w:val="es-ES_tradnl" w:eastAsia="es-ES"/>
        </w:rPr>
        <w:t xml:space="preserve"> en cifras absolutas un total de 1.177 empleos, </w:t>
      </w:r>
      <w:r w:rsidRPr="00AF4AE0">
        <w:rPr>
          <w:rFonts w:ascii="Arial" w:eastAsia="Times New Roman" w:hAnsi="Arial" w:cs="Arial"/>
          <w:szCs w:val="20"/>
          <w:lang w:val="es-ES_tradnl" w:eastAsia="es-ES"/>
        </w:rPr>
        <w:t>lo que contribu</w:t>
      </w:r>
      <w:r w:rsidR="00A40BF0" w:rsidRPr="00AF4AE0">
        <w:rPr>
          <w:rFonts w:ascii="Arial" w:eastAsia="Times New Roman" w:hAnsi="Arial" w:cs="Arial"/>
          <w:szCs w:val="20"/>
          <w:lang w:val="es-ES_tradnl" w:eastAsia="es-ES"/>
        </w:rPr>
        <w:t>y</w:t>
      </w:r>
      <w:r w:rsidRPr="00AF4AE0">
        <w:rPr>
          <w:rFonts w:ascii="Arial" w:eastAsia="Times New Roman" w:hAnsi="Arial" w:cs="Arial"/>
          <w:szCs w:val="20"/>
          <w:lang w:val="es-ES_tradnl" w:eastAsia="es-ES"/>
        </w:rPr>
        <w:t>e</w:t>
      </w:r>
      <w:r w:rsidR="00A40BF0" w:rsidRPr="00AF4AE0">
        <w:rPr>
          <w:rFonts w:ascii="Arial" w:eastAsia="Times New Roman" w:hAnsi="Arial" w:cs="Arial"/>
          <w:szCs w:val="20"/>
          <w:lang w:val="es-ES_tradnl" w:eastAsia="es-ES"/>
        </w:rPr>
        <w:t xml:space="preserve"> </w:t>
      </w:r>
      <w:r w:rsidRPr="00AF4AE0">
        <w:rPr>
          <w:rFonts w:ascii="Arial" w:eastAsia="Times New Roman" w:hAnsi="Arial" w:cs="Arial"/>
          <w:szCs w:val="20"/>
          <w:lang w:val="es-ES_tradnl" w:eastAsia="es-ES"/>
        </w:rPr>
        <w:t xml:space="preserve">a una reducción en medio punto porcentual de la </w:t>
      </w:r>
      <w:r w:rsidR="00A40BF0" w:rsidRPr="00AF4AE0">
        <w:rPr>
          <w:rFonts w:ascii="Arial" w:eastAsia="Times New Roman" w:hAnsi="Arial" w:cs="Arial"/>
          <w:szCs w:val="20"/>
          <w:lang w:val="es-ES_tradnl" w:eastAsia="es-ES"/>
        </w:rPr>
        <w:t xml:space="preserve">contribución </w:t>
      </w:r>
      <w:r w:rsidRPr="00AF4AE0">
        <w:rPr>
          <w:rFonts w:ascii="Arial" w:eastAsia="Times New Roman" w:hAnsi="Arial" w:cs="Arial"/>
          <w:szCs w:val="20"/>
          <w:lang w:val="es-ES_tradnl" w:eastAsia="es-ES"/>
        </w:rPr>
        <w:t xml:space="preserve">de la Economía Social </w:t>
      </w:r>
      <w:r w:rsidR="00A40BF0" w:rsidRPr="00AF4AE0">
        <w:rPr>
          <w:rFonts w:ascii="Arial" w:eastAsia="Times New Roman" w:hAnsi="Arial" w:cs="Arial"/>
          <w:szCs w:val="20"/>
          <w:lang w:val="es-ES_tradnl" w:eastAsia="es-ES"/>
        </w:rPr>
        <w:t xml:space="preserve">a la población ocupada guipuzcoana (del 9,7% de 2012 al 9,2% del 2014). </w:t>
      </w:r>
    </w:p>
    <w:p w:rsidR="00CA3C57" w:rsidRPr="00880569" w:rsidRDefault="00CA3C57" w:rsidP="00CA3C57">
      <w:pPr>
        <w:pStyle w:val="Prrafodelista"/>
        <w:spacing w:line="360" w:lineRule="auto"/>
        <w:ind w:left="0"/>
        <w:rPr>
          <w:rFonts w:ascii="Arial" w:eastAsia="Times New Roman" w:hAnsi="Arial" w:cs="Arial"/>
          <w:szCs w:val="20"/>
          <w:highlight w:val="yellow"/>
          <w:lang w:val="es-ES_tradnl" w:eastAsia="es-ES"/>
        </w:rPr>
      </w:pPr>
    </w:p>
    <w:p w:rsidR="00A40BF0" w:rsidRPr="0028244D" w:rsidRDefault="00880569" w:rsidP="00CA3C57">
      <w:pPr>
        <w:pStyle w:val="Prrafodelista"/>
        <w:spacing w:line="360" w:lineRule="auto"/>
        <w:ind w:left="0"/>
        <w:rPr>
          <w:rFonts w:ascii="Arial" w:eastAsia="Times New Roman" w:hAnsi="Arial" w:cs="Arial"/>
          <w:szCs w:val="20"/>
          <w:lang w:val="es-ES_tradnl" w:eastAsia="es-ES"/>
        </w:rPr>
      </w:pPr>
      <w:r w:rsidRPr="00C97C58">
        <w:rPr>
          <w:rFonts w:ascii="Arial" w:eastAsia="Times New Roman" w:hAnsi="Arial" w:cs="Arial"/>
          <w:szCs w:val="20"/>
          <w:lang w:val="es-ES_tradnl" w:eastAsia="es-ES"/>
        </w:rPr>
        <w:t>A</w:t>
      </w:r>
      <w:r w:rsidR="00A40BF0" w:rsidRPr="00C97C58">
        <w:rPr>
          <w:rFonts w:ascii="Arial" w:eastAsia="Times New Roman" w:hAnsi="Arial" w:cs="Arial"/>
          <w:szCs w:val="20"/>
          <w:lang w:val="es-ES_tradnl" w:eastAsia="es-ES"/>
        </w:rPr>
        <w:t xml:space="preserve"> pesar de crecer en un 5,8% su número de establecimientos</w:t>
      </w:r>
      <w:r w:rsidR="00B42521" w:rsidRPr="00C97C58">
        <w:rPr>
          <w:rFonts w:ascii="Arial" w:eastAsia="Times New Roman" w:hAnsi="Arial" w:cs="Arial"/>
          <w:szCs w:val="20"/>
          <w:lang w:val="es-ES_tradnl" w:eastAsia="es-ES"/>
        </w:rPr>
        <w:t xml:space="preserve"> entre 2012 y 2014</w:t>
      </w:r>
      <w:r w:rsidR="00A40BF0" w:rsidRPr="00C97C58">
        <w:rPr>
          <w:rFonts w:ascii="Arial" w:eastAsia="Times New Roman" w:hAnsi="Arial" w:cs="Arial"/>
          <w:szCs w:val="20"/>
          <w:lang w:val="es-ES_tradnl" w:eastAsia="es-ES"/>
        </w:rPr>
        <w:t xml:space="preserve">, </w:t>
      </w:r>
      <w:r w:rsidRPr="00C97C58">
        <w:rPr>
          <w:rFonts w:ascii="Arial" w:eastAsia="Times New Roman" w:hAnsi="Arial" w:cs="Arial"/>
          <w:szCs w:val="20"/>
          <w:lang w:val="es-ES_tradnl" w:eastAsia="es-ES"/>
        </w:rPr>
        <w:t xml:space="preserve">en términos </w:t>
      </w:r>
      <w:r w:rsidRPr="007E1919">
        <w:rPr>
          <w:rFonts w:ascii="Arial" w:eastAsia="Times New Roman" w:hAnsi="Arial" w:cs="Arial"/>
          <w:szCs w:val="20"/>
          <w:lang w:val="es-ES_tradnl" w:eastAsia="es-ES"/>
        </w:rPr>
        <w:t xml:space="preserve">relativos Álava </w:t>
      </w:r>
      <w:r w:rsidR="00A40BF0" w:rsidRPr="007E1919">
        <w:rPr>
          <w:rFonts w:ascii="Arial" w:eastAsia="Times New Roman" w:hAnsi="Arial" w:cs="Arial"/>
          <w:szCs w:val="20"/>
          <w:lang w:val="es-ES_tradnl" w:eastAsia="es-ES"/>
        </w:rPr>
        <w:t xml:space="preserve">registra una caída aún mayor que la guipuzcoana </w:t>
      </w:r>
      <w:r w:rsidRPr="007E1919">
        <w:rPr>
          <w:rFonts w:ascii="Arial" w:eastAsia="Times New Roman" w:hAnsi="Arial" w:cs="Arial"/>
          <w:szCs w:val="20"/>
          <w:lang w:val="es-ES_tradnl" w:eastAsia="es-ES"/>
        </w:rPr>
        <w:t>en las cifras de</w:t>
      </w:r>
      <w:r w:rsidR="00A40BF0" w:rsidRPr="007E1919">
        <w:rPr>
          <w:rFonts w:ascii="Arial" w:eastAsia="Times New Roman" w:hAnsi="Arial" w:cs="Arial"/>
          <w:szCs w:val="20"/>
          <w:lang w:val="es-ES_tradnl" w:eastAsia="es-ES"/>
        </w:rPr>
        <w:t xml:space="preserve"> empleo (-4,7%)</w:t>
      </w:r>
      <w:r w:rsidRPr="007E1919">
        <w:rPr>
          <w:rFonts w:ascii="Arial" w:eastAsia="Times New Roman" w:hAnsi="Arial" w:cs="Arial"/>
          <w:szCs w:val="20"/>
          <w:lang w:val="es-ES_tradnl" w:eastAsia="es-ES"/>
        </w:rPr>
        <w:t xml:space="preserve">. Pierde entre 2012 y 2014 </w:t>
      </w:r>
      <w:r w:rsidR="00A40BF0" w:rsidRPr="007E1919">
        <w:rPr>
          <w:rFonts w:ascii="Arial" w:eastAsia="Times New Roman" w:hAnsi="Arial" w:cs="Arial"/>
          <w:szCs w:val="20"/>
          <w:lang w:val="es-ES_tradnl" w:eastAsia="es-ES"/>
        </w:rPr>
        <w:t>un total de 275 empleos netos</w:t>
      </w:r>
      <w:r w:rsidR="00A40BF0" w:rsidRPr="0028244D">
        <w:rPr>
          <w:rFonts w:ascii="Arial" w:eastAsia="Times New Roman" w:hAnsi="Arial" w:cs="Arial"/>
          <w:szCs w:val="20"/>
          <w:lang w:val="es-ES_tradnl" w:eastAsia="es-ES"/>
        </w:rPr>
        <w:t>.</w:t>
      </w:r>
      <w:r w:rsidRPr="0028244D">
        <w:rPr>
          <w:rFonts w:ascii="Arial" w:eastAsia="Times New Roman" w:hAnsi="Arial" w:cs="Arial"/>
          <w:szCs w:val="20"/>
          <w:lang w:val="es-ES_tradnl" w:eastAsia="es-ES"/>
        </w:rPr>
        <w:t xml:space="preserve"> Su participación en el empleo FCES de la CAE se reduce de un 10,5 a un 10,2%.</w:t>
      </w:r>
    </w:p>
    <w:p w:rsidR="00A40BF0" w:rsidRPr="00880569" w:rsidRDefault="00A40BF0" w:rsidP="00CA3C57">
      <w:pPr>
        <w:pStyle w:val="Prrafodelista"/>
        <w:spacing w:line="360" w:lineRule="auto"/>
        <w:ind w:left="0"/>
        <w:rPr>
          <w:rFonts w:ascii="Arial" w:eastAsia="Times New Roman" w:hAnsi="Arial" w:cs="Arial"/>
          <w:szCs w:val="20"/>
          <w:highlight w:val="yellow"/>
          <w:lang w:val="es-ES_tradnl" w:eastAsia="es-ES"/>
        </w:rPr>
      </w:pPr>
    </w:p>
    <w:p w:rsidR="00701230" w:rsidRPr="00F5602F" w:rsidRDefault="00701230" w:rsidP="00701230">
      <w:pPr>
        <w:widowControl w:val="0"/>
        <w:spacing w:line="240" w:lineRule="auto"/>
        <w:jc w:val="center"/>
        <w:rPr>
          <w:rFonts w:cs="Arial"/>
          <w:b/>
          <w:color w:val="1F497D" w:themeColor="text2"/>
          <w:sz w:val="18"/>
          <w:szCs w:val="18"/>
        </w:rPr>
      </w:pPr>
      <w:r w:rsidRPr="00F5602F">
        <w:rPr>
          <w:rFonts w:cs="Arial"/>
          <w:b/>
          <w:color w:val="1F497D" w:themeColor="text2"/>
          <w:sz w:val="18"/>
          <w:szCs w:val="18"/>
        </w:rPr>
        <w:lastRenderedPageBreak/>
        <w:t xml:space="preserve">EVOLUCIÓN </w:t>
      </w:r>
      <w:r>
        <w:rPr>
          <w:rFonts w:cs="Arial"/>
          <w:b/>
          <w:color w:val="1F497D" w:themeColor="text2"/>
          <w:sz w:val="18"/>
          <w:szCs w:val="18"/>
        </w:rPr>
        <w:t>TERRITORAL DEL EMPLEO DE LA ECONOMÍA SOCIAL</w:t>
      </w:r>
    </w:p>
    <w:p w:rsidR="00701230" w:rsidRDefault="00701230" w:rsidP="00701230">
      <w:pPr>
        <w:widowControl w:val="0"/>
        <w:spacing w:line="240" w:lineRule="auto"/>
        <w:jc w:val="center"/>
        <w:rPr>
          <w:rFonts w:cs="Arial"/>
          <w:b/>
          <w:color w:val="1F497D" w:themeColor="text2"/>
          <w:sz w:val="18"/>
          <w:szCs w:val="18"/>
        </w:rPr>
      </w:pPr>
      <w:r w:rsidRPr="00506010">
        <w:rPr>
          <w:rFonts w:cs="Arial"/>
          <w:b/>
          <w:color w:val="1F497D" w:themeColor="text2"/>
          <w:sz w:val="18"/>
          <w:szCs w:val="18"/>
        </w:rPr>
        <w:t>(</w:t>
      </w:r>
      <w:r>
        <w:rPr>
          <w:rFonts w:cs="Arial"/>
          <w:b/>
          <w:color w:val="1F497D" w:themeColor="text2"/>
          <w:sz w:val="18"/>
          <w:szCs w:val="18"/>
        </w:rPr>
        <w:t>Datos absolutos y variación interanual</w:t>
      </w:r>
      <w:r w:rsidRPr="00506010">
        <w:rPr>
          <w:rFonts w:cs="Arial"/>
          <w:b/>
          <w:color w:val="1F497D" w:themeColor="text2"/>
          <w:sz w:val="18"/>
          <w:szCs w:val="18"/>
        </w:rPr>
        <w:t xml:space="preserve"> </w:t>
      </w:r>
      <w:r>
        <w:rPr>
          <w:rFonts w:cs="Arial"/>
          <w:b/>
          <w:color w:val="1F497D" w:themeColor="text2"/>
          <w:sz w:val="18"/>
          <w:szCs w:val="18"/>
        </w:rPr>
        <w:t xml:space="preserve">del </w:t>
      </w:r>
      <w:r w:rsidRPr="00506010">
        <w:rPr>
          <w:rFonts w:cs="Arial"/>
          <w:b/>
          <w:color w:val="1F497D" w:themeColor="text2"/>
          <w:sz w:val="18"/>
          <w:szCs w:val="18"/>
        </w:rPr>
        <w:t>empleo</w:t>
      </w:r>
      <w:r>
        <w:rPr>
          <w:rFonts w:cs="Arial"/>
          <w:b/>
          <w:color w:val="1F497D" w:themeColor="text2"/>
          <w:sz w:val="18"/>
          <w:szCs w:val="18"/>
        </w:rPr>
        <w:t xml:space="preserve"> por Territorio Histórico). 2008</w:t>
      </w:r>
      <w:r w:rsidRPr="00506010">
        <w:rPr>
          <w:rFonts w:cs="Arial"/>
          <w:b/>
          <w:color w:val="1F497D" w:themeColor="text2"/>
          <w:sz w:val="18"/>
          <w:szCs w:val="18"/>
        </w:rPr>
        <w:t>-201</w:t>
      </w:r>
      <w:r>
        <w:rPr>
          <w:rFonts w:cs="Arial"/>
          <w:b/>
          <w:color w:val="1F497D" w:themeColor="text2"/>
          <w:sz w:val="18"/>
          <w:szCs w:val="18"/>
        </w:rPr>
        <w:t>4</w:t>
      </w:r>
    </w:p>
    <w:tbl>
      <w:tblPr>
        <w:tblW w:w="5000" w:type="pct"/>
        <w:tblCellMar>
          <w:left w:w="70" w:type="dxa"/>
          <w:right w:w="70" w:type="dxa"/>
        </w:tblCellMar>
        <w:tblLook w:val="04A0" w:firstRow="1" w:lastRow="0" w:firstColumn="1" w:lastColumn="0" w:noHBand="0" w:noVBand="1"/>
      </w:tblPr>
      <w:tblGrid>
        <w:gridCol w:w="1435"/>
        <w:gridCol w:w="1180"/>
        <w:gridCol w:w="1180"/>
        <w:gridCol w:w="1180"/>
        <w:gridCol w:w="1180"/>
        <w:gridCol w:w="925"/>
        <w:gridCol w:w="925"/>
        <w:gridCol w:w="923"/>
      </w:tblGrid>
      <w:tr w:rsidR="00B42521" w:rsidRPr="00B42521" w:rsidTr="00C4223B">
        <w:tc>
          <w:tcPr>
            <w:tcW w:w="803" w:type="pct"/>
            <w:tcBorders>
              <w:top w:val="single" w:sz="8" w:space="0" w:color="BFBFBF"/>
              <w:left w:val="nil"/>
              <w:bottom w:val="nil"/>
              <w:right w:val="single" w:sz="8" w:space="0" w:color="BFBFBF"/>
            </w:tcBorders>
            <w:shd w:val="clear" w:color="000000" w:fill="DBE5F1"/>
            <w:vAlign w:val="center"/>
            <w:hideMark/>
          </w:tcPr>
          <w:p w:rsidR="00B42521" w:rsidRPr="00B42521" w:rsidRDefault="00B42521" w:rsidP="00C4223B">
            <w:pPr>
              <w:spacing w:line="240" w:lineRule="exact"/>
              <w:rPr>
                <w:rFonts w:ascii="Calibri" w:eastAsia="Times New Roman" w:hAnsi="Calibri" w:cs="Calibri"/>
                <w:color w:val="000000"/>
                <w:szCs w:val="20"/>
                <w:lang w:eastAsia="es-ES"/>
              </w:rPr>
            </w:pPr>
            <w:r w:rsidRPr="00B42521">
              <w:rPr>
                <w:rFonts w:ascii="Calibri" w:eastAsia="Times New Roman" w:hAnsi="Calibri" w:cs="Calibri"/>
                <w:color w:val="000000"/>
                <w:szCs w:val="20"/>
                <w:lang w:eastAsia="es-ES"/>
              </w:rPr>
              <w:t> </w:t>
            </w:r>
          </w:p>
        </w:tc>
        <w:tc>
          <w:tcPr>
            <w:tcW w:w="2642" w:type="pct"/>
            <w:gridSpan w:val="4"/>
            <w:tcBorders>
              <w:top w:val="single" w:sz="8" w:space="0" w:color="BFBFBF"/>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eastAsia="es-ES"/>
              </w:rPr>
              <w:t>Empleo 2008-2014</w:t>
            </w:r>
          </w:p>
        </w:tc>
        <w:tc>
          <w:tcPr>
            <w:tcW w:w="1554" w:type="pct"/>
            <w:gridSpan w:val="3"/>
            <w:tcBorders>
              <w:top w:val="single" w:sz="8" w:space="0" w:color="BFBFBF"/>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eastAsia="es-ES"/>
              </w:rPr>
              <w:t>Evolución bienal empleo 2008-2014</w:t>
            </w:r>
          </w:p>
        </w:tc>
      </w:tr>
      <w:tr w:rsidR="00B42521" w:rsidRPr="00B42521" w:rsidTr="00C4223B">
        <w:tc>
          <w:tcPr>
            <w:tcW w:w="803"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rPr>
                <w:rFonts w:ascii="Calibri" w:eastAsia="Times New Roman" w:hAnsi="Calibri" w:cs="Calibri"/>
                <w:color w:val="000000"/>
                <w:szCs w:val="20"/>
                <w:lang w:eastAsia="es-ES"/>
              </w:rPr>
            </w:pPr>
            <w:r w:rsidRPr="00B42521">
              <w:rPr>
                <w:rFonts w:ascii="Calibri" w:eastAsia="Times New Roman" w:hAnsi="Calibri" w:cs="Calibri"/>
                <w:color w:val="000000"/>
                <w:szCs w:val="20"/>
                <w:lang w:eastAsia="es-ES"/>
              </w:rPr>
              <w:t> </w:t>
            </w:r>
          </w:p>
        </w:tc>
        <w:tc>
          <w:tcPr>
            <w:tcW w:w="661"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val="pt-BR" w:eastAsia="es-ES"/>
              </w:rPr>
              <w:t>2008</w:t>
            </w:r>
          </w:p>
        </w:tc>
        <w:tc>
          <w:tcPr>
            <w:tcW w:w="661"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val="pt-BR" w:eastAsia="es-ES"/>
              </w:rPr>
              <w:t>2010</w:t>
            </w:r>
          </w:p>
        </w:tc>
        <w:tc>
          <w:tcPr>
            <w:tcW w:w="661"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val="pt-BR" w:eastAsia="es-ES"/>
              </w:rPr>
              <w:t>2012</w:t>
            </w:r>
          </w:p>
        </w:tc>
        <w:tc>
          <w:tcPr>
            <w:tcW w:w="661"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val="pt-BR" w:eastAsia="es-ES"/>
              </w:rPr>
              <w:t>2014</w:t>
            </w:r>
          </w:p>
        </w:tc>
        <w:tc>
          <w:tcPr>
            <w:tcW w:w="518"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val="pt-BR" w:eastAsia="es-ES"/>
              </w:rPr>
              <w:t>∆08-10</w:t>
            </w:r>
          </w:p>
        </w:tc>
        <w:tc>
          <w:tcPr>
            <w:tcW w:w="518"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val="pt-BR" w:eastAsia="es-ES"/>
              </w:rPr>
              <w:t>∆10-12</w:t>
            </w:r>
          </w:p>
        </w:tc>
        <w:tc>
          <w:tcPr>
            <w:tcW w:w="518" w:type="pct"/>
            <w:tcBorders>
              <w:top w:val="nil"/>
              <w:left w:val="nil"/>
              <w:bottom w:val="single" w:sz="8" w:space="0" w:color="BFBFBF"/>
              <w:right w:val="single" w:sz="8" w:space="0" w:color="BFBFBF"/>
            </w:tcBorders>
            <w:shd w:val="clear" w:color="000000" w:fill="DBE5F1"/>
            <w:vAlign w:val="center"/>
            <w:hideMark/>
          </w:tcPr>
          <w:p w:rsidR="00B42521" w:rsidRPr="00B42521" w:rsidRDefault="00B42521" w:rsidP="00C4223B">
            <w:pPr>
              <w:spacing w:line="240" w:lineRule="exact"/>
              <w:jc w:val="center"/>
              <w:rPr>
                <w:rFonts w:eastAsia="Times New Roman" w:cs="Arial"/>
                <w:b/>
                <w:bCs/>
                <w:color w:val="000000"/>
                <w:sz w:val="16"/>
                <w:szCs w:val="16"/>
                <w:lang w:eastAsia="es-ES"/>
              </w:rPr>
            </w:pPr>
            <w:r w:rsidRPr="00B42521">
              <w:rPr>
                <w:rFonts w:eastAsia="Times New Roman" w:cs="Arial"/>
                <w:b/>
                <w:bCs/>
                <w:color w:val="000000"/>
                <w:sz w:val="16"/>
                <w:szCs w:val="16"/>
                <w:lang w:val="pt-BR" w:eastAsia="es-ES"/>
              </w:rPr>
              <w:t>∆12-14</w:t>
            </w:r>
          </w:p>
        </w:tc>
      </w:tr>
      <w:tr w:rsidR="00B42521" w:rsidRPr="00B42521" w:rsidTr="00C4223B">
        <w:tc>
          <w:tcPr>
            <w:tcW w:w="803"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rPr>
                <w:rFonts w:eastAsia="Times New Roman" w:cs="Arial"/>
                <w:color w:val="000000"/>
                <w:sz w:val="16"/>
                <w:szCs w:val="16"/>
                <w:lang w:eastAsia="es-ES"/>
              </w:rPr>
            </w:pPr>
            <w:r w:rsidRPr="00B42521">
              <w:rPr>
                <w:rFonts w:eastAsia="Times New Roman" w:cs="Arial"/>
                <w:color w:val="000000"/>
                <w:sz w:val="16"/>
                <w:szCs w:val="16"/>
                <w:lang w:eastAsia="es-ES"/>
              </w:rPr>
              <w:t>Álava</w:t>
            </w:r>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6.467</w:t>
            </w:r>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6.599</w:t>
            </w:r>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5.846</w:t>
            </w:r>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5.571</w:t>
            </w:r>
          </w:p>
        </w:tc>
        <w:tc>
          <w:tcPr>
            <w:tcW w:w="518"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w:t>
            </w:r>
          </w:p>
        </w:tc>
        <w:tc>
          <w:tcPr>
            <w:tcW w:w="518"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-11,4</w:t>
            </w:r>
          </w:p>
        </w:tc>
        <w:tc>
          <w:tcPr>
            <w:tcW w:w="518"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-4,7</w:t>
            </w:r>
          </w:p>
        </w:tc>
      </w:tr>
      <w:tr w:rsidR="00B42521" w:rsidRPr="00B42521" w:rsidTr="00C4223B">
        <w:tc>
          <w:tcPr>
            <w:tcW w:w="803"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rPr>
                <w:rFonts w:eastAsia="Times New Roman" w:cs="Arial"/>
                <w:color w:val="000000"/>
                <w:sz w:val="16"/>
                <w:szCs w:val="16"/>
                <w:lang w:eastAsia="es-ES"/>
              </w:rPr>
            </w:pPr>
            <w:proofErr w:type="spellStart"/>
            <w:r w:rsidRPr="00B42521">
              <w:rPr>
                <w:rFonts w:eastAsia="Times New Roman" w:cs="Arial"/>
                <w:color w:val="000000"/>
                <w:sz w:val="16"/>
                <w:szCs w:val="16"/>
                <w:lang w:eastAsia="es-ES"/>
              </w:rPr>
              <w:t>Bizkaia</w:t>
            </w:r>
            <w:proofErr w:type="spellEnd"/>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24.454</w:t>
            </w:r>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24.186</w:t>
            </w:r>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21.087</w:t>
            </w:r>
          </w:p>
        </w:tc>
        <w:tc>
          <w:tcPr>
            <w:tcW w:w="661"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21.312</w:t>
            </w:r>
          </w:p>
        </w:tc>
        <w:tc>
          <w:tcPr>
            <w:tcW w:w="518"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-1,1</w:t>
            </w:r>
          </w:p>
        </w:tc>
        <w:tc>
          <w:tcPr>
            <w:tcW w:w="518"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-12,8</w:t>
            </w:r>
          </w:p>
        </w:tc>
        <w:tc>
          <w:tcPr>
            <w:tcW w:w="518" w:type="pct"/>
            <w:tcBorders>
              <w:top w:val="nil"/>
              <w:left w:val="nil"/>
              <w:bottom w:val="nil"/>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1,1</w:t>
            </w:r>
          </w:p>
        </w:tc>
      </w:tr>
      <w:tr w:rsidR="00B42521" w:rsidRPr="00B42521" w:rsidTr="00C4223B">
        <w:tc>
          <w:tcPr>
            <w:tcW w:w="803"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rPr>
                <w:rFonts w:eastAsia="Times New Roman" w:cs="Arial"/>
                <w:color w:val="000000"/>
                <w:sz w:val="16"/>
                <w:szCs w:val="16"/>
                <w:lang w:eastAsia="es-ES"/>
              </w:rPr>
            </w:pPr>
            <w:proofErr w:type="spellStart"/>
            <w:r w:rsidRPr="00B42521">
              <w:rPr>
                <w:rFonts w:eastAsia="Times New Roman" w:cs="Arial"/>
                <w:color w:val="000000"/>
                <w:sz w:val="16"/>
                <w:szCs w:val="16"/>
                <w:lang w:eastAsia="es-ES"/>
              </w:rPr>
              <w:t>Gipuzkoa</w:t>
            </w:r>
            <w:proofErr w:type="spellEnd"/>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31.694</w:t>
            </w:r>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29.130</w:t>
            </w:r>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28.876</w:t>
            </w:r>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27.699</w:t>
            </w:r>
          </w:p>
        </w:tc>
        <w:tc>
          <w:tcPr>
            <w:tcW w:w="518"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-8,1</w:t>
            </w:r>
          </w:p>
        </w:tc>
        <w:tc>
          <w:tcPr>
            <w:tcW w:w="518"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-0,9</w:t>
            </w:r>
          </w:p>
        </w:tc>
        <w:tc>
          <w:tcPr>
            <w:tcW w:w="518"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color w:val="000000"/>
                <w:sz w:val="16"/>
                <w:szCs w:val="16"/>
                <w:lang w:eastAsia="es-ES"/>
              </w:rPr>
            </w:pPr>
            <w:r w:rsidRPr="00B42521">
              <w:rPr>
                <w:rFonts w:eastAsia="Times New Roman" w:cs="Arial"/>
                <w:color w:val="000000"/>
                <w:sz w:val="16"/>
                <w:szCs w:val="16"/>
                <w:lang w:eastAsia="es-ES"/>
              </w:rPr>
              <w:t>-4,1</w:t>
            </w:r>
          </w:p>
        </w:tc>
      </w:tr>
      <w:tr w:rsidR="00B42521" w:rsidRPr="00B42521" w:rsidTr="00C4223B">
        <w:tc>
          <w:tcPr>
            <w:tcW w:w="803"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rPr>
                <w:rFonts w:eastAsia="Times New Roman" w:cs="Arial"/>
                <w:b/>
                <w:bCs/>
                <w:color w:val="000000"/>
                <w:sz w:val="16"/>
                <w:szCs w:val="16"/>
                <w:lang w:eastAsia="es-ES"/>
              </w:rPr>
            </w:pPr>
            <w:r w:rsidRPr="00B42521">
              <w:rPr>
                <w:rFonts w:eastAsia="Times New Roman" w:cs="Arial"/>
                <w:b/>
                <w:bCs/>
                <w:color w:val="000000"/>
                <w:sz w:val="16"/>
                <w:szCs w:val="16"/>
                <w:lang w:val="es-ES_tradnl" w:eastAsia="es-ES"/>
              </w:rPr>
              <w:t>TOTAL</w:t>
            </w:r>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b/>
                <w:bCs/>
                <w:color w:val="000000"/>
                <w:sz w:val="16"/>
                <w:szCs w:val="16"/>
                <w:lang w:eastAsia="es-ES"/>
              </w:rPr>
            </w:pPr>
            <w:r w:rsidRPr="00B42521">
              <w:rPr>
                <w:rFonts w:eastAsia="Times New Roman" w:cs="Arial"/>
                <w:b/>
                <w:bCs/>
                <w:color w:val="000000"/>
                <w:sz w:val="16"/>
                <w:szCs w:val="16"/>
                <w:lang w:eastAsia="es-ES"/>
              </w:rPr>
              <w:t>62.615</w:t>
            </w:r>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b/>
                <w:bCs/>
                <w:color w:val="000000"/>
                <w:sz w:val="16"/>
                <w:szCs w:val="16"/>
                <w:lang w:eastAsia="es-ES"/>
              </w:rPr>
            </w:pPr>
            <w:r w:rsidRPr="00B42521">
              <w:rPr>
                <w:rFonts w:eastAsia="Times New Roman" w:cs="Arial"/>
                <w:b/>
                <w:bCs/>
                <w:color w:val="000000"/>
                <w:sz w:val="16"/>
                <w:szCs w:val="16"/>
                <w:lang w:eastAsia="es-ES"/>
              </w:rPr>
              <w:t>59.915</w:t>
            </w:r>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b/>
                <w:bCs/>
                <w:color w:val="000000"/>
                <w:sz w:val="16"/>
                <w:szCs w:val="16"/>
                <w:lang w:eastAsia="es-ES"/>
              </w:rPr>
            </w:pPr>
            <w:r w:rsidRPr="00B42521">
              <w:rPr>
                <w:rFonts w:eastAsia="Times New Roman" w:cs="Arial"/>
                <w:b/>
                <w:bCs/>
                <w:color w:val="000000"/>
                <w:sz w:val="16"/>
                <w:szCs w:val="16"/>
                <w:lang w:eastAsia="es-ES"/>
              </w:rPr>
              <w:t>55.809</w:t>
            </w:r>
          </w:p>
        </w:tc>
        <w:tc>
          <w:tcPr>
            <w:tcW w:w="661"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b/>
                <w:bCs/>
                <w:color w:val="000000"/>
                <w:sz w:val="16"/>
                <w:szCs w:val="16"/>
                <w:lang w:eastAsia="es-ES"/>
              </w:rPr>
            </w:pPr>
            <w:r w:rsidRPr="00B42521">
              <w:rPr>
                <w:rFonts w:eastAsia="Times New Roman" w:cs="Arial"/>
                <w:b/>
                <w:bCs/>
                <w:color w:val="000000"/>
                <w:sz w:val="16"/>
                <w:szCs w:val="16"/>
                <w:lang w:eastAsia="es-ES"/>
              </w:rPr>
              <w:t>54.582</w:t>
            </w:r>
          </w:p>
        </w:tc>
        <w:tc>
          <w:tcPr>
            <w:tcW w:w="518"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b/>
                <w:bCs/>
                <w:color w:val="000000"/>
                <w:sz w:val="16"/>
                <w:szCs w:val="16"/>
                <w:lang w:eastAsia="es-ES"/>
              </w:rPr>
            </w:pPr>
            <w:r w:rsidRPr="00B42521">
              <w:rPr>
                <w:rFonts w:eastAsia="Times New Roman" w:cs="Arial"/>
                <w:b/>
                <w:bCs/>
                <w:color w:val="000000"/>
                <w:sz w:val="16"/>
                <w:szCs w:val="16"/>
                <w:lang w:eastAsia="es-ES"/>
              </w:rPr>
              <w:t>-4,3</w:t>
            </w:r>
          </w:p>
        </w:tc>
        <w:tc>
          <w:tcPr>
            <w:tcW w:w="518"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b/>
                <w:bCs/>
                <w:color w:val="000000"/>
                <w:sz w:val="16"/>
                <w:szCs w:val="16"/>
                <w:lang w:eastAsia="es-ES"/>
              </w:rPr>
            </w:pPr>
            <w:r w:rsidRPr="00B42521">
              <w:rPr>
                <w:rFonts w:eastAsia="Times New Roman" w:cs="Arial"/>
                <w:b/>
                <w:bCs/>
                <w:color w:val="000000"/>
                <w:sz w:val="16"/>
                <w:szCs w:val="16"/>
                <w:lang w:eastAsia="es-ES"/>
              </w:rPr>
              <w:t>-6,9</w:t>
            </w:r>
          </w:p>
        </w:tc>
        <w:tc>
          <w:tcPr>
            <w:tcW w:w="518" w:type="pct"/>
            <w:tcBorders>
              <w:top w:val="nil"/>
              <w:left w:val="nil"/>
              <w:bottom w:val="single" w:sz="8" w:space="0" w:color="BFBFBF"/>
              <w:right w:val="single" w:sz="8" w:space="0" w:color="BFBFBF"/>
            </w:tcBorders>
            <w:shd w:val="clear" w:color="auto" w:fill="auto"/>
            <w:vAlign w:val="center"/>
            <w:hideMark/>
          </w:tcPr>
          <w:p w:rsidR="00B42521" w:rsidRPr="00B42521" w:rsidRDefault="00B42521" w:rsidP="00C4223B">
            <w:pPr>
              <w:spacing w:line="240" w:lineRule="exact"/>
              <w:jc w:val="right"/>
              <w:rPr>
                <w:rFonts w:eastAsia="Times New Roman" w:cs="Arial"/>
                <w:b/>
                <w:bCs/>
                <w:color w:val="000000"/>
                <w:sz w:val="16"/>
                <w:szCs w:val="16"/>
                <w:lang w:eastAsia="es-ES"/>
              </w:rPr>
            </w:pPr>
            <w:r w:rsidRPr="00B42521">
              <w:rPr>
                <w:rFonts w:eastAsia="Times New Roman" w:cs="Arial"/>
                <w:b/>
                <w:bCs/>
                <w:color w:val="000000"/>
                <w:sz w:val="16"/>
                <w:szCs w:val="16"/>
                <w:lang w:eastAsia="es-ES"/>
              </w:rPr>
              <w:t>-2,2</w:t>
            </w:r>
          </w:p>
        </w:tc>
      </w:tr>
    </w:tbl>
    <w:p w:rsidR="00B42521" w:rsidRDefault="00B42521" w:rsidP="00A40BF0">
      <w:pPr>
        <w:rPr>
          <w:rFonts w:eastAsia="Times New Roman" w:cs="Arial"/>
          <w:color w:val="000000" w:themeColor="text1"/>
          <w:szCs w:val="20"/>
          <w:lang w:val="es-ES_tradnl" w:eastAsia="es-ES"/>
        </w:rPr>
      </w:pPr>
    </w:p>
    <w:p w:rsidR="00B42521" w:rsidRDefault="00B42521" w:rsidP="00B42521">
      <w:pPr>
        <w:pStyle w:val="Prrafodelista"/>
        <w:spacing w:line="360" w:lineRule="auto"/>
        <w:ind w:left="0"/>
        <w:rPr>
          <w:rFonts w:ascii="Arial" w:eastAsia="Times New Roman" w:hAnsi="Arial" w:cs="Arial"/>
          <w:szCs w:val="20"/>
          <w:lang w:val="es-ES_tradnl" w:eastAsia="es-ES"/>
        </w:rPr>
      </w:pPr>
      <w:r w:rsidRPr="00470106">
        <w:rPr>
          <w:rFonts w:ascii="Arial" w:eastAsia="Times New Roman" w:hAnsi="Arial" w:cs="Arial"/>
          <w:szCs w:val="20"/>
          <w:lang w:val="es-ES_tradnl" w:eastAsia="es-ES"/>
        </w:rPr>
        <w:t xml:space="preserve">La evolución más positiva es la de </w:t>
      </w:r>
      <w:proofErr w:type="spellStart"/>
      <w:r w:rsidRPr="00470106">
        <w:rPr>
          <w:rFonts w:ascii="Arial" w:eastAsia="Times New Roman" w:hAnsi="Arial" w:cs="Arial"/>
          <w:szCs w:val="20"/>
          <w:lang w:val="es-ES_tradnl" w:eastAsia="es-ES"/>
        </w:rPr>
        <w:t>Bizkaia</w:t>
      </w:r>
      <w:proofErr w:type="spellEnd"/>
      <w:r w:rsidRPr="00470106">
        <w:rPr>
          <w:rFonts w:ascii="Arial" w:eastAsia="Times New Roman" w:hAnsi="Arial" w:cs="Arial"/>
          <w:szCs w:val="20"/>
          <w:lang w:val="es-ES_tradnl" w:eastAsia="es-ES"/>
        </w:rPr>
        <w:t xml:space="preserve">. A pesar de constituir el territorio con menor crecimiento en el número de establecimientos (+0,6%), es el único que logra ganar posiciones en términos de empleo (+1,1%). </w:t>
      </w:r>
      <w:proofErr w:type="spellStart"/>
      <w:r w:rsidRPr="00470106">
        <w:rPr>
          <w:rFonts w:ascii="Arial" w:eastAsia="Times New Roman" w:hAnsi="Arial" w:cs="Arial"/>
          <w:szCs w:val="20"/>
          <w:lang w:val="es-ES_tradnl" w:eastAsia="es-ES"/>
        </w:rPr>
        <w:t>Bizkaia</w:t>
      </w:r>
      <w:proofErr w:type="spellEnd"/>
      <w:r w:rsidRPr="00470106">
        <w:rPr>
          <w:rFonts w:ascii="Arial" w:eastAsia="Times New Roman" w:hAnsi="Arial" w:cs="Arial"/>
          <w:szCs w:val="20"/>
          <w:lang w:val="es-ES_tradnl" w:eastAsia="es-ES"/>
        </w:rPr>
        <w:t xml:space="preserve"> incrementa en 0,2 puntos porcentuales la proporción de empleo de Economía Social en la población ocupada territorial (de 4,5% al 4,7%) y en 1,2 puntos su participación en el empleo generado en el marco de la Economía Social (de 37,8% a 39,0%).</w:t>
      </w:r>
    </w:p>
    <w:p w:rsidR="00B42521" w:rsidRPr="002659E9" w:rsidRDefault="00B42521" w:rsidP="002659E9">
      <w:pPr>
        <w:spacing w:line="240" w:lineRule="auto"/>
        <w:rPr>
          <w:sz w:val="2"/>
          <w:szCs w:val="2"/>
          <w:lang w:val="es-ES_tradnl" w:eastAsia="es-ES"/>
        </w:rPr>
      </w:pPr>
    </w:p>
    <w:p w:rsidR="006D530C" w:rsidRDefault="00880569" w:rsidP="00A40BF0">
      <w:pPr>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 xml:space="preserve">Un dato relevante es la </w:t>
      </w:r>
      <w:r w:rsidR="00A40BF0">
        <w:rPr>
          <w:rFonts w:eastAsia="Times New Roman" w:cs="Arial"/>
          <w:color w:val="000000" w:themeColor="text1"/>
          <w:szCs w:val="20"/>
          <w:lang w:val="es-ES_tradnl" w:eastAsia="es-ES"/>
        </w:rPr>
        <w:t xml:space="preserve">especialización industrial </w:t>
      </w:r>
      <w:r>
        <w:rPr>
          <w:rFonts w:eastAsia="Times New Roman" w:cs="Arial"/>
          <w:color w:val="000000" w:themeColor="text1"/>
          <w:szCs w:val="20"/>
          <w:lang w:val="es-ES_tradnl" w:eastAsia="es-ES"/>
        </w:rPr>
        <w:t xml:space="preserve">de </w:t>
      </w:r>
      <w:proofErr w:type="spellStart"/>
      <w:r>
        <w:rPr>
          <w:rFonts w:eastAsia="Times New Roman" w:cs="Arial"/>
          <w:color w:val="000000" w:themeColor="text1"/>
          <w:szCs w:val="20"/>
          <w:lang w:val="es-ES_tradnl" w:eastAsia="es-ES"/>
        </w:rPr>
        <w:t>Gipuzkoa</w:t>
      </w:r>
      <w:proofErr w:type="spellEnd"/>
      <w:r>
        <w:rPr>
          <w:rFonts w:eastAsia="Times New Roman" w:cs="Arial"/>
          <w:color w:val="000000" w:themeColor="text1"/>
          <w:szCs w:val="20"/>
          <w:lang w:val="es-ES_tradnl" w:eastAsia="es-ES"/>
        </w:rPr>
        <w:t xml:space="preserve">. Este elemento </w:t>
      </w:r>
      <w:r w:rsidR="00A40BF0">
        <w:rPr>
          <w:rFonts w:eastAsia="Times New Roman" w:cs="Arial"/>
          <w:color w:val="000000" w:themeColor="text1"/>
          <w:szCs w:val="20"/>
          <w:lang w:val="es-ES_tradnl" w:eastAsia="es-ES"/>
        </w:rPr>
        <w:t xml:space="preserve">se pone </w:t>
      </w:r>
      <w:r w:rsidR="00CD5FBF">
        <w:rPr>
          <w:rFonts w:eastAsia="Times New Roman" w:cs="Arial"/>
          <w:color w:val="000000" w:themeColor="text1"/>
          <w:szCs w:val="20"/>
          <w:lang w:val="es-ES_tradnl" w:eastAsia="es-ES"/>
        </w:rPr>
        <w:t xml:space="preserve">de manifiesto a través del peso que ostenta </w:t>
      </w:r>
      <w:r>
        <w:rPr>
          <w:rFonts w:eastAsia="Times New Roman" w:cs="Arial"/>
          <w:color w:val="000000" w:themeColor="text1"/>
          <w:szCs w:val="20"/>
          <w:lang w:val="es-ES_tradnl" w:eastAsia="es-ES"/>
        </w:rPr>
        <w:t>la Economía Social</w:t>
      </w:r>
      <w:r w:rsidR="00CD5FBF">
        <w:rPr>
          <w:rFonts w:eastAsia="Times New Roman" w:cs="Arial"/>
          <w:color w:val="000000" w:themeColor="text1"/>
          <w:szCs w:val="20"/>
          <w:lang w:val="es-ES_tradnl" w:eastAsia="es-ES"/>
        </w:rPr>
        <w:t xml:space="preserve"> </w:t>
      </w:r>
      <w:r>
        <w:rPr>
          <w:rFonts w:eastAsia="Times New Roman" w:cs="Arial"/>
          <w:color w:val="000000" w:themeColor="text1"/>
          <w:szCs w:val="20"/>
          <w:lang w:val="es-ES_tradnl" w:eastAsia="es-ES"/>
        </w:rPr>
        <w:t xml:space="preserve">en </w:t>
      </w:r>
      <w:r w:rsidR="00CD5FBF">
        <w:rPr>
          <w:rFonts w:eastAsia="Times New Roman" w:cs="Arial"/>
          <w:color w:val="000000" w:themeColor="text1"/>
          <w:szCs w:val="20"/>
          <w:lang w:val="es-ES_tradnl" w:eastAsia="es-ES"/>
        </w:rPr>
        <w:t xml:space="preserve">la ocupación industrial </w:t>
      </w:r>
      <w:r w:rsidR="00D556A3">
        <w:rPr>
          <w:rFonts w:eastAsia="Times New Roman" w:cs="Arial"/>
          <w:color w:val="000000" w:themeColor="text1"/>
          <w:szCs w:val="20"/>
          <w:lang w:val="es-ES_tradnl" w:eastAsia="es-ES"/>
        </w:rPr>
        <w:t>territorial</w:t>
      </w:r>
      <w:r>
        <w:rPr>
          <w:rFonts w:eastAsia="Times New Roman" w:cs="Arial"/>
          <w:color w:val="000000" w:themeColor="text1"/>
          <w:szCs w:val="20"/>
          <w:lang w:val="es-ES_tradnl" w:eastAsia="es-ES"/>
        </w:rPr>
        <w:t xml:space="preserve">. De esta forma, </w:t>
      </w:r>
      <w:r w:rsidR="006D530C">
        <w:rPr>
          <w:rFonts w:eastAsia="Times New Roman" w:cs="Arial"/>
          <w:color w:val="000000" w:themeColor="text1"/>
          <w:szCs w:val="20"/>
          <w:lang w:val="es-ES_tradnl" w:eastAsia="es-ES"/>
        </w:rPr>
        <w:t xml:space="preserve">apoyado en </w:t>
      </w:r>
      <w:r>
        <w:rPr>
          <w:rFonts w:eastAsia="Times New Roman" w:cs="Arial"/>
          <w:color w:val="000000" w:themeColor="text1"/>
          <w:szCs w:val="20"/>
          <w:lang w:val="es-ES_tradnl" w:eastAsia="es-ES"/>
        </w:rPr>
        <w:t xml:space="preserve">sus </w:t>
      </w:r>
      <w:r w:rsidR="006D530C">
        <w:rPr>
          <w:rFonts w:eastAsia="Times New Roman" w:cs="Arial"/>
          <w:color w:val="000000" w:themeColor="text1"/>
          <w:szCs w:val="20"/>
          <w:lang w:val="es-ES_tradnl" w:eastAsia="es-ES"/>
        </w:rPr>
        <w:t>14.938 empleos industriales, se constata que</w:t>
      </w:r>
      <w:r w:rsidR="002475AE">
        <w:rPr>
          <w:rFonts w:eastAsia="Times New Roman" w:cs="Arial"/>
          <w:color w:val="000000" w:themeColor="text1"/>
          <w:szCs w:val="20"/>
          <w:lang w:val="es-ES_tradnl" w:eastAsia="es-ES"/>
        </w:rPr>
        <w:t xml:space="preserve"> uno</w:t>
      </w:r>
      <w:r w:rsidR="00A40BF0">
        <w:rPr>
          <w:rFonts w:eastAsia="Times New Roman" w:cs="Arial"/>
          <w:color w:val="000000" w:themeColor="text1"/>
          <w:szCs w:val="20"/>
          <w:lang w:val="es-ES_tradnl" w:eastAsia="es-ES"/>
        </w:rPr>
        <w:t xml:space="preserve"> de cada </w:t>
      </w:r>
      <w:r w:rsidR="002475AE">
        <w:rPr>
          <w:rFonts w:eastAsia="Times New Roman" w:cs="Arial"/>
          <w:color w:val="000000" w:themeColor="text1"/>
          <w:szCs w:val="20"/>
          <w:lang w:val="es-ES_tradnl" w:eastAsia="es-ES"/>
        </w:rPr>
        <w:t>cinco</w:t>
      </w:r>
      <w:r w:rsidR="00A40BF0">
        <w:rPr>
          <w:rFonts w:eastAsia="Times New Roman" w:cs="Arial"/>
          <w:color w:val="000000" w:themeColor="text1"/>
          <w:szCs w:val="20"/>
          <w:lang w:val="es-ES_tradnl" w:eastAsia="es-ES"/>
        </w:rPr>
        <w:t xml:space="preserve"> empleos industriales en </w:t>
      </w:r>
      <w:proofErr w:type="spellStart"/>
      <w:r w:rsidR="00A40BF0">
        <w:rPr>
          <w:rFonts w:eastAsia="Times New Roman" w:cs="Arial"/>
          <w:color w:val="000000" w:themeColor="text1"/>
          <w:szCs w:val="20"/>
          <w:lang w:val="es-ES_tradnl" w:eastAsia="es-ES"/>
        </w:rPr>
        <w:t>Gipuzkoa</w:t>
      </w:r>
      <w:proofErr w:type="spellEnd"/>
      <w:r w:rsidR="00A40BF0">
        <w:rPr>
          <w:rFonts w:eastAsia="Times New Roman" w:cs="Arial"/>
          <w:color w:val="000000" w:themeColor="text1"/>
          <w:szCs w:val="20"/>
          <w:lang w:val="es-ES_tradnl" w:eastAsia="es-ES"/>
        </w:rPr>
        <w:t xml:space="preserve"> se </w:t>
      </w:r>
      <w:r w:rsidR="006D530C">
        <w:rPr>
          <w:rFonts w:eastAsia="Times New Roman" w:cs="Arial"/>
          <w:color w:val="000000" w:themeColor="text1"/>
          <w:szCs w:val="20"/>
          <w:lang w:val="es-ES_tradnl" w:eastAsia="es-ES"/>
        </w:rPr>
        <w:t xml:space="preserve">vincula de forma directa a la </w:t>
      </w:r>
      <w:r w:rsidR="00A40BF0">
        <w:rPr>
          <w:rFonts w:eastAsia="Times New Roman" w:cs="Arial"/>
          <w:color w:val="000000" w:themeColor="text1"/>
          <w:szCs w:val="20"/>
          <w:lang w:val="es-ES_tradnl" w:eastAsia="es-ES"/>
        </w:rPr>
        <w:t>Economía So</w:t>
      </w:r>
      <w:r w:rsidR="006D530C">
        <w:rPr>
          <w:rFonts w:eastAsia="Times New Roman" w:cs="Arial"/>
          <w:color w:val="000000" w:themeColor="text1"/>
          <w:szCs w:val="20"/>
          <w:lang w:val="es-ES_tradnl" w:eastAsia="es-ES"/>
        </w:rPr>
        <w:t>cial</w:t>
      </w:r>
      <w:r>
        <w:rPr>
          <w:rFonts w:eastAsia="Times New Roman" w:cs="Arial"/>
          <w:color w:val="000000" w:themeColor="text1"/>
          <w:szCs w:val="20"/>
          <w:lang w:val="es-ES_tradnl" w:eastAsia="es-ES"/>
        </w:rPr>
        <w:t xml:space="preserve"> (un 20,6%</w:t>
      </w:r>
      <w:r w:rsidR="002475AE">
        <w:rPr>
          <w:rFonts w:eastAsia="Times New Roman" w:cs="Arial"/>
          <w:color w:val="000000" w:themeColor="text1"/>
          <w:szCs w:val="20"/>
          <w:lang w:val="es-ES_tradnl" w:eastAsia="es-ES"/>
        </w:rPr>
        <w:t xml:space="preserve"> por 8% en </w:t>
      </w:r>
      <w:proofErr w:type="spellStart"/>
      <w:r w:rsidR="002475AE">
        <w:rPr>
          <w:rFonts w:eastAsia="Times New Roman" w:cs="Arial"/>
          <w:color w:val="000000" w:themeColor="text1"/>
          <w:szCs w:val="20"/>
          <w:lang w:val="es-ES_tradnl" w:eastAsia="es-ES"/>
        </w:rPr>
        <w:t>Bizkaia</w:t>
      </w:r>
      <w:proofErr w:type="spellEnd"/>
      <w:r w:rsidR="002475AE">
        <w:rPr>
          <w:rFonts w:eastAsia="Times New Roman" w:cs="Arial"/>
          <w:color w:val="000000" w:themeColor="text1"/>
          <w:szCs w:val="20"/>
          <w:lang w:val="es-ES_tradnl" w:eastAsia="es-ES"/>
        </w:rPr>
        <w:t xml:space="preserve"> y apenas un 5% en Álava</w:t>
      </w:r>
      <w:r>
        <w:rPr>
          <w:rFonts w:eastAsia="Times New Roman" w:cs="Arial"/>
          <w:color w:val="000000" w:themeColor="text1"/>
          <w:szCs w:val="20"/>
          <w:lang w:val="es-ES_tradnl" w:eastAsia="es-ES"/>
        </w:rPr>
        <w:t>). E</w:t>
      </w:r>
      <w:r w:rsidR="006D530C">
        <w:rPr>
          <w:rFonts w:eastAsia="Times New Roman" w:cs="Arial"/>
          <w:color w:val="000000" w:themeColor="text1"/>
          <w:szCs w:val="20"/>
          <w:lang w:val="es-ES_tradnl" w:eastAsia="es-ES"/>
        </w:rPr>
        <w:t>sta especialización se asocia en buena medida al ámbito c</w:t>
      </w:r>
      <w:r w:rsidR="0046671F">
        <w:rPr>
          <w:rFonts w:eastAsia="Times New Roman" w:cs="Arial"/>
          <w:color w:val="000000" w:themeColor="text1"/>
          <w:szCs w:val="20"/>
          <w:lang w:val="es-ES_tradnl" w:eastAsia="es-ES"/>
        </w:rPr>
        <w:t xml:space="preserve">ooperativo, donde se concentra </w:t>
      </w:r>
      <w:r w:rsidR="006D530C">
        <w:rPr>
          <w:rFonts w:eastAsia="Times New Roman" w:cs="Arial"/>
          <w:color w:val="000000" w:themeColor="text1"/>
          <w:szCs w:val="20"/>
          <w:lang w:val="es-ES_tradnl" w:eastAsia="es-ES"/>
        </w:rPr>
        <w:t xml:space="preserve">el 83,3% del empleo industrial </w:t>
      </w:r>
      <w:r>
        <w:rPr>
          <w:rFonts w:eastAsia="Times New Roman" w:cs="Arial"/>
          <w:color w:val="000000" w:themeColor="text1"/>
          <w:szCs w:val="20"/>
          <w:lang w:val="es-ES_tradnl" w:eastAsia="es-ES"/>
        </w:rPr>
        <w:t>de las FCES</w:t>
      </w:r>
      <w:r w:rsidR="006D530C">
        <w:rPr>
          <w:rFonts w:eastAsia="Times New Roman" w:cs="Arial"/>
          <w:color w:val="000000" w:themeColor="text1"/>
          <w:szCs w:val="20"/>
          <w:lang w:val="es-ES_tradnl" w:eastAsia="es-ES"/>
        </w:rPr>
        <w:t>.</w:t>
      </w:r>
    </w:p>
    <w:p w:rsidR="002475AE" w:rsidRDefault="002475AE" w:rsidP="00A40BF0">
      <w:pPr>
        <w:rPr>
          <w:rFonts w:eastAsia="Times New Roman" w:cs="Arial"/>
          <w:color w:val="000000" w:themeColor="text1"/>
          <w:szCs w:val="20"/>
          <w:lang w:val="es-ES_tradnl" w:eastAsia="es-ES"/>
        </w:rPr>
      </w:pPr>
    </w:p>
    <w:p w:rsidR="00A40BF0" w:rsidRPr="004C6E73" w:rsidRDefault="00A40BF0" w:rsidP="00A40BF0">
      <w:pPr>
        <w:spacing w:line="240" w:lineRule="auto"/>
        <w:ind w:left="227" w:hanging="227"/>
        <w:jc w:val="center"/>
        <w:rPr>
          <w:rFonts w:cs="Arial"/>
          <w:b/>
          <w:color w:val="1F497D" w:themeColor="text2"/>
          <w:sz w:val="18"/>
          <w:szCs w:val="18"/>
        </w:rPr>
      </w:pPr>
      <w:r w:rsidRPr="004C6E73">
        <w:rPr>
          <w:rFonts w:cs="Arial"/>
          <w:b/>
          <w:color w:val="1F497D" w:themeColor="text2"/>
          <w:sz w:val="18"/>
          <w:szCs w:val="18"/>
        </w:rPr>
        <w:t xml:space="preserve">IMPORTANCIA RELATIVA DE LA ECONOMÍA SOCIAL POR SECTOR EN LA ECONOMÍA DE LA CAE </w:t>
      </w:r>
    </w:p>
    <w:p w:rsidR="00A40BF0" w:rsidRDefault="00A40BF0" w:rsidP="00A40BF0">
      <w:pPr>
        <w:spacing w:line="240" w:lineRule="auto"/>
        <w:ind w:left="227" w:hanging="227"/>
        <w:jc w:val="center"/>
        <w:rPr>
          <w:rFonts w:cs="Arial"/>
          <w:b/>
          <w:color w:val="1F497D" w:themeColor="text2"/>
          <w:sz w:val="18"/>
          <w:szCs w:val="18"/>
        </w:rPr>
      </w:pPr>
      <w:r w:rsidRPr="004C6E73">
        <w:rPr>
          <w:rFonts w:cs="Arial"/>
          <w:b/>
          <w:color w:val="1F497D" w:themeColor="text2"/>
          <w:sz w:val="18"/>
          <w:szCs w:val="18"/>
        </w:rPr>
        <w:t>(Peso relativo del empleo por Territorio Histórico)</w:t>
      </w:r>
      <w:r>
        <w:rPr>
          <w:rFonts w:cs="Arial"/>
          <w:b/>
          <w:color w:val="1F497D" w:themeColor="text2"/>
          <w:sz w:val="18"/>
          <w:szCs w:val="18"/>
        </w:rPr>
        <w:t xml:space="preserve"> </w:t>
      </w:r>
    </w:p>
    <w:p w:rsidR="00A40BF0" w:rsidRDefault="00A40BF0" w:rsidP="00A40BF0">
      <w:pPr>
        <w:ind w:left="227" w:hanging="227"/>
        <w:jc w:val="center"/>
        <w:rPr>
          <w:rFonts w:cs="Arial"/>
          <w:b/>
          <w:color w:val="1F497D" w:themeColor="text2"/>
          <w:sz w:val="18"/>
          <w:szCs w:val="18"/>
        </w:rPr>
      </w:pPr>
      <w:r>
        <w:rPr>
          <w:rFonts w:cs="Arial"/>
          <w:b/>
          <w:noProof/>
          <w:color w:val="1F497D" w:themeColor="text2"/>
          <w:sz w:val="18"/>
          <w:szCs w:val="18"/>
          <w:lang w:eastAsia="es-ES"/>
        </w:rPr>
        <w:drawing>
          <wp:anchor distT="0" distB="0" distL="114300" distR="114300" simplePos="0" relativeHeight="251812864" behindDoc="0" locked="0" layoutInCell="1" allowOverlap="1">
            <wp:simplePos x="0" y="0"/>
            <wp:positionH relativeFrom="column">
              <wp:posOffset>2787015</wp:posOffset>
            </wp:positionH>
            <wp:positionV relativeFrom="paragraph">
              <wp:posOffset>29845</wp:posOffset>
            </wp:positionV>
            <wp:extent cx="2876550" cy="1771650"/>
            <wp:effectExtent l="19050" t="0" r="0" b="0"/>
            <wp:wrapNone/>
            <wp:docPr id="27" name="Objeto 4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cs="Arial"/>
          <w:b/>
          <w:noProof/>
          <w:color w:val="1F497D" w:themeColor="text2"/>
          <w:sz w:val="18"/>
          <w:szCs w:val="18"/>
          <w:lang w:eastAsia="es-ES"/>
        </w:rPr>
        <w:drawing>
          <wp:anchor distT="0" distB="0" distL="114300" distR="114300" simplePos="0" relativeHeight="251813888" behindDoc="0" locked="0" layoutInCell="1" allowOverlap="1">
            <wp:simplePos x="0" y="0"/>
            <wp:positionH relativeFrom="column">
              <wp:posOffset>-384810</wp:posOffset>
            </wp:positionH>
            <wp:positionV relativeFrom="paragraph">
              <wp:posOffset>134620</wp:posOffset>
            </wp:positionV>
            <wp:extent cx="2880000" cy="1669693"/>
            <wp:effectExtent l="0" t="0" r="0" b="0"/>
            <wp:wrapNone/>
            <wp:docPr id="29" name="Objeto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40BF0" w:rsidRPr="000F53D2" w:rsidRDefault="00A40BF0" w:rsidP="00A40BF0">
      <w:pPr>
        <w:ind w:left="227" w:hanging="227"/>
        <w:jc w:val="center"/>
        <w:rPr>
          <w:rFonts w:cs="Arial"/>
          <w:b/>
          <w:sz w:val="18"/>
          <w:szCs w:val="18"/>
        </w:rPr>
      </w:pPr>
    </w:p>
    <w:p w:rsidR="00A40BF0" w:rsidRPr="000F53D2" w:rsidRDefault="00A40BF0" w:rsidP="00A40BF0">
      <w:pPr>
        <w:ind w:left="227" w:hanging="227"/>
        <w:jc w:val="center"/>
        <w:rPr>
          <w:rFonts w:cs="Arial"/>
          <w:b/>
          <w:sz w:val="18"/>
          <w:szCs w:val="18"/>
        </w:rPr>
      </w:pPr>
    </w:p>
    <w:p w:rsidR="00A40BF0" w:rsidRPr="000F53D2" w:rsidRDefault="00A40BF0" w:rsidP="00A40BF0">
      <w:pPr>
        <w:ind w:left="227" w:hanging="227"/>
        <w:jc w:val="center"/>
        <w:rPr>
          <w:rFonts w:cs="Arial"/>
          <w:sz w:val="24"/>
          <w:szCs w:val="24"/>
        </w:rPr>
      </w:pPr>
    </w:p>
    <w:p w:rsidR="00A40BF0" w:rsidRPr="000F53D2" w:rsidRDefault="00A40BF0" w:rsidP="00A40BF0">
      <w:pPr>
        <w:ind w:left="227" w:hanging="227"/>
        <w:jc w:val="center"/>
        <w:rPr>
          <w:rFonts w:cs="Arial"/>
          <w:sz w:val="24"/>
          <w:szCs w:val="24"/>
        </w:rPr>
      </w:pPr>
    </w:p>
    <w:p w:rsidR="00A40BF0" w:rsidRPr="000F53D2" w:rsidRDefault="00A40BF0" w:rsidP="00A40BF0">
      <w:pPr>
        <w:ind w:left="227" w:hanging="227"/>
        <w:jc w:val="center"/>
        <w:rPr>
          <w:rFonts w:cs="Arial"/>
          <w:sz w:val="24"/>
          <w:szCs w:val="24"/>
        </w:rPr>
      </w:pPr>
    </w:p>
    <w:p w:rsidR="00A40BF0" w:rsidRPr="000F53D2" w:rsidRDefault="00A40BF0" w:rsidP="00A40BF0">
      <w:pPr>
        <w:ind w:left="227" w:hanging="227"/>
        <w:jc w:val="center"/>
        <w:rPr>
          <w:rFonts w:cs="Arial"/>
          <w:sz w:val="24"/>
          <w:szCs w:val="24"/>
        </w:rPr>
      </w:pPr>
    </w:p>
    <w:p w:rsidR="00A40BF0" w:rsidRDefault="00A40BF0" w:rsidP="00A40BF0">
      <w:pPr>
        <w:ind w:left="227" w:hanging="227"/>
        <w:jc w:val="center"/>
        <w:rPr>
          <w:rFonts w:cs="Arial"/>
          <w:sz w:val="24"/>
          <w:szCs w:val="24"/>
        </w:rPr>
      </w:pPr>
    </w:p>
    <w:p w:rsidR="00A40BF0" w:rsidRPr="000F53D2" w:rsidRDefault="00A40BF0" w:rsidP="00A40BF0">
      <w:pPr>
        <w:ind w:left="227" w:hanging="227"/>
        <w:jc w:val="center"/>
        <w:rPr>
          <w:rFonts w:cs="Arial"/>
          <w:sz w:val="24"/>
          <w:szCs w:val="24"/>
        </w:rPr>
      </w:pPr>
      <w:r w:rsidRPr="000F53D2">
        <w:rPr>
          <w:rFonts w:cs="Arial"/>
          <w:noProof/>
          <w:sz w:val="24"/>
          <w:szCs w:val="24"/>
          <w:lang w:eastAsia="es-ES"/>
        </w:rPr>
        <w:drawing>
          <wp:anchor distT="0" distB="0" distL="114300" distR="114300" simplePos="0" relativeHeight="251815936" behindDoc="0" locked="0" layoutInCell="1" allowOverlap="1">
            <wp:simplePos x="0" y="0"/>
            <wp:positionH relativeFrom="column">
              <wp:posOffset>2787015</wp:posOffset>
            </wp:positionH>
            <wp:positionV relativeFrom="paragraph">
              <wp:posOffset>153035</wp:posOffset>
            </wp:positionV>
            <wp:extent cx="2876550" cy="1666875"/>
            <wp:effectExtent l="19050" t="0" r="0" b="0"/>
            <wp:wrapNone/>
            <wp:docPr id="30" name="Objeto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0F53D2">
        <w:rPr>
          <w:rFonts w:cs="Arial"/>
          <w:noProof/>
          <w:sz w:val="24"/>
          <w:szCs w:val="24"/>
          <w:lang w:eastAsia="es-ES"/>
        </w:rPr>
        <w:drawing>
          <wp:anchor distT="0" distB="0" distL="114300" distR="114300" simplePos="0" relativeHeight="251814912" behindDoc="0" locked="0" layoutInCell="1" allowOverlap="1">
            <wp:simplePos x="0" y="0"/>
            <wp:positionH relativeFrom="column">
              <wp:posOffset>-308610</wp:posOffset>
            </wp:positionH>
            <wp:positionV relativeFrom="paragraph">
              <wp:posOffset>153035</wp:posOffset>
            </wp:positionV>
            <wp:extent cx="2876550" cy="1666875"/>
            <wp:effectExtent l="0" t="0" r="0" b="0"/>
            <wp:wrapNone/>
            <wp:docPr id="32" name="Objeto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40BF0" w:rsidRPr="000F53D2" w:rsidRDefault="00A40BF0" w:rsidP="00A40BF0">
      <w:pPr>
        <w:ind w:left="227" w:hanging="227"/>
        <w:jc w:val="center"/>
        <w:rPr>
          <w:rFonts w:cs="Arial"/>
          <w:sz w:val="24"/>
          <w:szCs w:val="24"/>
        </w:rPr>
      </w:pPr>
    </w:p>
    <w:p w:rsidR="00A40BF0" w:rsidRPr="000F53D2" w:rsidRDefault="00A40BF0" w:rsidP="00A40BF0">
      <w:pPr>
        <w:ind w:left="227" w:hanging="227"/>
        <w:jc w:val="center"/>
        <w:rPr>
          <w:rFonts w:cs="Arial"/>
          <w:sz w:val="24"/>
          <w:szCs w:val="24"/>
        </w:rPr>
      </w:pPr>
    </w:p>
    <w:p w:rsidR="00A40BF0" w:rsidRPr="000F53D2" w:rsidRDefault="00A40BF0" w:rsidP="00A40BF0">
      <w:pPr>
        <w:ind w:left="227" w:hanging="227"/>
        <w:jc w:val="center"/>
        <w:rPr>
          <w:rFonts w:cs="Arial"/>
          <w:sz w:val="24"/>
          <w:szCs w:val="24"/>
        </w:rPr>
      </w:pPr>
    </w:p>
    <w:p w:rsidR="00A40BF0" w:rsidRDefault="00A40BF0" w:rsidP="00A40BF0">
      <w:pPr>
        <w:spacing w:after="200" w:line="276" w:lineRule="auto"/>
        <w:jc w:val="left"/>
        <w:rPr>
          <w:rFonts w:eastAsia="Times New Roman" w:cs="Arial"/>
          <w:color w:val="000000" w:themeColor="text1"/>
          <w:szCs w:val="20"/>
          <w:lang w:eastAsia="es-ES"/>
        </w:rPr>
      </w:pPr>
    </w:p>
    <w:p w:rsidR="00A40BF0" w:rsidRDefault="00A40BF0" w:rsidP="00A40BF0">
      <w:pPr>
        <w:spacing w:after="200" w:line="276" w:lineRule="auto"/>
        <w:jc w:val="left"/>
        <w:rPr>
          <w:rFonts w:eastAsia="Times New Roman" w:cs="Arial"/>
          <w:color w:val="000000" w:themeColor="text1"/>
          <w:szCs w:val="20"/>
          <w:lang w:eastAsia="es-ES"/>
        </w:rPr>
      </w:pPr>
    </w:p>
    <w:p w:rsidR="00A40BF0" w:rsidRDefault="00A40BF0" w:rsidP="00A40BF0">
      <w:pPr>
        <w:spacing w:after="200" w:line="276" w:lineRule="auto"/>
        <w:jc w:val="left"/>
        <w:rPr>
          <w:rFonts w:eastAsia="Times New Roman" w:cs="Arial"/>
          <w:color w:val="000000" w:themeColor="text1"/>
          <w:szCs w:val="20"/>
          <w:lang w:eastAsia="es-ES"/>
        </w:rPr>
      </w:pPr>
    </w:p>
    <w:p w:rsidR="004114B8" w:rsidRPr="006D530C" w:rsidRDefault="00BD60FE" w:rsidP="006D530C">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Pr>
          <w:rFonts w:eastAsia="Times New Roman" w:cs="Times New Roman"/>
          <w:b/>
          <w:snapToGrid w:val="0"/>
          <w:sz w:val="28"/>
          <w:szCs w:val="28"/>
          <w:lang w:eastAsia="es-ES"/>
        </w:rPr>
        <w:lastRenderedPageBreak/>
        <w:t>Aunque pierde empleo</w:t>
      </w:r>
      <w:r w:rsidR="004114B8" w:rsidRPr="006D530C">
        <w:rPr>
          <w:rFonts w:eastAsia="Times New Roman" w:cs="Times New Roman"/>
          <w:b/>
          <w:snapToGrid w:val="0"/>
          <w:sz w:val="28"/>
          <w:szCs w:val="28"/>
          <w:lang w:eastAsia="es-ES"/>
        </w:rPr>
        <w:t>, la Economía Social continúa</w:t>
      </w:r>
      <w:r w:rsidR="006D530C" w:rsidRPr="006D530C">
        <w:rPr>
          <w:rFonts w:eastAsia="Times New Roman" w:cs="Times New Roman"/>
          <w:b/>
          <w:snapToGrid w:val="0"/>
          <w:sz w:val="28"/>
          <w:szCs w:val="28"/>
          <w:lang w:eastAsia="es-ES"/>
        </w:rPr>
        <w:t xml:space="preserve"> sumando establecimientos</w:t>
      </w:r>
      <w:r w:rsidR="004114B8" w:rsidRPr="006D530C">
        <w:rPr>
          <w:rFonts w:eastAsia="Times New Roman" w:cs="Times New Roman"/>
          <w:b/>
          <w:snapToGrid w:val="0"/>
          <w:sz w:val="28"/>
          <w:szCs w:val="28"/>
          <w:lang w:eastAsia="es-ES"/>
        </w:rPr>
        <w:t>, alcanzando su cota máxima en la serie histórica iniciada hace dos décadas.</w:t>
      </w:r>
    </w:p>
    <w:p w:rsidR="004114B8" w:rsidRDefault="004114B8" w:rsidP="004114B8">
      <w:pPr>
        <w:ind w:left="426" w:hanging="426"/>
        <w:rPr>
          <w:rFonts w:cs="Arial"/>
        </w:rPr>
      </w:pPr>
    </w:p>
    <w:p w:rsidR="00ED2143" w:rsidRPr="002475AE" w:rsidRDefault="00ED2143" w:rsidP="004114B8">
      <w:pPr>
        <w:ind w:left="426" w:hanging="426"/>
        <w:rPr>
          <w:rFonts w:cs="Arial"/>
        </w:rPr>
      </w:pPr>
    </w:p>
    <w:p w:rsidR="004114B8" w:rsidRDefault="004114B8" w:rsidP="00FF2320">
      <w:pPr>
        <w:rPr>
          <w:rFonts w:cs="Arial"/>
          <w:lang w:val="es-ES_tradnl"/>
        </w:rPr>
      </w:pPr>
      <w:r w:rsidRPr="00E542B0">
        <w:rPr>
          <w:rFonts w:cs="Arial"/>
          <w:b/>
          <w:lang w:val="es-ES_tradnl"/>
        </w:rPr>
        <w:t xml:space="preserve">El parque de establecimientos </w:t>
      </w:r>
      <w:r w:rsidR="00B32123">
        <w:rPr>
          <w:rFonts w:cs="Arial"/>
          <w:b/>
          <w:lang w:val="es-ES_tradnl"/>
        </w:rPr>
        <w:t>de las FCES</w:t>
      </w:r>
      <w:r w:rsidRPr="00E542B0">
        <w:rPr>
          <w:rFonts w:cs="Arial"/>
          <w:b/>
          <w:lang w:val="es-ES_tradnl"/>
        </w:rPr>
        <w:t xml:space="preserve"> continúa </w:t>
      </w:r>
      <w:r w:rsidR="00706E19">
        <w:rPr>
          <w:rFonts w:cs="Arial"/>
          <w:b/>
          <w:lang w:val="es-ES_tradnl"/>
        </w:rPr>
        <w:t>la fase de repunte</w:t>
      </w:r>
      <w:r w:rsidRPr="00E542B0">
        <w:rPr>
          <w:rFonts w:cs="Arial"/>
          <w:b/>
          <w:lang w:val="es-ES_tradnl"/>
        </w:rPr>
        <w:t xml:space="preserve"> </w:t>
      </w:r>
      <w:r w:rsidR="00706E19">
        <w:rPr>
          <w:rFonts w:cs="Arial"/>
          <w:b/>
          <w:lang w:val="es-ES_tradnl"/>
        </w:rPr>
        <w:t xml:space="preserve">y </w:t>
      </w:r>
      <w:r w:rsidRPr="00E542B0">
        <w:rPr>
          <w:rFonts w:cs="Arial"/>
          <w:b/>
          <w:lang w:val="es-ES_tradnl"/>
        </w:rPr>
        <w:t>crecimiento iniciado en 2008</w:t>
      </w:r>
      <w:r w:rsidR="00706E19">
        <w:rPr>
          <w:rFonts w:cs="Arial"/>
          <w:b/>
          <w:lang w:val="es-ES_tradnl"/>
        </w:rPr>
        <w:t xml:space="preserve">. Alcanza </w:t>
      </w:r>
      <w:r w:rsidRPr="00E542B0">
        <w:rPr>
          <w:rFonts w:cs="Arial"/>
          <w:b/>
          <w:lang w:val="es-ES_tradnl"/>
        </w:rPr>
        <w:t>en 2014 un techo histórico con un volumen de 3.127 establecimientos.</w:t>
      </w:r>
      <w:r>
        <w:rPr>
          <w:rFonts w:cs="Arial"/>
          <w:lang w:val="es-ES_tradnl"/>
        </w:rPr>
        <w:t xml:space="preserve"> </w:t>
      </w:r>
    </w:p>
    <w:p w:rsidR="004114B8" w:rsidRDefault="004114B8" w:rsidP="004114B8"/>
    <w:p w:rsidR="00E34E88" w:rsidRPr="00DE01F8" w:rsidRDefault="00E34E88" w:rsidP="00E34E88">
      <w:r>
        <w:t xml:space="preserve">En contraste con las tendencias observadas en el empleo, </w:t>
      </w:r>
      <w:r w:rsidRPr="00DE01F8">
        <w:t>entre 2010 y 201</w:t>
      </w:r>
      <w:r>
        <w:t>4</w:t>
      </w:r>
      <w:r w:rsidRPr="00DE01F8">
        <w:t xml:space="preserve"> </w:t>
      </w:r>
      <w:r>
        <w:t>se incrementa</w:t>
      </w:r>
      <w:r w:rsidRPr="00DE01F8">
        <w:t xml:space="preserve"> el volumen de establecimientos. Después de alcanzar un máximo de 3.096 en 2006, el </w:t>
      </w:r>
      <w:r>
        <w:t>número de establecimientos de</w:t>
      </w:r>
      <w:r w:rsidRPr="00DE01F8">
        <w:t xml:space="preserve"> la Economía Social </w:t>
      </w:r>
      <w:r>
        <w:t>cae</w:t>
      </w:r>
      <w:r w:rsidRPr="00DE01F8">
        <w:t xml:space="preserve"> por debajo de los 3.000 en los años siguientes, con una cifra de 2.997 en 2010. Esta cifra </w:t>
      </w:r>
      <w:r>
        <w:t>repunta hasta</w:t>
      </w:r>
      <w:r w:rsidRPr="00DE01F8">
        <w:t xml:space="preserve"> 3.078 en 2012</w:t>
      </w:r>
      <w:r>
        <w:t xml:space="preserve"> para alcanzar un máximo de 3.127 en 2014</w:t>
      </w:r>
      <w:r w:rsidRPr="00DE01F8">
        <w:t>.</w:t>
      </w:r>
    </w:p>
    <w:p w:rsidR="00E34E88" w:rsidRPr="00DE01F8" w:rsidRDefault="00E34E88" w:rsidP="004114B8"/>
    <w:p w:rsidR="004114B8" w:rsidRPr="00DE01F8" w:rsidRDefault="004114B8" w:rsidP="004114B8">
      <w:pPr>
        <w:ind w:left="227" w:hanging="227"/>
        <w:jc w:val="center"/>
        <w:rPr>
          <w:rFonts w:cs="Arial"/>
          <w:b/>
          <w:color w:val="1F497D" w:themeColor="text2"/>
          <w:sz w:val="18"/>
          <w:szCs w:val="18"/>
        </w:rPr>
      </w:pPr>
      <w:r>
        <w:rPr>
          <w:rFonts w:cs="Arial"/>
          <w:b/>
          <w:noProof/>
          <w:color w:val="1F497D" w:themeColor="text2"/>
          <w:sz w:val="18"/>
          <w:szCs w:val="18"/>
          <w:lang w:eastAsia="es-ES"/>
        </w:rPr>
        <w:drawing>
          <wp:anchor distT="0" distB="0" distL="114300" distR="114300" simplePos="0" relativeHeight="251802624" behindDoc="0" locked="0" layoutInCell="1" allowOverlap="1">
            <wp:simplePos x="0" y="0"/>
            <wp:positionH relativeFrom="column">
              <wp:posOffset>104376</wp:posOffset>
            </wp:positionH>
            <wp:positionV relativeFrom="paragraph">
              <wp:posOffset>1831</wp:posOffset>
            </wp:positionV>
            <wp:extent cx="5305646" cy="1828800"/>
            <wp:effectExtent l="0" t="0" r="0" b="0"/>
            <wp:wrapNone/>
            <wp:docPr id="8"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DE01F8">
        <w:rPr>
          <w:rFonts w:cs="Arial"/>
          <w:b/>
          <w:color w:val="1F497D" w:themeColor="text2"/>
          <w:sz w:val="18"/>
          <w:szCs w:val="18"/>
        </w:rPr>
        <w:t>EVOLUCIÓN</w:t>
      </w:r>
      <w:r w:rsidRPr="00DE01F8">
        <w:rPr>
          <w:rFonts w:eastAsia="Arial" w:cs="Arial"/>
          <w:b/>
          <w:color w:val="1F497D" w:themeColor="text2"/>
          <w:sz w:val="18"/>
          <w:szCs w:val="18"/>
        </w:rPr>
        <w:t xml:space="preserve"> </w:t>
      </w:r>
      <w:r w:rsidRPr="00DE01F8">
        <w:rPr>
          <w:rFonts w:cs="Arial"/>
          <w:b/>
          <w:color w:val="1F497D" w:themeColor="text2"/>
          <w:sz w:val="18"/>
          <w:szCs w:val="18"/>
        </w:rPr>
        <w:t>DE</w:t>
      </w:r>
      <w:r w:rsidRPr="00DE01F8">
        <w:rPr>
          <w:rFonts w:eastAsia="Arial" w:cs="Arial"/>
          <w:b/>
          <w:color w:val="1F497D" w:themeColor="text2"/>
          <w:sz w:val="18"/>
          <w:szCs w:val="18"/>
        </w:rPr>
        <w:t xml:space="preserve"> </w:t>
      </w:r>
      <w:r w:rsidRPr="00DE01F8">
        <w:rPr>
          <w:rFonts w:cs="Arial"/>
          <w:b/>
          <w:color w:val="1F497D" w:themeColor="text2"/>
          <w:sz w:val="18"/>
          <w:szCs w:val="18"/>
        </w:rPr>
        <w:t>LOS</w:t>
      </w:r>
      <w:r w:rsidRPr="00DE01F8">
        <w:rPr>
          <w:rFonts w:eastAsia="Arial" w:cs="Arial"/>
          <w:b/>
          <w:color w:val="1F497D" w:themeColor="text2"/>
          <w:sz w:val="18"/>
          <w:szCs w:val="18"/>
        </w:rPr>
        <w:t xml:space="preserve"> </w:t>
      </w:r>
      <w:r w:rsidRPr="00DE01F8">
        <w:rPr>
          <w:rFonts w:cs="Arial"/>
          <w:b/>
          <w:color w:val="1F497D" w:themeColor="text2"/>
          <w:sz w:val="18"/>
          <w:szCs w:val="18"/>
        </w:rPr>
        <w:t>ESTABLECIMIENTOS</w:t>
      </w:r>
      <w:r w:rsidRPr="00DE01F8">
        <w:rPr>
          <w:rFonts w:eastAsia="Arial" w:cs="Arial"/>
          <w:b/>
          <w:color w:val="1F497D" w:themeColor="text2"/>
          <w:sz w:val="18"/>
          <w:szCs w:val="18"/>
        </w:rPr>
        <w:t xml:space="preserve"> </w:t>
      </w:r>
      <w:r w:rsidRPr="00DE01F8">
        <w:rPr>
          <w:rFonts w:cs="Arial"/>
          <w:b/>
          <w:color w:val="1F497D" w:themeColor="text2"/>
          <w:sz w:val="18"/>
          <w:szCs w:val="18"/>
        </w:rPr>
        <w:t>EN</w:t>
      </w:r>
      <w:r w:rsidRPr="00DE01F8">
        <w:rPr>
          <w:rFonts w:eastAsia="Arial" w:cs="Arial"/>
          <w:b/>
          <w:color w:val="1F497D" w:themeColor="text2"/>
          <w:sz w:val="18"/>
          <w:szCs w:val="18"/>
        </w:rPr>
        <w:t xml:space="preserve"> </w:t>
      </w:r>
      <w:r w:rsidRPr="00DE01F8">
        <w:rPr>
          <w:rFonts w:cs="Arial"/>
          <w:b/>
          <w:color w:val="1F497D" w:themeColor="text2"/>
          <w:sz w:val="18"/>
          <w:szCs w:val="18"/>
        </w:rPr>
        <w:t>LA</w:t>
      </w:r>
      <w:r w:rsidRPr="00DE01F8">
        <w:rPr>
          <w:rFonts w:eastAsia="Arial" w:cs="Arial"/>
          <w:b/>
          <w:color w:val="1F497D" w:themeColor="text2"/>
          <w:sz w:val="18"/>
          <w:szCs w:val="18"/>
        </w:rPr>
        <w:t xml:space="preserve"> </w:t>
      </w:r>
      <w:r w:rsidRPr="00DE01F8">
        <w:rPr>
          <w:rFonts w:cs="Arial"/>
          <w:b/>
          <w:color w:val="1F497D" w:themeColor="text2"/>
          <w:sz w:val="18"/>
          <w:szCs w:val="18"/>
        </w:rPr>
        <w:t>ECONOMÍA</w:t>
      </w:r>
      <w:r w:rsidRPr="00DE01F8">
        <w:rPr>
          <w:rFonts w:eastAsia="Arial" w:cs="Arial"/>
          <w:b/>
          <w:color w:val="1F497D" w:themeColor="text2"/>
          <w:sz w:val="18"/>
          <w:szCs w:val="18"/>
        </w:rPr>
        <w:t xml:space="preserve"> </w:t>
      </w:r>
      <w:r w:rsidRPr="00DE01F8">
        <w:rPr>
          <w:rFonts w:cs="Arial"/>
          <w:b/>
          <w:color w:val="1F497D" w:themeColor="text2"/>
          <w:sz w:val="18"/>
          <w:szCs w:val="18"/>
        </w:rPr>
        <w:t>SOCIAL</w:t>
      </w:r>
      <w:r w:rsidRPr="00DE01F8">
        <w:rPr>
          <w:rFonts w:eastAsia="Arial" w:cs="Arial"/>
          <w:b/>
          <w:color w:val="1F497D" w:themeColor="text2"/>
          <w:sz w:val="18"/>
          <w:szCs w:val="18"/>
        </w:rPr>
        <w:t xml:space="preserve"> DE LA CAE </w:t>
      </w:r>
      <w:r>
        <w:rPr>
          <w:rFonts w:cs="Arial"/>
          <w:b/>
          <w:color w:val="1F497D" w:themeColor="text2"/>
          <w:sz w:val="18"/>
          <w:szCs w:val="18"/>
        </w:rPr>
        <w:t>1994-2014</w:t>
      </w:r>
    </w:p>
    <w:p w:rsidR="004114B8" w:rsidRPr="00DE01F8" w:rsidRDefault="004114B8" w:rsidP="004114B8">
      <w:pPr>
        <w:ind w:left="227" w:hanging="227"/>
        <w:rPr>
          <w:rFonts w:cs="Arial"/>
        </w:rPr>
      </w:pPr>
    </w:p>
    <w:p w:rsidR="004114B8" w:rsidRPr="00DE01F8" w:rsidRDefault="004114B8" w:rsidP="004114B8">
      <w:pPr>
        <w:ind w:left="227" w:hanging="227"/>
        <w:rPr>
          <w:rFonts w:cs="Arial"/>
        </w:rPr>
      </w:pPr>
    </w:p>
    <w:p w:rsidR="004114B8" w:rsidRDefault="004114B8" w:rsidP="004114B8">
      <w:pPr>
        <w:widowControl w:val="0"/>
        <w:rPr>
          <w:rFonts w:cs="Arial"/>
        </w:rPr>
      </w:pPr>
    </w:p>
    <w:p w:rsidR="004114B8" w:rsidRDefault="004114B8" w:rsidP="004114B8">
      <w:pPr>
        <w:widowControl w:val="0"/>
        <w:rPr>
          <w:rFonts w:cs="Arial"/>
        </w:rPr>
      </w:pPr>
    </w:p>
    <w:p w:rsidR="004114B8" w:rsidRDefault="004114B8" w:rsidP="004114B8">
      <w:pPr>
        <w:widowControl w:val="0"/>
        <w:rPr>
          <w:rFonts w:cs="Arial"/>
        </w:rPr>
      </w:pPr>
    </w:p>
    <w:p w:rsidR="004114B8" w:rsidRDefault="004114B8" w:rsidP="004114B8">
      <w:pPr>
        <w:widowControl w:val="0"/>
        <w:rPr>
          <w:rFonts w:cs="Arial"/>
        </w:rPr>
      </w:pPr>
    </w:p>
    <w:p w:rsidR="004114B8" w:rsidRDefault="004114B8" w:rsidP="004114B8">
      <w:pPr>
        <w:widowControl w:val="0"/>
        <w:rPr>
          <w:rFonts w:cs="Arial"/>
        </w:rPr>
      </w:pPr>
    </w:p>
    <w:p w:rsidR="00257F00" w:rsidRDefault="00257F00" w:rsidP="004114B8">
      <w:pPr>
        <w:pStyle w:val="ARIALNARROW"/>
        <w:spacing w:line="360" w:lineRule="auto"/>
        <w:rPr>
          <w:b/>
        </w:rPr>
      </w:pPr>
    </w:p>
    <w:p w:rsidR="00ED3B1B" w:rsidRDefault="00ED3B1B" w:rsidP="004114B8">
      <w:pPr>
        <w:pStyle w:val="ARIALNARROW"/>
        <w:spacing w:line="360" w:lineRule="auto"/>
        <w:rPr>
          <w:b/>
        </w:rPr>
      </w:pPr>
    </w:p>
    <w:p w:rsidR="00FF2320" w:rsidRDefault="00FF2320" w:rsidP="00FF2320">
      <w:pPr>
        <w:rPr>
          <w:rFonts w:cs="Arial"/>
          <w:lang w:val="es-ES_tradnl"/>
        </w:rPr>
      </w:pPr>
      <w:r>
        <w:rPr>
          <w:rFonts w:cs="Arial"/>
          <w:lang w:val="es-ES_tradnl"/>
        </w:rPr>
        <w:t xml:space="preserve">El crecimiento producido del 1,6% en este bienio 2012-2014 se asocia al crecimiento en el número de establecimientos en el ámbito cooperativo (+1,8%) y entre las </w:t>
      </w:r>
      <w:proofErr w:type="spellStart"/>
      <w:r>
        <w:rPr>
          <w:rFonts w:cs="Arial"/>
          <w:lang w:val="es-ES_tradnl"/>
        </w:rPr>
        <w:t>SLLes</w:t>
      </w:r>
      <w:proofErr w:type="spellEnd"/>
      <w:r>
        <w:rPr>
          <w:rFonts w:cs="Arial"/>
          <w:lang w:val="es-ES_tradnl"/>
        </w:rPr>
        <w:t xml:space="preserve"> (7,8%). Por el contrario, en el caso de las </w:t>
      </w:r>
      <w:proofErr w:type="spellStart"/>
      <w:r>
        <w:rPr>
          <w:rFonts w:cs="Arial"/>
          <w:lang w:val="es-ES_tradnl"/>
        </w:rPr>
        <w:t>SALes</w:t>
      </w:r>
      <w:proofErr w:type="spellEnd"/>
      <w:r>
        <w:rPr>
          <w:rFonts w:cs="Arial"/>
          <w:lang w:val="es-ES_tradnl"/>
        </w:rPr>
        <w:t>, la notable pérdida de empleo (-20,7%) va acompañada por un descenso en el número de establecimientos (-14,2%).</w:t>
      </w:r>
    </w:p>
    <w:p w:rsidR="00FF2320" w:rsidRDefault="00FF2320" w:rsidP="004114B8">
      <w:pPr>
        <w:pStyle w:val="ARIALNARROW"/>
        <w:spacing w:line="360" w:lineRule="auto"/>
        <w:rPr>
          <w:b/>
        </w:rPr>
      </w:pPr>
    </w:p>
    <w:p w:rsidR="00FF2320" w:rsidRDefault="00FF2320" w:rsidP="00FF2320">
      <w:pPr>
        <w:widowControl w:val="0"/>
        <w:spacing w:line="240" w:lineRule="auto"/>
        <w:jc w:val="center"/>
        <w:rPr>
          <w:rFonts w:cs="Arial"/>
          <w:b/>
          <w:color w:val="1F497D" w:themeColor="text2"/>
          <w:sz w:val="18"/>
          <w:szCs w:val="18"/>
        </w:rPr>
      </w:pPr>
      <w:r w:rsidRPr="00DE3A4D">
        <w:rPr>
          <w:rFonts w:cs="Arial"/>
          <w:b/>
          <w:color w:val="1F497D" w:themeColor="text2"/>
          <w:sz w:val="18"/>
          <w:szCs w:val="18"/>
        </w:rPr>
        <w:t>EVOLUCIÓN 20</w:t>
      </w:r>
      <w:r>
        <w:rPr>
          <w:rFonts w:cs="Arial"/>
          <w:b/>
          <w:color w:val="1F497D" w:themeColor="text2"/>
          <w:sz w:val="18"/>
          <w:szCs w:val="18"/>
        </w:rPr>
        <w:t>12</w:t>
      </w:r>
      <w:r w:rsidRPr="00DE3A4D">
        <w:rPr>
          <w:rFonts w:cs="Arial"/>
          <w:b/>
          <w:color w:val="1F497D" w:themeColor="text2"/>
          <w:sz w:val="18"/>
          <w:szCs w:val="18"/>
        </w:rPr>
        <w:t>-201</w:t>
      </w:r>
      <w:r>
        <w:rPr>
          <w:rFonts w:cs="Arial"/>
          <w:b/>
          <w:color w:val="1F497D" w:themeColor="text2"/>
          <w:sz w:val="18"/>
          <w:szCs w:val="18"/>
        </w:rPr>
        <w:t>4</w:t>
      </w:r>
      <w:r w:rsidRPr="00DE3A4D">
        <w:rPr>
          <w:rFonts w:cs="Arial"/>
          <w:b/>
          <w:color w:val="1F497D" w:themeColor="text2"/>
          <w:sz w:val="18"/>
          <w:szCs w:val="18"/>
        </w:rPr>
        <w:t xml:space="preserve"> DE LOS ESTABLECIMIENTOS DE LA ECONOMÍA S</w:t>
      </w:r>
      <w:r>
        <w:rPr>
          <w:rFonts w:cs="Arial"/>
          <w:b/>
          <w:color w:val="1F497D" w:themeColor="text2"/>
          <w:sz w:val="18"/>
          <w:szCs w:val="18"/>
        </w:rPr>
        <w:t>OCIAL SEGÚN FORMA JURÍDICA. 2012-2014</w:t>
      </w:r>
      <w:r w:rsidRPr="00DE3A4D">
        <w:rPr>
          <w:rFonts w:cs="Arial"/>
          <w:b/>
          <w:color w:val="1F497D" w:themeColor="text2"/>
          <w:sz w:val="18"/>
          <w:szCs w:val="18"/>
        </w:rPr>
        <w:t xml:space="preserve"> (</w:t>
      </w:r>
      <w:r>
        <w:rPr>
          <w:rFonts w:cs="Arial"/>
          <w:b/>
          <w:color w:val="1F497D" w:themeColor="text2"/>
          <w:sz w:val="18"/>
          <w:szCs w:val="18"/>
        </w:rPr>
        <w:t>cifras absolutas y % verticales</w:t>
      </w:r>
      <w:r w:rsidRPr="00DE3A4D">
        <w:rPr>
          <w:rFonts w:cs="Arial"/>
          <w:b/>
          <w:color w:val="1F497D" w:themeColor="text2"/>
          <w:sz w:val="18"/>
          <w:szCs w:val="18"/>
        </w:rPr>
        <w:t>)</w:t>
      </w:r>
    </w:p>
    <w:tbl>
      <w:tblPr>
        <w:tblW w:w="5000" w:type="pct"/>
        <w:jc w:val="center"/>
        <w:tblLook w:val="04A0" w:firstRow="1" w:lastRow="0" w:firstColumn="1" w:lastColumn="0" w:noHBand="0" w:noVBand="1"/>
      </w:tblPr>
      <w:tblGrid>
        <w:gridCol w:w="1892"/>
        <w:gridCol w:w="1315"/>
        <w:gridCol w:w="1244"/>
        <w:gridCol w:w="1315"/>
        <w:gridCol w:w="1450"/>
        <w:gridCol w:w="1788"/>
      </w:tblGrid>
      <w:tr w:rsidR="00FF2320" w:rsidRPr="00F04D4B" w:rsidTr="00AF3C20">
        <w:trPr>
          <w:jc w:val="center"/>
        </w:trPr>
        <w:tc>
          <w:tcPr>
            <w:tcW w:w="105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p>
        </w:tc>
        <w:tc>
          <w:tcPr>
            <w:tcW w:w="14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r w:rsidRPr="00F04D4B">
              <w:rPr>
                <w:rFonts w:cs="Arial"/>
                <w:b/>
                <w:bCs/>
                <w:sz w:val="16"/>
                <w:szCs w:val="16"/>
                <w:lang w:val="pt-BR"/>
              </w:rPr>
              <w:t>2012</w:t>
            </w:r>
          </w:p>
        </w:tc>
        <w:tc>
          <w:tcPr>
            <w:tcW w:w="15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c>
          <w:tcPr>
            <w:tcW w:w="993"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r>
              <w:rPr>
                <w:rFonts w:cs="Arial"/>
                <w:b/>
                <w:bCs/>
                <w:sz w:val="16"/>
                <w:szCs w:val="16"/>
                <w:lang w:val="pt-BR"/>
              </w:rPr>
              <w:t>%∆14/12</w:t>
            </w:r>
            <w:r w:rsidRPr="00F04D4B">
              <w:rPr>
                <w:rFonts w:cs="Arial"/>
                <w:b/>
                <w:bCs/>
                <w:sz w:val="16"/>
                <w:szCs w:val="16"/>
                <w:lang w:val="pt-BR"/>
              </w:rPr>
              <w:t xml:space="preserve"> (1)</w:t>
            </w:r>
          </w:p>
        </w:tc>
      </w:tr>
      <w:tr w:rsidR="00FF2320" w:rsidRPr="00F04D4B" w:rsidTr="00AF3C20">
        <w:trPr>
          <w:jc w:val="center"/>
        </w:trPr>
        <w:tc>
          <w:tcPr>
            <w:tcW w:w="105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sz w:val="16"/>
                <w:szCs w:val="16"/>
              </w:rPr>
            </w:pP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r>
              <w:rPr>
                <w:rFonts w:cs="Arial"/>
                <w:b/>
                <w:bCs/>
                <w:sz w:val="16"/>
                <w:szCs w:val="16"/>
                <w:lang w:val="pt-BR"/>
              </w:rPr>
              <w:t>Abs.</w:t>
            </w:r>
          </w:p>
        </w:tc>
        <w:tc>
          <w:tcPr>
            <w:tcW w:w="69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r>
              <w:rPr>
                <w:rFonts w:cs="Arial"/>
                <w:b/>
                <w:bCs/>
                <w:sz w:val="16"/>
                <w:szCs w:val="16"/>
                <w:lang w:val="pt-BR"/>
              </w:rPr>
              <w:t>% ver.</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r>
              <w:rPr>
                <w:rFonts w:cs="Arial"/>
                <w:b/>
                <w:bCs/>
                <w:sz w:val="16"/>
                <w:szCs w:val="16"/>
                <w:lang w:val="pt-BR"/>
              </w:rPr>
              <w:t>Abs.</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r>
              <w:rPr>
                <w:rFonts w:cs="Arial"/>
                <w:b/>
                <w:bCs/>
                <w:sz w:val="16"/>
                <w:szCs w:val="16"/>
                <w:lang w:val="pt-BR"/>
              </w:rPr>
              <w:t>% ver.</w:t>
            </w:r>
          </w:p>
        </w:tc>
        <w:tc>
          <w:tcPr>
            <w:tcW w:w="993"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FF2320" w:rsidRPr="00F04D4B" w:rsidRDefault="00FF2320" w:rsidP="00D6542C">
            <w:pPr>
              <w:widowControl w:val="0"/>
              <w:spacing w:line="240" w:lineRule="exact"/>
              <w:jc w:val="center"/>
              <w:rPr>
                <w:rFonts w:cs="Arial"/>
                <w:b/>
                <w:bCs/>
                <w:sz w:val="16"/>
                <w:szCs w:val="16"/>
              </w:rPr>
            </w:pPr>
          </w:p>
        </w:tc>
      </w:tr>
      <w:tr w:rsidR="00FF2320" w:rsidRPr="00F04D4B" w:rsidTr="00AF3C20">
        <w:trPr>
          <w:jc w:val="center"/>
        </w:trPr>
        <w:tc>
          <w:tcPr>
            <w:tcW w:w="1051" w:type="pct"/>
            <w:tcBorders>
              <w:top w:val="single" w:sz="4" w:space="0" w:color="BFBFBF" w:themeColor="background1" w:themeShade="BF"/>
              <w:right w:val="single" w:sz="4" w:space="0" w:color="BFBFBF" w:themeColor="background1" w:themeShade="BF"/>
            </w:tcBorders>
            <w:hideMark/>
          </w:tcPr>
          <w:p w:rsidR="00FF2320" w:rsidRPr="00F04D4B" w:rsidRDefault="00FF2320" w:rsidP="00D6542C">
            <w:pPr>
              <w:widowControl w:val="0"/>
              <w:spacing w:line="240" w:lineRule="exact"/>
              <w:rPr>
                <w:rFonts w:cs="Arial"/>
                <w:sz w:val="16"/>
                <w:szCs w:val="16"/>
              </w:rPr>
            </w:pPr>
            <w:r w:rsidRPr="00F04D4B">
              <w:rPr>
                <w:rFonts w:cs="Arial"/>
                <w:sz w:val="16"/>
                <w:szCs w:val="16"/>
                <w:lang w:val="pt-BR"/>
              </w:rPr>
              <w:t>Cooperativas</w:t>
            </w:r>
          </w:p>
        </w:tc>
        <w:tc>
          <w:tcPr>
            <w:tcW w:w="730" w:type="pct"/>
            <w:tcBorders>
              <w:top w:val="single" w:sz="4" w:space="0" w:color="BFBFBF" w:themeColor="background1" w:themeShade="BF"/>
              <w:lef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2.194</w:t>
            </w:r>
          </w:p>
        </w:tc>
        <w:tc>
          <w:tcPr>
            <w:tcW w:w="691" w:type="pct"/>
            <w:tcBorders>
              <w:top w:val="single" w:sz="4" w:space="0" w:color="BFBFBF" w:themeColor="background1" w:themeShade="BF"/>
              <w:righ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71,3</w:t>
            </w:r>
          </w:p>
        </w:tc>
        <w:tc>
          <w:tcPr>
            <w:tcW w:w="730" w:type="pct"/>
            <w:tcBorders>
              <w:top w:val="single" w:sz="4" w:space="0" w:color="BFBFBF" w:themeColor="background1" w:themeShade="BF"/>
              <w:left w:val="single" w:sz="4" w:space="0" w:color="BFBFBF" w:themeColor="background1" w:themeShade="BF"/>
            </w:tcBorders>
            <w:vAlign w:val="bottom"/>
            <w:hideMark/>
          </w:tcPr>
          <w:p w:rsidR="00FF2320" w:rsidRPr="009C114A" w:rsidRDefault="00FF2320" w:rsidP="00D6542C">
            <w:pPr>
              <w:widowControl w:val="0"/>
              <w:spacing w:line="240" w:lineRule="exact"/>
              <w:ind w:right="284"/>
              <w:jc w:val="right"/>
              <w:rPr>
                <w:rFonts w:cs="Arial"/>
                <w:color w:val="000000"/>
                <w:sz w:val="16"/>
                <w:szCs w:val="16"/>
              </w:rPr>
            </w:pPr>
            <w:r w:rsidRPr="009C114A">
              <w:rPr>
                <w:rFonts w:cs="Arial"/>
                <w:color w:val="000000"/>
                <w:sz w:val="16"/>
                <w:szCs w:val="16"/>
              </w:rPr>
              <w:t>2.233</w:t>
            </w:r>
          </w:p>
        </w:tc>
        <w:tc>
          <w:tcPr>
            <w:tcW w:w="805" w:type="pct"/>
            <w:tcBorders>
              <w:top w:val="single" w:sz="4" w:space="0" w:color="BFBFBF" w:themeColor="background1" w:themeShade="BF"/>
              <w:right w:val="single" w:sz="4" w:space="0" w:color="BFBFBF" w:themeColor="background1" w:themeShade="BF"/>
            </w:tcBorders>
            <w:vAlign w:val="bottom"/>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71,4</w:t>
            </w:r>
          </w:p>
        </w:tc>
        <w:tc>
          <w:tcPr>
            <w:tcW w:w="993" w:type="pct"/>
            <w:tcBorders>
              <w:top w:val="single" w:sz="4" w:space="0" w:color="BFBFBF" w:themeColor="background1" w:themeShade="BF"/>
              <w:lef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Pr>
                <w:rFonts w:cs="Arial"/>
                <w:color w:val="000000"/>
                <w:sz w:val="16"/>
                <w:szCs w:val="16"/>
              </w:rPr>
              <w:t>1,8</w:t>
            </w:r>
          </w:p>
        </w:tc>
      </w:tr>
      <w:tr w:rsidR="00FF2320" w:rsidRPr="00F04D4B" w:rsidTr="00AF3C20">
        <w:trPr>
          <w:jc w:val="center"/>
        </w:trPr>
        <w:tc>
          <w:tcPr>
            <w:tcW w:w="1051" w:type="pct"/>
            <w:tcBorders>
              <w:right w:val="single" w:sz="4" w:space="0" w:color="BFBFBF" w:themeColor="background1" w:themeShade="BF"/>
            </w:tcBorders>
            <w:hideMark/>
          </w:tcPr>
          <w:p w:rsidR="00FF2320" w:rsidRPr="00F04D4B" w:rsidRDefault="00FF2320" w:rsidP="00D6542C">
            <w:pPr>
              <w:widowControl w:val="0"/>
              <w:spacing w:line="240" w:lineRule="exact"/>
              <w:rPr>
                <w:rFonts w:cs="Arial"/>
                <w:sz w:val="16"/>
                <w:szCs w:val="16"/>
              </w:rPr>
            </w:pPr>
            <w:r w:rsidRPr="00F04D4B">
              <w:rPr>
                <w:rFonts w:cs="Arial"/>
                <w:sz w:val="16"/>
                <w:szCs w:val="16"/>
                <w:lang w:val="pt-BR"/>
              </w:rPr>
              <w:t>S.L.</w:t>
            </w:r>
            <w:proofErr w:type="gramStart"/>
            <w:r w:rsidRPr="00F04D4B">
              <w:rPr>
                <w:rFonts w:cs="Arial"/>
                <w:sz w:val="16"/>
                <w:szCs w:val="16"/>
                <w:lang w:val="pt-BR"/>
              </w:rPr>
              <w:t>es</w:t>
            </w:r>
            <w:proofErr w:type="gramEnd"/>
          </w:p>
        </w:tc>
        <w:tc>
          <w:tcPr>
            <w:tcW w:w="730" w:type="pct"/>
            <w:tcBorders>
              <w:lef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884</w:t>
            </w:r>
          </w:p>
        </w:tc>
        <w:tc>
          <w:tcPr>
            <w:tcW w:w="691" w:type="pct"/>
            <w:tcBorders>
              <w:righ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28,7</w:t>
            </w:r>
          </w:p>
        </w:tc>
        <w:tc>
          <w:tcPr>
            <w:tcW w:w="730" w:type="pct"/>
            <w:tcBorders>
              <w:left w:val="single" w:sz="4" w:space="0" w:color="BFBFBF" w:themeColor="background1" w:themeShade="BF"/>
            </w:tcBorders>
            <w:vAlign w:val="bottom"/>
            <w:hideMark/>
          </w:tcPr>
          <w:p w:rsidR="00FF2320" w:rsidRPr="009C114A" w:rsidRDefault="00FF2320" w:rsidP="00D6542C">
            <w:pPr>
              <w:widowControl w:val="0"/>
              <w:spacing w:line="240" w:lineRule="exact"/>
              <w:ind w:right="284"/>
              <w:jc w:val="right"/>
              <w:rPr>
                <w:rFonts w:cs="Arial"/>
                <w:color w:val="000000"/>
                <w:sz w:val="16"/>
                <w:szCs w:val="16"/>
              </w:rPr>
            </w:pPr>
            <w:r w:rsidRPr="009C114A">
              <w:rPr>
                <w:rFonts w:cs="Arial"/>
                <w:color w:val="000000"/>
                <w:sz w:val="16"/>
                <w:szCs w:val="16"/>
              </w:rPr>
              <w:t>8</w:t>
            </w:r>
            <w:r>
              <w:rPr>
                <w:rFonts w:cs="Arial"/>
                <w:color w:val="000000"/>
                <w:sz w:val="16"/>
                <w:szCs w:val="16"/>
              </w:rPr>
              <w:t>94</w:t>
            </w:r>
          </w:p>
        </w:tc>
        <w:tc>
          <w:tcPr>
            <w:tcW w:w="805" w:type="pct"/>
            <w:tcBorders>
              <w:right w:val="single" w:sz="4" w:space="0" w:color="BFBFBF" w:themeColor="background1" w:themeShade="BF"/>
            </w:tcBorders>
            <w:vAlign w:val="bottom"/>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28,6</w:t>
            </w:r>
          </w:p>
        </w:tc>
        <w:tc>
          <w:tcPr>
            <w:tcW w:w="993" w:type="pct"/>
            <w:tcBorders>
              <w:lef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Pr>
                <w:rFonts w:cs="Arial"/>
                <w:color w:val="000000"/>
                <w:sz w:val="16"/>
                <w:szCs w:val="16"/>
              </w:rPr>
              <w:t>1,1</w:t>
            </w:r>
          </w:p>
        </w:tc>
      </w:tr>
      <w:tr w:rsidR="00FF2320" w:rsidRPr="00F04D4B" w:rsidTr="00AF3C20">
        <w:trPr>
          <w:jc w:val="center"/>
        </w:trPr>
        <w:tc>
          <w:tcPr>
            <w:tcW w:w="1051" w:type="pct"/>
            <w:tcBorders>
              <w:right w:val="single" w:sz="4" w:space="0" w:color="BFBFBF" w:themeColor="background1" w:themeShade="BF"/>
            </w:tcBorders>
            <w:hideMark/>
          </w:tcPr>
          <w:p w:rsidR="00FF2320" w:rsidRPr="00F04D4B" w:rsidRDefault="00FF2320" w:rsidP="00D6542C">
            <w:pPr>
              <w:widowControl w:val="0"/>
              <w:spacing w:line="240" w:lineRule="exact"/>
              <w:rPr>
                <w:rFonts w:cs="Arial"/>
                <w:sz w:val="16"/>
                <w:szCs w:val="16"/>
              </w:rPr>
            </w:pPr>
            <w:r w:rsidRPr="00F04D4B">
              <w:rPr>
                <w:rFonts w:cs="Arial"/>
                <w:sz w:val="16"/>
                <w:szCs w:val="16"/>
              </w:rPr>
              <w:t xml:space="preserve">  S.A.L.es</w:t>
            </w:r>
          </w:p>
        </w:tc>
        <w:tc>
          <w:tcPr>
            <w:tcW w:w="730" w:type="pct"/>
            <w:tcBorders>
              <w:lef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268</w:t>
            </w:r>
          </w:p>
        </w:tc>
        <w:tc>
          <w:tcPr>
            <w:tcW w:w="691" w:type="pct"/>
            <w:tcBorders>
              <w:righ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8,7</w:t>
            </w:r>
          </w:p>
        </w:tc>
        <w:tc>
          <w:tcPr>
            <w:tcW w:w="730" w:type="pct"/>
            <w:tcBorders>
              <w:left w:val="single" w:sz="4" w:space="0" w:color="BFBFBF" w:themeColor="background1" w:themeShade="BF"/>
            </w:tcBorders>
            <w:vAlign w:val="bottom"/>
            <w:hideMark/>
          </w:tcPr>
          <w:p w:rsidR="00FF2320" w:rsidRPr="009C114A" w:rsidRDefault="00FF2320" w:rsidP="00D6542C">
            <w:pPr>
              <w:widowControl w:val="0"/>
              <w:spacing w:line="240" w:lineRule="exact"/>
              <w:ind w:right="284"/>
              <w:jc w:val="right"/>
              <w:rPr>
                <w:rFonts w:cs="Arial"/>
                <w:color w:val="000000"/>
                <w:sz w:val="16"/>
                <w:szCs w:val="16"/>
              </w:rPr>
            </w:pPr>
            <w:r w:rsidRPr="009C114A">
              <w:rPr>
                <w:rFonts w:cs="Arial"/>
                <w:color w:val="000000"/>
                <w:sz w:val="16"/>
                <w:szCs w:val="16"/>
              </w:rPr>
              <w:t>230</w:t>
            </w:r>
          </w:p>
        </w:tc>
        <w:tc>
          <w:tcPr>
            <w:tcW w:w="805" w:type="pct"/>
            <w:tcBorders>
              <w:right w:val="single" w:sz="4" w:space="0" w:color="BFBFBF" w:themeColor="background1" w:themeShade="BF"/>
            </w:tcBorders>
            <w:vAlign w:val="bottom"/>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7,4</w:t>
            </w:r>
          </w:p>
        </w:tc>
        <w:tc>
          <w:tcPr>
            <w:tcW w:w="993" w:type="pct"/>
            <w:tcBorders>
              <w:lef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Pr>
                <w:rFonts w:cs="Arial"/>
                <w:color w:val="000000"/>
                <w:sz w:val="16"/>
                <w:szCs w:val="16"/>
              </w:rPr>
              <w:t>-14,2</w:t>
            </w:r>
          </w:p>
        </w:tc>
      </w:tr>
      <w:tr w:rsidR="00FF2320" w:rsidRPr="00F04D4B" w:rsidTr="00AF3C20">
        <w:trPr>
          <w:jc w:val="center"/>
        </w:trPr>
        <w:tc>
          <w:tcPr>
            <w:tcW w:w="1051" w:type="pct"/>
            <w:tcBorders>
              <w:bottom w:val="single" w:sz="4" w:space="0" w:color="BFBFBF" w:themeColor="background1" w:themeShade="BF"/>
              <w:right w:val="single" w:sz="4" w:space="0" w:color="BFBFBF" w:themeColor="background1" w:themeShade="BF"/>
            </w:tcBorders>
            <w:hideMark/>
          </w:tcPr>
          <w:p w:rsidR="00FF2320" w:rsidRPr="00F04D4B" w:rsidRDefault="00FF2320" w:rsidP="00D6542C">
            <w:pPr>
              <w:widowControl w:val="0"/>
              <w:spacing w:line="240" w:lineRule="exact"/>
              <w:rPr>
                <w:rFonts w:cs="Arial"/>
                <w:sz w:val="16"/>
                <w:szCs w:val="16"/>
              </w:rPr>
            </w:pPr>
            <w:r w:rsidRPr="00F04D4B">
              <w:rPr>
                <w:rFonts w:cs="Arial"/>
                <w:sz w:val="16"/>
                <w:szCs w:val="16"/>
              </w:rPr>
              <w:t xml:space="preserve">  S.L.L.es</w:t>
            </w:r>
          </w:p>
        </w:tc>
        <w:tc>
          <w:tcPr>
            <w:tcW w:w="730" w:type="pct"/>
            <w:tcBorders>
              <w:left w:val="single" w:sz="4" w:space="0" w:color="BFBFBF" w:themeColor="background1" w:themeShade="BF"/>
              <w:bottom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616</w:t>
            </w:r>
          </w:p>
        </w:tc>
        <w:tc>
          <w:tcPr>
            <w:tcW w:w="691" w:type="pct"/>
            <w:tcBorders>
              <w:bottom w:val="single" w:sz="4" w:space="0" w:color="BFBFBF" w:themeColor="background1" w:themeShade="BF"/>
              <w:right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20,0</w:t>
            </w:r>
          </w:p>
        </w:tc>
        <w:tc>
          <w:tcPr>
            <w:tcW w:w="730" w:type="pct"/>
            <w:tcBorders>
              <w:left w:val="single" w:sz="4" w:space="0" w:color="BFBFBF" w:themeColor="background1" w:themeShade="BF"/>
              <w:bottom w:val="single" w:sz="4" w:space="0" w:color="BFBFBF" w:themeColor="background1" w:themeShade="BF"/>
            </w:tcBorders>
            <w:vAlign w:val="bottom"/>
            <w:hideMark/>
          </w:tcPr>
          <w:p w:rsidR="00FF2320" w:rsidRPr="009C114A" w:rsidRDefault="00FF2320" w:rsidP="00D6542C">
            <w:pPr>
              <w:widowControl w:val="0"/>
              <w:spacing w:line="240" w:lineRule="exact"/>
              <w:ind w:right="284"/>
              <w:jc w:val="right"/>
              <w:rPr>
                <w:rFonts w:cs="Arial"/>
                <w:color w:val="000000"/>
                <w:sz w:val="16"/>
                <w:szCs w:val="16"/>
              </w:rPr>
            </w:pPr>
            <w:r w:rsidRPr="009C114A">
              <w:rPr>
                <w:rFonts w:cs="Arial"/>
                <w:color w:val="000000"/>
                <w:sz w:val="16"/>
                <w:szCs w:val="16"/>
              </w:rPr>
              <w:t>664</w:t>
            </w:r>
          </w:p>
        </w:tc>
        <w:tc>
          <w:tcPr>
            <w:tcW w:w="805" w:type="pct"/>
            <w:tcBorders>
              <w:bottom w:val="single" w:sz="4" w:space="0" w:color="BFBFBF" w:themeColor="background1" w:themeShade="BF"/>
              <w:right w:val="single" w:sz="4" w:space="0" w:color="BFBFBF" w:themeColor="background1" w:themeShade="BF"/>
            </w:tcBorders>
            <w:vAlign w:val="bottom"/>
            <w:hideMark/>
          </w:tcPr>
          <w:p w:rsidR="00FF2320" w:rsidRPr="00565862" w:rsidRDefault="00FF2320" w:rsidP="00D6542C">
            <w:pPr>
              <w:widowControl w:val="0"/>
              <w:spacing w:line="240" w:lineRule="exact"/>
              <w:ind w:right="284"/>
              <w:jc w:val="right"/>
              <w:rPr>
                <w:rFonts w:cs="Arial"/>
                <w:color w:val="000000"/>
                <w:sz w:val="16"/>
                <w:szCs w:val="16"/>
              </w:rPr>
            </w:pPr>
            <w:r w:rsidRPr="00565862">
              <w:rPr>
                <w:rFonts w:cs="Arial"/>
                <w:color w:val="000000"/>
                <w:sz w:val="16"/>
                <w:szCs w:val="16"/>
              </w:rPr>
              <w:t>21,2</w:t>
            </w:r>
          </w:p>
        </w:tc>
        <w:tc>
          <w:tcPr>
            <w:tcW w:w="993" w:type="pct"/>
            <w:tcBorders>
              <w:left w:val="single" w:sz="4" w:space="0" w:color="BFBFBF" w:themeColor="background1" w:themeShade="BF"/>
              <w:bottom w:val="single" w:sz="4" w:space="0" w:color="BFBFBF" w:themeColor="background1" w:themeShade="BF"/>
            </w:tcBorders>
            <w:vAlign w:val="center"/>
            <w:hideMark/>
          </w:tcPr>
          <w:p w:rsidR="00FF2320" w:rsidRPr="00565862" w:rsidRDefault="00FF2320" w:rsidP="00D6542C">
            <w:pPr>
              <w:widowControl w:val="0"/>
              <w:spacing w:line="240" w:lineRule="exact"/>
              <w:ind w:right="284"/>
              <w:jc w:val="right"/>
              <w:rPr>
                <w:rFonts w:cs="Arial"/>
                <w:color w:val="000000"/>
                <w:sz w:val="16"/>
                <w:szCs w:val="16"/>
              </w:rPr>
            </w:pPr>
            <w:r>
              <w:rPr>
                <w:rFonts w:cs="Arial"/>
                <w:color w:val="000000"/>
                <w:sz w:val="16"/>
                <w:szCs w:val="16"/>
              </w:rPr>
              <w:t>7,8</w:t>
            </w:r>
          </w:p>
        </w:tc>
      </w:tr>
      <w:tr w:rsidR="00FF2320" w:rsidRPr="00F04D4B" w:rsidTr="00AF3C20">
        <w:trPr>
          <w:trHeight w:val="70"/>
          <w:jc w:val="center"/>
        </w:trPr>
        <w:tc>
          <w:tcPr>
            <w:tcW w:w="105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FF2320" w:rsidRPr="00F04D4B" w:rsidRDefault="00FF2320" w:rsidP="00D6542C">
            <w:pPr>
              <w:widowControl w:val="0"/>
              <w:spacing w:line="240" w:lineRule="exact"/>
              <w:rPr>
                <w:rFonts w:cs="Arial"/>
                <w:b/>
                <w:bCs/>
                <w:sz w:val="16"/>
                <w:szCs w:val="16"/>
              </w:rPr>
            </w:pPr>
            <w:r w:rsidRPr="00F04D4B">
              <w:rPr>
                <w:rFonts w:cs="Arial"/>
                <w:b/>
                <w:bCs/>
                <w:sz w:val="16"/>
                <w:szCs w:val="16"/>
              </w:rPr>
              <w:t>TOTAL</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FF2320" w:rsidRPr="00F04D4B" w:rsidRDefault="00FF2320" w:rsidP="00D6542C">
            <w:pPr>
              <w:widowControl w:val="0"/>
              <w:spacing w:line="240" w:lineRule="exact"/>
              <w:ind w:right="284"/>
              <w:jc w:val="right"/>
              <w:rPr>
                <w:rFonts w:cs="Arial"/>
                <w:b/>
                <w:bCs/>
                <w:sz w:val="16"/>
                <w:szCs w:val="16"/>
              </w:rPr>
            </w:pPr>
            <w:r w:rsidRPr="00F04D4B">
              <w:rPr>
                <w:rFonts w:cs="Arial"/>
                <w:b/>
                <w:bCs/>
                <w:sz w:val="16"/>
                <w:szCs w:val="16"/>
              </w:rPr>
              <w:t>3.078</w:t>
            </w:r>
          </w:p>
        </w:tc>
        <w:tc>
          <w:tcPr>
            <w:tcW w:w="69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F2320" w:rsidRPr="00F04D4B" w:rsidRDefault="00FF2320" w:rsidP="00D6542C">
            <w:pPr>
              <w:widowControl w:val="0"/>
              <w:spacing w:line="240" w:lineRule="exact"/>
              <w:ind w:right="284"/>
              <w:jc w:val="right"/>
              <w:rPr>
                <w:rFonts w:cs="Arial"/>
                <w:b/>
                <w:bCs/>
                <w:sz w:val="16"/>
                <w:szCs w:val="16"/>
              </w:rPr>
            </w:pPr>
            <w:r>
              <w:rPr>
                <w:rFonts w:cs="Arial"/>
                <w:b/>
                <w:bCs/>
                <w:sz w:val="16"/>
                <w:szCs w:val="16"/>
              </w:rPr>
              <w:t>100,0</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FF2320" w:rsidRPr="00F04D4B" w:rsidRDefault="00FF2320" w:rsidP="00D6542C">
            <w:pPr>
              <w:widowControl w:val="0"/>
              <w:spacing w:line="240" w:lineRule="exact"/>
              <w:ind w:right="284"/>
              <w:jc w:val="right"/>
              <w:rPr>
                <w:rFonts w:cs="Arial"/>
                <w:b/>
                <w:bCs/>
                <w:sz w:val="16"/>
                <w:szCs w:val="16"/>
              </w:rPr>
            </w:pPr>
            <w:r>
              <w:rPr>
                <w:rFonts w:cs="Arial"/>
                <w:b/>
                <w:bCs/>
                <w:sz w:val="16"/>
                <w:szCs w:val="16"/>
              </w:rPr>
              <w:t>3.127</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F2320" w:rsidRPr="00F04D4B" w:rsidRDefault="00FF2320" w:rsidP="00D6542C">
            <w:pPr>
              <w:widowControl w:val="0"/>
              <w:spacing w:line="240" w:lineRule="exact"/>
              <w:ind w:right="284"/>
              <w:jc w:val="right"/>
              <w:rPr>
                <w:rFonts w:cs="Arial"/>
                <w:b/>
                <w:bCs/>
                <w:sz w:val="16"/>
                <w:szCs w:val="16"/>
              </w:rPr>
            </w:pPr>
            <w:r w:rsidRPr="00F04D4B">
              <w:rPr>
                <w:rFonts w:cs="Arial"/>
                <w:b/>
                <w:bCs/>
                <w:sz w:val="16"/>
                <w:szCs w:val="16"/>
              </w:rPr>
              <w:t>100</w:t>
            </w:r>
            <w:r>
              <w:rPr>
                <w:rFonts w:cs="Arial"/>
                <w:b/>
                <w:bCs/>
                <w:sz w:val="16"/>
                <w:szCs w:val="16"/>
              </w:rPr>
              <w:t>,0</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FF2320" w:rsidRPr="00F04D4B" w:rsidRDefault="00FF2320" w:rsidP="00D6542C">
            <w:pPr>
              <w:widowControl w:val="0"/>
              <w:spacing w:line="240" w:lineRule="exact"/>
              <w:ind w:right="284"/>
              <w:jc w:val="right"/>
              <w:rPr>
                <w:rFonts w:cs="Arial"/>
                <w:b/>
                <w:bCs/>
                <w:sz w:val="16"/>
                <w:szCs w:val="16"/>
              </w:rPr>
            </w:pPr>
            <w:r>
              <w:rPr>
                <w:rFonts w:cs="Arial"/>
                <w:b/>
                <w:bCs/>
                <w:sz w:val="16"/>
                <w:szCs w:val="16"/>
              </w:rPr>
              <w:t>1,6</w:t>
            </w:r>
          </w:p>
        </w:tc>
      </w:tr>
    </w:tbl>
    <w:p w:rsidR="00FF2320" w:rsidRPr="00777C7A" w:rsidRDefault="00FF2320" w:rsidP="00FF2320">
      <w:pPr>
        <w:widowControl w:val="0"/>
        <w:tabs>
          <w:tab w:val="left" w:pos="993"/>
        </w:tabs>
        <w:ind w:firstLine="709"/>
        <w:jc w:val="center"/>
        <w:rPr>
          <w:rFonts w:cs="Arial"/>
          <w:sz w:val="16"/>
          <w:szCs w:val="16"/>
        </w:rPr>
      </w:pPr>
      <w:r>
        <w:rPr>
          <w:rFonts w:cs="Arial"/>
          <w:sz w:val="16"/>
          <w:szCs w:val="16"/>
        </w:rPr>
        <w:t xml:space="preserve">(1) </w:t>
      </w:r>
      <w:r>
        <w:rPr>
          <w:rFonts w:cs="Arial"/>
          <w:sz w:val="16"/>
          <w:szCs w:val="16"/>
        </w:rPr>
        <w:tab/>
        <w:t>Incremento porcentual registrado por las cifras absolutas.</w:t>
      </w:r>
    </w:p>
    <w:p w:rsidR="00FF2320" w:rsidRDefault="00FF2320" w:rsidP="00FF2320">
      <w:pPr>
        <w:spacing w:line="240" w:lineRule="auto"/>
        <w:ind w:left="227"/>
        <w:rPr>
          <w:rFonts w:eastAsia="Times New Roman" w:cs="Arial"/>
          <w:szCs w:val="20"/>
          <w:lang w:val="es-ES_tradnl" w:eastAsia="es-ES"/>
        </w:rPr>
      </w:pPr>
    </w:p>
    <w:p w:rsidR="00FF2320" w:rsidRDefault="00FF2320" w:rsidP="004114B8">
      <w:pPr>
        <w:pStyle w:val="ARIALNARROW"/>
        <w:spacing w:line="360" w:lineRule="auto"/>
        <w:rPr>
          <w:b/>
        </w:rPr>
      </w:pPr>
    </w:p>
    <w:p w:rsidR="00ED3B1B" w:rsidRDefault="00ED3B1B">
      <w:pPr>
        <w:spacing w:after="200" w:line="276" w:lineRule="auto"/>
        <w:jc w:val="left"/>
        <w:rPr>
          <w:rFonts w:eastAsia="Times New Roman" w:cs="Arial"/>
          <w:b/>
          <w:szCs w:val="20"/>
          <w:lang w:val="es-ES_tradnl" w:eastAsia="es-ES"/>
        </w:rPr>
      </w:pPr>
      <w:r>
        <w:rPr>
          <w:b/>
        </w:rPr>
        <w:br w:type="page"/>
      </w:r>
    </w:p>
    <w:p w:rsidR="004114B8" w:rsidRDefault="004114B8" w:rsidP="004114B8">
      <w:pPr>
        <w:pStyle w:val="ARIALNARROW"/>
        <w:spacing w:line="360" w:lineRule="auto"/>
        <w:rPr>
          <w:spacing w:val="4"/>
        </w:rPr>
      </w:pPr>
      <w:r>
        <w:rPr>
          <w:b/>
        </w:rPr>
        <w:lastRenderedPageBreak/>
        <w:t>La conjunción del descenso en el nivel del empleo y la evolución en positivo del pa</w:t>
      </w:r>
      <w:r w:rsidR="00DF3AD0">
        <w:rPr>
          <w:b/>
        </w:rPr>
        <w:t>rque de establecimientos de la Economía S</w:t>
      </w:r>
      <w:r>
        <w:rPr>
          <w:b/>
        </w:rPr>
        <w:t>ocial</w:t>
      </w:r>
      <w:r w:rsidR="00DF3AD0">
        <w:rPr>
          <w:b/>
        </w:rPr>
        <w:t>,</w:t>
      </w:r>
      <w:r>
        <w:rPr>
          <w:b/>
        </w:rPr>
        <w:t xml:space="preserve"> evidencia una mayor presencia de empresas y establecimientos de menor dimensión.</w:t>
      </w:r>
    </w:p>
    <w:p w:rsidR="004114B8" w:rsidRPr="00DE01F8" w:rsidRDefault="004114B8" w:rsidP="004114B8">
      <w:pPr>
        <w:pStyle w:val="ARIALNARROW"/>
        <w:spacing w:line="360" w:lineRule="auto"/>
        <w:ind w:left="426" w:hanging="426"/>
      </w:pPr>
    </w:p>
    <w:p w:rsidR="004B2AF5" w:rsidRDefault="00FF2320" w:rsidP="004114B8">
      <w:pPr>
        <w:pStyle w:val="ARIALNARROW"/>
        <w:spacing w:line="360" w:lineRule="auto"/>
      </w:pPr>
      <w:r>
        <w:t xml:space="preserve">La tendencia divergente </w:t>
      </w:r>
      <w:r w:rsidR="004114B8">
        <w:t xml:space="preserve">entre la evolución </w:t>
      </w:r>
      <w:r w:rsidR="008A036F">
        <w:t>negativa en el nivel de</w:t>
      </w:r>
      <w:r w:rsidR="004114B8">
        <w:t xml:space="preserve"> empleo (-2,2%)</w:t>
      </w:r>
      <w:r w:rsidR="00D24CC7">
        <w:t>,</w:t>
      </w:r>
      <w:r w:rsidR="004114B8">
        <w:t xml:space="preserve"> </w:t>
      </w:r>
      <w:r>
        <w:t xml:space="preserve">por un lado, </w:t>
      </w:r>
      <w:r w:rsidR="004114B8">
        <w:t>y el crecimiento del volumen de establecimientos</w:t>
      </w:r>
      <w:r w:rsidR="004B2AF5">
        <w:t xml:space="preserve"> (+1,6%), </w:t>
      </w:r>
      <w:r>
        <w:t xml:space="preserve">por otro, se vincula –al mismo tiempo que prolonga- </w:t>
      </w:r>
      <w:r w:rsidR="004B2AF5">
        <w:t xml:space="preserve">la tendencia </w:t>
      </w:r>
      <w:r>
        <w:t xml:space="preserve">a la consolidación de </w:t>
      </w:r>
      <w:r w:rsidR="004114B8">
        <w:t xml:space="preserve">un parque </w:t>
      </w:r>
      <w:r>
        <w:t>de establecimientos en las FCES</w:t>
      </w:r>
      <w:r w:rsidR="004114B8">
        <w:t xml:space="preserve"> de </w:t>
      </w:r>
      <w:r w:rsidR="00D24CC7">
        <w:t xml:space="preserve">menor </w:t>
      </w:r>
      <w:r w:rsidR="004114B8">
        <w:t xml:space="preserve">tamaño. </w:t>
      </w:r>
    </w:p>
    <w:p w:rsidR="004B2AF5" w:rsidRDefault="004B2AF5" w:rsidP="004114B8">
      <w:pPr>
        <w:pStyle w:val="ARIALNARROW"/>
        <w:spacing w:line="360" w:lineRule="auto"/>
      </w:pPr>
    </w:p>
    <w:p w:rsidR="004114B8" w:rsidRPr="00DE01F8" w:rsidRDefault="005E5848" w:rsidP="004114B8">
      <w:pPr>
        <w:pStyle w:val="ARIALNARROW"/>
        <w:spacing w:line="360" w:lineRule="auto"/>
      </w:pPr>
      <w:r>
        <w:t>La explicación se relaciona en gran medida con el</w:t>
      </w:r>
      <w:r w:rsidRPr="00DE01F8">
        <w:t xml:space="preserve"> mayor dinamismo en la creación de </w:t>
      </w:r>
      <w:r w:rsidRPr="00575E99">
        <w:t>pequeñas cooperativas, establecidas en el marco de una regulación más flexible y de programas de apoyo para la promoción de este tipo de micro</w:t>
      </w:r>
      <w:r>
        <w:t>empresa. D</w:t>
      </w:r>
      <w:r w:rsidR="00FF2320">
        <w:t xml:space="preserve">e hecho, </w:t>
      </w:r>
      <w:r w:rsidR="004114B8">
        <w:t xml:space="preserve">resulta muy notable el crecimiento </w:t>
      </w:r>
      <w:r w:rsidR="00D74B3C">
        <w:t>experimentado</w:t>
      </w:r>
      <w:r w:rsidR="004114B8">
        <w:t xml:space="preserve"> desde 2010 en el número de cooperativas de reducida dimensión –centros con menos de 5 empleos-</w:t>
      </w:r>
      <w:r w:rsidR="00FF2320">
        <w:t xml:space="preserve">. Éstos pasan </w:t>
      </w:r>
      <w:r w:rsidR="004114B8">
        <w:t xml:space="preserve">de 612 establecimientos </w:t>
      </w:r>
      <w:r w:rsidR="00BC1E32">
        <w:t xml:space="preserve">en 2010 </w:t>
      </w:r>
      <w:r w:rsidR="004114B8">
        <w:t>a 900 en 2012</w:t>
      </w:r>
      <w:r w:rsidR="00BC1E32">
        <w:t xml:space="preserve"> y 943 </w:t>
      </w:r>
      <w:r w:rsidR="004114B8">
        <w:t>en 2014</w:t>
      </w:r>
      <w:r w:rsidR="00D74B3C">
        <w:t xml:space="preserve">. </w:t>
      </w:r>
      <w:r w:rsidR="00BC1E32">
        <w:t>E</w:t>
      </w:r>
      <w:r w:rsidR="004114B8">
        <w:t xml:space="preserve">n 2014 los establecimientos cooperativos que cuentan con menos de 15 empleos, representan un 55,8% del parque cooperativo. </w:t>
      </w:r>
    </w:p>
    <w:p w:rsidR="00FA5547" w:rsidRDefault="00FA5547">
      <w:pPr>
        <w:spacing w:after="200" w:line="276" w:lineRule="auto"/>
        <w:jc w:val="left"/>
        <w:rPr>
          <w:rFonts w:eastAsia="Times New Roman" w:cs="Arial"/>
          <w:szCs w:val="20"/>
          <w:lang w:val="es-ES_tradnl" w:eastAsia="es-ES"/>
        </w:rPr>
      </w:pPr>
    </w:p>
    <w:p w:rsidR="004114B8" w:rsidRPr="00B438BB" w:rsidRDefault="004114B8" w:rsidP="00FA5547">
      <w:pPr>
        <w:pStyle w:val="ARIALNARROW"/>
        <w:spacing w:line="240" w:lineRule="auto"/>
        <w:ind w:left="426" w:hanging="426"/>
        <w:jc w:val="center"/>
        <w:rPr>
          <w:b/>
          <w:color w:val="1F497D" w:themeColor="text2"/>
          <w:sz w:val="18"/>
          <w:szCs w:val="18"/>
        </w:rPr>
      </w:pPr>
      <w:r w:rsidRPr="00B438BB">
        <w:rPr>
          <w:b/>
          <w:color w:val="1F497D" w:themeColor="text2"/>
          <w:sz w:val="18"/>
          <w:szCs w:val="18"/>
        </w:rPr>
        <w:t>EVOLUCIÓN DEL NÚMERO DE ESTABLECIMIENTOS COOPERATIVOS</w:t>
      </w:r>
    </w:p>
    <w:p w:rsidR="004114B8" w:rsidRPr="00B438BB" w:rsidRDefault="004114B8" w:rsidP="00FA5547">
      <w:pPr>
        <w:widowControl w:val="0"/>
        <w:spacing w:line="240" w:lineRule="auto"/>
        <w:jc w:val="center"/>
        <w:rPr>
          <w:rFonts w:cs="Arial"/>
          <w:b/>
          <w:color w:val="1F497D" w:themeColor="text2"/>
          <w:sz w:val="18"/>
          <w:szCs w:val="18"/>
        </w:rPr>
      </w:pPr>
      <w:r w:rsidRPr="00B438BB">
        <w:rPr>
          <w:rFonts w:cs="Arial"/>
          <w:b/>
          <w:color w:val="1F497D" w:themeColor="text2"/>
          <w:sz w:val="18"/>
          <w:szCs w:val="18"/>
        </w:rPr>
        <w:t>POR DIMENSIÓN 2012-2014</w:t>
      </w:r>
    </w:p>
    <w:tbl>
      <w:tblPr>
        <w:tblW w:w="5000" w:type="pct"/>
        <w:jc w:val="center"/>
        <w:tblCellMar>
          <w:left w:w="70" w:type="dxa"/>
          <w:right w:w="70" w:type="dxa"/>
        </w:tblCellMar>
        <w:tblLook w:val="04A0" w:firstRow="1" w:lastRow="0" w:firstColumn="1" w:lastColumn="0" w:noHBand="0" w:noVBand="1"/>
      </w:tblPr>
      <w:tblGrid>
        <w:gridCol w:w="3610"/>
        <w:gridCol w:w="1870"/>
        <w:gridCol w:w="1725"/>
        <w:gridCol w:w="1723"/>
      </w:tblGrid>
      <w:tr w:rsidR="004114B8" w:rsidRPr="00E70663" w:rsidTr="00ED3B1B">
        <w:trPr>
          <w:jc w:val="center"/>
        </w:trPr>
        <w:tc>
          <w:tcPr>
            <w:tcW w:w="2022" w:type="pct"/>
            <w:vMerge w:val="restart"/>
            <w:tcBorders>
              <w:top w:val="single" w:sz="8" w:space="0" w:color="BFBFBF"/>
              <w:left w:val="nil"/>
              <w:bottom w:val="single" w:sz="8" w:space="0" w:color="BFBFBF"/>
              <w:right w:val="single" w:sz="8" w:space="0" w:color="BFBFBF"/>
            </w:tcBorders>
            <w:shd w:val="clear" w:color="000000" w:fill="DBE5F1"/>
            <w:vAlign w:val="bottom"/>
            <w:hideMark/>
          </w:tcPr>
          <w:p w:rsidR="004114B8" w:rsidRPr="00E70663" w:rsidRDefault="004114B8" w:rsidP="00D86960">
            <w:pPr>
              <w:widowControl w:val="0"/>
              <w:spacing w:line="240" w:lineRule="exact"/>
              <w:jc w:val="left"/>
              <w:rPr>
                <w:rFonts w:ascii="Calibri" w:eastAsia="Times New Roman" w:hAnsi="Calibri" w:cs="Times New Roman"/>
                <w:sz w:val="22"/>
                <w:lang w:eastAsia="es-ES"/>
              </w:rPr>
            </w:pPr>
            <w:r w:rsidRPr="00E70663">
              <w:rPr>
                <w:rFonts w:ascii="Calibri" w:eastAsia="Times New Roman" w:hAnsi="Calibri" w:cs="Times New Roman"/>
                <w:sz w:val="22"/>
                <w:lang w:eastAsia="es-ES"/>
              </w:rPr>
              <w:t> </w:t>
            </w:r>
          </w:p>
        </w:tc>
        <w:tc>
          <w:tcPr>
            <w:tcW w:w="1047" w:type="pct"/>
            <w:tcBorders>
              <w:top w:val="single" w:sz="8" w:space="0" w:color="BFBFBF"/>
              <w:left w:val="nil"/>
              <w:bottom w:val="nil"/>
              <w:right w:val="single" w:sz="8" w:space="0" w:color="BFBFBF"/>
            </w:tcBorders>
            <w:shd w:val="clear" w:color="000000" w:fill="DBE5F1"/>
            <w:vAlign w:val="bottom"/>
            <w:hideMark/>
          </w:tcPr>
          <w:p w:rsidR="004114B8" w:rsidRPr="00E70663" w:rsidRDefault="004114B8" w:rsidP="00D86960">
            <w:pPr>
              <w:widowControl w:val="0"/>
              <w:spacing w:line="240" w:lineRule="exact"/>
              <w:jc w:val="center"/>
              <w:rPr>
                <w:rFonts w:eastAsia="Times New Roman" w:cs="Arial"/>
                <w:b/>
                <w:bCs/>
                <w:sz w:val="16"/>
                <w:szCs w:val="16"/>
                <w:lang w:eastAsia="es-ES"/>
              </w:rPr>
            </w:pPr>
            <w:r w:rsidRPr="00E70663">
              <w:rPr>
                <w:rFonts w:eastAsia="Times New Roman" w:cs="Arial"/>
                <w:b/>
                <w:bCs/>
                <w:sz w:val="16"/>
                <w:szCs w:val="16"/>
                <w:lang w:eastAsia="es-ES"/>
              </w:rPr>
              <w:t xml:space="preserve">Establecimientos </w:t>
            </w:r>
          </w:p>
        </w:tc>
        <w:tc>
          <w:tcPr>
            <w:tcW w:w="966" w:type="pct"/>
            <w:tcBorders>
              <w:top w:val="single" w:sz="8" w:space="0" w:color="BFBFBF"/>
              <w:left w:val="nil"/>
              <w:bottom w:val="nil"/>
              <w:right w:val="single" w:sz="8" w:space="0" w:color="BFBFBF"/>
            </w:tcBorders>
            <w:shd w:val="clear" w:color="000000" w:fill="DBE5F1"/>
            <w:vAlign w:val="bottom"/>
            <w:hideMark/>
          </w:tcPr>
          <w:p w:rsidR="004114B8" w:rsidRPr="00E70663" w:rsidRDefault="004114B8" w:rsidP="00D86960">
            <w:pPr>
              <w:widowControl w:val="0"/>
              <w:spacing w:line="240" w:lineRule="exact"/>
              <w:jc w:val="center"/>
              <w:rPr>
                <w:rFonts w:eastAsia="Times New Roman" w:cs="Arial"/>
                <w:b/>
                <w:bCs/>
                <w:sz w:val="16"/>
                <w:szCs w:val="16"/>
                <w:lang w:eastAsia="es-ES"/>
              </w:rPr>
            </w:pPr>
            <w:r w:rsidRPr="00E70663">
              <w:rPr>
                <w:rFonts w:eastAsia="Times New Roman" w:cs="Arial"/>
                <w:b/>
                <w:bCs/>
                <w:sz w:val="16"/>
                <w:szCs w:val="16"/>
                <w:lang w:eastAsia="es-ES"/>
              </w:rPr>
              <w:t>Establecimientos</w:t>
            </w:r>
          </w:p>
        </w:tc>
        <w:tc>
          <w:tcPr>
            <w:tcW w:w="966" w:type="pct"/>
            <w:tcBorders>
              <w:top w:val="single" w:sz="8" w:space="0" w:color="BFBFBF"/>
              <w:left w:val="nil"/>
              <w:bottom w:val="nil"/>
              <w:right w:val="nil"/>
            </w:tcBorders>
            <w:shd w:val="clear" w:color="000000" w:fill="DBE5F1"/>
            <w:vAlign w:val="bottom"/>
            <w:hideMark/>
          </w:tcPr>
          <w:p w:rsidR="004114B8" w:rsidRPr="00E70663" w:rsidRDefault="004114B8" w:rsidP="00D86960">
            <w:pPr>
              <w:widowControl w:val="0"/>
              <w:spacing w:line="240" w:lineRule="exact"/>
              <w:jc w:val="center"/>
              <w:rPr>
                <w:rFonts w:eastAsia="Times New Roman" w:cs="Arial"/>
                <w:b/>
                <w:bCs/>
                <w:sz w:val="16"/>
                <w:szCs w:val="16"/>
                <w:lang w:eastAsia="es-ES"/>
              </w:rPr>
            </w:pPr>
            <w:r w:rsidRPr="00E70663">
              <w:rPr>
                <w:rFonts w:eastAsia="Times New Roman" w:cs="Arial"/>
                <w:b/>
                <w:bCs/>
                <w:sz w:val="16"/>
                <w:szCs w:val="16"/>
                <w:lang w:eastAsia="es-ES"/>
              </w:rPr>
              <w:t xml:space="preserve">Evolución </w:t>
            </w:r>
          </w:p>
        </w:tc>
      </w:tr>
      <w:tr w:rsidR="004114B8" w:rsidRPr="00E70663" w:rsidTr="00ED3B1B">
        <w:trPr>
          <w:jc w:val="center"/>
        </w:trPr>
        <w:tc>
          <w:tcPr>
            <w:tcW w:w="2022" w:type="pct"/>
            <w:vMerge/>
            <w:tcBorders>
              <w:top w:val="single" w:sz="8" w:space="0" w:color="BFBFBF"/>
              <w:left w:val="nil"/>
              <w:bottom w:val="single" w:sz="8" w:space="0" w:color="BFBFBF"/>
              <w:right w:val="single" w:sz="8" w:space="0" w:color="BFBFBF"/>
            </w:tcBorders>
            <w:vAlign w:val="center"/>
            <w:hideMark/>
          </w:tcPr>
          <w:p w:rsidR="004114B8" w:rsidRPr="00E70663" w:rsidRDefault="004114B8" w:rsidP="00D86960">
            <w:pPr>
              <w:widowControl w:val="0"/>
              <w:spacing w:line="240" w:lineRule="exact"/>
              <w:jc w:val="left"/>
              <w:rPr>
                <w:rFonts w:ascii="Calibri" w:eastAsia="Times New Roman" w:hAnsi="Calibri" w:cs="Times New Roman"/>
                <w:sz w:val="22"/>
                <w:lang w:eastAsia="es-ES"/>
              </w:rPr>
            </w:pPr>
          </w:p>
        </w:tc>
        <w:tc>
          <w:tcPr>
            <w:tcW w:w="1047" w:type="pct"/>
            <w:tcBorders>
              <w:top w:val="nil"/>
              <w:left w:val="nil"/>
              <w:bottom w:val="single" w:sz="8" w:space="0" w:color="BFBFBF"/>
              <w:right w:val="single" w:sz="8" w:space="0" w:color="BFBFBF"/>
            </w:tcBorders>
            <w:shd w:val="clear" w:color="000000" w:fill="DBE5F1"/>
            <w:vAlign w:val="bottom"/>
            <w:hideMark/>
          </w:tcPr>
          <w:p w:rsidR="004114B8" w:rsidRPr="00E70663" w:rsidRDefault="004114B8" w:rsidP="00D86960">
            <w:pPr>
              <w:widowControl w:val="0"/>
              <w:spacing w:line="240" w:lineRule="exact"/>
              <w:jc w:val="center"/>
              <w:rPr>
                <w:rFonts w:eastAsia="Times New Roman" w:cs="Arial"/>
                <w:b/>
                <w:bCs/>
                <w:sz w:val="16"/>
                <w:szCs w:val="16"/>
                <w:lang w:eastAsia="es-ES"/>
              </w:rPr>
            </w:pPr>
            <w:r>
              <w:rPr>
                <w:rFonts w:eastAsia="Times New Roman" w:cs="Arial"/>
                <w:b/>
                <w:bCs/>
                <w:sz w:val="16"/>
                <w:szCs w:val="16"/>
                <w:lang w:eastAsia="es-ES"/>
              </w:rPr>
              <w:t>2012</w:t>
            </w:r>
          </w:p>
        </w:tc>
        <w:tc>
          <w:tcPr>
            <w:tcW w:w="966" w:type="pct"/>
            <w:tcBorders>
              <w:top w:val="nil"/>
              <w:left w:val="nil"/>
              <w:bottom w:val="single" w:sz="8" w:space="0" w:color="BFBFBF"/>
              <w:right w:val="single" w:sz="8" w:space="0" w:color="BFBFBF"/>
            </w:tcBorders>
            <w:shd w:val="clear" w:color="000000" w:fill="DBE5F1"/>
            <w:vAlign w:val="bottom"/>
            <w:hideMark/>
          </w:tcPr>
          <w:p w:rsidR="004114B8" w:rsidRPr="00E70663" w:rsidRDefault="004114B8" w:rsidP="00D86960">
            <w:pPr>
              <w:widowControl w:val="0"/>
              <w:spacing w:line="240" w:lineRule="exact"/>
              <w:jc w:val="center"/>
              <w:rPr>
                <w:rFonts w:eastAsia="Times New Roman" w:cs="Arial"/>
                <w:b/>
                <w:bCs/>
                <w:sz w:val="16"/>
                <w:szCs w:val="16"/>
                <w:lang w:eastAsia="es-ES"/>
              </w:rPr>
            </w:pPr>
            <w:r>
              <w:rPr>
                <w:rFonts w:eastAsia="Times New Roman" w:cs="Arial"/>
                <w:b/>
                <w:bCs/>
                <w:sz w:val="16"/>
                <w:szCs w:val="16"/>
                <w:lang w:eastAsia="es-ES"/>
              </w:rPr>
              <w:t>2014</w:t>
            </w:r>
          </w:p>
        </w:tc>
        <w:tc>
          <w:tcPr>
            <w:tcW w:w="966" w:type="pct"/>
            <w:tcBorders>
              <w:top w:val="nil"/>
              <w:left w:val="nil"/>
              <w:bottom w:val="single" w:sz="8" w:space="0" w:color="BFBFBF"/>
              <w:right w:val="nil"/>
            </w:tcBorders>
            <w:shd w:val="clear" w:color="000000" w:fill="DBE5F1"/>
            <w:vAlign w:val="bottom"/>
            <w:hideMark/>
          </w:tcPr>
          <w:p w:rsidR="004114B8" w:rsidRPr="00E70663" w:rsidRDefault="004114B8" w:rsidP="00D86960">
            <w:pPr>
              <w:widowControl w:val="0"/>
              <w:spacing w:line="240" w:lineRule="exact"/>
              <w:jc w:val="center"/>
              <w:rPr>
                <w:rFonts w:eastAsia="Times New Roman" w:cs="Arial"/>
                <w:b/>
                <w:bCs/>
                <w:sz w:val="16"/>
                <w:szCs w:val="16"/>
                <w:lang w:eastAsia="es-ES"/>
              </w:rPr>
            </w:pPr>
            <w:r>
              <w:rPr>
                <w:rFonts w:eastAsia="Times New Roman" w:cs="Arial"/>
                <w:b/>
                <w:bCs/>
                <w:sz w:val="16"/>
                <w:szCs w:val="16"/>
                <w:lang w:eastAsia="es-ES"/>
              </w:rPr>
              <w:t>2012 - 2014</w:t>
            </w:r>
          </w:p>
        </w:tc>
      </w:tr>
      <w:tr w:rsidR="004114B8" w:rsidRPr="00E70663" w:rsidTr="00ED3B1B">
        <w:trPr>
          <w:jc w:val="center"/>
        </w:trPr>
        <w:tc>
          <w:tcPr>
            <w:tcW w:w="2022"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sz w:val="16"/>
                <w:szCs w:val="16"/>
                <w:lang w:eastAsia="es-ES"/>
              </w:rPr>
            </w:pPr>
            <w:r w:rsidRPr="00E70663">
              <w:rPr>
                <w:rFonts w:eastAsia="Times New Roman" w:cs="Arial"/>
                <w:sz w:val="16"/>
                <w:szCs w:val="16"/>
                <w:lang w:eastAsia="es-ES"/>
              </w:rPr>
              <w:t>Hasta 5 empleos</w:t>
            </w:r>
          </w:p>
        </w:tc>
        <w:tc>
          <w:tcPr>
            <w:tcW w:w="1047"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900</w:t>
            </w:r>
          </w:p>
        </w:tc>
        <w:tc>
          <w:tcPr>
            <w:tcW w:w="966" w:type="pct"/>
            <w:tcBorders>
              <w:top w:val="nil"/>
              <w:left w:val="nil"/>
              <w:bottom w:val="nil"/>
              <w:right w:val="single" w:sz="8" w:space="0" w:color="BFBFBF"/>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943</w:t>
            </w:r>
          </w:p>
        </w:tc>
        <w:tc>
          <w:tcPr>
            <w:tcW w:w="966" w:type="pct"/>
            <w:tcBorders>
              <w:top w:val="nil"/>
              <w:left w:val="nil"/>
              <w:bottom w:val="nil"/>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4,8</w:t>
            </w:r>
          </w:p>
        </w:tc>
      </w:tr>
      <w:tr w:rsidR="004114B8" w:rsidRPr="00E70663" w:rsidTr="00ED3B1B">
        <w:trPr>
          <w:jc w:val="center"/>
        </w:trPr>
        <w:tc>
          <w:tcPr>
            <w:tcW w:w="2022"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6 a 15</w:t>
            </w:r>
          </w:p>
        </w:tc>
        <w:tc>
          <w:tcPr>
            <w:tcW w:w="1047"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303</w:t>
            </w:r>
          </w:p>
        </w:tc>
        <w:tc>
          <w:tcPr>
            <w:tcW w:w="966" w:type="pct"/>
            <w:tcBorders>
              <w:top w:val="nil"/>
              <w:left w:val="nil"/>
              <w:bottom w:val="nil"/>
              <w:right w:val="single" w:sz="8" w:space="0" w:color="BFBFBF"/>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304</w:t>
            </w:r>
          </w:p>
        </w:tc>
        <w:tc>
          <w:tcPr>
            <w:tcW w:w="966" w:type="pct"/>
            <w:tcBorders>
              <w:top w:val="nil"/>
              <w:left w:val="nil"/>
              <w:bottom w:val="nil"/>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0,3</w:t>
            </w:r>
          </w:p>
        </w:tc>
      </w:tr>
      <w:tr w:rsidR="004114B8" w:rsidRPr="00E70663" w:rsidTr="00ED3B1B">
        <w:trPr>
          <w:jc w:val="center"/>
        </w:trPr>
        <w:tc>
          <w:tcPr>
            <w:tcW w:w="2022"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16 a 50</w:t>
            </w:r>
          </w:p>
        </w:tc>
        <w:tc>
          <w:tcPr>
            <w:tcW w:w="1047"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181</w:t>
            </w:r>
          </w:p>
        </w:tc>
        <w:tc>
          <w:tcPr>
            <w:tcW w:w="966" w:type="pct"/>
            <w:tcBorders>
              <w:top w:val="nil"/>
              <w:left w:val="nil"/>
              <w:bottom w:val="nil"/>
              <w:right w:val="single" w:sz="8" w:space="0" w:color="BFBFBF"/>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167</w:t>
            </w:r>
          </w:p>
        </w:tc>
        <w:tc>
          <w:tcPr>
            <w:tcW w:w="966" w:type="pct"/>
            <w:tcBorders>
              <w:top w:val="nil"/>
              <w:left w:val="nil"/>
              <w:bottom w:val="nil"/>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-7,7</w:t>
            </w:r>
          </w:p>
        </w:tc>
      </w:tr>
      <w:tr w:rsidR="004114B8" w:rsidRPr="00E70663" w:rsidTr="00ED3B1B">
        <w:trPr>
          <w:jc w:val="center"/>
        </w:trPr>
        <w:tc>
          <w:tcPr>
            <w:tcW w:w="2022"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51 a 100</w:t>
            </w:r>
          </w:p>
        </w:tc>
        <w:tc>
          <w:tcPr>
            <w:tcW w:w="1047"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94</w:t>
            </w:r>
          </w:p>
        </w:tc>
        <w:tc>
          <w:tcPr>
            <w:tcW w:w="966" w:type="pct"/>
            <w:tcBorders>
              <w:top w:val="nil"/>
              <w:left w:val="nil"/>
              <w:bottom w:val="nil"/>
              <w:right w:val="single" w:sz="8" w:space="0" w:color="BFBFBF"/>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101</w:t>
            </w:r>
          </w:p>
        </w:tc>
        <w:tc>
          <w:tcPr>
            <w:tcW w:w="966" w:type="pct"/>
            <w:tcBorders>
              <w:top w:val="nil"/>
              <w:left w:val="nil"/>
              <w:bottom w:val="nil"/>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7,4</w:t>
            </w:r>
          </w:p>
        </w:tc>
      </w:tr>
      <w:tr w:rsidR="004114B8" w:rsidRPr="00E70663" w:rsidTr="00ED3B1B">
        <w:trPr>
          <w:jc w:val="center"/>
        </w:trPr>
        <w:tc>
          <w:tcPr>
            <w:tcW w:w="2022"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101 a 200</w:t>
            </w:r>
          </w:p>
        </w:tc>
        <w:tc>
          <w:tcPr>
            <w:tcW w:w="1047"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60</w:t>
            </w:r>
          </w:p>
        </w:tc>
        <w:tc>
          <w:tcPr>
            <w:tcW w:w="966" w:type="pct"/>
            <w:tcBorders>
              <w:top w:val="nil"/>
              <w:left w:val="nil"/>
              <w:bottom w:val="nil"/>
              <w:right w:val="single" w:sz="8" w:space="0" w:color="BFBFBF"/>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63</w:t>
            </w:r>
          </w:p>
        </w:tc>
        <w:tc>
          <w:tcPr>
            <w:tcW w:w="966" w:type="pct"/>
            <w:tcBorders>
              <w:top w:val="nil"/>
              <w:left w:val="nil"/>
              <w:bottom w:val="nil"/>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5,0</w:t>
            </w:r>
          </w:p>
        </w:tc>
      </w:tr>
      <w:tr w:rsidR="004114B8" w:rsidRPr="00E70663" w:rsidTr="00ED3B1B">
        <w:trPr>
          <w:jc w:val="center"/>
        </w:trPr>
        <w:tc>
          <w:tcPr>
            <w:tcW w:w="2022"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201 a 500</w:t>
            </w:r>
          </w:p>
        </w:tc>
        <w:tc>
          <w:tcPr>
            <w:tcW w:w="1047" w:type="pct"/>
            <w:tcBorders>
              <w:top w:val="nil"/>
              <w:left w:val="nil"/>
              <w:bottom w:val="nil"/>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128</w:t>
            </w:r>
          </w:p>
        </w:tc>
        <w:tc>
          <w:tcPr>
            <w:tcW w:w="966" w:type="pct"/>
            <w:tcBorders>
              <w:top w:val="nil"/>
              <w:left w:val="nil"/>
              <w:bottom w:val="nil"/>
              <w:right w:val="single" w:sz="8" w:space="0" w:color="BFBFBF"/>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129</w:t>
            </w:r>
          </w:p>
        </w:tc>
        <w:tc>
          <w:tcPr>
            <w:tcW w:w="966" w:type="pct"/>
            <w:tcBorders>
              <w:top w:val="nil"/>
              <w:left w:val="nil"/>
              <w:bottom w:val="nil"/>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0,8</w:t>
            </w:r>
          </w:p>
        </w:tc>
      </w:tr>
      <w:tr w:rsidR="004114B8" w:rsidRPr="00E70663" w:rsidTr="00ED3B1B">
        <w:trPr>
          <w:jc w:val="center"/>
        </w:trPr>
        <w:tc>
          <w:tcPr>
            <w:tcW w:w="2022" w:type="pct"/>
            <w:tcBorders>
              <w:top w:val="nil"/>
              <w:left w:val="nil"/>
              <w:bottom w:val="single" w:sz="8" w:space="0" w:color="BFBFBF"/>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sz w:val="16"/>
                <w:szCs w:val="16"/>
                <w:lang w:eastAsia="es-ES"/>
              </w:rPr>
            </w:pPr>
            <w:r w:rsidRPr="00E70663">
              <w:rPr>
                <w:rFonts w:eastAsia="Times New Roman" w:cs="Arial"/>
                <w:sz w:val="16"/>
                <w:szCs w:val="16"/>
                <w:lang w:eastAsia="es-ES"/>
              </w:rPr>
              <w:t>Más de 500 empleos</w:t>
            </w:r>
          </w:p>
        </w:tc>
        <w:tc>
          <w:tcPr>
            <w:tcW w:w="1047" w:type="pct"/>
            <w:tcBorders>
              <w:top w:val="nil"/>
              <w:left w:val="nil"/>
              <w:bottom w:val="single" w:sz="8" w:space="0" w:color="BFBFBF"/>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528</w:t>
            </w:r>
          </w:p>
        </w:tc>
        <w:tc>
          <w:tcPr>
            <w:tcW w:w="966" w:type="pct"/>
            <w:tcBorders>
              <w:top w:val="nil"/>
              <w:left w:val="nil"/>
              <w:bottom w:val="single" w:sz="8" w:space="0" w:color="BFBFBF"/>
              <w:right w:val="single" w:sz="8" w:space="0" w:color="BFBFBF"/>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526</w:t>
            </w:r>
          </w:p>
        </w:tc>
        <w:tc>
          <w:tcPr>
            <w:tcW w:w="966" w:type="pct"/>
            <w:tcBorders>
              <w:top w:val="nil"/>
              <w:left w:val="nil"/>
              <w:bottom w:val="single" w:sz="8" w:space="0" w:color="BFBFBF"/>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-0,4</w:t>
            </w:r>
          </w:p>
        </w:tc>
      </w:tr>
      <w:tr w:rsidR="004114B8" w:rsidRPr="00E70663" w:rsidTr="00ED3B1B">
        <w:trPr>
          <w:jc w:val="center"/>
        </w:trPr>
        <w:tc>
          <w:tcPr>
            <w:tcW w:w="2022" w:type="pct"/>
            <w:tcBorders>
              <w:top w:val="nil"/>
              <w:left w:val="nil"/>
              <w:bottom w:val="single" w:sz="8" w:space="0" w:color="BFBFBF"/>
              <w:right w:val="single" w:sz="8" w:space="0" w:color="BFBFBF"/>
            </w:tcBorders>
            <w:shd w:val="clear" w:color="auto" w:fill="auto"/>
            <w:vAlign w:val="bottom"/>
            <w:hideMark/>
          </w:tcPr>
          <w:p w:rsidR="004114B8" w:rsidRPr="00E70663" w:rsidRDefault="004114B8" w:rsidP="00D86960">
            <w:pPr>
              <w:widowControl w:val="0"/>
              <w:spacing w:line="240" w:lineRule="exact"/>
              <w:rPr>
                <w:rFonts w:eastAsia="Times New Roman" w:cs="Arial"/>
                <w:b/>
                <w:bCs/>
                <w:sz w:val="16"/>
                <w:szCs w:val="16"/>
                <w:lang w:eastAsia="es-ES"/>
              </w:rPr>
            </w:pPr>
            <w:r w:rsidRPr="00E70663">
              <w:rPr>
                <w:rFonts w:eastAsia="Times New Roman" w:cs="Arial"/>
                <w:b/>
                <w:bCs/>
                <w:sz w:val="16"/>
                <w:szCs w:val="16"/>
                <w:lang w:eastAsia="es-ES"/>
              </w:rPr>
              <w:t>TOTAL</w:t>
            </w:r>
          </w:p>
        </w:tc>
        <w:tc>
          <w:tcPr>
            <w:tcW w:w="1047" w:type="pct"/>
            <w:tcBorders>
              <w:top w:val="nil"/>
              <w:left w:val="nil"/>
              <w:bottom w:val="single" w:sz="8" w:space="0" w:color="BFBFBF"/>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b/>
                <w:bCs/>
                <w:sz w:val="16"/>
                <w:szCs w:val="16"/>
                <w:lang w:eastAsia="es-ES"/>
              </w:rPr>
            </w:pPr>
            <w:r w:rsidRPr="00E70663">
              <w:rPr>
                <w:rFonts w:eastAsia="Times New Roman" w:cs="Arial"/>
                <w:b/>
                <w:bCs/>
                <w:sz w:val="16"/>
                <w:szCs w:val="16"/>
                <w:lang w:eastAsia="es-ES"/>
              </w:rPr>
              <w:t>2.194</w:t>
            </w:r>
          </w:p>
        </w:tc>
        <w:tc>
          <w:tcPr>
            <w:tcW w:w="966" w:type="pct"/>
            <w:tcBorders>
              <w:top w:val="nil"/>
              <w:left w:val="nil"/>
              <w:bottom w:val="single" w:sz="8" w:space="0" w:color="BFBFBF"/>
              <w:right w:val="single" w:sz="8" w:space="0" w:color="BFBFBF"/>
            </w:tcBorders>
            <w:shd w:val="clear" w:color="auto" w:fill="auto"/>
            <w:vAlign w:val="bottom"/>
            <w:hideMark/>
          </w:tcPr>
          <w:p w:rsidR="004114B8" w:rsidRPr="00E70663" w:rsidRDefault="004114B8" w:rsidP="00D86960">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2.233</w:t>
            </w:r>
          </w:p>
        </w:tc>
        <w:tc>
          <w:tcPr>
            <w:tcW w:w="966" w:type="pct"/>
            <w:tcBorders>
              <w:top w:val="nil"/>
              <w:left w:val="nil"/>
              <w:bottom w:val="single" w:sz="8" w:space="0" w:color="BFBFBF"/>
              <w:right w:val="nil"/>
            </w:tcBorders>
            <w:shd w:val="clear" w:color="auto" w:fill="auto"/>
            <w:vAlign w:val="bottom"/>
            <w:hideMark/>
          </w:tcPr>
          <w:p w:rsidR="004114B8" w:rsidRPr="00867EA4" w:rsidRDefault="004114B8" w:rsidP="00D86960">
            <w:pPr>
              <w:widowControl w:val="0"/>
              <w:spacing w:line="240" w:lineRule="exact"/>
              <w:ind w:right="170"/>
              <w:jc w:val="right"/>
              <w:rPr>
                <w:rFonts w:eastAsia="Times New Roman" w:cs="Arial"/>
                <w:sz w:val="16"/>
                <w:szCs w:val="16"/>
                <w:lang w:eastAsia="es-ES"/>
              </w:rPr>
            </w:pPr>
            <w:r w:rsidRPr="00867EA4">
              <w:rPr>
                <w:rFonts w:eastAsia="Times New Roman" w:cs="Arial"/>
                <w:b/>
                <w:bCs/>
                <w:sz w:val="16"/>
                <w:szCs w:val="16"/>
                <w:lang w:eastAsia="es-ES"/>
              </w:rPr>
              <w:t>1,8</w:t>
            </w:r>
          </w:p>
        </w:tc>
      </w:tr>
    </w:tbl>
    <w:p w:rsidR="00D74B3C" w:rsidRDefault="00D74B3C" w:rsidP="004114B8">
      <w:pPr>
        <w:widowControl w:val="0"/>
      </w:pPr>
    </w:p>
    <w:p w:rsidR="005E5848" w:rsidRDefault="005E5848" w:rsidP="004114B8">
      <w:pPr>
        <w:widowControl w:val="0"/>
      </w:pPr>
    </w:p>
    <w:p w:rsidR="004114B8" w:rsidRDefault="005E5848" w:rsidP="004114B8">
      <w:pPr>
        <w:widowControl w:val="0"/>
      </w:pPr>
      <w:r>
        <w:t xml:space="preserve">Esta tendencia en el sector cooperativo no resulta sin embargo tan </w:t>
      </w:r>
      <w:proofErr w:type="gramStart"/>
      <w:r>
        <w:t>acusada</w:t>
      </w:r>
      <w:proofErr w:type="gramEnd"/>
      <w:r>
        <w:t xml:space="preserve"> como en el bienio precedente lo que contribuye que se mantenga entre 2012 y 2014 </w:t>
      </w:r>
      <w:r w:rsidR="00D74B3C">
        <w:t>el nivel del</w:t>
      </w:r>
      <w:r w:rsidR="004114B8">
        <w:t xml:space="preserve"> indicador relativo al número de establecimientos por empresa (1,31)</w:t>
      </w:r>
      <w:r>
        <w:t>. Sin embargo, continúa a contribuir a la línea descendente d</w:t>
      </w:r>
      <w:r w:rsidR="004114B8">
        <w:t>el tamaño medio de las plantillas de las empresas (de 23,8 a 22,9)</w:t>
      </w:r>
      <w:r>
        <w:t xml:space="preserve"> y del </w:t>
      </w:r>
      <w:r w:rsidR="004114B8">
        <w:t>tamaño medio de los establecimientos (de 18,1 a 17,5 empleos por establecimiento).</w:t>
      </w:r>
    </w:p>
    <w:p w:rsidR="004114B8" w:rsidRPr="00E70663" w:rsidRDefault="004114B8" w:rsidP="004114B8">
      <w:pPr>
        <w:widowControl w:val="0"/>
      </w:pPr>
    </w:p>
    <w:p w:rsidR="004114B8" w:rsidRPr="00F8288A" w:rsidRDefault="004114B8" w:rsidP="004114B8">
      <w:pPr>
        <w:widowControl w:val="0"/>
        <w:spacing w:line="240" w:lineRule="auto"/>
        <w:jc w:val="center"/>
        <w:rPr>
          <w:rFonts w:cs="Arial"/>
          <w:b/>
          <w:color w:val="1F497D" w:themeColor="text2"/>
          <w:sz w:val="18"/>
          <w:szCs w:val="18"/>
        </w:rPr>
      </w:pPr>
      <w:r w:rsidRPr="00F8288A">
        <w:rPr>
          <w:rFonts w:cs="Arial"/>
          <w:b/>
          <w:color w:val="1F497D" w:themeColor="text2"/>
          <w:sz w:val="18"/>
          <w:szCs w:val="18"/>
        </w:rPr>
        <w:t>INDICADORES DE LA DIMENSIÓN DE LAS E</w:t>
      </w:r>
      <w:r>
        <w:rPr>
          <w:rFonts w:cs="Arial"/>
          <w:b/>
          <w:color w:val="1F497D" w:themeColor="text2"/>
          <w:sz w:val="18"/>
          <w:szCs w:val="18"/>
        </w:rPr>
        <w:t>MPRESAS DE ECONOMÍA SOCIAL. 2012</w:t>
      </w:r>
      <w:r w:rsidRPr="00F8288A">
        <w:rPr>
          <w:rFonts w:cs="Arial"/>
          <w:b/>
          <w:color w:val="1F497D" w:themeColor="text2"/>
          <w:sz w:val="18"/>
          <w:szCs w:val="18"/>
        </w:rPr>
        <w:t>-201</w:t>
      </w:r>
      <w:r>
        <w:rPr>
          <w:rFonts w:cs="Arial"/>
          <w:b/>
          <w:color w:val="1F497D" w:themeColor="text2"/>
          <w:sz w:val="18"/>
          <w:szCs w:val="18"/>
        </w:rPr>
        <w:t xml:space="preserve">4 </w:t>
      </w:r>
    </w:p>
    <w:tbl>
      <w:tblPr>
        <w:tblW w:w="5000" w:type="pct"/>
        <w:jc w:val="center"/>
        <w:tblLook w:val="04A0" w:firstRow="1" w:lastRow="0" w:firstColumn="1" w:lastColumn="0" w:noHBand="0" w:noVBand="1"/>
      </w:tblPr>
      <w:tblGrid>
        <w:gridCol w:w="5280"/>
        <w:gridCol w:w="1862"/>
        <w:gridCol w:w="1862"/>
      </w:tblGrid>
      <w:tr w:rsidR="004114B8" w:rsidRPr="00404CA5" w:rsidTr="00AF3C20">
        <w:trPr>
          <w:jc w:val="center"/>
        </w:trPr>
        <w:tc>
          <w:tcPr>
            <w:tcW w:w="293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114B8" w:rsidRPr="00404CA5" w:rsidRDefault="004114B8" w:rsidP="00D86960">
            <w:pPr>
              <w:widowControl w:val="0"/>
              <w:spacing w:line="240" w:lineRule="exact"/>
              <w:rPr>
                <w:rFonts w:cs="Arial"/>
                <w:b/>
                <w:sz w:val="16"/>
                <w:szCs w:val="16"/>
              </w:rPr>
            </w:pPr>
          </w:p>
        </w:tc>
        <w:tc>
          <w:tcPr>
            <w:tcW w:w="103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114B8" w:rsidRPr="00404CA5" w:rsidRDefault="004114B8" w:rsidP="00D86960">
            <w:pPr>
              <w:widowControl w:val="0"/>
              <w:spacing w:line="240" w:lineRule="exact"/>
              <w:jc w:val="center"/>
              <w:rPr>
                <w:rFonts w:cs="Arial"/>
                <w:b/>
                <w:sz w:val="16"/>
                <w:szCs w:val="16"/>
              </w:rPr>
            </w:pPr>
            <w:r w:rsidRPr="00404CA5">
              <w:rPr>
                <w:rFonts w:cs="Arial"/>
                <w:b/>
                <w:sz w:val="16"/>
                <w:szCs w:val="16"/>
              </w:rPr>
              <w:t>2012</w:t>
            </w:r>
          </w:p>
        </w:tc>
        <w:tc>
          <w:tcPr>
            <w:tcW w:w="10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4114B8" w:rsidRPr="00404CA5" w:rsidRDefault="004114B8" w:rsidP="00D86960">
            <w:pPr>
              <w:widowControl w:val="0"/>
              <w:spacing w:line="240" w:lineRule="exact"/>
              <w:jc w:val="center"/>
              <w:rPr>
                <w:rFonts w:cs="Arial"/>
                <w:b/>
                <w:sz w:val="16"/>
                <w:szCs w:val="16"/>
              </w:rPr>
            </w:pPr>
            <w:r>
              <w:rPr>
                <w:rFonts w:cs="Arial"/>
                <w:b/>
                <w:sz w:val="16"/>
                <w:szCs w:val="16"/>
              </w:rPr>
              <w:t>2014</w:t>
            </w:r>
          </w:p>
        </w:tc>
      </w:tr>
      <w:tr w:rsidR="004114B8" w:rsidRPr="00404CA5" w:rsidTr="00AF3C20">
        <w:trPr>
          <w:jc w:val="center"/>
        </w:trPr>
        <w:tc>
          <w:tcPr>
            <w:tcW w:w="2932" w:type="pct"/>
            <w:tcBorders>
              <w:top w:val="single" w:sz="4" w:space="0" w:color="BFBFBF" w:themeColor="background1" w:themeShade="BF"/>
              <w:right w:val="single" w:sz="4" w:space="0" w:color="BFBFBF" w:themeColor="background1" w:themeShade="BF"/>
            </w:tcBorders>
          </w:tcPr>
          <w:p w:rsidR="004114B8" w:rsidRPr="00404CA5" w:rsidRDefault="004114B8" w:rsidP="00D86960">
            <w:pPr>
              <w:widowControl w:val="0"/>
              <w:spacing w:line="240" w:lineRule="exact"/>
              <w:rPr>
                <w:rFonts w:cs="Arial"/>
                <w:sz w:val="16"/>
                <w:szCs w:val="16"/>
              </w:rPr>
            </w:pPr>
            <w:r w:rsidRPr="00404CA5">
              <w:rPr>
                <w:rFonts w:cs="Arial"/>
                <w:sz w:val="16"/>
                <w:szCs w:val="16"/>
              </w:rPr>
              <w:t>Nº Establecimientos/Empresa</w:t>
            </w:r>
          </w:p>
        </w:tc>
        <w:tc>
          <w:tcPr>
            <w:tcW w:w="1034" w:type="pct"/>
            <w:tcBorders>
              <w:top w:val="single" w:sz="4" w:space="0" w:color="BFBFBF" w:themeColor="background1" w:themeShade="BF"/>
              <w:right w:val="single" w:sz="4" w:space="0" w:color="BFBFBF" w:themeColor="background1" w:themeShade="BF"/>
            </w:tcBorders>
          </w:tcPr>
          <w:p w:rsidR="004114B8" w:rsidRPr="00404CA5" w:rsidRDefault="004114B8" w:rsidP="00D86960">
            <w:pPr>
              <w:widowControl w:val="0"/>
              <w:spacing w:line="240" w:lineRule="exact"/>
              <w:ind w:right="284"/>
              <w:jc w:val="right"/>
              <w:rPr>
                <w:rFonts w:cs="Arial"/>
                <w:sz w:val="16"/>
                <w:szCs w:val="16"/>
              </w:rPr>
            </w:pPr>
            <w:r w:rsidRPr="00404CA5">
              <w:rPr>
                <w:rFonts w:cs="Arial"/>
                <w:sz w:val="16"/>
                <w:szCs w:val="16"/>
              </w:rPr>
              <w:t>1,31</w:t>
            </w:r>
          </w:p>
        </w:tc>
        <w:tc>
          <w:tcPr>
            <w:tcW w:w="1034" w:type="pct"/>
            <w:tcBorders>
              <w:top w:val="single" w:sz="4" w:space="0" w:color="BFBFBF" w:themeColor="background1" w:themeShade="BF"/>
              <w:left w:val="single" w:sz="4" w:space="0" w:color="BFBFBF" w:themeColor="background1" w:themeShade="BF"/>
            </w:tcBorders>
          </w:tcPr>
          <w:p w:rsidR="004114B8" w:rsidRPr="00404CA5" w:rsidRDefault="004114B8" w:rsidP="00D86960">
            <w:pPr>
              <w:widowControl w:val="0"/>
              <w:spacing w:line="240" w:lineRule="exact"/>
              <w:ind w:right="284"/>
              <w:jc w:val="right"/>
              <w:rPr>
                <w:rFonts w:cs="Arial"/>
                <w:sz w:val="16"/>
                <w:szCs w:val="16"/>
              </w:rPr>
            </w:pPr>
            <w:r>
              <w:rPr>
                <w:rFonts w:cs="Arial"/>
                <w:sz w:val="16"/>
                <w:szCs w:val="16"/>
              </w:rPr>
              <w:t>1,31</w:t>
            </w:r>
          </w:p>
        </w:tc>
      </w:tr>
      <w:tr w:rsidR="004114B8" w:rsidRPr="00404CA5" w:rsidTr="00AF3C20">
        <w:trPr>
          <w:trHeight w:val="185"/>
          <w:jc w:val="center"/>
        </w:trPr>
        <w:tc>
          <w:tcPr>
            <w:tcW w:w="2932" w:type="pct"/>
            <w:tcBorders>
              <w:right w:val="single" w:sz="4" w:space="0" w:color="BFBFBF" w:themeColor="background1" w:themeShade="BF"/>
            </w:tcBorders>
          </w:tcPr>
          <w:p w:rsidR="004114B8" w:rsidRPr="00404CA5" w:rsidRDefault="004114B8" w:rsidP="00D86960">
            <w:pPr>
              <w:widowControl w:val="0"/>
              <w:spacing w:line="240" w:lineRule="exact"/>
              <w:rPr>
                <w:rFonts w:cs="Arial"/>
                <w:sz w:val="16"/>
                <w:szCs w:val="16"/>
              </w:rPr>
            </w:pPr>
            <w:r w:rsidRPr="00404CA5">
              <w:rPr>
                <w:rFonts w:cs="Arial"/>
                <w:sz w:val="16"/>
                <w:szCs w:val="16"/>
              </w:rPr>
              <w:t>Tamaño Medio de Empresa (Empleos)</w:t>
            </w:r>
          </w:p>
        </w:tc>
        <w:tc>
          <w:tcPr>
            <w:tcW w:w="1034" w:type="pct"/>
            <w:tcBorders>
              <w:right w:val="single" w:sz="4" w:space="0" w:color="BFBFBF" w:themeColor="background1" w:themeShade="BF"/>
            </w:tcBorders>
          </w:tcPr>
          <w:p w:rsidR="004114B8" w:rsidRPr="00404CA5" w:rsidRDefault="004114B8" w:rsidP="00D86960">
            <w:pPr>
              <w:widowControl w:val="0"/>
              <w:spacing w:line="240" w:lineRule="exact"/>
              <w:ind w:right="284"/>
              <w:jc w:val="right"/>
              <w:rPr>
                <w:rFonts w:cs="Arial"/>
                <w:sz w:val="16"/>
                <w:szCs w:val="16"/>
              </w:rPr>
            </w:pPr>
            <w:r w:rsidRPr="00404CA5">
              <w:rPr>
                <w:rFonts w:cs="Arial"/>
                <w:sz w:val="16"/>
                <w:szCs w:val="16"/>
              </w:rPr>
              <w:t>23,8</w:t>
            </w:r>
          </w:p>
        </w:tc>
        <w:tc>
          <w:tcPr>
            <w:tcW w:w="1034" w:type="pct"/>
            <w:tcBorders>
              <w:left w:val="single" w:sz="4" w:space="0" w:color="BFBFBF" w:themeColor="background1" w:themeShade="BF"/>
            </w:tcBorders>
          </w:tcPr>
          <w:p w:rsidR="004114B8" w:rsidRPr="00404CA5" w:rsidRDefault="004114B8" w:rsidP="00D86960">
            <w:pPr>
              <w:widowControl w:val="0"/>
              <w:spacing w:line="240" w:lineRule="exact"/>
              <w:ind w:right="284"/>
              <w:jc w:val="right"/>
              <w:rPr>
                <w:rFonts w:cs="Arial"/>
                <w:sz w:val="16"/>
                <w:szCs w:val="16"/>
              </w:rPr>
            </w:pPr>
            <w:r>
              <w:rPr>
                <w:rFonts w:cs="Arial"/>
                <w:sz w:val="16"/>
                <w:szCs w:val="16"/>
              </w:rPr>
              <w:t>22,9</w:t>
            </w:r>
          </w:p>
        </w:tc>
      </w:tr>
      <w:tr w:rsidR="004114B8" w:rsidRPr="00404CA5" w:rsidTr="00AF3C20">
        <w:trPr>
          <w:jc w:val="center"/>
        </w:trPr>
        <w:tc>
          <w:tcPr>
            <w:tcW w:w="2932" w:type="pct"/>
            <w:tcBorders>
              <w:bottom w:val="single" w:sz="4" w:space="0" w:color="BFBFBF" w:themeColor="background1" w:themeShade="BF"/>
              <w:right w:val="single" w:sz="4" w:space="0" w:color="BFBFBF" w:themeColor="background1" w:themeShade="BF"/>
            </w:tcBorders>
          </w:tcPr>
          <w:p w:rsidR="004114B8" w:rsidRPr="00404CA5" w:rsidRDefault="004114B8" w:rsidP="00D86960">
            <w:pPr>
              <w:widowControl w:val="0"/>
              <w:spacing w:line="240" w:lineRule="exact"/>
              <w:rPr>
                <w:rFonts w:cs="Arial"/>
                <w:sz w:val="16"/>
                <w:szCs w:val="16"/>
              </w:rPr>
            </w:pPr>
            <w:r w:rsidRPr="00404CA5">
              <w:rPr>
                <w:rFonts w:cs="Arial"/>
                <w:sz w:val="16"/>
                <w:szCs w:val="16"/>
              </w:rPr>
              <w:t>Tamaño Medio de Establecimiento (Empleos)</w:t>
            </w:r>
          </w:p>
        </w:tc>
        <w:tc>
          <w:tcPr>
            <w:tcW w:w="1034" w:type="pct"/>
            <w:tcBorders>
              <w:bottom w:val="single" w:sz="4" w:space="0" w:color="BFBFBF" w:themeColor="background1" w:themeShade="BF"/>
              <w:right w:val="single" w:sz="4" w:space="0" w:color="BFBFBF" w:themeColor="background1" w:themeShade="BF"/>
            </w:tcBorders>
          </w:tcPr>
          <w:p w:rsidR="004114B8" w:rsidRPr="00404CA5" w:rsidRDefault="004114B8" w:rsidP="00D86960">
            <w:pPr>
              <w:widowControl w:val="0"/>
              <w:spacing w:line="240" w:lineRule="exact"/>
              <w:ind w:right="284"/>
              <w:jc w:val="right"/>
              <w:rPr>
                <w:rFonts w:cs="Arial"/>
                <w:sz w:val="16"/>
                <w:szCs w:val="16"/>
              </w:rPr>
            </w:pPr>
            <w:r w:rsidRPr="00404CA5">
              <w:rPr>
                <w:rFonts w:cs="Arial"/>
                <w:sz w:val="16"/>
                <w:szCs w:val="16"/>
              </w:rPr>
              <w:t>18,1</w:t>
            </w:r>
          </w:p>
        </w:tc>
        <w:tc>
          <w:tcPr>
            <w:tcW w:w="1034" w:type="pct"/>
            <w:tcBorders>
              <w:left w:val="single" w:sz="4" w:space="0" w:color="BFBFBF" w:themeColor="background1" w:themeShade="BF"/>
              <w:bottom w:val="single" w:sz="4" w:space="0" w:color="BFBFBF" w:themeColor="background1" w:themeShade="BF"/>
            </w:tcBorders>
          </w:tcPr>
          <w:p w:rsidR="004114B8" w:rsidRPr="00404CA5" w:rsidRDefault="004114B8" w:rsidP="00D86960">
            <w:pPr>
              <w:widowControl w:val="0"/>
              <w:spacing w:line="240" w:lineRule="exact"/>
              <w:ind w:right="284"/>
              <w:jc w:val="right"/>
              <w:rPr>
                <w:rFonts w:cs="Arial"/>
                <w:sz w:val="16"/>
                <w:szCs w:val="16"/>
              </w:rPr>
            </w:pPr>
            <w:r>
              <w:rPr>
                <w:rFonts w:cs="Arial"/>
                <w:sz w:val="16"/>
                <w:szCs w:val="16"/>
              </w:rPr>
              <w:t>17,5</w:t>
            </w:r>
          </w:p>
        </w:tc>
      </w:tr>
    </w:tbl>
    <w:p w:rsidR="004114B8" w:rsidRDefault="004114B8" w:rsidP="004114B8">
      <w:pPr>
        <w:widowControl w:val="0"/>
      </w:pPr>
    </w:p>
    <w:p w:rsidR="005E5848" w:rsidRDefault="005E5848" w:rsidP="004114B8">
      <w:pPr>
        <w:rPr>
          <w:rFonts w:cs="Arial"/>
        </w:rPr>
      </w:pPr>
    </w:p>
    <w:p w:rsidR="003F1674" w:rsidRDefault="00791543" w:rsidP="004114B8">
      <w:pPr>
        <w:rPr>
          <w:rFonts w:cs="Arial"/>
        </w:rPr>
      </w:pPr>
      <w:r w:rsidRPr="00E878B8">
        <w:rPr>
          <w:rFonts w:cs="Arial"/>
          <w:szCs w:val="20"/>
        </w:rPr>
        <w:lastRenderedPageBreak/>
        <w:t xml:space="preserve">A pesar de la reducción en la dimensión media de empresas y establecimientos de la Economía Social, este sector de la economía todavía se caracteriza por un tamaño </w:t>
      </w:r>
      <w:r>
        <w:rPr>
          <w:rFonts w:cs="Arial"/>
          <w:szCs w:val="20"/>
        </w:rPr>
        <w:t xml:space="preserve">claramente </w:t>
      </w:r>
      <w:r w:rsidRPr="00E878B8">
        <w:rPr>
          <w:rFonts w:cs="Arial"/>
          <w:szCs w:val="20"/>
        </w:rPr>
        <w:t>superior a la media del tejido empresarial vasco</w:t>
      </w:r>
      <w:r w:rsidRPr="00575E99">
        <w:rPr>
          <w:rFonts w:cs="Arial"/>
          <w:szCs w:val="20"/>
        </w:rPr>
        <w:t>.</w:t>
      </w:r>
      <w:r>
        <w:rPr>
          <w:rFonts w:cs="Arial"/>
          <w:szCs w:val="20"/>
        </w:rPr>
        <w:t xml:space="preserve"> Así, </w:t>
      </w:r>
      <w:r w:rsidR="004114B8">
        <w:rPr>
          <w:rFonts w:cs="Arial"/>
        </w:rPr>
        <w:t>mientras los establecimientos de la Economía Social cuentan con una media de 17,5 empleos</w:t>
      </w:r>
      <w:r>
        <w:rPr>
          <w:rFonts w:cs="Arial"/>
        </w:rPr>
        <w:t xml:space="preserve"> por establecimiento</w:t>
      </w:r>
      <w:r w:rsidR="004114B8">
        <w:rPr>
          <w:rFonts w:cs="Arial"/>
        </w:rPr>
        <w:t xml:space="preserve">, en la economía vasca los establecimientos apenas cuentan </w:t>
      </w:r>
      <w:r w:rsidR="00D24CC7">
        <w:rPr>
          <w:rFonts w:cs="Arial"/>
        </w:rPr>
        <w:t>plantillas que superen los</w:t>
      </w:r>
      <w:r w:rsidR="004114B8">
        <w:rPr>
          <w:rFonts w:cs="Arial"/>
        </w:rPr>
        <w:t xml:space="preserve"> 5 empleos (4,8). </w:t>
      </w:r>
    </w:p>
    <w:p w:rsidR="003F1674" w:rsidRDefault="003F1674" w:rsidP="004114B8">
      <w:pPr>
        <w:rPr>
          <w:rFonts w:cs="Arial"/>
        </w:rPr>
      </w:pPr>
    </w:p>
    <w:p w:rsidR="004114B8" w:rsidRDefault="00791543" w:rsidP="004114B8">
      <w:pPr>
        <w:rPr>
          <w:rFonts w:cs="Arial"/>
        </w:rPr>
      </w:pPr>
      <w:r>
        <w:rPr>
          <w:rFonts w:cs="Arial"/>
        </w:rPr>
        <w:t>En la misma línea</w:t>
      </w:r>
      <w:r w:rsidR="004114B8">
        <w:rPr>
          <w:rFonts w:cs="Arial"/>
        </w:rPr>
        <w:t xml:space="preserve">, la media de empleo por empresa en el sector de la Economía Social (22,9 empleos por empresa) </w:t>
      </w:r>
      <w:r>
        <w:rPr>
          <w:rFonts w:cs="Arial"/>
        </w:rPr>
        <w:t>resulta alrededor de cuatro veces superior a</w:t>
      </w:r>
      <w:r w:rsidR="004114B8">
        <w:rPr>
          <w:rFonts w:cs="Arial"/>
        </w:rPr>
        <w:t xml:space="preserve"> tamaño medio empresarial del tejido empresarial vasco (5,3 empleos por empresa).</w:t>
      </w:r>
    </w:p>
    <w:p w:rsidR="00D74B3C" w:rsidRDefault="00D74B3C" w:rsidP="004114B8">
      <w:pPr>
        <w:rPr>
          <w:rFonts w:cs="Arial"/>
        </w:rPr>
      </w:pPr>
    </w:p>
    <w:p w:rsidR="004114B8" w:rsidRPr="00F8288A" w:rsidRDefault="004114B8" w:rsidP="004114B8">
      <w:pPr>
        <w:widowControl w:val="0"/>
        <w:spacing w:line="240" w:lineRule="auto"/>
        <w:jc w:val="center"/>
        <w:rPr>
          <w:rFonts w:cs="Arial"/>
          <w:b/>
          <w:noProof/>
          <w:color w:val="1F497D" w:themeColor="text2"/>
          <w:sz w:val="18"/>
          <w:szCs w:val="18"/>
        </w:rPr>
      </w:pPr>
      <w:r w:rsidRPr="00F8288A">
        <w:rPr>
          <w:rFonts w:cs="Arial"/>
          <w:b/>
          <w:noProof/>
          <w:color w:val="1F497D" w:themeColor="text2"/>
          <w:sz w:val="18"/>
          <w:szCs w:val="18"/>
        </w:rPr>
        <w:t>DIMENSION EN TÉRMINOS DE EMPLEO DE LOS ESTABLECIMIENTOS/EMPRESAS DE LA ECONOMIA SOCIAL Y LA ECONOMÍA DE LA CAE. 201</w:t>
      </w:r>
      <w:r>
        <w:rPr>
          <w:rFonts w:cs="Arial"/>
          <w:b/>
          <w:noProof/>
          <w:color w:val="1F497D" w:themeColor="text2"/>
          <w:sz w:val="18"/>
          <w:szCs w:val="18"/>
        </w:rPr>
        <w:t>4</w:t>
      </w:r>
    </w:p>
    <w:tbl>
      <w:tblPr>
        <w:tblW w:w="5000" w:type="pct"/>
        <w:jc w:val="center"/>
        <w:tblLook w:val="04A0" w:firstRow="1" w:lastRow="0" w:firstColumn="1" w:lastColumn="0" w:noHBand="0" w:noVBand="1"/>
      </w:tblPr>
      <w:tblGrid>
        <w:gridCol w:w="3203"/>
        <w:gridCol w:w="2878"/>
        <w:gridCol w:w="2923"/>
      </w:tblGrid>
      <w:tr w:rsidR="004114B8" w:rsidRPr="00F8288A" w:rsidTr="00AF3C20">
        <w:trPr>
          <w:jc w:val="center"/>
        </w:trPr>
        <w:tc>
          <w:tcPr>
            <w:tcW w:w="17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114B8" w:rsidRPr="00F8288A" w:rsidRDefault="004114B8" w:rsidP="00D86960">
            <w:pPr>
              <w:widowControl w:val="0"/>
              <w:spacing w:line="240" w:lineRule="exact"/>
              <w:jc w:val="center"/>
              <w:rPr>
                <w:rFonts w:cs="Arial"/>
                <w:b/>
                <w:snapToGrid w:val="0"/>
                <w:sz w:val="16"/>
                <w:szCs w:val="16"/>
              </w:rPr>
            </w:pPr>
          </w:p>
        </w:tc>
        <w:tc>
          <w:tcPr>
            <w:tcW w:w="15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114B8" w:rsidRPr="00F8288A" w:rsidRDefault="004114B8" w:rsidP="00D86960">
            <w:pPr>
              <w:widowControl w:val="0"/>
              <w:spacing w:line="240" w:lineRule="exact"/>
              <w:jc w:val="center"/>
              <w:rPr>
                <w:rFonts w:cs="Arial"/>
                <w:b/>
                <w:snapToGrid w:val="0"/>
                <w:sz w:val="16"/>
                <w:szCs w:val="16"/>
              </w:rPr>
            </w:pPr>
            <w:r w:rsidRPr="00F8288A">
              <w:rPr>
                <w:rFonts w:cs="Arial"/>
                <w:b/>
                <w:snapToGrid w:val="0"/>
                <w:sz w:val="16"/>
                <w:szCs w:val="16"/>
              </w:rPr>
              <w:t>Tamaño medio establecimiento</w:t>
            </w:r>
          </w:p>
        </w:tc>
        <w:tc>
          <w:tcPr>
            <w:tcW w:w="16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4114B8" w:rsidRPr="00F8288A" w:rsidRDefault="004114B8" w:rsidP="00D86960">
            <w:pPr>
              <w:widowControl w:val="0"/>
              <w:spacing w:line="240" w:lineRule="exact"/>
              <w:jc w:val="center"/>
              <w:rPr>
                <w:rFonts w:cs="Arial"/>
                <w:b/>
                <w:snapToGrid w:val="0"/>
                <w:sz w:val="16"/>
                <w:szCs w:val="16"/>
              </w:rPr>
            </w:pPr>
            <w:r w:rsidRPr="00F8288A">
              <w:rPr>
                <w:rFonts w:cs="Arial"/>
                <w:b/>
                <w:snapToGrid w:val="0"/>
                <w:sz w:val="16"/>
                <w:szCs w:val="16"/>
              </w:rPr>
              <w:t>Tamaño medio empresa</w:t>
            </w:r>
          </w:p>
        </w:tc>
      </w:tr>
      <w:tr w:rsidR="004114B8" w:rsidRPr="00F8288A" w:rsidTr="00AF3C20">
        <w:trPr>
          <w:jc w:val="center"/>
        </w:trPr>
        <w:tc>
          <w:tcPr>
            <w:tcW w:w="1779" w:type="pct"/>
            <w:tcBorders>
              <w:top w:val="single" w:sz="4" w:space="0" w:color="BFBFBF" w:themeColor="background1" w:themeShade="BF"/>
              <w:right w:val="single" w:sz="4" w:space="0" w:color="BFBFBF" w:themeColor="background1" w:themeShade="BF"/>
            </w:tcBorders>
          </w:tcPr>
          <w:p w:rsidR="004114B8" w:rsidRPr="00F8288A" w:rsidRDefault="004114B8" w:rsidP="00D86960">
            <w:pPr>
              <w:widowControl w:val="0"/>
              <w:spacing w:line="240" w:lineRule="exact"/>
              <w:rPr>
                <w:rFonts w:cs="Arial"/>
                <w:snapToGrid w:val="0"/>
                <w:sz w:val="16"/>
                <w:szCs w:val="16"/>
              </w:rPr>
            </w:pPr>
            <w:r w:rsidRPr="00F8288A">
              <w:rPr>
                <w:rFonts w:cs="Arial"/>
                <w:snapToGrid w:val="0"/>
                <w:sz w:val="16"/>
                <w:szCs w:val="16"/>
              </w:rPr>
              <w:t>Economía Social 201</w:t>
            </w:r>
            <w:r>
              <w:rPr>
                <w:rFonts w:cs="Arial"/>
                <w:snapToGrid w:val="0"/>
                <w:sz w:val="16"/>
                <w:szCs w:val="16"/>
              </w:rPr>
              <w:t>4</w:t>
            </w:r>
          </w:p>
        </w:tc>
        <w:tc>
          <w:tcPr>
            <w:tcW w:w="15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4114B8" w:rsidRPr="00F8288A" w:rsidRDefault="004114B8" w:rsidP="00D86960">
            <w:pPr>
              <w:widowControl w:val="0"/>
              <w:spacing w:line="240" w:lineRule="exact"/>
              <w:ind w:right="284"/>
              <w:jc w:val="center"/>
              <w:rPr>
                <w:rFonts w:cs="Arial"/>
                <w:snapToGrid w:val="0"/>
                <w:sz w:val="16"/>
                <w:szCs w:val="16"/>
              </w:rPr>
            </w:pPr>
            <w:r>
              <w:rPr>
                <w:rFonts w:cs="Arial"/>
                <w:sz w:val="16"/>
                <w:szCs w:val="16"/>
              </w:rPr>
              <w:t>17,5</w:t>
            </w:r>
          </w:p>
        </w:tc>
        <w:tc>
          <w:tcPr>
            <w:tcW w:w="1623" w:type="pct"/>
            <w:tcBorders>
              <w:top w:val="single" w:sz="4" w:space="0" w:color="BFBFBF" w:themeColor="background1" w:themeShade="BF"/>
              <w:left w:val="single" w:sz="4" w:space="0" w:color="BFBFBF" w:themeColor="background1" w:themeShade="BF"/>
            </w:tcBorders>
          </w:tcPr>
          <w:p w:rsidR="004114B8" w:rsidRPr="00F8288A" w:rsidRDefault="004114B8" w:rsidP="00D86960">
            <w:pPr>
              <w:widowControl w:val="0"/>
              <w:spacing w:line="240" w:lineRule="exact"/>
              <w:ind w:right="284"/>
              <w:jc w:val="center"/>
              <w:rPr>
                <w:rFonts w:cs="Arial"/>
                <w:snapToGrid w:val="0"/>
                <w:sz w:val="16"/>
                <w:szCs w:val="16"/>
              </w:rPr>
            </w:pPr>
            <w:r>
              <w:rPr>
                <w:rFonts w:cs="Arial"/>
                <w:snapToGrid w:val="0"/>
                <w:sz w:val="16"/>
                <w:szCs w:val="16"/>
              </w:rPr>
              <w:t>22,9</w:t>
            </w:r>
          </w:p>
        </w:tc>
      </w:tr>
      <w:tr w:rsidR="004114B8" w:rsidRPr="00F8288A" w:rsidTr="00AF3C20">
        <w:trPr>
          <w:jc w:val="center"/>
        </w:trPr>
        <w:tc>
          <w:tcPr>
            <w:tcW w:w="1779" w:type="pct"/>
            <w:tcBorders>
              <w:bottom w:val="single" w:sz="4" w:space="0" w:color="BFBFBF" w:themeColor="background1" w:themeShade="BF"/>
              <w:right w:val="single" w:sz="4" w:space="0" w:color="BFBFBF" w:themeColor="background1" w:themeShade="BF"/>
            </w:tcBorders>
          </w:tcPr>
          <w:p w:rsidR="004114B8" w:rsidRPr="00F8288A" w:rsidRDefault="004114B8" w:rsidP="00D86960">
            <w:pPr>
              <w:widowControl w:val="0"/>
              <w:spacing w:line="240" w:lineRule="exact"/>
              <w:rPr>
                <w:rFonts w:cs="Arial"/>
                <w:snapToGrid w:val="0"/>
                <w:sz w:val="16"/>
                <w:szCs w:val="16"/>
              </w:rPr>
            </w:pPr>
            <w:r w:rsidRPr="00F8288A">
              <w:rPr>
                <w:rFonts w:cs="Arial"/>
                <w:snapToGrid w:val="0"/>
                <w:sz w:val="16"/>
                <w:szCs w:val="16"/>
              </w:rPr>
              <w:t>Economía CAE 201</w:t>
            </w:r>
            <w:r>
              <w:rPr>
                <w:rFonts w:cs="Arial"/>
                <w:snapToGrid w:val="0"/>
                <w:sz w:val="16"/>
                <w:szCs w:val="16"/>
              </w:rPr>
              <w:t>4</w:t>
            </w:r>
          </w:p>
        </w:tc>
        <w:tc>
          <w:tcPr>
            <w:tcW w:w="15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114B8" w:rsidRPr="00F8288A" w:rsidRDefault="004114B8" w:rsidP="00D86960">
            <w:pPr>
              <w:widowControl w:val="0"/>
              <w:spacing w:line="240" w:lineRule="exact"/>
              <w:ind w:right="284"/>
              <w:jc w:val="center"/>
              <w:rPr>
                <w:rFonts w:cs="Arial"/>
                <w:snapToGrid w:val="0"/>
                <w:sz w:val="16"/>
                <w:szCs w:val="16"/>
              </w:rPr>
            </w:pPr>
            <w:r>
              <w:rPr>
                <w:rFonts w:cs="Arial"/>
                <w:snapToGrid w:val="0"/>
                <w:sz w:val="16"/>
                <w:szCs w:val="16"/>
              </w:rPr>
              <w:t>4,8</w:t>
            </w:r>
          </w:p>
        </w:tc>
        <w:tc>
          <w:tcPr>
            <w:tcW w:w="1623" w:type="pct"/>
            <w:tcBorders>
              <w:left w:val="single" w:sz="4" w:space="0" w:color="BFBFBF" w:themeColor="background1" w:themeShade="BF"/>
              <w:bottom w:val="single" w:sz="4" w:space="0" w:color="BFBFBF" w:themeColor="background1" w:themeShade="BF"/>
            </w:tcBorders>
          </w:tcPr>
          <w:p w:rsidR="004114B8" w:rsidRPr="00F8288A" w:rsidRDefault="004114B8" w:rsidP="00D86960">
            <w:pPr>
              <w:widowControl w:val="0"/>
              <w:spacing w:line="240" w:lineRule="exact"/>
              <w:ind w:right="284"/>
              <w:jc w:val="center"/>
              <w:rPr>
                <w:rFonts w:cs="Arial"/>
                <w:snapToGrid w:val="0"/>
                <w:sz w:val="16"/>
                <w:szCs w:val="16"/>
              </w:rPr>
            </w:pPr>
            <w:r>
              <w:rPr>
                <w:rFonts w:cs="Arial"/>
                <w:snapToGrid w:val="0"/>
                <w:sz w:val="16"/>
                <w:szCs w:val="16"/>
              </w:rPr>
              <w:t>5,3</w:t>
            </w:r>
          </w:p>
        </w:tc>
      </w:tr>
    </w:tbl>
    <w:p w:rsidR="004114B8" w:rsidRPr="00D81D96" w:rsidRDefault="004114B8" w:rsidP="004114B8">
      <w:pPr>
        <w:widowControl w:val="0"/>
        <w:rPr>
          <w:rFonts w:cs="Arial"/>
          <w:i/>
          <w:sz w:val="16"/>
          <w:szCs w:val="16"/>
        </w:rPr>
      </w:pPr>
      <w:r>
        <w:rPr>
          <w:rFonts w:cs="Arial"/>
          <w:i/>
          <w:sz w:val="16"/>
          <w:szCs w:val="16"/>
        </w:rPr>
        <w:t>Nota: Los datos de la CAE proceden del</w:t>
      </w:r>
      <w:r w:rsidRPr="00D81D96">
        <w:rPr>
          <w:rFonts w:cs="Arial"/>
          <w:i/>
          <w:sz w:val="16"/>
          <w:szCs w:val="16"/>
        </w:rPr>
        <w:t xml:space="preserve"> Direc</w:t>
      </w:r>
      <w:r>
        <w:rPr>
          <w:rFonts w:cs="Arial"/>
          <w:i/>
          <w:sz w:val="16"/>
          <w:szCs w:val="16"/>
        </w:rPr>
        <w:t xml:space="preserve">torio de Actividades Económicas. </w:t>
      </w:r>
      <w:proofErr w:type="spellStart"/>
      <w:r>
        <w:rPr>
          <w:rFonts w:cs="Arial"/>
          <w:i/>
          <w:sz w:val="16"/>
          <w:szCs w:val="16"/>
        </w:rPr>
        <w:t>Eustat</w:t>
      </w:r>
      <w:proofErr w:type="spellEnd"/>
      <w:r>
        <w:rPr>
          <w:rFonts w:cs="Arial"/>
          <w:i/>
          <w:sz w:val="16"/>
          <w:szCs w:val="16"/>
        </w:rPr>
        <w:t xml:space="preserve"> 2014</w:t>
      </w:r>
    </w:p>
    <w:p w:rsidR="003F1674" w:rsidRDefault="003F1674">
      <w:pPr>
        <w:spacing w:after="200" w:line="276" w:lineRule="auto"/>
        <w:jc w:val="left"/>
        <w:rPr>
          <w:rFonts w:eastAsia="Times New Roman" w:cs="Times New Roman"/>
          <w:b/>
          <w:snapToGrid w:val="0"/>
          <w:sz w:val="28"/>
          <w:szCs w:val="28"/>
          <w:lang w:eastAsia="es-ES"/>
        </w:rPr>
      </w:pPr>
      <w:r>
        <w:rPr>
          <w:rFonts w:eastAsia="Times New Roman" w:cs="Times New Roman"/>
          <w:b/>
          <w:snapToGrid w:val="0"/>
          <w:sz w:val="28"/>
          <w:szCs w:val="28"/>
          <w:lang w:eastAsia="es-ES"/>
        </w:rPr>
        <w:br w:type="page"/>
      </w:r>
    </w:p>
    <w:p w:rsidR="004114B8" w:rsidRPr="003F1674" w:rsidRDefault="003F1674" w:rsidP="003F1674">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Pr>
          <w:rFonts w:eastAsia="Times New Roman" w:cs="Times New Roman"/>
          <w:b/>
          <w:snapToGrid w:val="0"/>
          <w:sz w:val="28"/>
          <w:szCs w:val="28"/>
          <w:lang w:eastAsia="es-ES"/>
        </w:rPr>
        <w:lastRenderedPageBreak/>
        <w:t>La actividad económico-empresarial de la Economía</w:t>
      </w:r>
      <w:r w:rsidR="008A036F" w:rsidRPr="003F1674">
        <w:rPr>
          <w:rFonts w:eastAsia="Times New Roman" w:cs="Times New Roman"/>
          <w:b/>
          <w:snapToGrid w:val="0"/>
          <w:sz w:val="28"/>
          <w:szCs w:val="28"/>
          <w:lang w:eastAsia="es-ES"/>
        </w:rPr>
        <w:t xml:space="preserve"> Social</w:t>
      </w:r>
      <w:r w:rsidR="004114B8" w:rsidRPr="003F1674">
        <w:rPr>
          <w:rFonts w:eastAsia="Times New Roman" w:cs="Times New Roman"/>
          <w:b/>
          <w:snapToGrid w:val="0"/>
          <w:sz w:val="28"/>
          <w:szCs w:val="28"/>
          <w:lang w:eastAsia="es-ES"/>
        </w:rPr>
        <w:t xml:space="preserve"> evidencia aún síntomas de contracción </w:t>
      </w:r>
      <w:r>
        <w:rPr>
          <w:rFonts w:eastAsia="Times New Roman" w:cs="Times New Roman"/>
          <w:b/>
          <w:snapToGrid w:val="0"/>
          <w:sz w:val="28"/>
          <w:szCs w:val="28"/>
          <w:lang w:eastAsia="es-ES"/>
        </w:rPr>
        <w:t xml:space="preserve">que se materializan en </w:t>
      </w:r>
      <w:r w:rsidR="000C6A14">
        <w:rPr>
          <w:rFonts w:eastAsia="Times New Roman" w:cs="Times New Roman"/>
          <w:b/>
          <w:snapToGrid w:val="0"/>
          <w:sz w:val="28"/>
          <w:szCs w:val="28"/>
          <w:lang w:eastAsia="es-ES"/>
        </w:rPr>
        <w:t xml:space="preserve">una acentuación </w:t>
      </w:r>
      <w:r w:rsidR="007235DD">
        <w:rPr>
          <w:rFonts w:eastAsia="Times New Roman" w:cs="Times New Roman"/>
          <w:b/>
          <w:snapToGrid w:val="0"/>
          <w:sz w:val="28"/>
          <w:szCs w:val="28"/>
          <w:lang w:eastAsia="es-ES"/>
        </w:rPr>
        <w:t xml:space="preserve">de la </w:t>
      </w:r>
      <w:r w:rsidR="004114B8" w:rsidRPr="003F1674">
        <w:rPr>
          <w:rFonts w:eastAsia="Times New Roman" w:cs="Times New Roman"/>
          <w:b/>
          <w:snapToGrid w:val="0"/>
          <w:sz w:val="28"/>
          <w:szCs w:val="28"/>
          <w:lang w:eastAsia="es-ES"/>
        </w:rPr>
        <w:t>reducción de</w:t>
      </w:r>
      <w:r>
        <w:rPr>
          <w:rFonts w:eastAsia="Times New Roman" w:cs="Times New Roman"/>
          <w:b/>
          <w:snapToGrid w:val="0"/>
          <w:sz w:val="28"/>
          <w:szCs w:val="28"/>
          <w:lang w:eastAsia="es-ES"/>
        </w:rPr>
        <w:t xml:space="preserve"> las cifras</w:t>
      </w:r>
      <w:r w:rsidR="004114B8" w:rsidRPr="003F1674">
        <w:rPr>
          <w:rFonts w:eastAsia="Times New Roman" w:cs="Times New Roman"/>
          <w:b/>
          <w:snapToGrid w:val="0"/>
          <w:sz w:val="28"/>
          <w:szCs w:val="28"/>
          <w:lang w:eastAsia="es-ES"/>
        </w:rPr>
        <w:t xml:space="preserve"> facturación</w:t>
      </w:r>
      <w:r w:rsidR="0042747D" w:rsidRPr="003F1674">
        <w:rPr>
          <w:rFonts w:eastAsia="Times New Roman" w:cs="Times New Roman"/>
          <w:b/>
          <w:snapToGrid w:val="0"/>
          <w:sz w:val="28"/>
          <w:szCs w:val="28"/>
          <w:lang w:eastAsia="es-ES"/>
        </w:rPr>
        <w:t xml:space="preserve"> (-7,</w:t>
      </w:r>
      <w:r w:rsidR="00F13FB0" w:rsidRPr="003F1674">
        <w:rPr>
          <w:rFonts w:eastAsia="Times New Roman" w:cs="Times New Roman"/>
          <w:b/>
          <w:snapToGrid w:val="0"/>
          <w:sz w:val="28"/>
          <w:szCs w:val="28"/>
          <w:lang w:eastAsia="es-ES"/>
        </w:rPr>
        <w:t>1</w:t>
      </w:r>
      <w:r w:rsidR="0042747D" w:rsidRPr="003F1674">
        <w:rPr>
          <w:rFonts w:eastAsia="Times New Roman" w:cs="Times New Roman"/>
          <w:b/>
          <w:snapToGrid w:val="0"/>
          <w:sz w:val="28"/>
          <w:szCs w:val="28"/>
          <w:lang w:eastAsia="es-ES"/>
        </w:rPr>
        <w:t>%)</w:t>
      </w:r>
      <w:r w:rsidR="004114B8" w:rsidRPr="003F1674">
        <w:rPr>
          <w:rFonts w:eastAsia="Times New Roman" w:cs="Times New Roman"/>
          <w:b/>
          <w:snapToGrid w:val="0"/>
          <w:sz w:val="28"/>
          <w:szCs w:val="28"/>
          <w:lang w:eastAsia="es-ES"/>
        </w:rPr>
        <w:t xml:space="preserve">, así como </w:t>
      </w:r>
      <w:r>
        <w:rPr>
          <w:rFonts w:eastAsia="Times New Roman" w:cs="Times New Roman"/>
          <w:b/>
          <w:snapToGrid w:val="0"/>
          <w:sz w:val="28"/>
          <w:szCs w:val="28"/>
          <w:lang w:eastAsia="es-ES"/>
        </w:rPr>
        <w:t>en una</w:t>
      </w:r>
      <w:r w:rsidR="008A036F" w:rsidRPr="003F1674">
        <w:rPr>
          <w:rFonts w:eastAsia="Times New Roman" w:cs="Times New Roman"/>
          <w:b/>
          <w:snapToGrid w:val="0"/>
          <w:sz w:val="28"/>
          <w:szCs w:val="28"/>
          <w:lang w:eastAsia="es-ES"/>
        </w:rPr>
        <w:t xml:space="preserve"> menor</w:t>
      </w:r>
      <w:r w:rsidR="004114B8" w:rsidRPr="003F1674">
        <w:rPr>
          <w:rFonts w:eastAsia="Times New Roman" w:cs="Times New Roman"/>
          <w:b/>
          <w:snapToGrid w:val="0"/>
          <w:sz w:val="28"/>
          <w:szCs w:val="28"/>
          <w:lang w:eastAsia="es-ES"/>
        </w:rPr>
        <w:t xml:space="preserve"> generación de valor añadido</w:t>
      </w:r>
      <w:r w:rsidR="0042747D" w:rsidRPr="003F1674">
        <w:rPr>
          <w:rFonts w:eastAsia="Times New Roman" w:cs="Times New Roman"/>
          <w:b/>
          <w:snapToGrid w:val="0"/>
          <w:sz w:val="28"/>
          <w:szCs w:val="28"/>
          <w:lang w:eastAsia="es-ES"/>
        </w:rPr>
        <w:t xml:space="preserve"> (-1,1%)</w:t>
      </w:r>
      <w:r w:rsidR="00392C4C">
        <w:rPr>
          <w:rFonts w:eastAsia="Times New Roman" w:cs="Times New Roman"/>
          <w:b/>
          <w:snapToGrid w:val="0"/>
          <w:sz w:val="28"/>
          <w:szCs w:val="28"/>
          <w:lang w:eastAsia="es-ES"/>
        </w:rPr>
        <w:t>.</w:t>
      </w:r>
    </w:p>
    <w:p w:rsidR="00700DB2" w:rsidRDefault="00700DB2" w:rsidP="00700DB2">
      <w:pPr>
        <w:rPr>
          <w:rFonts w:eastAsia="Times New Roman" w:cs="Arial"/>
          <w:b/>
          <w:color w:val="000000" w:themeColor="text1"/>
          <w:szCs w:val="20"/>
          <w:lang w:val="es-ES_tradnl" w:eastAsia="es-ES"/>
        </w:rPr>
      </w:pPr>
    </w:p>
    <w:p w:rsidR="00700DB2" w:rsidRPr="00700DB2" w:rsidRDefault="00700DB2" w:rsidP="00700DB2">
      <w:pPr>
        <w:rPr>
          <w:rFonts w:eastAsia="Times New Roman" w:cs="Arial"/>
          <w:b/>
          <w:color w:val="000000" w:themeColor="text1"/>
          <w:szCs w:val="20"/>
          <w:lang w:val="es-ES_tradnl" w:eastAsia="es-ES"/>
        </w:rPr>
      </w:pPr>
    </w:p>
    <w:p w:rsidR="009E7BDC" w:rsidRDefault="00700DB2" w:rsidP="008A036F">
      <w:pPr>
        <w:pStyle w:val="Prrafodelista"/>
        <w:spacing w:line="360" w:lineRule="auto"/>
        <w:ind w:left="0"/>
        <w:rPr>
          <w:rFonts w:ascii="Arial" w:eastAsiaTheme="minorHAnsi" w:hAnsi="Arial" w:cs="Arial"/>
        </w:rPr>
      </w:pPr>
      <w:r>
        <w:rPr>
          <w:rFonts w:ascii="Arial" w:eastAsiaTheme="minorHAnsi" w:hAnsi="Arial" w:cs="Arial"/>
        </w:rPr>
        <w:t>L</w:t>
      </w:r>
      <w:r w:rsidRPr="008A036F">
        <w:rPr>
          <w:rFonts w:ascii="Arial" w:eastAsiaTheme="minorHAnsi" w:hAnsi="Arial" w:cs="Arial"/>
        </w:rPr>
        <w:t xml:space="preserve">os cierres empresariales </w:t>
      </w:r>
      <w:r>
        <w:rPr>
          <w:rFonts w:ascii="Arial" w:eastAsiaTheme="minorHAnsi" w:hAnsi="Arial" w:cs="Arial"/>
        </w:rPr>
        <w:t>registrados</w:t>
      </w:r>
      <w:r w:rsidRPr="008A036F">
        <w:rPr>
          <w:rFonts w:ascii="Arial" w:eastAsiaTheme="minorHAnsi" w:hAnsi="Arial" w:cs="Arial"/>
        </w:rPr>
        <w:t xml:space="preserve"> en el ámbito cooperativo y entre las </w:t>
      </w:r>
      <w:proofErr w:type="spellStart"/>
      <w:r w:rsidRPr="008A036F">
        <w:rPr>
          <w:rFonts w:ascii="Arial" w:eastAsiaTheme="minorHAnsi" w:hAnsi="Arial" w:cs="Arial"/>
        </w:rPr>
        <w:t>SALes</w:t>
      </w:r>
      <w:proofErr w:type="spellEnd"/>
      <w:r w:rsidRPr="008A036F">
        <w:rPr>
          <w:rFonts w:ascii="Arial" w:eastAsiaTheme="minorHAnsi" w:hAnsi="Arial" w:cs="Arial"/>
        </w:rPr>
        <w:t>, con la desaparición de empresas con plant</w:t>
      </w:r>
      <w:r>
        <w:rPr>
          <w:rFonts w:ascii="Arial" w:eastAsiaTheme="minorHAnsi" w:hAnsi="Arial" w:cs="Arial"/>
        </w:rPr>
        <w:t>illas muy nutridas, han conllevado</w:t>
      </w:r>
      <w:r w:rsidRPr="008A036F">
        <w:rPr>
          <w:rFonts w:ascii="Arial" w:eastAsiaTheme="minorHAnsi" w:hAnsi="Arial" w:cs="Arial"/>
        </w:rPr>
        <w:t xml:space="preserve"> además de la pérdida del empleo, un descenso </w:t>
      </w:r>
      <w:r>
        <w:rPr>
          <w:rFonts w:ascii="Arial" w:eastAsiaTheme="minorHAnsi" w:hAnsi="Arial" w:cs="Arial"/>
        </w:rPr>
        <w:t>de las ventas reflejadas en las</w:t>
      </w:r>
      <w:r w:rsidRPr="008A036F">
        <w:rPr>
          <w:rFonts w:ascii="Arial" w:eastAsiaTheme="minorHAnsi" w:hAnsi="Arial" w:cs="Arial"/>
        </w:rPr>
        <w:t xml:space="preserve"> cuentas económicas</w:t>
      </w:r>
      <w:r>
        <w:rPr>
          <w:rFonts w:ascii="Arial" w:eastAsiaTheme="minorHAnsi" w:hAnsi="Arial" w:cs="Arial"/>
        </w:rPr>
        <w:t xml:space="preserve"> globales de la Economía Social. De esta forma, </w:t>
      </w:r>
      <w:r w:rsidR="009E7BDC">
        <w:rPr>
          <w:rFonts w:ascii="Arial" w:eastAsiaTheme="minorHAnsi" w:hAnsi="Arial" w:cs="Arial"/>
        </w:rPr>
        <w:t>l</w:t>
      </w:r>
      <w:r w:rsidR="004114B8" w:rsidRPr="008A036F">
        <w:rPr>
          <w:rFonts w:ascii="Arial" w:eastAsiaTheme="minorHAnsi" w:hAnsi="Arial" w:cs="Arial"/>
        </w:rPr>
        <w:t xml:space="preserve">a marcha empresarial de la Economía Social </w:t>
      </w:r>
      <w:r w:rsidR="004B5566">
        <w:rPr>
          <w:rFonts w:ascii="Arial" w:eastAsiaTheme="minorHAnsi" w:hAnsi="Arial" w:cs="Arial"/>
        </w:rPr>
        <w:t xml:space="preserve">en el bienio 2012-2014 </w:t>
      </w:r>
      <w:r w:rsidR="004114B8" w:rsidRPr="008A036F">
        <w:rPr>
          <w:rFonts w:ascii="Arial" w:eastAsiaTheme="minorHAnsi" w:hAnsi="Arial" w:cs="Arial"/>
        </w:rPr>
        <w:t xml:space="preserve">prolonga </w:t>
      </w:r>
      <w:r w:rsidR="00643598">
        <w:rPr>
          <w:rFonts w:ascii="Arial" w:eastAsiaTheme="minorHAnsi" w:hAnsi="Arial" w:cs="Arial"/>
        </w:rPr>
        <w:t>la</w:t>
      </w:r>
      <w:r w:rsidR="004114B8" w:rsidRPr="008A036F">
        <w:rPr>
          <w:rFonts w:ascii="Arial" w:eastAsiaTheme="minorHAnsi" w:hAnsi="Arial" w:cs="Arial"/>
        </w:rPr>
        <w:t xml:space="preserve"> tendencia </w:t>
      </w:r>
      <w:r w:rsidR="003F1674">
        <w:rPr>
          <w:rFonts w:ascii="Arial" w:eastAsiaTheme="minorHAnsi" w:hAnsi="Arial" w:cs="Arial"/>
        </w:rPr>
        <w:t>bajista</w:t>
      </w:r>
      <w:r w:rsidR="004114B8" w:rsidRPr="008A036F">
        <w:rPr>
          <w:rFonts w:ascii="Arial" w:eastAsiaTheme="minorHAnsi" w:hAnsi="Arial" w:cs="Arial"/>
        </w:rPr>
        <w:t xml:space="preserve"> que </w:t>
      </w:r>
      <w:r w:rsidR="004B5566">
        <w:rPr>
          <w:rFonts w:ascii="Arial" w:eastAsiaTheme="minorHAnsi" w:hAnsi="Arial" w:cs="Arial"/>
        </w:rPr>
        <w:t xml:space="preserve">se iniciaba </w:t>
      </w:r>
      <w:r w:rsidR="003F1674">
        <w:rPr>
          <w:rFonts w:ascii="Arial" w:eastAsiaTheme="minorHAnsi" w:hAnsi="Arial" w:cs="Arial"/>
        </w:rPr>
        <w:t xml:space="preserve">en el </w:t>
      </w:r>
      <w:r w:rsidR="004B5566">
        <w:rPr>
          <w:rFonts w:ascii="Arial" w:eastAsiaTheme="minorHAnsi" w:hAnsi="Arial" w:cs="Arial"/>
        </w:rPr>
        <w:t xml:space="preserve">periodo </w:t>
      </w:r>
      <w:r w:rsidR="003F1674">
        <w:rPr>
          <w:rFonts w:ascii="Arial" w:eastAsiaTheme="minorHAnsi" w:hAnsi="Arial" w:cs="Arial"/>
        </w:rPr>
        <w:t>2008–2010</w:t>
      </w:r>
      <w:r w:rsidR="004B5566">
        <w:rPr>
          <w:rFonts w:ascii="Arial" w:eastAsiaTheme="minorHAnsi" w:hAnsi="Arial" w:cs="Arial"/>
        </w:rPr>
        <w:t xml:space="preserve">. Este </w:t>
      </w:r>
      <w:r w:rsidR="004114B8" w:rsidRPr="008A036F">
        <w:rPr>
          <w:rFonts w:ascii="Arial" w:eastAsiaTheme="minorHAnsi" w:hAnsi="Arial" w:cs="Arial"/>
        </w:rPr>
        <w:t xml:space="preserve">inicio </w:t>
      </w:r>
      <w:r w:rsidR="003F1674">
        <w:rPr>
          <w:rFonts w:ascii="Arial" w:eastAsiaTheme="minorHAnsi" w:hAnsi="Arial" w:cs="Arial"/>
        </w:rPr>
        <w:t xml:space="preserve">de crisis venía </w:t>
      </w:r>
      <w:r w:rsidR="004114B8" w:rsidRPr="008A036F">
        <w:rPr>
          <w:rFonts w:ascii="Arial" w:eastAsiaTheme="minorHAnsi" w:hAnsi="Arial" w:cs="Arial"/>
        </w:rPr>
        <w:t xml:space="preserve">marcado por un descenso en las cifras de facturación del 12,2%, </w:t>
      </w:r>
      <w:r w:rsidR="000C6A14">
        <w:rPr>
          <w:rFonts w:ascii="Arial" w:eastAsiaTheme="minorHAnsi" w:hAnsi="Arial" w:cs="Arial"/>
        </w:rPr>
        <w:t xml:space="preserve">una </w:t>
      </w:r>
      <w:r w:rsidR="004114B8" w:rsidRPr="008A036F">
        <w:rPr>
          <w:rFonts w:ascii="Arial" w:eastAsiaTheme="minorHAnsi" w:hAnsi="Arial" w:cs="Arial"/>
        </w:rPr>
        <w:t>tasa que se moderaba en el bienio 2010</w:t>
      </w:r>
      <w:r w:rsidR="000C6A14">
        <w:rPr>
          <w:rFonts w:ascii="Arial" w:eastAsiaTheme="minorHAnsi" w:hAnsi="Arial" w:cs="Arial"/>
        </w:rPr>
        <w:t>-</w:t>
      </w:r>
      <w:r w:rsidR="004114B8" w:rsidRPr="008A036F">
        <w:rPr>
          <w:rFonts w:ascii="Arial" w:eastAsiaTheme="minorHAnsi" w:hAnsi="Arial" w:cs="Arial"/>
        </w:rPr>
        <w:t xml:space="preserve">2012 </w:t>
      </w:r>
      <w:r w:rsidR="000C6A14">
        <w:rPr>
          <w:rFonts w:ascii="Arial" w:eastAsiaTheme="minorHAnsi" w:hAnsi="Arial" w:cs="Arial"/>
        </w:rPr>
        <w:t xml:space="preserve">con una </w:t>
      </w:r>
      <w:r w:rsidR="004114B8" w:rsidRPr="008A036F">
        <w:rPr>
          <w:rFonts w:ascii="Arial" w:eastAsiaTheme="minorHAnsi" w:hAnsi="Arial" w:cs="Arial"/>
        </w:rPr>
        <w:t>caída del 3,3%</w:t>
      </w:r>
      <w:r w:rsidR="000C6A14">
        <w:rPr>
          <w:rFonts w:ascii="Arial" w:eastAsiaTheme="minorHAnsi" w:hAnsi="Arial" w:cs="Arial"/>
        </w:rPr>
        <w:t xml:space="preserve">. Entre 2012 y 2014 se acentúa un ritmo de caída que llega hasta el </w:t>
      </w:r>
      <w:r w:rsidR="004114B8" w:rsidRPr="008A036F">
        <w:rPr>
          <w:rFonts w:ascii="Arial" w:eastAsiaTheme="minorHAnsi" w:hAnsi="Arial" w:cs="Arial"/>
        </w:rPr>
        <w:t xml:space="preserve">7,1%. </w:t>
      </w:r>
    </w:p>
    <w:p w:rsidR="00700DB2" w:rsidRDefault="00700DB2" w:rsidP="008A036F">
      <w:pPr>
        <w:pStyle w:val="Prrafodelista"/>
        <w:spacing w:line="360" w:lineRule="auto"/>
        <w:ind w:left="0"/>
        <w:rPr>
          <w:rFonts w:ascii="Arial" w:eastAsiaTheme="minorHAnsi" w:hAnsi="Arial" w:cs="Arial"/>
        </w:rPr>
      </w:pPr>
    </w:p>
    <w:p w:rsidR="00700DB2" w:rsidRPr="008A036F" w:rsidRDefault="00700DB2" w:rsidP="00700DB2">
      <w:pPr>
        <w:pStyle w:val="Prrafodelista"/>
        <w:spacing w:line="360" w:lineRule="auto"/>
        <w:ind w:left="0"/>
        <w:rPr>
          <w:rFonts w:ascii="Arial" w:eastAsiaTheme="minorHAnsi" w:hAnsi="Arial" w:cs="Arial"/>
        </w:rPr>
      </w:pPr>
      <w:r>
        <w:rPr>
          <w:rFonts w:ascii="Arial" w:eastAsiaTheme="minorHAnsi" w:hAnsi="Arial" w:cs="Arial"/>
        </w:rPr>
        <w:t>T</w:t>
      </w:r>
      <w:r w:rsidRPr="008A036F">
        <w:rPr>
          <w:rFonts w:ascii="Arial" w:eastAsiaTheme="minorHAnsi" w:hAnsi="Arial" w:cs="Arial"/>
        </w:rPr>
        <w:t>anto el sector industrial, con una caída del 7,6%, como el sector se</w:t>
      </w:r>
      <w:r>
        <w:rPr>
          <w:rFonts w:ascii="Arial" w:eastAsiaTheme="minorHAnsi" w:hAnsi="Arial" w:cs="Arial"/>
        </w:rPr>
        <w:t xml:space="preserve">rvicios (-5,2%) experimentan </w:t>
      </w:r>
      <w:r w:rsidRPr="008A036F">
        <w:rPr>
          <w:rFonts w:ascii="Arial" w:eastAsiaTheme="minorHAnsi" w:hAnsi="Arial" w:cs="Arial"/>
        </w:rPr>
        <w:t>caída</w:t>
      </w:r>
      <w:r>
        <w:rPr>
          <w:rFonts w:ascii="Arial" w:eastAsiaTheme="minorHAnsi" w:hAnsi="Arial" w:cs="Arial"/>
        </w:rPr>
        <w:t>s</w:t>
      </w:r>
      <w:r w:rsidRPr="008A036F">
        <w:rPr>
          <w:rFonts w:ascii="Arial" w:eastAsiaTheme="minorHAnsi" w:hAnsi="Arial" w:cs="Arial"/>
        </w:rPr>
        <w:t xml:space="preserve"> </w:t>
      </w:r>
      <w:r>
        <w:rPr>
          <w:rFonts w:ascii="Arial" w:eastAsiaTheme="minorHAnsi" w:hAnsi="Arial" w:cs="Arial"/>
        </w:rPr>
        <w:t xml:space="preserve">en sus cifras de ventas entre 2012 y 2014. Destaca de forma especial </w:t>
      </w:r>
      <w:r w:rsidRPr="008A036F">
        <w:rPr>
          <w:rFonts w:ascii="Arial" w:eastAsiaTheme="minorHAnsi" w:hAnsi="Arial" w:cs="Arial"/>
        </w:rPr>
        <w:t>la caída acaecida en el sector industrial guipuzcoano (-10,8%).</w:t>
      </w:r>
    </w:p>
    <w:p w:rsidR="00700DB2" w:rsidRDefault="00700DB2" w:rsidP="008A036F">
      <w:pPr>
        <w:pStyle w:val="Prrafodelista"/>
        <w:spacing w:line="360" w:lineRule="auto"/>
        <w:ind w:left="0"/>
        <w:rPr>
          <w:rFonts w:ascii="Arial" w:eastAsiaTheme="minorHAnsi" w:hAnsi="Arial" w:cs="Arial"/>
        </w:rPr>
      </w:pPr>
    </w:p>
    <w:p w:rsidR="004114B8" w:rsidRPr="00FC0ABB" w:rsidRDefault="004114B8" w:rsidP="004114B8">
      <w:pPr>
        <w:ind w:left="227" w:hanging="227"/>
        <w:rPr>
          <w:rFonts w:cs="Arial"/>
          <w:b/>
          <w:color w:val="1F497D" w:themeColor="text2"/>
          <w:sz w:val="18"/>
          <w:szCs w:val="18"/>
        </w:rPr>
      </w:pPr>
      <w:r>
        <w:rPr>
          <w:rFonts w:cs="Arial"/>
          <w:b/>
          <w:noProof/>
          <w:color w:val="1F497D" w:themeColor="text2"/>
          <w:sz w:val="18"/>
          <w:szCs w:val="18"/>
          <w:lang w:eastAsia="es-ES"/>
        </w:rPr>
        <w:drawing>
          <wp:anchor distT="0" distB="0" distL="114300" distR="114300" simplePos="0" relativeHeight="251796480" behindDoc="0" locked="0" layoutInCell="1" allowOverlap="1">
            <wp:simplePos x="0" y="0"/>
            <wp:positionH relativeFrom="column">
              <wp:posOffset>-344406</wp:posOffset>
            </wp:positionH>
            <wp:positionV relativeFrom="paragraph">
              <wp:posOffset>171376</wp:posOffset>
            </wp:positionV>
            <wp:extent cx="6052140" cy="1828800"/>
            <wp:effectExtent l="0" t="0" r="0" b="0"/>
            <wp:wrapNone/>
            <wp:docPr id="28"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114B8" w:rsidRPr="00FC0ABB" w:rsidRDefault="004114B8" w:rsidP="004114B8">
      <w:pPr>
        <w:ind w:left="227" w:hanging="227"/>
        <w:jc w:val="center"/>
        <w:rPr>
          <w:rFonts w:cs="Arial"/>
          <w:b/>
          <w:color w:val="1F497D" w:themeColor="text2"/>
          <w:sz w:val="18"/>
          <w:szCs w:val="18"/>
        </w:rPr>
      </w:pPr>
      <w:r w:rsidRPr="00FC0ABB">
        <w:rPr>
          <w:rFonts w:cs="Arial"/>
          <w:b/>
          <w:color w:val="1F497D" w:themeColor="text2"/>
          <w:sz w:val="18"/>
          <w:szCs w:val="18"/>
        </w:rPr>
        <w:t>E</w:t>
      </w:r>
      <w:r>
        <w:rPr>
          <w:rFonts w:cs="Arial"/>
          <w:b/>
          <w:color w:val="1F497D" w:themeColor="text2"/>
          <w:sz w:val="18"/>
          <w:szCs w:val="18"/>
        </w:rPr>
        <w:t>VOLUCIÓN FACTURACIÓN 2006 - 2015</w:t>
      </w:r>
      <w:r w:rsidRPr="00FC0ABB">
        <w:rPr>
          <w:rFonts w:cs="Arial"/>
          <w:b/>
          <w:color w:val="1F497D" w:themeColor="text2"/>
          <w:sz w:val="18"/>
          <w:szCs w:val="18"/>
        </w:rPr>
        <w:t xml:space="preserve"> (MILES DE EUROS)</w:t>
      </w:r>
    </w:p>
    <w:p w:rsidR="004114B8" w:rsidRPr="009934E1" w:rsidRDefault="004114B8" w:rsidP="004114B8">
      <w:pPr>
        <w:ind w:left="227" w:hanging="227"/>
        <w:rPr>
          <w:rFonts w:ascii="Times New Roman" w:eastAsia="Times New Roman" w:hAnsi="Times New Roman" w:cs="Times New Roman"/>
          <w:sz w:val="24"/>
          <w:szCs w:val="24"/>
          <w:lang w:eastAsia="es-ES"/>
        </w:rPr>
      </w:pPr>
    </w:p>
    <w:p w:rsidR="004114B8" w:rsidRPr="009934E1" w:rsidRDefault="004114B8" w:rsidP="004114B8">
      <w:pPr>
        <w:ind w:left="227" w:hanging="227"/>
        <w:rPr>
          <w:rFonts w:ascii="Times New Roman" w:eastAsia="Times New Roman" w:hAnsi="Times New Roman" w:cs="Times New Roman"/>
          <w:sz w:val="24"/>
          <w:szCs w:val="24"/>
          <w:lang w:eastAsia="es-ES"/>
        </w:rPr>
      </w:pPr>
    </w:p>
    <w:p w:rsidR="004114B8" w:rsidRPr="009934E1" w:rsidRDefault="004114B8" w:rsidP="004114B8">
      <w:pPr>
        <w:ind w:left="227" w:hanging="227"/>
        <w:rPr>
          <w:rFonts w:cs="Arial"/>
        </w:rPr>
      </w:pPr>
    </w:p>
    <w:p w:rsidR="004114B8" w:rsidRPr="009934E1" w:rsidRDefault="004114B8" w:rsidP="004114B8">
      <w:pPr>
        <w:ind w:left="227" w:hanging="227"/>
        <w:rPr>
          <w:rFonts w:cs="Arial"/>
        </w:rPr>
      </w:pPr>
    </w:p>
    <w:p w:rsidR="004114B8" w:rsidRPr="009934E1" w:rsidRDefault="004114B8" w:rsidP="004114B8">
      <w:pPr>
        <w:ind w:left="227" w:hanging="227"/>
        <w:rPr>
          <w:rFonts w:cs="Arial"/>
        </w:rPr>
      </w:pPr>
    </w:p>
    <w:p w:rsidR="004114B8" w:rsidRPr="009934E1" w:rsidRDefault="004114B8" w:rsidP="004114B8">
      <w:pPr>
        <w:ind w:left="227" w:hanging="227"/>
        <w:rPr>
          <w:rFonts w:cs="Arial"/>
        </w:rPr>
      </w:pPr>
    </w:p>
    <w:p w:rsidR="004114B8" w:rsidRPr="009934E1" w:rsidRDefault="004114B8" w:rsidP="004114B8">
      <w:pPr>
        <w:ind w:left="227" w:hanging="227"/>
        <w:rPr>
          <w:rFonts w:cs="Arial"/>
        </w:rPr>
      </w:pPr>
    </w:p>
    <w:p w:rsidR="004114B8" w:rsidRPr="002625AC" w:rsidRDefault="004114B8" w:rsidP="004114B8">
      <w:pPr>
        <w:ind w:left="227" w:hanging="227"/>
        <w:rPr>
          <w:rFonts w:cs="Arial"/>
          <w:sz w:val="16"/>
          <w:szCs w:val="16"/>
        </w:rPr>
      </w:pPr>
      <w:r w:rsidRPr="002625AC">
        <w:rPr>
          <w:rFonts w:cs="Arial"/>
          <w:sz w:val="16"/>
          <w:szCs w:val="16"/>
        </w:rPr>
        <w:tab/>
        <w:t>* En los años impares el volumen facturado corresponde a la previsión realizada por las empresas en el año anterior.</w:t>
      </w:r>
    </w:p>
    <w:p w:rsidR="00592E9A" w:rsidRDefault="00592E9A" w:rsidP="004114B8">
      <w:pPr>
        <w:rPr>
          <w:rFonts w:cs="Arial"/>
        </w:rPr>
      </w:pPr>
    </w:p>
    <w:p w:rsidR="00700DB2" w:rsidRDefault="00700DB2" w:rsidP="00700DB2">
      <w:pPr>
        <w:pStyle w:val="Prrafodelista"/>
        <w:spacing w:line="360" w:lineRule="auto"/>
        <w:ind w:left="0"/>
        <w:rPr>
          <w:rFonts w:ascii="Arial" w:eastAsiaTheme="minorHAnsi" w:hAnsi="Arial" w:cs="Arial"/>
        </w:rPr>
      </w:pPr>
    </w:p>
    <w:p w:rsidR="00700DB2" w:rsidRDefault="00700DB2" w:rsidP="00700DB2">
      <w:pPr>
        <w:pStyle w:val="Prrafodelista"/>
        <w:spacing w:line="360" w:lineRule="auto"/>
        <w:ind w:left="0"/>
        <w:rPr>
          <w:rFonts w:ascii="Arial" w:hAnsi="Arial" w:cs="Arial"/>
        </w:rPr>
      </w:pPr>
      <w:r>
        <w:rPr>
          <w:rFonts w:ascii="Arial" w:eastAsiaTheme="minorHAnsi" w:hAnsi="Arial" w:cs="Arial"/>
        </w:rPr>
        <w:t xml:space="preserve">Los 7.690,8 millones que en 2014 factura la Economía Social se alejan </w:t>
      </w:r>
      <w:r w:rsidRPr="00D6542C">
        <w:rPr>
          <w:rFonts w:ascii="Arial" w:eastAsiaTheme="minorHAnsi" w:hAnsi="Arial" w:cs="Arial"/>
        </w:rPr>
        <w:t>de manera sustancial de los 10.314,9 máximos alcanzados en 2007. Reflejan una caída de la facturación, en precios corrientes, del 25,4% entr</w:t>
      </w:r>
      <w:r w:rsidRPr="00D6542C">
        <w:rPr>
          <w:rFonts w:ascii="Arial" w:hAnsi="Arial" w:cs="Arial"/>
        </w:rPr>
        <w:t xml:space="preserve">e 2007 </w:t>
      </w:r>
      <w:r w:rsidR="00BC3CBC">
        <w:rPr>
          <w:rFonts w:ascii="Arial" w:hAnsi="Arial" w:cs="Arial"/>
        </w:rPr>
        <w:t>y 2014, proporción que es del 2</w:t>
      </w:r>
      <w:r w:rsidRPr="00D6542C">
        <w:rPr>
          <w:rFonts w:ascii="Arial" w:hAnsi="Arial" w:cs="Arial"/>
        </w:rPr>
        <w:t xml:space="preserve">% si se </w:t>
      </w:r>
      <w:r>
        <w:rPr>
          <w:rFonts w:ascii="Arial" w:hAnsi="Arial" w:cs="Arial"/>
        </w:rPr>
        <w:t xml:space="preserve">compara </w:t>
      </w:r>
      <w:r w:rsidRPr="00D6542C">
        <w:rPr>
          <w:rFonts w:ascii="Arial" w:hAnsi="Arial" w:cs="Arial"/>
        </w:rPr>
        <w:t>la facturación</w:t>
      </w:r>
      <w:r>
        <w:rPr>
          <w:rFonts w:ascii="Arial" w:hAnsi="Arial" w:cs="Arial"/>
        </w:rPr>
        <w:t xml:space="preserve"> de 2014 con la</w:t>
      </w:r>
      <w:r w:rsidRPr="00D6542C">
        <w:rPr>
          <w:rFonts w:ascii="Arial" w:hAnsi="Arial" w:cs="Arial"/>
        </w:rPr>
        <w:t xml:space="preserve"> media del periodo 2006-2008</w:t>
      </w:r>
      <w:r w:rsidRPr="009934E1">
        <w:rPr>
          <w:rStyle w:val="Refdenotaalpie"/>
          <w:rFonts w:eastAsia="Arial" w:cs="Arial"/>
          <w:szCs w:val="20"/>
        </w:rPr>
        <w:footnoteReference w:id="5"/>
      </w:r>
      <w:r>
        <w:rPr>
          <w:rFonts w:ascii="Arial" w:hAnsi="Arial" w:cs="Arial"/>
        </w:rPr>
        <w:t>.</w:t>
      </w:r>
    </w:p>
    <w:p w:rsidR="000C6A14" w:rsidRDefault="000C6A14" w:rsidP="004114B8">
      <w:pPr>
        <w:rPr>
          <w:rFonts w:cs="Arial"/>
        </w:rPr>
      </w:pPr>
    </w:p>
    <w:p w:rsidR="000C6A14" w:rsidRPr="008A036F" w:rsidRDefault="000C6A14" w:rsidP="000C6A14">
      <w:pPr>
        <w:pStyle w:val="Prrafodelista"/>
        <w:spacing w:line="360" w:lineRule="auto"/>
        <w:ind w:left="425"/>
        <w:rPr>
          <w:rFonts w:ascii="Arial" w:eastAsiaTheme="minorHAnsi" w:hAnsi="Arial" w:cs="Arial"/>
        </w:rPr>
      </w:pPr>
    </w:p>
    <w:p w:rsidR="004114B8" w:rsidRDefault="00430FA8" w:rsidP="004114B8">
      <w:pPr>
        <w:rPr>
          <w:rFonts w:cs="Arial"/>
        </w:rPr>
      </w:pPr>
      <w:r>
        <w:rPr>
          <w:rFonts w:cs="Arial"/>
        </w:rPr>
        <w:lastRenderedPageBreak/>
        <w:t>C</w:t>
      </w:r>
      <w:r w:rsidR="00A72601">
        <w:rPr>
          <w:rFonts w:cs="Arial"/>
        </w:rPr>
        <w:t>abe apuntar</w:t>
      </w:r>
      <w:r>
        <w:rPr>
          <w:rFonts w:cs="Arial"/>
        </w:rPr>
        <w:t>, en una línea más favorable,</w:t>
      </w:r>
      <w:r w:rsidR="00A72601">
        <w:rPr>
          <w:rFonts w:cs="Arial"/>
        </w:rPr>
        <w:t xml:space="preserve"> que</w:t>
      </w:r>
      <w:r w:rsidR="004114B8">
        <w:rPr>
          <w:rFonts w:cs="Arial"/>
        </w:rPr>
        <w:t xml:space="preserve"> las cifras de Avance 2015 vaticinan un</w:t>
      </w:r>
      <w:r w:rsidR="00A72601">
        <w:rPr>
          <w:rFonts w:cs="Arial"/>
        </w:rPr>
        <w:t xml:space="preserve"> cambio de signo y</w:t>
      </w:r>
      <w:r w:rsidR="004114B8">
        <w:rPr>
          <w:rFonts w:cs="Arial"/>
        </w:rPr>
        <w:t xml:space="preserve"> </w:t>
      </w:r>
      <w:r w:rsidR="0042747D">
        <w:rPr>
          <w:rFonts w:cs="Arial"/>
        </w:rPr>
        <w:t xml:space="preserve">cierto </w:t>
      </w:r>
      <w:r w:rsidR="004114B8">
        <w:rPr>
          <w:rFonts w:cs="Arial"/>
        </w:rPr>
        <w:t>crecimiento</w:t>
      </w:r>
      <w:r>
        <w:rPr>
          <w:rFonts w:cs="Arial"/>
        </w:rPr>
        <w:t xml:space="preserve"> en la facturación</w:t>
      </w:r>
      <w:r w:rsidR="0042747D">
        <w:rPr>
          <w:rFonts w:cs="Arial"/>
        </w:rPr>
        <w:t>,</w:t>
      </w:r>
      <w:r w:rsidR="004114B8">
        <w:rPr>
          <w:rFonts w:cs="Arial"/>
        </w:rPr>
        <w:t xml:space="preserve"> aunque exiguo y sin</w:t>
      </w:r>
      <w:r w:rsidR="000F64BB">
        <w:rPr>
          <w:rFonts w:cs="Arial"/>
        </w:rPr>
        <w:t xml:space="preserve"> llegar a</w:t>
      </w:r>
      <w:r w:rsidR="004114B8">
        <w:rPr>
          <w:rFonts w:cs="Arial"/>
        </w:rPr>
        <w:t xml:space="preserve"> constituir un punto de in</w:t>
      </w:r>
      <w:r w:rsidR="00EF1E21">
        <w:rPr>
          <w:rFonts w:cs="Arial"/>
        </w:rPr>
        <w:t>flexión</w:t>
      </w:r>
      <w:r w:rsidR="00A72601">
        <w:rPr>
          <w:rFonts w:cs="Arial"/>
        </w:rPr>
        <w:t xml:space="preserve"> </w:t>
      </w:r>
      <w:r w:rsidR="00EF1E21">
        <w:rPr>
          <w:rFonts w:cs="Arial"/>
        </w:rPr>
        <w:t>(+</w:t>
      </w:r>
      <w:r w:rsidR="004114B8">
        <w:rPr>
          <w:rFonts w:cs="Arial"/>
        </w:rPr>
        <w:t>1,9%</w:t>
      </w:r>
      <w:r w:rsidR="00EF1E21">
        <w:rPr>
          <w:rFonts w:cs="Arial"/>
        </w:rPr>
        <w:t>)</w:t>
      </w:r>
      <w:r w:rsidR="000F64BB">
        <w:rPr>
          <w:rFonts w:cs="Arial"/>
        </w:rPr>
        <w:t>. E</w:t>
      </w:r>
      <w:r w:rsidR="004114B8">
        <w:rPr>
          <w:rFonts w:cs="Arial"/>
        </w:rPr>
        <w:t>ste</w:t>
      </w:r>
      <w:r>
        <w:rPr>
          <w:rFonts w:cs="Arial"/>
        </w:rPr>
        <w:t xml:space="preserve"> proceso de recuperación </w:t>
      </w:r>
      <w:r w:rsidR="004114B8">
        <w:rPr>
          <w:rFonts w:cs="Arial"/>
        </w:rPr>
        <w:t>elevaría la cifra de facturación</w:t>
      </w:r>
      <w:r w:rsidR="00392C4C">
        <w:rPr>
          <w:rFonts w:cs="Arial"/>
        </w:rPr>
        <w:t xml:space="preserve"> en 2015</w:t>
      </w:r>
      <w:r w:rsidR="004114B8">
        <w:rPr>
          <w:rFonts w:cs="Arial"/>
        </w:rPr>
        <w:t xml:space="preserve"> a los 7.836 millones de euros. Con todo, la facturación quedaría aún </w:t>
      </w:r>
      <w:r w:rsidR="00EF1E21">
        <w:rPr>
          <w:rFonts w:cs="Arial"/>
        </w:rPr>
        <w:t xml:space="preserve">muy </w:t>
      </w:r>
      <w:r w:rsidR="004114B8">
        <w:rPr>
          <w:rFonts w:cs="Arial"/>
        </w:rPr>
        <w:t xml:space="preserve">por debajo del nivel registrado tras el desplome producido </w:t>
      </w:r>
      <w:r>
        <w:rPr>
          <w:rFonts w:cs="Arial"/>
        </w:rPr>
        <w:t>que se observa a partir de 2008. Debe señalarse además que los datos de 2013 ya adelantaban una ligera recuperación que luego no se concretaría siquiera en 2014.</w:t>
      </w:r>
      <w:r w:rsidR="004114B8">
        <w:rPr>
          <w:rFonts w:cs="Arial"/>
        </w:rPr>
        <w:t xml:space="preserve"> </w:t>
      </w:r>
    </w:p>
    <w:p w:rsidR="00FA5547" w:rsidRDefault="00FA5547">
      <w:pPr>
        <w:spacing w:after="200" w:line="276" w:lineRule="auto"/>
        <w:jc w:val="left"/>
        <w:rPr>
          <w:rFonts w:eastAsia="Arial" w:cs="Arial"/>
          <w:szCs w:val="20"/>
        </w:rPr>
      </w:pPr>
    </w:p>
    <w:p w:rsidR="007046A9" w:rsidRDefault="004114B8" w:rsidP="007046A9">
      <w:pPr>
        <w:rPr>
          <w:rFonts w:eastAsia="Arial" w:cs="Arial"/>
          <w:szCs w:val="20"/>
        </w:rPr>
      </w:pPr>
      <w:r>
        <w:rPr>
          <w:rFonts w:eastAsia="Arial" w:cs="Arial"/>
          <w:szCs w:val="20"/>
        </w:rPr>
        <w:t xml:space="preserve">El descenso </w:t>
      </w:r>
      <w:r w:rsidR="007A300B">
        <w:rPr>
          <w:rFonts w:eastAsia="Arial" w:cs="Arial"/>
          <w:szCs w:val="20"/>
        </w:rPr>
        <w:t>registrado</w:t>
      </w:r>
      <w:r>
        <w:rPr>
          <w:rFonts w:eastAsia="Arial" w:cs="Arial"/>
          <w:szCs w:val="20"/>
        </w:rPr>
        <w:t xml:space="preserve"> en la facturación </w:t>
      </w:r>
      <w:r w:rsidR="007A300B" w:rsidRPr="00B20306">
        <w:rPr>
          <w:rFonts w:eastAsia="Times New Roman" w:cs="Arial"/>
          <w:szCs w:val="20"/>
          <w:lang w:eastAsia="es-ES"/>
        </w:rPr>
        <w:t>viene acompañad</w:t>
      </w:r>
      <w:r w:rsidR="007A300B">
        <w:rPr>
          <w:rFonts w:eastAsia="Times New Roman" w:cs="Arial"/>
          <w:szCs w:val="20"/>
          <w:lang w:eastAsia="es-ES"/>
        </w:rPr>
        <w:t>o</w:t>
      </w:r>
      <w:r w:rsidR="007A300B" w:rsidRPr="00B20306">
        <w:rPr>
          <w:rFonts w:eastAsia="Times New Roman" w:cs="Arial"/>
          <w:szCs w:val="20"/>
          <w:lang w:eastAsia="es-ES"/>
        </w:rPr>
        <w:t xml:space="preserve"> de una reducción en el valor añadido bruto (</w:t>
      </w:r>
      <w:r w:rsidR="007A300B" w:rsidRPr="00B20306">
        <w:rPr>
          <w:rFonts w:eastAsia="Times New Roman" w:cs="Arial"/>
          <w:szCs w:val="20"/>
          <w:lang w:val="es-ES_tradnl" w:eastAsia="es-ES"/>
        </w:rPr>
        <w:t>VAB)</w:t>
      </w:r>
      <w:r w:rsidR="007A300B">
        <w:rPr>
          <w:rFonts w:eastAsia="Times New Roman" w:cs="Arial"/>
          <w:szCs w:val="20"/>
          <w:lang w:val="es-ES_tradnl" w:eastAsia="es-ES"/>
        </w:rPr>
        <w:t xml:space="preserve"> aunque </w:t>
      </w:r>
      <w:r>
        <w:rPr>
          <w:rFonts w:eastAsia="Arial" w:cs="Arial"/>
          <w:szCs w:val="20"/>
        </w:rPr>
        <w:t xml:space="preserve">de forma </w:t>
      </w:r>
      <w:r w:rsidR="007A300B">
        <w:rPr>
          <w:rFonts w:eastAsia="Arial" w:cs="Arial"/>
          <w:szCs w:val="20"/>
        </w:rPr>
        <w:t xml:space="preserve">muchos </w:t>
      </w:r>
      <w:r>
        <w:rPr>
          <w:rFonts w:eastAsia="Arial" w:cs="Arial"/>
          <w:szCs w:val="20"/>
        </w:rPr>
        <w:t>menos acusada</w:t>
      </w:r>
      <w:r w:rsidR="007A300B">
        <w:rPr>
          <w:rFonts w:eastAsia="Arial" w:cs="Arial"/>
          <w:szCs w:val="20"/>
        </w:rPr>
        <w:t>. La caída estimada se limita a un -1,1% en precios corrientes, un nivel que resulta muy inferior al del bienio 2010-2012</w:t>
      </w:r>
      <w:r>
        <w:rPr>
          <w:rFonts w:eastAsia="Arial" w:cs="Arial"/>
          <w:szCs w:val="20"/>
        </w:rPr>
        <w:t xml:space="preserve"> (-6</w:t>
      </w:r>
      <w:r w:rsidR="007046A9">
        <w:rPr>
          <w:rFonts w:eastAsia="Arial" w:cs="Arial"/>
          <w:szCs w:val="20"/>
        </w:rPr>
        <w:t>,4%)</w:t>
      </w:r>
      <w:r w:rsidR="007A300B">
        <w:rPr>
          <w:rFonts w:eastAsia="Arial" w:cs="Arial"/>
          <w:szCs w:val="20"/>
        </w:rPr>
        <w:t>. Dos elementos sectoriales contribuyen a una menor caída relativa del VAB:</w:t>
      </w:r>
    </w:p>
    <w:p w:rsidR="007046A9" w:rsidRDefault="007046A9" w:rsidP="007046A9">
      <w:pPr>
        <w:rPr>
          <w:rFonts w:eastAsia="Arial" w:cs="Arial"/>
          <w:szCs w:val="20"/>
        </w:rPr>
      </w:pPr>
    </w:p>
    <w:p w:rsidR="007046A9" w:rsidRDefault="007046A9" w:rsidP="00FA5547">
      <w:pPr>
        <w:pStyle w:val="Prrafodelista"/>
        <w:numPr>
          <w:ilvl w:val="0"/>
          <w:numId w:val="16"/>
        </w:numPr>
        <w:spacing w:after="0" w:line="288" w:lineRule="auto"/>
        <w:ind w:left="714" w:hanging="357"/>
        <w:rPr>
          <w:rFonts w:ascii="Arial" w:eastAsia="Arial" w:hAnsi="Arial" w:cs="Arial"/>
          <w:szCs w:val="20"/>
        </w:rPr>
      </w:pPr>
      <w:r w:rsidRPr="007046A9">
        <w:rPr>
          <w:rFonts w:ascii="Arial" w:eastAsia="Arial" w:hAnsi="Arial" w:cs="Arial"/>
          <w:szCs w:val="20"/>
        </w:rPr>
        <w:t xml:space="preserve">Por un lado, </w:t>
      </w:r>
      <w:r w:rsidR="007A300B">
        <w:rPr>
          <w:rFonts w:ascii="Arial" w:eastAsia="Arial" w:hAnsi="Arial" w:cs="Arial"/>
          <w:szCs w:val="20"/>
        </w:rPr>
        <w:t xml:space="preserve">una menor reducción </w:t>
      </w:r>
      <w:r w:rsidR="004114B8" w:rsidRPr="007046A9">
        <w:rPr>
          <w:rFonts w:ascii="Arial" w:eastAsia="Arial" w:hAnsi="Arial" w:cs="Arial"/>
          <w:szCs w:val="20"/>
        </w:rPr>
        <w:t>del VAB industrial</w:t>
      </w:r>
      <w:r>
        <w:rPr>
          <w:rFonts w:ascii="Arial" w:eastAsia="Arial" w:hAnsi="Arial" w:cs="Arial"/>
          <w:szCs w:val="20"/>
        </w:rPr>
        <w:t xml:space="preserve"> </w:t>
      </w:r>
      <w:r w:rsidR="007A300B">
        <w:rPr>
          <w:rFonts w:ascii="Arial" w:eastAsia="Arial" w:hAnsi="Arial" w:cs="Arial"/>
          <w:szCs w:val="20"/>
        </w:rPr>
        <w:t xml:space="preserve">en el periodo 2012-2014 </w:t>
      </w:r>
      <w:r w:rsidR="004114B8" w:rsidRPr="007046A9">
        <w:rPr>
          <w:rFonts w:ascii="Arial" w:eastAsia="Arial" w:hAnsi="Arial" w:cs="Arial"/>
          <w:szCs w:val="20"/>
        </w:rPr>
        <w:t>(-2,1% frente a</w:t>
      </w:r>
      <w:r>
        <w:rPr>
          <w:rFonts w:ascii="Arial" w:eastAsia="Arial" w:hAnsi="Arial" w:cs="Arial"/>
          <w:szCs w:val="20"/>
        </w:rPr>
        <w:t xml:space="preserve"> </w:t>
      </w:r>
      <w:r w:rsidR="007A300B">
        <w:rPr>
          <w:rFonts w:ascii="Arial" w:eastAsia="Arial" w:hAnsi="Arial" w:cs="Arial"/>
          <w:szCs w:val="20"/>
        </w:rPr>
        <w:t>-</w:t>
      </w:r>
      <w:r>
        <w:rPr>
          <w:rFonts w:ascii="Arial" w:eastAsia="Arial" w:hAnsi="Arial" w:cs="Arial"/>
          <w:szCs w:val="20"/>
        </w:rPr>
        <w:t xml:space="preserve">6,1% </w:t>
      </w:r>
      <w:r w:rsidR="007A300B">
        <w:rPr>
          <w:rFonts w:ascii="Arial" w:eastAsia="Arial" w:hAnsi="Arial" w:cs="Arial"/>
          <w:szCs w:val="20"/>
        </w:rPr>
        <w:t xml:space="preserve">en </w:t>
      </w:r>
      <w:r>
        <w:rPr>
          <w:rFonts w:ascii="Arial" w:eastAsia="Arial" w:hAnsi="Arial" w:cs="Arial"/>
          <w:szCs w:val="20"/>
        </w:rPr>
        <w:t>el bienio 2010 – 2012).</w:t>
      </w:r>
    </w:p>
    <w:p w:rsidR="007046A9" w:rsidRPr="007046A9" w:rsidRDefault="007046A9" w:rsidP="00FA5547">
      <w:pPr>
        <w:pStyle w:val="Prrafodelista"/>
        <w:spacing w:after="0" w:line="288" w:lineRule="auto"/>
        <w:ind w:left="714"/>
        <w:rPr>
          <w:rFonts w:ascii="Arial" w:eastAsia="Arial" w:hAnsi="Arial" w:cs="Arial"/>
          <w:szCs w:val="20"/>
        </w:rPr>
      </w:pPr>
    </w:p>
    <w:p w:rsidR="004114B8" w:rsidRDefault="007046A9" w:rsidP="00FA5547">
      <w:pPr>
        <w:pStyle w:val="Prrafodelista"/>
        <w:numPr>
          <w:ilvl w:val="0"/>
          <w:numId w:val="16"/>
        </w:numPr>
        <w:spacing w:after="0" w:line="288" w:lineRule="auto"/>
        <w:ind w:left="714" w:hanging="357"/>
        <w:rPr>
          <w:rFonts w:ascii="Arial" w:eastAsia="Arial" w:hAnsi="Arial" w:cs="Arial"/>
          <w:szCs w:val="20"/>
        </w:rPr>
      </w:pPr>
      <w:r w:rsidRPr="007046A9">
        <w:rPr>
          <w:rFonts w:ascii="Arial" w:eastAsia="Arial" w:hAnsi="Arial" w:cs="Arial"/>
          <w:szCs w:val="20"/>
        </w:rPr>
        <w:t xml:space="preserve">Por otro, y en positivo, </w:t>
      </w:r>
      <w:r>
        <w:rPr>
          <w:rFonts w:ascii="Arial" w:eastAsia="Arial" w:hAnsi="Arial" w:cs="Arial"/>
          <w:szCs w:val="20"/>
        </w:rPr>
        <w:t>el</w:t>
      </w:r>
      <w:r w:rsidR="004114B8" w:rsidRPr="007046A9">
        <w:rPr>
          <w:rFonts w:ascii="Arial" w:eastAsia="Arial" w:hAnsi="Arial" w:cs="Arial"/>
          <w:szCs w:val="20"/>
        </w:rPr>
        <w:t xml:space="preserve"> ligero crecimiento experimentado p</w:t>
      </w:r>
      <w:r>
        <w:rPr>
          <w:rFonts w:ascii="Arial" w:eastAsia="Arial" w:hAnsi="Arial" w:cs="Arial"/>
          <w:szCs w:val="20"/>
        </w:rPr>
        <w:t>or el sector servicios</w:t>
      </w:r>
      <w:r w:rsidR="007A300B">
        <w:rPr>
          <w:rFonts w:ascii="Arial" w:eastAsia="Arial" w:hAnsi="Arial" w:cs="Arial"/>
          <w:szCs w:val="20"/>
        </w:rPr>
        <w:t>, con un incremento</w:t>
      </w:r>
      <w:r>
        <w:rPr>
          <w:rFonts w:ascii="Arial" w:eastAsia="Arial" w:hAnsi="Arial" w:cs="Arial"/>
          <w:szCs w:val="20"/>
        </w:rPr>
        <w:t xml:space="preserve"> del 0,6%</w:t>
      </w:r>
      <w:r w:rsidR="007A300B">
        <w:rPr>
          <w:rFonts w:ascii="Arial" w:eastAsia="Arial" w:hAnsi="Arial" w:cs="Arial"/>
          <w:szCs w:val="20"/>
        </w:rPr>
        <w:t xml:space="preserve"> en el VAB que cambia </w:t>
      </w:r>
      <w:r>
        <w:rPr>
          <w:rFonts w:ascii="Arial" w:eastAsia="Arial" w:hAnsi="Arial" w:cs="Arial"/>
          <w:szCs w:val="20"/>
        </w:rPr>
        <w:t>de forma sustancial</w:t>
      </w:r>
      <w:r w:rsidR="004114B8" w:rsidRPr="007046A9">
        <w:rPr>
          <w:rFonts w:ascii="Arial" w:eastAsia="Arial" w:hAnsi="Arial" w:cs="Arial"/>
          <w:szCs w:val="20"/>
        </w:rPr>
        <w:t xml:space="preserve"> </w:t>
      </w:r>
      <w:r w:rsidR="007A300B">
        <w:rPr>
          <w:rFonts w:ascii="Arial" w:eastAsia="Arial" w:hAnsi="Arial" w:cs="Arial"/>
          <w:szCs w:val="20"/>
        </w:rPr>
        <w:t xml:space="preserve">de sentido </w:t>
      </w:r>
      <w:r w:rsidR="004114B8" w:rsidRPr="007046A9">
        <w:rPr>
          <w:rFonts w:ascii="Arial" w:eastAsia="Arial" w:hAnsi="Arial" w:cs="Arial"/>
          <w:szCs w:val="20"/>
        </w:rPr>
        <w:t xml:space="preserve">el descenso del 6% vivido en el bienio anterior. </w:t>
      </w:r>
    </w:p>
    <w:p w:rsidR="007A300B" w:rsidRPr="007A300B" w:rsidRDefault="007A300B" w:rsidP="007A300B">
      <w:pPr>
        <w:pStyle w:val="Prrafodelista"/>
        <w:rPr>
          <w:rFonts w:ascii="Arial" w:eastAsia="Arial" w:hAnsi="Arial" w:cs="Arial"/>
          <w:szCs w:val="20"/>
        </w:rPr>
      </w:pPr>
    </w:p>
    <w:p w:rsidR="007A300B" w:rsidRDefault="007A300B" w:rsidP="007A300B">
      <w:pPr>
        <w:spacing w:line="288" w:lineRule="auto"/>
        <w:rPr>
          <w:rFonts w:eastAsia="Arial" w:cs="Arial"/>
          <w:szCs w:val="20"/>
        </w:rPr>
      </w:pPr>
      <w:r>
        <w:rPr>
          <w:rFonts w:eastAsia="Arial" w:cs="Arial"/>
          <w:szCs w:val="20"/>
        </w:rPr>
        <w:t>La construcción, en cambio, sigue manteniendo caídas muy elevadas, -14,7% entre 2012 y 2014.</w:t>
      </w:r>
    </w:p>
    <w:p w:rsidR="007A300B" w:rsidRPr="007A300B" w:rsidRDefault="007A300B" w:rsidP="007A300B">
      <w:pPr>
        <w:spacing w:line="288" w:lineRule="auto"/>
        <w:rPr>
          <w:rFonts w:eastAsia="Arial" w:cs="Arial"/>
          <w:szCs w:val="20"/>
        </w:rPr>
      </w:pPr>
    </w:p>
    <w:p w:rsidR="00FA5547" w:rsidRDefault="00FA5547" w:rsidP="00FA5547">
      <w:pPr>
        <w:widowControl w:val="0"/>
        <w:spacing w:line="288" w:lineRule="auto"/>
        <w:jc w:val="center"/>
        <w:rPr>
          <w:rFonts w:cs="Arial"/>
          <w:b/>
          <w:color w:val="1F497D" w:themeColor="text2"/>
          <w:sz w:val="18"/>
          <w:szCs w:val="18"/>
        </w:rPr>
      </w:pPr>
    </w:p>
    <w:p w:rsidR="004114B8" w:rsidRPr="00367DEF" w:rsidRDefault="004114B8" w:rsidP="00FA5547">
      <w:pPr>
        <w:widowControl w:val="0"/>
        <w:spacing w:line="288" w:lineRule="auto"/>
        <w:jc w:val="center"/>
        <w:rPr>
          <w:rFonts w:cs="Arial"/>
          <w:b/>
          <w:color w:val="1F497D" w:themeColor="text2"/>
          <w:sz w:val="18"/>
          <w:szCs w:val="18"/>
        </w:rPr>
      </w:pPr>
      <w:r w:rsidRPr="00367DEF">
        <w:rPr>
          <w:rFonts w:cs="Arial"/>
          <w:b/>
          <w:color w:val="1F497D" w:themeColor="text2"/>
          <w:sz w:val="18"/>
          <w:szCs w:val="18"/>
        </w:rPr>
        <w:t>INCREMENTO SECT</w:t>
      </w:r>
      <w:r>
        <w:rPr>
          <w:rFonts w:cs="Arial"/>
          <w:b/>
          <w:color w:val="1F497D" w:themeColor="text2"/>
          <w:sz w:val="18"/>
          <w:szCs w:val="18"/>
        </w:rPr>
        <w:t>ORIAL DEL VAB EN EL PERIODO 2012-2014</w:t>
      </w:r>
      <w:r w:rsidRPr="00367DEF">
        <w:rPr>
          <w:rFonts w:cs="Arial"/>
          <w:b/>
          <w:color w:val="1F497D" w:themeColor="text2"/>
          <w:sz w:val="18"/>
          <w:szCs w:val="18"/>
        </w:rPr>
        <w:t xml:space="preserve"> (Precios corrientes</w:t>
      </w:r>
      <w:r>
        <w:rPr>
          <w:rFonts w:cs="Arial"/>
          <w:b/>
          <w:color w:val="1F497D" w:themeColor="text2"/>
          <w:sz w:val="18"/>
          <w:szCs w:val="18"/>
        </w:rPr>
        <w:t xml:space="preserve"> y %</w:t>
      </w:r>
      <w:r w:rsidRPr="00367DEF">
        <w:rPr>
          <w:rFonts w:cs="Arial"/>
          <w:b/>
          <w:color w:val="1F497D" w:themeColor="text2"/>
          <w:sz w:val="18"/>
          <w:szCs w:val="18"/>
        </w:rPr>
        <w:t>)</w:t>
      </w:r>
    </w:p>
    <w:tbl>
      <w:tblPr>
        <w:tblW w:w="5000" w:type="pct"/>
        <w:jc w:val="center"/>
        <w:tblLook w:val="04A0" w:firstRow="1" w:lastRow="0" w:firstColumn="1" w:lastColumn="0" w:noHBand="0" w:noVBand="1"/>
      </w:tblPr>
      <w:tblGrid>
        <w:gridCol w:w="5181"/>
        <w:gridCol w:w="3823"/>
      </w:tblGrid>
      <w:tr w:rsidR="004114B8" w:rsidRPr="006209F1" w:rsidTr="0037605B">
        <w:trPr>
          <w:jc w:val="center"/>
        </w:trPr>
        <w:tc>
          <w:tcPr>
            <w:tcW w:w="287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4114B8" w:rsidRPr="006209F1" w:rsidRDefault="004114B8" w:rsidP="00D86960">
            <w:pPr>
              <w:widowControl w:val="0"/>
              <w:spacing w:line="240" w:lineRule="exact"/>
              <w:jc w:val="center"/>
              <w:rPr>
                <w:b/>
                <w:sz w:val="16"/>
                <w:szCs w:val="16"/>
              </w:rPr>
            </w:pPr>
            <w:r w:rsidRPr="006209F1">
              <w:rPr>
                <w:b/>
                <w:sz w:val="16"/>
                <w:szCs w:val="16"/>
              </w:rPr>
              <w:t>Sectores</w:t>
            </w:r>
          </w:p>
        </w:tc>
        <w:tc>
          <w:tcPr>
            <w:tcW w:w="21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4114B8" w:rsidRPr="006209F1" w:rsidRDefault="004114B8" w:rsidP="00D86960">
            <w:pPr>
              <w:widowControl w:val="0"/>
              <w:spacing w:line="240" w:lineRule="exact"/>
              <w:jc w:val="center"/>
              <w:rPr>
                <w:b/>
                <w:sz w:val="16"/>
                <w:szCs w:val="16"/>
              </w:rPr>
            </w:pPr>
            <w:r w:rsidRPr="006209F1">
              <w:rPr>
                <w:b/>
                <w:sz w:val="16"/>
                <w:szCs w:val="16"/>
              </w:rPr>
              <w:t>Tasa de Crecimiento</w:t>
            </w:r>
          </w:p>
        </w:tc>
      </w:tr>
      <w:tr w:rsidR="004114B8" w:rsidRPr="00367DEF" w:rsidTr="0037605B">
        <w:trPr>
          <w:trHeight w:val="130"/>
          <w:jc w:val="center"/>
        </w:trPr>
        <w:tc>
          <w:tcPr>
            <w:tcW w:w="2877" w:type="pct"/>
            <w:tcBorders>
              <w:right w:val="single" w:sz="4" w:space="0" w:color="BFBFBF" w:themeColor="background1" w:themeShade="BF"/>
            </w:tcBorders>
          </w:tcPr>
          <w:p w:rsidR="004114B8" w:rsidRPr="00367DEF" w:rsidRDefault="004114B8" w:rsidP="00D86960">
            <w:pPr>
              <w:widowControl w:val="0"/>
              <w:spacing w:line="220" w:lineRule="exact"/>
              <w:rPr>
                <w:rFonts w:cs="Arial"/>
                <w:sz w:val="16"/>
                <w:szCs w:val="16"/>
              </w:rPr>
            </w:pPr>
            <w:r w:rsidRPr="00367DEF">
              <w:rPr>
                <w:rFonts w:cs="Arial"/>
                <w:sz w:val="16"/>
                <w:szCs w:val="16"/>
              </w:rPr>
              <w:t>Industria</w:t>
            </w:r>
          </w:p>
        </w:tc>
        <w:tc>
          <w:tcPr>
            <w:tcW w:w="2123" w:type="pct"/>
            <w:tcBorders>
              <w:left w:val="single" w:sz="4" w:space="0" w:color="BFBFBF" w:themeColor="background1" w:themeShade="BF"/>
            </w:tcBorders>
            <w:vAlign w:val="bottom"/>
          </w:tcPr>
          <w:p w:rsidR="004114B8" w:rsidRPr="006556F5" w:rsidRDefault="007A300B" w:rsidP="007A300B">
            <w:pPr>
              <w:widowControl w:val="0"/>
              <w:spacing w:line="220" w:lineRule="exact"/>
              <w:ind w:right="170"/>
              <w:jc w:val="center"/>
              <w:rPr>
                <w:rFonts w:cs="Arial"/>
                <w:sz w:val="16"/>
                <w:szCs w:val="16"/>
              </w:rPr>
            </w:pPr>
            <w:r>
              <w:rPr>
                <w:rFonts w:cs="Arial"/>
                <w:sz w:val="16"/>
                <w:szCs w:val="16"/>
              </w:rPr>
              <w:t xml:space="preserve"> </w:t>
            </w:r>
            <w:r w:rsidR="004114B8" w:rsidRPr="006556F5">
              <w:rPr>
                <w:rFonts w:cs="Arial"/>
                <w:sz w:val="16"/>
                <w:szCs w:val="16"/>
              </w:rPr>
              <w:t>-2,1%</w:t>
            </w:r>
          </w:p>
        </w:tc>
      </w:tr>
      <w:tr w:rsidR="004114B8" w:rsidRPr="00367DEF" w:rsidTr="0037605B">
        <w:trPr>
          <w:jc w:val="center"/>
        </w:trPr>
        <w:tc>
          <w:tcPr>
            <w:tcW w:w="2877" w:type="pct"/>
            <w:tcBorders>
              <w:right w:val="single" w:sz="4" w:space="0" w:color="BFBFBF" w:themeColor="background1" w:themeShade="BF"/>
            </w:tcBorders>
          </w:tcPr>
          <w:p w:rsidR="004114B8" w:rsidRPr="00367DEF" w:rsidRDefault="004114B8" w:rsidP="00D86960">
            <w:pPr>
              <w:widowControl w:val="0"/>
              <w:spacing w:line="220" w:lineRule="exact"/>
              <w:rPr>
                <w:rFonts w:cs="Arial"/>
                <w:sz w:val="16"/>
                <w:szCs w:val="16"/>
              </w:rPr>
            </w:pPr>
            <w:r w:rsidRPr="00367DEF">
              <w:rPr>
                <w:rFonts w:cs="Arial"/>
                <w:sz w:val="16"/>
                <w:szCs w:val="16"/>
              </w:rPr>
              <w:t>Construcción</w:t>
            </w:r>
          </w:p>
        </w:tc>
        <w:tc>
          <w:tcPr>
            <w:tcW w:w="2123" w:type="pct"/>
            <w:tcBorders>
              <w:left w:val="single" w:sz="4" w:space="0" w:color="BFBFBF" w:themeColor="background1" w:themeShade="BF"/>
            </w:tcBorders>
            <w:vAlign w:val="bottom"/>
          </w:tcPr>
          <w:p w:rsidR="004114B8" w:rsidRPr="006556F5" w:rsidRDefault="004114B8" w:rsidP="00D86960">
            <w:pPr>
              <w:widowControl w:val="0"/>
              <w:spacing w:line="220" w:lineRule="exact"/>
              <w:ind w:right="170"/>
              <w:jc w:val="center"/>
              <w:rPr>
                <w:rFonts w:cs="Arial"/>
                <w:sz w:val="16"/>
                <w:szCs w:val="16"/>
              </w:rPr>
            </w:pPr>
            <w:r w:rsidRPr="006556F5">
              <w:rPr>
                <w:rFonts w:cs="Arial"/>
                <w:sz w:val="16"/>
                <w:szCs w:val="16"/>
              </w:rPr>
              <w:t>-14,7%</w:t>
            </w:r>
          </w:p>
        </w:tc>
      </w:tr>
      <w:tr w:rsidR="004114B8" w:rsidRPr="00367DEF" w:rsidTr="0037605B">
        <w:trPr>
          <w:jc w:val="center"/>
        </w:trPr>
        <w:tc>
          <w:tcPr>
            <w:tcW w:w="2877" w:type="pct"/>
            <w:tcBorders>
              <w:bottom w:val="single" w:sz="4" w:space="0" w:color="BFBFBF" w:themeColor="background1" w:themeShade="BF"/>
              <w:right w:val="single" w:sz="4" w:space="0" w:color="BFBFBF" w:themeColor="background1" w:themeShade="BF"/>
            </w:tcBorders>
          </w:tcPr>
          <w:p w:rsidR="004114B8" w:rsidRPr="00FC7325" w:rsidRDefault="004114B8" w:rsidP="00D86960">
            <w:pPr>
              <w:widowControl w:val="0"/>
              <w:spacing w:line="220" w:lineRule="exact"/>
              <w:rPr>
                <w:rFonts w:cs="Arial"/>
                <w:sz w:val="16"/>
                <w:szCs w:val="16"/>
              </w:rPr>
            </w:pPr>
            <w:r w:rsidRPr="00FC7325">
              <w:rPr>
                <w:rFonts w:cs="Arial"/>
                <w:sz w:val="16"/>
                <w:szCs w:val="16"/>
              </w:rPr>
              <w:t>Servicios</w:t>
            </w:r>
          </w:p>
        </w:tc>
        <w:tc>
          <w:tcPr>
            <w:tcW w:w="2123" w:type="pct"/>
            <w:tcBorders>
              <w:left w:val="single" w:sz="4" w:space="0" w:color="BFBFBF" w:themeColor="background1" w:themeShade="BF"/>
              <w:bottom w:val="single" w:sz="4" w:space="0" w:color="BFBFBF" w:themeColor="background1" w:themeShade="BF"/>
            </w:tcBorders>
            <w:vAlign w:val="bottom"/>
          </w:tcPr>
          <w:p w:rsidR="004114B8" w:rsidRPr="006556F5" w:rsidRDefault="007A300B" w:rsidP="00D86960">
            <w:pPr>
              <w:widowControl w:val="0"/>
              <w:spacing w:line="220" w:lineRule="exact"/>
              <w:ind w:right="170"/>
              <w:jc w:val="center"/>
              <w:rPr>
                <w:rFonts w:cs="Arial"/>
                <w:sz w:val="16"/>
                <w:szCs w:val="16"/>
              </w:rPr>
            </w:pPr>
            <w:r>
              <w:rPr>
                <w:rFonts w:cs="Arial"/>
                <w:sz w:val="16"/>
                <w:szCs w:val="16"/>
              </w:rPr>
              <w:t xml:space="preserve">   </w:t>
            </w:r>
            <w:r w:rsidR="004114B8" w:rsidRPr="006556F5">
              <w:rPr>
                <w:rFonts w:cs="Arial"/>
                <w:sz w:val="16"/>
                <w:szCs w:val="16"/>
              </w:rPr>
              <w:t>0,6%</w:t>
            </w:r>
          </w:p>
        </w:tc>
      </w:tr>
      <w:tr w:rsidR="004114B8" w:rsidRPr="006209F1" w:rsidTr="0037605B">
        <w:trPr>
          <w:jc w:val="center"/>
        </w:trPr>
        <w:tc>
          <w:tcPr>
            <w:tcW w:w="287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4114B8" w:rsidRPr="006209F1" w:rsidRDefault="004114B8" w:rsidP="00D86960">
            <w:pPr>
              <w:widowControl w:val="0"/>
              <w:spacing w:line="240" w:lineRule="exact"/>
              <w:rPr>
                <w:b/>
                <w:sz w:val="16"/>
                <w:szCs w:val="16"/>
              </w:rPr>
            </w:pPr>
            <w:r w:rsidRPr="006209F1">
              <w:rPr>
                <w:b/>
                <w:sz w:val="16"/>
                <w:szCs w:val="16"/>
              </w:rPr>
              <w:t>TOTAL</w:t>
            </w:r>
          </w:p>
        </w:tc>
        <w:tc>
          <w:tcPr>
            <w:tcW w:w="212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4114B8" w:rsidRPr="006209F1" w:rsidRDefault="00B403A9" w:rsidP="00D86960">
            <w:pPr>
              <w:widowControl w:val="0"/>
              <w:spacing w:line="240" w:lineRule="exact"/>
              <w:ind w:right="170"/>
              <w:jc w:val="center"/>
              <w:rPr>
                <w:b/>
                <w:sz w:val="16"/>
                <w:szCs w:val="16"/>
              </w:rPr>
            </w:pPr>
            <w:r>
              <w:rPr>
                <w:b/>
                <w:sz w:val="16"/>
                <w:szCs w:val="16"/>
              </w:rPr>
              <w:t xml:space="preserve">  </w:t>
            </w:r>
            <w:r w:rsidR="004114B8">
              <w:rPr>
                <w:b/>
                <w:sz w:val="16"/>
                <w:szCs w:val="16"/>
              </w:rPr>
              <w:t>-1,1</w:t>
            </w:r>
            <w:r w:rsidR="004114B8" w:rsidRPr="006209F1">
              <w:rPr>
                <w:b/>
                <w:sz w:val="16"/>
                <w:szCs w:val="16"/>
              </w:rPr>
              <w:t>%</w:t>
            </w:r>
          </w:p>
        </w:tc>
      </w:tr>
    </w:tbl>
    <w:p w:rsidR="004114B8" w:rsidRDefault="004114B8" w:rsidP="004114B8">
      <w:pPr>
        <w:ind w:left="227" w:hanging="227"/>
        <w:rPr>
          <w:rFonts w:cs="Arial"/>
        </w:rPr>
      </w:pPr>
    </w:p>
    <w:p w:rsidR="00134FF9" w:rsidRDefault="00134FF9" w:rsidP="004114B8">
      <w:pPr>
        <w:ind w:left="227" w:hanging="227"/>
        <w:rPr>
          <w:rFonts w:cs="Arial"/>
        </w:rPr>
      </w:pPr>
    </w:p>
    <w:p w:rsidR="004114B8" w:rsidRDefault="004114B8" w:rsidP="00D07B16">
      <w:pPr>
        <w:tabs>
          <w:tab w:val="left" w:pos="426"/>
        </w:tabs>
        <w:rPr>
          <w:rFonts w:cs="Arial"/>
          <w:lang w:val="es-ES_tradnl"/>
        </w:rPr>
      </w:pPr>
      <w:r>
        <w:rPr>
          <w:rFonts w:cs="Arial"/>
          <w:lang w:val="es-ES_tradnl"/>
        </w:rPr>
        <w:t>La dinámica sectorial experimentada en términos de empleo y</w:t>
      </w:r>
      <w:r w:rsidR="00E80CE0">
        <w:rPr>
          <w:rFonts w:cs="Arial"/>
          <w:lang w:val="es-ES_tradnl"/>
        </w:rPr>
        <w:t xml:space="preserve"> la propia evolución del VAB, </w:t>
      </w:r>
      <w:r>
        <w:rPr>
          <w:rFonts w:cs="Arial"/>
          <w:lang w:val="es-ES_tradnl"/>
        </w:rPr>
        <w:t>conduce a ratios de productividad aparente</w:t>
      </w:r>
      <w:r w:rsidR="00134FF9">
        <w:rPr>
          <w:rFonts w:cs="Arial"/>
          <w:lang w:val="es-ES_tradnl"/>
        </w:rPr>
        <w:t xml:space="preserve"> que muestran claras diferencias sectoriales.</w:t>
      </w:r>
      <w:r>
        <w:rPr>
          <w:rFonts w:cs="Arial"/>
          <w:lang w:val="es-ES_tradnl"/>
        </w:rPr>
        <w:t xml:space="preserve"> </w:t>
      </w:r>
      <w:r w:rsidR="00134FF9">
        <w:rPr>
          <w:rFonts w:cs="Arial"/>
          <w:lang w:val="es-ES_tradnl"/>
        </w:rPr>
        <w:t xml:space="preserve">Por una parte, </w:t>
      </w:r>
      <w:r>
        <w:rPr>
          <w:rFonts w:cs="Arial"/>
          <w:lang w:val="es-ES_tradnl"/>
        </w:rPr>
        <w:t>la reducción de</w:t>
      </w:r>
      <w:r w:rsidR="00134FF9">
        <w:rPr>
          <w:rFonts w:cs="Arial"/>
          <w:lang w:val="es-ES_tradnl"/>
        </w:rPr>
        <w:t xml:space="preserve"> 7,5% en e</w:t>
      </w:r>
      <w:r>
        <w:rPr>
          <w:rFonts w:cs="Arial"/>
          <w:lang w:val="es-ES_tradnl"/>
        </w:rPr>
        <w:t xml:space="preserve">l empleo industrial </w:t>
      </w:r>
      <w:r w:rsidR="00134FF9">
        <w:rPr>
          <w:rFonts w:cs="Arial"/>
          <w:lang w:val="es-ES_tradnl"/>
        </w:rPr>
        <w:t xml:space="preserve">resulta </w:t>
      </w:r>
      <w:r>
        <w:rPr>
          <w:rFonts w:cs="Arial"/>
          <w:lang w:val="es-ES_tradnl"/>
        </w:rPr>
        <w:t xml:space="preserve">notablemente superior a la contracción del 2,1% </w:t>
      </w:r>
      <w:r w:rsidR="00134FF9">
        <w:rPr>
          <w:rFonts w:cs="Arial"/>
          <w:lang w:val="es-ES_tradnl"/>
        </w:rPr>
        <w:t xml:space="preserve">en el </w:t>
      </w:r>
      <w:r>
        <w:rPr>
          <w:rFonts w:cs="Arial"/>
          <w:lang w:val="es-ES_tradnl"/>
        </w:rPr>
        <w:t xml:space="preserve">VAB </w:t>
      </w:r>
      <w:r w:rsidR="00134FF9">
        <w:rPr>
          <w:rFonts w:cs="Arial"/>
          <w:lang w:val="es-ES_tradnl"/>
        </w:rPr>
        <w:t xml:space="preserve">del sector. Esto contribuye, </w:t>
      </w:r>
      <w:r>
        <w:rPr>
          <w:rFonts w:cs="Arial"/>
          <w:lang w:val="es-ES_tradnl"/>
        </w:rPr>
        <w:t>en el bienio 2012-2014</w:t>
      </w:r>
      <w:r w:rsidR="00134FF9">
        <w:rPr>
          <w:rFonts w:cs="Arial"/>
          <w:lang w:val="es-ES_tradnl"/>
        </w:rPr>
        <w:t>,</w:t>
      </w:r>
      <w:r>
        <w:rPr>
          <w:rFonts w:cs="Arial"/>
          <w:lang w:val="es-ES_tradnl"/>
        </w:rPr>
        <w:t xml:space="preserve"> </w:t>
      </w:r>
      <w:r w:rsidR="00134FF9">
        <w:rPr>
          <w:rFonts w:cs="Arial"/>
          <w:lang w:val="es-ES_tradnl"/>
        </w:rPr>
        <w:t xml:space="preserve">a un incremento </w:t>
      </w:r>
      <w:r>
        <w:rPr>
          <w:rFonts w:cs="Arial"/>
          <w:lang w:val="es-ES_tradnl"/>
        </w:rPr>
        <w:t xml:space="preserve">del 5,8% en la productividad en este sector con un ratio de VAB generado por empleo de 56.049 euros. </w:t>
      </w:r>
      <w:r w:rsidR="00134FF9">
        <w:rPr>
          <w:rFonts w:cs="Arial"/>
          <w:lang w:val="es-ES_tradnl"/>
        </w:rPr>
        <w:t>Esta dinámica rompe la línea descendente del periodo 2010-2012, marcada entonces en este sector por un intento de contención del proceso de reducción de empleo que había hecho pasar la productividad por trabajador/a de 54.773 euros en 2010 a 53.001 en 2012.</w:t>
      </w:r>
    </w:p>
    <w:p w:rsidR="00BF0D70" w:rsidRDefault="00BF0D70">
      <w:pPr>
        <w:spacing w:after="200" w:line="276" w:lineRule="auto"/>
        <w:jc w:val="left"/>
        <w:rPr>
          <w:rFonts w:cs="Arial"/>
          <w:lang w:val="es-ES_tradnl"/>
        </w:rPr>
      </w:pPr>
      <w:r>
        <w:rPr>
          <w:rFonts w:cs="Arial"/>
          <w:lang w:val="es-ES_tradnl"/>
        </w:rPr>
        <w:br w:type="page"/>
      </w:r>
    </w:p>
    <w:p w:rsidR="004114B8" w:rsidRDefault="00134FF9" w:rsidP="00D07B16">
      <w:pPr>
        <w:rPr>
          <w:rFonts w:cs="Arial"/>
          <w:lang w:val="es-ES_tradnl"/>
        </w:rPr>
      </w:pPr>
      <w:r>
        <w:rPr>
          <w:rFonts w:cs="Arial"/>
          <w:lang w:val="es-ES_tradnl"/>
        </w:rPr>
        <w:lastRenderedPageBreak/>
        <w:t>E</w:t>
      </w:r>
      <w:r w:rsidR="004114B8">
        <w:rPr>
          <w:rFonts w:cs="Arial"/>
          <w:lang w:val="es-ES_tradnl"/>
        </w:rPr>
        <w:t xml:space="preserve">n el sector servicios, </w:t>
      </w:r>
      <w:r>
        <w:rPr>
          <w:rFonts w:cs="Arial"/>
          <w:lang w:val="es-ES_tradnl"/>
        </w:rPr>
        <w:t xml:space="preserve">en cambio, </w:t>
      </w:r>
      <w:r w:rsidR="004114B8">
        <w:rPr>
          <w:rFonts w:cs="Arial"/>
          <w:lang w:val="es-ES_tradnl"/>
        </w:rPr>
        <w:t xml:space="preserve">el crecimiento </w:t>
      </w:r>
      <w:r>
        <w:rPr>
          <w:rFonts w:cs="Arial"/>
          <w:lang w:val="es-ES_tradnl"/>
        </w:rPr>
        <w:t xml:space="preserve">del 3,7% en el </w:t>
      </w:r>
      <w:r w:rsidR="004114B8">
        <w:rPr>
          <w:rFonts w:cs="Arial"/>
          <w:lang w:val="es-ES_tradnl"/>
        </w:rPr>
        <w:t xml:space="preserve">empleo terciario </w:t>
      </w:r>
      <w:r>
        <w:rPr>
          <w:rFonts w:cs="Arial"/>
          <w:lang w:val="es-ES_tradnl"/>
        </w:rPr>
        <w:t xml:space="preserve">viene </w:t>
      </w:r>
      <w:r w:rsidR="004114B8">
        <w:rPr>
          <w:rFonts w:cs="Arial"/>
          <w:lang w:val="es-ES_tradnl"/>
        </w:rPr>
        <w:t xml:space="preserve">acompañado de </w:t>
      </w:r>
      <w:r>
        <w:rPr>
          <w:rFonts w:cs="Arial"/>
          <w:lang w:val="es-ES_tradnl"/>
        </w:rPr>
        <w:t xml:space="preserve">un incremento mucho menor en </w:t>
      </w:r>
      <w:r w:rsidR="004114B8">
        <w:rPr>
          <w:rFonts w:cs="Arial"/>
          <w:lang w:val="es-ES_tradnl"/>
        </w:rPr>
        <w:t xml:space="preserve">VAB </w:t>
      </w:r>
      <w:r>
        <w:rPr>
          <w:rFonts w:cs="Arial"/>
          <w:lang w:val="es-ES_tradnl"/>
        </w:rPr>
        <w:t>(</w:t>
      </w:r>
      <w:r w:rsidR="004114B8">
        <w:rPr>
          <w:rFonts w:cs="Arial"/>
          <w:lang w:val="es-ES_tradnl"/>
        </w:rPr>
        <w:t>0,6%</w:t>
      </w:r>
      <w:r>
        <w:rPr>
          <w:rFonts w:cs="Arial"/>
          <w:lang w:val="es-ES_tradnl"/>
        </w:rPr>
        <w:t>). Esto produce una merma de</w:t>
      </w:r>
      <w:r w:rsidR="004114B8">
        <w:rPr>
          <w:rFonts w:cs="Arial"/>
          <w:lang w:val="es-ES_tradnl"/>
        </w:rPr>
        <w:t xml:space="preserve">l </w:t>
      </w:r>
      <w:r>
        <w:rPr>
          <w:rFonts w:cs="Arial"/>
          <w:lang w:val="es-ES_tradnl"/>
        </w:rPr>
        <w:t xml:space="preserve">3% en </w:t>
      </w:r>
      <w:r w:rsidR="004114B8">
        <w:rPr>
          <w:rFonts w:cs="Arial"/>
          <w:lang w:val="es-ES_tradnl"/>
        </w:rPr>
        <w:t xml:space="preserve">productividad aparente </w:t>
      </w:r>
      <w:r>
        <w:rPr>
          <w:rFonts w:cs="Arial"/>
          <w:lang w:val="es-ES_tradnl"/>
        </w:rPr>
        <w:t xml:space="preserve">del sector entre 2012 y 2014 que contrasta con un incremento del 4,7% entre 2010 y 2012, apoyado en la reducción de plantillas. Después de aumentar de 41.648 euros por trabajador/a en 2010 a 43.620 en 2012, </w:t>
      </w:r>
      <w:r w:rsidR="00245C56">
        <w:rPr>
          <w:rFonts w:cs="Arial"/>
          <w:lang w:val="es-ES_tradnl"/>
        </w:rPr>
        <w:t xml:space="preserve">la productividad aparente </w:t>
      </w:r>
      <w:r>
        <w:rPr>
          <w:rFonts w:cs="Arial"/>
          <w:lang w:val="es-ES_tradnl"/>
        </w:rPr>
        <w:t xml:space="preserve">se reduce a 42.308 en 2014, todavía por encima sin embargo de los niveles de 2010. </w:t>
      </w:r>
      <w:r w:rsidR="00245C56">
        <w:rPr>
          <w:rFonts w:cs="Arial"/>
          <w:lang w:val="es-ES_tradnl"/>
        </w:rPr>
        <w:t xml:space="preserve">En el sector servicios, ésta queda un </w:t>
      </w:r>
      <w:r w:rsidR="00245C56" w:rsidRPr="00F1757C">
        <w:rPr>
          <w:rFonts w:cs="Arial"/>
          <w:lang w:val="es-ES_tradnl"/>
        </w:rPr>
        <w:t>24,5</w:t>
      </w:r>
      <w:r w:rsidR="004114B8" w:rsidRPr="00F1757C">
        <w:rPr>
          <w:rFonts w:cs="Arial"/>
          <w:lang w:val="es-ES_tradnl"/>
        </w:rPr>
        <w:t>% por debajo</w:t>
      </w:r>
      <w:r w:rsidR="004114B8">
        <w:rPr>
          <w:rFonts w:cs="Arial"/>
          <w:lang w:val="es-ES_tradnl"/>
        </w:rPr>
        <w:t xml:space="preserve"> de la productividad aparente industrial</w:t>
      </w:r>
      <w:r w:rsidR="00245C56">
        <w:rPr>
          <w:rFonts w:cs="Arial"/>
          <w:lang w:val="es-ES_tradnl"/>
        </w:rPr>
        <w:t xml:space="preserve">, </w:t>
      </w:r>
      <w:r w:rsidR="00245C56" w:rsidRPr="00CC3BE9">
        <w:rPr>
          <w:rFonts w:cs="Arial"/>
          <w:lang w:val="es-ES_tradnl"/>
        </w:rPr>
        <w:t>reflejando un deterioro comparado respecto al 17,7% de 2012</w:t>
      </w:r>
      <w:r w:rsidR="004114B8" w:rsidRPr="00CC3BE9">
        <w:rPr>
          <w:rFonts w:cs="Arial"/>
          <w:lang w:val="es-ES_tradnl"/>
        </w:rPr>
        <w:t>.</w:t>
      </w:r>
      <w:r w:rsidR="004114B8">
        <w:rPr>
          <w:rFonts w:cs="Arial"/>
          <w:lang w:val="es-ES_tradnl"/>
        </w:rPr>
        <w:t xml:space="preserve"> </w:t>
      </w:r>
    </w:p>
    <w:p w:rsidR="004114B8" w:rsidRDefault="004114B8" w:rsidP="004114B8">
      <w:pPr>
        <w:ind w:left="426" w:hanging="426"/>
        <w:rPr>
          <w:lang w:val="es-ES_tradnl"/>
        </w:rPr>
      </w:pPr>
    </w:p>
    <w:p w:rsidR="00BA324D" w:rsidRDefault="00BA324D" w:rsidP="00BA324D">
      <w:pPr>
        <w:rPr>
          <w:lang w:val="es-ES_tradnl"/>
        </w:rPr>
      </w:pPr>
      <w:r>
        <w:t>También favorecidas</w:t>
      </w:r>
      <w:r>
        <w:rPr>
          <w:lang w:val="es-ES_tradnl"/>
        </w:rPr>
        <w:t xml:space="preserve"> por el crecimiento de la productividad aparente en el sector de la construcción (+6,7%), en buena medida condicionado por la destrucción del empleo en este sector, las dinámicas contrapuestas analizadas se traducen sin embargo en una línea general de mejora de la productividad de la Economía Social. En términos generales, ésta mejora en un 1,2% hasta situarse en un nivel medio de 47.912 euros por empleo.</w:t>
      </w:r>
    </w:p>
    <w:p w:rsidR="00BA324D" w:rsidRDefault="00BA324D" w:rsidP="004114B8">
      <w:pPr>
        <w:ind w:left="426" w:hanging="426"/>
        <w:rPr>
          <w:lang w:val="es-ES_tradnl"/>
        </w:rPr>
      </w:pPr>
    </w:p>
    <w:p w:rsidR="004114B8" w:rsidRDefault="004114B8" w:rsidP="004114B8">
      <w:pPr>
        <w:widowControl w:val="0"/>
        <w:spacing w:line="240" w:lineRule="auto"/>
        <w:jc w:val="center"/>
        <w:rPr>
          <w:rFonts w:cs="Arial"/>
          <w:b/>
          <w:color w:val="1F497D" w:themeColor="text2"/>
          <w:sz w:val="18"/>
          <w:szCs w:val="18"/>
        </w:rPr>
      </w:pPr>
      <w:r w:rsidRPr="00EB6E90">
        <w:rPr>
          <w:rFonts w:cs="Arial"/>
          <w:b/>
          <w:color w:val="1F497D" w:themeColor="text2"/>
          <w:sz w:val="18"/>
          <w:szCs w:val="18"/>
        </w:rPr>
        <w:t>EVOLUCIÓN DE LA PRODUCTIVIDAD APARENTE SECTORIAL DE LA EC</w:t>
      </w:r>
      <w:r>
        <w:rPr>
          <w:rFonts w:cs="Arial"/>
          <w:b/>
          <w:color w:val="1F497D" w:themeColor="text2"/>
          <w:sz w:val="18"/>
          <w:szCs w:val="18"/>
        </w:rPr>
        <w:t>ONOMÍA SOCIAL EN EL PERIODO 2012-2014</w:t>
      </w:r>
      <w:r w:rsidRPr="00EB6E90">
        <w:rPr>
          <w:rFonts w:cs="Arial"/>
          <w:b/>
          <w:color w:val="1F497D" w:themeColor="text2"/>
          <w:sz w:val="18"/>
          <w:szCs w:val="18"/>
        </w:rPr>
        <w:t>. (VAB Euros/Empleado. Precios Corrientes)</w:t>
      </w:r>
    </w:p>
    <w:tbl>
      <w:tblPr>
        <w:tblW w:w="5000" w:type="pct"/>
        <w:jc w:val="center"/>
        <w:tblLook w:val="04A0" w:firstRow="1" w:lastRow="0" w:firstColumn="1" w:lastColumn="0" w:noHBand="0" w:noVBand="1"/>
      </w:tblPr>
      <w:tblGrid>
        <w:gridCol w:w="3871"/>
        <w:gridCol w:w="1711"/>
        <w:gridCol w:w="1711"/>
        <w:gridCol w:w="1711"/>
      </w:tblGrid>
      <w:tr w:rsidR="004114B8" w:rsidRPr="006209F1" w:rsidTr="00AF3C20">
        <w:trPr>
          <w:jc w:val="center"/>
        </w:trPr>
        <w:tc>
          <w:tcPr>
            <w:tcW w:w="21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4114B8" w:rsidRPr="006209F1" w:rsidRDefault="004114B8" w:rsidP="00D86960">
            <w:pPr>
              <w:widowControl w:val="0"/>
              <w:spacing w:line="240" w:lineRule="exact"/>
              <w:rPr>
                <w:b/>
                <w:sz w:val="16"/>
                <w:szCs w:val="16"/>
              </w:rPr>
            </w:pPr>
          </w:p>
        </w:tc>
        <w:tc>
          <w:tcPr>
            <w:tcW w:w="95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4114B8" w:rsidRPr="006209F1" w:rsidRDefault="004114B8" w:rsidP="00D86960">
            <w:pPr>
              <w:widowControl w:val="0"/>
              <w:spacing w:line="240" w:lineRule="exact"/>
              <w:jc w:val="center"/>
              <w:rPr>
                <w:b/>
                <w:sz w:val="16"/>
                <w:szCs w:val="16"/>
              </w:rPr>
            </w:pPr>
            <w:r w:rsidRPr="006209F1">
              <w:rPr>
                <w:b/>
                <w:sz w:val="16"/>
                <w:szCs w:val="16"/>
              </w:rPr>
              <w:t>2012</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4114B8" w:rsidRPr="006209F1" w:rsidRDefault="004114B8" w:rsidP="00D86960">
            <w:pPr>
              <w:widowControl w:val="0"/>
              <w:spacing w:line="240" w:lineRule="exact"/>
              <w:jc w:val="center"/>
              <w:rPr>
                <w:b/>
                <w:sz w:val="16"/>
                <w:szCs w:val="16"/>
              </w:rPr>
            </w:pPr>
            <w:r w:rsidRPr="006209F1">
              <w:rPr>
                <w:b/>
                <w:sz w:val="16"/>
                <w:szCs w:val="16"/>
              </w:rPr>
              <w:t>201</w:t>
            </w:r>
            <w:r>
              <w:rPr>
                <w:b/>
                <w:sz w:val="16"/>
                <w:szCs w:val="16"/>
              </w:rPr>
              <w:t>4</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4114B8" w:rsidRPr="006209F1" w:rsidRDefault="004114B8" w:rsidP="00D86960">
            <w:pPr>
              <w:widowControl w:val="0"/>
              <w:spacing w:line="240" w:lineRule="exact"/>
              <w:jc w:val="center"/>
              <w:rPr>
                <w:b/>
                <w:sz w:val="16"/>
                <w:szCs w:val="16"/>
              </w:rPr>
            </w:pPr>
            <w:r>
              <w:rPr>
                <w:rFonts w:cs="Arial"/>
                <w:b/>
                <w:sz w:val="16"/>
                <w:szCs w:val="16"/>
              </w:rPr>
              <w:t>Variación 2012</w:t>
            </w:r>
            <w:r w:rsidRPr="00E646A7">
              <w:rPr>
                <w:rFonts w:cs="Arial"/>
                <w:b/>
                <w:sz w:val="16"/>
                <w:szCs w:val="16"/>
              </w:rPr>
              <w:t>-201</w:t>
            </w:r>
            <w:r>
              <w:rPr>
                <w:rFonts w:cs="Arial"/>
                <w:b/>
                <w:sz w:val="16"/>
                <w:szCs w:val="16"/>
              </w:rPr>
              <w:t>4</w:t>
            </w:r>
          </w:p>
        </w:tc>
      </w:tr>
      <w:tr w:rsidR="004114B8" w:rsidRPr="00367DEF" w:rsidTr="00AF3C20">
        <w:trPr>
          <w:jc w:val="center"/>
        </w:trPr>
        <w:tc>
          <w:tcPr>
            <w:tcW w:w="2150" w:type="pct"/>
            <w:tcBorders>
              <w:right w:val="single" w:sz="4" w:space="0" w:color="BFBFBF" w:themeColor="background1" w:themeShade="BF"/>
            </w:tcBorders>
          </w:tcPr>
          <w:p w:rsidR="004114B8" w:rsidRPr="00367DEF" w:rsidRDefault="004114B8" w:rsidP="00D86960">
            <w:pPr>
              <w:widowControl w:val="0"/>
              <w:spacing w:line="220" w:lineRule="exact"/>
              <w:rPr>
                <w:rFonts w:cs="Arial"/>
                <w:sz w:val="16"/>
                <w:szCs w:val="16"/>
              </w:rPr>
            </w:pPr>
            <w:r w:rsidRPr="00367DEF">
              <w:rPr>
                <w:rFonts w:cs="Arial"/>
                <w:sz w:val="16"/>
                <w:szCs w:val="16"/>
              </w:rPr>
              <w:t>Industria</w:t>
            </w:r>
          </w:p>
        </w:tc>
        <w:tc>
          <w:tcPr>
            <w:tcW w:w="950" w:type="pct"/>
            <w:tcBorders>
              <w:right w:val="single" w:sz="4" w:space="0" w:color="BFBFBF" w:themeColor="background1" w:themeShade="BF"/>
            </w:tcBorders>
            <w:vAlign w:val="bottom"/>
          </w:tcPr>
          <w:p w:rsidR="004114B8" w:rsidRPr="00CF464F" w:rsidRDefault="004114B8" w:rsidP="00D86960">
            <w:pPr>
              <w:widowControl w:val="0"/>
              <w:spacing w:line="220" w:lineRule="exact"/>
              <w:ind w:right="170"/>
              <w:jc w:val="right"/>
              <w:rPr>
                <w:rFonts w:cs="Arial"/>
                <w:sz w:val="16"/>
                <w:szCs w:val="16"/>
              </w:rPr>
            </w:pPr>
            <w:r w:rsidRPr="00CF464F">
              <w:rPr>
                <w:rFonts w:cs="Arial"/>
                <w:sz w:val="16"/>
                <w:szCs w:val="16"/>
              </w:rPr>
              <w:t>53.001</w:t>
            </w:r>
          </w:p>
        </w:tc>
        <w:tc>
          <w:tcPr>
            <w:tcW w:w="950" w:type="pct"/>
            <w:tcBorders>
              <w:left w:val="single" w:sz="4" w:space="0" w:color="BFBFBF" w:themeColor="background1" w:themeShade="BF"/>
            </w:tcBorders>
            <w:vAlign w:val="bottom"/>
          </w:tcPr>
          <w:p w:rsidR="004114B8" w:rsidRPr="00EC6DAF" w:rsidRDefault="004114B8" w:rsidP="00D86960">
            <w:pPr>
              <w:widowControl w:val="0"/>
              <w:spacing w:line="220" w:lineRule="exact"/>
              <w:ind w:right="170"/>
              <w:jc w:val="right"/>
              <w:rPr>
                <w:rFonts w:cs="Arial"/>
                <w:sz w:val="16"/>
                <w:szCs w:val="16"/>
              </w:rPr>
            </w:pPr>
            <w:r w:rsidRPr="00EC6DAF">
              <w:rPr>
                <w:rFonts w:cs="Arial"/>
                <w:sz w:val="16"/>
                <w:szCs w:val="16"/>
              </w:rPr>
              <w:t>56.049</w:t>
            </w:r>
          </w:p>
        </w:tc>
        <w:tc>
          <w:tcPr>
            <w:tcW w:w="950" w:type="pct"/>
            <w:tcBorders>
              <w:left w:val="single" w:sz="4" w:space="0" w:color="BFBFBF" w:themeColor="background1" w:themeShade="BF"/>
            </w:tcBorders>
          </w:tcPr>
          <w:p w:rsidR="004114B8" w:rsidRPr="00EC6DAF" w:rsidRDefault="004114B8" w:rsidP="00D86960">
            <w:pPr>
              <w:widowControl w:val="0"/>
              <w:spacing w:line="220" w:lineRule="exact"/>
              <w:ind w:right="170"/>
              <w:jc w:val="right"/>
              <w:rPr>
                <w:rFonts w:cs="Arial"/>
                <w:sz w:val="16"/>
                <w:szCs w:val="16"/>
              </w:rPr>
            </w:pPr>
            <w:r>
              <w:rPr>
                <w:rFonts w:cs="Arial"/>
                <w:sz w:val="16"/>
                <w:szCs w:val="16"/>
              </w:rPr>
              <w:t>+5,8</w:t>
            </w:r>
            <w:r w:rsidRPr="00E646A7">
              <w:rPr>
                <w:rFonts w:cs="Arial"/>
                <w:sz w:val="16"/>
                <w:szCs w:val="16"/>
              </w:rPr>
              <w:t>%</w:t>
            </w:r>
          </w:p>
        </w:tc>
      </w:tr>
      <w:tr w:rsidR="004114B8" w:rsidRPr="00367DEF" w:rsidTr="00AF3C20">
        <w:trPr>
          <w:jc w:val="center"/>
        </w:trPr>
        <w:tc>
          <w:tcPr>
            <w:tcW w:w="2150" w:type="pct"/>
            <w:tcBorders>
              <w:right w:val="single" w:sz="4" w:space="0" w:color="BFBFBF" w:themeColor="background1" w:themeShade="BF"/>
            </w:tcBorders>
          </w:tcPr>
          <w:p w:rsidR="004114B8" w:rsidRPr="00367DEF" w:rsidRDefault="004114B8" w:rsidP="00D86960">
            <w:pPr>
              <w:widowControl w:val="0"/>
              <w:spacing w:line="220" w:lineRule="exact"/>
              <w:rPr>
                <w:rFonts w:cs="Arial"/>
                <w:sz w:val="16"/>
                <w:szCs w:val="16"/>
              </w:rPr>
            </w:pPr>
            <w:r w:rsidRPr="00367DEF">
              <w:rPr>
                <w:rFonts w:cs="Arial"/>
                <w:sz w:val="16"/>
                <w:szCs w:val="16"/>
              </w:rPr>
              <w:t>Construcción</w:t>
            </w:r>
          </w:p>
        </w:tc>
        <w:tc>
          <w:tcPr>
            <w:tcW w:w="950" w:type="pct"/>
            <w:tcBorders>
              <w:right w:val="single" w:sz="4" w:space="0" w:color="BFBFBF" w:themeColor="background1" w:themeShade="BF"/>
            </w:tcBorders>
            <w:vAlign w:val="bottom"/>
          </w:tcPr>
          <w:p w:rsidR="004114B8" w:rsidRPr="00CF464F" w:rsidRDefault="004114B8" w:rsidP="00D86960">
            <w:pPr>
              <w:widowControl w:val="0"/>
              <w:spacing w:line="220" w:lineRule="exact"/>
              <w:ind w:right="170"/>
              <w:jc w:val="right"/>
              <w:rPr>
                <w:rFonts w:cs="Arial"/>
                <w:sz w:val="16"/>
                <w:szCs w:val="16"/>
              </w:rPr>
            </w:pPr>
            <w:r w:rsidRPr="00CF464F">
              <w:rPr>
                <w:rFonts w:cs="Arial"/>
                <w:sz w:val="16"/>
                <w:szCs w:val="16"/>
              </w:rPr>
              <w:t>29.220</w:t>
            </w:r>
          </w:p>
        </w:tc>
        <w:tc>
          <w:tcPr>
            <w:tcW w:w="950" w:type="pct"/>
            <w:tcBorders>
              <w:left w:val="single" w:sz="4" w:space="0" w:color="BFBFBF" w:themeColor="background1" w:themeShade="BF"/>
            </w:tcBorders>
            <w:vAlign w:val="bottom"/>
          </w:tcPr>
          <w:p w:rsidR="004114B8" w:rsidRPr="00EC6DAF" w:rsidRDefault="004114B8" w:rsidP="00D86960">
            <w:pPr>
              <w:widowControl w:val="0"/>
              <w:spacing w:line="220" w:lineRule="exact"/>
              <w:ind w:right="170"/>
              <w:jc w:val="right"/>
              <w:rPr>
                <w:rFonts w:cs="Arial"/>
                <w:sz w:val="16"/>
                <w:szCs w:val="16"/>
              </w:rPr>
            </w:pPr>
            <w:r w:rsidRPr="00EC6DAF">
              <w:rPr>
                <w:rFonts w:cs="Arial"/>
                <w:sz w:val="16"/>
                <w:szCs w:val="16"/>
              </w:rPr>
              <w:t>31.184</w:t>
            </w:r>
          </w:p>
        </w:tc>
        <w:tc>
          <w:tcPr>
            <w:tcW w:w="950" w:type="pct"/>
            <w:tcBorders>
              <w:left w:val="single" w:sz="4" w:space="0" w:color="BFBFBF" w:themeColor="background1" w:themeShade="BF"/>
            </w:tcBorders>
          </w:tcPr>
          <w:p w:rsidR="004114B8" w:rsidRPr="00EC6DAF" w:rsidRDefault="004114B8" w:rsidP="00D86960">
            <w:pPr>
              <w:widowControl w:val="0"/>
              <w:spacing w:line="220" w:lineRule="exact"/>
              <w:ind w:right="170"/>
              <w:jc w:val="right"/>
              <w:rPr>
                <w:rFonts w:cs="Arial"/>
                <w:sz w:val="16"/>
                <w:szCs w:val="16"/>
              </w:rPr>
            </w:pPr>
            <w:r>
              <w:rPr>
                <w:rFonts w:cs="Arial"/>
                <w:sz w:val="16"/>
                <w:szCs w:val="16"/>
              </w:rPr>
              <w:t>+6,7%</w:t>
            </w:r>
          </w:p>
        </w:tc>
      </w:tr>
      <w:tr w:rsidR="004114B8" w:rsidRPr="00367DEF" w:rsidTr="00AF3C20">
        <w:trPr>
          <w:jc w:val="center"/>
        </w:trPr>
        <w:tc>
          <w:tcPr>
            <w:tcW w:w="2150" w:type="pct"/>
            <w:tcBorders>
              <w:bottom w:val="single" w:sz="4" w:space="0" w:color="BFBFBF" w:themeColor="background1" w:themeShade="BF"/>
              <w:right w:val="single" w:sz="4" w:space="0" w:color="BFBFBF" w:themeColor="background1" w:themeShade="BF"/>
            </w:tcBorders>
          </w:tcPr>
          <w:p w:rsidR="004114B8" w:rsidRPr="00367DEF" w:rsidRDefault="004114B8" w:rsidP="00D86960">
            <w:pPr>
              <w:widowControl w:val="0"/>
              <w:spacing w:line="220" w:lineRule="exact"/>
              <w:rPr>
                <w:rFonts w:cs="Arial"/>
                <w:sz w:val="16"/>
                <w:szCs w:val="16"/>
              </w:rPr>
            </w:pPr>
            <w:r w:rsidRPr="00367DEF">
              <w:rPr>
                <w:rFonts w:cs="Arial"/>
                <w:sz w:val="16"/>
                <w:szCs w:val="16"/>
              </w:rPr>
              <w:t>Servicios</w:t>
            </w:r>
          </w:p>
        </w:tc>
        <w:tc>
          <w:tcPr>
            <w:tcW w:w="950" w:type="pct"/>
            <w:tcBorders>
              <w:bottom w:val="single" w:sz="4" w:space="0" w:color="BFBFBF" w:themeColor="background1" w:themeShade="BF"/>
              <w:right w:val="single" w:sz="4" w:space="0" w:color="BFBFBF" w:themeColor="background1" w:themeShade="BF"/>
            </w:tcBorders>
            <w:vAlign w:val="bottom"/>
          </w:tcPr>
          <w:p w:rsidR="004114B8" w:rsidRPr="00CF464F" w:rsidRDefault="004114B8" w:rsidP="00D86960">
            <w:pPr>
              <w:widowControl w:val="0"/>
              <w:spacing w:line="220" w:lineRule="exact"/>
              <w:ind w:right="170"/>
              <w:jc w:val="right"/>
              <w:rPr>
                <w:rFonts w:cs="Arial"/>
                <w:sz w:val="16"/>
                <w:szCs w:val="16"/>
              </w:rPr>
            </w:pPr>
            <w:r>
              <w:rPr>
                <w:rFonts w:cs="Arial"/>
                <w:sz w:val="16"/>
                <w:szCs w:val="16"/>
              </w:rPr>
              <w:t>43.620</w:t>
            </w:r>
          </w:p>
        </w:tc>
        <w:tc>
          <w:tcPr>
            <w:tcW w:w="950" w:type="pct"/>
            <w:tcBorders>
              <w:left w:val="single" w:sz="4" w:space="0" w:color="BFBFBF" w:themeColor="background1" w:themeShade="BF"/>
              <w:bottom w:val="single" w:sz="4" w:space="0" w:color="BFBFBF" w:themeColor="background1" w:themeShade="BF"/>
            </w:tcBorders>
            <w:vAlign w:val="bottom"/>
          </w:tcPr>
          <w:p w:rsidR="004114B8" w:rsidRPr="00EC6DAF" w:rsidRDefault="004114B8" w:rsidP="00D86960">
            <w:pPr>
              <w:widowControl w:val="0"/>
              <w:spacing w:line="220" w:lineRule="exact"/>
              <w:ind w:right="170"/>
              <w:jc w:val="right"/>
              <w:rPr>
                <w:rFonts w:cs="Arial"/>
                <w:sz w:val="16"/>
                <w:szCs w:val="16"/>
              </w:rPr>
            </w:pPr>
            <w:r w:rsidRPr="00EC6DAF">
              <w:rPr>
                <w:rFonts w:cs="Arial"/>
                <w:sz w:val="16"/>
                <w:szCs w:val="16"/>
              </w:rPr>
              <w:t>42.308</w:t>
            </w:r>
          </w:p>
        </w:tc>
        <w:tc>
          <w:tcPr>
            <w:tcW w:w="950" w:type="pct"/>
            <w:tcBorders>
              <w:left w:val="single" w:sz="4" w:space="0" w:color="BFBFBF" w:themeColor="background1" w:themeShade="BF"/>
              <w:bottom w:val="single" w:sz="4" w:space="0" w:color="BFBFBF" w:themeColor="background1" w:themeShade="BF"/>
            </w:tcBorders>
          </w:tcPr>
          <w:p w:rsidR="004114B8" w:rsidRPr="00EC6DAF" w:rsidRDefault="00FA79D3" w:rsidP="00D86960">
            <w:pPr>
              <w:widowControl w:val="0"/>
              <w:spacing w:line="220" w:lineRule="exact"/>
              <w:ind w:right="170"/>
              <w:jc w:val="right"/>
              <w:rPr>
                <w:rFonts w:cs="Arial"/>
                <w:sz w:val="16"/>
                <w:szCs w:val="16"/>
              </w:rPr>
            </w:pPr>
            <w:r>
              <w:rPr>
                <w:rFonts w:cs="Arial"/>
                <w:sz w:val="16"/>
                <w:szCs w:val="16"/>
              </w:rPr>
              <w:t>-</w:t>
            </w:r>
            <w:r w:rsidR="004114B8">
              <w:rPr>
                <w:rFonts w:cs="Arial"/>
                <w:sz w:val="16"/>
                <w:szCs w:val="16"/>
              </w:rPr>
              <w:t>3,0%</w:t>
            </w:r>
          </w:p>
        </w:tc>
      </w:tr>
      <w:tr w:rsidR="004114B8" w:rsidRPr="006209F1" w:rsidTr="00AF3C20">
        <w:trPr>
          <w:jc w:val="center"/>
        </w:trPr>
        <w:tc>
          <w:tcPr>
            <w:tcW w:w="2150"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4114B8" w:rsidRPr="006209F1" w:rsidRDefault="004114B8" w:rsidP="00D86960">
            <w:pPr>
              <w:widowControl w:val="0"/>
              <w:spacing w:line="240" w:lineRule="exact"/>
              <w:rPr>
                <w:b/>
                <w:sz w:val="16"/>
                <w:szCs w:val="16"/>
              </w:rPr>
            </w:pPr>
            <w:r w:rsidRPr="006209F1">
              <w:rPr>
                <w:b/>
                <w:sz w:val="16"/>
                <w:szCs w:val="16"/>
              </w:rPr>
              <w:t>TOTAL</w:t>
            </w:r>
          </w:p>
        </w:tc>
        <w:tc>
          <w:tcPr>
            <w:tcW w:w="95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114B8" w:rsidRPr="006209F1" w:rsidRDefault="004114B8" w:rsidP="00D86960">
            <w:pPr>
              <w:widowControl w:val="0"/>
              <w:spacing w:line="240" w:lineRule="exact"/>
              <w:ind w:right="170"/>
              <w:jc w:val="right"/>
              <w:rPr>
                <w:b/>
                <w:sz w:val="16"/>
                <w:szCs w:val="16"/>
              </w:rPr>
            </w:pPr>
            <w:r w:rsidRPr="006209F1">
              <w:rPr>
                <w:b/>
                <w:sz w:val="16"/>
                <w:szCs w:val="16"/>
              </w:rPr>
              <w:t>47.364</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4114B8" w:rsidRPr="00EC6DAF" w:rsidRDefault="004114B8" w:rsidP="00D86960">
            <w:pPr>
              <w:widowControl w:val="0"/>
              <w:spacing w:line="240" w:lineRule="exact"/>
              <w:ind w:right="170"/>
              <w:jc w:val="right"/>
              <w:rPr>
                <w:rFonts w:ascii="Calibri" w:eastAsia="Times New Roman" w:hAnsi="Calibri" w:cs="Times New Roman"/>
                <w:b/>
                <w:bCs/>
                <w:color w:val="000000"/>
                <w:sz w:val="18"/>
                <w:szCs w:val="18"/>
                <w:lang w:eastAsia="es-ES"/>
              </w:rPr>
            </w:pPr>
            <w:r w:rsidRPr="00EC6DAF">
              <w:rPr>
                <w:b/>
                <w:sz w:val="16"/>
                <w:szCs w:val="16"/>
              </w:rPr>
              <w:t>47.912</w:t>
            </w:r>
          </w:p>
        </w:tc>
        <w:tc>
          <w:tcPr>
            <w:tcW w:w="950"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4114B8" w:rsidRPr="00EC6DAF" w:rsidRDefault="004114B8" w:rsidP="00D86960">
            <w:pPr>
              <w:widowControl w:val="0"/>
              <w:spacing w:line="240" w:lineRule="exact"/>
              <w:ind w:right="170"/>
              <w:jc w:val="right"/>
              <w:rPr>
                <w:b/>
                <w:sz w:val="16"/>
                <w:szCs w:val="16"/>
              </w:rPr>
            </w:pPr>
            <w:r>
              <w:rPr>
                <w:b/>
                <w:sz w:val="16"/>
                <w:szCs w:val="16"/>
              </w:rPr>
              <w:t>+1,2%</w:t>
            </w:r>
          </w:p>
        </w:tc>
      </w:tr>
    </w:tbl>
    <w:p w:rsidR="004114B8" w:rsidRDefault="004114B8" w:rsidP="004114B8">
      <w:pPr>
        <w:widowControl w:val="0"/>
      </w:pPr>
    </w:p>
    <w:p w:rsidR="004114B8" w:rsidRPr="008C022A" w:rsidRDefault="00BA324D" w:rsidP="003554CB">
      <w:pPr>
        <w:rPr>
          <w:rFonts w:cs="Arial"/>
          <w:lang w:val="es-ES_tradnl"/>
        </w:rPr>
      </w:pPr>
      <w:r>
        <w:rPr>
          <w:rFonts w:cs="Arial"/>
          <w:lang w:val="es-ES_tradnl"/>
        </w:rPr>
        <w:t xml:space="preserve">Al igual que ocurría en el bienio anterior, entre 2012 y 2014, </w:t>
      </w:r>
      <w:r w:rsidR="004114B8">
        <w:rPr>
          <w:rFonts w:cs="Arial"/>
          <w:lang w:val="es-ES_tradnl"/>
        </w:rPr>
        <w:t>l</w:t>
      </w:r>
      <w:r w:rsidR="004114B8" w:rsidRPr="008C022A">
        <w:rPr>
          <w:rFonts w:cs="Arial"/>
          <w:lang w:val="es-ES_tradnl"/>
        </w:rPr>
        <w:t xml:space="preserve">as empresas de la Economía Social </w:t>
      </w:r>
      <w:r>
        <w:rPr>
          <w:rFonts w:cs="Arial"/>
          <w:lang w:val="es-ES_tradnl"/>
        </w:rPr>
        <w:t xml:space="preserve">se caracterizan en cualquier caso por </w:t>
      </w:r>
      <w:r w:rsidR="004114B8" w:rsidRPr="008C022A">
        <w:rPr>
          <w:rFonts w:cs="Arial"/>
          <w:lang w:val="es-ES_tradnl"/>
        </w:rPr>
        <w:t>una mayor reducción relat</w:t>
      </w:r>
      <w:r w:rsidR="004114B8">
        <w:rPr>
          <w:rFonts w:cs="Arial"/>
          <w:lang w:val="es-ES_tradnl"/>
        </w:rPr>
        <w:t xml:space="preserve">iva de su VAB </w:t>
      </w:r>
      <w:r w:rsidR="004114B8" w:rsidRPr="008C022A">
        <w:rPr>
          <w:rFonts w:cs="Arial"/>
          <w:lang w:val="es-ES_tradnl"/>
        </w:rPr>
        <w:t>que el resto de la economía vasca. Esto se traduce en una reducción de su contribución al PIB de Euskadi, pasando su pa</w:t>
      </w:r>
      <w:r w:rsidR="004114B8">
        <w:rPr>
          <w:rFonts w:cs="Arial"/>
          <w:lang w:val="es-ES_tradnl"/>
        </w:rPr>
        <w:t xml:space="preserve">rticipación relativa del </w:t>
      </w:r>
      <w:r>
        <w:rPr>
          <w:rFonts w:cs="Arial"/>
          <w:lang w:val="es-ES_tradnl"/>
        </w:rPr>
        <w:t xml:space="preserve">4,8% de 2010 al </w:t>
      </w:r>
      <w:r w:rsidR="004114B8">
        <w:rPr>
          <w:rFonts w:cs="Arial"/>
          <w:lang w:val="es-ES_tradnl"/>
        </w:rPr>
        <w:t xml:space="preserve">4,5% de 2012 </w:t>
      </w:r>
      <w:r>
        <w:rPr>
          <w:rFonts w:cs="Arial"/>
          <w:lang w:val="es-ES_tradnl"/>
        </w:rPr>
        <w:t>y el</w:t>
      </w:r>
      <w:r w:rsidR="004114B8">
        <w:rPr>
          <w:rFonts w:cs="Arial"/>
          <w:lang w:val="es-ES_tradnl"/>
        </w:rPr>
        <w:t xml:space="preserve"> 4,3% de 2014</w:t>
      </w:r>
      <w:r w:rsidR="004114B8" w:rsidRPr="008C022A">
        <w:rPr>
          <w:rFonts w:cs="Arial"/>
          <w:lang w:val="es-ES_tradnl"/>
        </w:rPr>
        <w:t>.</w:t>
      </w:r>
    </w:p>
    <w:p w:rsidR="004114B8" w:rsidRPr="008C022A" w:rsidRDefault="004114B8" w:rsidP="004114B8">
      <w:pPr>
        <w:ind w:left="227" w:hanging="227"/>
        <w:rPr>
          <w:rFonts w:cs="Arial"/>
          <w:lang w:val="es-ES_tradnl"/>
        </w:rPr>
      </w:pPr>
    </w:p>
    <w:p w:rsidR="004114B8" w:rsidRDefault="004114B8" w:rsidP="003554CB">
      <w:pPr>
        <w:rPr>
          <w:rFonts w:cs="Arial"/>
          <w:lang w:val="es-ES_tradnl"/>
        </w:rPr>
      </w:pPr>
      <w:r>
        <w:rPr>
          <w:rFonts w:cs="Arial"/>
          <w:lang w:val="es-ES_tradnl"/>
        </w:rPr>
        <w:t xml:space="preserve">En </w:t>
      </w:r>
      <w:r w:rsidR="00095474">
        <w:rPr>
          <w:rFonts w:cs="Arial"/>
          <w:lang w:val="es-ES_tradnl"/>
        </w:rPr>
        <w:t>el bienio 2012-2014</w:t>
      </w:r>
      <w:r>
        <w:rPr>
          <w:rFonts w:cs="Arial"/>
          <w:lang w:val="es-ES_tradnl"/>
        </w:rPr>
        <w:t xml:space="preserve">, </w:t>
      </w:r>
      <w:r w:rsidR="00095474">
        <w:rPr>
          <w:rFonts w:cs="Arial"/>
          <w:lang w:val="es-ES_tradnl"/>
        </w:rPr>
        <w:t>la</w:t>
      </w:r>
      <w:r w:rsidRPr="008C022A">
        <w:rPr>
          <w:rFonts w:cs="Arial"/>
          <w:lang w:val="es-ES_tradnl"/>
        </w:rPr>
        <w:t xml:space="preserve"> tendencia decreciente resulta más significativa en el sector </w:t>
      </w:r>
      <w:r>
        <w:rPr>
          <w:rFonts w:cs="Arial"/>
          <w:lang w:val="es-ES_tradnl"/>
        </w:rPr>
        <w:t>industrial</w:t>
      </w:r>
      <w:r w:rsidRPr="008C022A">
        <w:rPr>
          <w:rFonts w:cs="Arial"/>
          <w:lang w:val="es-ES_tradnl"/>
        </w:rPr>
        <w:t xml:space="preserve">, cayendo la participación en el PIB sectorial del </w:t>
      </w:r>
      <w:r w:rsidR="00095474">
        <w:rPr>
          <w:rFonts w:cs="Arial"/>
          <w:lang w:val="es-ES_tradnl"/>
        </w:rPr>
        <w:t xml:space="preserve">10,0% de 2010 al </w:t>
      </w:r>
      <w:r>
        <w:rPr>
          <w:rFonts w:cs="Arial"/>
          <w:lang w:val="es-ES_tradnl"/>
        </w:rPr>
        <w:t>9,9% de 2012</w:t>
      </w:r>
      <w:r w:rsidRPr="008C022A">
        <w:rPr>
          <w:rFonts w:cs="Arial"/>
          <w:lang w:val="es-ES_tradnl"/>
        </w:rPr>
        <w:t xml:space="preserve"> </w:t>
      </w:r>
      <w:r w:rsidR="00095474">
        <w:rPr>
          <w:rFonts w:cs="Arial"/>
          <w:lang w:val="es-ES_tradnl"/>
        </w:rPr>
        <w:t>y el</w:t>
      </w:r>
      <w:r w:rsidRPr="008C022A">
        <w:rPr>
          <w:rFonts w:cs="Arial"/>
          <w:lang w:val="es-ES_tradnl"/>
        </w:rPr>
        <w:t xml:space="preserve"> </w:t>
      </w:r>
      <w:r>
        <w:rPr>
          <w:rFonts w:cs="Arial"/>
          <w:lang w:val="es-ES_tradnl"/>
        </w:rPr>
        <w:t>9,3% de 2014</w:t>
      </w:r>
      <w:r w:rsidRPr="008C022A">
        <w:rPr>
          <w:rFonts w:cs="Arial"/>
          <w:lang w:val="es-ES_tradnl"/>
        </w:rPr>
        <w:t>.</w:t>
      </w:r>
      <w:r>
        <w:rPr>
          <w:rFonts w:cs="Arial"/>
          <w:lang w:val="es-ES_tradnl"/>
        </w:rPr>
        <w:t xml:space="preserve"> </w:t>
      </w:r>
      <w:r w:rsidR="003105B5">
        <w:rPr>
          <w:rFonts w:cs="Arial"/>
          <w:lang w:val="es-ES_tradnl"/>
        </w:rPr>
        <w:t>Sin embargo, se extiende también a un sector servicios cuyo peso en el PIB sectorial de la CAE se reduce del 3,3% en 2010 al 3% en 2012 y el 2,9% en 2014.</w:t>
      </w:r>
      <w:r>
        <w:rPr>
          <w:rFonts w:cs="Arial"/>
          <w:lang w:val="es-ES_tradnl"/>
        </w:rPr>
        <w:t xml:space="preserve"> </w:t>
      </w:r>
    </w:p>
    <w:p w:rsidR="004114B8" w:rsidRDefault="004114B8" w:rsidP="004114B8">
      <w:pPr>
        <w:ind w:left="227" w:hanging="227"/>
        <w:rPr>
          <w:rFonts w:cs="Arial"/>
          <w:lang w:val="es-ES_tradnl"/>
        </w:rPr>
      </w:pPr>
    </w:p>
    <w:p w:rsidR="004114B8" w:rsidRDefault="003105B5" w:rsidP="003554CB">
      <w:pPr>
        <w:rPr>
          <w:rFonts w:cs="Arial"/>
          <w:lang w:val="es-ES_tradnl"/>
        </w:rPr>
      </w:pPr>
      <w:r>
        <w:rPr>
          <w:rFonts w:cs="Arial"/>
          <w:lang w:val="es-ES_tradnl"/>
        </w:rPr>
        <w:t xml:space="preserve">En conjunto, </w:t>
      </w:r>
      <w:r w:rsidR="004114B8">
        <w:rPr>
          <w:rFonts w:cs="Arial"/>
          <w:lang w:val="es-ES_tradnl"/>
        </w:rPr>
        <w:t xml:space="preserve">la contribución de la Economía Social </w:t>
      </w:r>
      <w:r>
        <w:rPr>
          <w:rFonts w:cs="Arial"/>
          <w:lang w:val="es-ES_tradnl"/>
        </w:rPr>
        <w:t>a</w:t>
      </w:r>
      <w:r w:rsidR="004114B8">
        <w:rPr>
          <w:rFonts w:cs="Arial"/>
          <w:lang w:val="es-ES_tradnl"/>
        </w:rPr>
        <w:t xml:space="preserve">l PIB vasco viene decayendo desde </w:t>
      </w:r>
      <w:r>
        <w:rPr>
          <w:rFonts w:cs="Arial"/>
          <w:lang w:val="es-ES_tradnl"/>
        </w:rPr>
        <w:t xml:space="preserve">el 4,8% de </w:t>
      </w:r>
      <w:r w:rsidR="004114B8">
        <w:rPr>
          <w:rFonts w:cs="Arial"/>
          <w:lang w:val="es-ES_tradnl"/>
        </w:rPr>
        <w:t>2010</w:t>
      </w:r>
      <w:r>
        <w:rPr>
          <w:rFonts w:cs="Arial"/>
          <w:lang w:val="es-ES_tradnl"/>
        </w:rPr>
        <w:t xml:space="preserve"> </w:t>
      </w:r>
      <w:r w:rsidR="004114B8">
        <w:rPr>
          <w:rFonts w:cs="Arial"/>
          <w:lang w:val="es-ES_tradnl"/>
        </w:rPr>
        <w:t>al 4,5</w:t>
      </w:r>
      <w:r>
        <w:rPr>
          <w:rFonts w:cs="Arial"/>
          <w:lang w:val="es-ES_tradnl"/>
        </w:rPr>
        <w:t>%</w:t>
      </w:r>
      <w:r w:rsidR="004114B8">
        <w:rPr>
          <w:rFonts w:cs="Arial"/>
          <w:lang w:val="es-ES_tradnl"/>
        </w:rPr>
        <w:t xml:space="preserve"> de 2012</w:t>
      </w:r>
      <w:r>
        <w:rPr>
          <w:rFonts w:cs="Arial"/>
          <w:lang w:val="es-ES_tradnl"/>
        </w:rPr>
        <w:t xml:space="preserve"> y el </w:t>
      </w:r>
      <w:r w:rsidR="004114B8">
        <w:rPr>
          <w:rFonts w:cs="Arial"/>
          <w:lang w:val="es-ES_tradnl"/>
        </w:rPr>
        <w:t>4,3</w:t>
      </w:r>
      <w:r>
        <w:rPr>
          <w:rFonts w:cs="Arial"/>
          <w:lang w:val="es-ES_tradnl"/>
        </w:rPr>
        <w:t>%</w:t>
      </w:r>
      <w:r w:rsidR="004114B8">
        <w:rPr>
          <w:rFonts w:cs="Arial"/>
          <w:lang w:val="es-ES_tradnl"/>
        </w:rPr>
        <w:t xml:space="preserve"> </w:t>
      </w:r>
      <w:r>
        <w:rPr>
          <w:rFonts w:cs="Arial"/>
          <w:lang w:val="es-ES_tradnl"/>
        </w:rPr>
        <w:t>de</w:t>
      </w:r>
      <w:r w:rsidR="004114B8">
        <w:rPr>
          <w:rFonts w:cs="Arial"/>
          <w:lang w:val="es-ES_tradnl"/>
        </w:rPr>
        <w:t xml:space="preserve"> 2014. </w:t>
      </w:r>
    </w:p>
    <w:p w:rsidR="00992F45" w:rsidRDefault="00992F45" w:rsidP="003554CB">
      <w:pPr>
        <w:rPr>
          <w:rFonts w:cs="Arial"/>
          <w:lang w:val="es-ES_tradnl"/>
        </w:rPr>
      </w:pPr>
    </w:p>
    <w:p w:rsidR="00BA324D" w:rsidRDefault="00BA324D" w:rsidP="00912183">
      <w:pPr>
        <w:spacing w:after="200" w:line="276" w:lineRule="auto"/>
        <w:jc w:val="center"/>
        <w:rPr>
          <w:rFonts w:cs="Arial"/>
          <w:b/>
          <w:color w:val="1F497D" w:themeColor="text2"/>
          <w:sz w:val="18"/>
          <w:szCs w:val="18"/>
        </w:rPr>
      </w:pPr>
      <w:r w:rsidRPr="00367DEF">
        <w:rPr>
          <w:rFonts w:cs="Arial"/>
          <w:b/>
          <w:color w:val="1F497D" w:themeColor="text2"/>
          <w:sz w:val="18"/>
          <w:szCs w:val="18"/>
        </w:rPr>
        <w:t>PARTICIPACIÓN DE LA ECONOMÍA SOCIAL EN EL PRODUCTO INTERIOR BRUTO SECTOR</w:t>
      </w:r>
      <w:r>
        <w:rPr>
          <w:rFonts w:cs="Arial"/>
          <w:b/>
          <w:color w:val="1F497D" w:themeColor="text2"/>
          <w:sz w:val="18"/>
          <w:szCs w:val="18"/>
        </w:rPr>
        <w:t>IAL. REFERENCIA COMPARATIVA 2012</w:t>
      </w:r>
      <w:r w:rsidRPr="00367DEF">
        <w:rPr>
          <w:rFonts w:cs="Arial"/>
          <w:b/>
          <w:color w:val="1F497D" w:themeColor="text2"/>
          <w:sz w:val="18"/>
          <w:szCs w:val="18"/>
        </w:rPr>
        <w:t>-201</w:t>
      </w:r>
      <w:r>
        <w:rPr>
          <w:rFonts w:cs="Arial"/>
          <w:b/>
          <w:color w:val="1F497D" w:themeColor="text2"/>
          <w:sz w:val="18"/>
          <w:szCs w:val="18"/>
        </w:rPr>
        <w:t>4</w:t>
      </w:r>
    </w:p>
    <w:tbl>
      <w:tblPr>
        <w:tblW w:w="5000" w:type="pct"/>
        <w:jc w:val="center"/>
        <w:tblLook w:val="04A0" w:firstRow="1" w:lastRow="0" w:firstColumn="1" w:lastColumn="0" w:noHBand="0" w:noVBand="1"/>
      </w:tblPr>
      <w:tblGrid>
        <w:gridCol w:w="4187"/>
        <w:gridCol w:w="2409"/>
        <w:gridCol w:w="2408"/>
      </w:tblGrid>
      <w:tr w:rsidR="00BA324D" w:rsidRPr="00CB1584" w:rsidTr="00AF3C20">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A324D" w:rsidRPr="00CB1584" w:rsidRDefault="00BA324D" w:rsidP="00626CD4">
            <w:pPr>
              <w:widowControl w:val="0"/>
              <w:spacing w:line="240" w:lineRule="exact"/>
              <w:rPr>
                <w:rFonts w:cs="Arial"/>
                <w:b/>
                <w:sz w:val="16"/>
                <w:szCs w:val="16"/>
              </w:rPr>
            </w:pP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A324D" w:rsidRPr="00CB1584" w:rsidRDefault="00BA324D" w:rsidP="00626CD4">
            <w:pPr>
              <w:widowControl w:val="0"/>
              <w:spacing w:line="240" w:lineRule="exact"/>
              <w:jc w:val="center"/>
              <w:rPr>
                <w:rFonts w:cs="Arial"/>
                <w:b/>
                <w:sz w:val="16"/>
                <w:szCs w:val="16"/>
              </w:rPr>
            </w:pPr>
            <w:r w:rsidRPr="00CB1584">
              <w:rPr>
                <w:rFonts w:cs="Arial"/>
                <w:b/>
                <w:sz w:val="16"/>
                <w:szCs w:val="16"/>
              </w:rPr>
              <w:t>2012</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BA324D" w:rsidRPr="00CB1584" w:rsidRDefault="00BA324D" w:rsidP="00626CD4">
            <w:pPr>
              <w:widowControl w:val="0"/>
              <w:spacing w:line="240" w:lineRule="exact"/>
              <w:jc w:val="center"/>
              <w:rPr>
                <w:rFonts w:cs="Arial"/>
                <w:b/>
                <w:sz w:val="16"/>
                <w:szCs w:val="16"/>
              </w:rPr>
            </w:pPr>
            <w:r>
              <w:rPr>
                <w:rFonts w:cs="Arial"/>
                <w:b/>
                <w:sz w:val="16"/>
                <w:szCs w:val="16"/>
              </w:rPr>
              <w:t>2014</w:t>
            </w:r>
          </w:p>
        </w:tc>
      </w:tr>
      <w:tr w:rsidR="00BA324D" w:rsidRPr="00CB1584" w:rsidTr="00AF3C20">
        <w:trPr>
          <w:jc w:val="center"/>
        </w:trPr>
        <w:tc>
          <w:tcPr>
            <w:tcW w:w="2325" w:type="pct"/>
            <w:tcBorders>
              <w:top w:val="single" w:sz="4" w:space="0" w:color="BFBFBF" w:themeColor="background1" w:themeShade="BF"/>
              <w:right w:val="single" w:sz="4" w:space="0" w:color="BFBFBF" w:themeColor="background1" w:themeShade="BF"/>
            </w:tcBorders>
          </w:tcPr>
          <w:p w:rsidR="00BA324D" w:rsidRPr="00CB1584" w:rsidRDefault="00BA324D" w:rsidP="00626CD4">
            <w:pPr>
              <w:widowControl w:val="0"/>
              <w:spacing w:line="240" w:lineRule="exact"/>
              <w:rPr>
                <w:rFonts w:cs="Arial"/>
                <w:sz w:val="16"/>
                <w:szCs w:val="16"/>
              </w:rPr>
            </w:pPr>
            <w:r w:rsidRPr="00CB1584">
              <w:rPr>
                <w:rFonts w:cs="Arial"/>
                <w:sz w:val="16"/>
                <w:szCs w:val="16"/>
              </w:rPr>
              <w:t>Industria</w:t>
            </w:r>
          </w:p>
        </w:tc>
        <w:tc>
          <w:tcPr>
            <w:tcW w:w="1338" w:type="pct"/>
            <w:tcBorders>
              <w:top w:val="single" w:sz="4" w:space="0" w:color="BFBFBF" w:themeColor="background1" w:themeShade="BF"/>
              <w:right w:val="single" w:sz="4" w:space="0" w:color="BFBFBF" w:themeColor="background1" w:themeShade="BF"/>
            </w:tcBorders>
          </w:tcPr>
          <w:p w:rsidR="00BA324D" w:rsidRPr="00CB1584" w:rsidRDefault="00BA324D" w:rsidP="00626CD4">
            <w:pPr>
              <w:widowControl w:val="0"/>
              <w:spacing w:line="240" w:lineRule="exact"/>
              <w:ind w:right="284"/>
              <w:jc w:val="right"/>
              <w:rPr>
                <w:rFonts w:cs="Arial"/>
                <w:sz w:val="16"/>
                <w:szCs w:val="16"/>
              </w:rPr>
            </w:pPr>
            <w:r w:rsidRPr="00CB1584">
              <w:rPr>
                <w:rFonts w:cs="Arial"/>
                <w:sz w:val="16"/>
                <w:szCs w:val="16"/>
              </w:rPr>
              <w:t>9,9</w:t>
            </w:r>
          </w:p>
        </w:tc>
        <w:tc>
          <w:tcPr>
            <w:tcW w:w="1337" w:type="pct"/>
            <w:tcBorders>
              <w:top w:val="single" w:sz="4" w:space="0" w:color="BFBFBF" w:themeColor="background1" w:themeShade="BF"/>
              <w:left w:val="single" w:sz="4" w:space="0" w:color="BFBFBF" w:themeColor="background1" w:themeShade="BF"/>
            </w:tcBorders>
          </w:tcPr>
          <w:p w:rsidR="00BA324D" w:rsidRPr="00CB1584" w:rsidRDefault="00BA324D" w:rsidP="00626CD4">
            <w:pPr>
              <w:widowControl w:val="0"/>
              <w:tabs>
                <w:tab w:val="left" w:pos="751"/>
              </w:tabs>
              <w:spacing w:line="240" w:lineRule="exact"/>
              <w:ind w:right="284"/>
              <w:jc w:val="right"/>
              <w:rPr>
                <w:rFonts w:cs="Arial"/>
                <w:sz w:val="16"/>
                <w:szCs w:val="16"/>
              </w:rPr>
            </w:pPr>
            <w:r>
              <w:rPr>
                <w:rFonts w:cs="Arial"/>
                <w:sz w:val="16"/>
                <w:szCs w:val="16"/>
              </w:rPr>
              <w:t>9,3</w:t>
            </w:r>
          </w:p>
        </w:tc>
      </w:tr>
      <w:tr w:rsidR="00BA324D" w:rsidRPr="00CB1584" w:rsidTr="00AF3C20">
        <w:trPr>
          <w:jc w:val="center"/>
        </w:trPr>
        <w:tc>
          <w:tcPr>
            <w:tcW w:w="2325" w:type="pct"/>
            <w:tcBorders>
              <w:right w:val="single" w:sz="4" w:space="0" w:color="BFBFBF" w:themeColor="background1" w:themeShade="BF"/>
            </w:tcBorders>
          </w:tcPr>
          <w:p w:rsidR="00BA324D" w:rsidRPr="00CB1584" w:rsidRDefault="00BA324D" w:rsidP="00626CD4">
            <w:pPr>
              <w:widowControl w:val="0"/>
              <w:spacing w:line="240" w:lineRule="exact"/>
              <w:rPr>
                <w:rFonts w:cs="Arial"/>
                <w:sz w:val="16"/>
                <w:szCs w:val="16"/>
              </w:rPr>
            </w:pPr>
            <w:r w:rsidRPr="00CB1584">
              <w:rPr>
                <w:rFonts w:cs="Arial"/>
                <w:sz w:val="16"/>
                <w:szCs w:val="16"/>
              </w:rPr>
              <w:t>Construcción</w:t>
            </w:r>
          </w:p>
        </w:tc>
        <w:tc>
          <w:tcPr>
            <w:tcW w:w="1338" w:type="pct"/>
            <w:tcBorders>
              <w:right w:val="single" w:sz="4" w:space="0" w:color="BFBFBF" w:themeColor="background1" w:themeShade="BF"/>
            </w:tcBorders>
          </w:tcPr>
          <w:p w:rsidR="00BA324D" w:rsidRPr="00572562" w:rsidRDefault="00BA324D" w:rsidP="00626CD4">
            <w:pPr>
              <w:widowControl w:val="0"/>
              <w:spacing w:line="240" w:lineRule="exact"/>
              <w:ind w:right="284"/>
              <w:jc w:val="right"/>
              <w:rPr>
                <w:rFonts w:cs="Arial"/>
                <w:sz w:val="16"/>
                <w:szCs w:val="16"/>
              </w:rPr>
            </w:pPr>
            <w:r w:rsidRPr="00572562">
              <w:rPr>
                <w:rFonts w:cs="Arial"/>
                <w:sz w:val="16"/>
                <w:szCs w:val="16"/>
              </w:rPr>
              <w:t>1,4</w:t>
            </w:r>
          </w:p>
        </w:tc>
        <w:tc>
          <w:tcPr>
            <w:tcW w:w="1337" w:type="pct"/>
            <w:tcBorders>
              <w:left w:val="single" w:sz="4" w:space="0" w:color="BFBFBF" w:themeColor="background1" w:themeShade="BF"/>
            </w:tcBorders>
          </w:tcPr>
          <w:p w:rsidR="00BA324D" w:rsidRPr="00572562" w:rsidRDefault="00BA324D" w:rsidP="00626CD4">
            <w:pPr>
              <w:widowControl w:val="0"/>
              <w:tabs>
                <w:tab w:val="left" w:pos="751"/>
              </w:tabs>
              <w:spacing w:line="240" w:lineRule="exact"/>
              <w:ind w:right="284"/>
              <w:jc w:val="right"/>
              <w:rPr>
                <w:rFonts w:cs="Arial"/>
                <w:sz w:val="16"/>
                <w:szCs w:val="16"/>
              </w:rPr>
            </w:pPr>
            <w:r>
              <w:rPr>
                <w:rFonts w:cs="Arial"/>
                <w:sz w:val="16"/>
                <w:szCs w:val="16"/>
              </w:rPr>
              <w:t>1,3</w:t>
            </w:r>
          </w:p>
        </w:tc>
      </w:tr>
      <w:tr w:rsidR="00BA324D" w:rsidRPr="00CB1584" w:rsidTr="00AF3C20">
        <w:trPr>
          <w:jc w:val="center"/>
        </w:trPr>
        <w:tc>
          <w:tcPr>
            <w:tcW w:w="2325" w:type="pct"/>
            <w:tcBorders>
              <w:bottom w:val="single" w:sz="4" w:space="0" w:color="BFBFBF" w:themeColor="background1" w:themeShade="BF"/>
              <w:right w:val="single" w:sz="4" w:space="0" w:color="BFBFBF" w:themeColor="background1" w:themeShade="BF"/>
            </w:tcBorders>
          </w:tcPr>
          <w:p w:rsidR="00BA324D" w:rsidRPr="00CB1584" w:rsidRDefault="00BA324D" w:rsidP="00626CD4">
            <w:pPr>
              <w:widowControl w:val="0"/>
              <w:spacing w:line="240" w:lineRule="exact"/>
              <w:rPr>
                <w:rFonts w:cs="Arial"/>
                <w:sz w:val="16"/>
                <w:szCs w:val="16"/>
              </w:rPr>
            </w:pPr>
            <w:r w:rsidRPr="00CB1584">
              <w:rPr>
                <w:rFonts w:cs="Arial"/>
                <w:sz w:val="16"/>
                <w:szCs w:val="16"/>
              </w:rPr>
              <w:t>Servicios</w:t>
            </w:r>
          </w:p>
        </w:tc>
        <w:tc>
          <w:tcPr>
            <w:tcW w:w="1338" w:type="pct"/>
            <w:tcBorders>
              <w:bottom w:val="single" w:sz="4" w:space="0" w:color="BFBFBF" w:themeColor="background1" w:themeShade="BF"/>
              <w:right w:val="single" w:sz="4" w:space="0" w:color="BFBFBF" w:themeColor="background1" w:themeShade="BF"/>
            </w:tcBorders>
          </w:tcPr>
          <w:p w:rsidR="00BA324D" w:rsidRPr="00572562" w:rsidRDefault="00BA324D" w:rsidP="00626CD4">
            <w:pPr>
              <w:widowControl w:val="0"/>
              <w:spacing w:line="240" w:lineRule="exact"/>
              <w:ind w:right="284"/>
              <w:jc w:val="right"/>
              <w:rPr>
                <w:rFonts w:cs="Arial"/>
                <w:sz w:val="16"/>
                <w:szCs w:val="16"/>
              </w:rPr>
            </w:pPr>
            <w:r w:rsidRPr="00572562">
              <w:rPr>
                <w:rFonts w:cs="Arial"/>
                <w:sz w:val="16"/>
                <w:szCs w:val="16"/>
              </w:rPr>
              <w:t>3,0</w:t>
            </w:r>
          </w:p>
        </w:tc>
        <w:tc>
          <w:tcPr>
            <w:tcW w:w="1337" w:type="pct"/>
            <w:tcBorders>
              <w:left w:val="single" w:sz="4" w:space="0" w:color="BFBFBF" w:themeColor="background1" w:themeShade="BF"/>
              <w:bottom w:val="single" w:sz="4" w:space="0" w:color="BFBFBF" w:themeColor="background1" w:themeShade="BF"/>
            </w:tcBorders>
          </w:tcPr>
          <w:p w:rsidR="00BA324D" w:rsidRPr="00572562" w:rsidRDefault="00BA324D" w:rsidP="00626CD4">
            <w:pPr>
              <w:widowControl w:val="0"/>
              <w:tabs>
                <w:tab w:val="left" w:pos="751"/>
              </w:tabs>
              <w:spacing w:line="240" w:lineRule="exact"/>
              <w:ind w:right="284"/>
              <w:jc w:val="right"/>
              <w:rPr>
                <w:rFonts w:cs="Arial"/>
                <w:sz w:val="16"/>
                <w:szCs w:val="16"/>
              </w:rPr>
            </w:pPr>
            <w:r>
              <w:rPr>
                <w:rFonts w:cs="Arial"/>
                <w:sz w:val="16"/>
                <w:szCs w:val="16"/>
              </w:rPr>
              <w:t>2,9</w:t>
            </w:r>
          </w:p>
        </w:tc>
      </w:tr>
      <w:tr w:rsidR="00BA324D" w:rsidRPr="00CB1584" w:rsidTr="00AF3C20">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A324D" w:rsidRPr="00CB1584" w:rsidRDefault="00BA324D" w:rsidP="00626CD4">
            <w:pPr>
              <w:widowControl w:val="0"/>
              <w:spacing w:line="240" w:lineRule="exact"/>
              <w:rPr>
                <w:rFonts w:cs="Arial"/>
                <w:b/>
                <w:sz w:val="16"/>
                <w:szCs w:val="16"/>
              </w:rPr>
            </w:pPr>
            <w:r w:rsidRPr="00CB1584">
              <w:rPr>
                <w:rFonts w:cs="Arial"/>
                <w:b/>
                <w:sz w:val="16"/>
                <w:szCs w:val="16"/>
              </w:rPr>
              <w:t>TOTAL</w:t>
            </w: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A324D" w:rsidRPr="00572562" w:rsidRDefault="00BA324D" w:rsidP="00626CD4">
            <w:pPr>
              <w:widowControl w:val="0"/>
              <w:spacing w:line="240" w:lineRule="exact"/>
              <w:ind w:right="284"/>
              <w:jc w:val="right"/>
              <w:rPr>
                <w:rFonts w:cs="Arial"/>
                <w:b/>
                <w:sz w:val="16"/>
                <w:szCs w:val="16"/>
              </w:rPr>
            </w:pPr>
            <w:r w:rsidRPr="00572562">
              <w:rPr>
                <w:rFonts w:cs="Arial"/>
                <w:b/>
                <w:sz w:val="16"/>
                <w:szCs w:val="16"/>
              </w:rPr>
              <w:t>4,5</w:t>
            </w:r>
          </w:p>
        </w:tc>
        <w:tc>
          <w:tcPr>
            <w:tcW w:w="1337"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BA324D" w:rsidRPr="00572562" w:rsidRDefault="00BA324D" w:rsidP="00626CD4">
            <w:pPr>
              <w:widowControl w:val="0"/>
              <w:tabs>
                <w:tab w:val="left" w:pos="751"/>
              </w:tabs>
              <w:spacing w:line="240" w:lineRule="exact"/>
              <w:ind w:right="284"/>
              <w:jc w:val="right"/>
              <w:rPr>
                <w:rFonts w:cs="Arial"/>
                <w:b/>
                <w:sz w:val="16"/>
                <w:szCs w:val="16"/>
              </w:rPr>
            </w:pPr>
            <w:r>
              <w:rPr>
                <w:rFonts w:cs="Arial"/>
                <w:b/>
                <w:sz w:val="16"/>
                <w:szCs w:val="16"/>
              </w:rPr>
              <w:t>4,3</w:t>
            </w:r>
          </w:p>
        </w:tc>
      </w:tr>
    </w:tbl>
    <w:p w:rsidR="00BA324D" w:rsidRPr="00013D42" w:rsidRDefault="00BA324D" w:rsidP="00BA324D">
      <w:pPr>
        <w:widowControl w:val="0"/>
        <w:jc w:val="center"/>
        <w:rPr>
          <w:rFonts w:cs="Arial"/>
          <w:i/>
          <w:color w:val="000000"/>
          <w:sz w:val="16"/>
          <w:szCs w:val="16"/>
        </w:rPr>
      </w:pPr>
      <w:r w:rsidRPr="00013D42">
        <w:rPr>
          <w:rFonts w:cs="Arial"/>
          <w:i/>
          <w:color w:val="000000"/>
          <w:sz w:val="16"/>
          <w:szCs w:val="16"/>
        </w:rPr>
        <w:t>Fuente para la comparación</w:t>
      </w:r>
      <w:r>
        <w:rPr>
          <w:rFonts w:cs="Arial"/>
          <w:i/>
          <w:color w:val="000000"/>
          <w:sz w:val="16"/>
          <w:szCs w:val="16"/>
        </w:rPr>
        <w:t>: Cuentas Económicas 2014</w:t>
      </w:r>
      <w:r w:rsidRPr="00013D42">
        <w:rPr>
          <w:rFonts w:cs="Arial"/>
          <w:i/>
          <w:color w:val="000000"/>
          <w:sz w:val="16"/>
          <w:szCs w:val="16"/>
        </w:rPr>
        <w:t xml:space="preserve"> </w:t>
      </w:r>
      <w:proofErr w:type="spellStart"/>
      <w:r w:rsidRPr="00013D42">
        <w:rPr>
          <w:rFonts w:cs="Arial"/>
          <w:i/>
          <w:color w:val="000000"/>
          <w:sz w:val="16"/>
          <w:szCs w:val="16"/>
        </w:rPr>
        <w:t>Eustat</w:t>
      </w:r>
      <w:proofErr w:type="spellEnd"/>
    </w:p>
    <w:p w:rsidR="003105B5" w:rsidRPr="007046A9" w:rsidRDefault="003105B5" w:rsidP="003105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sidRPr="007046A9">
        <w:rPr>
          <w:rFonts w:eastAsia="Times New Roman" w:cs="Times New Roman"/>
          <w:b/>
          <w:snapToGrid w:val="0"/>
          <w:sz w:val="28"/>
          <w:szCs w:val="28"/>
          <w:lang w:eastAsia="es-ES"/>
        </w:rPr>
        <w:lastRenderedPageBreak/>
        <w:t xml:space="preserve">A pesar de la caída producida en los niveles de facturación, la contención </w:t>
      </w:r>
      <w:r w:rsidR="00BD60FE">
        <w:rPr>
          <w:rFonts w:eastAsia="Times New Roman" w:cs="Times New Roman"/>
          <w:b/>
          <w:snapToGrid w:val="0"/>
          <w:sz w:val="28"/>
          <w:szCs w:val="28"/>
          <w:lang w:eastAsia="es-ES"/>
        </w:rPr>
        <w:t xml:space="preserve">en </w:t>
      </w:r>
      <w:r w:rsidRPr="007046A9">
        <w:rPr>
          <w:rFonts w:eastAsia="Times New Roman" w:cs="Times New Roman"/>
          <w:b/>
          <w:snapToGrid w:val="0"/>
          <w:sz w:val="28"/>
          <w:szCs w:val="28"/>
          <w:lang w:eastAsia="es-ES"/>
        </w:rPr>
        <w:t>las partidas de gasto</w:t>
      </w:r>
      <w:r w:rsidR="00BD60FE">
        <w:rPr>
          <w:rFonts w:eastAsia="Times New Roman" w:cs="Times New Roman"/>
          <w:b/>
          <w:snapToGrid w:val="0"/>
          <w:sz w:val="28"/>
          <w:szCs w:val="28"/>
          <w:lang w:eastAsia="es-ES"/>
        </w:rPr>
        <w:t xml:space="preserve"> permite</w:t>
      </w:r>
      <w:r w:rsidRPr="007046A9">
        <w:rPr>
          <w:rFonts w:eastAsia="Times New Roman" w:cs="Times New Roman"/>
          <w:b/>
          <w:snapToGrid w:val="0"/>
          <w:sz w:val="28"/>
          <w:szCs w:val="28"/>
          <w:lang w:eastAsia="es-ES"/>
        </w:rPr>
        <w:t xml:space="preserve"> mejorar los resultados globales obtenidos </w:t>
      </w:r>
      <w:r w:rsidR="00D3130E">
        <w:rPr>
          <w:rFonts w:eastAsia="Times New Roman" w:cs="Times New Roman"/>
          <w:b/>
          <w:snapToGrid w:val="0"/>
          <w:sz w:val="28"/>
          <w:szCs w:val="28"/>
          <w:lang w:eastAsia="es-ES"/>
        </w:rPr>
        <w:t>pero sin acercarse a la situación pre-crisis</w:t>
      </w:r>
    </w:p>
    <w:p w:rsidR="003105B5" w:rsidRDefault="003105B5" w:rsidP="003105B5">
      <w:pPr>
        <w:rPr>
          <w:rFonts w:eastAsia="Times New Roman" w:cs="Arial"/>
          <w:szCs w:val="20"/>
          <w:lang w:val="es-ES_tradnl" w:eastAsia="es-ES"/>
        </w:rPr>
      </w:pPr>
    </w:p>
    <w:p w:rsidR="0091198E" w:rsidRDefault="0091198E" w:rsidP="003105B5">
      <w:pPr>
        <w:rPr>
          <w:rFonts w:eastAsia="Times New Roman" w:cs="Arial"/>
          <w:szCs w:val="20"/>
          <w:lang w:val="es-ES_tradnl" w:eastAsia="es-ES"/>
        </w:rPr>
      </w:pPr>
    </w:p>
    <w:p w:rsidR="00297412" w:rsidRDefault="00502786" w:rsidP="003105B5">
      <w:pPr>
        <w:rPr>
          <w:rFonts w:eastAsia="Times New Roman" w:cs="Arial"/>
          <w:szCs w:val="20"/>
          <w:lang w:val="es-ES_tradnl" w:eastAsia="es-ES"/>
        </w:rPr>
      </w:pPr>
      <w:r>
        <w:rPr>
          <w:rFonts w:eastAsia="Times New Roman" w:cs="Arial"/>
          <w:szCs w:val="20"/>
          <w:lang w:val="es-ES_tradnl" w:eastAsia="es-ES"/>
        </w:rPr>
        <w:t>Entre 2012 y 2014, e</w:t>
      </w:r>
      <w:r w:rsidR="003105B5" w:rsidRPr="003554CB">
        <w:rPr>
          <w:rFonts w:eastAsia="Times New Roman" w:cs="Arial"/>
          <w:szCs w:val="20"/>
          <w:lang w:val="es-ES_tradnl" w:eastAsia="es-ES"/>
        </w:rPr>
        <w:t xml:space="preserve">l descenso en </w:t>
      </w:r>
      <w:r>
        <w:rPr>
          <w:rFonts w:eastAsia="Times New Roman" w:cs="Arial"/>
          <w:szCs w:val="20"/>
          <w:lang w:val="es-ES_tradnl" w:eastAsia="es-ES"/>
        </w:rPr>
        <w:t>el volumen</w:t>
      </w:r>
      <w:r w:rsidR="003105B5" w:rsidRPr="003554CB">
        <w:rPr>
          <w:rFonts w:eastAsia="Times New Roman" w:cs="Arial"/>
          <w:szCs w:val="20"/>
          <w:lang w:val="es-ES_tradnl" w:eastAsia="es-ES"/>
        </w:rPr>
        <w:t xml:space="preserve"> de facturación (-7,1%) se ha acompasado con una reducción en la práctica tot</w:t>
      </w:r>
      <w:r>
        <w:rPr>
          <w:rFonts w:eastAsia="Times New Roman" w:cs="Arial"/>
          <w:szCs w:val="20"/>
          <w:lang w:val="es-ES_tradnl" w:eastAsia="es-ES"/>
        </w:rPr>
        <w:t xml:space="preserve">alidad de las partidas de gasto, </w:t>
      </w:r>
      <w:r w:rsidR="003105B5" w:rsidRPr="003554CB">
        <w:rPr>
          <w:rFonts w:eastAsia="Times New Roman" w:cs="Arial"/>
          <w:szCs w:val="20"/>
          <w:lang w:val="es-ES_tradnl" w:eastAsia="es-ES"/>
        </w:rPr>
        <w:t>a excepción de las amortizaciones</w:t>
      </w:r>
      <w:r w:rsidR="003105B5">
        <w:rPr>
          <w:rFonts w:eastAsia="Times New Roman" w:cs="Arial"/>
          <w:szCs w:val="20"/>
          <w:lang w:val="es-ES_tradnl" w:eastAsia="es-ES"/>
        </w:rPr>
        <w:t xml:space="preserve"> que crecen en un 6,8%</w:t>
      </w:r>
      <w:r>
        <w:rPr>
          <w:rFonts w:eastAsia="Times New Roman" w:cs="Arial"/>
          <w:szCs w:val="20"/>
          <w:lang w:val="es-ES_tradnl" w:eastAsia="es-ES"/>
        </w:rPr>
        <w:t xml:space="preserve">. Esta contención de gasto </w:t>
      </w:r>
      <w:r w:rsidR="003105B5">
        <w:rPr>
          <w:rFonts w:eastAsia="Times New Roman" w:cs="Arial"/>
          <w:szCs w:val="20"/>
          <w:lang w:val="es-ES_tradnl" w:eastAsia="es-ES"/>
        </w:rPr>
        <w:t>se ha</w:t>
      </w:r>
      <w:r w:rsidR="003105B5" w:rsidRPr="003554CB">
        <w:rPr>
          <w:rFonts w:eastAsia="Times New Roman" w:cs="Arial"/>
          <w:szCs w:val="20"/>
          <w:lang w:val="es-ES_tradnl" w:eastAsia="es-ES"/>
        </w:rPr>
        <w:t xml:space="preserve"> apoyado en gran medida en la moderación salarial (-5,1%), lo que </w:t>
      </w:r>
      <w:r>
        <w:rPr>
          <w:rFonts w:eastAsia="Times New Roman" w:cs="Arial"/>
          <w:szCs w:val="20"/>
          <w:lang w:val="es-ES_tradnl" w:eastAsia="es-ES"/>
        </w:rPr>
        <w:t>ha tenido efectos en</w:t>
      </w:r>
      <w:r w:rsidR="003105B5" w:rsidRPr="003554CB">
        <w:rPr>
          <w:rFonts w:eastAsia="Times New Roman" w:cs="Arial"/>
          <w:szCs w:val="20"/>
          <w:lang w:val="es-ES_tradnl" w:eastAsia="es-ES"/>
        </w:rPr>
        <w:t xml:space="preserve"> la cuenta de resultados y </w:t>
      </w:r>
      <w:r w:rsidR="003105B5">
        <w:rPr>
          <w:rFonts w:eastAsia="Times New Roman" w:cs="Arial"/>
          <w:szCs w:val="20"/>
          <w:lang w:val="es-ES_tradnl" w:eastAsia="es-ES"/>
        </w:rPr>
        <w:t xml:space="preserve">ha </w:t>
      </w:r>
      <w:r w:rsidR="003105B5" w:rsidRPr="003554CB">
        <w:rPr>
          <w:rFonts w:eastAsia="Times New Roman" w:cs="Arial"/>
          <w:szCs w:val="20"/>
          <w:lang w:val="es-ES_tradnl" w:eastAsia="es-ES"/>
        </w:rPr>
        <w:t>favorecido un incremento de los beneficios</w:t>
      </w:r>
      <w:r w:rsidR="00297412">
        <w:rPr>
          <w:rFonts w:eastAsia="Times New Roman" w:cs="Arial"/>
          <w:szCs w:val="20"/>
          <w:lang w:val="es-ES_tradnl" w:eastAsia="es-ES"/>
        </w:rPr>
        <w:t xml:space="preserve">. Éstos aumentan en </w:t>
      </w:r>
      <w:r w:rsidR="003105B5" w:rsidRPr="003554CB">
        <w:rPr>
          <w:rFonts w:eastAsia="Times New Roman" w:cs="Arial"/>
          <w:szCs w:val="20"/>
          <w:lang w:val="es-ES_tradnl" w:eastAsia="es-ES"/>
        </w:rPr>
        <w:t>16,2%</w:t>
      </w:r>
      <w:r w:rsidR="00297412">
        <w:rPr>
          <w:rFonts w:eastAsia="Times New Roman" w:cs="Arial"/>
          <w:szCs w:val="20"/>
          <w:lang w:val="es-ES_tradnl" w:eastAsia="es-ES"/>
        </w:rPr>
        <w:t xml:space="preserve"> entre 2012 y 2014.</w:t>
      </w:r>
    </w:p>
    <w:p w:rsidR="00297412" w:rsidRDefault="00297412" w:rsidP="003105B5">
      <w:pPr>
        <w:rPr>
          <w:rFonts w:eastAsia="Times New Roman" w:cs="Arial"/>
          <w:szCs w:val="20"/>
          <w:lang w:val="es-ES_tradnl" w:eastAsia="es-ES"/>
        </w:rPr>
      </w:pPr>
    </w:p>
    <w:p w:rsidR="003105B5" w:rsidRDefault="00297412" w:rsidP="003105B5">
      <w:pPr>
        <w:rPr>
          <w:rFonts w:eastAsia="Times New Roman" w:cs="Arial"/>
          <w:szCs w:val="20"/>
          <w:lang w:val="es-ES_tradnl" w:eastAsia="es-ES"/>
        </w:rPr>
      </w:pPr>
      <w:r>
        <w:rPr>
          <w:rFonts w:eastAsia="Times New Roman" w:cs="Arial"/>
          <w:szCs w:val="20"/>
          <w:lang w:val="es-ES_tradnl" w:eastAsia="es-ES"/>
        </w:rPr>
        <w:t>La cifra de beneficios se mantiene sin embargo en los reducidos niveles observados en 2010 y 2012, siempre inferiores a los 100 millones de euros (92,</w:t>
      </w:r>
      <w:r w:rsidR="0091198E">
        <w:rPr>
          <w:rFonts w:eastAsia="Times New Roman" w:cs="Arial"/>
          <w:szCs w:val="20"/>
          <w:lang w:val="es-ES_tradnl" w:eastAsia="es-ES"/>
        </w:rPr>
        <w:t>2</w:t>
      </w:r>
      <w:r>
        <w:rPr>
          <w:rFonts w:eastAsia="Times New Roman" w:cs="Arial"/>
          <w:szCs w:val="20"/>
          <w:lang w:val="es-ES_tradnl" w:eastAsia="es-ES"/>
        </w:rPr>
        <w:t xml:space="preserve"> en 2014, por encima de los 79</w:t>
      </w:r>
      <w:r w:rsidR="0091198E">
        <w:rPr>
          <w:rFonts w:eastAsia="Times New Roman" w:cs="Arial"/>
          <w:szCs w:val="20"/>
          <w:lang w:val="es-ES_tradnl" w:eastAsia="es-ES"/>
        </w:rPr>
        <w:t>,</w:t>
      </w:r>
      <w:r>
        <w:rPr>
          <w:rFonts w:eastAsia="Times New Roman" w:cs="Arial"/>
          <w:szCs w:val="20"/>
          <w:lang w:val="es-ES_tradnl" w:eastAsia="es-ES"/>
        </w:rPr>
        <w:t>3 de 2012 pero incluso por debajo de los 99,7 de 2010)</w:t>
      </w:r>
      <w:r w:rsidR="003105B5" w:rsidRPr="003554CB">
        <w:rPr>
          <w:rFonts w:eastAsia="Times New Roman" w:cs="Arial"/>
          <w:szCs w:val="20"/>
          <w:lang w:val="es-ES_tradnl" w:eastAsia="es-ES"/>
        </w:rPr>
        <w:t>.</w:t>
      </w:r>
      <w:r>
        <w:rPr>
          <w:rFonts w:eastAsia="Times New Roman" w:cs="Arial"/>
          <w:szCs w:val="20"/>
          <w:lang w:val="es-ES_tradnl" w:eastAsia="es-ES"/>
        </w:rPr>
        <w:t xml:space="preserve"> Queda </w:t>
      </w:r>
      <w:r w:rsidR="00CC6550" w:rsidRPr="003554CB">
        <w:rPr>
          <w:rFonts w:eastAsia="Times New Roman" w:cs="Arial"/>
          <w:szCs w:val="20"/>
          <w:lang w:val="es-ES_tradnl" w:eastAsia="es-ES"/>
        </w:rPr>
        <w:t>sustancialmente</w:t>
      </w:r>
      <w:r w:rsidR="00CC6550">
        <w:rPr>
          <w:rFonts w:eastAsia="Times New Roman" w:cs="Arial"/>
          <w:szCs w:val="20"/>
          <w:lang w:val="es-ES_tradnl" w:eastAsia="es-ES"/>
        </w:rPr>
        <w:t xml:space="preserve"> </w:t>
      </w:r>
      <w:r>
        <w:rPr>
          <w:rFonts w:eastAsia="Times New Roman" w:cs="Arial"/>
          <w:szCs w:val="20"/>
          <w:lang w:val="es-ES_tradnl" w:eastAsia="es-ES"/>
        </w:rPr>
        <w:t>por debajo de los 248,2 millones de 2008</w:t>
      </w:r>
      <w:r w:rsidR="00CC6550">
        <w:rPr>
          <w:rFonts w:eastAsia="Times New Roman" w:cs="Arial"/>
          <w:szCs w:val="20"/>
          <w:lang w:val="es-ES_tradnl" w:eastAsia="es-ES"/>
        </w:rPr>
        <w:t xml:space="preserve"> y </w:t>
      </w:r>
      <w:r w:rsidR="00CC6550" w:rsidRPr="003554CB">
        <w:rPr>
          <w:rFonts w:eastAsia="Times New Roman" w:cs="Arial"/>
          <w:szCs w:val="20"/>
          <w:lang w:val="es-ES_tradnl" w:eastAsia="es-ES"/>
        </w:rPr>
        <w:t>de las cifras alcanzadas en tiempos d</w:t>
      </w:r>
      <w:r w:rsidR="00CC6550">
        <w:rPr>
          <w:rFonts w:eastAsia="Times New Roman" w:cs="Arial"/>
          <w:szCs w:val="20"/>
          <w:lang w:val="es-ES_tradnl" w:eastAsia="es-ES"/>
        </w:rPr>
        <w:t>e bonanza previos a la crisis (la cuantía de los beneficios en 2006 superaba</w:t>
      </w:r>
      <w:r w:rsidR="00CC6550" w:rsidRPr="003554CB">
        <w:rPr>
          <w:rFonts w:eastAsia="Times New Roman" w:cs="Arial"/>
          <w:szCs w:val="20"/>
          <w:lang w:val="es-ES_tradnl" w:eastAsia="es-ES"/>
        </w:rPr>
        <w:t xml:space="preserve"> el medio millón de euros y </w:t>
      </w:r>
      <w:r w:rsidR="00CC6550">
        <w:rPr>
          <w:rFonts w:eastAsia="Times New Roman" w:cs="Arial"/>
          <w:szCs w:val="20"/>
          <w:lang w:val="es-ES_tradnl" w:eastAsia="es-ES"/>
        </w:rPr>
        <w:t xml:space="preserve">entre 2002 y 2004 </w:t>
      </w:r>
      <w:r w:rsidR="00CC6550" w:rsidRPr="003554CB">
        <w:rPr>
          <w:rFonts w:eastAsia="Times New Roman" w:cs="Arial"/>
          <w:szCs w:val="20"/>
          <w:lang w:val="es-ES_tradnl" w:eastAsia="es-ES"/>
        </w:rPr>
        <w:t>los resultados superaban holgadamente los 300 millones de euros anuales</w:t>
      </w:r>
      <w:r w:rsidR="00CC6550">
        <w:rPr>
          <w:rFonts w:eastAsia="Times New Roman" w:cs="Arial"/>
          <w:szCs w:val="20"/>
          <w:lang w:val="es-ES_tradnl" w:eastAsia="es-ES"/>
        </w:rPr>
        <w:t>)</w:t>
      </w:r>
      <w:r w:rsidR="007F003B">
        <w:rPr>
          <w:rFonts w:eastAsia="Times New Roman" w:cs="Arial"/>
          <w:szCs w:val="20"/>
          <w:lang w:val="es-ES_tradnl" w:eastAsia="es-ES"/>
        </w:rPr>
        <w:t>.</w:t>
      </w:r>
    </w:p>
    <w:p w:rsidR="00297412" w:rsidRDefault="00297412" w:rsidP="003105B5">
      <w:pPr>
        <w:rPr>
          <w:rFonts w:eastAsia="Times New Roman" w:cs="Arial"/>
          <w:szCs w:val="20"/>
          <w:lang w:val="es-ES_tradnl" w:eastAsia="es-ES"/>
        </w:rPr>
      </w:pPr>
    </w:p>
    <w:p w:rsidR="0091198E" w:rsidRPr="00257F00" w:rsidRDefault="0091198E" w:rsidP="0091198E">
      <w:pPr>
        <w:rPr>
          <w:rFonts w:eastAsia="Times New Roman" w:cs="Arial"/>
          <w:szCs w:val="20"/>
          <w:lang w:val="es-ES_tradnl" w:eastAsia="es-ES"/>
        </w:rPr>
      </w:pPr>
      <w:r w:rsidRPr="00257F00">
        <w:rPr>
          <w:rFonts w:eastAsia="Times New Roman" w:cs="Arial"/>
          <w:szCs w:val="20"/>
          <w:lang w:val="es-ES_tradnl" w:eastAsia="es-ES"/>
        </w:rPr>
        <w:t>Por su parte</w:t>
      </w:r>
      <w:r>
        <w:rPr>
          <w:rFonts w:eastAsia="Times New Roman" w:cs="Arial"/>
          <w:szCs w:val="20"/>
          <w:lang w:val="es-ES_tradnl" w:eastAsia="es-ES"/>
        </w:rPr>
        <w:t>,</w:t>
      </w:r>
      <w:r w:rsidRPr="00257F00">
        <w:rPr>
          <w:rFonts w:eastAsia="Times New Roman" w:cs="Arial"/>
          <w:szCs w:val="20"/>
          <w:lang w:val="es-ES_tradnl" w:eastAsia="es-ES"/>
        </w:rPr>
        <w:t xml:space="preserve"> las cifras de Cash </w:t>
      </w:r>
      <w:proofErr w:type="spellStart"/>
      <w:r w:rsidRPr="00257F00">
        <w:rPr>
          <w:rFonts w:eastAsia="Times New Roman" w:cs="Arial"/>
          <w:szCs w:val="20"/>
          <w:lang w:val="es-ES_tradnl" w:eastAsia="es-ES"/>
        </w:rPr>
        <w:t>Flow</w:t>
      </w:r>
      <w:proofErr w:type="spellEnd"/>
      <w:r>
        <w:rPr>
          <w:rFonts w:eastAsia="Times New Roman" w:cs="Arial"/>
          <w:szCs w:val="20"/>
          <w:lang w:val="es-ES_tradnl" w:eastAsia="es-ES"/>
        </w:rPr>
        <w:t xml:space="preserve"> generado se reducen en un 4,7%. T</w:t>
      </w:r>
      <w:r w:rsidRPr="00257F00">
        <w:rPr>
          <w:rFonts w:eastAsia="Times New Roman" w:cs="Arial"/>
          <w:szCs w:val="20"/>
          <w:lang w:val="es-ES_tradnl" w:eastAsia="es-ES"/>
        </w:rPr>
        <w:t>ras descenso</w:t>
      </w:r>
      <w:r>
        <w:rPr>
          <w:rFonts w:eastAsia="Times New Roman" w:cs="Arial"/>
          <w:szCs w:val="20"/>
          <w:lang w:val="es-ES_tradnl" w:eastAsia="es-ES"/>
        </w:rPr>
        <w:t>s</w:t>
      </w:r>
      <w:r w:rsidRPr="00257F00">
        <w:rPr>
          <w:rFonts w:eastAsia="Times New Roman" w:cs="Arial"/>
          <w:szCs w:val="20"/>
          <w:lang w:val="es-ES_tradnl" w:eastAsia="es-ES"/>
        </w:rPr>
        <w:t xml:space="preserve"> </w:t>
      </w:r>
      <w:r>
        <w:rPr>
          <w:rFonts w:eastAsia="Times New Roman" w:cs="Arial"/>
          <w:szCs w:val="20"/>
          <w:lang w:val="es-ES_tradnl" w:eastAsia="es-ES"/>
        </w:rPr>
        <w:t xml:space="preserve">continuados </w:t>
      </w:r>
      <w:r w:rsidRPr="00257F00">
        <w:rPr>
          <w:rFonts w:eastAsia="Times New Roman" w:cs="Arial"/>
          <w:szCs w:val="20"/>
          <w:lang w:val="es-ES_tradnl" w:eastAsia="es-ES"/>
        </w:rPr>
        <w:t xml:space="preserve">desde 2008, </w:t>
      </w:r>
      <w:r>
        <w:rPr>
          <w:rFonts w:eastAsia="Times New Roman" w:cs="Arial"/>
          <w:szCs w:val="20"/>
          <w:lang w:val="es-ES_tradnl" w:eastAsia="es-ES"/>
        </w:rPr>
        <w:t xml:space="preserve">se sitúan en </w:t>
      </w:r>
      <w:r w:rsidRPr="00257F00">
        <w:rPr>
          <w:rFonts w:eastAsia="Times New Roman" w:cs="Arial"/>
          <w:szCs w:val="20"/>
          <w:lang w:val="es-ES_tradnl" w:eastAsia="es-ES"/>
        </w:rPr>
        <w:t xml:space="preserve">888,2 millones de euros </w:t>
      </w:r>
      <w:r>
        <w:rPr>
          <w:rFonts w:eastAsia="Times New Roman" w:cs="Arial"/>
          <w:szCs w:val="20"/>
          <w:lang w:val="es-ES_tradnl" w:eastAsia="es-ES"/>
        </w:rPr>
        <w:t>en 2014, una cifra que sólo resulta superior a las registradas en 2002 y 2004</w:t>
      </w:r>
      <w:r w:rsidRPr="00257F00">
        <w:rPr>
          <w:rFonts w:eastAsia="Times New Roman" w:cs="Arial"/>
          <w:szCs w:val="20"/>
          <w:lang w:val="es-ES_tradnl" w:eastAsia="es-ES"/>
        </w:rPr>
        <w:t>.</w:t>
      </w:r>
    </w:p>
    <w:p w:rsidR="0091198E" w:rsidRPr="003554CB" w:rsidRDefault="0091198E" w:rsidP="003105B5">
      <w:pPr>
        <w:rPr>
          <w:rFonts w:eastAsia="Times New Roman" w:cs="Arial"/>
          <w:szCs w:val="20"/>
          <w:lang w:val="es-ES_tradnl" w:eastAsia="es-ES"/>
        </w:rPr>
      </w:pPr>
    </w:p>
    <w:p w:rsidR="003105B5" w:rsidRDefault="003105B5" w:rsidP="003105B5">
      <w:pPr>
        <w:widowControl w:val="0"/>
        <w:spacing w:line="240" w:lineRule="auto"/>
        <w:jc w:val="center"/>
        <w:rPr>
          <w:rFonts w:cs="Arial"/>
          <w:b/>
          <w:color w:val="1F497D" w:themeColor="text2"/>
          <w:sz w:val="18"/>
          <w:szCs w:val="18"/>
        </w:rPr>
      </w:pPr>
    </w:p>
    <w:p w:rsidR="003105B5" w:rsidRPr="00EB6E90" w:rsidRDefault="003105B5" w:rsidP="003105B5">
      <w:pPr>
        <w:widowControl w:val="0"/>
        <w:spacing w:line="240" w:lineRule="auto"/>
        <w:jc w:val="center"/>
        <w:rPr>
          <w:rFonts w:cs="Arial"/>
          <w:b/>
          <w:color w:val="1F497D" w:themeColor="text2"/>
          <w:sz w:val="18"/>
          <w:szCs w:val="18"/>
        </w:rPr>
      </w:pPr>
      <w:r>
        <w:rPr>
          <w:rFonts w:cs="Arial"/>
          <w:b/>
          <w:color w:val="1F497D" w:themeColor="text2"/>
          <w:sz w:val="18"/>
          <w:szCs w:val="18"/>
        </w:rPr>
        <w:t>E</w:t>
      </w:r>
      <w:r w:rsidRPr="00EB6E90">
        <w:rPr>
          <w:rFonts w:cs="Arial"/>
          <w:b/>
          <w:color w:val="1F497D" w:themeColor="text2"/>
          <w:sz w:val="18"/>
          <w:szCs w:val="18"/>
        </w:rPr>
        <w:t>VOLUCIÓN DE LOS RESULTADOS EC</w:t>
      </w:r>
      <w:r>
        <w:rPr>
          <w:rFonts w:cs="Arial"/>
          <w:b/>
          <w:color w:val="1F497D" w:themeColor="text2"/>
          <w:sz w:val="18"/>
          <w:szCs w:val="18"/>
        </w:rPr>
        <w:t>ONÓMICOS (BENEFICIOS) Y DEL CAS</w:t>
      </w:r>
      <w:r w:rsidRPr="00EB6E90">
        <w:rPr>
          <w:rFonts w:cs="Arial"/>
          <w:b/>
          <w:color w:val="1F497D" w:themeColor="text2"/>
          <w:sz w:val="18"/>
          <w:szCs w:val="18"/>
        </w:rPr>
        <w:t>H FLOW DE LA ECONOMÍA SOCIAL</w:t>
      </w:r>
      <w:r>
        <w:rPr>
          <w:rFonts w:cs="Arial"/>
          <w:b/>
          <w:color w:val="1F497D" w:themeColor="text2"/>
          <w:sz w:val="18"/>
          <w:szCs w:val="18"/>
        </w:rPr>
        <w:t xml:space="preserve"> 2002-2014 </w:t>
      </w:r>
      <w:r w:rsidRPr="00EB6E90">
        <w:rPr>
          <w:rFonts w:cs="Arial"/>
          <w:b/>
          <w:color w:val="1F497D" w:themeColor="text2"/>
          <w:sz w:val="18"/>
          <w:szCs w:val="18"/>
        </w:rPr>
        <w:t>(</w:t>
      </w:r>
      <w:r>
        <w:rPr>
          <w:rFonts w:cs="Arial"/>
          <w:b/>
          <w:color w:val="1F497D" w:themeColor="text2"/>
          <w:sz w:val="18"/>
          <w:szCs w:val="18"/>
        </w:rPr>
        <w:t xml:space="preserve">cifras absolutas </w:t>
      </w:r>
      <w:r w:rsidRPr="00EB6E90">
        <w:rPr>
          <w:rFonts w:cs="Arial"/>
          <w:b/>
          <w:color w:val="1F497D" w:themeColor="text2"/>
          <w:sz w:val="18"/>
          <w:szCs w:val="18"/>
        </w:rPr>
        <w:t>en miles</w:t>
      </w:r>
      <w:r>
        <w:rPr>
          <w:rFonts w:cs="Arial"/>
          <w:b/>
          <w:color w:val="1F497D" w:themeColor="text2"/>
          <w:sz w:val="18"/>
          <w:szCs w:val="18"/>
        </w:rPr>
        <w:t xml:space="preserve"> de euros</w:t>
      </w:r>
      <w:r w:rsidRPr="00EB6E90">
        <w:rPr>
          <w:rFonts w:cs="Arial"/>
          <w:b/>
          <w:color w:val="1F497D" w:themeColor="text2"/>
          <w:sz w:val="18"/>
          <w:szCs w:val="18"/>
        </w:rPr>
        <w:t>)</w:t>
      </w:r>
    </w:p>
    <w:p w:rsidR="003105B5" w:rsidRDefault="003105B5" w:rsidP="003105B5">
      <w:pPr>
        <w:widowControl w:val="0"/>
        <w:jc w:val="center"/>
        <w:rPr>
          <w:rFonts w:cs="Arial"/>
          <w:b/>
          <w:color w:val="000080"/>
          <w:sz w:val="16"/>
          <w:szCs w:val="16"/>
        </w:rPr>
      </w:pPr>
      <w:r>
        <w:rPr>
          <w:rFonts w:cs="Arial"/>
          <w:b/>
          <w:noProof/>
          <w:color w:val="000080"/>
          <w:sz w:val="16"/>
          <w:szCs w:val="16"/>
          <w:lang w:eastAsia="es-ES"/>
        </w:rPr>
        <w:drawing>
          <wp:anchor distT="103632" distB="78613" distL="547116" distR="556260" simplePos="0" relativeHeight="251863040" behindDoc="0" locked="0" layoutInCell="1" allowOverlap="1">
            <wp:simplePos x="0" y="0"/>
            <wp:positionH relativeFrom="column">
              <wp:posOffset>-319302</wp:posOffset>
            </wp:positionH>
            <wp:positionV relativeFrom="paragraph">
              <wp:posOffset>96358</wp:posOffset>
            </wp:positionV>
            <wp:extent cx="6081823" cy="1733107"/>
            <wp:effectExtent l="0" t="0" r="0" b="0"/>
            <wp:wrapNone/>
            <wp:docPr id="21"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105B5" w:rsidRDefault="003105B5" w:rsidP="003105B5">
      <w:pPr>
        <w:widowControl w:val="0"/>
        <w:jc w:val="center"/>
        <w:rPr>
          <w:rFonts w:cs="Arial"/>
          <w:b/>
          <w:color w:val="000080"/>
          <w:sz w:val="16"/>
          <w:szCs w:val="16"/>
        </w:rPr>
      </w:pPr>
    </w:p>
    <w:p w:rsidR="003105B5" w:rsidRDefault="003105B5" w:rsidP="003105B5">
      <w:pPr>
        <w:widowControl w:val="0"/>
        <w:jc w:val="center"/>
        <w:rPr>
          <w:rFonts w:cs="Arial"/>
          <w:b/>
          <w:color w:val="000080"/>
          <w:sz w:val="16"/>
          <w:szCs w:val="16"/>
        </w:rPr>
      </w:pPr>
    </w:p>
    <w:p w:rsidR="003105B5" w:rsidRDefault="003105B5" w:rsidP="003105B5">
      <w:pPr>
        <w:widowControl w:val="0"/>
        <w:jc w:val="center"/>
        <w:rPr>
          <w:rFonts w:cs="Arial"/>
          <w:b/>
          <w:color w:val="000080"/>
          <w:sz w:val="16"/>
          <w:szCs w:val="16"/>
        </w:rPr>
      </w:pPr>
    </w:p>
    <w:p w:rsidR="003105B5" w:rsidRDefault="003105B5" w:rsidP="003105B5">
      <w:pPr>
        <w:widowControl w:val="0"/>
        <w:jc w:val="center"/>
        <w:rPr>
          <w:rFonts w:cs="Arial"/>
          <w:b/>
          <w:color w:val="000080"/>
          <w:sz w:val="16"/>
          <w:szCs w:val="16"/>
        </w:rPr>
      </w:pPr>
    </w:p>
    <w:p w:rsidR="003105B5" w:rsidRDefault="003105B5" w:rsidP="003105B5">
      <w:pPr>
        <w:widowControl w:val="0"/>
        <w:jc w:val="center"/>
        <w:rPr>
          <w:rFonts w:cs="Arial"/>
          <w:b/>
          <w:color w:val="000080"/>
          <w:sz w:val="16"/>
          <w:szCs w:val="16"/>
        </w:rPr>
      </w:pPr>
    </w:p>
    <w:p w:rsidR="003105B5" w:rsidRDefault="003105B5" w:rsidP="003105B5">
      <w:pPr>
        <w:widowControl w:val="0"/>
        <w:jc w:val="center"/>
        <w:rPr>
          <w:rFonts w:cs="Arial"/>
          <w:b/>
          <w:color w:val="000080"/>
          <w:sz w:val="16"/>
          <w:szCs w:val="16"/>
        </w:rPr>
      </w:pPr>
    </w:p>
    <w:p w:rsidR="003105B5" w:rsidRDefault="003105B5" w:rsidP="003105B5">
      <w:pPr>
        <w:widowControl w:val="0"/>
        <w:jc w:val="center"/>
        <w:rPr>
          <w:rFonts w:cs="Arial"/>
          <w:b/>
          <w:color w:val="000080"/>
          <w:sz w:val="16"/>
          <w:szCs w:val="16"/>
        </w:rPr>
      </w:pPr>
    </w:p>
    <w:p w:rsidR="003105B5" w:rsidRDefault="003105B5" w:rsidP="003105B5">
      <w:pPr>
        <w:widowControl w:val="0"/>
        <w:jc w:val="center"/>
        <w:rPr>
          <w:rFonts w:cs="Arial"/>
          <w:b/>
          <w:color w:val="000080"/>
          <w:sz w:val="16"/>
          <w:szCs w:val="16"/>
        </w:rPr>
      </w:pPr>
    </w:p>
    <w:p w:rsidR="003105B5" w:rsidRPr="00562971" w:rsidRDefault="003105B5" w:rsidP="003105B5">
      <w:pPr>
        <w:widowControl w:val="0"/>
        <w:jc w:val="center"/>
        <w:rPr>
          <w:rFonts w:cs="Arial"/>
          <w:b/>
          <w:color w:val="000080"/>
          <w:sz w:val="16"/>
          <w:szCs w:val="16"/>
        </w:rPr>
      </w:pPr>
    </w:p>
    <w:p w:rsidR="003105B5" w:rsidRPr="00562971" w:rsidRDefault="003105B5" w:rsidP="003105B5">
      <w:pPr>
        <w:widowControl w:val="0"/>
        <w:ind w:firstLine="709"/>
        <w:jc w:val="center"/>
        <w:rPr>
          <w:rFonts w:ascii="Tahoma" w:hAnsi="Tahoma" w:cs="Arial"/>
          <w:b/>
          <w:i/>
          <w:sz w:val="16"/>
          <w:szCs w:val="16"/>
        </w:rPr>
      </w:pPr>
    </w:p>
    <w:p w:rsidR="003105B5" w:rsidRDefault="003105B5" w:rsidP="003105B5">
      <w:pPr>
        <w:widowControl w:val="0"/>
        <w:ind w:firstLine="709"/>
        <w:jc w:val="center"/>
        <w:rPr>
          <w:rFonts w:ascii="Tahoma" w:hAnsi="Tahoma" w:cs="Arial"/>
          <w:b/>
          <w:i/>
          <w:sz w:val="16"/>
          <w:szCs w:val="16"/>
        </w:rPr>
      </w:pPr>
    </w:p>
    <w:p w:rsidR="003105B5" w:rsidRDefault="003105B5" w:rsidP="003105B5">
      <w:pPr>
        <w:pStyle w:val="ARIALNARROW"/>
        <w:spacing w:line="360" w:lineRule="auto"/>
        <w:rPr>
          <w:rFonts w:eastAsiaTheme="minorHAnsi" w:cstheme="minorBidi"/>
          <w:b/>
          <w:szCs w:val="22"/>
        </w:rPr>
      </w:pPr>
    </w:p>
    <w:p w:rsidR="0091198E" w:rsidRDefault="0091198E">
      <w:pPr>
        <w:spacing w:after="200" w:line="276" w:lineRule="auto"/>
        <w:jc w:val="left"/>
        <w:rPr>
          <w:b/>
          <w:lang w:val="es-ES_tradnl" w:eastAsia="es-ES"/>
        </w:rPr>
      </w:pPr>
      <w:r>
        <w:rPr>
          <w:b/>
        </w:rPr>
        <w:br w:type="page"/>
      </w:r>
    </w:p>
    <w:p w:rsidR="003105B5" w:rsidRPr="00257F00" w:rsidRDefault="00465097" w:rsidP="003105B5">
      <w:pPr>
        <w:pStyle w:val="ARIALNARROW"/>
        <w:spacing w:line="360" w:lineRule="auto"/>
        <w:rPr>
          <w:rFonts w:eastAsiaTheme="minorHAnsi" w:cstheme="minorBidi"/>
          <w:b/>
          <w:szCs w:val="22"/>
        </w:rPr>
      </w:pPr>
      <w:r>
        <w:rPr>
          <w:rFonts w:eastAsiaTheme="minorHAnsi" w:cstheme="minorBidi"/>
          <w:b/>
          <w:szCs w:val="22"/>
        </w:rPr>
        <w:lastRenderedPageBreak/>
        <w:t>La</w:t>
      </w:r>
      <w:r w:rsidR="003105B5" w:rsidRPr="00257F00">
        <w:rPr>
          <w:rFonts w:eastAsiaTheme="minorHAnsi" w:cstheme="minorBidi"/>
          <w:b/>
          <w:szCs w:val="22"/>
        </w:rPr>
        <w:t xml:space="preserve"> mejora de resultados </w:t>
      </w:r>
      <w:r w:rsidR="003105B5">
        <w:rPr>
          <w:rFonts w:eastAsiaTheme="minorHAnsi" w:cstheme="minorBidi"/>
          <w:b/>
          <w:szCs w:val="22"/>
        </w:rPr>
        <w:t>presenta claros matices sectoriales</w:t>
      </w:r>
      <w:r w:rsidR="003105B5" w:rsidRPr="00257F00">
        <w:rPr>
          <w:rFonts w:eastAsiaTheme="minorHAnsi" w:cstheme="minorBidi"/>
          <w:b/>
          <w:szCs w:val="22"/>
        </w:rPr>
        <w:t xml:space="preserve"> y resulta en gran medida </w:t>
      </w:r>
      <w:r w:rsidR="003105B5">
        <w:rPr>
          <w:rFonts w:eastAsiaTheme="minorHAnsi" w:cstheme="minorBidi"/>
          <w:b/>
          <w:szCs w:val="22"/>
        </w:rPr>
        <w:t xml:space="preserve">posible </w:t>
      </w:r>
      <w:r w:rsidR="003105B5" w:rsidRPr="00257F00">
        <w:rPr>
          <w:rFonts w:eastAsiaTheme="minorHAnsi" w:cstheme="minorBidi"/>
          <w:b/>
          <w:szCs w:val="22"/>
        </w:rPr>
        <w:t>gracias a la notable contención en las p</w:t>
      </w:r>
      <w:r w:rsidR="003105B5">
        <w:rPr>
          <w:rFonts w:eastAsiaTheme="minorHAnsi" w:cstheme="minorBidi"/>
          <w:b/>
          <w:szCs w:val="22"/>
        </w:rPr>
        <w:t>érdidas del sector servicios sufridas en años anteriores.</w:t>
      </w:r>
    </w:p>
    <w:p w:rsidR="003105B5" w:rsidRDefault="003105B5" w:rsidP="003105B5">
      <w:pPr>
        <w:pStyle w:val="Prrafodelista"/>
        <w:spacing w:after="0" w:line="360" w:lineRule="auto"/>
        <w:ind w:left="426"/>
        <w:rPr>
          <w:rFonts w:eastAsia="Times New Roman" w:cs="Arial"/>
          <w:szCs w:val="20"/>
          <w:lang w:val="es-ES_tradnl" w:eastAsia="es-ES"/>
        </w:rPr>
      </w:pPr>
    </w:p>
    <w:p w:rsidR="003105B5" w:rsidRPr="00257F00" w:rsidRDefault="00465097" w:rsidP="003105B5">
      <w:pPr>
        <w:rPr>
          <w:rFonts w:eastAsia="Times New Roman" w:cs="Arial"/>
          <w:szCs w:val="20"/>
          <w:lang w:val="es-ES_tradnl" w:eastAsia="es-ES"/>
        </w:rPr>
      </w:pPr>
      <w:r>
        <w:rPr>
          <w:rFonts w:eastAsia="Times New Roman" w:cs="Arial"/>
          <w:szCs w:val="20"/>
          <w:lang w:val="es-ES_tradnl" w:eastAsia="es-ES"/>
        </w:rPr>
        <w:t xml:space="preserve">La ligera recuperación </w:t>
      </w:r>
      <w:r w:rsidR="003105B5">
        <w:rPr>
          <w:rFonts w:eastAsia="Times New Roman" w:cs="Arial"/>
          <w:szCs w:val="20"/>
          <w:lang w:val="es-ES_tradnl" w:eastAsia="es-ES"/>
        </w:rPr>
        <w:t>en los resultados de la Economía Social</w:t>
      </w:r>
      <w:r w:rsidR="00D7244F">
        <w:rPr>
          <w:rFonts w:eastAsia="Times New Roman" w:cs="Arial"/>
          <w:szCs w:val="20"/>
          <w:lang w:val="es-ES_tradnl" w:eastAsia="es-ES"/>
        </w:rPr>
        <w:t xml:space="preserve"> no se vincula </w:t>
      </w:r>
      <w:r w:rsidR="00765CBA">
        <w:rPr>
          <w:rFonts w:eastAsia="Times New Roman" w:cs="Arial"/>
          <w:szCs w:val="20"/>
          <w:lang w:val="es-ES_tradnl" w:eastAsia="es-ES"/>
        </w:rPr>
        <w:t>sin embargo</w:t>
      </w:r>
      <w:r w:rsidR="00D7244F">
        <w:rPr>
          <w:rFonts w:eastAsia="Times New Roman" w:cs="Arial"/>
          <w:szCs w:val="20"/>
          <w:lang w:val="es-ES_tradnl" w:eastAsia="es-ES"/>
        </w:rPr>
        <w:t xml:space="preserve"> a un aumento generalizado </w:t>
      </w:r>
      <w:r w:rsidR="003105B5" w:rsidRPr="00257F00">
        <w:rPr>
          <w:rFonts w:eastAsia="Times New Roman" w:cs="Arial"/>
          <w:szCs w:val="20"/>
          <w:lang w:val="es-ES_tradnl" w:eastAsia="es-ES"/>
        </w:rPr>
        <w:t xml:space="preserve">de los beneficios en </w:t>
      </w:r>
      <w:r w:rsidR="00D7244F">
        <w:rPr>
          <w:rFonts w:eastAsia="Times New Roman" w:cs="Arial"/>
          <w:szCs w:val="20"/>
          <w:lang w:val="es-ES_tradnl" w:eastAsia="es-ES"/>
        </w:rPr>
        <w:t>los distintos sectores</w:t>
      </w:r>
      <w:r w:rsidR="00144A6B">
        <w:rPr>
          <w:rFonts w:eastAsia="Times New Roman" w:cs="Arial"/>
          <w:szCs w:val="20"/>
          <w:lang w:val="es-ES_tradnl" w:eastAsia="es-ES"/>
        </w:rPr>
        <w:t xml:space="preserve"> </w:t>
      </w:r>
      <w:r w:rsidR="003105B5" w:rsidRPr="00257F00">
        <w:rPr>
          <w:rFonts w:eastAsia="Times New Roman" w:cs="Arial"/>
          <w:szCs w:val="20"/>
          <w:lang w:val="es-ES_tradnl" w:eastAsia="es-ES"/>
        </w:rPr>
        <w:t xml:space="preserve">sino </w:t>
      </w:r>
      <w:r w:rsidR="00144A6B">
        <w:rPr>
          <w:rFonts w:eastAsia="Times New Roman" w:cs="Arial"/>
          <w:szCs w:val="20"/>
          <w:lang w:val="es-ES_tradnl" w:eastAsia="es-ES"/>
        </w:rPr>
        <w:t xml:space="preserve">a la </w:t>
      </w:r>
      <w:r w:rsidR="003105B5" w:rsidRPr="00257F00">
        <w:rPr>
          <w:rFonts w:eastAsia="Times New Roman" w:cs="Arial"/>
          <w:szCs w:val="20"/>
          <w:lang w:val="es-ES_tradnl" w:eastAsia="es-ES"/>
        </w:rPr>
        <w:t xml:space="preserve">reducción de las </w:t>
      </w:r>
      <w:r w:rsidR="00765CBA">
        <w:rPr>
          <w:rFonts w:eastAsia="Times New Roman" w:cs="Arial"/>
          <w:szCs w:val="20"/>
          <w:lang w:val="es-ES_tradnl" w:eastAsia="es-ES"/>
        </w:rPr>
        <w:t xml:space="preserve">fuertes </w:t>
      </w:r>
      <w:r w:rsidR="003105B5" w:rsidRPr="00257F00">
        <w:rPr>
          <w:rFonts w:eastAsia="Times New Roman" w:cs="Arial"/>
          <w:szCs w:val="20"/>
          <w:lang w:val="es-ES_tradnl" w:eastAsia="es-ES"/>
        </w:rPr>
        <w:t>pérdidas atribuidas al sector terciario</w:t>
      </w:r>
      <w:r w:rsidR="00765CBA">
        <w:rPr>
          <w:rFonts w:eastAsia="Times New Roman" w:cs="Arial"/>
          <w:szCs w:val="20"/>
          <w:lang w:val="es-ES_tradnl" w:eastAsia="es-ES"/>
        </w:rPr>
        <w:t xml:space="preserve"> en años anteriores</w:t>
      </w:r>
      <w:r w:rsidR="003105B5" w:rsidRPr="00257F00">
        <w:rPr>
          <w:rFonts w:eastAsia="Times New Roman" w:cs="Arial"/>
          <w:szCs w:val="20"/>
          <w:lang w:val="es-ES_tradnl" w:eastAsia="es-ES"/>
        </w:rPr>
        <w:t xml:space="preserve">. </w:t>
      </w:r>
      <w:r w:rsidR="00765CBA">
        <w:rPr>
          <w:rFonts w:eastAsia="Times New Roman" w:cs="Arial"/>
          <w:szCs w:val="20"/>
          <w:lang w:val="es-ES_tradnl" w:eastAsia="es-ES"/>
        </w:rPr>
        <w:t>En este sector, l</w:t>
      </w:r>
      <w:r w:rsidR="003105B5" w:rsidRPr="00257F00">
        <w:rPr>
          <w:rFonts w:eastAsia="Times New Roman" w:cs="Arial"/>
          <w:szCs w:val="20"/>
          <w:lang w:val="es-ES_tradnl" w:eastAsia="es-ES"/>
        </w:rPr>
        <w:t xml:space="preserve">as pérdidas </w:t>
      </w:r>
      <w:r w:rsidR="00765CBA" w:rsidRPr="00257F00">
        <w:rPr>
          <w:rFonts w:eastAsia="Times New Roman" w:cs="Arial"/>
          <w:szCs w:val="20"/>
          <w:lang w:val="es-ES_tradnl" w:eastAsia="es-ES"/>
        </w:rPr>
        <w:t>de 28 m</w:t>
      </w:r>
      <w:r w:rsidR="00765CBA">
        <w:rPr>
          <w:rFonts w:eastAsia="Times New Roman" w:cs="Arial"/>
          <w:szCs w:val="20"/>
          <w:lang w:val="es-ES_tradnl" w:eastAsia="es-ES"/>
        </w:rPr>
        <w:t xml:space="preserve">illones registradas en 2012 se reducen </w:t>
      </w:r>
      <w:r w:rsidR="00765CBA" w:rsidRPr="00257F00">
        <w:rPr>
          <w:rFonts w:eastAsia="Times New Roman" w:cs="Arial"/>
          <w:szCs w:val="20"/>
          <w:lang w:val="es-ES_tradnl" w:eastAsia="es-ES"/>
        </w:rPr>
        <w:t>hasta los 7,8 millones de euros en 2014</w:t>
      </w:r>
      <w:r w:rsidR="00765CBA">
        <w:rPr>
          <w:rFonts w:eastAsia="Times New Roman" w:cs="Arial"/>
          <w:szCs w:val="20"/>
          <w:lang w:val="es-ES_tradnl" w:eastAsia="es-ES"/>
        </w:rPr>
        <w:t xml:space="preserve">, con una reducción del </w:t>
      </w:r>
      <w:r w:rsidR="003105B5">
        <w:rPr>
          <w:rFonts w:eastAsia="Times New Roman" w:cs="Arial"/>
          <w:szCs w:val="20"/>
          <w:lang w:val="es-ES_tradnl" w:eastAsia="es-ES"/>
        </w:rPr>
        <w:t>72,1%</w:t>
      </w:r>
      <w:r w:rsidR="003105B5" w:rsidRPr="00257F00">
        <w:rPr>
          <w:rFonts w:eastAsia="Times New Roman" w:cs="Arial"/>
          <w:szCs w:val="20"/>
          <w:lang w:val="es-ES_tradnl" w:eastAsia="es-ES"/>
        </w:rPr>
        <w:t xml:space="preserve">. </w:t>
      </w:r>
    </w:p>
    <w:p w:rsidR="003105B5" w:rsidRDefault="003105B5" w:rsidP="003105B5">
      <w:pPr>
        <w:jc w:val="left"/>
        <w:rPr>
          <w:rFonts w:eastAsia="Times New Roman" w:cs="Arial"/>
          <w:szCs w:val="20"/>
          <w:lang w:val="es-ES_tradnl" w:eastAsia="es-ES"/>
        </w:rPr>
      </w:pPr>
    </w:p>
    <w:p w:rsidR="003105B5" w:rsidRPr="00257F00" w:rsidRDefault="0091198E" w:rsidP="003105B5">
      <w:pPr>
        <w:rPr>
          <w:rFonts w:eastAsia="Times New Roman" w:cs="Arial"/>
          <w:szCs w:val="20"/>
          <w:lang w:val="es-ES_tradnl" w:eastAsia="es-ES"/>
        </w:rPr>
      </w:pPr>
      <w:r>
        <w:rPr>
          <w:rFonts w:eastAsia="Times New Roman" w:cs="Arial"/>
          <w:szCs w:val="20"/>
          <w:lang w:val="es-ES_tradnl" w:eastAsia="es-ES"/>
        </w:rPr>
        <w:t>De hecho</w:t>
      </w:r>
      <w:r w:rsidR="003105B5" w:rsidRPr="00257F00">
        <w:rPr>
          <w:rFonts w:eastAsia="Times New Roman" w:cs="Arial"/>
          <w:szCs w:val="20"/>
          <w:lang w:val="es-ES_tradnl" w:eastAsia="es-ES"/>
        </w:rPr>
        <w:t xml:space="preserve">, el sector industrial </w:t>
      </w:r>
      <w:r>
        <w:rPr>
          <w:rFonts w:eastAsia="Times New Roman" w:cs="Arial"/>
          <w:szCs w:val="20"/>
          <w:lang w:val="es-ES_tradnl" w:eastAsia="es-ES"/>
        </w:rPr>
        <w:t xml:space="preserve">destaca por </w:t>
      </w:r>
      <w:r w:rsidR="003105B5" w:rsidRPr="00257F00">
        <w:rPr>
          <w:rFonts w:eastAsia="Times New Roman" w:cs="Arial"/>
          <w:szCs w:val="20"/>
          <w:lang w:val="es-ES_tradnl" w:eastAsia="es-ES"/>
        </w:rPr>
        <w:t>una contracción en sus beneficios</w:t>
      </w:r>
      <w:r>
        <w:rPr>
          <w:rFonts w:eastAsia="Times New Roman" w:cs="Arial"/>
          <w:szCs w:val="20"/>
          <w:lang w:val="es-ES_tradnl" w:eastAsia="es-ES"/>
        </w:rPr>
        <w:t xml:space="preserve">. Mientras </w:t>
      </w:r>
      <w:r w:rsidR="003105B5" w:rsidRPr="00257F00">
        <w:rPr>
          <w:rFonts w:eastAsia="Times New Roman" w:cs="Arial"/>
          <w:szCs w:val="20"/>
          <w:lang w:val="es-ES_tradnl" w:eastAsia="es-ES"/>
        </w:rPr>
        <w:t>en el año 2012</w:t>
      </w:r>
      <w:r>
        <w:rPr>
          <w:rFonts w:eastAsia="Times New Roman" w:cs="Arial"/>
          <w:szCs w:val="20"/>
          <w:lang w:val="es-ES_tradnl" w:eastAsia="es-ES"/>
        </w:rPr>
        <w:t xml:space="preserve">, </w:t>
      </w:r>
      <w:r w:rsidR="003105B5" w:rsidRPr="00257F00">
        <w:rPr>
          <w:rFonts w:eastAsia="Times New Roman" w:cs="Arial"/>
          <w:szCs w:val="20"/>
          <w:lang w:val="es-ES_tradnl" w:eastAsia="es-ES"/>
        </w:rPr>
        <w:t xml:space="preserve">los beneficios industriales se situaban en 113,4 millones de euros, en 2014 </w:t>
      </w:r>
      <w:r>
        <w:rPr>
          <w:rFonts w:eastAsia="Times New Roman" w:cs="Arial"/>
          <w:szCs w:val="20"/>
          <w:lang w:val="es-ES_tradnl" w:eastAsia="es-ES"/>
        </w:rPr>
        <w:t>se reducen a</w:t>
      </w:r>
      <w:r w:rsidR="003105B5" w:rsidRPr="00257F00">
        <w:rPr>
          <w:rFonts w:eastAsia="Times New Roman" w:cs="Arial"/>
          <w:szCs w:val="20"/>
          <w:lang w:val="es-ES_tradnl" w:eastAsia="es-ES"/>
        </w:rPr>
        <w:t xml:space="preserve"> en 99,8 millones de euros. </w:t>
      </w:r>
    </w:p>
    <w:p w:rsidR="003105B5" w:rsidRDefault="003105B5" w:rsidP="003105B5">
      <w:pPr>
        <w:spacing w:line="240" w:lineRule="auto"/>
        <w:rPr>
          <w:rFonts w:eastAsia="Times New Roman" w:cs="Arial"/>
          <w:szCs w:val="20"/>
          <w:lang w:val="es-ES_tradnl" w:eastAsia="es-ES"/>
        </w:rPr>
      </w:pPr>
    </w:p>
    <w:p w:rsidR="003105B5" w:rsidRPr="0091198E" w:rsidRDefault="0091198E" w:rsidP="003105B5">
      <w:pPr>
        <w:spacing w:line="240" w:lineRule="auto"/>
        <w:ind w:left="227" w:hanging="227"/>
        <w:rPr>
          <w:rFonts w:eastAsia="Times New Roman" w:cs="Arial"/>
          <w:b/>
          <w:szCs w:val="20"/>
          <w:lang w:val="es-ES_tradnl" w:eastAsia="es-ES"/>
        </w:rPr>
      </w:pPr>
      <w:r w:rsidRPr="0091198E">
        <w:rPr>
          <w:rFonts w:eastAsia="Times New Roman" w:cs="Arial"/>
          <w:b/>
          <w:szCs w:val="20"/>
          <w:lang w:val="es-ES_tradnl" w:eastAsia="es-ES"/>
        </w:rPr>
        <w:t xml:space="preserve">Una evolución sectorial asimétrica de los Fondos </w:t>
      </w:r>
      <w:r>
        <w:rPr>
          <w:rFonts w:eastAsia="Times New Roman" w:cs="Arial"/>
          <w:b/>
          <w:szCs w:val="20"/>
          <w:lang w:val="es-ES_tradnl" w:eastAsia="es-ES"/>
        </w:rPr>
        <w:t>Propios de la Economía Social</w:t>
      </w:r>
      <w:r w:rsidRPr="0091198E">
        <w:rPr>
          <w:rFonts w:eastAsia="Times New Roman" w:cs="Arial"/>
          <w:b/>
          <w:szCs w:val="20"/>
          <w:lang w:val="es-ES_tradnl" w:eastAsia="es-ES"/>
        </w:rPr>
        <w:t xml:space="preserve"> </w:t>
      </w:r>
    </w:p>
    <w:p w:rsidR="0091198E" w:rsidRPr="00257F00" w:rsidRDefault="0091198E" w:rsidP="003105B5">
      <w:pPr>
        <w:spacing w:line="240" w:lineRule="auto"/>
        <w:ind w:left="227" w:hanging="227"/>
        <w:rPr>
          <w:rFonts w:eastAsia="Times New Roman" w:cs="Arial"/>
          <w:szCs w:val="20"/>
          <w:lang w:val="es-ES_tradnl" w:eastAsia="es-ES"/>
        </w:rPr>
      </w:pPr>
    </w:p>
    <w:p w:rsidR="003105B5" w:rsidRPr="00257F00" w:rsidRDefault="003105B5" w:rsidP="003105B5">
      <w:pPr>
        <w:rPr>
          <w:rFonts w:eastAsia="Times New Roman" w:cs="Arial"/>
          <w:szCs w:val="20"/>
          <w:lang w:val="es-ES_tradnl" w:eastAsia="es-ES"/>
        </w:rPr>
      </w:pPr>
      <w:r w:rsidRPr="00257F00">
        <w:rPr>
          <w:rFonts w:eastAsia="Times New Roman" w:cs="Arial"/>
          <w:szCs w:val="20"/>
          <w:lang w:val="es-ES_tradnl" w:eastAsia="es-ES"/>
        </w:rPr>
        <w:t xml:space="preserve">La </w:t>
      </w:r>
      <w:r w:rsidR="0091198E">
        <w:rPr>
          <w:rFonts w:eastAsia="Times New Roman" w:cs="Arial"/>
          <w:szCs w:val="20"/>
          <w:lang w:val="es-ES_tradnl" w:eastAsia="es-ES"/>
        </w:rPr>
        <w:t xml:space="preserve">marcha </w:t>
      </w:r>
      <w:r w:rsidRPr="00257F00">
        <w:rPr>
          <w:rFonts w:eastAsia="Times New Roman" w:cs="Arial"/>
          <w:szCs w:val="20"/>
          <w:lang w:val="es-ES_tradnl" w:eastAsia="es-ES"/>
        </w:rPr>
        <w:t xml:space="preserve">de los resultados, con un descenso </w:t>
      </w:r>
      <w:r w:rsidR="0091198E">
        <w:rPr>
          <w:rFonts w:eastAsia="Times New Roman" w:cs="Arial"/>
          <w:szCs w:val="20"/>
          <w:lang w:val="es-ES_tradnl" w:eastAsia="es-ES"/>
        </w:rPr>
        <w:t xml:space="preserve">de los </w:t>
      </w:r>
      <w:r w:rsidRPr="00257F00">
        <w:rPr>
          <w:rFonts w:eastAsia="Times New Roman" w:cs="Arial"/>
          <w:szCs w:val="20"/>
          <w:lang w:val="es-ES_tradnl" w:eastAsia="es-ES"/>
        </w:rPr>
        <w:t xml:space="preserve">beneficios </w:t>
      </w:r>
      <w:r w:rsidR="0091198E">
        <w:rPr>
          <w:rFonts w:eastAsia="Times New Roman" w:cs="Arial"/>
          <w:szCs w:val="20"/>
          <w:lang w:val="es-ES_tradnl" w:eastAsia="es-ES"/>
        </w:rPr>
        <w:t xml:space="preserve">en el sector industrial y pérdidas en los servicios, aunque en clara línea descendente, </w:t>
      </w:r>
      <w:r w:rsidRPr="00257F00">
        <w:rPr>
          <w:rFonts w:eastAsia="Times New Roman" w:cs="Arial"/>
          <w:szCs w:val="20"/>
          <w:lang w:val="es-ES_tradnl" w:eastAsia="es-ES"/>
        </w:rPr>
        <w:t xml:space="preserve">incide de forma asimétrica sobre la magnitud de los fondos propios. </w:t>
      </w:r>
    </w:p>
    <w:p w:rsidR="003105B5" w:rsidRPr="00257F00" w:rsidRDefault="003105B5" w:rsidP="003105B5">
      <w:pPr>
        <w:spacing w:line="240" w:lineRule="auto"/>
        <w:ind w:left="426"/>
        <w:rPr>
          <w:rFonts w:eastAsia="Times New Roman" w:cs="Arial"/>
          <w:szCs w:val="20"/>
          <w:lang w:val="es-ES_tradnl" w:eastAsia="es-ES"/>
        </w:rPr>
      </w:pPr>
    </w:p>
    <w:p w:rsidR="003105B5" w:rsidRPr="00867F7A" w:rsidRDefault="0091198E" w:rsidP="003105B5">
      <w:pPr>
        <w:tabs>
          <w:tab w:val="left" w:pos="284"/>
        </w:tabs>
        <w:rPr>
          <w:rFonts w:cs="Arial"/>
        </w:rPr>
      </w:pPr>
      <w:r>
        <w:rPr>
          <w:rFonts w:eastAsia="Times New Roman" w:cs="Arial"/>
          <w:szCs w:val="20"/>
          <w:lang w:val="es-ES_tradnl" w:eastAsia="es-ES"/>
        </w:rPr>
        <w:t xml:space="preserve">Así, en </w:t>
      </w:r>
      <w:r w:rsidR="003105B5" w:rsidRPr="00257F00">
        <w:rPr>
          <w:rFonts w:eastAsia="Times New Roman" w:cs="Arial"/>
          <w:szCs w:val="20"/>
          <w:lang w:val="es-ES_tradnl" w:eastAsia="es-ES"/>
        </w:rPr>
        <w:t>el sector industrial</w:t>
      </w:r>
      <w:r>
        <w:rPr>
          <w:rFonts w:eastAsia="Times New Roman" w:cs="Arial"/>
          <w:szCs w:val="20"/>
          <w:lang w:val="es-ES_tradnl" w:eastAsia="es-ES"/>
        </w:rPr>
        <w:t>,</w:t>
      </w:r>
      <w:r w:rsidR="003105B5" w:rsidRPr="00257F00">
        <w:rPr>
          <w:rFonts w:eastAsia="Times New Roman" w:cs="Arial"/>
          <w:szCs w:val="20"/>
          <w:lang w:val="es-ES_tradnl" w:eastAsia="es-ES"/>
        </w:rPr>
        <w:t xml:space="preserve"> </w:t>
      </w:r>
      <w:r>
        <w:rPr>
          <w:rFonts w:eastAsia="Times New Roman" w:cs="Arial"/>
          <w:szCs w:val="20"/>
          <w:lang w:val="es-ES_tradnl" w:eastAsia="es-ES"/>
        </w:rPr>
        <w:t>los</w:t>
      </w:r>
      <w:r w:rsidR="003105B5" w:rsidRPr="00257F00">
        <w:rPr>
          <w:rFonts w:eastAsia="Times New Roman" w:cs="Arial"/>
          <w:szCs w:val="20"/>
          <w:lang w:val="es-ES_tradnl" w:eastAsia="es-ES"/>
        </w:rPr>
        <w:t xml:space="preserve"> fondos propios </w:t>
      </w:r>
      <w:r>
        <w:rPr>
          <w:rFonts w:eastAsia="Times New Roman" w:cs="Arial"/>
          <w:szCs w:val="20"/>
          <w:lang w:val="es-ES_tradnl" w:eastAsia="es-ES"/>
        </w:rPr>
        <w:t>se reducen</w:t>
      </w:r>
      <w:r w:rsidR="003105B5" w:rsidRPr="00257F00">
        <w:rPr>
          <w:rFonts w:eastAsia="Times New Roman" w:cs="Arial"/>
          <w:szCs w:val="20"/>
          <w:lang w:val="es-ES_tradnl" w:eastAsia="es-ES"/>
        </w:rPr>
        <w:t xml:space="preserve"> </w:t>
      </w:r>
      <w:r>
        <w:rPr>
          <w:rFonts w:eastAsia="Times New Roman" w:cs="Arial"/>
          <w:szCs w:val="20"/>
          <w:lang w:val="es-ES_tradnl" w:eastAsia="es-ES"/>
        </w:rPr>
        <w:t>en</w:t>
      </w:r>
      <w:r w:rsidR="003105B5" w:rsidRPr="00257F00">
        <w:rPr>
          <w:rFonts w:eastAsia="Times New Roman" w:cs="Arial"/>
          <w:szCs w:val="20"/>
          <w:lang w:val="es-ES_tradnl" w:eastAsia="es-ES"/>
        </w:rPr>
        <w:t xml:space="preserve"> 315,4 millones de euros, en una proporción semejante a la caída en los beneficios </w:t>
      </w:r>
      <w:r>
        <w:rPr>
          <w:rFonts w:eastAsia="Times New Roman" w:cs="Arial"/>
          <w:szCs w:val="20"/>
          <w:lang w:val="es-ES_tradnl" w:eastAsia="es-ES"/>
        </w:rPr>
        <w:t xml:space="preserve">(-13%). En cambio, </w:t>
      </w:r>
      <w:r w:rsidR="003105B5" w:rsidRPr="00257F00">
        <w:rPr>
          <w:rFonts w:eastAsia="Times New Roman" w:cs="Arial"/>
          <w:szCs w:val="20"/>
          <w:lang w:val="es-ES_tradnl" w:eastAsia="es-ES"/>
        </w:rPr>
        <w:t>el sector servicios mejora la dotación en recursos propios en un 7,4% (237,9 millones de euros)</w:t>
      </w:r>
      <w:r>
        <w:rPr>
          <w:rFonts w:eastAsia="Times New Roman" w:cs="Arial"/>
          <w:szCs w:val="20"/>
          <w:lang w:val="es-ES_tradnl" w:eastAsia="es-ES"/>
        </w:rPr>
        <w:t xml:space="preserve">, una dinámica que se vincula </w:t>
      </w:r>
      <w:r w:rsidR="003105B5">
        <w:rPr>
          <w:rFonts w:cs="Arial"/>
        </w:rPr>
        <w:t xml:space="preserve">en buena medida </w:t>
      </w:r>
      <w:r>
        <w:rPr>
          <w:rFonts w:cs="Arial"/>
        </w:rPr>
        <w:t>a la mejor evolución de los</w:t>
      </w:r>
      <w:r w:rsidR="003105B5">
        <w:rPr>
          <w:rFonts w:cs="Arial"/>
        </w:rPr>
        <w:t xml:space="preserve"> beneficios </w:t>
      </w:r>
      <w:r>
        <w:rPr>
          <w:rFonts w:cs="Arial"/>
        </w:rPr>
        <w:t xml:space="preserve">en </w:t>
      </w:r>
      <w:r w:rsidR="003105B5">
        <w:rPr>
          <w:rFonts w:cs="Arial"/>
        </w:rPr>
        <w:t xml:space="preserve">las entidades financieras. </w:t>
      </w:r>
    </w:p>
    <w:p w:rsidR="003105B5" w:rsidRPr="00383359" w:rsidRDefault="003105B5" w:rsidP="003105B5">
      <w:pPr>
        <w:spacing w:line="240" w:lineRule="auto"/>
        <w:ind w:left="227" w:hanging="227"/>
        <w:rPr>
          <w:rFonts w:cs="Arial"/>
        </w:rPr>
      </w:pPr>
    </w:p>
    <w:p w:rsidR="003105B5" w:rsidRPr="00D74FED" w:rsidRDefault="003105B5" w:rsidP="003105B5">
      <w:pPr>
        <w:rPr>
          <w:rFonts w:cs="Arial"/>
          <w:lang w:val="es-ES_tradnl"/>
        </w:rPr>
      </w:pPr>
      <w:r>
        <w:rPr>
          <w:rFonts w:cs="Arial"/>
          <w:lang w:val="es-ES_tradnl"/>
        </w:rPr>
        <w:t>L</w:t>
      </w:r>
      <w:r w:rsidR="0091198E">
        <w:rPr>
          <w:rFonts w:cs="Arial"/>
          <w:lang w:val="es-ES_tradnl"/>
        </w:rPr>
        <w:t xml:space="preserve">as distintas tendencias sectoriales se compensan de forma que </w:t>
      </w:r>
      <w:r>
        <w:rPr>
          <w:rFonts w:cs="Arial"/>
          <w:lang w:val="es-ES_tradnl"/>
        </w:rPr>
        <w:t xml:space="preserve">el nivel de fondos propios de la Economía Social se </w:t>
      </w:r>
      <w:r w:rsidR="0091198E">
        <w:rPr>
          <w:rFonts w:cs="Arial"/>
          <w:lang w:val="es-ES_tradnl"/>
        </w:rPr>
        <w:t xml:space="preserve">mantiene relativamente </w:t>
      </w:r>
      <w:r>
        <w:rPr>
          <w:rFonts w:cs="Arial"/>
          <w:lang w:val="es-ES_tradnl"/>
        </w:rPr>
        <w:t>estable, con una reducción de apenas un 1,5%, que deja un nivel de fondos propios conjunto de 5.628</w:t>
      </w:r>
      <w:r w:rsidR="0091198E">
        <w:rPr>
          <w:rFonts w:cs="Arial"/>
          <w:lang w:val="es-ES_tradnl"/>
        </w:rPr>
        <w:t>,9</w:t>
      </w:r>
      <w:r>
        <w:rPr>
          <w:rFonts w:cs="Arial"/>
          <w:lang w:val="es-ES_tradnl"/>
        </w:rPr>
        <w:t xml:space="preserve"> millones de euros</w:t>
      </w:r>
      <w:r w:rsidR="0091198E">
        <w:rPr>
          <w:rFonts w:cs="Arial"/>
          <w:lang w:val="es-ES_tradnl"/>
        </w:rPr>
        <w:t xml:space="preserve"> en 2014</w:t>
      </w:r>
      <w:r>
        <w:rPr>
          <w:rFonts w:cs="Arial"/>
          <w:lang w:val="es-ES_tradnl"/>
        </w:rPr>
        <w:t xml:space="preserve">. </w:t>
      </w:r>
    </w:p>
    <w:p w:rsidR="003105B5" w:rsidRDefault="003105B5" w:rsidP="003105B5">
      <w:pPr>
        <w:spacing w:line="240" w:lineRule="auto"/>
        <w:ind w:left="227" w:hanging="227"/>
        <w:jc w:val="left"/>
        <w:rPr>
          <w:rFonts w:eastAsia="Times New Roman" w:cs="Arial"/>
          <w:snapToGrid w:val="0"/>
          <w:szCs w:val="20"/>
          <w:lang w:val="es-ES_tradnl" w:eastAsia="es-ES"/>
        </w:rPr>
      </w:pPr>
    </w:p>
    <w:p w:rsidR="0091198E" w:rsidRDefault="0091198E" w:rsidP="003105B5">
      <w:pPr>
        <w:spacing w:line="240" w:lineRule="auto"/>
        <w:ind w:left="227" w:hanging="227"/>
        <w:jc w:val="left"/>
        <w:rPr>
          <w:rFonts w:eastAsia="Times New Roman" w:cs="Arial"/>
          <w:snapToGrid w:val="0"/>
          <w:szCs w:val="20"/>
          <w:lang w:val="es-ES_tradnl" w:eastAsia="es-ES"/>
        </w:rPr>
      </w:pPr>
    </w:p>
    <w:p w:rsidR="003105B5" w:rsidRPr="00E95A1F" w:rsidRDefault="003105B5" w:rsidP="003105B5">
      <w:pPr>
        <w:widowControl w:val="0"/>
        <w:spacing w:line="240" w:lineRule="auto"/>
        <w:jc w:val="center"/>
        <w:rPr>
          <w:rFonts w:cs="Arial"/>
          <w:b/>
          <w:color w:val="1F497D" w:themeColor="text2"/>
          <w:sz w:val="18"/>
          <w:szCs w:val="18"/>
        </w:rPr>
      </w:pPr>
      <w:r w:rsidRPr="00E95A1F">
        <w:rPr>
          <w:rFonts w:cs="Arial"/>
          <w:b/>
          <w:color w:val="1F497D" w:themeColor="text2"/>
          <w:sz w:val="18"/>
          <w:szCs w:val="18"/>
        </w:rPr>
        <w:t>DISTRIBUCIÓN SECTORIAL DE LOS FONDOS PRO</w:t>
      </w:r>
      <w:r>
        <w:rPr>
          <w:rFonts w:cs="Arial"/>
          <w:b/>
          <w:color w:val="1F497D" w:themeColor="text2"/>
          <w:sz w:val="18"/>
          <w:szCs w:val="18"/>
        </w:rPr>
        <w:t xml:space="preserve">PIOS DE LA ECONOMÍA SOCIAL. 2012 y 2014 </w:t>
      </w:r>
      <w:r w:rsidRPr="00E95A1F">
        <w:rPr>
          <w:rFonts w:cs="Arial"/>
          <w:b/>
          <w:color w:val="1F497D" w:themeColor="text2"/>
          <w:sz w:val="18"/>
          <w:szCs w:val="18"/>
        </w:rPr>
        <w:t xml:space="preserve"> (</w:t>
      </w:r>
      <w:r>
        <w:rPr>
          <w:rFonts w:cs="Arial"/>
          <w:b/>
          <w:color w:val="1F497D" w:themeColor="text2"/>
          <w:sz w:val="18"/>
          <w:szCs w:val="18"/>
        </w:rPr>
        <w:t>cifras absolutas y % verticales</w:t>
      </w:r>
      <w:r w:rsidRPr="00E95A1F">
        <w:rPr>
          <w:rFonts w:cs="Arial"/>
          <w:b/>
          <w:color w:val="1F497D" w:themeColor="text2"/>
          <w:sz w:val="18"/>
          <w:szCs w:val="18"/>
        </w:rPr>
        <w:t>)</w:t>
      </w:r>
    </w:p>
    <w:tbl>
      <w:tblPr>
        <w:tblW w:w="5000" w:type="pct"/>
        <w:jc w:val="center"/>
        <w:tblCellMar>
          <w:left w:w="70" w:type="dxa"/>
          <w:right w:w="70" w:type="dxa"/>
        </w:tblCellMar>
        <w:tblLook w:val="04A0" w:firstRow="1" w:lastRow="0" w:firstColumn="1" w:lastColumn="0" w:noHBand="0" w:noVBand="1"/>
      </w:tblPr>
      <w:tblGrid>
        <w:gridCol w:w="1925"/>
        <w:gridCol w:w="1971"/>
        <w:gridCol w:w="1355"/>
        <w:gridCol w:w="2698"/>
        <w:gridCol w:w="979"/>
      </w:tblGrid>
      <w:tr w:rsidR="003105B5" w:rsidRPr="00CF51A3" w:rsidTr="00AF3C20">
        <w:trPr>
          <w:jc w:val="center"/>
        </w:trPr>
        <w:tc>
          <w:tcPr>
            <w:tcW w:w="1078" w:type="pct"/>
            <w:tcBorders>
              <w:top w:val="single" w:sz="8" w:space="0" w:color="BFBFBF"/>
              <w:left w:val="nil"/>
              <w:bottom w:val="nil"/>
              <w:right w:val="single" w:sz="8" w:space="0" w:color="BFBFBF"/>
            </w:tcBorders>
            <w:shd w:val="clear" w:color="000000" w:fill="DBE5F1"/>
            <w:hideMark/>
          </w:tcPr>
          <w:p w:rsidR="003105B5" w:rsidRPr="00CF51A3" w:rsidRDefault="003105B5" w:rsidP="00626CD4">
            <w:pPr>
              <w:widowControl w:val="0"/>
              <w:spacing w:line="240" w:lineRule="exact"/>
              <w:rPr>
                <w:rFonts w:ascii="Calibri" w:hAnsi="Calibri"/>
                <w:color w:val="000000"/>
              </w:rPr>
            </w:pPr>
            <w:r w:rsidRPr="00CF51A3">
              <w:rPr>
                <w:rFonts w:ascii="Calibri" w:hAnsi="Calibri"/>
                <w:color w:val="000000"/>
              </w:rPr>
              <w:t> </w:t>
            </w:r>
          </w:p>
        </w:tc>
        <w:tc>
          <w:tcPr>
            <w:tcW w:w="1863" w:type="pct"/>
            <w:gridSpan w:val="2"/>
            <w:tcBorders>
              <w:top w:val="single" w:sz="8" w:space="0" w:color="BFBFBF"/>
              <w:left w:val="nil"/>
              <w:bottom w:val="single" w:sz="8" w:space="0" w:color="BFBFBF"/>
              <w:right w:val="single" w:sz="8" w:space="0" w:color="BFBFBF"/>
            </w:tcBorders>
            <w:shd w:val="clear" w:color="000000" w:fill="DBE5F1"/>
            <w:hideMark/>
          </w:tcPr>
          <w:p w:rsidR="003105B5" w:rsidRPr="00CF51A3" w:rsidRDefault="003105B5" w:rsidP="00626CD4">
            <w:pPr>
              <w:widowControl w:val="0"/>
              <w:spacing w:line="240" w:lineRule="exact"/>
              <w:jc w:val="center"/>
              <w:rPr>
                <w:rFonts w:cs="Arial"/>
                <w:b/>
                <w:bCs/>
                <w:color w:val="000000"/>
                <w:sz w:val="16"/>
                <w:szCs w:val="16"/>
              </w:rPr>
            </w:pPr>
            <w:r w:rsidRPr="00CF51A3">
              <w:rPr>
                <w:rFonts w:cs="Arial"/>
                <w:b/>
                <w:bCs/>
                <w:color w:val="000000"/>
                <w:sz w:val="16"/>
                <w:szCs w:val="16"/>
              </w:rPr>
              <w:t>201</w:t>
            </w:r>
            <w:r>
              <w:rPr>
                <w:rFonts w:cs="Arial"/>
                <w:b/>
                <w:bCs/>
                <w:color w:val="000000"/>
                <w:sz w:val="16"/>
                <w:szCs w:val="16"/>
              </w:rPr>
              <w:t>2</w:t>
            </w:r>
          </w:p>
        </w:tc>
        <w:tc>
          <w:tcPr>
            <w:tcW w:w="2059" w:type="pct"/>
            <w:gridSpan w:val="2"/>
            <w:tcBorders>
              <w:top w:val="single" w:sz="8" w:space="0" w:color="BFBFBF"/>
              <w:left w:val="nil"/>
              <w:bottom w:val="single" w:sz="8" w:space="0" w:color="BFBFBF"/>
              <w:right w:val="nil"/>
            </w:tcBorders>
            <w:shd w:val="clear" w:color="000000" w:fill="DBE5F1"/>
            <w:hideMark/>
          </w:tcPr>
          <w:p w:rsidR="003105B5" w:rsidRPr="00CF51A3" w:rsidRDefault="003105B5" w:rsidP="00626CD4">
            <w:pPr>
              <w:widowControl w:val="0"/>
              <w:spacing w:line="240" w:lineRule="exact"/>
              <w:jc w:val="center"/>
              <w:rPr>
                <w:rFonts w:cs="Arial"/>
                <w:b/>
                <w:bCs/>
                <w:color w:val="000000"/>
                <w:sz w:val="16"/>
                <w:szCs w:val="16"/>
              </w:rPr>
            </w:pPr>
            <w:r w:rsidRPr="00CF51A3">
              <w:rPr>
                <w:rFonts w:cs="Arial"/>
                <w:b/>
                <w:bCs/>
                <w:color w:val="000000"/>
                <w:sz w:val="16"/>
                <w:szCs w:val="16"/>
              </w:rPr>
              <w:t>201</w:t>
            </w:r>
            <w:r>
              <w:rPr>
                <w:rFonts w:cs="Arial"/>
                <w:b/>
                <w:bCs/>
                <w:color w:val="000000"/>
                <w:sz w:val="16"/>
                <w:szCs w:val="16"/>
              </w:rPr>
              <w:t>4</w:t>
            </w:r>
          </w:p>
        </w:tc>
      </w:tr>
      <w:tr w:rsidR="003105B5" w:rsidRPr="00CF51A3" w:rsidTr="00AF3C20">
        <w:trPr>
          <w:jc w:val="center"/>
        </w:trPr>
        <w:tc>
          <w:tcPr>
            <w:tcW w:w="1078" w:type="pct"/>
            <w:tcBorders>
              <w:top w:val="nil"/>
              <w:left w:val="nil"/>
              <w:bottom w:val="single" w:sz="8" w:space="0" w:color="BFBFBF"/>
              <w:right w:val="single" w:sz="8" w:space="0" w:color="BFBFBF"/>
            </w:tcBorders>
            <w:shd w:val="clear" w:color="000000" w:fill="DBE5F1"/>
            <w:hideMark/>
          </w:tcPr>
          <w:p w:rsidR="003105B5" w:rsidRPr="00CF51A3" w:rsidRDefault="003105B5" w:rsidP="00626CD4">
            <w:pPr>
              <w:widowControl w:val="0"/>
              <w:spacing w:line="240" w:lineRule="exact"/>
              <w:rPr>
                <w:rFonts w:ascii="Calibri" w:hAnsi="Calibri"/>
                <w:color w:val="000000"/>
              </w:rPr>
            </w:pPr>
            <w:r w:rsidRPr="00CF51A3">
              <w:rPr>
                <w:rFonts w:ascii="Calibri" w:hAnsi="Calibri"/>
                <w:color w:val="000000"/>
              </w:rPr>
              <w:t> </w:t>
            </w:r>
          </w:p>
        </w:tc>
        <w:tc>
          <w:tcPr>
            <w:tcW w:w="1104" w:type="pct"/>
            <w:tcBorders>
              <w:top w:val="nil"/>
              <w:left w:val="nil"/>
              <w:bottom w:val="single" w:sz="8" w:space="0" w:color="BFBFBF"/>
              <w:right w:val="nil"/>
            </w:tcBorders>
            <w:shd w:val="clear" w:color="000000" w:fill="DBE5F1"/>
            <w:hideMark/>
          </w:tcPr>
          <w:p w:rsidR="003105B5" w:rsidRPr="00CF51A3" w:rsidRDefault="003105B5" w:rsidP="00626CD4">
            <w:pPr>
              <w:widowControl w:val="0"/>
              <w:spacing w:line="240" w:lineRule="exact"/>
              <w:jc w:val="center"/>
              <w:rPr>
                <w:rFonts w:cs="Arial"/>
                <w:b/>
                <w:bCs/>
                <w:color w:val="000000"/>
                <w:sz w:val="16"/>
                <w:szCs w:val="16"/>
              </w:rPr>
            </w:pPr>
            <w:r w:rsidRPr="00CF51A3">
              <w:rPr>
                <w:rFonts w:cs="Arial"/>
                <w:b/>
                <w:bCs/>
                <w:color w:val="000000"/>
                <w:sz w:val="16"/>
                <w:szCs w:val="16"/>
              </w:rPr>
              <w:t>Euros</w:t>
            </w:r>
          </w:p>
        </w:tc>
        <w:tc>
          <w:tcPr>
            <w:tcW w:w="759" w:type="pct"/>
            <w:tcBorders>
              <w:top w:val="nil"/>
              <w:left w:val="nil"/>
              <w:bottom w:val="single" w:sz="8" w:space="0" w:color="BFBFBF"/>
              <w:right w:val="single" w:sz="8" w:space="0" w:color="BFBFBF"/>
            </w:tcBorders>
            <w:shd w:val="clear" w:color="000000" w:fill="DBE5F1"/>
            <w:hideMark/>
          </w:tcPr>
          <w:p w:rsidR="003105B5" w:rsidRPr="00CF51A3" w:rsidRDefault="003105B5" w:rsidP="00626CD4">
            <w:pPr>
              <w:widowControl w:val="0"/>
              <w:spacing w:line="240" w:lineRule="exact"/>
              <w:jc w:val="center"/>
              <w:rPr>
                <w:rFonts w:cs="Arial"/>
                <w:b/>
                <w:bCs/>
                <w:color w:val="000000"/>
                <w:sz w:val="16"/>
                <w:szCs w:val="16"/>
              </w:rPr>
            </w:pPr>
            <w:r>
              <w:rPr>
                <w:rFonts w:cs="Arial"/>
                <w:b/>
                <w:bCs/>
                <w:color w:val="000000"/>
                <w:sz w:val="16"/>
                <w:szCs w:val="16"/>
              </w:rPr>
              <w:t>% ver.</w:t>
            </w:r>
          </w:p>
        </w:tc>
        <w:tc>
          <w:tcPr>
            <w:tcW w:w="1511" w:type="pct"/>
            <w:tcBorders>
              <w:top w:val="nil"/>
              <w:left w:val="nil"/>
              <w:bottom w:val="single" w:sz="8" w:space="0" w:color="BFBFBF"/>
              <w:right w:val="nil"/>
            </w:tcBorders>
            <w:shd w:val="clear" w:color="000000" w:fill="DBE5F1"/>
            <w:hideMark/>
          </w:tcPr>
          <w:p w:rsidR="003105B5" w:rsidRPr="00CF51A3" w:rsidRDefault="003105B5" w:rsidP="00626CD4">
            <w:pPr>
              <w:widowControl w:val="0"/>
              <w:spacing w:line="240" w:lineRule="exact"/>
              <w:jc w:val="center"/>
              <w:rPr>
                <w:rFonts w:cs="Arial"/>
                <w:b/>
                <w:bCs/>
                <w:color w:val="000000"/>
                <w:sz w:val="16"/>
                <w:szCs w:val="16"/>
              </w:rPr>
            </w:pPr>
            <w:r w:rsidRPr="00CF51A3">
              <w:rPr>
                <w:rFonts w:cs="Arial"/>
                <w:b/>
                <w:bCs/>
                <w:color w:val="000000"/>
                <w:sz w:val="16"/>
                <w:szCs w:val="16"/>
              </w:rPr>
              <w:t>Euros</w:t>
            </w:r>
          </w:p>
        </w:tc>
        <w:tc>
          <w:tcPr>
            <w:tcW w:w="548" w:type="pct"/>
            <w:tcBorders>
              <w:top w:val="nil"/>
              <w:left w:val="nil"/>
              <w:bottom w:val="single" w:sz="8" w:space="0" w:color="BFBFBF"/>
              <w:right w:val="nil"/>
            </w:tcBorders>
            <w:shd w:val="clear" w:color="000000" w:fill="DBE5F1"/>
            <w:hideMark/>
          </w:tcPr>
          <w:p w:rsidR="003105B5" w:rsidRPr="00CF51A3" w:rsidRDefault="003105B5" w:rsidP="00626CD4">
            <w:pPr>
              <w:widowControl w:val="0"/>
              <w:spacing w:line="240" w:lineRule="exact"/>
              <w:jc w:val="center"/>
              <w:rPr>
                <w:rFonts w:cs="Arial"/>
                <w:b/>
                <w:bCs/>
                <w:color w:val="000000"/>
                <w:sz w:val="16"/>
                <w:szCs w:val="16"/>
              </w:rPr>
            </w:pPr>
            <w:r>
              <w:rPr>
                <w:rFonts w:cs="Arial"/>
                <w:b/>
                <w:bCs/>
                <w:color w:val="000000"/>
                <w:sz w:val="16"/>
                <w:szCs w:val="16"/>
              </w:rPr>
              <w:t>% ver.</w:t>
            </w:r>
          </w:p>
        </w:tc>
      </w:tr>
      <w:tr w:rsidR="003105B5" w:rsidRPr="00CF51A3" w:rsidTr="00AF3C20">
        <w:trPr>
          <w:jc w:val="center"/>
        </w:trPr>
        <w:tc>
          <w:tcPr>
            <w:tcW w:w="1078" w:type="pct"/>
            <w:tcBorders>
              <w:top w:val="nil"/>
              <w:left w:val="nil"/>
              <w:bottom w:val="nil"/>
              <w:right w:val="single" w:sz="8" w:space="0" w:color="BFBFBF"/>
            </w:tcBorders>
            <w:shd w:val="clear" w:color="auto" w:fill="auto"/>
            <w:noWrap/>
            <w:hideMark/>
          </w:tcPr>
          <w:p w:rsidR="003105B5" w:rsidRPr="00CF51A3" w:rsidRDefault="003105B5" w:rsidP="00626CD4">
            <w:pPr>
              <w:widowControl w:val="0"/>
              <w:spacing w:line="240" w:lineRule="exact"/>
              <w:rPr>
                <w:rFonts w:cs="Arial"/>
                <w:color w:val="000000"/>
                <w:sz w:val="16"/>
                <w:szCs w:val="16"/>
              </w:rPr>
            </w:pPr>
            <w:r w:rsidRPr="00CF51A3">
              <w:rPr>
                <w:rFonts w:cs="Arial"/>
                <w:color w:val="000000"/>
                <w:sz w:val="16"/>
                <w:szCs w:val="16"/>
              </w:rPr>
              <w:t>Primario</w:t>
            </w:r>
          </w:p>
        </w:tc>
        <w:tc>
          <w:tcPr>
            <w:tcW w:w="1104" w:type="pct"/>
            <w:tcBorders>
              <w:top w:val="nil"/>
              <w:left w:val="nil"/>
              <w:bottom w:val="nil"/>
              <w:right w:val="nil"/>
            </w:tcBorders>
            <w:shd w:val="clear" w:color="auto" w:fill="auto"/>
            <w:noWrap/>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6.219.052</w:t>
            </w:r>
          </w:p>
        </w:tc>
        <w:tc>
          <w:tcPr>
            <w:tcW w:w="759" w:type="pct"/>
            <w:tcBorders>
              <w:top w:val="nil"/>
              <w:left w:val="nil"/>
              <w:bottom w:val="nil"/>
              <w:right w:val="single" w:sz="8" w:space="0" w:color="BFBFBF"/>
            </w:tcBorders>
            <w:shd w:val="clear" w:color="auto" w:fill="auto"/>
            <w:hideMark/>
          </w:tcPr>
          <w:p w:rsidR="003105B5" w:rsidRPr="00CF51A3" w:rsidRDefault="003105B5" w:rsidP="00626CD4">
            <w:pPr>
              <w:widowControl w:val="0"/>
              <w:spacing w:line="240" w:lineRule="exact"/>
              <w:ind w:right="170"/>
              <w:jc w:val="right"/>
              <w:rPr>
                <w:rFonts w:cs="Arial"/>
                <w:color w:val="000000"/>
                <w:sz w:val="16"/>
                <w:szCs w:val="16"/>
              </w:rPr>
            </w:pPr>
            <w:r w:rsidRPr="00CF51A3">
              <w:rPr>
                <w:rFonts w:cs="Arial"/>
                <w:color w:val="000000"/>
                <w:sz w:val="16"/>
                <w:szCs w:val="16"/>
              </w:rPr>
              <w:t>0,1</w:t>
            </w:r>
          </w:p>
        </w:tc>
        <w:tc>
          <w:tcPr>
            <w:tcW w:w="1511" w:type="pct"/>
            <w:tcBorders>
              <w:top w:val="nil"/>
              <w:left w:val="nil"/>
              <w:bottom w:val="nil"/>
              <w:right w:val="nil"/>
            </w:tcBorders>
            <w:shd w:val="clear" w:color="auto" w:fill="auto"/>
            <w:noWrap/>
            <w:vAlign w:val="bottom"/>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7.002.011</w:t>
            </w:r>
          </w:p>
        </w:tc>
        <w:tc>
          <w:tcPr>
            <w:tcW w:w="548" w:type="pct"/>
            <w:tcBorders>
              <w:top w:val="nil"/>
              <w:left w:val="nil"/>
              <w:bottom w:val="nil"/>
              <w:right w:val="nil"/>
            </w:tcBorders>
            <w:shd w:val="clear" w:color="auto" w:fill="auto"/>
            <w:vAlign w:val="bottom"/>
            <w:hideMark/>
          </w:tcPr>
          <w:p w:rsidR="003105B5" w:rsidRPr="00327E77" w:rsidRDefault="003105B5" w:rsidP="00626CD4">
            <w:pPr>
              <w:widowControl w:val="0"/>
              <w:spacing w:line="240" w:lineRule="exact"/>
              <w:ind w:right="170"/>
              <w:jc w:val="right"/>
              <w:rPr>
                <w:rFonts w:cs="Arial"/>
                <w:color w:val="000000"/>
                <w:sz w:val="16"/>
                <w:szCs w:val="16"/>
              </w:rPr>
            </w:pPr>
            <w:r w:rsidRPr="00327E77">
              <w:rPr>
                <w:rFonts w:cs="Arial"/>
                <w:color w:val="000000"/>
                <w:sz w:val="16"/>
                <w:szCs w:val="16"/>
              </w:rPr>
              <w:t>0,1</w:t>
            </w:r>
          </w:p>
        </w:tc>
      </w:tr>
      <w:tr w:rsidR="003105B5" w:rsidRPr="00CF51A3" w:rsidTr="00AF3C20">
        <w:trPr>
          <w:jc w:val="center"/>
        </w:trPr>
        <w:tc>
          <w:tcPr>
            <w:tcW w:w="1078" w:type="pct"/>
            <w:tcBorders>
              <w:top w:val="nil"/>
              <w:left w:val="nil"/>
              <w:bottom w:val="nil"/>
              <w:right w:val="single" w:sz="8" w:space="0" w:color="BFBFBF"/>
            </w:tcBorders>
            <w:shd w:val="clear" w:color="auto" w:fill="auto"/>
            <w:hideMark/>
          </w:tcPr>
          <w:p w:rsidR="003105B5" w:rsidRPr="00CF51A3" w:rsidRDefault="003105B5" w:rsidP="00626CD4">
            <w:pPr>
              <w:widowControl w:val="0"/>
              <w:spacing w:line="240" w:lineRule="exact"/>
              <w:rPr>
                <w:rFonts w:cs="Arial"/>
                <w:color w:val="000000"/>
                <w:sz w:val="16"/>
                <w:szCs w:val="16"/>
              </w:rPr>
            </w:pPr>
            <w:r w:rsidRPr="00CF51A3">
              <w:rPr>
                <w:rFonts w:cs="Arial"/>
                <w:color w:val="000000"/>
                <w:sz w:val="16"/>
                <w:szCs w:val="16"/>
              </w:rPr>
              <w:t xml:space="preserve">Industria </w:t>
            </w:r>
          </w:p>
        </w:tc>
        <w:tc>
          <w:tcPr>
            <w:tcW w:w="1104" w:type="pct"/>
            <w:tcBorders>
              <w:top w:val="nil"/>
              <w:left w:val="nil"/>
              <w:bottom w:val="nil"/>
              <w:right w:val="nil"/>
            </w:tcBorders>
            <w:shd w:val="clear" w:color="auto" w:fill="auto"/>
            <w:noWrap/>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2.428.715.928</w:t>
            </w:r>
          </w:p>
        </w:tc>
        <w:tc>
          <w:tcPr>
            <w:tcW w:w="759" w:type="pct"/>
            <w:tcBorders>
              <w:top w:val="nil"/>
              <w:left w:val="nil"/>
              <w:bottom w:val="nil"/>
              <w:right w:val="single" w:sz="8" w:space="0" w:color="BFBFBF"/>
            </w:tcBorders>
            <w:shd w:val="clear" w:color="auto" w:fill="auto"/>
            <w:hideMark/>
          </w:tcPr>
          <w:p w:rsidR="003105B5" w:rsidRPr="00CF51A3" w:rsidRDefault="003105B5" w:rsidP="00626CD4">
            <w:pPr>
              <w:widowControl w:val="0"/>
              <w:spacing w:line="240" w:lineRule="exact"/>
              <w:ind w:right="170"/>
              <w:jc w:val="right"/>
              <w:rPr>
                <w:rFonts w:cs="Arial"/>
                <w:color w:val="000000"/>
                <w:sz w:val="16"/>
                <w:szCs w:val="16"/>
              </w:rPr>
            </w:pPr>
            <w:r w:rsidRPr="00CF51A3">
              <w:rPr>
                <w:rFonts w:cs="Arial"/>
                <w:color w:val="000000"/>
                <w:sz w:val="16"/>
                <w:szCs w:val="16"/>
              </w:rPr>
              <w:t>42,5</w:t>
            </w:r>
          </w:p>
        </w:tc>
        <w:tc>
          <w:tcPr>
            <w:tcW w:w="1511" w:type="pct"/>
            <w:tcBorders>
              <w:top w:val="nil"/>
              <w:left w:val="nil"/>
              <w:bottom w:val="nil"/>
              <w:right w:val="nil"/>
            </w:tcBorders>
            <w:shd w:val="clear" w:color="auto" w:fill="auto"/>
            <w:noWrap/>
            <w:vAlign w:val="bottom"/>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2.113.335.260</w:t>
            </w:r>
          </w:p>
        </w:tc>
        <w:tc>
          <w:tcPr>
            <w:tcW w:w="548" w:type="pct"/>
            <w:tcBorders>
              <w:top w:val="nil"/>
              <w:left w:val="nil"/>
              <w:bottom w:val="nil"/>
              <w:right w:val="nil"/>
            </w:tcBorders>
            <w:shd w:val="clear" w:color="auto" w:fill="auto"/>
            <w:vAlign w:val="bottom"/>
            <w:hideMark/>
          </w:tcPr>
          <w:p w:rsidR="003105B5" w:rsidRPr="00327E77" w:rsidRDefault="003105B5" w:rsidP="00626CD4">
            <w:pPr>
              <w:widowControl w:val="0"/>
              <w:spacing w:line="240" w:lineRule="exact"/>
              <w:ind w:right="170"/>
              <w:jc w:val="right"/>
              <w:rPr>
                <w:rFonts w:cs="Arial"/>
                <w:color w:val="000000"/>
                <w:sz w:val="16"/>
                <w:szCs w:val="16"/>
              </w:rPr>
            </w:pPr>
            <w:r w:rsidRPr="00327E77">
              <w:rPr>
                <w:rFonts w:cs="Arial"/>
                <w:color w:val="000000"/>
                <w:sz w:val="16"/>
                <w:szCs w:val="16"/>
              </w:rPr>
              <w:t>37,5</w:t>
            </w:r>
          </w:p>
        </w:tc>
      </w:tr>
      <w:tr w:rsidR="003105B5" w:rsidRPr="00CF51A3" w:rsidTr="00AF3C20">
        <w:trPr>
          <w:jc w:val="center"/>
        </w:trPr>
        <w:tc>
          <w:tcPr>
            <w:tcW w:w="1078" w:type="pct"/>
            <w:tcBorders>
              <w:top w:val="nil"/>
              <w:left w:val="nil"/>
              <w:bottom w:val="nil"/>
              <w:right w:val="single" w:sz="8" w:space="0" w:color="BFBFBF"/>
            </w:tcBorders>
            <w:shd w:val="clear" w:color="auto" w:fill="auto"/>
            <w:noWrap/>
            <w:hideMark/>
          </w:tcPr>
          <w:p w:rsidR="003105B5" w:rsidRPr="00CF51A3" w:rsidRDefault="003105B5" w:rsidP="00626CD4">
            <w:pPr>
              <w:widowControl w:val="0"/>
              <w:spacing w:line="240" w:lineRule="exact"/>
              <w:rPr>
                <w:rFonts w:cs="Arial"/>
                <w:color w:val="000000"/>
                <w:sz w:val="16"/>
                <w:szCs w:val="16"/>
              </w:rPr>
            </w:pPr>
            <w:r w:rsidRPr="00CF51A3">
              <w:rPr>
                <w:rFonts w:cs="Arial"/>
                <w:color w:val="000000"/>
                <w:sz w:val="16"/>
                <w:szCs w:val="16"/>
              </w:rPr>
              <w:t>Construcción</w:t>
            </w:r>
          </w:p>
        </w:tc>
        <w:tc>
          <w:tcPr>
            <w:tcW w:w="1104" w:type="pct"/>
            <w:tcBorders>
              <w:top w:val="nil"/>
              <w:left w:val="nil"/>
              <w:right w:val="nil"/>
            </w:tcBorders>
            <w:shd w:val="clear" w:color="auto" w:fill="auto"/>
            <w:noWrap/>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50.949.517</w:t>
            </w:r>
          </w:p>
        </w:tc>
        <w:tc>
          <w:tcPr>
            <w:tcW w:w="759" w:type="pct"/>
            <w:tcBorders>
              <w:top w:val="nil"/>
              <w:left w:val="nil"/>
              <w:bottom w:val="nil"/>
              <w:right w:val="single" w:sz="8" w:space="0" w:color="BFBFBF"/>
            </w:tcBorders>
            <w:shd w:val="clear" w:color="auto" w:fill="auto"/>
            <w:hideMark/>
          </w:tcPr>
          <w:p w:rsidR="003105B5" w:rsidRPr="00CF51A3" w:rsidRDefault="003105B5" w:rsidP="00626CD4">
            <w:pPr>
              <w:widowControl w:val="0"/>
              <w:spacing w:line="240" w:lineRule="exact"/>
              <w:ind w:right="170"/>
              <w:jc w:val="right"/>
              <w:rPr>
                <w:rFonts w:cs="Arial"/>
                <w:color w:val="000000"/>
                <w:sz w:val="16"/>
                <w:szCs w:val="16"/>
              </w:rPr>
            </w:pPr>
            <w:r w:rsidRPr="00CF51A3">
              <w:rPr>
                <w:rFonts w:cs="Arial"/>
                <w:color w:val="000000"/>
                <w:sz w:val="16"/>
                <w:szCs w:val="16"/>
              </w:rPr>
              <w:t>0,9</w:t>
            </w:r>
          </w:p>
        </w:tc>
        <w:tc>
          <w:tcPr>
            <w:tcW w:w="1511" w:type="pct"/>
            <w:tcBorders>
              <w:top w:val="nil"/>
              <w:left w:val="nil"/>
              <w:right w:val="nil"/>
            </w:tcBorders>
            <w:shd w:val="clear" w:color="auto" w:fill="auto"/>
            <w:noWrap/>
            <w:vAlign w:val="bottom"/>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43.177.268</w:t>
            </w:r>
          </w:p>
        </w:tc>
        <w:tc>
          <w:tcPr>
            <w:tcW w:w="548" w:type="pct"/>
            <w:tcBorders>
              <w:top w:val="nil"/>
              <w:left w:val="nil"/>
              <w:right w:val="nil"/>
            </w:tcBorders>
            <w:shd w:val="clear" w:color="auto" w:fill="auto"/>
            <w:vAlign w:val="bottom"/>
            <w:hideMark/>
          </w:tcPr>
          <w:p w:rsidR="003105B5" w:rsidRPr="00327E77" w:rsidRDefault="003105B5" w:rsidP="00626CD4">
            <w:pPr>
              <w:widowControl w:val="0"/>
              <w:spacing w:line="240" w:lineRule="exact"/>
              <w:ind w:right="170"/>
              <w:jc w:val="right"/>
              <w:rPr>
                <w:rFonts w:cs="Arial"/>
                <w:color w:val="000000"/>
                <w:sz w:val="16"/>
                <w:szCs w:val="16"/>
              </w:rPr>
            </w:pPr>
            <w:r w:rsidRPr="00327E77">
              <w:rPr>
                <w:rFonts w:cs="Arial"/>
                <w:color w:val="000000"/>
                <w:sz w:val="16"/>
                <w:szCs w:val="16"/>
              </w:rPr>
              <w:t>0,8</w:t>
            </w:r>
          </w:p>
        </w:tc>
      </w:tr>
      <w:tr w:rsidR="003105B5" w:rsidRPr="00CF51A3" w:rsidTr="00AF3C20">
        <w:trPr>
          <w:jc w:val="center"/>
        </w:trPr>
        <w:tc>
          <w:tcPr>
            <w:tcW w:w="1078" w:type="pct"/>
            <w:tcBorders>
              <w:top w:val="nil"/>
              <w:left w:val="nil"/>
              <w:bottom w:val="single" w:sz="8" w:space="0" w:color="BFBFBF"/>
              <w:right w:val="single" w:sz="8" w:space="0" w:color="BFBFBF"/>
            </w:tcBorders>
            <w:shd w:val="clear" w:color="auto" w:fill="auto"/>
            <w:hideMark/>
          </w:tcPr>
          <w:p w:rsidR="003105B5" w:rsidRPr="00CF51A3" w:rsidRDefault="003105B5" w:rsidP="00626CD4">
            <w:pPr>
              <w:widowControl w:val="0"/>
              <w:spacing w:line="240" w:lineRule="exact"/>
              <w:rPr>
                <w:rFonts w:cs="Arial"/>
                <w:color w:val="000000"/>
                <w:sz w:val="16"/>
                <w:szCs w:val="16"/>
              </w:rPr>
            </w:pPr>
            <w:r w:rsidRPr="00CF51A3">
              <w:rPr>
                <w:rFonts w:cs="Arial"/>
                <w:color w:val="000000"/>
                <w:sz w:val="16"/>
                <w:szCs w:val="16"/>
              </w:rPr>
              <w:t xml:space="preserve">Servicios </w:t>
            </w:r>
          </w:p>
        </w:tc>
        <w:tc>
          <w:tcPr>
            <w:tcW w:w="1104" w:type="pct"/>
            <w:tcBorders>
              <w:top w:val="nil"/>
              <w:left w:val="nil"/>
              <w:bottom w:val="single" w:sz="8" w:space="0" w:color="BFBFBF"/>
            </w:tcBorders>
            <w:shd w:val="clear" w:color="auto" w:fill="auto"/>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3.227.551.120</w:t>
            </w:r>
          </w:p>
        </w:tc>
        <w:tc>
          <w:tcPr>
            <w:tcW w:w="759" w:type="pct"/>
            <w:tcBorders>
              <w:top w:val="nil"/>
              <w:left w:val="nil"/>
              <w:bottom w:val="single" w:sz="8" w:space="0" w:color="BFBFBF"/>
              <w:right w:val="single" w:sz="8" w:space="0" w:color="BFBFBF"/>
            </w:tcBorders>
            <w:shd w:val="clear" w:color="auto" w:fill="auto"/>
            <w:hideMark/>
          </w:tcPr>
          <w:p w:rsidR="003105B5" w:rsidRPr="00CF51A3" w:rsidRDefault="003105B5" w:rsidP="00626CD4">
            <w:pPr>
              <w:widowControl w:val="0"/>
              <w:spacing w:line="240" w:lineRule="exact"/>
              <w:ind w:right="170"/>
              <w:jc w:val="right"/>
              <w:rPr>
                <w:rFonts w:cs="Arial"/>
                <w:color w:val="000000"/>
                <w:sz w:val="16"/>
                <w:szCs w:val="16"/>
              </w:rPr>
            </w:pPr>
            <w:r w:rsidRPr="00CF51A3">
              <w:rPr>
                <w:rFonts w:cs="Arial"/>
                <w:color w:val="000000"/>
                <w:sz w:val="16"/>
                <w:szCs w:val="16"/>
              </w:rPr>
              <w:t>56,5</w:t>
            </w:r>
          </w:p>
        </w:tc>
        <w:tc>
          <w:tcPr>
            <w:tcW w:w="1511" w:type="pct"/>
            <w:tcBorders>
              <w:top w:val="nil"/>
              <w:left w:val="nil"/>
              <w:bottom w:val="single" w:sz="8" w:space="0" w:color="BFBFBF"/>
            </w:tcBorders>
            <w:shd w:val="clear" w:color="auto" w:fill="auto"/>
            <w:vAlign w:val="bottom"/>
            <w:hideMark/>
          </w:tcPr>
          <w:p w:rsidR="003105B5" w:rsidRPr="00327E77" w:rsidRDefault="003105B5" w:rsidP="00626CD4">
            <w:pPr>
              <w:widowControl w:val="0"/>
              <w:spacing w:line="240" w:lineRule="exact"/>
              <w:ind w:right="170"/>
              <w:jc w:val="right"/>
              <w:rPr>
                <w:rFonts w:cs="Arial"/>
                <w:sz w:val="16"/>
                <w:szCs w:val="16"/>
              </w:rPr>
            </w:pPr>
            <w:r w:rsidRPr="00327E77">
              <w:rPr>
                <w:rFonts w:cs="Arial"/>
                <w:sz w:val="16"/>
                <w:szCs w:val="16"/>
              </w:rPr>
              <w:t>3.465.415.915</w:t>
            </w:r>
          </w:p>
        </w:tc>
        <w:tc>
          <w:tcPr>
            <w:tcW w:w="548" w:type="pct"/>
            <w:tcBorders>
              <w:top w:val="nil"/>
              <w:left w:val="nil"/>
              <w:bottom w:val="single" w:sz="8" w:space="0" w:color="BFBFBF"/>
            </w:tcBorders>
            <w:shd w:val="clear" w:color="auto" w:fill="auto"/>
            <w:vAlign w:val="bottom"/>
            <w:hideMark/>
          </w:tcPr>
          <w:p w:rsidR="003105B5" w:rsidRPr="00327E77" w:rsidRDefault="003105B5" w:rsidP="00626CD4">
            <w:pPr>
              <w:widowControl w:val="0"/>
              <w:spacing w:line="240" w:lineRule="exact"/>
              <w:ind w:right="170"/>
              <w:jc w:val="right"/>
              <w:rPr>
                <w:rFonts w:cs="Arial"/>
                <w:color w:val="000000"/>
                <w:sz w:val="16"/>
                <w:szCs w:val="16"/>
              </w:rPr>
            </w:pPr>
            <w:r w:rsidRPr="00327E77">
              <w:rPr>
                <w:rFonts w:cs="Arial"/>
                <w:color w:val="000000"/>
                <w:sz w:val="16"/>
                <w:szCs w:val="16"/>
              </w:rPr>
              <w:t>61,6</w:t>
            </w:r>
          </w:p>
        </w:tc>
      </w:tr>
      <w:tr w:rsidR="003105B5" w:rsidRPr="00CF51A3" w:rsidTr="00AF3C20">
        <w:trPr>
          <w:jc w:val="center"/>
        </w:trPr>
        <w:tc>
          <w:tcPr>
            <w:tcW w:w="1078" w:type="pct"/>
            <w:tcBorders>
              <w:top w:val="nil"/>
              <w:left w:val="nil"/>
              <w:bottom w:val="single" w:sz="8" w:space="0" w:color="BFBFBF"/>
              <w:right w:val="single" w:sz="8" w:space="0" w:color="BFBFBF"/>
            </w:tcBorders>
            <w:shd w:val="clear" w:color="auto" w:fill="auto"/>
            <w:hideMark/>
          </w:tcPr>
          <w:p w:rsidR="003105B5" w:rsidRPr="00CF51A3" w:rsidRDefault="003105B5" w:rsidP="00626CD4">
            <w:pPr>
              <w:widowControl w:val="0"/>
              <w:spacing w:line="240" w:lineRule="exact"/>
              <w:rPr>
                <w:rFonts w:cs="Arial"/>
                <w:b/>
                <w:bCs/>
                <w:color w:val="000000"/>
                <w:sz w:val="16"/>
                <w:szCs w:val="16"/>
              </w:rPr>
            </w:pPr>
            <w:r w:rsidRPr="00CF51A3">
              <w:rPr>
                <w:rFonts w:cs="Arial"/>
                <w:b/>
                <w:bCs/>
                <w:color w:val="000000"/>
                <w:sz w:val="16"/>
                <w:szCs w:val="16"/>
                <w:lang w:val="es-ES_tradnl"/>
              </w:rPr>
              <w:t>TOTAL</w:t>
            </w:r>
          </w:p>
        </w:tc>
        <w:tc>
          <w:tcPr>
            <w:tcW w:w="1104" w:type="pct"/>
            <w:tcBorders>
              <w:top w:val="nil"/>
              <w:left w:val="nil"/>
              <w:bottom w:val="single" w:sz="8" w:space="0" w:color="BFBFBF"/>
              <w:right w:val="nil"/>
            </w:tcBorders>
            <w:shd w:val="clear" w:color="auto" w:fill="auto"/>
            <w:hideMark/>
          </w:tcPr>
          <w:p w:rsidR="003105B5" w:rsidRPr="00CF51A3" w:rsidRDefault="003105B5" w:rsidP="00626CD4">
            <w:pPr>
              <w:widowControl w:val="0"/>
              <w:spacing w:line="240" w:lineRule="exact"/>
              <w:ind w:right="170"/>
              <w:jc w:val="right"/>
              <w:rPr>
                <w:rFonts w:cs="Arial"/>
                <w:b/>
                <w:bCs/>
                <w:color w:val="000000"/>
                <w:sz w:val="16"/>
                <w:szCs w:val="16"/>
              </w:rPr>
            </w:pPr>
            <w:r w:rsidRPr="00CF51A3">
              <w:rPr>
                <w:rFonts w:cs="Arial"/>
                <w:b/>
                <w:bCs/>
                <w:color w:val="000000"/>
                <w:sz w:val="16"/>
                <w:szCs w:val="16"/>
              </w:rPr>
              <w:t>5.713.435.617</w:t>
            </w:r>
          </w:p>
        </w:tc>
        <w:tc>
          <w:tcPr>
            <w:tcW w:w="759" w:type="pct"/>
            <w:tcBorders>
              <w:top w:val="nil"/>
              <w:left w:val="nil"/>
              <w:bottom w:val="single" w:sz="8" w:space="0" w:color="BFBFBF"/>
              <w:right w:val="single" w:sz="8" w:space="0" w:color="BFBFBF"/>
            </w:tcBorders>
            <w:shd w:val="clear" w:color="auto" w:fill="auto"/>
            <w:hideMark/>
          </w:tcPr>
          <w:p w:rsidR="003105B5" w:rsidRPr="00CF51A3" w:rsidRDefault="003105B5" w:rsidP="00626CD4">
            <w:pPr>
              <w:widowControl w:val="0"/>
              <w:spacing w:line="240" w:lineRule="exact"/>
              <w:ind w:right="170"/>
              <w:jc w:val="right"/>
              <w:rPr>
                <w:rFonts w:cs="Arial"/>
                <w:b/>
                <w:bCs/>
                <w:color w:val="000000"/>
                <w:sz w:val="16"/>
                <w:szCs w:val="16"/>
              </w:rPr>
            </w:pPr>
            <w:r w:rsidRPr="00CF51A3">
              <w:rPr>
                <w:rFonts w:cs="Arial"/>
                <w:b/>
                <w:bCs/>
                <w:color w:val="000000"/>
                <w:sz w:val="16"/>
                <w:szCs w:val="16"/>
              </w:rPr>
              <w:t>100</w:t>
            </w:r>
            <w:r>
              <w:rPr>
                <w:rFonts w:cs="Arial"/>
                <w:b/>
                <w:bCs/>
                <w:color w:val="000000"/>
                <w:sz w:val="16"/>
                <w:szCs w:val="16"/>
              </w:rPr>
              <w:t>,0</w:t>
            </w:r>
          </w:p>
        </w:tc>
        <w:tc>
          <w:tcPr>
            <w:tcW w:w="1511" w:type="pct"/>
            <w:tcBorders>
              <w:top w:val="nil"/>
              <w:left w:val="nil"/>
              <w:bottom w:val="single" w:sz="8" w:space="0" w:color="BFBFBF"/>
              <w:right w:val="nil"/>
            </w:tcBorders>
            <w:shd w:val="clear" w:color="auto" w:fill="auto"/>
            <w:vAlign w:val="bottom"/>
            <w:hideMark/>
          </w:tcPr>
          <w:p w:rsidR="003105B5" w:rsidRDefault="003105B5" w:rsidP="00626CD4">
            <w:pPr>
              <w:widowControl w:val="0"/>
              <w:spacing w:line="240" w:lineRule="exact"/>
              <w:ind w:right="170"/>
              <w:jc w:val="right"/>
              <w:rPr>
                <w:rFonts w:ascii="Calibri" w:hAnsi="Calibri"/>
                <w:color w:val="000000"/>
                <w:sz w:val="18"/>
                <w:szCs w:val="18"/>
              </w:rPr>
            </w:pPr>
            <w:r w:rsidRPr="00327E77">
              <w:rPr>
                <w:rFonts w:cs="Arial"/>
                <w:b/>
                <w:bCs/>
                <w:color w:val="000000"/>
                <w:sz w:val="16"/>
                <w:szCs w:val="16"/>
              </w:rPr>
              <w:t>5.628.930.454</w:t>
            </w:r>
          </w:p>
        </w:tc>
        <w:tc>
          <w:tcPr>
            <w:tcW w:w="548" w:type="pct"/>
            <w:tcBorders>
              <w:top w:val="nil"/>
              <w:left w:val="nil"/>
              <w:bottom w:val="single" w:sz="8" w:space="0" w:color="BFBFBF"/>
              <w:right w:val="nil"/>
            </w:tcBorders>
            <w:shd w:val="clear" w:color="auto" w:fill="auto"/>
            <w:hideMark/>
          </w:tcPr>
          <w:p w:rsidR="003105B5" w:rsidRPr="00CF51A3" w:rsidRDefault="003105B5" w:rsidP="00626CD4">
            <w:pPr>
              <w:widowControl w:val="0"/>
              <w:spacing w:line="240" w:lineRule="exact"/>
              <w:ind w:right="170"/>
              <w:jc w:val="right"/>
              <w:rPr>
                <w:rFonts w:cs="Arial"/>
                <w:b/>
                <w:bCs/>
                <w:color w:val="000000"/>
                <w:sz w:val="16"/>
                <w:szCs w:val="16"/>
              </w:rPr>
            </w:pPr>
            <w:r w:rsidRPr="00CF51A3">
              <w:rPr>
                <w:rFonts w:cs="Arial"/>
                <w:b/>
                <w:bCs/>
                <w:color w:val="000000"/>
                <w:sz w:val="16"/>
                <w:szCs w:val="16"/>
              </w:rPr>
              <w:t>100</w:t>
            </w:r>
            <w:r>
              <w:rPr>
                <w:rFonts w:cs="Arial"/>
                <w:b/>
                <w:bCs/>
                <w:color w:val="000000"/>
                <w:sz w:val="16"/>
                <w:szCs w:val="16"/>
              </w:rPr>
              <w:t>,0</w:t>
            </w:r>
          </w:p>
        </w:tc>
      </w:tr>
    </w:tbl>
    <w:p w:rsidR="003105B5" w:rsidRDefault="003105B5" w:rsidP="003105B5">
      <w:pPr>
        <w:spacing w:line="240" w:lineRule="auto"/>
        <w:ind w:left="227" w:hanging="227"/>
        <w:jc w:val="left"/>
        <w:rPr>
          <w:rFonts w:eastAsia="Times New Roman" w:cs="Arial"/>
          <w:snapToGrid w:val="0"/>
          <w:szCs w:val="20"/>
          <w:lang w:val="es-ES_tradnl" w:eastAsia="es-ES"/>
        </w:rPr>
      </w:pPr>
    </w:p>
    <w:p w:rsidR="003105B5" w:rsidRDefault="003105B5" w:rsidP="000C0102">
      <w:pPr>
        <w:pStyle w:val="ARIALNARROW"/>
        <w:spacing w:line="360" w:lineRule="auto"/>
        <w:rPr>
          <w:rFonts w:eastAsiaTheme="minorHAnsi" w:cstheme="minorBidi"/>
          <w:b/>
          <w:szCs w:val="22"/>
        </w:rPr>
      </w:pPr>
    </w:p>
    <w:p w:rsidR="003105B5" w:rsidRDefault="003105B5" w:rsidP="000C0102">
      <w:pPr>
        <w:pStyle w:val="ARIALNARROW"/>
        <w:spacing w:line="360" w:lineRule="auto"/>
        <w:rPr>
          <w:rFonts w:eastAsiaTheme="minorHAnsi" w:cstheme="minorBidi"/>
          <w:b/>
          <w:szCs w:val="22"/>
        </w:rPr>
      </w:pPr>
    </w:p>
    <w:p w:rsidR="0091198E" w:rsidRDefault="0091198E">
      <w:pPr>
        <w:spacing w:after="200" w:line="276" w:lineRule="auto"/>
        <w:jc w:val="left"/>
        <w:rPr>
          <w:b/>
          <w:lang w:val="es-ES_tradnl" w:eastAsia="es-ES"/>
        </w:rPr>
      </w:pPr>
      <w:r>
        <w:rPr>
          <w:b/>
        </w:rPr>
        <w:br w:type="page"/>
      </w:r>
    </w:p>
    <w:p w:rsidR="000C0102" w:rsidRPr="002373D5" w:rsidRDefault="003105B5" w:rsidP="000C0102">
      <w:pPr>
        <w:pStyle w:val="ARIALNARROW"/>
        <w:spacing w:line="360" w:lineRule="auto"/>
        <w:rPr>
          <w:rFonts w:eastAsiaTheme="minorHAnsi" w:cstheme="minorBidi"/>
          <w:b/>
          <w:szCs w:val="22"/>
        </w:rPr>
      </w:pPr>
      <w:r>
        <w:rPr>
          <w:rFonts w:eastAsiaTheme="minorHAnsi" w:cstheme="minorBidi"/>
          <w:b/>
          <w:szCs w:val="22"/>
        </w:rPr>
        <w:lastRenderedPageBreak/>
        <w:t>Aunque es el territorio más afectado por la caída del empleo</w:t>
      </w:r>
      <w:r w:rsidR="000C0102" w:rsidRPr="002373D5">
        <w:rPr>
          <w:rFonts w:eastAsiaTheme="minorHAnsi" w:cstheme="minorBidi"/>
          <w:b/>
          <w:szCs w:val="22"/>
        </w:rPr>
        <w:t xml:space="preserve">, </w:t>
      </w:r>
      <w:proofErr w:type="spellStart"/>
      <w:r w:rsidR="000C0102" w:rsidRPr="002373D5">
        <w:rPr>
          <w:rFonts w:eastAsiaTheme="minorHAnsi" w:cstheme="minorBidi"/>
          <w:b/>
          <w:szCs w:val="22"/>
        </w:rPr>
        <w:t>Gipuzkoa</w:t>
      </w:r>
      <w:proofErr w:type="spellEnd"/>
      <w:r w:rsidR="000C0102" w:rsidRPr="002373D5">
        <w:rPr>
          <w:rFonts w:eastAsiaTheme="minorHAnsi" w:cstheme="minorBidi"/>
          <w:b/>
          <w:szCs w:val="22"/>
        </w:rPr>
        <w:t xml:space="preserve"> genera en términos de actividad</w:t>
      </w:r>
      <w:r w:rsidR="00D12726">
        <w:rPr>
          <w:rFonts w:eastAsiaTheme="minorHAnsi" w:cstheme="minorBidi"/>
          <w:b/>
          <w:szCs w:val="22"/>
        </w:rPr>
        <w:t xml:space="preserve"> económica</w:t>
      </w:r>
      <w:r w:rsidR="000C0102" w:rsidRPr="002373D5">
        <w:rPr>
          <w:rFonts w:eastAsiaTheme="minorHAnsi" w:cstheme="minorBidi"/>
          <w:b/>
          <w:szCs w:val="22"/>
        </w:rPr>
        <w:t xml:space="preserve"> las mayores cuantías en términos de beneficio</w:t>
      </w:r>
      <w:r w:rsidR="009221F6">
        <w:rPr>
          <w:rFonts w:eastAsiaTheme="minorHAnsi" w:cstheme="minorBidi"/>
          <w:b/>
          <w:szCs w:val="22"/>
        </w:rPr>
        <w:t xml:space="preserve"> y</w:t>
      </w:r>
      <w:r w:rsidR="000C0102" w:rsidRPr="002373D5">
        <w:rPr>
          <w:rFonts w:eastAsiaTheme="minorHAnsi" w:cstheme="minorBidi"/>
          <w:b/>
          <w:szCs w:val="22"/>
        </w:rPr>
        <w:t xml:space="preserve"> VAB generado</w:t>
      </w:r>
      <w:r w:rsidR="00DE12AC">
        <w:rPr>
          <w:rFonts w:eastAsiaTheme="minorHAnsi" w:cstheme="minorBidi"/>
          <w:b/>
          <w:szCs w:val="22"/>
        </w:rPr>
        <w:t>.</w:t>
      </w:r>
    </w:p>
    <w:p w:rsidR="003105B5" w:rsidRDefault="003105B5" w:rsidP="000C0102">
      <w:pPr>
        <w:rPr>
          <w:rFonts w:eastAsia="Times New Roman" w:cs="Arial"/>
          <w:szCs w:val="20"/>
          <w:lang w:val="es-ES_tradnl" w:eastAsia="es-ES"/>
        </w:rPr>
      </w:pPr>
    </w:p>
    <w:p w:rsidR="001D525E" w:rsidRDefault="000C0102" w:rsidP="000C0102">
      <w:pPr>
        <w:rPr>
          <w:rFonts w:eastAsia="Times New Roman" w:cs="Arial"/>
          <w:color w:val="000000" w:themeColor="text1"/>
          <w:szCs w:val="20"/>
          <w:lang w:val="es-ES_tradnl" w:eastAsia="es-ES"/>
        </w:rPr>
      </w:pPr>
      <w:r w:rsidRPr="0034053A">
        <w:rPr>
          <w:rFonts w:eastAsia="Times New Roman" w:cs="Arial"/>
          <w:szCs w:val="20"/>
          <w:lang w:val="es-ES_tradnl" w:eastAsia="es-ES"/>
        </w:rPr>
        <w:t>El mayor protagonismo de</w:t>
      </w:r>
      <w:r w:rsidR="00D12726">
        <w:rPr>
          <w:rFonts w:eastAsia="Times New Roman" w:cs="Arial"/>
          <w:szCs w:val="20"/>
          <w:lang w:val="es-ES_tradnl" w:eastAsia="es-ES"/>
        </w:rPr>
        <w:t>l empleo de</w:t>
      </w:r>
      <w:r w:rsidRPr="0034053A">
        <w:rPr>
          <w:rFonts w:eastAsia="Times New Roman" w:cs="Arial"/>
          <w:szCs w:val="20"/>
          <w:lang w:val="es-ES_tradnl" w:eastAsia="es-ES"/>
        </w:rPr>
        <w:t xml:space="preserve"> la Economía Social en </w:t>
      </w:r>
      <w:proofErr w:type="spellStart"/>
      <w:r w:rsidRPr="0034053A">
        <w:rPr>
          <w:rFonts w:eastAsia="Times New Roman" w:cs="Arial"/>
          <w:szCs w:val="20"/>
          <w:lang w:val="es-ES_tradnl" w:eastAsia="es-ES"/>
        </w:rPr>
        <w:t>Gipuzkoa</w:t>
      </w:r>
      <w:proofErr w:type="spellEnd"/>
      <w:r w:rsidRPr="0034053A">
        <w:rPr>
          <w:rFonts w:eastAsia="Times New Roman" w:cs="Arial"/>
          <w:szCs w:val="20"/>
          <w:lang w:val="es-ES_tradnl" w:eastAsia="es-ES"/>
        </w:rPr>
        <w:t xml:space="preserve"> también se percibe en términos</w:t>
      </w:r>
      <w:r w:rsidRPr="00DE01F8">
        <w:rPr>
          <w:rFonts w:eastAsia="Times New Roman" w:cs="Arial"/>
          <w:color w:val="000000" w:themeColor="text1"/>
          <w:szCs w:val="20"/>
          <w:lang w:val="es-ES_tradnl" w:eastAsia="es-ES"/>
        </w:rPr>
        <w:t xml:space="preserve"> </w:t>
      </w:r>
      <w:r>
        <w:rPr>
          <w:rFonts w:eastAsia="Times New Roman" w:cs="Arial"/>
          <w:color w:val="000000" w:themeColor="text1"/>
          <w:szCs w:val="20"/>
          <w:lang w:val="es-ES_tradnl" w:eastAsia="es-ES"/>
        </w:rPr>
        <w:t>de facturación generada,</w:t>
      </w:r>
      <w:r w:rsidR="00D12726">
        <w:rPr>
          <w:rFonts w:eastAsia="Times New Roman" w:cs="Arial"/>
          <w:color w:val="000000" w:themeColor="text1"/>
          <w:szCs w:val="20"/>
          <w:lang w:val="es-ES_tradnl" w:eastAsia="es-ES"/>
        </w:rPr>
        <w:t xml:space="preserve"> de manera que el territorio guipuzcoano</w:t>
      </w:r>
      <w:r>
        <w:rPr>
          <w:rFonts w:eastAsia="Times New Roman" w:cs="Arial"/>
          <w:color w:val="000000" w:themeColor="text1"/>
          <w:szCs w:val="20"/>
          <w:lang w:val="es-ES_tradnl" w:eastAsia="es-ES"/>
        </w:rPr>
        <w:t xml:space="preserve"> con un total de 3.978 millones de euros representa un 52% de la facturación global, una facturación </w:t>
      </w:r>
      <w:r w:rsidR="00B159AC">
        <w:rPr>
          <w:rFonts w:eastAsia="Times New Roman" w:cs="Arial"/>
          <w:color w:val="000000" w:themeColor="text1"/>
          <w:szCs w:val="20"/>
          <w:lang w:val="es-ES_tradnl" w:eastAsia="es-ES"/>
        </w:rPr>
        <w:t>sectorialmente vinculada</w:t>
      </w:r>
      <w:r w:rsidR="00D12726">
        <w:rPr>
          <w:rFonts w:eastAsia="Times New Roman" w:cs="Arial"/>
          <w:color w:val="000000" w:themeColor="text1"/>
          <w:szCs w:val="20"/>
          <w:lang w:val="es-ES_tradnl" w:eastAsia="es-ES"/>
        </w:rPr>
        <w:t xml:space="preserve"> en gran medida</w:t>
      </w:r>
      <w:r w:rsidR="00B159AC">
        <w:rPr>
          <w:rFonts w:eastAsia="Times New Roman" w:cs="Arial"/>
          <w:color w:val="000000" w:themeColor="text1"/>
          <w:szCs w:val="20"/>
          <w:lang w:val="es-ES_tradnl" w:eastAsia="es-ES"/>
        </w:rPr>
        <w:t xml:space="preserve"> al ámbito</w:t>
      </w:r>
      <w:r>
        <w:rPr>
          <w:rFonts w:eastAsia="Times New Roman" w:cs="Arial"/>
          <w:color w:val="000000" w:themeColor="text1"/>
          <w:szCs w:val="20"/>
          <w:lang w:val="es-ES_tradnl" w:eastAsia="es-ES"/>
        </w:rPr>
        <w:t xml:space="preserve"> industrial (68%). </w:t>
      </w:r>
    </w:p>
    <w:p w:rsidR="001D525E" w:rsidRDefault="001D525E" w:rsidP="000C0102">
      <w:pPr>
        <w:rPr>
          <w:rFonts w:eastAsia="Times New Roman" w:cs="Arial"/>
          <w:color w:val="000000" w:themeColor="text1"/>
          <w:szCs w:val="20"/>
          <w:lang w:val="es-ES_tradnl" w:eastAsia="es-ES"/>
        </w:rPr>
      </w:pPr>
    </w:p>
    <w:p w:rsidR="000C0102" w:rsidRDefault="009B706B" w:rsidP="000C0102">
      <w:pPr>
        <w:rPr>
          <w:rFonts w:eastAsia="Times New Roman" w:cs="Arial"/>
          <w:color w:val="000000" w:themeColor="text1"/>
          <w:szCs w:val="20"/>
          <w:lang w:val="es-ES_tradnl" w:eastAsia="es-ES"/>
        </w:rPr>
      </w:pPr>
      <w:proofErr w:type="spellStart"/>
      <w:r>
        <w:rPr>
          <w:rFonts w:eastAsia="Times New Roman" w:cs="Arial"/>
          <w:color w:val="000000" w:themeColor="text1"/>
          <w:szCs w:val="20"/>
          <w:lang w:val="es-ES_tradnl" w:eastAsia="es-ES"/>
        </w:rPr>
        <w:t>Gipuzkoa</w:t>
      </w:r>
      <w:proofErr w:type="spellEnd"/>
      <w:r>
        <w:rPr>
          <w:rFonts w:eastAsia="Times New Roman" w:cs="Arial"/>
          <w:color w:val="000000" w:themeColor="text1"/>
          <w:szCs w:val="20"/>
          <w:lang w:val="es-ES_tradnl" w:eastAsia="es-ES"/>
        </w:rPr>
        <w:t xml:space="preserve"> destaca </w:t>
      </w:r>
      <w:r w:rsidR="009221F6">
        <w:rPr>
          <w:rFonts w:eastAsia="Times New Roman" w:cs="Arial"/>
          <w:color w:val="000000" w:themeColor="text1"/>
          <w:szCs w:val="20"/>
          <w:lang w:val="es-ES_tradnl" w:eastAsia="es-ES"/>
        </w:rPr>
        <w:t xml:space="preserve">también </w:t>
      </w:r>
      <w:r>
        <w:rPr>
          <w:rFonts w:eastAsia="Times New Roman" w:cs="Arial"/>
          <w:color w:val="000000" w:themeColor="text1"/>
          <w:szCs w:val="20"/>
          <w:lang w:val="es-ES_tradnl" w:eastAsia="es-ES"/>
        </w:rPr>
        <w:t xml:space="preserve">por la cifra </w:t>
      </w:r>
      <w:r w:rsidR="000C0102">
        <w:rPr>
          <w:rFonts w:eastAsia="Times New Roman" w:cs="Arial"/>
          <w:color w:val="000000" w:themeColor="text1"/>
          <w:szCs w:val="20"/>
          <w:lang w:val="es-ES_tradnl" w:eastAsia="es-ES"/>
        </w:rPr>
        <w:t xml:space="preserve">de beneficios </w:t>
      </w:r>
      <w:r w:rsidR="00B95A81">
        <w:rPr>
          <w:rFonts w:eastAsia="Times New Roman" w:cs="Arial"/>
          <w:color w:val="000000" w:themeColor="text1"/>
          <w:szCs w:val="20"/>
          <w:lang w:val="es-ES_tradnl" w:eastAsia="es-ES"/>
        </w:rPr>
        <w:t>que alcanza</w:t>
      </w:r>
      <w:r w:rsidR="000C0102">
        <w:rPr>
          <w:rFonts w:eastAsia="Times New Roman" w:cs="Arial"/>
          <w:color w:val="000000" w:themeColor="text1"/>
          <w:szCs w:val="20"/>
          <w:lang w:val="es-ES_tradnl" w:eastAsia="es-ES"/>
        </w:rPr>
        <w:t>, con un t</w:t>
      </w:r>
      <w:r>
        <w:rPr>
          <w:rFonts w:eastAsia="Times New Roman" w:cs="Arial"/>
          <w:color w:val="000000" w:themeColor="text1"/>
          <w:szCs w:val="20"/>
          <w:lang w:val="es-ES_tradnl" w:eastAsia="es-ES"/>
        </w:rPr>
        <w:t>otal de 137,8 millones de euros -</w:t>
      </w:r>
      <w:r w:rsidR="000C0102">
        <w:rPr>
          <w:rFonts w:eastAsia="Times New Roman" w:cs="Arial"/>
          <w:color w:val="000000" w:themeColor="text1"/>
          <w:szCs w:val="20"/>
          <w:lang w:val="es-ES_tradnl" w:eastAsia="es-ES"/>
        </w:rPr>
        <w:t xml:space="preserve"> un 94% directamente ligado a la industria</w:t>
      </w:r>
      <w:r>
        <w:rPr>
          <w:rFonts w:eastAsia="Times New Roman" w:cs="Arial"/>
          <w:color w:val="000000" w:themeColor="text1"/>
          <w:szCs w:val="20"/>
          <w:lang w:val="es-ES_tradnl" w:eastAsia="es-ES"/>
        </w:rPr>
        <w:t>-</w:t>
      </w:r>
      <w:r w:rsidR="000C0102">
        <w:rPr>
          <w:rFonts w:eastAsia="Times New Roman" w:cs="Arial"/>
          <w:color w:val="000000" w:themeColor="text1"/>
          <w:szCs w:val="20"/>
          <w:lang w:val="es-ES_tradnl" w:eastAsia="es-ES"/>
        </w:rPr>
        <w:t xml:space="preserve"> </w:t>
      </w:r>
      <w:r>
        <w:rPr>
          <w:rFonts w:eastAsia="Times New Roman" w:cs="Arial"/>
          <w:color w:val="000000" w:themeColor="text1"/>
          <w:szCs w:val="20"/>
          <w:lang w:val="es-ES_tradnl" w:eastAsia="es-ES"/>
        </w:rPr>
        <w:t>así como por sus cifras de</w:t>
      </w:r>
      <w:r w:rsidR="00B95A81">
        <w:rPr>
          <w:rFonts w:eastAsia="Times New Roman" w:cs="Arial"/>
          <w:color w:val="000000" w:themeColor="text1"/>
          <w:szCs w:val="20"/>
          <w:lang w:val="es-ES_tradnl" w:eastAsia="es-ES"/>
        </w:rPr>
        <w:t xml:space="preserve"> VAB, 1.399 millones de euros</w:t>
      </w:r>
      <w:r w:rsidR="009221F6">
        <w:rPr>
          <w:rFonts w:eastAsia="Times New Roman" w:cs="Arial"/>
          <w:color w:val="000000" w:themeColor="text1"/>
          <w:szCs w:val="20"/>
          <w:lang w:val="es-ES_tradnl" w:eastAsia="es-ES"/>
        </w:rPr>
        <w:t xml:space="preserve">. Con una contribución del 53,5%, esta cifra </w:t>
      </w:r>
      <w:r>
        <w:rPr>
          <w:rFonts w:eastAsia="Times New Roman" w:cs="Arial"/>
          <w:color w:val="000000" w:themeColor="text1"/>
          <w:szCs w:val="20"/>
          <w:lang w:val="es-ES_tradnl" w:eastAsia="es-ES"/>
        </w:rPr>
        <w:t xml:space="preserve">sitúa a </w:t>
      </w:r>
      <w:proofErr w:type="spellStart"/>
      <w:r>
        <w:rPr>
          <w:rFonts w:eastAsia="Times New Roman" w:cs="Arial"/>
          <w:color w:val="000000" w:themeColor="text1"/>
          <w:szCs w:val="20"/>
          <w:lang w:val="es-ES_tradnl" w:eastAsia="es-ES"/>
        </w:rPr>
        <w:t>Gipuzkoa</w:t>
      </w:r>
      <w:proofErr w:type="spellEnd"/>
      <w:r>
        <w:rPr>
          <w:rFonts w:eastAsia="Times New Roman" w:cs="Arial"/>
          <w:color w:val="000000" w:themeColor="text1"/>
          <w:szCs w:val="20"/>
          <w:lang w:val="es-ES_tradnl" w:eastAsia="es-ES"/>
        </w:rPr>
        <w:t xml:space="preserve"> </w:t>
      </w:r>
      <w:r w:rsidR="009221F6">
        <w:rPr>
          <w:rFonts w:eastAsia="Times New Roman" w:cs="Arial"/>
          <w:color w:val="000000" w:themeColor="text1"/>
          <w:szCs w:val="20"/>
          <w:lang w:val="es-ES_tradnl" w:eastAsia="es-ES"/>
        </w:rPr>
        <w:t xml:space="preserve">como el principal territorio generador de </w:t>
      </w:r>
      <w:r w:rsidR="000C0102">
        <w:rPr>
          <w:rFonts w:eastAsia="Times New Roman" w:cs="Arial"/>
          <w:color w:val="000000" w:themeColor="text1"/>
          <w:szCs w:val="20"/>
          <w:lang w:val="es-ES_tradnl" w:eastAsia="es-ES"/>
        </w:rPr>
        <w:t>VAB de la Economía Social en 2014.</w:t>
      </w:r>
    </w:p>
    <w:p w:rsidR="000C0102" w:rsidRDefault="000C0102" w:rsidP="000C0102">
      <w:pPr>
        <w:ind w:left="426" w:hanging="426"/>
        <w:rPr>
          <w:rFonts w:eastAsia="Times New Roman" w:cs="Arial"/>
          <w:color w:val="000000" w:themeColor="text1"/>
          <w:szCs w:val="20"/>
          <w:lang w:val="es-ES_tradnl" w:eastAsia="es-ES"/>
        </w:rPr>
      </w:pPr>
    </w:p>
    <w:p w:rsidR="000C0102" w:rsidRDefault="000C0102" w:rsidP="000C0102">
      <w:pPr>
        <w:tabs>
          <w:tab w:val="left" w:pos="0"/>
        </w:tabs>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 xml:space="preserve">Sin embargo, </w:t>
      </w:r>
      <w:r w:rsidR="009221F6">
        <w:rPr>
          <w:rFonts w:eastAsia="Times New Roman" w:cs="Arial"/>
          <w:color w:val="000000" w:themeColor="text1"/>
          <w:szCs w:val="20"/>
          <w:lang w:val="es-ES_tradnl" w:eastAsia="es-ES"/>
        </w:rPr>
        <w:t xml:space="preserve">son </w:t>
      </w:r>
      <w:r w:rsidR="009B706B">
        <w:rPr>
          <w:rFonts w:eastAsia="Times New Roman" w:cs="Arial"/>
          <w:color w:val="000000" w:themeColor="text1"/>
          <w:szCs w:val="20"/>
          <w:lang w:val="es-ES_tradnl" w:eastAsia="es-ES"/>
        </w:rPr>
        <w:t xml:space="preserve">las cooperativas alavesas </w:t>
      </w:r>
      <w:r w:rsidR="009221F6">
        <w:rPr>
          <w:rFonts w:eastAsia="Times New Roman" w:cs="Arial"/>
          <w:color w:val="000000" w:themeColor="text1"/>
          <w:szCs w:val="20"/>
          <w:lang w:val="es-ES_tradnl" w:eastAsia="es-ES"/>
        </w:rPr>
        <w:t xml:space="preserve">las que destacan </w:t>
      </w:r>
      <w:r w:rsidR="009B706B">
        <w:rPr>
          <w:rFonts w:eastAsia="Times New Roman" w:cs="Arial"/>
          <w:color w:val="000000" w:themeColor="text1"/>
          <w:szCs w:val="20"/>
          <w:lang w:val="es-ES_tradnl" w:eastAsia="es-ES"/>
        </w:rPr>
        <w:t xml:space="preserve">como las unidades empresariales </w:t>
      </w:r>
      <w:r w:rsidR="00B95A81">
        <w:rPr>
          <w:rFonts w:eastAsia="Times New Roman" w:cs="Arial"/>
          <w:color w:val="000000" w:themeColor="text1"/>
          <w:szCs w:val="20"/>
          <w:lang w:val="es-ES_tradnl" w:eastAsia="es-ES"/>
        </w:rPr>
        <w:t xml:space="preserve">que </w:t>
      </w:r>
      <w:r>
        <w:rPr>
          <w:rFonts w:eastAsia="Times New Roman" w:cs="Arial"/>
          <w:color w:val="000000" w:themeColor="text1"/>
          <w:szCs w:val="20"/>
          <w:lang w:val="es-ES_tradnl" w:eastAsia="es-ES"/>
        </w:rPr>
        <w:t>mayor productividad aparente apuntan en el ámbito social vasco</w:t>
      </w:r>
      <w:r w:rsidR="009221F6">
        <w:rPr>
          <w:rFonts w:eastAsia="Times New Roman" w:cs="Arial"/>
          <w:color w:val="000000" w:themeColor="text1"/>
          <w:szCs w:val="20"/>
          <w:lang w:val="es-ES_tradnl" w:eastAsia="es-ES"/>
        </w:rPr>
        <w:t xml:space="preserve"> (55.771 euros por empleo). Las </w:t>
      </w:r>
      <w:r>
        <w:rPr>
          <w:rFonts w:eastAsia="Times New Roman" w:cs="Arial"/>
          <w:color w:val="000000" w:themeColor="text1"/>
          <w:szCs w:val="20"/>
          <w:lang w:val="es-ES_tradnl" w:eastAsia="es-ES"/>
        </w:rPr>
        <w:t>cooperativas guipuzcoanas se sitúan en 52.869 euros generados por empleo</w:t>
      </w:r>
      <w:r w:rsidR="00B95A81">
        <w:rPr>
          <w:rFonts w:eastAsia="Times New Roman" w:cs="Arial"/>
          <w:color w:val="000000" w:themeColor="text1"/>
          <w:szCs w:val="20"/>
          <w:lang w:val="es-ES_tradnl" w:eastAsia="es-ES"/>
        </w:rPr>
        <w:t>,</w:t>
      </w:r>
      <w:r>
        <w:rPr>
          <w:rFonts w:eastAsia="Times New Roman" w:cs="Arial"/>
          <w:color w:val="000000" w:themeColor="text1"/>
          <w:szCs w:val="20"/>
          <w:lang w:val="es-ES_tradnl" w:eastAsia="es-ES"/>
        </w:rPr>
        <w:t xml:space="preserve"> </w:t>
      </w:r>
      <w:r w:rsidR="009221F6">
        <w:rPr>
          <w:rFonts w:eastAsia="Times New Roman" w:cs="Arial"/>
          <w:color w:val="000000" w:themeColor="text1"/>
          <w:szCs w:val="20"/>
          <w:lang w:val="es-ES_tradnl" w:eastAsia="es-ES"/>
        </w:rPr>
        <w:t xml:space="preserve">una ratio que </w:t>
      </w:r>
      <w:r>
        <w:rPr>
          <w:rFonts w:eastAsia="Times New Roman" w:cs="Arial"/>
          <w:color w:val="000000" w:themeColor="text1"/>
          <w:szCs w:val="20"/>
          <w:lang w:val="es-ES_tradnl" w:eastAsia="es-ES"/>
        </w:rPr>
        <w:t xml:space="preserve">en </w:t>
      </w:r>
      <w:proofErr w:type="spellStart"/>
      <w:r>
        <w:rPr>
          <w:rFonts w:eastAsia="Times New Roman" w:cs="Arial"/>
          <w:color w:val="000000" w:themeColor="text1"/>
          <w:szCs w:val="20"/>
          <w:lang w:val="es-ES_tradnl" w:eastAsia="es-ES"/>
        </w:rPr>
        <w:t>Bizkaia</w:t>
      </w:r>
      <w:proofErr w:type="spellEnd"/>
      <w:r w:rsidR="00B95A81">
        <w:rPr>
          <w:rFonts w:eastAsia="Times New Roman" w:cs="Arial"/>
          <w:color w:val="000000" w:themeColor="text1"/>
          <w:szCs w:val="20"/>
          <w:lang w:val="es-ES_tradnl" w:eastAsia="es-ES"/>
        </w:rPr>
        <w:t xml:space="preserve"> </w:t>
      </w:r>
      <w:r>
        <w:rPr>
          <w:rFonts w:eastAsia="Times New Roman" w:cs="Arial"/>
          <w:color w:val="000000" w:themeColor="text1"/>
          <w:szCs w:val="20"/>
          <w:lang w:val="es-ES_tradnl" w:eastAsia="es-ES"/>
        </w:rPr>
        <w:t>desciende a 44.139 euros por empleo cooperativo.</w:t>
      </w:r>
    </w:p>
    <w:p w:rsidR="009C064B" w:rsidRDefault="009C064B">
      <w:pPr>
        <w:spacing w:after="200" w:line="276" w:lineRule="auto"/>
        <w:jc w:val="left"/>
        <w:rPr>
          <w:rFonts w:eastAsia="Times New Roman" w:cs="Arial"/>
          <w:color w:val="000000" w:themeColor="text1"/>
          <w:szCs w:val="20"/>
          <w:lang w:val="es-ES_tradnl" w:eastAsia="es-ES"/>
        </w:rPr>
      </w:pPr>
    </w:p>
    <w:p w:rsidR="0059221D" w:rsidRDefault="0059221D">
      <w:pPr>
        <w:spacing w:after="200" w:line="276" w:lineRule="auto"/>
        <w:jc w:val="left"/>
        <w:rPr>
          <w:rFonts w:eastAsia="Times New Roman" w:cs="Arial"/>
          <w:color w:val="000000" w:themeColor="text1"/>
          <w:szCs w:val="20"/>
          <w:lang w:val="es-ES_tradnl" w:eastAsia="es-ES"/>
        </w:rPr>
      </w:pPr>
    </w:p>
    <w:p w:rsidR="00FA5547" w:rsidRDefault="00FA5547">
      <w:pPr>
        <w:spacing w:after="200" w:line="276" w:lineRule="auto"/>
        <w:jc w:val="left"/>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br w:type="page"/>
      </w:r>
    </w:p>
    <w:p w:rsidR="004114B8" w:rsidRPr="00F52973" w:rsidRDefault="009B160B" w:rsidP="00F52973">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Pr>
          <w:rFonts w:eastAsia="Times New Roman" w:cs="Times New Roman"/>
          <w:b/>
          <w:snapToGrid w:val="0"/>
          <w:sz w:val="28"/>
          <w:szCs w:val="28"/>
          <w:lang w:eastAsia="es-ES"/>
        </w:rPr>
        <w:lastRenderedPageBreak/>
        <w:t>L</w:t>
      </w:r>
      <w:r w:rsidR="00346169">
        <w:rPr>
          <w:rFonts w:eastAsia="Times New Roman" w:cs="Times New Roman"/>
          <w:b/>
          <w:snapToGrid w:val="0"/>
          <w:sz w:val="28"/>
          <w:szCs w:val="28"/>
          <w:lang w:eastAsia="es-ES"/>
        </w:rPr>
        <w:t>as empresas exportadoras experimentan una caída en el nivel de facturación interna que no logran compensar con la exportación.</w:t>
      </w:r>
    </w:p>
    <w:p w:rsidR="00C56135" w:rsidRDefault="00C56135" w:rsidP="00BD60C8">
      <w:pPr>
        <w:spacing w:line="240" w:lineRule="auto"/>
        <w:rPr>
          <w:rFonts w:cs="Arial"/>
        </w:rPr>
      </w:pPr>
    </w:p>
    <w:p w:rsidR="009B160B" w:rsidRDefault="009B160B" w:rsidP="00BD60C8">
      <w:pPr>
        <w:spacing w:line="240" w:lineRule="auto"/>
        <w:rPr>
          <w:rFonts w:cs="Arial"/>
        </w:rPr>
      </w:pPr>
    </w:p>
    <w:p w:rsidR="00C959DB" w:rsidRPr="00C959DB" w:rsidRDefault="00C959DB" w:rsidP="00BD60C8">
      <w:pPr>
        <w:spacing w:line="240" w:lineRule="auto"/>
        <w:rPr>
          <w:rFonts w:cs="Arial"/>
          <w:b/>
        </w:rPr>
      </w:pPr>
      <w:r w:rsidRPr="00C959DB">
        <w:rPr>
          <w:rFonts w:cs="Arial"/>
          <w:b/>
        </w:rPr>
        <w:t>Aumenta el grado de apertura al exterior</w:t>
      </w:r>
    </w:p>
    <w:p w:rsidR="00C959DB" w:rsidRPr="009B160B" w:rsidRDefault="00C959DB" w:rsidP="00BD60C8">
      <w:pPr>
        <w:spacing w:line="240" w:lineRule="auto"/>
        <w:rPr>
          <w:rFonts w:cs="Arial"/>
        </w:rPr>
      </w:pPr>
    </w:p>
    <w:p w:rsidR="00F52973" w:rsidRDefault="003C0055" w:rsidP="00C56135">
      <w:pPr>
        <w:rPr>
          <w:rFonts w:cs="Arial"/>
          <w:lang w:val="es-ES_tradnl"/>
        </w:rPr>
      </w:pPr>
      <w:r>
        <w:rPr>
          <w:rFonts w:cs="Arial"/>
          <w:lang w:val="es-ES_tradnl"/>
        </w:rPr>
        <w:t xml:space="preserve">A pesar de las dificultades a las que se enfrentan la </w:t>
      </w:r>
      <w:r w:rsidRPr="00C56135">
        <w:rPr>
          <w:rFonts w:cs="Arial"/>
          <w:lang w:val="es-ES_tradnl"/>
        </w:rPr>
        <w:t xml:space="preserve">facturación y </w:t>
      </w:r>
      <w:r>
        <w:rPr>
          <w:rFonts w:cs="Arial"/>
          <w:lang w:val="es-ES_tradnl"/>
        </w:rPr>
        <w:t xml:space="preserve">el </w:t>
      </w:r>
      <w:r w:rsidRPr="00C56135">
        <w:rPr>
          <w:rFonts w:cs="Arial"/>
          <w:lang w:val="es-ES_tradnl"/>
        </w:rPr>
        <w:t>empleo,</w:t>
      </w:r>
      <w:r>
        <w:rPr>
          <w:rFonts w:cs="Arial"/>
          <w:lang w:val="es-ES_tradnl"/>
        </w:rPr>
        <w:t xml:space="preserve"> e</w:t>
      </w:r>
      <w:r w:rsidR="004114B8" w:rsidRPr="00C56135">
        <w:rPr>
          <w:rFonts w:cs="Arial"/>
          <w:lang w:val="es-ES_tradnl"/>
        </w:rPr>
        <w:t>l grado de apertura a los mercados exteriores continúa siendo una apuesta clara por parte del tejido empresarial de la Economía Social</w:t>
      </w:r>
      <w:r>
        <w:rPr>
          <w:rFonts w:cs="Arial"/>
          <w:lang w:val="es-ES_tradnl"/>
        </w:rPr>
        <w:t xml:space="preserve">. </w:t>
      </w:r>
      <w:r>
        <w:rPr>
          <w:rFonts w:eastAsia="Arial" w:cs="Arial"/>
          <w:szCs w:val="20"/>
        </w:rPr>
        <w:t>E</w:t>
      </w:r>
      <w:r w:rsidRPr="003B1496">
        <w:rPr>
          <w:rFonts w:eastAsia="Arial" w:cs="Arial"/>
          <w:szCs w:val="20"/>
        </w:rPr>
        <w:t>ntre 201</w:t>
      </w:r>
      <w:r>
        <w:rPr>
          <w:rFonts w:eastAsia="Arial" w:cs="Arial"/>
          <w:szCs w:val="20"/>
        </w:rPr>
        <w:t>2</w:t>
      </w:r>
      <w:r w:rsidRPr="003B1496">
        <w:rPr>
          <w:rFonts w:eastAsia="Arial" w:cs="Arial"/>
          <w:szCs w:val="20"/>
        </w:rPr>
        <w:t xml:space="preserve"> y 201</w:t>
      </w:r>
      <w:r>
        <w:rPr>
          <w:rFonts w:eastAsia="Arial" w:cs="Arial"/>
          <w:szCs w:val="20"/>
        </w:rPr>
        <w:t>4</w:t>
      </w:r>
      <w:r w:rsidRPr="003B1496">
        <w:rPr>
          <w:rFonts w:eastAsia="Arial" w:cs="Arial"/>
          <w:szCs w:val="20"/>
        </w:rPr>
        <w:t xml:space="preserve"> el tejido productivo formado por las cooperativas y sociedades laborales </w:t>
      </w:r>
      <w:r w:rsidR="00A1418D">
        <w:rPr>
          <w:rFonts w:eastAsia="Arial" w:cs="Arial"/>
          <w:szCs w:val="20"/>
        </w:rPr>
        <w:t>muestra de nuevo</w:t>
      </w:r>
      <w:r w:rsidRPr="003B1496">
        <w:rPr>
          <w:rFonts w:eastAsia="Arial" w:cs="Arial"/>
          <w:szCs w:val="20"/>
        </w:rPr>
        <w:t xml:space="preserve"> un nivel superior de apertura al exterior, tal y como pone de manifiesto </w:t>
      </w:r>
      <w:r>
        <w:rPr>
          <w:rFonts w:eastAsia="Arial" w:cs="Arial"/>
          <w:szCs w:val="20"/>
        </w:rPr>
        <w:t xml:space="preserve">el peso creciente </w:t>
      </w:r>
      <w:r w:rsidR="004114B8" w:rsidRPr="00C56135">
        <w:rPr>
          <w:rFonts w:cs="Arial"/>
          <w:lang w:val="es-ES_tradnl"/>
        </w:rPr>
        <w:t xml:space="preserve">de las exportaciones </w:t>
      </w:r>
      <w:r>
        <w:rPr>
          <w:rFonts w:cs="Arial"/>
          <w:lang w:val="es-ES_tradnl"/>
        </w:rPr>
        <w:t xml:space="preserve">en </w:t>
      </w:r>
      <w:r w:rsidR="004114B8" w:rsidRPr="00C56135">
        <w:rPr>
          <w:rFonts w:cs="Arial"/>
          <w:lang w:val="es-ES_tradnl"/>
        </w:rPr>
        <w:t>los niveles de facturación</w:t>
      </w:r>
      <w:r>
        <w:rPr>
          <w:rFonts w:cs="Arial"/>
          <w:lang w:val="es-ES_tradnl"/>
        </w:rPr>
        <w:t xml:space="preserve">. En </w:t>
      </w:r>
      <w:r w:rsidR="004114B8" w:rsidRPr="00C56135">
        <w:rPr>
          <w:rFonts w:cs="Arial"/>
          <w:lang w:val="es-ES_tradnl"/>
        </w:rPr>
        <w:t>2014</w:t>
      </w:r>
      <w:r>
        <w:rPr>
          <w:rFonts w:cs="Arial"/>
          <w:lang w:val="es-ES_tradnl"/>
        </w:rPr>
        <w:t>, las exportaciones suponen</w:t>
      </w:r>
      <w:r w:rsidR="004114B8" w:rsidRPr="00C56135">
        <w:rPr>
          <w:rFonts w:cs="Arial"/>
          <w:lang w:val="es-ES_tradnl"/>
        </w:rPr>
        <w:t xml:space="preserve"> un 34,5%</w:t>
      </w:r>
      <w:r>
        <w:rPr>
          <w:rFonts w:cs="Arial"/>
          <w:lang w:val="es-ES_tradnl"/>
        </w:rPr>
        <w:t xml:space="preserve"> de la facturación</w:t>
      </w:r>
      <w:r w:rsidR="002C0AB3">
        <w:rPr>
          <w:rFonts w:cs="Arial"/>
          <w:lang w:val="es-ES_tradnl"/>
        </w:rPr>
        <w:t>, el n</w:t>
      </w:r>
      <w:r w:rsidR="004114B8" w:rsidRPr="00C56135">
        <w:rPr>
          <w:rFonts w:cs="Arial"/>
          <w:lang w:val="es-ES_tradnl"/>
        </w:rPr>
        <w:t xml:space="preserve">ivel máximo alcanzado en la serie temporal iniciada desde 1994. </w:t>
      </w:r>
    </w:p>
    <w:p w:rsidR="00346169" w:rsidRDefault="00346169" w:rsidP="00C56135">
      <w:pPr>
        <w:rPr>
          <w:rFonts w:cs="Arial"/>
          <w:lang w:val="es-ES_tradnl"/>
        </w:rPr>
      </w:pPr>
    </w:p>
    <w:p w:rsidR="004114B8" w:rsidRPr="00C56135" w:rsidRDefault="002C0AB3" w:rsidP="00C56135">
      <w:pPr>
        <w:rPr>
          <w:rFonts w:cs="Arial"/>
          <w:lang w:val="es-ES_tradnl"/>
        </w:rPr>
      </w:pPr>
      <w:r>
        <w:rPr>
          <w:rFonts w:cs="Arial"/>
          <w:lang w:val="es-ES_tradnl"/>
        </w:rPr>
        <w:t>E</w:t>
      </w:r>
      <w:r w:rsidR="004114B8" w:rsidRPr="00C56135">
        <w:rPr>
          <w:rFonts w:cs="Arial"/>
          <w:lang w:val="es-ES_tradnl"/>
        </w:rPr>
        <w:t>sta apuesta se vincula históricamente al sector industrial, donde la proporción de la exportación sobre la facturación industrial se eleva hasta el 62,8% mientras que en servicios el ratio resulta simbólico (0,7%).</w:t>
      </w:r>
    </w:p>
    <w:p w:rsidR="004114B8" w:rsidRPr="00C56135" w:rsidRDefault="004114B8" w:rsidP="00C56135">
      <w:pPr>
        <w:rPr>
          <w:rFonts w:cs="Arial"/>
          <w:lang w:val="es-ES_tradnl"/>
        </w:rPr>
      </w:pPr>
    </w:p>
    <w:p w:rsidR="00163B56" w:rsidRDefault="00163B56" w:rsidP="004114B8">
      <w:pPr>
        <w:pStyle w:val="Textoindependiente"/>
        <w:widowControl w:val="0"/>
        <w:jc w:val="center"/>
        <w:rPr>
          <w:rFonts w:ascii="Arial" w:hAnsi="Arial" w:cs="Arial"/>
          <w:b/>
          <w:color w:val="1F497D" w:themeColor="text2"/>
          <w:sz w:val="18"/>
          <w:szCs w:val="18"/>
          <w:lang w:val="es-ES_tradnl"/>
        </w:rPr>
      </w:pPr>
    </w:p>
    <w:p w:rsidR="004114B8" w:rsidRDefault="004114B8" w:rsidP="004114B8">
      <w:pPr>
        <w:pStyle w:val="Textoindependiente"/>
        <w:widowControl w:val="0"/>
        <w:jc w:val="center"/>
        <w:rPr>
          <w:rFonts w:ascii="Arial" w:hAnsi="Arial" w:cs="Arial"/>
          <w:b/>
          <w:color w:val="1F497D" w:themeColor="text2"/>
          <w:sz w:val="18"/>
          <w:szCs w:val="18"/>
          <w:lang w:val="es-ES_tradnl"/>
        </w:rPr>
      </w:pPr>
      <w:r w:rsidRPr="00FC5187">
        <w:rPr>
          <w:rFonts w:ascii="Arial" w:hAnsi="Arial" w:cs="Arial"/>
          <w:b/>
          <w:color w:val="1F497D" w:themeColor="text2"/>
          <w:sz w:val="18"/>
          <w:szCs w:val="18"/>
          <w:lang w:val="es-ES_tradnl"/>
        </w:rPr>
        <w:t>EVOLUCIÓN DEL GRADO DE APERTURA A LOS MERCADOS EXTERIORES (volumen de exportaciones sobre facturación total). 1994-201</w:t>
      </w:r>
      <w:r>
        <w:rPr>
          <w:rFonts w:ascii="Arial" w:hAnsi="Arial" w:cs="Arial"/>
          <w:b/>
          <w:color w:val="1F497D" w:themeColor="text2"/>
          <w:sz w:val="18"/>
          <w:szCs w:val="18"/>
          <w:lang w:val="es-ES_tradnl"/>
        </w:rPr>
        <w:t>4</w:t>
      </w:r>
    </w:p>
    <w:p w:rsidR="004114B8"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r>
        <w:rPr>
          <w:rFonts w:ascii="Arial" w:hAnsi="Arial" w:cs="Arial"/>
          <w:b/>
          <w:noProof/>
          <w:color w:val="1F497D" w:themeColor="text2"/>
          <w:sz w:val="18"/>
          <w:szCs w:val="18"/>
        </w:rPr>
        <w:drawing>
          <wp:anchor distT="0" distB="0" distL="114300" distR="114300" simplePos="0" relativeHeight="251804672" behindDoc="0" locked="0" layoutInCell="1" allowOverlap="1">
            <wp:simplePos x="0" y="0"/>
            <wp:positionH relativeFrom="column">
              <wp:posOffset>-43815</wp:posOffset>
            </wp:positionH>
            <wp:positionV relativeFrom="paragraph">
              <wp:posOffset>7620</wp:posOffset>
            </wp:positionV>
            <wp:extent cx="5553075" cy="1828800"/>
            <wp:effectExtent l="0" t="0" r="0" b="0"/>
            <wp:wrapNone/>
            <wp:docPr id="11"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114B8"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p>
    <w:p w:rsidR="004114B8"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p>
    <w:p w:rsidR="004114B8"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p>
    <w:p w:rsidR="004114B8"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p>
    <w:p w:rsidR="004114B8"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p>
    <w:p w:rsidR="004114B8"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p>
    <w:p w:rsidR="004114B8" w:rsidRPr="00FC5187" w:rsidRDefault="004114B8" w:rsidP="004114B8">
      <w:pPr>
        <w:pStyle w:val="Textoindependiente"/>
        <w:widowControl w:val="0"/>
        <w:spacing w:line="312" w:lineRule="auto"/>
        <w:jc w:val="center"/>
        <w:rPr>
          <w:rFonts w:ascii="Arial" w:hAnsi="Arial" w:cs="Arial"/>
          <w:b/>
          <w:color w:val="1F497D" w:themeColor="text2"/>
          <w:sz w:val="18"/>
          <w:szCs w:val="18"/>
          <w:lang w:val="es-ES_tradnl"/>
        </w:rPr>
      </w:pPr>
    </w:p>
    <w:p w:rsidR="004114B8" w:rsidRDefault="004114B8" w:rsidP="004114B8">
      <w:pPr>
        <w:pStyle w:val="Textoindependiente"/>
        <w:widowControl w:val="0"/>
        <w:spacing w:line="312" w:lineRule="auto"/>
        <w:rPr>
          <w:rFonts w:ascii="Tahoma" w:hAnsi="Tahoma" w:cs="Arial"/>
          <w:b/>
          <w:i/>
          <w:sz w:val="16"/>
          <w:szCs w:val="16"/>
          <w:lang w:val="es-ES_tradnl"/>
        </w:rPr>
      </w:pPr>
    </w:p>
    <w:p w:rsidR="004114B8" w:rsidRDefault="004114B8" w:rsidP="004114B8">
      <w:pPr>
        <w:pStyle w:val="Textoindependiente"/>
        <w:widowControl w:val="0"/>
        <w:spacing w:line="312" w:lineRule="auto"/>
        <w:rPr>
          <w:rFonts w:ascii="Tahoma" w:hAnsi="Tahoma" w:cs="Arial"/>
          <w:b/>
          <w:i/>
          <w:sz w:val="16"/>
          <w:szCs w:val="16"/>
          <w:lang w:val="es-ES_tradnl"/>
        </w:rPr>
      </w:pPr>
    </w:p>
    <w:p w:rsidR="004114B8" w:rsidRDefault="004114B8" w:rsidP="004114B8">
      <w:pPr>
        <w:widowControl w:val="0"/>
        <w:rPr>
          <w:lang w:val="es-ES_tradnl"/>
        </w:rPr>
      </w:pPr>
    </w:p>
    <w:p w:rsidR="00C959DB" w:rsidRDefault="00C959DB" w:rsidP="004114B8">
      <w:pPr>
        <w:widowControl w:val="0"/>
        <w:rPr>
          <w:lang w:val="es-ES_tradnl"/>
        </w:rPr>
      </w:pPr>
    </w:p>
    <w:p w:rsidR="00C959DB" w:rsidRDefault="00C959DB" w:rsidP="00C959DB">
      <w:pPr>
        <w:rPr>
          <w:rFonts w:cs="Arial"/>
          <w:lang w:val="es-ES_tradnl"/>
        </w:rPr>
      </w:pPr>
      <w:r>
        <w:rPr>
          <w:rFonts w:cs="Arial"/>
          <w:lang w:val="es-ES_tradnl"/>
        </w:rPr>
        <w:t>E</w:t>
      </w:r>
      <w:r w:rsidRPr="00C56135">
        <w:rPr>
          <w:rFonts w:cs="Arial"/>
          <w:lang w:val="es-ES_tradnl"/>
        </w:rPr>
        <w:t xml:space="preserve">l ritmo de </w:t>
      </w:r>
      <w:r>
        <w:rPr>
          <w:rFonts w:cs="Arial"/>
          <w:lang w:val="es-ES_tradnl"/>
        </w:rPr>
        <w:t xml:space="preserve">expansión de la apertura a los mercados exteriores se ralentiza sin embargo entre 2012 y 2014. El aumento de </w:t>
      </w:r>
      <w:r w:rsidRPr="00C56135">
        <w:rPr>
          <w:rFonts w:cs="Arial"/>
          <w:lang w:val="es-ES_tradnl"/>
        </w:rPr>
        <w:t xml:space="preserve">2,2 puntos porcentuales resulta más contenido </w:t>
      </w:r>
      <w:r>
        <w:rPr>
          <w:rFonts w:cs="Arial"/>
          <w:lang w:val="es-ES_tradnl"/>
        </w:rPr>
        <w:t xml:space="preserve">respecto </w:t>
      </w:r>
      <w:r w:rsidRPr="00C56135">
        <w:rPr>
          <w:rFonts w:cs="Arial"/>
          <w:lang w:val="es-ES_tradnl"/>
        </w:rPr>
        <w:t xml:space="preserve">bienio </w:t>
      </w:r>
      <w:r>
        <w:rPr>
          <w:rFonts w:cs="Arial"/>
          <w:lang w:val="es-ES_tradnl"/>
        </w:rPr>
        <w:t xml:space="preserve">2010-2012 en el </w:t>
      </w:r>
      <w:r w:rsidRPr="00C56135">
        <w:rPr>
          <w:rFonts w:cs="Arial"/>
          <w:lang w:val="es-ES_tradnl"/>
        </w:rPr>
        <w:t xml:space="preserve">que el peso de las exportaciones </w:t>
      </w:r>
      <w:r>
        <w:rPr>
          <w:rFonts w:cs="Arial"/>
          <w:lang w:val="es-ES_tradnl"/>
        </w:rPr>
        <w:t xml:space="preserve">se </w:t>
      </w:r>
      <w:r w:rsidRPr="00C56135">
        <w:rPr>
          <w:rFonts w:cs="Arial"/>
          <w:lang w:val="es-ES_tradnl"/>
        </w:rPr>
        <w:t>incrementaba en 6 puntos porcentuales.</w:t>
      </w:r>
    </w:p>
    <w:p w:rsidR="00C959DB" w:rsidRPr="00C56135" w:rsidRDefault="00C959DB" w:rsidP="00C959DB">
      <w:pPr>
        <w:rPr>
          <w:rFonts w:cs="Arial"/>
          <w:lang w:val="es-ES_tradnl"/>
        </w:rPr>
      </w:pPr>
    </w:p>
    <w:p w:rsidR="004114B8" w:rsidRPr="00640F72" w:rsidRDefault="00C959DB" w:rsidP="004114B8">
      <w:pPr>
        <w:widowControl w:val="0"/>
      </w:pPr>
      <w:r>
        <w:rPr>
          <w:rFonts w:eastAsia="Arial" w:cs="Arial"/>
          <w:color w:val="000000" w:themeColor="text1"/>
          <w:szCs w:val="20"/>
          <w:lang w:val="es-ES_tradnl"/>
        </w:rPr>
        <w:t xml:space="preserve">Esta realidad se vincula sin duda a la dinámica de los establecimientos no exportadores. </w:t>
      </w:r>
      <w:r w:rsidR="00640F72">
        <w:rPr>
          <w:rFonts w:eastAsia="Arial" w:cs="Arial"/>
          <w:color w:val="000000" w:themeColor="text1"/>
          <w:szCs w:val="20"/>
          <w:lang w:val="es-ES_tradnl"/>
        </w:rPr>
        <w:t>De hecho</w:t>
      </w:r>
      <w:r w:rsidR="004114B8">
        <w:rPr>
          <w:rFonts w:eastAsia="Arial" w:cs="Arial"/>
          <w:color w:val="000000" w:themeColor="text1"/>
          <w:szCs w:val="20"/>
          <w:lang w:val="es-ES_tradnl"/>
        </w:rPr>
        <w:t xml:space="preserve">, </w:t>
      </w:r>
      <w:r w:rsidR="00640F72">
        <w:rPr>
          <w:rFonts w:eastAsia="Arial" w:cs="Arial"/>
          <w:color w:val="000000" w:themeColor="text1"/>
          <w:szCs w:val="20"/>
          <w:lang w:val="es-ES_tradnl"/>
        </w:rPr>
        <w:t xml:space="preserve">se extiende </w:t>
      </w:r>
      <w:r w:rsidR="004114B8">
        <w:rPr>
          <w:rFonts w:eastAsia="Arial" w:cs="Arial"/>
          <w:color w:val="000000" w:themeColor="text1"/>
          <w:szCs w:val="20"/>
          <w:lang w:val="es-ES_tradnl"/>
        </w:rPr>
        <w:t xml:space="preserve">el grado de apertura </w:t>
      </w:r>
      <w:r w:rsidR="00640F72">
        <w:rPr>
          <w:rFonts w:eastAsia="Arial" w:cs="Arial"/>
          <w:color w:val="000000" w:themeColor="text1"/>
          <w:szCs w:val="20"/>
          <w:lang w:val="es-ES_tradnl"/>
        </w:rPr>
        <w:t>al exterior de</w:t>
      </w:r>
      <w:r w:rsidR="004114B8">
        <w:rPr>
          <w:rFonts w:eastAsia="Arial" w:cs="Arial"/>
          <w:color w:val="000000" w:themeColor="text1"/>
          <w:szCs w:val="20"/>
          <w:lang w:val="es-ES_tradnl"/>
        </w:rPr>
        <w:t xml:space="preserve"> </w:t>
      </w:r>
      <w:r w:rsidR="00640F72">
        <w:rPr>
          <w:rFonts w:eastAsia="Arial" w:cs="Arial"/>
          <w:color w:val="000000" w:themeColor="text1"/>
          <w:szCs w:val="20"/>
          <w:lang w:val="es-ES_tradnl"/>
        </w:rPr>
        <w:t xml:space="preserve">los centros productivos con actividad exportadora. En 2014, un </w:t>
      </w:r>
      <w:r w:rsidR="004114B8">
        <w:rPr>
          <w:rFonts w:eastAsia="Arial" w:cs="Arial"/>
          <w:color w:val="000000" w:themeColor="text1"/>
          <w:szCs w:val="20"/>
          <w:lang w:val="es-ES_tradnl"/>
        </w:rPr>
        <w:t xml:space="preserve">65,2% </w:t>
      </w:r>
      <w:r w:rsidR="00640F72">
        <w:rPr>
          <w:rFonts w:eastAsia="Arial" w:cs="Arial"/>
          <w:color w:val="000000" w:themeColor="text1"/>
          <w:szCs w:val="20"/>
          <w:lang w:val="es-ES_tradnl"/>
        </w:rPr>
        <w:t xml:space="preserve">de su facturación se asocia a la exportación, </w:t>
      </w:r>
      <w:r w:rsidR="004114B8">
        <w:rPr>
          <w:rFonts w:eastAsia="Arial" w:cs="Arial"/>
          <w:color w:val="000000" w:themeColor="text1"/>
          <w:szCs w:val="20"/>
          <w:lang w:val="es-ES_tradnl"/>
        </w:rPr>
        <w:t xml:space="preserve">5,5 puntos porcentuales </w:t>
      </w:r>
      <w:r w:rsidR="00640F72">
        <w:rPr>
          <w:rFonts w:eastAsia="Arial" w:cs="Arial"/>
          <w:color w:val="000000" w:themeColor="text1"/>
          <w:szCs w:val="20"/>
          <w:lang w:val="es-ES_tradnl"/>
        </w:rPr>
        <w:t xml:space="preserve">por encima del 59,7% de 2012 </w:t>
      </w:r>
      <w:r w:rsidR="004114B8">
        <w:rPr>
          <w:rFonts w:eastAsia="Arial" w:cs="Arial"/>
          <w:color w:val="000000" w:themeColor="text1"/>
          <w:szCs w:val="20"/>
          <w:lang w:val="es-ES_tradnl"/>
        </w:rPr>
        <w:t>a este ratio</w:t>
      </w:r>
      <w:r w:rsidR="00DF1FA6">
        <w:rPr>
          <w:rFonts w:eastAsia="Arial" w:cs="Arial"/>
          <w:color w:val="000000" w:themeColor="text1"/>
          <w:szCs w:val="20"/>
          <w:lang w:val="es-ES_tradnl"/>
        </w:rPr>
        <w:t xml:space="preserve"> de apertura</w:t>
      </w:r>
      <w:r w:rsidR="00640F72">
        <w:rPr>
          <w:rFonts w:eastAsia="Arial" w:cs="Arial"/>
          <w:color w:val="000000" w:themeColor="text1"/>
          <w:szCs w:val="20"/>
          <w:lang w:val="es-ES_tradnl"/>
        </w:rPr>
        <w:t>, el mayor avance observado desde 2004.</w:t>
      </w:r>
    </w:p>
    <w:p w:rsidR="004114B8" w:rsidRDefault="004114B8" w:rsidP="004114B8">
      <w:pPr>
        <w:widowControl w:val="0"/>
        <w:spacing w:line="240" w:lineRule="auto"/>
        <w:jc w:val="center"/>
        <w:rPr>
          <w:rFonts w:cs="Arial"/>
          <w:b/>
          <w:color w:val="1F497D" w:themeColor="text2"/>
          <w:sz w:val="18"/>
          <w:szCs w:val="18"/>
          <w:lang w:val="es-ES_tradnl"/>
        </w:rPr>
      </w:pPr>
    </w:p>
    <w:p w:rsidR="009221F6" w:rsidRDefault="009221F6">
      <w:pPr>
        <w:spacing w:after="200" w:line="276" w:lineRule="auto"/>
        <w:jc w:val="left"/>
        <w:rPr>
          <w:rFonts w:cs="Arial"/>
          <w:b/>
          <w:color w:val="1F497D" w:themeColor="text2"/>
          <w:sz w:val="18"/>
          <w:szCs w:val="18"/>
          <w:lang w:val="es-ES_tradnl"/>
        </w:rPr>
      </w:pPr>
      <w:r>
        <w:rPr>
          <w:rFonts w:cs="Arial"/>
          <w:b/>
          <w:color w:val="1F497D" w:themeColor="text2"/>
          <w:sz w:val="18"/>
          <w:szCs w:val="18"/>
          <w:lang w:val="es-ES_tradnl"/>
        </w:rPr>
        <w:br w:type="page"/>
      </w:r>
    </w:p>
    <w:p w:rsidR="004114B8" w:rsidRPr="00204766" w:rsidRDefault="004114B8" w:rsidP="004114B8">
      <w:pPr>
        <w:widowControl w:val="0"/>
        <w:spacing w:line="240" w:lineRule="auto"/>
        <w:jc w:val="center"/>
        <w:rPr>
          <w:rFonts w:cs="Arial"/>
          <w:b/>
          <w:color w:val="1F497D" w:themeColor="text2"/>
          <w:sz w:val="18"/>
          <w:szCs w:val="18"/>
          <w:lang w:val="es-ES_tradnl"/>
        </w:rPr>
      </w:pPr>
      <w:r w:rsidRPr="00851DBC">
        <w:rPr>
          <w:rFonts w:cs="Arial"/>
          <w:b/>
          <w:color w:val="1F497D" w:themeColor="text2"/>
          <w:sz w:val="18"/>
          <w:szCs w:val="18"/>
          <w:lang w:val="es-ES_tradnl"/>
        </w:rPr>
        <w:lastRenderedPageBreak/>
        <w:t>EVOLUCIÓN DEL PESO RELATIVO DE LAS EXPORTACIONES SOBRE LA FACTURACIÓN TOTAL EN LAS EMPRESAS EXPORTADORAS. 2004 - 2014</w:t>
      </w:r>
    </w:p>
    <w:p w:rsidR="004114B8" w:rsidRDefault="004114B8" w:rsidP="004114B8">
      <w:pPr>
        <w:widowControl w:val="0"/>
        <w:rPr>
          <w:rFonts w:cs="Arial"/>
          <w:lang w:val="es-ES_tradnl"/>
        </w:rPr>
      </w:pPr>
      <w:r w:rsidRPr="00E968C7">
        <w:rPr>
          <w:rFonts w:cs="Arial"/>
          <w:noProof/>
          <w:lang w:eastAsia="es-ES"/>
        </w:rPr>
        <w:drawing>
          <wp:anchor distT="0" distB="0" distL="114300" distR="114300" simplePos="0" relativeHeight="251805696" behindDoc="0" locked="0" layoutInCell="1" allowOverlap="1">
            <wp:simplePos x="0" y="0"/>
            <wp:positionH relativeFrom="column">
              <wp:posOffset>118110</wp:posOffset>
            </wp:positionH>
            <wp:positionV relativeFrom="paragraph">
              <wp:posOffset>106680</wp:posOffset>
            </wp:positionV>
            <wp:extent cx="5505450" cy="1419225"/>
            <wp:effectExtent l="0" t="0" r="0" b="0"/>
            <wp:wrapNone/>
            <wp:docPr id="12"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114B8" w:rsidRDefault="004114B8" w:rsidP="004114B8">
      <w:pPr>
        <w:widowControl w:val="0"/>
        <w:rPr>
          <w:rFonts w:cs="Arial"/>
          <w:lang w:val="es-ES_tradnl"/>
        </w:rPr>
      </w:pPr>
    </w:p>
    <w:p w:rsidR="004114B8" w:rsidRDefault="004114B8" w:rsidP="004114B8">
      <w:pPr>
        <w:widowControl w:val="0"/>
        <w:rPr>
          <w:rFonts w:cs="Arial"/>
          <w:lang w:val="es-ES_tradnl"/>
        </w:rPr>
      </w:pPr>
    </w:p>
    <w:p w:rsidR="004114B8" w:rsidRDefault="004114B8" w:rsidP="004114B8">
      <w:pPr>
        <w:widowControl w:val="0"/>
        <w:rPr>
          <w:rFonts w:cs="Arial"/>
          <w:lang w:val="es-ES_tradnl"/>
        </w:rPr>
      </w:pPr>
    </w:p>
    <w:p w:rsidR="004114B8" w:rsidRDefault="004114B8" w:rsidP="004114B8">
      <w:pPr>
        <w:widowControl w:val="0"/>
        <w:rPr>
          <w:rFonts w:cs="Arial"/>
          <w:lang w:val="es-ES_tradnl"/>
        </w:rPr>
      </w:pPr>
    </w:p>
    <w:p w:rsidR="004114B8" w:rsidRDefault="004114B8" w:rsidP="004114B8">
      <w:pPr>
        <w:widowControl w:val="0"/>
        <w:rPr>
          <w:rFonts w:cs="Arial"/>
          <w:lang w:val="es-ES_tradnl"/>
        </w:rPr>
      </w:pPr>
    </w:p>
    <w:p w:rsidR="004114B8" w:rsidRDefault="004114B8" w:rsidP="004114B8">
      <w:pPr>
        <w:widowControl w:val="0"/>
        <w:rPr>
          <w:rFonts w:cs="Arial"/>
        </w:rPr>
      </w:pPr>
    </w:p>
    <w:p w:rsidR="00FA5547" w:rsidRDefault="00FA5547" w:rsidP="004114B8">
      <w:pPr>
        <w:widowControl w:val="0"/>
        <w:rPr>
          <w:lang w:val="es-ES_tradnl"/>
        </w:rPr>
      </w:pPr>
    </w:p>
    <w:p w:rsidR="00640F72" w:rsidRDefault="00640F72" w:rsidP="004114B8">
      <w:pPr>
        <w:widowControl w:val="0"/>
        <w:rPr>
          <w:lang w:val="es-ES_tradnl"/>
        </w:rPr>
      </w:pPr>
    </w:p>
    <w:p w:rsidR="00AF3C20" w:rsidRPr="00E56329" w:rsidRDefault="00AF3C20" w:rsidP="004114B8">
      <w:pPr>
        <w:widowControl w:val="0"/>
        <w:rPr>
          <w:b/>
          <w:lang w:val="es-ES_tradnl"/>
        </w:rPr>
      </w:pPr>
      <w:r w:rsidRPr="00E56329">
        <w:rPr>
          <w:b/>
          <w:lang w:val="es-ES_tradnl"/>
        </w:rPr>
        <w:t xml:space="preserve">Sin embargo, se rompe entre 2012-2014 el significativo aumento de la facturación exterior del periodo 2010-2012, hecho atribuible a la </w:t>
      </w:r>
      <w:r w:rsidR="00A446E4" w:rsidRPr="00E56329">
        <w:rPr>
          <w:b/>
          <w:lang w:val="es-ES_tradnl"/>
        </w:rPr>
        <w:t xml:space="preserve">caída de la facturación </w:t>
      </w:r>
      <w:r w:rsidRPr="00E56329">
        <w:rPr>
          <w:b/>
          <w:lang w:val="es-ES_tradnl"/>
        </w:rPr>
        <w:t>fuera de Europa</w:t>
      </w:r>
      <w:r w:rsidR="00624D92">
        <w:rPr>
          <w:b/>
          <w:lang w:val="es-ES_tradnl"/>
        </w:rPr>
        <w:t>.</w:t>
      </w:r>
    </w:p>
    <w:p w:rsidR="00AF3C20" w:rsidRPr="00AF3C20" w:rsidRDefault="00AF3C20" w:rsidP="004114B8">
      <w:pPr>
        <w:widowControl w:val="0"/>
        <w:rPr>
          <w:lang w:val="es-ES_tradnl"/>
        </w:rPr>
      </w:pPr>
    </w:p>
    <w:p w:rsidR="00AF3C20" w:rsidRDefault="00640F72" w:rsidP="004114B8">
      <w:pPr>
        <w:widowControl w:val="0"/>
        <w:rPr>
          <w:rFonts w:eastAsia="Arial" w:cs="Arial"/>
          <w:color w:val="000000" w:themeColor="text1"/>
          <w:szCs w:val="20"/>
          <w:lang w:val="es-ES_tradnl"/>
        </w:rPr>
      </w:pPr>
      <w:r>
        <w:rPr>
          <w:rFonts w:eastAsia="Arial" w:cs="Arial"/>
          <w:color w:val="000000" w:themeColor="text1"/>
          <w:szCs w:val="20"/>
          <w:lang w:val="es-ES_tradnl"/>
        </w:rPr>
        <w:t xml:space="preserve">Esta positiva dinámica aparente esconde sin embargo un problema </w:t>
      </w:r>
      <w:r w:rsidR="00AF3C20">
        <w:rPr>
          <w:rFonts w:eastAsia="Arial" w:cs="Arial"/>
          <w:color w:val="000000" w:themeColor="text1"/>
          <w:szCs w:val="20"/>
          <w:lang w:val="es-ES_tradnl"/>
        </w:rPr>
        <w:t>relevante en los últimos dos años</w:t>
      </w:r>
      <w:r>
        <w:rPr>
          <w:rFonts w:eastAsia="Arial" w:cs="Arial"/>
          <w:color w:val="000000" w:themeColor="text1"/>
          <w:szCs w:val="20"/>
          <w:lang w:val="es-ES_tradnl"/>
        </w:rPr>
        <w:t xml:space="preserve">: </w:t>
      </w:r>
      <w:r w:rsidR="00217EC2">
        <w:rPr>
          <w:rFonts w:eastAsia="Arial" w:cs="Arial"/>
          <w:color w:val="000000" w:themeColor="text1"/>
          <w:szCs w:val="20"/>
          <w:lang w:val="es-ES_tradnl"/>
        </w:rPr>
        <w:t xml:space="preserve">la llamativa caída </w:t>
      </w:r>
      <w:r>
        <w:rPr>
          <w:rFonts w:eastAsia="Arial" w:cs="Arial"/>
          <w:color w:val="000000" w:themeColor="text1"/>
          <w:szCs w:val="20"/>
          <w:lang w:val="es-ES_tradnl"/>
        </w:rPr>
        <w:t xml:space="preserve">de </w:t>
      </w:r>
      <w:r w:rsidR="00217EC2">
        <w:rPr>
          <w:rFonts w:eastAsia="Arial" w:cs="Arial"/>
          <w:color w:val="000000" w:themeColor="text1"/>
          <w:szCs w:val="20"/>
          <w:lang w:val="es-ES_tradnl"/>
        </w:rPr>
        <w:t xml:space="preserve">la </w:t>
      </w:r>
      <w:r>
        <w:rPr>
          <w:rFonts w:eastAsia="Arial" w:cs="Arial"/>
          <w:color w:val="000000" w:themeColor="text1"/>
          <w:szCs w:val="20"/>
          <w:lang w:val="es-ES_tradnl"/>
        </w:rPr>
        <w:t xml:space="preserve">facturación interna entre unas empresas exportadoras que tampoco consiguen aumentar en términos reales </w:t>
      </w:r>
      <w:r w:rsidR="00217EC2">
        <w:rPr>
          <w:rFonts w:eastAsia="Arial" w:cs="Arial"/>
          <w:color w:val="000000" w:themeColor="text1"/>
          <w:szCs w:val="20"/>
          <w:lang w:val="es-ES_tradnl"/>
        </w:rPr>
        <w:t>su facturación exterior</w:t>
      </w:r>
      <w:r>
        <w:rPr>
          <w:rFonts w:eastAsia="Arial" w:cs="Arial"/>
          <w:color w:val="000000" w:themeColor="text1"/>
          <w:szCs w:val="20"/>
          <w:lang w:val="es-ES_tradnl"/>
        </w:rPr>
        <w:t xml:space="preserve">. </w:t>
      </w:r>
    </w:p>
    <w:p w:rsidR="00AF3C20" w:rsidRDefault="00AF3C20" w:rsidP="004114B8">
      <w:pPr>
        <w:widowControl w:val="0"/>
        <w:rPr>
          <w:rFonts w:eastAsia="Arial" w:cs="Arial"/>
          <w:color w:val="000000" w:themeColor="text1"/>
          <w:szCs w:val="20"/>
          <w:lang w:val="es-ES_tradnl"/>
        </w:rPr>
      </w:pPr>
    </w:p>
    <w:p w:rsidR="004114B8" w:rsidRDefault="00640F72" w:rsidP="004114B8">
      <w:pPr>
        <w:widowControl w:val="0"/>
        <w:rPr>
          <w:lang w:val="es-ES_tradnl"/>
        </w:rPr>
      </w:pPr>
      <w:r>
        <w:rPr>
          <w:rFonts w:eastAsia="Arial" w:cs="Arial"/>
          <w:color w:val="000000" w:themeColor="text1"/>
          <w:szCs w:val="20"/>
          <w:lang w:val="es-ES_tradnl"/>
        </w:rPr>
        <w:t>Los datos del bienio 2012-2014 muestran, en realidad, una dinámica muy preocupante en esta dimensión de la acción exterior de las FCES.</w:t>
      </w:r>
      <w:r w:rsidR="00AF3C20">
        <w:rPr>
          <w:rFonts w:eastAsia="Arial" w:cs="Arial"/>
          <w:color w:val="000000" w:themeColor="text1"/>
          <w:szCs w:val="20"/>
          <w:lang w:val="es-ES_tradnl"/>
        </w:rPr>
        <w:t xml:space="preserve"> </w:t>
      </w:r>
      <w:r w:rsidR="004114B8">
        <w:rPr>
          <w:lang w:val="es-ES_tradnl"/>
        </w:rPr>
        <w:t xml:space="preserve">En este sentido, cabe destacar el hecho de que </w:t>
      </w:r>
      <w:r w:rsidR="004114B8" w:rsidRPr="006C2960">
        <w:rPr>
          <w:b/>
          <w:lang w:val="es-ES_tradnl"/>
        </w:rPr>
        <w:t xml:space="preserve">la caída en la facturación de las empresas exportadoras (-9,1%) resulta </w:t>
      </w:r>
      <w:r>
        <w:rPr>
          <w:b/>
          <w:lang w:val="es-ES_tradnl"/>
        </w:rPr>
        <w:t>casi el doble</w:t>
      </w:r>
      <w:r w:rsidR="004114B8" w:rsidRPr="006C2960">
        <w:rPr>
          <w:b/>
          <w:lang w:val="es-ES_tradnl"/>
        </w:rPr>
        <w:t xml:space="preserve"> que el descenso vivido por parte de las empresas que no exportan</w:t>
      </w:r>
      <w:r w:rsidR="006C2960" w:rsidRPr="006C2960">
        <w:rPr>
          <w:b/>
          <w:lang w:val="es-ES_tradnl"/>
        </w:rPr>
        <w:t xml:space="preserve"> </w:t>
      </w:r>
      <w:r w:rsidR="004114B8" w:rsidRPr="006C2960">
        <w:rPr>
          <w:b/>
          <w:lang w:val="es-ES_tradnl"/>
        </w:rPr>
        <w:t xml:space="preserve">y alimentan su cuenta de resultados con ventas en </w:t>
      </w:r>
      <w:r w:rsidR="006C2960" w:rsidRPr="006C2960">
        <w:rPr>
          <w:b/>
          <w:lang w:val="es-ES_tradnl"/>
        </w:rPr>
        <w:t xml:space="preserve">el ámbito de la CAE y/o </w:t>
      </w:r>
      <w:r>
        <w:rPr>
          <w:b/>
          <w:lang w:val="es-ES_tradnl"/>
        </w:rPr>
        <w:t xml:space="preserve">del Estado </w:t>
      </w:r>
      <w:r w:rsidR="006C2960" w:rsidRPr="006C2960">
        <w:rPr>
          <w:b/>
          <w:lang w:val="es-ES_tradnl"/>
        </w:rPr>
        <w:t>(-4,9%).</w:t>
      </w:r>
    </w:p>
    <w:p w:rsidR="004114B8" w:rsidRDefault="004114B8" w:rsidP="004114B8">
      <w:pPr>
        <w:widowControl w:val="0"/>
        <w:rPr>
          <w:lang w:val="es-ES_tradnl"/>
        </w:rPr>
      </w:pPr>
    </w:p>
    <w:p w:rsidR="00AF3C20" w:rsidRDefault="004114B8" w:rsidP="004114B8">
      <w:pPr>
        <w:widowControl w:val="0"/>
        <w:rPr>
          <w:lang w:val="es-ES_tradnl"/>
        </w:rPr>
      </w:pPr>
      <w:r>
        <w:rPr>
          <w:lang w:val="es-ES_tradnl"/>
        </w:rPr>
        <w:t>Este efecto atribuible a las empresas de perfil exportador, queda explicado fundamentalmente por el descenso de las ventas en el mercado doméstico (-21,5%),</w:t>
      </w:r>
      <w:r w:rsidR="00A40BF0">
        <w:rPr>
          <w:lang w:val="es-ES_tradnl"/>
        </w:rPr>
        <w:t xml:space="preserve"> </w:t>
      </w:r>
      <w:r w:rsidR="00217EC2">
        <w:rPr>
          <w:lang w:val="es-ES_tradnl"/>
        </w:rPr>
        <w:t xml:space="preserve">una caída </w:t>
      </w:r>
      <w:r>
        <w:rPr>
          <w:lang w:val="es-ES_tradnl"/>
        </w:rPr>
        <w:t xml:space="preserve">que no </w:t>
      </w:r>
      <w:r w:rsidR="006C2960">
        <w:rPr>
          <w:lang w:val="es-ES_tradnl"/>
        </w:rPr>
        <w:t>se ve compensada a través de un</w:t>
      </w:r>
      <w:r>
        <w:rPr>
          <w:lang w:val="es-ES_tradnl"/>
        </w:rPr>
        <w:t xml:space="preserve"> mayor dinamismo en las ventas externas</w:t>
      </w:r>
      <w:r w:rsidR="00AF3C20">
        <w:rPr>
          <w:lang w:val="es-ES_tradnl"/>
        </w:rPr>
        <w:t>. De hecho, en el bienio 2012-2014 las exportaciones incluso decrecen globalmente en un 0,7%.</w:t>
      </w:r>
    </w:p>
    <w:p w:rsidR="00AF3C20" w:rsidRDefault="00AF3C20" w:rsidP="004114B8">
      <w:pPr>
        <w:widowControl w:val="0"/>
        <w:rPr>
          <w:lang w:val="es-ES_tradnl"/>
        </w:rPr>
      </w:pPr>
    </w:p>
    <w:p w:rsidR="004114B8" w:rsidRDefault="00AF3C20" w:rsidP="004114B8">
      <w:pPr>
        <w:widowControl w:val="0"/>
        <w:rPr>
          <w:lang w:val="es-ES_tradnl"/>
        </w:rPr>
      </w:pPr>
      <w:r>
        <w:rPr>
          <w:lang w:val="es-ES_tradnl"/>
        </w:rPr>
        <w:t xml:space="preserve">Se trata de un cambio sustancial respecto a lo observado en </w:t>
      </w:r>
      <w:r w:rsidR="004114B8">
        <w:rPr>
          <w:lang w:val="es-ES_tradnl"/>
        </w:rPr>
        <w:t xml:space="preserve">el bienio 2010-2012, </w:t>
      </w:r>
      <w:r>
        <w:rPr>
          <w:lang w:val="es-ES_tradnl"/>
        </w:rPr>
        <w:t xml:space="preserve">periodo en el que el </w:t>
      </w:r>
      <w:r w:rsidR="004114B8">
        <w:rPr>
          <w:lang w:val="es-ES_tradnl"/>
        </w:rPr>
        <w:t xml:space="preserve">crecimiento de las exportaciones </w:t>
      </w:r>
      <w:r>
        <w:rPr>
          <w:lang w:val="es-ES_tradnl"/>
        </w:rPr>
        <w:t xml:space="preserve">(+18,8%) compensaba, en las empresas exportadoras, </w:t>
      </w:r>
      <w:r w:rsidR="004114B8">
        <w:rPr>
          <w:lang w:val="es-ES_tradnl"/>
        </w:rPr>
        <w:t xml:space="preserve">la pérdida de ventas </w:t>
      </w:r>
      <w:r>
        <w:rPr>
          <w:lang w:val="es-ES_tradnl"/>
        </w:rPr>
        <w:t>dentro del mercado interno</w:t>
      </w:r>
      <w:r w:rsidR="004114B8">
        <w:rPr>
          <w:lang w:val="es-ES_tradnl"/>
        </w:rPr>
        <w:t xml:space="preserve"> (</w:t>
      </w:r>
      <w:r>
        <w:rPr>
          <w:lang w:val="es-ES_tradnl"/>
        </w:rPr>
        <w:t>-</w:t>
      </w:r>
      <w:r w:rsidR="004114B8">
        <w:rPr>
          <w:lang w:val="es-ES_tradnl"/>
        </w:rPr>
        <w:t xml:space="preserve">5,5%). </w:t>
      </w:r>
      <w:r>
        <w:rPr>
          <w:lang w:val="es-ES_tradnl"/>
        </w:rPr>
        <w:t>Ello permitía entonces un crecimiento del 7,6% en la facturación frente a la caída del 9,1% registrada en las empresas exportadoras entre 2012 y 2014.</w:t>
      </w:r>
    </w:p>
    <w:p w:rsidR="00CA3C57" w:rsidRDefault="00CA3C57" w:rsidP="00163B56">
      <w:pPr>
        <w:pStyle w:val="ARIALNARROW"/>
        <w:spacing w:line="360" w:lineRule="auto"/>
        <w:rPr>
          <w:rFonts w:eastAsiaTheme="minorHAnsi" w:cstheme="minorBidi"/>
          <w:b/>
          <w:szCs w:val="22"/>
        </w:rPr>
      </w:pPr>
    </w:p>
    <w:p w:rsidR="00AF3C20" w:rsidRDefault="00AF3C20" w:rsidP="00AF3C20">
      <w:pPr>
        <w:widowControl w:val="0"/>
        <w:spacing w:line="240" w:lineRule="auto"/>
        <w:jc w:val="center"/>
        <w:rPr>
          <w:rFonts w:cs="Arial"/>
          <w:b/>
          <w:color w:val="1F497D" w:themeColor="text2"/>
          <w:sz w:val="18"/>
          <w:szCs w:val="18"/>
        </w:rPr>
      </w:pPr>
      <w:r w:rsidRPr="00C67386">
        <w:rPr>
          <w:rFonts w:cs="Arial"/>
          <w:b/>
          <w:color w:val="1F497D" w:themeColor="text2"/>
          <w:sz w:val="18"/>
          <w:szCs w:val="18"/>
        </w:rPr>
        <w:t>EVOLUCIÓN VENTAS INTERN</w:t>
      </w:r>
      <w:r>
        <w:rPr>
          <w:rFonts w:cs="Arial"/>
          <w:b/>
          <w:color w:val="1F497D" w:themeColor="text2"/>
          <w:sz w:val="18"/>
          <w:szCs w:val="18"/>
        </w:rPr>
        <w:t>AS VS. VENTAS EXTERNAS 2012 – 2014</w:t>
      </w:r>
    </w:p>
    <w:tbl>
      <w:tblPr>
        <w:tblW w:w="5000" w:type="pct"/>
        <w:jc w:val="center"/>
        <w:tblCellMar>
          <w:left w:w="70" w:type="dxa"/>
          <w:right w:w="70" w:type="dxa"/>
        </w:tblCellMar>
        <w:tblLook w:val="04A0" w:firstRow="1" w:lastRow="0" w:firstColumn="1" w:lastColumn="0" w:noHBand="0" w:noVBand="1"/>
      </w:tblPr>
      <w:tblGrid>
        <w:gridCol w:w="3403"/>
        <w:gridCol w:w="1277"/>
        <w:gridCol w:w="1468"/>
        <w:gridCol w:w="1421"/>
        <w:gridCol w:w="1359"/>
      </w:tblGrid>
      <w:tr w:rsidR="00AF3C20" w:rsidRPr="00663AE9" w:rsidTr="00AF3C20">
        <w:trPr>
          <w:jc w:val="center"/>
        </w:trPr>
        <w:tc>
          <w:tcPr>
            <w:tcW w:w="1906" w:type="pct"/>
            <w:tcBorders>
              <w:top w:val="single" w:sz="8" w:space="0" w:color="BFBFBF"/>
              <w:left w:val="nil"/>
              <w:bottom w:val="single" w:sz="8" w:space="0" w:color="BFBFBF"/>
              <w:right w:val="single" w:sz="8" w:space="0" w:color="BFBFBF"/>
            </w:tcBorders>
            <w:shd w:val="clear" w:color="000000" w:fill="DBE5F1"/>
            <w:hideMark/>
          </w:tcPr>
          <w:p w:rsidR="00AF3C20" w:rsidRPr="00663AE9" w:rsidRDefault="00AF3C20" w:rsidP="00F45AB1">
            <w:pPr>
              <w:spacing w:line="240" w:lineRule="exact"/>
              <w:rPr>
                <w:rFonts w:ascii="Calibri" w:eastAsia="Times New Roman" w:hAnsi="Calibri" w:cs="Times New Roman"/>
                <w:color w:val="000000"/>
                <w:szCs w:val="20"/>
                <w:lang w:eastAsia="es-ES"/>
              </w:rPr>
            </w:pPr>
            <w:r w:rsidRPr="00663AE9">
              <w:rPr>
                <w:rFonts w:ascii="Calibri" w:eastAsia="Times New Roman" w:hAnsi="Calibri" w:cs="Times New Roman"/>
                <w:color w:val="000000"/>
                <w:szCs w:val="20"/>
                <w:lang w:eastAsia="es-ES"/>
              </w:rPr>
              <w:t> </w:t>
            </w:r>
          </w:p>
        </w:tc>
        <w:tc>
          <w:tcPr>
            <w:tcW w:w="715" w:type="pct"/>
            <w:tcBorders>
              <w:top w:val="single" w:sz="8" w:space="0" w:color="BFBFBF"/>
              <w:left w:val="nil"/>
              <w:bottom w:val="single" w:sz="8" w:space="0" w:color="BFBFBF"/>
              <w:right w:val="single" w:sz="8" w:space="0" w:color="BFBFBF"/>
            </w:tcBorders>
            <w:shd w:val="clear" w:color="000000" w:fill="DBE5F1"/>
            <w:vAlign w:val="bottom"/>
            <w:hideMark/>
          </w:tcPr>
          <w:p w:rsidR="00AF3C20" w:rsidRPr="00663AE9" w:rsidRDefault="00AF3C20" w:rsidP="00F45AB1">
            <w:pPr>
              <w:spacing w:line="240" w:lineRule="exact"/>
              <w:jc w:val="center"/>
              <w:rPr>
                <w:rFonts w:eastAsia="Times New Roman" w:cs="Arial"/>
                <w:b/>
                <w:bCs/>
                <w:color w:val="000000"/>
                <w:sz w:val="16"/>
                <w:szCs w:val="16"/>
                <w:lang w:eastAsia="es-ES"/>
              </w:rPr>
            </w:pPr>
            <w:r w:rsidRPr="00663AE9">
              <w:rPr>
                <w:rFonts w:eastAsia="Times New Roman" w:cs="Arial"/>
                <w:b/>
                <w:bCs/>
                <w:color w:val="000000"/>
                <w:sz w:val="16"/>
                <w:szCs w:val="16"/>
                <w:lang w:eastAsia="es-ES"/>
              </w:rPr>
              <w:t>2012</w:t>
            </w:r>
          </w:p>
        </w:tc>
        <w:tc>
          <w:tcPr>
            <w:tcW w:w="822" w:type="pct"/>
            <w:tcBorders>
              <w:top w:val="single" w:sz="8" w:space="0" w:color="BFBFBF"/>
              <w:left w:val="nil"/>
              <w:bottom w:val="single" w:sz="8" w:space="0" w:color="BFBFBF"/>
              <w:right w:val="single" w:sz="8" w:space="0" w:color="BFBFBF"/>
            </w:tcBorders>
            <w:shd w:val="clear" w:color="000000" w:fill="DBE5F1"/>
            <w:vAlign w:val="bottom"/>
            <w:hideMark/>
          </w:tcPr>
          <w:p w:rsidR="00AF3C20" w:rsidRPr="00663AE9" w:rsidRDefault="00AF3C20" w:rsidP="00F45AB1">
            <w:pPr>
              <w:spacing w:line="240" w:lineRule="exact"/>
              <w:jc w:val="center"/>
              <w:rPr>
                <w:rFonts w:eastAsia="Times New Roman" w:cs="Arial"/>
                <w:b/>
                <w:bCs/>
                <w:color w:val="000000"/>
                <w:sz w:val="16"/>
                <w:szCs w:val="16"/>
                <w:lang w:eastAsia="es-ES"/>
              </w:rPr>
            </w:pPr>
            <w:r w:rsidRPr="00663AE9">
              <w:rPr>
                <w:rFonts w:eastAsia="Times New Roman" w:cs="Arial"/>
                <w:b/>
                <w:bCs/>
                <w:color w:val="000000"/>
                <w:sz w:val="16"/>
                <w:szCs w:val="16"/>
                <w:lang w:eastAsia="es-ES"/>
              </w:rPr>
              <w:t>2014</w:t>
            </w:r>
          </w:p>
        </w:tc>
        <w:tc>
          <w:tcPr>
            <w:tcW w:w="796" w:type="pct"/>
            <w:tcBorders>
              <w:top w:val="single" w:sz="8" w:space="0" w:color="BFBFBF"/>
              <w:left w:val="nil"/>
              <w:bottom w:val="single" w:sz="8" w:space="0" w:color="BFBFBF"/>
              <w:right w:val="single" w:sz="8" w:space="0" w:color="BFBFBF"/>
            </w:tcBorders>
            <w:shd w:val="clear" w:color="000000" w:fill="DBE5F1"/>
            <w:vAlign w:val="bottom"/>
            <w:hideMark/>
          </w:tcPr>
          <w:p w:rsidR="00AF3C20" w:rsidRPr="00663AE9" w:rsidRDefault="00AF3C20" w:rsidP="00F45AB1">
            <w:pPr>
              <w:spacing w:line="240" w:lineRule="exact"/>
              <w:jc w:val="center"/>
              <w:rPr>
                <w:rFonts w:eastAsia="Times New Roman" w:cs="Arial"/>
                <w:b/>
                <w:bCs/>
                <w:color w:val="000000"/>
                <w:sz w:val="16"/>
                <w:szCs w:val="16"/>
                <w:lang w:eastAsia="es-ES"/>
              </w:rPr>
            </w:pPr>
            <w:r w:rsidRPr="00663AE9">
              <w:rPr>
                <w:rFonts w:eastAsia="Times New Roman" w:cs="Arial"/>
                <w:b/>
                <w:bCs/>
                <w:color w:val="000000"/>
                <w:sz w:val="16"/>
                <w:szCs w:val="16"/>
                <w:lang w:val="pt-BR" w:eastAsia="es-ES"/>
              </w:rPr>
              <w:t>%∆14/12</w:t>
            </w:r>
          </w:p>
        </w:tc>
        <w:tc>
          <w:tcPr>
            <w:tcW w:w="761" w:type="pct"/>
            <w:tcBorders>
              <w:top w:val="single" w:sz="8" w:space="0" w:color="BFBFBF"/>
              <w:left w:val="nil"/>
              <w:bottom w:val="single" w:sz="8" w:space="0" w:color="BFBFBF"/>
            </w:tcBorders>
            <w:shd w:val="clear" w:color="000000" w:fill="DBE5F1"/>
            <w:vAlign w:val="bottom"/>
            <w:hideMark/>
          </w:tcPr>
          <w:p w:rsidR="00AF3C20" w:rsidRPr="00663AE9" w:rsidRDefault="00AF3C20" w:rsidP="00F45AB1">
            <w:pPr>
              <w:spacing w:line="240" w:lineRule="exact"/>
              <w:jc w:val="center"/>
              <w:rPr>
                <w:rFonts w:eastAsia="Times New Roman" w:cs="Arial"/>
                <w:b/>
                <w:bCs/>
                <w:color w:val="000000"/>
                <w:sz w:val="16"/>
                <w:szCs w:val="16"/>
                <w:lang w:eastAsia="es-ES"/>
              </w:rPr>
            </w:pPr>
            <w:proofErr w:type="spellStart"/>
            <w:proofErr w:type="gramStart"/>
            <w:r w:rsidRPr="00663AE9">
              <w:rPr>
                <w:rFonts w:eastAsia="Times New Roman" w:cs="Arial"/>
                <w:b/>
                <w:bCs/>
                <w:color w:val="000000"/>
                <w:sz w:val="16"/>
                <w:szCs w:val="16"/>
                <w:lang w:val="pt-BR" w:eastAsia="es-ES"/>
              </w:rPr>
              <w:t>c.a</w:t>
            </w:r>
            <w:proofErr w:type="spellEnd"/>
            <w:r w:rsidRPr="00663AE9">
              <w:rPr>
                <w:rFonts w:eastAsia="Times New Roman" w:cs="Arial"/>
                <w:b/>
                <w:bCs/>
                <w:color w:val="000000"/>
                <w:sz w:val="16"/>
                <w:szCs w:val="16"/>
                <w:lang w:val="pt-BR" w:eastAsia="es-ES"/>
              </w:rPr>
              <w:t>.</w:t>
            </w:r>
            <w:proofErr w:type="gramEnd"/>
            <w:r w:rsidRPr="00663AE9">
              <w:rPr>
                <w:rFonts w:eastAsia="Times New Roman" w:cs="Arial"/>
                <w:b/>
                <w:bCs/>
                <w:color w:val="000000"/>
                <w:sz w:val="16"/>
                <w:szCs w:val="16"/>
                <w:lang w:val="pt-BR" w:eastAsia="es-ES"/>
              </w:rPr>
              <w:t xml:space="preserve"> ∆14/12</w:t>
            </w:r>
          </w:p>
        </w:tc>
      </w:tr>
      <w:tr w:rsidR="00AF3C20" w:rsidRPr="00663AE9" w:rsidTr="00AF3C20">
        <w:trPr>
          <w:jc w:val="center"/>
        </w:trPr>
        <w:tc>
          <w:tcPr>
            <w:tcW w:w="1906" w:type="pct"/>
            <w:tcBorders>
              <w:top w:val="nil"/>
              <w:left w:val="nil"/>
              <w:bottom w:val="nil"/>
              <w:right w:val="single" w:sz="8" w:space="0" w:color="BFBFBF"/>
            </w:tcBorders>
            <w:shd w:val="clear" w:color="auto" w:fill="auto"/>
            <w:hideMark/>
          </w:tcPr>
          <w:p w:rsidR="00AF3C20" w:rsidRPr="00663AE9" w:rsidRDefault="00AF3C20" w:rsidP="00F45AB1">
            <w:pPr>
              <w:spacing w:line="240" w:lineRule="exact"/>
              <w:rPr>
                <w:rFonts w:eastAsia="Times New Roman" w:cs="Arial"/>
                <w:b/>
                <w:bCs/>
                <w:color w:val="000000"/>
                <w:sz w:val="16"/>
                <w:szCs w:val="16"/>
                <w:lang w:eastAsia="es-ES"/>
              </w:rPr>
            </w:pPr>
            <w:r w:rsidRPr="00663AE9">
              <w:rPr>
                <w:rFonts w:eastAsia="Times New Roman" w:cs="Arial"/>
                <w:b/>
                <w:bCs/>
                <w:color w:val="000000"/>
                <w:sz w:val="16"/>
                <w:szCs w:val="16"/>
                <w:lang w:eastAsia="es-ES"/>
              </w:rPr>
              <w:t>Facturación global</w:t>
            </w:r>
          </w:p>
        </w:tc>
        <w:tc>
          <w:tcPr>
            <w:tcW w:w="715"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8.283.006.345</w:t>
            </w:r>
          </w:p>
        </w:tc>
        <w:tc>
          <w:tcPr>
            <w:tcW w:w="822"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7.690.772.395</w:t>
            </w:r>
          </w:p>
        </w:tc>
        <w:tc>
          <w:tcPr>
            <w:tcW w:w="796"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-7,1%</w:t>
            </w:r>
          </w:p>
        </w:tc>
        <w:tc>
          <w:tcPr>
            <w:tcW w:w="761" w:type="pct"/>
            <w:tcBorders>
              <w:top w:val="nil"/>
              <w:left w:val="nil"/>
              <w:bottom w:val="nil"/>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-592.233.950</w:t>
            </w:r>
          </w:p>
        </w:tc>
      </w:tr>
      <w:tr w:rsidR="00AF3C20" w:rsidRPr="00663AE9" w:rsidTr="00AF3C20">
        <w:trPr>
          <w:jc w:val="center"/>
        </w:trPr>
        <w:tc>
          <w:tcPr>
            <w:tcW w:w="1906" w:type="pct"/>
            <w:tcBorders>
              <w:top w:val="nil"/>
              <w:left w:val="nil"/>
              <w:bottom w:val="nil"/>
              <w:right w:val="single" w:sz="8" w:space="0" w:color="BFBFBF"/>
            </w:tcBorders>
            <w:shd w:val="clear" w:color="auto" w:fill="auto"/>
            <w:hideMark/>
          </w:tcPr>
          <w:p w:rsidR="00AF3C20" w:rsidRPr="00663AE9" w:rsidRDefault="00AF3C20" w:rsidP="00F45AB1">
            <w:pPr>
              <w:spacing w:line="240" w:lineRule="exact"/>
              <w:rPr>
                <w:rFonts w:eastAsia="Times New Roman" w:cs="Arial"/>
                <w:b/>
                <w:bCs/>
                <w:color w:val="000000"/>
                <w:sz w:val="16"/>
                <w:szCs w:val="16"/>
                <w:lang w:eastAsia="es-ES"/>
              </w:rPr>
            </w:pPr>
            <w:r w:rsidRPr="00663AE9">
              <w:rPr>
                <w:rFonts w:eastAsia="Times New Roman" w:cs="Arial"/>
                <w:b/>
                <w:bCs/>
                <w:color w:val="000000"/>
                <w:sz w:val="16"/>
                <w:szCs w:val="16"/>
                <w:lang w:eastAsia="es-ES"/>
              </w:rPr>
              <w:t>Facturación de las No exportadoras</w:t>
            </w:r>
          </w:p>
        </w:tc>
        <w:tc>
          <w:tcPr>
            <w:tcW w:w="715"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3.806.223.169</w:t>
            </w:r>
          </w:p>
        </w:tc>
        <w:tc>
          <w:tcPr>
            <w:tcW w:w="822"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3.621.137.910</w:t>
            </w:r>
          </w:p>
        </w:tc>
        <w:tc>
          <w:tcPr>
            <w:tcW w:w="796"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-4,9%</w:t>
            </w:r>
          </w:p>
        </w:tc>
        <w:tc>
          <w:tcPr>
            <w:tcW w:w="761" w:type="pct"/>
            <w:tcBorders>
              <w:top w:val="nil"/>
              <w:left w:val="nil"/>
              <w:bottom w:val="nil"/>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-185.085.259</w:t>
            </w:r>
          </w:p>
        </w:tc>
      </w:tr>
      <w:tr w:rsidR="00AF3C20" w:rsidRPr="00663AE9" w:rsidTr="00AF3C20">
        <w:trPr>
          <w:jc w:val="center"/>
        </w:trPr>
        <w:tc>
          <w:tcPr>
            <w:tcW w:w="1906" w:type="pct"/>
            <w:tcBorders>
              <w:top w:val="nil"/>
              <w:left w:val="nil"/>
              <w:bottom w:val="nil"/>
              <w:right w:val="single" w:sz="8" w:space="0" w:color="BFBFBF"/>
            </w:tcBorders>
            <w:shd w:val="clear" w:color="auto" w:fill="auto"/>
            <w:hideMark/>
          </w:tcPr>
          <w:p w:rsidR="00AF3C20" w:rsidRPr="00663AE9" w:rsidRDefault="00AF3C20" w:rsidP="00F45AB1">
            <w:pPr>
              <w:spacing w:line="240" w:lineRule="exact"/>
              <w:rPr>
                <w:rFonts w:eastAsia="Times New Roman" w:cs="Arial"/>
                <w:b/>
                <w:bCs/>
                <w:color w:val="000000"/>
                <w:sz w:val="16"/>
                <w:szCs w:val="16"/>
                <w:lang w:eastAsia="es-ES"/>
              </w:rPr>
            </w:pPr>
            <w:r w:rsidRPr="00663AE9">
              <w:rPr>
                <w:rFonts w:eastAsia="Times New Roman" w:cs="Arial"/>
                <w:b/>
                <w:bCs/>
                <w:color w:val="000000"/>
                <w:sz w:val="16"/>
                <w:szCs w:val="16"/>
                <w:lang w:eastAsia="es-ES"/>
              </w:rPr>
              <w:t>Facturación de las exportadoras</w:t>
            </w:r>
          </w:p>
        </w:tc>
        <w:tc>
          <w:tcPr>
            <w:tcW w:w="715"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4.476.783.176</w:t>
            </w:r>
          </w:p>
        </w:tc>
        <w:tc>
          <w:tcPr>
            <w:tcW w:w="822"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4.069.634.485</w:t>
            </w:r>
          </w:p>
        </w:tc>
        <w:tc>
          <w:tcPr>
            <w:tcW w:w="796"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-9,1%</w:t>
            </w:r>
          </w:p>
        </w:tc>
        <w:tc>
          <w:tcPr>
            <w:tcW w:w="761" w:type="pct"/>
            <w:tcBorders>
              <w:top w:val="nil"/>
              <w:left w:val="nil"/>
              <w:bottom w:val="nil"/>
            </w:tcBorders>
            <w:shd w:val="clear" w:color="auto" w:fill="auto"/>
            <w:vAlign w:val="bottom"/>
            <w:hideMark/>
          </w:tcPr>
          <w:p w:rsidR="00AF3C20" w:rsidRPr="00663AE9" w:rsidRDefault="00AF3C20" w:rsidP="00F45AB1">
            <w:pPr>
              <w:spacing w:line="240" w:lineRule="exact"/>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-407.148.691</w:t>
            </w:r>
          </w:p>
        </w:tc>
      </w:tr>
      <w:tr w:rsidR="00AF3C20" w:rsidRPr="00663AE9" w:rsidTr="00AF3C20">
        <w:trPr>
          <w:jc w:val="center"/>
        </w:trPr>
        <w:tc>
          <w:tcPr>
            <w:tcW w:w="1906" w:type="pct"/>
            <w:tcBorders>
              <w:top w:val="nil"/>
              <w:left w:val="nil"/>
              <w:bottom w:val="nil"/>
              <w:right w:val="single" w:sz="8" w:space="0" w:color="BFBFBF"/>
            </w:tcBorders>
            <w:shd w:val="clear" w:color="auto" w:fill="auto"/>
            <w:hideMark/>
          </w:tcPr>
          <w:p w:rsidR="00AF3C20" w:rsidRPr="00663AE9" w:rsidRDefault="00AF3C20" w:rsidP="00F45AB1">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a)Ventas internas</w:t>
            </w:r>
          </w:p>
        </w:tc>
        <w:tc>
          <w:tcPr>
            <w:tcW w:w="715"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1.803.527.961</w:t>
            </w:r>
          </w:p>
        </w:tc>
        <w:tc>
          <w:tcPr>
            <w:tcW w:w="822"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1.416.163.881</w:t>
            </w:r>
          </w:p>
        </w:tc>
        <w:tc>
          <w:tcPr>
            <w:tcW w:w="796"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-21,5%</w:t>
            </w:r>
          </w:p>
        </w:tc>
        <w:tc>
          <w:tcPr>
            <w:tcW w:w="761" w:type="pct"/>
            <w:tcBorders>
              <w:top w:val="nil"/>
              <w:left w:val="nil"/>
              <w:bottom w:val="nil"/>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-387.364.080</w:t>
            </w:r>
          </w:p>
        </w:tc>
      </w:tr>
      <w:tr w:rsidR="00AF3C20" w:rsidRPr="00663AE9" w:rsidTr="00AF3C20">
        <w:trPr>
          <w:jc w:val="center"/>
        </w:trPr>
        <w:tc>
          <w:tcPr>
            <w:tcW w:w="1906" w:type="pct"/>
            <w:tcBorders>
              <w:top w:val="nil"/>
              <w:left w:val="nil"/>
              <w:bottom w:val="nil"/>
              <w:right w:val="single" w:sz="8" w:space="0" w:color="BFBFBF"/>
            </w:tcBorders>
            <w:shd w:val="clear" w:color="auto" w:fill="auto"/>
            <w:hideMark/>
          </w:tcPr>
          <w:p w:rsidR="00AF3C20" w:rsidRPr="00663AE9" w:rsidRDefault="00AF3C20" w:rsidP="00F45AB1">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b)Ventas externas:  Exportaciones</w:t>
            </w:r>
          </w:p>
        </w:tc>
        <w:tc>
          <w:tcPr>
            <w:tcW w:w="715"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2.673.255.215</w:t>
            </w:r>
          </w:p>
        </w:tc>
        <w:tc>
          <w:tcPr>
            <w:tcW w:w="822"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2.653.470.604</w:t>
            </w:r>
          </w:p>
        </w:tc>
        <w:tc>
          <w:tcPr>
            <w:tcW w:w="796"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-0,7%</w:t>
            </w:r>
          </w:p>
        </w:tc>
        <w:tc>
          <w:tcPr>
            <w:tcW w:w="761" w:type="pct"/>
            <w:tcBorders>
              <w:top w:val="nil"/>
              <w:left w:val="nil"/>
              <w:bottom w:val="nil"/>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-19.784.611</w:t>
            </w:r>
          </w:p>
        </w:tc>
      </w:tr>
      <w:tr w:rsidR="00AF3C20" w:rsidRPr="00663AE9" w:rsidTr="00AF3C20">
        <w:trPr>
          <w:jc w:val="center"/>
        </w:trPr>
        <w:tc>
          <w:tcPr>
            <w:tcW w:w="1906" w:type="pct"/>
            <w:tcBorders>
              <w:top w:val="nil"/>
              <w:left w:val="nil"/>
              <w:bottom w:val="nil"/>
              <w:right w:val="single" w:sz="8" w:space="0" w:color="BFBFBF"/>
            </w:tcBorders>
            <w:shd w:val="clear" w:color="auto" w:fill="auto"/>
            <w:hideMark/>
          </w:tcPr>
          <w:p w:rsidR="00AF3C20" w:rsidRPr="00663AE9" w:rsidRDefault="00AF3C20" w:rsidP="00F45AB1">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b.1. Exportaciones Europa</w:t>
            </w:r>
          </w:p>
        </w:tc>
        <w:tc>
          <w:tcPr>
            <w:tcW w:w="715"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1.588.386.617</w:t>
            </w:r>
          </w:p>
        </w:tc>
        <w:tc>
          <w:tcPr>
            <w:tcW w:w="822"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1.695.499.875</w:t>
            </w:r>
          </w:p>
        </w:tc>
        <w:tc>
          <w:tcPr>
            <w:tcW w:w="796" w:type="pct"/>
            <w:tcBorders>
              <w:top w:val="nil"/>
              <w:left w:val="nil"/>
              <w:bottom w:val="nil"/>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6,7%</w:t>
            </w:r>
          </w:p>
        </w:tc>
        <w:tc>
          <w:tcPr>
            <w:tcW w:w="761" w:type="pct"/>
            <w:tcBorders>
              <w:top w:val="nil"/>
              <w:left w:val="nil"/>
              <w:bottom w:val="nil"/>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107.113.258</w:t>
            </w:r>
          </w:p>
        </w:tc>
      </w:tr>
      <w:tr w:rsidR="00AF3C20" w:rsidRPr="00663AE9" w:rsidTr="00AF3C20">
        <w:trPr>
          <w:jc w:val="center"/>
        </w:trPr>
        <w:tc>
          <w:tcPr>
            <w:tcW w:w="1906" w:type="pct"/>
            <w:tcBorders>
              <w:top w:val="nil"/>
              <w:left w:val="nil"/>
              <w:bottom w:val="single" w:sz="8" w:space="0" w:color="BFBFBF"/>
              <w:right w:val="single" w:sz="8" w:space="0" w:color="BFBFBF"/>
            </w:tcBorders>
            <w:shd w:val="clear" w:color="auto" w:fill="auto"/>
            <w:hideMark/>
          </w:tcPr>
          <w:p w:rsidR="00AF3C20" w:rsidRPr="00663AE9" w:rsidRDefault="00AF3C20" w:rsidP="00F45AB1">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b.2. Exportaciones Resto del Mundo</w:t>
            </w:r>
          </w:p>
        </w:tc>
        <w:tc>
          <w:tcPr>
            <w:tcW w:w="715" w:type="pct"/>
            <w:tcBorders>
              <w:top w:val="nil"/>
              <w:left w:val="nil"/>
              <w:bottom w:val="single" w:sz="8" w:space="0" w:color="BFBFBF"/>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1.084.868.598</w:t>
            </w:r>
          </w:p>
        </w:tc>
        <w:tc>
          <w:tcPr>
            <w:tcW w:w="822" w:type="pct"/>
            <w:tcBorders>
              <w:top w:val="nil"/>
              <w:left w:val="nil"/>
              <w:bottom w:val="single" w:sz="8" w:space="0" w:color="BFBFBF"/>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957.970.729</w:t>
            </w:r>
          </w:p>
        </w:tc>
        <w:tc>
          <w:tcPr>
            <w:tcW w:w="796" w:type="pct"/>
            <w:tcBorders>
              <w:top w:val="nil"/>
              <w:left w:val="nil"/>
              <w:bottom w:val="single" w:sz="8" w:space="0" w:color="BFBFBF"/>
              <w:right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-11,7%</w:t>
            </w:r>
          </w:p>
        </w:tc>
        <w:tc>
          <w:tcPr>
            <w:tcW w:w="761" w:type="pct"/>
            <w:tcBorders>
              <w:top w:val="nil"/>
              <w:left w:val="nil"/>
              <w:bottom w:val="single" w:sz="8" w:space="0" w:color="BFBFBF"/>
            </w:tcBorders>
            <w:shd w:val="clear" w:color="auto" w:fill="auto"/>
            <w:vAlign w:val="bottom"/>
            <w:hideMark/>
          </w:tcPr>
          <w:p w:rsidR="00AF3C20" w:rsidRPr="00663AE9" w:rsidRDefault="00AF3C20" w:rsidP="00F45AB1">
            <w:pPr>
              <w:spacing w:line="240" w:lineRule="exact"/>
              <w:jc w:val="right"/>
              <w:rPr>
                <w:rFonts w:eastAsia="Times New Roman" w:cs="Arial"/>
                <w:color w:val="000000"/>
                <w:sz w:val="16"/>
                <w:szCs w:val="16"/>
                <w:lang w:eastAsia="es-ES"/>
              </w:rPr>
            </w:pPr>
            <w:r w:rsidRPr="00663AE9">
              <w:rPr>
                <w:rFonts w:eastAsia="Times New Roman" w:cs="Arial"/>
                <w:color w:val="000000"/>
                <w:sz w:val="16"/>
                <w:szCs w:val="16"/>
                <w:lang w:eastAsia="es-ES"/>
              </w:rPr>
              <w:t>-126.897.869</w:t>
            </w:r>
          </w:p>
        </w:tc>
      </w:tr>
    </w:tbl>
    <w:p w:rsidR="00987C2B" w:rsidRPr="00A232B2" w:rsidRDefault="00AF3C20" w:rsidP="00163B56">
      <w:pPr>
        <w:pStyle w:val="ARIALNARROW"/>
        <w:spacing w:line="360" w:lineRule="auto"/>
        <w:rPr>
          <w:rFonts w:eastAsiaTheme="minorHAnsi" w:cstheme="minorBidi"/>
          <w:szCs w:val="22"/>
        </w:rPr>
      </w:pPr>
      <w:r w:rsidRPr="00624D92">
        <w:rPr>
          <w:rFonts w:eastAsiaTheme="minorHAnsi" w:cstheme="minorBidi"/>
          <w:szCs w:val="22"/>
        </w:rPr>
        <w:lastRenderedPageBreak/>
        <w:t>Un factor explicativo determinante</w:t>
      </w:r>
      <w:r w:rsidR="00A446E4" w:rsidRPr="00624D92">
        <w:rPr>
          <w:rFonts w:eastAsiaTheme="minorHAnsi" w:cstheme="minorBidi"/>
          <w:szCs w:val="22"/>
        </w:rPr>
        <w:t>, en la evolución de las empresas exportadoras,</w:t>
      </w:r>
      <w:r w:rsidRPr="00624D92">
        <w:rPr>
          <w:rFonts w:eastAsiaTheme="minorHAnsi" w:cstheme="minorBidi"/>
          <w:szCs w:val="22"/>
        </w:rPr>
        <w:t xml:space="preserve"> es la llamativa caída de las exportaciones al resto del Mundo, fuera de Europa por tanto, entre 2012 y 2014. </w:t>
      </w:r>
      <w:r w:rsidR="00A446E4" w:rsidRPr="00624D92">
        <w:rPr>
          <w:rFonts w:eastAsiaTheme="minorHAnsi" w:cstheme="minorBidi"/>
          <w:szCs w:val="22"/>
        </w:rPr>
        <w:t xml:space="preserve">Entre 2008 y 2012, las ventas hacia esos mercados habían aumentado en un 132,9% pero esas ventas caen en un </w:t>
      </w:r>
      <w:r w:rsidR="00987C2B" w:rsidRPr="00624D92">
        <w:rPr>
          <w:rFonts w:eastAsiaTheme="minorHAnsi" w:cstheme="minorBidi"/>
          <w:szCs w:val="22"/>
        </w:rPr>
        <w:t>11,7% entre 2012 y 2014.</w:t>
      </w:r>
    </w:p>
    <w:p w:rsidR="00987C2B" w:rsidRPr="00624D92" w:rsidRDefault="00987C2B" w:rsidP="00163B56">
      <w:pPr>
        <w:pStyle w:val="ARIALNARROW"/>
        <w:spacing w:line="360" w:lineRule="auto"/>
        <w:rPr>
          <w:rFonts w:eastAsiaTheme="minorHAnsi" w:cstheme="minorBidi"/>
          <w:szCs w:val="22"/>
        </w:rPr>
      </w:pPr>
    </w:p>
    <w:p w:rsidR="00AF3C20" w:rsidRPr="00624D92" w:rsidRDefault="00A446E4" w:rsidP="00163B56">
      <w:pPr>
        <w:pStyle w:val="ARIALNARROW"/>
        <w:spacing w:line="360" w:lineRule="auto"/>
        <w:rPr>
          <w:rFonts w:eastAsiaTheme="minorHAnsi" w:cstheme="minorBidi"/>
          <w:szCs w:val="22"/>
        </w:rPr>
      </w:pPr>
      <w:r w:rsidRPr="00624D92">
        <w:rPr>
          <w:rFonts w:eastAsiaTheme="minorHAnsi" w:cstheme="minorBidi"/>
          <w:szCs w:val="22"/>
        </w:rPr>
        <w:t>Se rompe con ello el mecanismo que había permitido, entre 2010 y 2012, un repunte de la facturación total de las empresas exportadoras. Aunque se recupera al alza el mercado europeo desde 2010</w:t>
      </w:r>
      <w:r w:rsidR="00987C2B" w:rsidRPr="00624D92">
        <w:rPr>
          <w:rFonts w:eastAsiaTheme="minorHAnsi" w:cstheme="minorBidi"/>
          <w:szCs w:val="22"/>
        </w:rPr>
        <w:t>, entre 2012 y 2014 su mejora apenas consigue compensar la pérdida de ventas en el mercado del resto del mundo. Y</w:t>
      </w:r>
      <w:r w:rsidR="006B72FE" w:rsidRPr="00624D92">
        <w:rPr>
          <w:rFonts w:eastAsiaTheme="minorHAnsi" w:cstheme="minorBidi"/>
          <w:szCs w:val="22"/>
        </w:rPr>
        <w:t xml:space="preserve"> apenas consigue limitar </w:t>
      </w:r>
      <w:r w:rsidR="00987C2B" w:rsidRPr="00624D92">
        <w:rPr>
          <w:rFonts w:eastAsiaTheme="minorHAnsi" w:cstheme="minorBidi"/>
          <w:szCs w:val="22"/>
        </w:rPr>
        <w:t>la acentuación de la caída de las ventas en el mercado interno</w:t>
      </w:r>
      <w:r w:rsidR="00697077" w:rsidRPr="00624D92">
        <w:rPr>
          <w:rFonts w:eastAsiaTheme="minorHAnsi" w:cstheme="minorBidi"/>
          <w:szCs w:val="22"/>
        </w:rPr>
        <w:t>.</w:t>
      </w:r>
    </w:p>
    <w:p w:rsidR="00AF3C20" w:rsidRDefault="00AF3C20" w:rsidP="00163B56">
      <w:pPr>
        <w:pStyle w:val="ARIALNARROW"/>
        <w:spacing w:line="360" w:lineRule="auto"/>
        <w:rPr>
          <w:rFonts w:eastAsiaTheme="minorHAnsi" w:cstheme="minorBidi"/>
          <w:szCs w:val="22"/>
        </w:rPr>
      </w:pPr>
    </w:p>
    <w:p w:rsidR="004114B8" w:rsidRPr="00A232B2" w:rsidRDefault="00697077" w:rsidP="00163B56">
      <w:pPr>
        <w:pStyle w:val="ARIALNARROW"/>
        <w:spacing w:line="360" w:lineRule="auto"/>
        <w:rPr>
          <w:rFonts w:eastAsiaTheme="minorHAnsi" w:cstheme="minorBidi"/>
          <w:b/>
          <w:szCs w:val="22"/>
        </w:rPr>
      </w:pPr>
      <w:r w:rsidRPr="00A232B2">
        <w:rPr>
          <w:rFonts w:eastAsiaTheme="minorHAnsi" w:cstheme="minorBidi"/>
          <w:b/>
          <w:szCs w:val="22"/>
        </w:rPr>
        <w:t xml:space="preserve">La pérdida de facturación fuera de Europa se vincula a </w:t>
      </w:r>
      <w:r w:rsidR="006C2960" w:rsidRPr="00A232B2">
        <w:rPr>
          <w:rFonts w:eastAsiaTheme="minorHAnsi" w:cstheme="minorBidi"/>
          <w:b/>
          <w:szCs w:val="22"/>
        </w:rPr>
        <w:t>los mercados asiáticos y latinoamericano</w:t>
      </w:r>
      <w:r w:rsidR="00A232B2" w:rsidRPr="00A232B2">
        <w:rPr>
          <w:rFonts w:eastAsiaTheme="minorHAnsi" w:cstheme="minorBidi"/>
          <w:b/>
          <w:szCs w:val="22"/>
        </w:rPr>
        <w:t>s.</w:t>
      </w:r>
    </w:p>
    <w:p w:rsidR="004114B8" w:rsidRPr="00AF3C20" w:rsidRDefault="004114B8" w:rsidP="004114B8">
      <w:pPr>
        <w:widowControl w:val="0"/>
        <w:rPr>
          <w:lang w:val="es-ES_tradnl"/>
        </w:rPr>
      </w:pPr>
    </w:p>
    <w:p w:rsidR="004114B8" w:rsidRDefault="00697077" w:rsidP="004114B8">
      <w:pPr>
        <w:widowControl w:val="0"/>
        <w:rPr>
          <w:lang w:val="es-ES_tradnl"/>
        </w:rPr>
      </w:pPr>
      <w:r>
        <w:rPr>
          <w:lang w:val="es-ES_tradnl"/>
        </w:rPr>
        <w:t xml:space="preserve">En 2014, </w:t>
      </w:r>
      <w:r w:rsidR="00227593">
        <w:rPr>
          <w:lang w:val="es-ES_tradnl"/>
        </w:rPr>
        <w:t xml:space="preserve">los </w:t>
      </w:r>
      <w:r w:rsidR="004114B8">
        <w:rPr>
          <w:lang w:val="es-ES_tradnl"/>
        </w:rPr>
        <w:t>2.653</w:t>
      </w:r>
      <w:r>
        <w:rPr>
          <w:lang w:val="es-ES_tradnl"/>
        </w:rPr>
        <w:t>,5</w:t>
      </w:r>
      <w:r w:rsidR="004114B8">
        <w:rPr>
          <w:lang w:val="es-ES_tradnl"/>
        </w:rPr>
        <w:t xml:space="preserve"> millones de euros</w:t>
      </w:r>
      <w:r w:rsidR="00227593">
        <w:rPr>
          <w:lang w:val="es-ES_tradnl"/>
        </w:rPr>
        <w:t xml:space="preserve"> de facturación exterior </w:t>
      </w:r>
      <w:r w:rsidR="004114B8">
        <w:rPr>
          <w:lang w:val="es-ES_tradnl"/>
        </w:rPr>
        <w:t>se concentra</w:t>
      </w:r>
      <w:r w:rsidR="00227593">
        <w:rPr>
          <w:lang w:val="es-ES_tradnl"/>
        </w:rPr>
        <w:t>n</w:t>
      </w:r>
      <w:r w:rsidR="004114B8">
        <w:rPr>
          <w:lang w:val="es-ES_tradnl"/>
        </w:rPr>
        <w:t xml:space="preserve"> en buena medida en los mercados europeos (63,9% de las exportaciones)</w:t>
      </w:r>
      <w:r w:rsidR="00227593">
        <w:rPr>
          <w:lang w:val="es-ES_tradnl"/>
        </w:rPr>
        <w:t>, unos mercados que siguen creciendo para la empresa exportadora de las FCES</w:t>
      </w:r>
      <w:r>
        <w:rPr>
          <w:lang w:val="es-ES_tradnl"/>
        </w:rPr>
        <w:t xml:space="preserve">. </w:t>
      </w:r>
      <w:r w:rsidR="00227593">
        <w:rPr>
          <w:lang w:val="es-ES_tradnl"/>
        </w:rPr>
        <w:t xml:space="preserve">Sin embargo, también en este mercado se constata una ralentización del crecimiento. De esta forma, frente a un incremento del 13,7% en las ventas en el </w:t>
      </w:r>
      <w:r w:rsidR="004114B8">
        <w:rPr>
          <w:lang w:val="es-ES_tradnl"/>
        </w:rPr>
        <w:t>bienio 2010</w:t>
      </w:r>
      <w:r w:rsidR="00227593">
        <w:rPr>
          <w:lang w:val="es-ES_tradnl"/>
        </w:rPr>
        <w:t>-</w:t>
      </w:r>
      <w:r w:rsidR="004114B8">
        <w:rPr>
          <w:lang w:val="es-ES_tradnl"/>
        </w:rPr>
        <w:t xml:space="preserve">2012, </w:t>
      </w:r>
      <w:r w:rsidR="00227593">
        <w:rPr>
          <w:lang w:val="es-ES_tradnl"/>
        </w:rPr>
        <w:t xml:space="preserve">el aumento se limita al </w:t>
      </w:r>
      <w:r w:rsidR="004114B8">
        <w:rPr>
          <w:lang w:val="es-ES_tradnl"/>
        </w:rPr>
        <w:t>6,7%</w:t>
      </w:r>
      <w:r w:rsidR="00227593">
        <w:rPr>
          <w:lang w:val="es-ES_tradnl"/>
        </w:rPr>
        <w:t xml:space="preserve"> entre 2012 y 2014</w:t>
      </w:r>
      <w:r w:rsidR="004114B8">
        <w:rPr>
          <w:lang w:val="es-ES_tradnl"/>
        </w:rPr>
        <w:t>.</w:t>
      </w:r>
    </w:p>
    <w:p w:rsidR="004114B8" w:rsidRDefault="004114B8" w:rsidP="004114B8">
      <w:pPr>
        <w:widowControl w:val="0"/>
        <w:rPr>
          <w:lang w:val="es-ES_tradnl"/>
        </w:rPr>
      </w:pPr>
    </w:p>
    <w:p w:rsidR="004114B8" w:rsidRDefault="004114B8" w:rsidP="004114B8">
      <w:pPr>
        <w:widowControl w:val="0"/>
        <w:rPr>
          <w:lang w:val="es-ES_tradnl"/>
        </w:rPr>
      </w:pPr>
      <w:r>
        <w:rPr>
          <w:lang w:val="es-ES_tradnl"/>
        </w:rPr>
        <w:t xml:space="preserve">Por el contrario, </w:t>
      </w:r>
      <w:r w:rsidR="00227593">
        <w:rPr>
          <w:lang w:val="es-ES_tradnl"/>
        </w:rPr>
        <w:t xml:space="preserve">tal y como ya se ha mencionado, </w:t>
      </w:r>
      <w:r>
        <w:rPr>
          <w:lang w:val="es-ES_tradnl"/>
        </w:rPr>
        <w:t xml:space="preserve">las exportaciones fuera del viejo continente, las cuales crecían </w:t>
      </w:r>
      <w:r w:rsidR="006C2960">
        <w:rPr>
          <w:lang w:val="es-ES_tradnl"/>
        </w:rPr>
        <w:t xml:space="preserve">con una notable viveza </w:t>
      </w:r>
      <w:r w:rsidR="00227593">
        <w:rPr>
          <w:lang w:val="es-ES_tradnl"/>
        </w:rPr>
        <w:t>entre 2012 y 2014 (</w:t>
      </w:r>
      <w:r>
        <w:rPr>
          <w:lang w:val="es-ES_tradnl"/>
        </w:rPr>
        <w:t>27,1%</w:t>
      </w:r>
      <w:r w:rsidR="00227593">
        <w:rPr>
          <w:lang w:val="es-ES_tradnl"/>
        </w:rPr>
        <w:t>)</w:t>
      </w:r>
      <w:r>
        <w:rPr>
          <w:lang w:val="es-ES_tradnl"/>
        </w:rPr>
        <w:t xml:space="preserve">, se ven frenadas </w:t>
      </w:r>
      <w:r w:rsidR="00227593">
        <w:rPr>
          <w:lang w:val="es-ES_tradnl"/>
        </w:rPr>
        <w:t>por el</w:t>
      </w:r>
      <w:r>
        <w:rPr>
          <w:lang w:val="es-ES_tradnl"/>
        </w:rPr>
        <w:t xml:space="preserve"> estancamiento en el crecimiento de las economías emergentes</w:t>
      </w:r>
      <w:r w:rsidR="00227593">
        <w:rPr>
          <w:lang w:val="es-ES_tradnl"/>
        </w:rPr>
        <w:t xml:space="preserve">. Las </w:t>
      </w:r>
      <w:r>
        <w:rPr>
          <w:lang w:val="es-ES_tradnl"/>
        </w:rPr>
        <w:t xml:space="preserve">exportaciones </w:t>
      </w:r>
      <w:r w:rsidR="00227593">
        <w:rPr>
          <w:lang w:val="es-ES_tradnl"/>
        </w:rPr>
        <w:t>a</w:t>
      </w:r>
      <w:r w:rsidR="006C2960">
        <w:rPr>
          <w:lang w:val="es-ES_tradnl"/>
        </w:rPr>
        <w:t>l resto del mundo</w:t>
      </w:r>
      <w:r>
        <w:rPr>
          <w:lang w:val="es-ES_tradnl"/>
        </w:rPr>
        <w:t xml:space="preserve"> </w:t>
      </w:r>
      <w:r w:rsidR="00227593">
        <w:rPr>
          <w:lang w:val="es-ES_tradnl"/>
        </w:rPr>
        <w:t xml:space="preserve">caen así </w:t>
      </w:r>
      <w:r>
        <w:rPr>
          <w:lang w:val="es-ES_tradnl"/>
        </w:rPr>
        <w:t>en un 11,7%</w:t>
      </w:r>
      <w:r w:rsidR="00227593">
        <w:rPr>
          <w:lang w:val="es-ES_tradnl"/>
        </w:rPr>
        <w:t xml:space="preserve"> entre 2012 y 2014</w:t>
      </w:r>
      <w:r>
        <w:rPr>
          <w:lang w:val="es-ES_tradnl"/>
        </w:rPr>
        <w:t>.</w:t>
      </w:r>
    </w:p>
    <w:p w:rsidR="00D41428" w:rsidRDefault="00D41428" w:rsidP="004114B8">
      <w:pPr>
        <w:widowControl w:val="0"/>
        <w:rPr>
          <w:lang w:val="es-ES_tradnl"/>
        </w:rPr>
      </w:pPr>
    </w:p>
    <w:p w:rsidR="004114B8" w:rsidRDefault="00CD5E5C" w:rsidP="004114B8">
      <w:pPr>
        <w:widowControl w:val="0"/>
        <w:rPr>
          <w:lang w:val="es-ES_tradnl"/>
        </w:rPr>
      </w:pPr>
      <w:r>
        <w:rPr>
          <w:lang w:val="es-ES_tradnl"/>
        </w:rPr>
        <w:t>El análisis de la dinámica de los mercados extra-europeos muestra las siguientes tendencias por área geográfica:</w:t>
      </w:r>
    </w:p>
    <w:p w:rsidR="004114B8" w:rsidRDefault="004114B8" w:rsidP="004114B8">
      <w:pPr>
        <w:widowControl w:val="0"/>
        <w:rPr>
          <w:lang w:val="es-ES_tradnl"/>
        </w:rPr>
      </w:pPr>
    </w:p>
    <w:p w:rsidR="004114B8" w:rsidRPr="00023303" w:rsidRDefault="004114B8" w:rsidP="00227593">
      <w:pPr>
        <w:pStyle w:val="Prrafodelista"/>
        <w:widowControl w:val="0"/>
        <w:numPr>
          <w:ilvl w:val="0"/>
          <w:numId w:val="9"/>
        </w:numPr>
        <w:spacing w:line="360" w:lineRule="auto"/>
        <w:ind w:left="227" w:hanging="227"/>
        <w:rPr>
          <w:rFonts w:ascii="Arial" w:hAnsi="Arial" w:cs="Arial"/>
          <w:lang w:val="es-ES_tradnl"/>
        </w:rPr>
      </w:pPr>
      <w:r w:rsidRPr="00023303">
        <w:rPr>
          <w:rFonts w:ascii="Arial" w:hAnsi="Arial" w:cs="Arial"/>
          <w:lang w:val="es-ES_tradnl"/>
        </w:rPr>
        <w:t>Se constata la importante caída de las exportaciones latinoamericanas</w:t>
      </w:r>
      <w:r w:rsidR="00CD5E5C">
        <w:rPr>
          <w:rFonts w:ascii="Arial" w:hAnsi="Arial" w:cs="Arial"/>
          <w:lang w:val="es-ES_tradnl"/>
        </w:rPr>
        <w:t xml:space="preserve">. Entre 2012 y 2014, éstas se reducen en </w:t>
      </w:r>
      <w:r w:rsidRPr="00023303">
        <w:rPr>
          <w:rFonts w:ascii="Arial" w:hAnsi="Arial" w:cs="Arial"/>
          <w:lang w:val="es-ES_tradnl"/>
        </w:rPr>
        <w:t xml:space="preserve">un 27,8%, </w:t>
      </w:r>
      <w:r w:rsidR="00E06154">
        <w:rPr>
          <w:rFonts w:ascii="Arial" w:hAnsi="Arial" w:cs="Arial"/>
          <w:lang w:val="es-ES_tradnl"/>
        </w:rPr>
        <w:t xml:space="preserve">después de </w:t>
      </w:r>
      <w:r w:rsidRPr="00023303">
        <w:rPr>
          <w:rFonts w:ascii="Arial" w:hAnsi="Arial" w:cs="Arial"/>
          <w:lang w:val="es-ES_tradnl"/>
        </w:rPr>
        <w:t xml:space="preserve">haber crecido en los </w:t>
      </w:r>
      <w:r w:rsidR="00E06154">
        <w:rPr>
          <w:rFonts w:ascii="Arial" w:hAnsi="Arial" w:cs="Arial"/>
          <w:lang w:val="es-ES_tradnl"/>
        </w:rPr>
        <w:t>bienios 2008-2010 y 2010-2012 a ritmos superiores al 25%</w:t>
      </w:r>
      <w:r w:rsidRPr="00023303">
        <w:rPr>
          <w:rFonts w:ascii="Arial" w:hAnsi="Arial" w:cs="Arial"/>
          <w:lang w:val="es-ES_tradnl"/>
        </w:rPr>
        <w:t xml:space="preserve">. </w:t>
      </w:r>
      <w:r w:rsidR="00E06154">
        <w:rPr>
          <w:rFonts w:ascii="Arial" w:hAnsi="Arial" w:cs="Arial"/>
          <w:lang w:val="es-ES_tradnl"/>
        </w:rPr>
        <w:t>En los últimos</w:t>
      </w:r>
      <w:r w:rsidRPr="00023303">
        <w:rPr>
          <w:rFonts w:ascii="Arial" w:hAnsi="Arial" w:cs="Arial"/>
          <w:lang w:val="es-ES_tradnl"/>
        </w:rPr>
        <w:t xml:space="preserve"> dos años, </w:t>
      </w:r>
      <w:r w:rsidR="002373D5">
        <w:rPr>
          <w:rFonts w:ascii="Arial" w:hAnsi="Arial" w:cs="Arial"/>
          <w:lang w:val="es-ES_tradnl"/>
        </w:rPr>
        <w:t xml:space="preserve">la contribución de las exportaciones latinoamericanas </w:t>
      </w:r>
      <w:r w:rsidR="00E06154">
        <w:rPr>
          <w:rFonts w:ascii="Arial" w:hAnsi="Arial" w:cs="Arial"/>
          <w:lang w:val="es-ES_tradnl"/>
        </w:rPr>
        <w:t xml:space="preserve">a la facturación exterior de las FCES disminuye en </w:t>
      </w:r>
      <w:r w:rsidRPr="00023303">
        <w:rPr>
          <w:rFonts w:ascii="Arial" w:hAnsi="Arial" w:cs="Arial"/>
          <w:lang w:val="es-ES_tradnl"/>
        </w:rPr>
        <w:t>tres puntos porcentuales</w:t>
      </w:r>
      <w:r w:rsidR="00E06154">
        <w:rPr>
          <w:rFonts w:ascii="Arial" w:hAnsi="Arial" w:cs="Arial"/>
          <w:lang w:val="es-ES_tradnl"/>
        </w:rPr>
        <w:t xml:space="preserve">. Con </w:t>
      </w:r>
      <w:r w:rsidRPr="00023303">
        <w:rPr>
          <w:rFonts w:ascii="Arial" w:hAnsi="Arial" w:cs="Arial"/>
          <w:lang w:val="es-ES_tradnl"/>
        </w:rPr>
        <w:t>un total de 213 millones de euros</w:t>
      </w:r>
      <w:r w:rsidR="00E06154">
        <w:rPr>
          <w:rFonts w:ascii="Arial" w:hAnsi="Arial" w:cs="Arial"/>
          <w:lang w:val="es-ES_tradnl"/>
        </w:rPr>
        <w:t>,</w:t>
      </w:r>
      <w:r w:rsidRPr="00023303">
        <w:rPr>
          <w:rFonts w:ascii="Arial" w:hAnsi="Arial" w:cs="Arial"/>
          <w:lang w:val="es-ES_tradnl"/>
        </w:rPr>
        <w:t xml:space="preserve"> representa</w:t>
      </w:r>
      <w:r w:rsidR="00E06154">
        <w:rPr>
          <w:rFonts w:ascii="Arial" w:hAnsi="Arial" w:cs="Arial"/>
          <w:lang w:val="es-ES_tradnl"/>
        </w:rPr>
        <w:t>n</w:t>
      </w:r>
      <w:r w:rsidRPr="00023303">
        <w:rPr>
          <w:rFonts w:ascii="Arial" w:hAnsi="Arial" w:cs="Arial"/>
          <w:lang w:val="es-ES_tradnl"/>
        </w:rPr>
        <w:t xml:space="preserve"> </w:t>
      </w:r>
      <w:r w:rsidR="00E06154">
        <w:rPr>
          <w:rFonts w:ascii="Arial" w:hAnsi="Arial" w:cs="Arial"/>
          <w:lang w:val="es-ES_tradnl"/>
        </w:rPr>
        <w:t xml:space="preserve">en 2014 </w:t>
      </w:r>
      <w:r w:rsidRPr="00023303">
        <w:rPr>
          <w:rFonts w:ascii="Arial" w:hAnsi="Arial" w:cs="Arial"/>
          <w:lang w:val="es-ES_tradnl"/>
        </w:rPr>
        <w:t>un 8%</w:t>
      </w:r>
      <w:r w:rsidR="00E06154">
        <w:rPr>
          <w:rFonts w:ascii="Arial" w:hAnsi="Arial" w:cs="Arial"/>
          <w:lang w:val="es-ES_tradnl"/>
        </w:rPr>
        <w:t xml:space="preserve"> de la facturación exterior</w:t>
      </w:r>
      <w:r w:rsidRPr="00023303">
        <w:rPr>
          <w:rFonts w:ascii="Arial" w:hAnsi="Arial" w:cs="Arial"/>
          <w:lang w:val="es-ES_tradnl"/>
        </w:rPr>
        <w:t>, porcentaje semejante al que contribuyen las</w:t>
      </w:r>
      <w:r w:rsidR="002373D5">
        <w:rPr>
          <w:rFonts w:ascii="Arial" w:hAnsi="Arial" w:cs="Arial"/>
          <w:lang w:val="es-ES_tradnl"/>
        </w:rPr>
        <w:t xml:space="preserve"> exportaciones estadounidenses en 2014 (7,6%).</w:t>
      </w:r>
    </w:p>
    <w:p w:rsidR="006B72FE" w:rsidRDefault="006B72FE">
      <w:pPr>
        <w:spacing w:after="200" w:line="276" w:lineRule="auto"/>
        <w:jc w:val="left"/>
        <w:rPr>
          <w:rFonts w:eastAsia="Calibri" w:cs="Arial"/>
          <w:lang w:val="es-ES_tradnl"/>
        </w:rPr>
      </w:pPr>
      <w:r>
        <w:rPr>
          <w:rFonts w:cs="Arial"/>
          <w:lang w:val="es-ES_tradnl"/>
        </w:rPr>
        <w:br w:type="page"/>
      </w:r>
    </w:p>
    <w:p w:rsidR="00855C3F" w:rsidRPr="00855C3F" w:rsidRDefault="00E06154" w:rsidP="00855C3F">
      <w:pPr>
        <w:pStyle w:val="Prrafodelista"/>
        <w:widowControl w:val="0"/>
        <w:numPr>
          <w:ilvl w:val="0"/>
          <w:numId w:val="9"/>
        </w:numPr>
        <w:spacing w:line="360" w:lineRule="auto"/>
        <w:ind w:left="227" w:hanging="227"/>
        <w:rPr>
          <w:rFonts w:ascii="Arial" w:hAnsi="Arial" w:cs="Arial"/>
          <w:lang w:val="es-ES_tradnl"/>
        </w:rPr>
      </w:pPr>
      <w:r>
        <w:rPr>
          <w:rFonts w:ascii="Arial" w:hAnsi="Arial" w:cs="Arial"/>
          <w:lang w:val="es-ES_tradnl"/>
        </w:rPr>
        <w:lastRenderedPageBreak/>
        <w:t xml:space="preserve">Después de Europa, Asia se perfila como el </w:t>
      </w:r>
      <w:r w:rsidR="004114B8" w:rsidRPr="00023303">
        <w:rPr>
          <w:rFonts w:ascii="Arial" w:hAnsi="Arial" w:cs="Arial"/>
          <w:lang w:val="es-ES_tradnl"/>
        </w:rPr>
        <w:t>segundo destino en términos de volumen en euros</w:t>
      </w:r>
      <w:r w:rsidR="00911356">
        <w:rPr>
          <w:rFonts w:ascii="Arial" w:hAnsi="Arial" w:cs="Arial"/>
          <w:lang w:val="es-ES_tradnl"/>
        </w:rPr>
        <w:t xml:space="preserve"> facturados</w:t>
      </w:r>
      <w:r>
        <w:rPr>
          <w:rFonts w:ascii="Arial" w:hAnsi="Arial" w:cs="Arial"/>
          <w:lang w:val="es-ES_tradnl"/>
        </w:rPr>
        <w:t xml:space="preserve">. Entre 2012 y 2014, la exportación a ese continente decrece sin embargo en un </w:t>
      </w:r>
      <w:r w:rsidR="004114B8" w:rsidRPr="00023303">
        <w:rPr>
          <w:rFonts w:ascii="Arial" w:hAnsi="Arial" w:cs="Arial"/>
          <w:lang w:val="es-ES_tradnl"/>
        </w:rPr>
        <w:t>9%</w:t>
      </w:r>
      <w:r>
        <w:rPr>
          <w:rFonts w:ascii="Arial" w:hAnsi="Arial" w:cs="Arial"/>
          <w:lang w:val="es-ES_tradnl"/>
        </w:rPr>
        <w:t>. Después de un espectacular incremento del 95,5% entre 2008 y 2010, el cambio de tendencia quedaba ocultado por un todavía significativo incremento del 19% entre 2010 y 2012.</w:t>
      </w:r>
      <w:r w:rsidR="004114B8" w:rsidRPr="00023303">
        <w:rPr>
          <w:rFonts w:ascii="Arial" w:hAnsi="Arial" w:cs="Arial"/>
          <w:lang w:val="es-ES_tradnl"/>
        </w:rPr>
        <w:t xml:space="preserve"> </w:t>
      </w:r>
      <w:r>
        <w:rPr>
          <w:rFonts w:ascii="Arial" w:hAnsi="Arial" w:cs="Arial"/>
          <w:lang w:val="es-ES_tradnl"/>
        </w:rPr>
        <w:t xml:space="preserve">A pesar de ello, el salto adelante sigue siendo llamativo: </w:t>
      </w:r>
      <w:r w:rsidR="004114B8" w:rsidRPr="00023303">
        <w:rPr>
          <w:rFonts w:ascii="Arial" w:hAnsi="Arial" w:cs="Arial"/>
          <w:lang w:val="es-ES_tradnl"/>
        </w:rPr>
        <w:t>mientras en el año 2008 las exportaciones s</w:t>
      </w:r>
      <w:r w:rsidR="00992F45">
        <w:rPr>
          <w:rFonts w:ascii="Arial" w:hAnsi="Arial" w:cs="Arial"/>
          <w:lang w:val="es-ES_tradnl"/>
        </w:rPr>
        <w:t xml:space="preserve">uponían 189,3 millones de euros, </w:t>
      </w:r>
      <w:r w:rsidR="004114B8" w:rsidRPr="00023303">
        <w:rPr>
          <w:rFonts w:ascii="Arial" w:hAnsi="Arial" w:cs="Arial"/>
          <w:lang w:val="es-ES_tradnl"/>
        </w:rPr>
        <w:t>en</w:t>
      </w:r>
      <w:r w:rsidR="00992F45">
        <w:rPr>
          <w:rFonts w:ascii="Arial" w:hAnsi="Arial" w:cs="Arial"/>
          <w:lang w:val="es-ES_tradnl"/>
        </w:rPr>
        <w:t xml:space="preserve"> el año</w:t>
      </w:r>
      <w:r w:rsidR="004114B8" w:rsidRPr="00023303">
        <w:rPr>
          <w:rFonts w:ascii="Arial" w:hAnsi="Arial" w:cs="Arial"/>
          <w:lang w:val="es-ES_tradnl"/>
        </w:rPr>
        <w:t xml:space="preserve"> 201</w:t>
      </w:r>
      <w:r>
        <w:rPr>
          <w:rFonts w:ascii="Arial" w:hAnsi="Arial" w:cs="Arial"/>
          <w:lang w:val="es-ES_tradnl"/>
        </w:rPr>
        <w:t>4 todavía llegan, a pesar de la reciente caída, a 400,9 millones de euros. Un 15,1% de las exportaciones de las FCES llegan al continente asiático.</w:t>
      </w:r>
    </w:p>
    <w:p w:rsidR="00174A99" w:rsidRPr="00023303" w:rsidRDefault="00174A99" w:rsidP="009F1045">
      <w:pPr>
        <w:pStyle w:val="Prrafodelista"/>
        <w:widowControl w:val="0"/>
        <w:spacing w:after="0" w:line="360" w:lineRule="auto"/>
        <w:rPr>
          <w:rFonts w:ascii="Arial" w:hAnsi="Arial" w:cs="Arial"/>
          <w:lang w:val="es-ES_tradnl"/>
        </w:rPr>
      </w:pPr>
    </w:p>
    <w:p w:rsidR="004114B8" w:rsidRPr="00C67386" w:rsidRDefault="002373D5" w:rsidP="004114B8">
      <w:pPr>
        <w:widowControl w:val="0"/>
        <w:spacing w:line="240" w:lineRule="auto"/>
        <w:jc w:val="center"/>
        <w:rPr>
          <w:rFonts w:cs="Arial"/>
          <w:b/>
          <w:color w:val="1F497D" w:themeColor="text2"/>
          <w:sz w:val="18"/>
          <w:szCs w:val="18"/>
        </w:rPr>
      </w:pPr>
      <w:r>
        <w:rPr>
          <w:rFonts w:cs="Arial"/>
          <w:b/>
          <w:color w:val="1F497D" w:themeColor="text2"/>
          <w:sz w:val="18"/>
          <w:szCs w:val="18"/>
        </w:rPr>
        <w:t>V</w:t>
      </w:r>
      <w:r w:rsidR="004114B8" w:rsidRPr="00C67386">
        <w:rPr>
          <w:rFonts w:cs="Arial"/>
          <w:b/>
          <w:color w:val="1F497D" w:themeColor="text2"/>
          <w:sz w:val="18"/>
          <w:szCs w:val="18"/>
        </w:rPr>
        <w:t xml:space="preserve">OLUMEN DE EXPORTACIONES POR ZONAS Y EVOLUCIÓN. </w:t>
      </w:r>
      <w:r w:rsidR="004114B8">
        <w:rPr>
          <w:rFonts w:cs="Arial"/>
          <w:b/>
          <w:color w:val="1F497D" w:themeColor="text2"/>
          <w:sz w:val="18"/>
          <w:szCs w:val="18"/>
        </w:rPr>
        <w:t xml:space="preserve">2008, 2010, </w:t>
      </w:r>
      <w:r w:rsidR="004114B8" w:rsidRPr="00C67386">
        <w:rPr>
          <w:rFonts w:cs="Arial"/>
          <w:b/>
          <w:color w:val="1F497D" w:themeColor="text2"/>
          <w:sz w:val="18"/>
          <w:szCs w:val="18"/>
        </w:rPr>
        <w:t>2012</w:t>
      </w:r>
      <w:r w:rsidR="004114B8">
        <w:rPr>
          <w:rFonts w:cs="Arial"/>
          <w:b/>
          <w:color w:val="1F497D" w:themeColor="text2"/>
          <w:sz w:val="18"/>
          <w:szCs w:val="18"/>
        </w:rPr>
        <w:t xml:space="preserve"> y 2014</w:t>
      </w:r>
    </w:p>
    <w:tbl>
      <w:tblPr>
        <w:tblW w:w="9940" w:type="dxa"/>
        <w:jc w:val="center"/>
        <w:tblCellMar>
          <w:left w:w="70" w:type="dxa"/>
          <w:right w:w="70" w:type="dxa"/>
        </w:tblCellMar>
        <w:tblLook w:val="04A0" w:firstRow="1" w:lastRow="0" w:firstColumn="1" w:lastColumn="0" w:noHBand="0" w:noVBand="1"/>
      </w:tblPr>
      <w:tblGrid>
        <w:gridCol w:w="1022"/>
        <w:gridCol w:w="1164"/>
        <w:gridCol w:w="1198"/>
        <w:gridCol w:w="1198"/>
        <w:gridCol w:w="1198"/>
        <w:gridCol w:w="841"/>
        <w:gridCol w:w="841"/>
        <w:gridCol w:w="804"/>
        <w:gridCol w:w="804"/>
        <w:gridCol w:w="870"/>
      </w:tblGrid>
      <w:tr w:rsidR="004114B8" w:rsidRPr="008E414A" w:rsidTr="00FA5547">
        <w:trPr>
          <w:jc w:val="center"/>
        </w:trPr>
        <w:tc>
          <w:tcPr>
            <w:tcW w:w="0" w:type="auto"/>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left"/>
              <w:rPr>
                <w:rFonts w:ascii="Calibri" w:eastAsia="Times New Roman" w:hAnsi="Calibri" w:cs="Times New Roman"/>
                <w:color w:val="000000"/>
                <w:sz w:val="22"/>
                <w:lang w:eastAsia="es-ES"/>
              </w:rPr>
            </w:pPr>
            <w:r w:rsidRPr="008E414A">
              <w:rPr>
                <w:rFonts w:ascii="Calibri" w:eastAsia="Times New Roman" w:hAnsi="Calibri" w:cs="Times New Roman"/>
                <w:color w:val="000000"/>
                <w:sz w:val="22"/>
                <w:lang w:eastAsia="es-ES"/>
              </w:rPr>
              <w:t> </w:t>
            </w:r>
          </w:p>
        </w:tc>
        <w:tc>
          <w:tcPr>
            <w:tcW w:w="1137" w:type="dxa"/>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proofErr w:type="spellStart"/>
            <w:r w:rsidRPr="008E414A">
              <w:rPr>
                <w:rFonts w:eastAsia="Times New Roman" w:cs="Arial"/>
                <w:b/>
                <w:bCs/>
                <w:color w:val="000000"/>
                <w:sz w:val="16"/>
                <w:szCs w:val="16"/>
                <w:lang w:eastAsia="es-ES"/>
              </w:rPr>
              <w:t>Abs</w:t>
            </w:r>
            <w:proofErr w:type="spellEnd"/>
            <w:r w:rsidRPr="008E414A">
              <w:rPr>
                <w:rFonts w:eastAsia="Times New Roman" w:cs="Arial"/>
                <w:b/>
                <w:bCs/>
                <w:color w:val="000000"/>
                <w:sz w:val="16"/>
                <w:szCs w:val="16"/>
                <w:lang w:eastAsia="es-ES"/>
              </w:rPr>
              <w:t>. 2008</w:t>
            </w:r>
          </w:p>
        </w:tc>
        <w:tc>
          <w:tcPr>
            <w:tcW w:w="0" w:type="auto"/>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proofErr w:type="spellStart"/>
            <w:r w:rsidRPr="008E414A">
              <w:rPr>
                <w:rFonts w:eastAsia="Times New Roman" w:cs="Arial"/>
                <w:b/>
                <w:bCs/>
                <w:color w:val="000000"/>
                <w:sz w:val="16"/>
                <w:szCs w:val="16"/>
                <w:lang w:eastAsia="es-ES"/>
              </w:rPr>
              <w:t>Abs</w:t>
            </w:r>
            <w:proofErr w:type="spellEnd"/>
            <w:r w:rsidRPr="008E414A">
              <w:rPr>
                <w:rFonts w:eastAsia="Times New Roman" w:cs="Arial"/>
                <w:b/>
                <w:bCs/>
                <w:color w:val="000000"/>
                <w:sz w:val="16"/>
                <w:szCs w:val="16"/>
                <w:lang w:eastAsia="es-ES"/>
              </w:rPr>
              <w:t>. 2010</w:t>
            </w:r>
          </w:p>
        </w:tc>
        <w:tc>
          <w:tcPr>
            <w:tcW w:w="0" w:type="auto"/>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proofErr w:type="spellStart"/>
            <w:r w:rsidRPr="008E414A">
              <w:rPr>
                <w:rFonts w:eastAsia="Times New Roman" w:cs="Arial"/>
                <w:b/>
                <w:bCs/>
                <w:color w:val="000000"/>
                <w:sz w:val="16"/>
                <w:szCs w:val="16"/>
                <w:lang w:eastAsia="es-ES"/>
              </w:rPr>
              <w:t>Abs</w:t>
            </w:r>
            <w:proofErr w:type="spellEnd"/>
            <w:r w:rsidRPr="008E414A">
              <w:rPr>
                <w:rFonts w:eastAsia="Times New Roman" w:cs="Arial"/>
                <w:b/>
                <w:bCs/>
                <w:color w:val="000000"/>
                <w:sz w:val="16"/>
                <w:szCs w:val="16"/>
                <w:lang w:eastAsia="es-ES"/>
              </w:rPr>
              <w:t>. 2012</w:t>
            </w:r>
          </w:p>
        </w:tc>
        <w:tc>
          <w:tcPr>
            <w:tcW w:w="0" w:type="auto"/>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proofErr w:type="spellStart"/>
            <w:r w:rsidRPr="008E414A">
              <w:rPr>
                <w:rFonts w:eastAsia="Times New Roman" w:cs="Arial"/>
                <w:b/>
                <w:bCs/>
                <w:color w:val="000000"/>
                <w:sz w:val="16"/>
                <w:szCs w:val="16"/>
                <w:lang w:eastAsia="es-ES"/>
              </w:rPr>
              <w:t>Abs</w:t>
            </w:r>
            <w:proofErr w:type="spellEnd"/>
            <w:r w:rsidRPr="008E414A">
              <w:rPr>
                <w:rFonts w:eastAsia="Times New Roman" w:cs="Arial"/>
                <w:b/>
                <w:bCs/>
                <w:color w:val="000000"/>
                <w:sz w:val="16"/>
                <w:szCs w:val="16"/>
                <w:lang w:eastAsia="es-ES"/>
              </w:rPr>
              <w:t>. 2014</w:t>
            </w:r>
          </w:p>
        </w:tc>
        <w:tc>
          <w:tcPr>
            <w:tcW w:w="0" w:type="auto"/>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r w:rsidRPr="008E414A">
              <w:rPr>
                <w:rFonts w:eastAsia="Times New Roman" w:cs="Arial"/>
                <w:b/>
                <w:bCs/>
                <w:color w:val="000000"/>
                <w:sz w:val="16"/>
                <w:szCs w:val="16"/>
                <w:lang w:eastAsia="es-ES"/>
              </w:rPr>
              <w:t>%v. 2012</w:t>
            </w:r>
          </w:p>
        </w:tc>
        <w:tc>
          <w:tcPr>
            <w:tcW w:w="0" w:type="auto"/>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r w:rsidRPr="008E414A">
              <w:rPr>
                <w:rFonts w:eastAsia="Times New Roman" w:cs="Arial"/>
                <w:b/>
                <w:bCs/>
                <w:color w:val="000000"/>
                <w:sz w:val="16"/>
                <w:szCs w:val="16"/>
                <w:lang w:eastAsia="es-ES"/>
              </w:rPr>
              <w:t>%v. 2014</w:t>
            </w:r>
          </w:p>
        </w:tc>
        <w:tc>
          <w:tcPr>
            <w:tcW w:w="0" w:type="auto"/>
            <w:tcBorders>
              <w:top w:val="single" w:sz="8" w:space="0" w:color="BFBFBF"/>
              <w:left w:val="nil"/>
              <w:bottom w:val="single" w:sz="8" w:space="0" w:color="BFBFBF"/>
              <w:right w:val="single" w:sz="8" w:space="0" w:color="BFBFBF"/>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r w:rsidRPr="008E414A">
              <w:rPr>
                <w:rFonts w:eastAsia="Times New Roman" w:cs="Arial"/>
                <w:b/>
                <w:bCs/>
                <w:color w:val="000000"/>
                <w:sz w:val="16"/>
                <w:szCs w:val="16"/>
                <w:lang w:eastAsia="es-ES"/>
              </w:rPr>
              <w:t>%∆10/08</w:t>
            </w:r>
          </w:p>
        </w:tc>
        <w:tc>
          <w:tcPr>
            <w:tcW w:w="0" w:type="auto"/>
            <w:tcBorders>
              <w:top w:val="single" w:sz="8" w:space="0" w:color="BFBFBF"/>
              <w:left w:val="nil"/>
              <w:bottom w:val="single" w:sz="8" w:space="0" w:color="BFBFBF"/>
              <w:right w:val="nil"/>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r w:rsidRPr="008E414A">
              <w:rPr>
                <w:rFonts w:eastAsia="Times New Roman" w:cs="Arial"/>
                <w:b/>
                <w:bCs/>
                <w:color w:val="000000"/>
                <w:sz w:val="16"/>
                <w:szCs w:val="16"/>
                <w:lang w:eastAsia="es-ES"/>
              </w:rPr>
              <w:t>%∆12/10</w:t>
            </w:r>
          </w:p>
        </w:tc>
        <w:tc>
          <w:tcPr>
            <w:tcW w:w="870" w:type="dxa"/>
            <w:tcBorders>
              <w:top w:val="single" w:sz="8" w:space="0" w:color="BFBFBF"/>
              <w:left w:val="single" w:sz="8" w:space="0" w:color="BFBFBF"/>
              <w:bottom w:val="single" w:sz="8" w:space="0" w:color="BFBFBF"/>
              <w:right w:val="nil"/>
            </w:tcBorders>
            <w:shd w:val="clear" w:color="000000" w:fill="DBE5F1"/>
            <w:hideMark/>
          </w:tcPr>
          <w:p w:rsidR="004114B8" w:rsidRPr="008E414A" w:rsidRDefault="004114B8" w:rsidP="00FA5547">
            <w:pPr>
              <w:spacing w:line="240" w:lineRule="exact"/>
              <w:jc w:val="center"/>
              <w:rPr>
                <w:rFonts w:eastAsia="Times New Roman" w:cs="Arial"/>
                <w:b/>
                <w:bCs/>
                <w:color w:val="000000"/>
                <w:sz w:val="16"/>
                <w:szCs w:val="16"/>
                <w:lang w:eastAsia="es-ES"/>
              </w:rPr>
            </w:pPr>
            <w:r w:rsidRPr="008E414A">
              <w:rPr>
                <w:rFonts w:eastAsia="Times New Roman" w:cs="Arial"/>
                <w:b/>
                <w:bCs/>
                <w:color w:val="000000"/>
                <w:sz w:val="16"/>
                <w:szCs w:val="16"/>
                <w:lang w:eastAsia="es-ES"/>
              </w:rPr>
              <w:t>%∆14/12</w:t>
            </w:r>
          </w:p>
        </w:tc>
      </w:tr>
      <w:tr w:rsidR="004114B8" w:rsidRPr="008E414A" w:rsidTr="00FA5547">
        <w:trPr>
          <w:jc w:val="center"/>
        </w:trPr>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rPr>
                <w:rFonts w:eastAsia="Times New Roman" w:cs="Arial"/>
                <w:color w:val="000000"/>
                <w:sz w:val="16"/>
                <w:szCs w:val="16"/>
                <w:lang w:eastAsia="es-ES"/>
              </w:rPr>
            </w:pPr>
            <w:r w:rsidRPr="008E414A">
              <w:rPr>
                <w:rFonts w:eastAsia="Times New Roman" w:cs="Arial"/>
                <w:color w:val="000000"/>
                <w:sz w:val="16"/>
                <w:szCs w:val="16"/>
                <w:lang w:eastAsia="es-ES"/>
              </w:rPr>
              <w:t>Europa</w:t>
            </w:r>
          </w:p>
        </w:tc>
        <w:tc>
          <w:tcPr>
            <w:tcW w:w="1137" w:type="dxa"/>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bCs/>
                <w:color w:val="000000"/>
                <w:sz w:val="16"/>
                <w:szCs w:val="16"/>
                <w:lang w:eastAsia="es-ES"/>
              </w:rPr>
              <w:t>1.959.861.909</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1.397.054.639</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1.588.386.617</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1.695.499.875</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59,4</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63,9</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-28,7</w:t>
            </w:r>
          </w:p>
        </w:tc>
        <w:tc>
          <w:tcPr>
            <w:tcW w:w="0" w:type="auto"/>
            <w:tcBorders>
              <w:top w:val="nil"/>
              <w:left w:val="nil"/>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13,7</w:t>
            </w:r>
          </w:p>
        </w:tc>
        <w:tc>
          <w:tcPr>
            <w:tcW w:w="870" w:type="dxa"/>
            <w:tcBorders>
              <w:top w:val="nil"/>
              <w:left w:val="single" w:sz="8" w:space="0" w:color="BFBFBF"/>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6,7</w:t>
            </w:r>
          </w:p>
        </w:tc>
      </w:tr>
      <w:tr w:rsidR="004114B8" w:rsidRPr="008E414A" w:rsidTr="00FA5547">
        <w:trPr>
          <w:jc w:val="center"/>
        </w:trPr>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rPr>
                <w:rFonts w:eastAsia="Times New Roman" w:cs="Arial"/>
                <w:color w:val="000000"/>
                <w:sz w:val="16"/>
                <w:szCs w:val="16"/>
                <w:lang w:eastAsia="es-ES"/>
              </w:rPr>
            </w:pPr>
            <w:r w:rsidRPr="008E414A">
              <w:rPr>
                <w:rFonts w:eastAsia="Times New Roman" w:cs="Arial"/>
                <w:color w:val="000000"/>
                <w:sz w:val="16"/>
                <w:szCs w:val="16"/>
                <w:lang w:eastAsia="es-ES"/>
              </w:rPr>
              <w:t>Asia</w:t>
            </w:r>
          </w:p>
        </w:tc>
        <w:tc>
          <w:tcPr>
            <w:tcW w:w="1137" w:type="dxa"/>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bCs/>
                <w:color w:val="000000"/>
                <w:sz w:val="16"/>
                <w:szCs w:val="16"/>
                <w:lang w:eastAsia="es-ES"/>
              </w:rPr>
              <w:t>189.287.966</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370.036.555</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440.345.111</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400.880.770</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16,5</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15,1</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95,5</w:t>
            </w:r>
          </w:p>
        </w:tc>
        <w:tc>
          <w:tcPr>
            <w:tcW w:w="0" w:type="auto"/>
            <w:tcBorders>
              <w:top w:val="nil"/>
              <w:left w:val="nil"/>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19</w:t>
            </w:r>
            <w:r w:rsidR="00227593">
              <w:rPr>
                <w:rFonts w:eastAsia="Times New Roman" w:cs="Arial"/>
                <w:color w:val="000000"/>
                <w:sz w:val="16"/>
                <w:szCs w:val="16"/>
                <w:lang w:eastAsia="es-ES"/>
              </w:rPr>
              <w:t>,0</w:t>
            </w:r>
          </w:p>
        </w:tc>
        <w:tc>
          <w:tcPr>
            <w:tcW w:w="870" w:type="dxa"/>
            <w:tcBorders>
              <w:top w:val="nil"/>
              <w:left w:val="single" w:sz="8" w:space="0" w:color="BFBFBF"/>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-9</w:t>
            </w:r>
            <w:r w:rsidR="00E06154">
              <w:rPr>
                <w:rFonts w:eastAsia="Times New Roman" w:cs="Arial"/>
                <w:color w:val="000000"/>
                <w:sz w:val="16"/>
                <w:szCs w:val="16"/>
                <w:lang w:eastAsia="es-ES"/>
              </w:rPr>
              <w:t>,0</w:t>
            </w:r>
          </w:p>
        </w:tc>
      </w:tr>
      <w:tr w:rsidR="004114B8" w:rsidRPr="008E414A" w:rsidTr="00FA5547">
        <w:trPr>
          <w:jc w:val="center"/>
        </w:trPr>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rPr>
                <w:rFonts w:eastAsia="Times New Roman" w:cs="Arial"/>
                <w:color w:val="000000"/>
                <w:sz w:val="16"/>
                <w:szCs w:val="16"/>
                <w:lang w:eastAsia="es-ES"/>
              </w:rPr>
            </w:pPr>
            <w:r w:rsidRPr="008E414A">
              <w:rPr>
                <w:rFonts w:eastAsia="Times New Roman" w:cs="Arial"/>
                <w:color w:val="000000"/>
                <w:sz w:val="16"/>
                <w:szCs w:val="16"/>
                <w:lang w:eastAsia="es-ES"/>
              </w:rPr>
              <w:t>EEUU</w:t>
            </w:r>
          </w:p>
        </w:tc>
        <w:tc>
          <w:tcPr>
            <w:tcW w:w="1137" w:type="dxa"/>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bCs/>
                <w:color w:val="000000"/>
                <w:sz w:val="16"/>
                <w:szCs w:val="16"/>
                <w:lang w:eastAsia="es-ES"/>
              </w:rPr>
              <w:t>24.409.658</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148.965.042</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193.840.989</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202.273.272</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7,3</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7,6</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510,3</w:t>
            </w:r>
          </w:p>
        </w:tc>
        <w:tc>
          <w:tcPr>
            <w:tcW w:w="0" w:type="auto"/>
            <w:tcBorders>
              <w:top w:val="nil"/>
              <w:left w:val="nil"/>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30,1</w:t>
            </w:r>
          </w:p>
        </w:tc>
        <w:tc>
          <w:tcPr>
            <w:tcW w:w="870" w:type="dxa"/>
            <w:tcBorders>
              <w:top w:val="nil"/>
              <w:left w:val="single" w:sz="8" w:space="0" w:color="BFBFBF"/>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4,4</w:t>
            </w:r>
          </w:p>
        </w:tc>
      </w:tr>
      <w:tr w:rsidR="004114B8" w:rsidRPr="008E414A" w:rsidTr="00FA5547">
        <w:trPr>
          <w:jc w:val="center"/>
        </w:trPr>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rPr>
                <w:rFonts w:eastAsia="Times New Roman" w:cs="Arial"/>
                <w:color w:val="000000"/>
                <w:sz w:val="16"/>
                <w:szCs w:val="16"/>
                <w:lang w:eastAsia="es-ES"/>
              </w:rPr>
            </w:pPr>
            <w:r w:rsidRPr="008E414A">
              <w:rPr>
                <w:rFonts w:eastAsia="Times New Roman" w:cs="Arial"/>
                <w:bCs/>
                <w:color w:val="000000"/>
                <w:sz w:val="16"/>
                <w:szCs w:val="16"/>
                <w:lang w:eastAsia="es-ES"/>
              </w:rPr>
              <w:t>Sudamérica</w:t>
            </w:r>
          </w:p>
        </w:tc>
        <w:tc>
          <w:tcPr>
            <w:tcW w:w="1137" w:type="dxa"/>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bCs/>
                <w:color w:val="000000"/>
                <w:sz w:val="16"/>
                <w:szCs w:val="16"/>
                <w:lang w:eastAsia="es-ES"/>
              </w:rPr>
              <w:t>166.542.425</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210.994.736</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295.090.191</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212.963.623</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11,0</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8,0</w:t>
            </w:r>
          </w:p>
        </w:tc>
        <w:tc>
          <w:tcPr>
            <w:tcW w:w="0" w:type="auto"/>
            <w:tcBorders>
              <w:top w:val="nil"/>
              <w:left w:val="nil"/>
              <w:bottom w:val="nil"/>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26,7</w:t>
            </w:r>
          </w:p>
        </w:tc>
        <w:tc>
          <w:tcPr>
            <w:tcW w:w="0" w:type="auto"/>
            <w:tcBorders>
              <w:top w:val="nil"/>
              <w:left w:val="nil"/>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39,9</w:t>
            </w:r>
          </w:p>
        </w:tc>
        <w:tc>
          <w:tcPr>
            <w:tcW w:w="870" w:type="dxa"/>
            <w:tcBorders>
              <w:top w:val="nil"/>
              <w:left w:val="single" w:sz="8" w:space="0" w:color="BFBFBF"/>
              <w:bottom w:val="nil"/>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-27,8</w:t>
            </w:r>
          </w:p>
        </w:tc>
      </w:tr>
      <w:tr w:rsidR="004114B8" w:rsidRPr="008E414A" w:rsidTr="00FA5547">
        <w:trPr>
          <w:jc w:val="center"/>
        </w:trPr>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rPr>
                <w:rFonts w:eastAsia="Times New Roman" w:cs="Arial"/>
                <w:color w:val="000000"/>
                <w:sz w:val="16"/>
                <w:szCs w:val="16"/>
                <w:lang w:eastAsia="es-ES"/>
              </w:rPr>
            </w:pPr>
            <w:r w:rsidRPr="008E414A">
              <w:rPr>
                <w:rFonts w:eastAsia="Times New Roman" w:cs="Arial"/>
                <w:bCs/>
                <w:color w:val="000000"/>
                <w:sz w:val="16"/>
                <w:szCs w:val="16"/>
                <w:lang w:eastAsia="es-ES"/>
              </w:rPr>
              <w:t>Otros</w:t>
            </w:r>
          </w:p>
        </w:tc>
        <w:tc>
          <w:tcPr>
            <w:tcW w:w="1137" w:type="dxa"/>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bCs/>
                <w:color w:val="000000"/>
                <w:sz w:val="16"/>
                <w:szCs w:val="16"/>
                <w:lang w:eastAsia="es-ES"/>
              </w:rPr>
              <w:t>85.507.342</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123.433.888</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155.592.307</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141.853.065</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5,8</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5,3</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44,4</w:t>
            </w:r>
          </w:p>
        </w:tc>
        <w:tc>
          <w:tcPr>
            <w:tcW w:w="0" w:type="auto"/>
            <w:tcBorders>
              <w:top w:val="nil"/>
              <w:left w:val="nil"/>
              <w:bottom w:val="single" w:sz="8" w:space="0" w:color="BFBFBF"/>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26,1</w:t>
            </w:r>
          </w:p>
        </w:tc>
        <w:tc>
          <w:tcPr>
            <w:tcW w:w="870" w:type="dxa"/>
            <w:tcBorders>
              <w:top w:val="nil"/>
              <w:left w:val="single" w:sz="8" w:space="0" w:color="BFBFBF"/>
              <w:bottom w:val="single" w:sz="8" w:space="0" w:color="BFBFBF"/>
              <w:right w:val="nil"/>
            </w:tcBorders>
            <w:shd w:val="clear" w:color="auto" w:fill="auto"/>
            <w:hideMark/>
          </w:tcPr>
          <w:p w:rsidR="004114B8" w:rsidRPr="008E414A" w:rsidRDefault="004114B8" w:rsidP="00FA5547">
            <w:pPr>
              <w:spacing w:line="240" w:lineRule="exact"/>
              <w:jc w:val="right"/>
              <w:rPr>
                <w:rFonts w:eastAsia="Times New Roman" w:cs="Arial"/>
                <w:color w:val="000000"/>
                <w:sz w:val="16"/>
                <w:szCs w:val="16"/>
                <w:lang w:eastAsia="es-ES"/>
              </w:rPr>
            </w:pPr>
            <w:r w:rsidRPr="008E414A">
              <w:rPr>
                <w:rFonts w:eastAsia="Times New Roman" w:cs="Arial"/>
                <w:color w:val="000000"/>
                <w:sz w:val="16"/>
                <w:szCs w:val="16"/>
                <w:lang w:eastAsia="es-ES"/>
              </w:rPr>
              <w:t>-8,8</w:t>
            </w:r>
          </w:p>
        </w:tc>
      </w:tr>
      <w:tr w:rsidR="004114B8" w:rsidRPr="008E414A" w:rsidTr="00FA5547">
        <w:trPr>
          <w:jc w:val="center"/>
        </w:trPr>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rPr>
                <w:rFonts w:eastAsia="Times New Roman" w:cs="Arial"/>
                <w:b/>
                <w:bCs/>
                <w:color w:val="000000"/>
                <w:sz w:val="16"/>
                <w:szCs w:val="16"/>
                <w:lang w:eastAsia="es-ES"/>
              </w:rPr>
            </w:pPr>
            <w:r w:rsidRPr="008E414A">
              <w:rPr>
                <w:rFonts w:eastAsia="Times New Roman" w:cs="Arial"/>
                <w:b/>
                <w:bCs/>
                <w:color w:val="000000"/>
                <w:sz w:val="16"/>
                <w:szCs w:val="16"/>
                <w:lang w:eastAsia="es-ES"/>
              </w:rPr>
              <w:t>TOTAL</w:t>
            </w:r>
          </w:p>
        </w:tc>
        <w:tc>
          <w:tcPr>
            <w:tcW w:w="1137" w:type="dxa"/>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2.425.609.299</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2.250.484.862</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2.673.255.215</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2.653.470.604</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100,0</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100,0</w:t>
            </w:r>
          </w:p>
        </w:tc>
        <w:tc>
          <w:tcPr>
            <w:tcW w:w="0" w:type="auto"/>
            <w:tcBorders>
              <w:top w:val="nil"/>
              <w:left w:val="nil"/>
              <w:bottom w:val="single" w:sz="8" w:space="0" w:color="BFBFBF"/>
              <w:right w:val="single" w:sz="8" w:space="0" w:color="BFBFBF"/>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-7,2</w:t>
            </w:r>
          </w:p>
        </w:tc>
        <w:tc>
          <w:tcPr>
            <w:tcW w:w="0" w:type="auto"/>
            <w:tcBorders>
              <w:top w:val="nil"/>
              <w:left w:val="nil"/>
              <w:bottom w:val="single" w:sz="8" w:space="0" w:color="BFBFBF"/>
              <w:right w:val="nil"/>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18,8</w:t>
            </w:r>
          </w:p>
        </w:tc>
        <w:tc>
          <w:tcPr>
            <w:tcW w:w="870" w:type="dxa"/>
            <w:tcBorders>
              <w:top w:val="nil"/>
              <w:left w:val="single" w:sz="8" w:space="0" w:color="BFBFBF"/>
              <w:bottom w:val="single" w:sz="8" w:space="0" w:color="BFBFBF"/>
              <w:right w:val="nil"/>
            </w:tcBorders>
            <w:shd w:val="clear" w:color="auto" w:fill="auto"/>
            <w:hideMark/>
          </w:tcPr>
          <w:p w:rsidR="004114B8" w:rsidRPr="008E414A" w:rsidRDefault="004114B8" w:rsidP="00FA5547">
            <w:pPr>
              <w:spacing w:line="240" w:lineRule="exact"/>
              <w:jc w:val="right"/>
              <w:rPr>
                <w:rFonts w:eastAsia="Times New Roman" w:cs="Arial"/>
                <w:b/>
                <w:bCs/>
                <w:color w:val="000000"/>
                <w:sz w:val="16"/>
                <w:szCs w:val="16"/>
                <w:lang w:eastAsia="es-ES"/>
              </w:rPr>
            </w:pPr>
            <w:r w:rsidRPr="008E414A">
              <w:rPr>
                <w:rFonts w:eastAsia="Times New Roman" w:cs="Arial"/>
                <w:b/>
                <w:bCs/>
                <w:color w:val="000000"/>
                <w:sz w:val="16"/>
                <w:szCs w:val="16"/>
                <w:lang w:eastAsia="es-ES"/>
              </w:rPr>
              <w:t>-0,7</w:t>
            </w:r>
          </w:p>
        </w:tc>
      </w:tr>
    </w:tbl>
    <w:p w:rsidR="004114B8" w:rsidRDefault="004114B8" w:rsidP="004114B8">
      <w:pPr>
        <w:widowControl w:val="0"/>
        <w:rPr>
          <w:lang w:val="es-ES_tradnl"/>
        </w:rPr>
      </w:pPr>
    </w:p>
    <w:p w:rsidR="00E06154" w:rsidRDefault="00E06154" w:rsidP="004114B8">
      <w:pPr>
        <w:widowControl w:val="0"/>
        <w:rPr>
          <w:lang w:val="es-ES_tradnl"/>
        </w:rPr>
      </w:pPr>
    </w:p>
    <w:p w:rsidR="00E06154" w:rsidRDefault="00E06154" w:rsidP="00E06154">
      <w:pPr>
        <w:pStyle w:val="Prrafodelista"/>
        <w:widowControl w:val="0"/>
        <w:numPr>
          <w:ilvl w:val="0"/>
          <w:numId w:val="9"/>
        </w:numPr>
        <w:spacing w:line="360" w:lineRule="auto"/>
        <w:ind w:left="227" w:hanging="227"/>
        <w:rPr>
          <w:rFonts w:ascii="Arial" w:hAnsi="Arial" w:cs="Arial"/>
          <w:lang w:val="es-ES_tradnl"/>
        </w:rPr>
      </w:pPr>
      <w:r>
        <w:rPr>
          <w:rFonts w:ascii="Arial" w:hAnsi="Arial" w:cs="Arial"/>
          <w:lang w:val="es-ES_tradnl"/>
        </w:rPr>
        <w:t>Fuera de Europa, las únicas ventas en expansión entre 2012 y 2014 son las que llegan a Estados Unidos, con un incremento del 4,4% que no se aleja en exceso del 6,7% con destino a los países europeos. Las ventas al resto del mundo caen, por su pa</w:t>
      </w:r>
      <w:r w:rsidR="00F91535">
        <w:rPr>
          <w:rFonts w:ascii="Arial" w:hAnsi="Arial" w:cs="Arial"/>
          <w:lang w:val="es-ES_tradnl"/>
        </w:rPr>
        <w:t>rte, en un 8,8%. Estados Unid</w:t>
      </w:r>
      <w:r>
        <w:rPr>
          <w:rFonts w:ascii="Arial" w:hAnsi="Arial" w:cs="Arial"/>
          <w:lang w:val="es-ES_tradnl"/>
        </w:rPr>
        <w:t>os concentra en 2014 un 7,6% de las exportaciones FCES por un 5,3% atribuible al resto del mundo.</w:t>
      </w:r>
    </w:p>
    <w:p w:rsidR="004114B8" w:rsidRDefault="004114B8" w:rsidP="00C37F0E">
      <w:pPr>
        <w:widowControl w:val="0"/>
        <w:rPr>
          <w:rFonts w:cs="Arial"/>
          <w:lang w:val="es-ES_tradnl"/>
        </w:rPr>
      </w:pPr>
    </w:p>
    <w:p w:rsidR="00855C3F" w:rsidRPr="00DE01F8" w:rsidRDefault="00855C3F" w:rsidP="00855C3F">
      <w:pPr>
        <w:widowControl w:val="0"/>
        <w:rPr>
          <w:rFonts w:eastAsia="Arial" w:cs="Arial"/>
          <w:color w:val="000000" w:themeColor="text1"/>
          <w:szCs w:val="20"/>
          <w:lang w:val="es-ES_tradnl"/>
        </w:rPr>
      </w:pPr>
      <w:r>
        <w:rPr>
          <w:rFonts w:cs="Arial"/>
          <w:lang w:val="es-ES_tradnl"/>
        </w:rPr>
        <w:t xml:space="preserve">El cambio de tendencia en las exportaciones a Asia y Sudamérica es particularmente llamativo en términos del análisis de su peso relativo dentro de la facturación exterior de las FCES. </w:t>
      </w:r>
      <w:r w:rsidRPr="003B1496">
        <w:rPr>
          <w:rFonts w:eastAsia="Arial" w:cs="Arial"/>
          <w:szCs w:val="20"/>
          <w:lang w:val="es-ES_tradnl"/>
        </w:rPr>
        <w:t>Situada su participación agregada en un 14,7% en 2008, la proporción pasa</w:t>
      </w:r>
      <w:r>
        <w:rPr>
          <w:rFonts w:eastAsia="Arial" w:cs="Arial"/>
          <w:szCs w:val="20"/>
          <w:lang w:val="es-ES_tradnl"/>
        </w:rPr>
        <w:t>ba</w:t>
      </w:r>
      <w:r w:rsidRPr="003B1496">
        <w:rPr>
          <w:rFonts w:eastAsia="Arial" w:cs="Arial"/>
          <w:szCs w:val="20"/>
          <w:lang w:val="es-ES_tradnl"/>
        </w:rPr>
        <w:t xml:space="preserve"> a 25,8% en 2010 y </w:t>
      </w:r>
      <w:r>
        <w:rPr>
          <w:rFonts w:eastAsia="Arial" w:cs="Arial"/>
          <w:szCs w:val="20"/>
          <w:lang w:val="es-ES_tradnl"/>
        </w:rPr>
        <w:t xml:space="preserve">a un máximo del </w:t>
      </w:r>
      <w:r w:rsidRPr="003B1496">
        <w:rPr>
          <w:rFonts w:eastAsia="Arial" w:cs="Arial"/>
          <w:szCs w:val="20"/>
          <w:lang w:val="es-ES_tradnl"/>
        </w:rPr>
        <w:t>27,5% en</w:t>
      </w:r>
      <w:r w:rsidRPr="00DE01F8">
        <w:rPr>
          <w:rFonts w:eastAsia="Arial" w:cs="Arial"/>
          <w:color w:val="000000" w:themeColor="text1"/>
          <w:szCs w:val="20"/>
          <w:lang w:val="es-ES_tradnl"/>
        </w:rPr>
        <w:t xml:space="preserve"> 2012. </w:t>
      </w:r>
      <w:r>
        <w:rPr>
          <w:rFonts w:eastAsia="Arial" w:cs="Arial"/>
          <w:color w:val="000000" w:themeColor="text1"/>
          <w:szCs w:val="20"/>
          <w:lang w:val="es-ES_tradnl"/>
        </w:rPr>
        <w:t>La caída observada en 2014 sitúa su participación en un 23,1%, por debajo por tanto de las cifras de 2012 y 2014.</w:t>
      </w:r>
    </w:p>
    <w:p w:rsidR="00855C3F" w:rsidRDefault="00855C3F" w:rsidP="00C37F0E">
      <w:pPr>
        <w:widowControl w:val="0"/>
        <w:rPr>
          <w:rFonts w:cs="Arial"/>
          <w:lang w:val="es-ES_tradnl"/>
        </w:rPr>
      </w:pPr>
    </w:p>
    <w:p w:rsidR="00855C3F" w:rsidRDefault="00C37F0E" w:rsidP="00B95A81">
      <w:pPr>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E</w:t>
      </w:r>
      <w:r w:rsidR="00B95A81" w:rsidRPr="00DE01F8">
        <w:rPr>
          <w:rFonts w:eastAsia="Times New Roman" w:cs="Arial"/>
          <w:color w:val="000000" w:themeColor="text1"/>
          <w:szCs w:val="20"/>
          <w:lang w:val="es-ES_tradnl" w:eastAsia="es-ES"/>
        </w:rPr>
        <w:t>n lo relativo a las exportaciones</w:t>
      </w:r>
      <w:r w:rsidR="00B95A81">
        <w:rPr>
          <w:rFonts w:eastAsia="Times New Roman" w:cs="Arial"/>
          <w:color w:val="000000" w:themeColor="text1"/>
          <w:szCs w:val="20"/>
          <w:lang w:val="es-ES_tradnl" w:eastAsia="es-ES"/>
        </w:rPr>
        <w:t xml:space="preserve">, </w:t>
      </w:r>
      <w:proofErr w:type="spellStart"/>
      <w:r>
        <w:rPr>
          <w:rFonts w:eastAsia="Times New Roman" w:cs="Arial"/>
          <w:color w:val="000000" w:themeColor="text1"/>
          <w:szCs w:val="20"/>
          <w:lang w:val="es-ES_tradnl" w:eastAsia="es-ES"/>
        </w:rPr>
        <w:t>Gipuzkoa</w:t>
      </w:r>
      <w:proofErr w:type="spellEnd"/>
      <w:r w:rsidR="00B95A81">
        <w:rPr>
          <w:rFonts w:eastAsia="Times New Roman" w:cs="Arial"/>
          <w:color w:val="000000" w:themeColor="text1"/>
          <w:szCs w:val="20"/>
          <w:lang w:val="es-ES_tradnl" w:eastAsia="es-ES"/>
        </w:rPr>
        <w:t xml:space="preserve"> continúa ejerciendo</w:t>
      </w:r>
      <w:r w:rsidR="00B95A81" w:rsidRPr="00DE01F8">
        <w:rPr>
          <w:rFonts w:eastAsia="Times New Roman" w:cs="Arial"/>
          <w:color w:val="000000" w:themeColor="text1"/>
          <w:szCs w:val="20"/>
          <w:lang w:val="es-ES_tradnl" w:eastAsia="es-ES"/>
        </w:rPr>
        <w:t xml:space="preserve"> una clara posición de liderazgo, concentra</w:t>
      </w:r>
      <w:r w:rsidR="00B95A81">
        <w:rPr>
          <w:rFonts w:eastAsia="Times New Roman" w:cs="Arial"/>
          <w:color w:val="000000" w:themeColor="text1"/>
          <w:szCs w:val="20"/>
          <w:lang w:val="es-ES_tradnl" w:eastAsia="es-ES"/>
        </w:rPr>
        <w:t>n</w:t>
      </w:r>
      <w:r w:rsidR="00B95A81" w:rsidRPr="00DE01F8">
        <w:rPr>
          <w:rFonts w:eastAsia="Times New Roman" w:cs="Arial"/>
          <w:color w:val="000000" w:themeColor="text1"/>
          <w:szCs w:val="20"/>
          <w:lang w:val="es-ES_tradnl" w:eastAsia="es-ES"/>
        </w:rPr>
        <w:t xml:space="preserve">do un </w:t>
      </w:r>
      <w:r w:rsidR="00B95A81">
        <w:rPr>
          <w:rFonts w:eastAsia="Times New Roman" w:cs="Arial"/>
          <w:color w:val="000000" w:themeColor="text1"/>
          <w:szCs w:val="20"/>
          <w:lang w:val="es-ES_tradnl" w:eastAsia="es-ES"/>
        </w:rPr>
        <w:t>68,1</w:t>
      </w:r>
      <w:r w:rsidR="00B95A81" w:rsidRPr="00DE01F8">
        <w:rPr>
          <w:rFonts w:eastAsia="Times New Roman" w:cs="Arial"/>
          <w:color w:val="000000" w:themeColor="text1"/>
          <w:szCs w:val="20"/>
          <w:lang w:val="es-ES_tradnl" w:eastAsia="es-ES"/>
        </w:rPr>
        <w:t xml:space="preserve">% de las ventas al exterior </w:t>
      </w:r>
      <w:r w:rsidR="006B6100">
        <w:rPr>
          <w:rFonts w:eastAsia="Times New Roman" w:cs="Arial"/>
          <w:color w:val="000000" w:themeColor="text1"/>
          <w:szCs w:val="20"/>
          <w:lang w:val="es-ES_tradnl" w:eastAsia="es-ES"/>
        </w:rPr>
        <w:t xml:space="preserve">realizadas por el conjunto del </w:t>
      </w:r>
      <w:r w:rsidR="00B95A81" w:rsidRPr="00DE01F8">
        <w:rPr>
          <w:rFonts w:eastAsia="Times New Roman" w:cs="Arial"/>
          <w:color w:val="000000" w:themeColor="text1"/>
          <w:szCs w:val="20"/>
          <w:lang w:val="es-ES_tradnl" w:eastAsia="es-ES"/>
        </w:rPr>
        <w:t>sector</w:t>
      </w:r>
      <w:r w:rsidR="00B95A81">
        <w:rPr>
          <w:rFonts w:eastAsia="Times New Roman" w:cs="Arial"/>
          <w:color w:val="000000" w:themeColor="text1"/>
          <w:szCs w:val="20"/>
          <w:lang w:val="es-ES_tradnl" w:eastAsia="es-ES"/>
        </w:rPr>
        <w:t xml:space="preserve"> social</w:t>
      </w:r>
      <w:r w:rsidR="00096535">
        <w:rPr>
          <w:rFonts w:eastAsia="Times New Roman" w:cs="Arial"/>
          <w:color w:val="000000" w:themeColor="text1"/>
          <w:szCs w:val="20"/>
          <w:lang w:val="es-ES_tradnl" w:eastAsia="es-ES"/>
        </w:rPr>
        <w:t xml:space="preserve"> en el año 2014.</w:t>
      </w:r>
    </w:p>
    <w:p w:rsidR="00855C3F" w:rsidRDefault="00855C3F" w:rsidP="00B95A81">
      <w:pPr>
        <w:rPr>
          <w:rFonts w:eastAsia="Times New Roman" w:cs="Arial"/>
          <w:color w:val="000000" w:themeColor="text1"/>
          <w:szCs w:val="20"/>
          <w:lang w:val="es-ES_tradnl" w:eastAsia="es-ES"/>
        </w:rPr>
      </w:pPr>
    </w:p>
    <w:p w:rsidR="00B95A81" w:rsidRPr="00DE01F8" w:rsidRDefault="00C37F0E" w:rsidP="00B95A81">
      <w:pPr>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 xml:space="preserve">En su dimensión comarcal, </w:t>
      </w:r>
      <w:r w:rsidR="00466D4E">
        <w:rPr>
          <w:rFonts w:eastAsia="Times New Roman" w:cs="Arial"/>
          <w:color w:val="000000" w:themeColor="text1"/>
          <w:szCs w:val="20"/>
          <w:lang w:val="es-ES_tradnl" w:eastAsia="es-ES"/>
        </w:rPr>
        <w:t xml:space="preserve">el mayor peso relativo de las exportaciones </w:t>
      </w:r>
      <w:r>
        <w:rPr>
          <w:rFonts w:eastAsia="Times New Roman" w:cs="Arial"/>
          <w:color w:val="000000" w:themeColor="text1"/>
          <w:szCs w:val="20"/>
          <w:lang w:val="es-ES_tradnl" w:eastAsia="es-ES"/>
        </w:rPr>
        <w:t xml:space="preserve">en los </w:t>
      </w:r>
      <w:r w:rsidR="00466D4E">
        <w:rPr>
          <w:rFonts w:eastAsia="Times New Roman" w:cs="Arial"/>
          <w:color w:val="000000" w:themeColor="text1"/>
          <w:szCs w:val="20"/>
          <w:lang w:val="es-ES_tradnl" w:eastAsia="es-ES"/>
        </w:rPr>
        <w:t xml:space="preserve">niveles de facturación </w:t>
      </w:r>
      <w:r>
        <w:rPr>
          <w:rFonts w:eastAsia="Times New Roman" w:cs="Arial"/>
          <w:color w:val="000000" w:themeColor="text1"/>
          <w:szCs w:val="20"/>
          <w:lang w:val="es-ES_tradnl" w:eastAsia="es-ES"/>
        </w:rPr>
        <w:t>corresponden a</w:t>
      </w:r>
      <w:r w:rsidR="00466D4E">
        <w:rPr>
          <w:rFonts w:eastAsia="Times New Roman" w:cs="Arial"/>
          <w:color w:val="000000" w:themeColor="text1"/>
          <w:szCs w:val="20"/>
          <w:lang w:val="es-ES_tradnl" w:eastAsia="es-ES"/>
        </w:rPr>
        <w:t xml:space="preserve"> las comarcas guipu</w:t>
      </w:r>
      <w:r w:rsidR="009A7884">
        <w:rPr>
          <w:rFonts w:eastAsia="Times New Roman" w:cs="Arial"/>
          <w:color w:val="000000" w:themeColor="text1"/>
          <w:szCs w:val="20"/>
          <w:lang w:val="es-ES_tradnl" w:eastAsia="es-ES"/>
        </w:rPr>
        <w:t xml:space="preserve">zcoanas del Alto Deba (61,1%), </w:t>
      </w:r>
      <w:r w:rsidR="00466D4E">
        <w:rPr>
          <w:rFonts w:eastAsia="Times New Roman" w:cs="Arial"/>
          <w:color w:val="000000" w:themeColor="text1"/>
          <w:szCs w:val="20"/>
          <w:lang w:val="es-ES_tradnl" w:eastAsia="es-ES"/>
        </w:rPr>
        <w:t xml:space="preserve">Tolosa – </w:t>
      </w:r>
      <w:proofErr w:type="spellStart"/>
      <w:r w:rsidR="00466D4E">
        <w:rPr>
          <w:rFonts w:eastAsia="Times New Roman" w:cs="Arial"/>
          <w:color w:val="000000" w:themeColor="text1"/>
          <w:szCs w:val="20"/>
          <w:lang w:val="es-ES_tradnl" w:eastAsia="es-ES"/>
        </w:rPr>
        <w:t>Goierri</w:t>
      </w:r>
      <w:proofErr w:type="spellEnd"/>
      <w:r w:rsidR="00466D4E">
        <w:rPr>
          <w:rFonts w:eastAsia="Times New Roman" w:cs="Arial"/>
          <w:color w:val="000000" w:themeColor="text1"/>
          <w:szCs w:val="20"/>
          <w:lang w:val="es-ES_tradnl" w:eastAsia="es-ES"/>
        </w:rPr>
        <w:t xml:space="preserve"> (54,8%)</w:t>
      </w:r>
      <w:r>
        <w:rPr>
          <w:rFonts w:eastAsia="Times New Roman" w:cs="Arial"/>
          <w:color w:val="000000" w:themeColor="text1"/>
          <w:szCs w:val="20"/>
          <w:lang w:val="es-ES_tradnl" w:eastAsia="es-ES"/>
        </w:rPr>
        <w:t xml:space="preserve"> y Bajo Deba (46%), así como a la vizcaína de </w:t>
      </w:r>
      <w:proofErr w:type="spellStart"/>
      <w:r>
        <w:rPr>
          <w:rFonts w:eastAsia="Times New Roman" w:cs="Arial"/>
          <w:color w:val="000000" w:themeColor="text1"/>
          <w:szCs w:val="20"/>
          <w:lang w:val="es-ES_tradnl" w:eastAsia="es-ES"/>
        </w:rPr>
        <w:t>Bizkaia</w:t>
      </w:r>
      <w:proofErr w:type="spellEnd"/>
      <w:r>
        <w:rPr>
          <w:rFonts w:eastAsia="Times New Roman" w:cs="Arial"/>
          <w:color w:val="000000" w:themeColor="text1"/>
          <w:szCs w:val="20"/>
          <w:lang w:val="es-ES_tradnl" w:eastAsia="es-ES"/>
        </w:rPr>
        <w:t xml:space="preserve">-Costa (53%). Estas cuatro comarcas </w:t>
      </w:r>
      <w:r w:rsidR="00466D4E">
        <w:rPr>
          <w:rFonts w:eastAsia="Times New Roman" w:cs="Arial"/>
          <w:color w:val="000000" w:themeColor="text1"/>
          <w:szCs w:val="20"/>
          <w:lang w:val="es-ES_tradnl" w:eastAsia="es-ES"/>
        </w:rPr>
        <w:t>registran unos ratios de exportación sustancialmente superiores al</w:t>
      </w:r>
      <w:r>
        <w:rPr>
          <w:rFonts w:eastAsia="Times New Roman" w:cs="Arial"/>
          <w:color w:val="000000" w:themeColor="text1"/>
          <w:szCs w:val="20"/>
          <w:lang w:val="es-ES_tradnl" w:eastAsia="es-ES"/>
        </w:rPr>
        <w:t xml:space="preserve"> 34,5% del </w:t>
      </w:r>
      <w:r w:rsidR="00466D4E">
        <w:rPr>
          <w:rFonts w:eastAsia="Times New Roman" w:cs="Arial"/>
          <w:color w:val="000000" w:themeColor="text1"/>
          <w:szCs w:val="20"/>
          <w:lang w:val="es-ES_tradnl" w:eastAsia="es-ES"/>
        </w:rPr>
        <w:t xml:space="preserve">conjunto de la Economía Social </w:t>
      </w:r>
      <w:r>
        <w:rPr>
          <w:rFonts w:eastAsia="Times New Roman" w:cs="Arial"/>
          <w:color w:val="000000" w:themeColor="text1"/>
          <w:szCs w:val="20"/>
          <w:lang w:val="es-ES_tradnl" w:eastAsia="es-ES"/>
        </w:rPr>
        <w:t>vasca</w:t>
      </w:r>
      <w:r w:rsidR="009A7884">
        <w:rPr>
          <w:rFonts w:eastAsia="Times New Roman" w:cs="Arial"/>
          <w:color w:val="000000" w:themeColor="text1"/>
          <w:szCs w:val="20"/>
          <w:lang w:val="es-ES_tradnl" w:eastAsia="es-ES"/>
        </w:rPr>
        <w:t>.</w:t>
      </w:r>
      <w:r w:rsidR="00466D4E">
        <w:rPr>
          <w:rFonts w:eastAsia="Times New Roman" w:cs="Arial"/>
          <w:color w:val="000000" w:themeColor="text1"/>
          <w:szCs w:val="20"/>
          <w:lang w:val="es-ES_tradnl" w:eastAsia="es-ES"/>
        </w:rPr>
        <w:t xml:space="preserve"> </w:t>
      </w:r>
    </w:p>
    <w:p w:rsidR="00992F45" w:rsidRDefault="00992F45" w:rsidP="00992F45">
      <w:pPr>
        <w:widowControl w:val="0"/>
        <w:rPr>
          <w:rFonts w:cs="Arial"/>
          <w:lang w:val="es-ES_tradnl"/>
        </w:rPr>
      </w:pPr>
    </w:p>
    <w:p w:rsidR="006B72FE" w:rsidRDefault="006B72FE" w:rsidP="00992F45">
      <w:pPr>
        <w:widowControl w:val="0"/>
        <w:rPr>
          <w:rFonts w:cs="Arial"/>
          <w:lang w:val="es-ES_tradnl"/>
        </w:rPr>
      </w:pPr>
    </w:p>
    <w:p w:rsidR="00466D4E" w:rsidRDefault="00466D4E" w:rsidP="00466D4E">
      <w:pPr>
        <w:widowControl w:val="0"/>
        <w:spacing w:line="240" w:lineRule="auto"/>
        <w:jc w:val="center"/>
        <w:rPr>
          <w:rFonts w:cs="Arial"/>
          <w:b/>
          <w:color w:val="1F497D" w:themeColor="text2"/>
          <w:sz w:val="18"/>
          <w:szCs w:val="18"/>
          <w:lang w:val="es-ES_tradnl"/>
        </w:rPr>
      </w:pPr>
      <w:r>
        <w:rPr>
          <w:rFonts w:cs="Arial"/>
          <w:b/>
          <w:color w:val="1F497D" w:themeColor="text2"/>
          <w:sz w:val="18"/>
          <w:szCs w:val="18"/>
          <w:lang w:val="es-ES_tradnl"/>
        </w:rPr>
        <w:lastRenderedPageBreak/>
        <w:t xml:space="preserve">PESO RELATIVO COMARCAL DE LAS EXPORTACIONES </w:t>
      </w:r>
      <w:r w:rsidRPr="00627246">
        <w:rPr>
          <w:rFonts w:cs="Arial"/>
          <w:b/>
          <w:color w:val="1F497D" w:themeColor="text2"/>
          <w:sz w:val="18"/>
          <w:szCs w:val="18"/>
          <w:lang w:val="es-ES_tradnl"/>
        </w:rPr>
        <w:t xml:space="preserve">DE LA ECONOMÍA SOCIAL </w:t>
      </w:r>
      <w:r>
        <w:rPr>
          <w:rFonts w:cs="Arial"/>
          <w:b/>
          <w:color w:val="1F497D" w:themeColor="text2"/>
          <w:sz w:val="18"/>
          <w:szCs w:val="18"/>
          <w:lang w:val="es-ES_tradnl"/>
        </w:rPr>
        <w:t>SOBRE FACTURACIÓN 2014</w:t>
      </w:r>
      <w:r w:rsidRPr="00627246">
        <w:rPr>
          <w:rFonts w:cs="Arial"/>
          <w:b/>
          <w:color w:val="1F497D" w:themeColor="text2"/>
          <w:sz w:val="18"/>
          <w:szCs w:val="18"/>
          <w:lang w:val="es-ES_tradnl"/>
        </w:rPr>
        <w:t xml:space="preserve"> (% sobre </w:t>
      </w:r>
      <w:r>
        <w:rPr>
          <w:rFonts w:cs="Arial"/>
          <w:b/>
          <w:color w:val="1F497D" w:themeColor="text2"/>
          <w:sz w:val="18"/>
          <w:szCs w:val="18"/>
          <w:lang w:val="es-ES_tradnl"/>
        </w:rPr>
        <w:t>facturación)</w:t>
      </w:r>
    </w:p>
    <w:p w:rsidR="00466D4E" w:rsidRPr="00B46047" w:rsidRDefault="00466D4E" w:rsidP="00466D4E">
      <w:pPr>
        <w:rPr>
          <w:lang w:val="es-ES_tradnl"/>
        </w:rPr>
      </w:pPr>
      <w:r>
        <w:rPr>
          <w:noProof/>
          <w:lang w:eastAsia="es-ES"/>
        </w:rPr>
        <w:drawing>
          <wp:anchor distT="0" distB="0" distL="114300" distR="114300" simplePos="0" relativeHeight="251857920" behindDoc="0" locked="0" layoutInCell="1" allowOverlap="1">
            <wp:simplePos x="0" y="0"/>
            <wp:positionH relativeFrom="column">
              <wp:posOffset>486558</wp:posOffset>
            </wp:positionH>
            <wp:positionV relativeFrom="paragraph">
              <wp:posOffset>77765</wp:posOffset>
            </wp:positionV>
            <wp:extent cx="4871927" cy="2530549"/>
            <wp:effectExtent l="19050" t="0" r="0" b="0"/>
            <wp:wrapNone/>
            <wp:docPr id="14"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66D4E" w:rsidRDefault="00466D4E" w:rsidP="00466D4E"/>
    <w:p w:rsidR="00466D4E" w:rsidRDefault="00466D4E" w:rsidP="00466D4E"/>
    <w:p w:rsidR="00466D4E" w:rsidRDefault="00466D4E" w:rsidP="00466D4E"/>
    <w:p w:rsidR="00466D4E" w:rsidRDefault="00466D4E" w:rsidP="00466D4E"/>
    <w:p w:rsidR="00466D4E" w:rsidRDefault="00466D4E" w:rsidP="00466D4E"/>
    <w:p w:rsidR="00466D4E" w:rsidRDefault="00466D4E" w:rsidP="00466D4E"/>
    <w:p w:rsidR="00466D4E" w:rsidRDefault="00466D4E" w:rsidP="00466D4E"/>
    <w:p w:rsidR="00466D4E" w:rsidRDefault="00466D4E" w:rsidP="00466D4E"/>
    <w:p w:rsidR="00466D4E" w:rsidRDefault="00466D4E" w:rsidP="00466D4E"/>
    <w:p w:rsidR="00466D4E" w:rsidRDefault="00466D4E" w:rsidP="00466D4E"/>
    <w:p w:rsidR="00466D4E" w:rsidRDefault="00466D4E" w:rsidP="00466D4E">
      <w:pPr>
        <w:jc w:val="left"/>
      </w:pPr>
    </w:p>
    <w:p w:rsidR="006B72FE" w:rsidRDefault="006B72FE">
      <w:pPr>
        <w:spacing w:after="200" w:line="276" w:lineRule="auto"/>
        <w:jc w:val="left"/>
        <w:rPr>
          <w:szCs w:val="28"/>
        </w:rPr>
      </w:pPr>
    </w:p>
    <w:p w:rsidR="006B72FE" w:rsidRPr="00E64272" w:rsidRDefault="006B72FE" w:rsidP="006B72FE">
      <w:pPr>
        <w:rPr>
          <w:rFonts w:eastAsia="Arial"/>
          <w:b/>
          <w:lang w:val="es-ES_tradnl"/>
        </w:rPr>
      </w:pPr>
      <w:r w:rsidRPr="00E64272">
        <w:rPr>
          <w:b/>
          <w:lang w:eastAsia="es-ES"/>
        </w:rPr>
        <w:t>La caída de las ventas en el mercado interno sigue constituyendo, en cualquier caso, el principal límite para la recuperación de la</w:t>
      </w:r>
      <w:r w:rsidR="00A567F7" w:rsidRPr="00E64272">
        <w:rPr>
          <w:b/>
          <w:lang w:eastAsia="es-ES"/>
        </w:rPr>
        <w:t>s FCES</w:t>
      </w:r>
      <w:r w:rsidRPr="00E64272">
        <w:rPr>
          <w:b/>
          <w:lang w:eastAsia="es-ES"/>
        </w:rPr>
        <w:t xml:space="preserve"> en la CAE</w:t>
      </w:r>
      <w:r w:rsidR="00A567F7" w:rsidRPr="00E64272">
        <w:rPr>
          <w:b/>
          <w:lang w:eastAsia="es-ES"/>
        </w:rPr>
        <w:t>. En este aspecto, la dinámica del bienio 2012-2014 resulta casi tan crítica como la del periodo 2008-2010</w:t>
      </w:r>
    </w:p>
    <w:p w:rsidR="006B72FE" w:rsidRPr="00E64272" w:rsidRDefault="006B72FE" w:rsidP="006B72FE">
      <w:pPr>
        <w:pStyle w:val="Prrafodelista"/>
        <w:spacing w:after="0" w:line="360" w:lineRule="auto"/>
        <w:ind w:left="426" w:hanging="426"/>
        <w:rPr>
          <w:rFonts w:ascii="Arial" w:eastAsia="Arial" w:hAnsi="Arial" w:cs="Arial"/>
          <w:szCs w:val="20"/>
          <w:lang w:val="es-ES_tradnl"/>
        </w:rPr>
      </w:pPr>
    </w:p>
    <w:p w:rsidR="006B72FE" w:rsidRPr="00E64272" w:rsidRDefault="006B72FE" w:rsidP="006B72FE">
      <w:pPr>
        <w:rPr>
          <w:lang w:val="es-ES_tradnl"/>
        </w:rPr>
      </w:pPr>
      <w:r w:rsidRPr="00E64272">
        <w:rPr>
          <w:lang w:val="es-ES_tradnl"/>
        </w:rPr>
        <w:t>La tendencia a la apertura exterior de la Economía Social debe en todo caso matizarse con los datos de facturación interna, unos datos de signo negativo que tienden a ofrecer una imagen en exceso positiva de la salida hacia otros mercados. En este sentido, el dato clave para explicar las dificultades de las FCES en la CAE sigue siendo la tendencia negativa de la facturación en el mercado interno.</w:t>
      </w:r>
    </w:p>
    <w:p w:rsidR="006B72FE" w:rsidRPr="00E64272" w:rsidRDefault="006B72FE" w:rsidP="006B72FE">
      <w:pPr>
        <w:rPr>
          <w:lang w:val="es-ES_tradnl"/>
        </w:rPr>
      </w:pPr>
    </w:p>
    <w:p w:rsidR="006B72FE" w:rsidRPr="00E64272" w:rsidRDefault="006B72FE" w:rsidP="006B72FE">
      <w:pPr>
        <w:rPr>
          <w:lang w:val="es-ES_tradnl"/>
        </w:rPr>
      </w:pPr>
      <w:r w:rsidRPr="00E64272">
        <w:rPr>
          <w:lang w:val="es-ES_tradnl"/>
        </w:rPr>
        <w:t xml:space="preserve">En el caso de las empresas no exportadoras, </w:t>
      </w:r>
      <w:r w:rsidR="00A567F7" w:rsidRPr="00E64272">
        <w:rPr>
          <w:lang w:val="es-ES_tradnl"/>
        </w:rPr>
        <w:t xml:space="preserve">se prolonga entre 2012 y 2014 la tendencia negativa, con una caída de la facturación del 4,9%. Se trata de una cifra elevada, a pesar del ajuste a la baja en los ritmos de reducción de las ventas respecto al -13,6% de 2010-2012 y </w:t>
      </w:r>
      <w:r w:rsidRPr="00E64272">
        <w:rPr>
          <w:lang w:val="es-ES_tradnl"/>
        </w:rPr>
        <w:t xml:space="preserve">el </w:t>
      </w:r>
      <w:r w:rsidR="00A567F7" w:rsidRPr="00E64272">
        <w:rPr>
          <w:lang w:val="es-ES_tradnl"/>
        </w:rPr>
        <w:t>-</w:t>
      </w:r>
      <w:r w:rsidRPr="00E64272">
        <w:rPr>
          <w:lang w:val="es-ES_tradnl"/>
        </w:rPr>
        <w:t xml:space="preserve">8,0% del bienio 2008-2010. </w:t>
      </w:r>
      <w:r w:rsidR="00A567F7" w:rsidRPr="00E64272">
        <w:rPr>
          <w:lang w:val="es-ES_tradnl"/>
        </w:rPr>
        <w:t>En conjunto, los establecimientos no exportadores pierden un 24,3% de la facturación entre 2008 y 2014.</w:t>
      </w:r>
    </w:p>
    <w:p w:rsidR="006B72FE" w:rsidRPr="004811EF" w:rsidRDefault="006B72FE" w:rsidP="006B72FE">
      <w:pPr>
        <w:rPr>
          <w:lang w:val="es-ES_tradnl"/>
        </w:rPr>
      </w:pPr>
    </w:p>
    <w:p w:rsidR="00A567F7" w:rsidRPr="00BF0D70" w:rsidRDefault="00A567F7" w:rsidP="006B72FE">
      <w:pPr>
        <w:rPr>
          <w:color w:val="000000" w:themeColor="text1"/>
          <w:lang w:val="es-ES_tradnl"/>
        </w:rPr>
      </w:pPr>
      <w:r w:rsidRPr="00F42167">
        <w:rPr>
          <w:lang w:val="es-ES_tradnl"/>
        </w:rPr>
        <w:t xml:space="preserve">La crisis es aún más fuerte en las empresas exportadoras, con una caída de la facturación interna del 44,4% entre 2008 y </w:t>
      </w:r>
      <w:r w:rsidRPr="009B44A3">
        <w:rPr>
          <w:lang w:val="es-ES_tradnl"/>
        </w:rPr>
        <w:t>2014. A difer</w:t>
      </w:r>
      <w:r w:rsidR="00181C3F" w:rsidRPr="009B44A3">
        <w:rPr>
          <w:lang w:val="es-ES_tradnl"/>
        </w:rPr>
        <w:t>encia de lo observado entre 2010 y 2012</w:t>
      </w:r>
      <w:r w:rsidRPr="009B44A3">
        <w:rPr>
          <w:lang w:val="es-ES_tradnl"/>
        </w:rPr>
        <w:t>, con una reducción más limitada que en las no exportadoras (-5,5%</w:t>
      </w:r>
      <w:r w:rsidR="00181C3F" w:rsidRPr="009B44A3">
        <w:rPr>
          <w:lang w:val="es-ES_tradnl"/>
        </w:rPr>
        <w:t xml:space="preserve"> entre las exportadoras</w:t>
      </w:r>
      <w:r w:rsidRPr="009B44A3">
        <w:rPr>
          <w:lang w:val="es-ES_tradnl"/>
        </w:rPr>
        <w:t xml:space="preserve"> frente a -13,6%</w:t>
      </w:r>
      <w:r w:rsidR="00181C3F" w:rsidRPr="009B44A3">
        <w:rPr>
          <w:lang w:val="es-ES_tradnl"/>
        </w:rPr>
        <w:t xml:space="preserve"> de las no exportadoras</w:t>
      </w:r>
      <w:r w:rsidRPr="009B44A3">
        <w:rPr>
          <w:lang w:val="es-ES_tradnl"/>
        </w:rPr>
        <w:t>), vuelve a rep</w:t>
      </w:r>
      <w:r w:rsidR="00BF0D70" w:rsidRPr="009B44A3">
        <w:rPr>
          <w:lang w:val="es-ES_tradnl"/>
        </w:rPr>
        <w:t>etirse en el bienio 2012-</w:t>
      </w:r>
      <w:r w:rsidRPr="009B44A3">
        <w:rPr>
          <w:lang w:val="es-ES_tradnl"/>
        </w:rPr>
        <w:t>2014 el escenario ya observado en</w:t>
      </w:r>
      <w:r w:rsidR="00BF0D70" w:rsidRPr="009B44A3">
        <w:rPr>
          <w:lang w:val="es-ES_tradnl"/>
        </w:rPr>
        <w:t>tre 2008 y</w:t>
      </w:r>
      <w:r w:rsidRPr="009B44A3">
        <w:rPr>
          <w:lang w:val="es-ES_tradnl"/>
        </w:rPr>
        <w:t xml:space="preserve"> 2010, con una muy superior caída</w:t>
      </w:r>
      <w:r w:rsidR="002E3651">
        <w:rPr>
          <w:lang w:val="es-ES_tradnl"/>
        </w:rPr>
        <w:t xml:space="preserve"> </w:t>
      </w:r>
      <w:r w:rsidRPr="009B44A3">
        <w:rPr>
          <w:lang w:val="es-ES_tradnl"/>
        </w:rPr>
        <w:t xml:space="preserve">de las ventas internas entre las empresas </w:t>
      </w:r>
      <w:r w:rsidRPr="002E3651">
        <w:rPr>
          <w:lang w:val="es-ES_tradnl"/>
        </w:rPr>
        <w:t>exportadoras (-</w:t>
      </w:r>
      <w:r w:rsidR="009B44A3" w:rsidRPr="002E3651">
        <w:rPr>
          <w:lang w:val="es-ES_tradnl"/>
        </w:rPr>
        <w:t>2</w:t>
      </w:r>
      <w:r w:rsidR="002E3651" w:rsidRPr="002E3651">
        <w:rPr>
          <w:lang w:val="es-ES_tradnl"/>
        </w:rPr>
        <w:t>1,5</w:t>
      </w:r>
      <w:r w:rsidR="009B44A3" w:rsidRPr="002E3651">
        <w:rPr>
          <w:lang w:val="es-ES_tradnl"/>
        </w:rPr>
        <w:t>% frente a -</w:t>
      </w:r>
      <w:r w:rsidR="002E3651" w:rsidRPr="002E3651">
        <w:rPr>
          <w:lang w:val="es-ES_tradnl"/>
        </w:rPr>
        <w:t>4,9</w:t>
      </w:r>
      <w:r w:rsidRPr="002E3651">
        <w:rPr>
          <w:lang w:val="es-ES_tradnl"/>
        </w:rPr>
        <w:t>% en las no exportadoras</w:t>
      </w:r>
      <w:r w:rsidR="00FC71A9">
        <w:rPr>
          <w:lang w:val="es-ES_tradnl"/>
        </w:rPr>
        <w:t xml:space="preserve"> en</w:t>
      </w:r>
      <w:r w:rsidR="000912CC">
        <w:rPr>
          <w:lang w:val="es-ES_tradnl"/>
        </w:rPr>
        <w:t>tre</w:t>
      </w:r>
      <w:r w:rsidR="00FC71A9">
        <w:rPr>
          <w:lang w:val="es-ES_tradnl"/>
        </w:rPr>
        <w:t xml:space="preserve"> 2012</w:t>
      </w:r>
      <w:r w:rsidR="000912CC">
        <w:rPr>
          <w:lang w:val="es-ES_tradnl"/>
        </w:rPr>
        <w:t xml:space="preserve"> y </w:t>
      </w:r>
      <w:r w:rsidR="00FC71A9">
        <w:rPr>
          <w:lang w:val="es-ES_tradnl"/>
        </w:rPr>
        <w:t>2014</w:t>
      </w:r>
      <w:r w:rsidRPr="002E3651">
        <w:rPr>
          <w:lang w:val="es-ES_tradnl"/>
        </w:rPr>
        <w:t>).</w:t>
      </w:r>
      <w:r w:rsidRPr="00181C3F">
        <w:rPr>
          <w:lang w:val="es-ES_tradnl"/>
        </w:rPr>
        <w:t xml:space="preserve"> </w:t>
      </w:r>
      <w:r w:rsidR="00FC71A9">
        <w:rPr>
          <w:lang w:val="es-ES_tradnl"/>
        </w:rPr>
        <w:t xml:space="preserve">En esa línea, </w:t>
      </w:r>
      <w:r w:rsidR="000912CC">
        <w:rPr>
          <w:lang w:val="es-ES_tradnl"/>
        </w:rPr>
        <w:t>l</w:t>
      </w:r>
      <w:r w:rsidRPr="00181C3F">
        <w:rPr>
          <w:lang w:val="es-ES_tradnl"/>
        </w:rPr>
        <w:t>a caída superior al 20% en la facturación interna de la empresa exportadora en</w:t>
      </w:r>
      <w:r w:rsidR="000912CC">
        <w:rPr>
          <w:lang w:val="es-ES_tradnl"/>
        </w:rPr>
        <w:t xml:space="preserve"> el bienio 2012-</w:t>
      </w:r>
      <w:r w:rsidRPr="00181C3F">
        <w:rPr>
          <w:lang w:val="es-ES_tradnl"/>
        </w:rPr>
        <w:t xml:space="preserve">2014 tampoco se aleja en exceso del -25% del </w:t>
      </w:r>
      <w:r w:rsidR="000912CC">
        <w:rPr>
          <w:lang w:val="es-ES_tradnl"/>
        </w:rPr>
        <w:t>periodo</w:t>
      </w:r>
      <w:r w:rsidRPr="00181C3F">
        <w:rPr>
          <w:lang w:val="es-ES_tradnl"/>
        </w:rPr>
        <w:t xml:space="preserve"> 2008-2010.</w:t>
      </w:r>
    </w:p>
    <w:p w:rsidR="00855C3F" w:rsidRDefault="00855C3F">
      <w:pPr>
        <w:spacing w:after="200" w:line="276" w:lineRule="auto"/>
        <w:jc w:val="left"/>
        <w:rPr>
          <w:rFonts w:eastAsia="Times New Roman" w:cs="Times New Roman"/>
          <w:b/>
          <w:snapToGrid w:val="0"/>
          <w:sz w:val="28"/>
          <w:szCs w:val="28"/>
          <w:lang w:eastAsia="es-ES"/>
        </w:rPr>
      </w:pPr>
      <w:r>
        <w:rPr>
          <w:szCs w:val="28"/>
        </w:rPr>
        <w:br w:type="page"/>
      </w:r>
    </w:p>
    <w:p w:rsidR="00A917B1" w:rsidRDefault="00A917B1" w:rsidP="00952143">
      <w:pPr>
        <w:pStyle w:val="Ttulo1"/>
        <w:keepLines/>
        <w:widowControl/>
        <w:numPr>
          <w:ilvl w:val="0"/>
          <w:numId w:val="8"/>
        </w:numPr>
        <w:spacing w:before="480"/>
        <w:rPr>
          <w:szCs w:val="28"/>
        </w:rPr>
      </w:pPr>
      <w:bookmarkStart w:id="5" w:name="_Toc450118893"/>
      <w:r>
        <w:rPr>
          <w:szCs w:val="28"/>
        </w:rPr>
        <w:lastRenderedPageBreak/>
        <w:t>ESTRATEGIAS ANTE LA CRISIS, HERRAMIENTAS DE GESTIÓN E INNOVACIÓN EN LA ECONOMÍA SOCIAL CLÁSICA</w:t>
      </w:r>
      <w:bookmarkEnd w:id="5"/>
    </w:p>
    <w:p w:rsidR="00735FEC" w:rsidRPr="00CA3C57" w:rsidRDefault="00735FEC" w:rsidP="00BB313D">
      <w:pPr>
        <w:pStyle w:val="ARIALNARROW"/>
        <w:widowControl w:val="0"/>
        <w:spacing w:line="360" w:lineRule="auto"/>
        <w:ind w:left="227"/>
        <w:rPr>
          <w:lang w:val="es-ES"/>
        </w:rPr>
      </w:pPr>
    </w:p>
    <w:p w:rsidR="004A2770" w:rsidRPr="004A2770" w:rsidRDefault="006515FA" w:rsidP="004A2770">
      <w:pPr>
        <w:pBdr>
          <w:top w:val="single" w:sz="4" w:space="1" w:color="auto"/>
          <w:left w:val="single" w:sz="4" w:space="4" w:color="auto"/>
          <w:bottom w:val="single" w:sz="4" w:space="0" w:color="auto"/>
          <w:right w:val="single" w:sz="4" w:space="4" w:color="auto"/>
        </w:pBdr>
        <w:spacing w:line="240" w:lineRule="auto"/>
        <w:rPr>
          <w:rFonts w:eastAsia="Times New Roman" w:cs="Times New Roman"/>
          <w:b/>
          <w:snapToGrid w:val="0"/>
          <w:sz w:val="28"/>
          <w:szCs w:val="28"/>
          <w:lang w:eastAsia="es-ES"/>
        </w:rPr>
      </w:pPr>
      <w:r w:rsidRPr="004A2770">
        <w:rPr>
          <w:rFonts w:eastAsia="Times New Roman" w:cs="Times New Roman"/>
          <w:b/>
          <w:snapToGrid w:val="0"/>
          <w:sz w:val="28"/>
          <w:szCs w:val="28"/>
          <w:lang w:eastAsia="es-ES"/>
        </w:rPr>
        <w:t xml:space="preserve">En un contexto de prolongación de la situación de crisis, </w:t>
      </w:r>
      <w:r w:rsidR="00184EBD" w:rsidRPr="004A2770">
        <w:rPr>
          <w:rFonts w:eastAsia="Times New Roman" w:cs="Times New Roman"/>
          <w:b/>
          <w:snapToGrid w:val="0"/>
          <w:sz w:val="28"/>
          <w:szCs w:val="28"/>
          <w:lang w:eastAsia="es-ES"/>
        </w:rPr>
        <w:t>un</w:t>
      </w:r>
      <w:r w:rsidR="002C731D" w:rsidRPr="004A2770">
        <w:rPr>
          <w:rFonts w:eastAsia="Times New Roman" w:cs="Times New Roman"/>
          <w:b/>
          <w:snapToGrid w:val="0"/>
          <w:sz w:val="28"/>
          <w:szCs w:val="28"/>
          <w:lang w:eastAsia="es-ES"/>
        </w:rPr>
        <w:t xml:space="preserve"> 45% de las empresas</w:t>
      </w:r>
      <w:r w:rsidR="009A5DDC" w:rsidRPr="004A2770">
        <w:rPr>
          <w:rFonts w:eastAsia="Times New Roman" w:cs="Times New Roman"/>
          <w:b/>
          <w:snapToGrid w:val="0"/>
          <w:sz w:val="28"/>
          <w:szCs w:val="28"/>
          <w:lang w:eastAsia="es-ES"/>
        </w:rPr>
        <w:t xml:space="preserve"> de la Economía Social</w:t>
      </w:r>
      <w:r w:rsidR="002C731D" w:rsidRPr="004A2770">
        <w:rPr>
          <w:rFonts w:eastAsia="Times New Roman" w:cs="Times New Roman"/>
          <w:b/>
          <w:snapToGrid w:val="0"/>
          <w:sz w:val="28"/>
          <w:szCs w:val="28"/>
          <w:lang w:eastAsia="es-ES"/>
        </w:rPr>
        <w:t xml:space="preserve"> </w:t>
      </w:r>
      <w:r w:rsidR="004000D0" w:rsidRPr="004A2770">
        <w:rPr>
          <w:rFonts w:eastAsia="Times New Roman" w:cs="Times New Roman"/>
          <w:b/>
          <w:snapToGrid w:val="0"/>
          <w:sz w:val="28"/>
          <w:szCs w:val="28"/>
          <w:lang w:eastAsia="es-ES"/>
        </w:rPr>
        <w:t>ha asumido procesos de ajuste salarial y/o personal en</w:t>
      </w:r>
      <w:r w:rsidR="00C4762E">
        <w:rPr>
          <w:rFonts w:eastAsia="Times New Roman" w:cs="Times New Roman"/>
          <w:b/>
          <w:snapToGrid w:val="0"/>
          <w:sz w:val="28"/>
          <w:szCs w:val="28"/>
          <w:lang w:eastAsia="es-ES"/>
        </w:rPr>
        <w:t>tre 2012 y 2014</w:t>
      </w:r>
    </w:p>
    <w:p w:rsidR="0065300F" w:rsidRDefault="0065300F" w:rsidP="002C731D">
      <w:pPr>
        <w:pStyle w:val="ARIALNARROW"/>
        <w:spacing w:line="360" w:lineRule="auto"/>
        <w:rPr>
          <w:rFonts w:eastAsiaTheme="minorHAnsi" w:cstheme="minorBidi"/>
          <w:b/>
          <w:szCs w:val="22"/>
        </w:rPr>
      </w:pPr>
    </w:p>
    <w:p w:rsidR="002B7FD1" w:rsidRDefault="002B7FD1" w:rsidP="002C731D">
      <w:pPr>
        <w:pStyle w:val="ARIALNARROW"/>
        <w:spacing w:line="360" w:lineRule="auto"/>
        <w:rPr>
          <w:rFonts w:eastAsiaTheme="minorHAnsi" w:cstheme="minorBidi"/>
          <w:b/>
          <w:szCs w:val="22"/>
        </w:rPr>
      </w:pPr>
      <w:r>
        <w:rPr>
          <w:b/>
        </w:rPr>
        <w:t xml:space="preserve">Un 45,7% de las empresas </w:t>
      </w:r>
      <w:r w:rsidRPr="00DE01F8">
        <w:rPr>
          <w:b/>
        </w:rPr>
        <w:t>de la Economía Social ha abordado procesos de ajuste</w:t>
      </w:r>
      <w:r>
        <w:rPr>
          <w:b/>
        </w:rPr>
        <w:t xml:space="preserve"> para hacer frente a la situación económica en los </w:t>
      </w:r>
      <w:r w:rsidRPr="00DE01F8">
        <w:rPr>
          <w:b/>
        </w:rPr>
        <w:t>dos últimos año</w:t>
      </w:r>
      <w:r>
        <w:rPr>
          <w:b/>
        </w:rPr>
        <w:t>s</w:t>
      </w:r>
      <w:r w:rsidR="00426A51">
        <w:rPr>
          <w:b/>
        </w:rPr>
        <w:t>.</w:t>
      </w:r>
    </w:p>
    <w:p w:rsidR="002B7FD1" w:rsidRDefault="002B7FD1" w:rsidP="002C731D">
      <w:pPr>
        <w:pStyle w:val="ARIALNARROW"/>
        <w:spacing w:line="360" w:lineRule="auto"/>
        <w:rPr>
          <w:rFonts w:eastAsiaTheme="minorHAnsi" w:cstheme="minorBidi"/>
          <w:szCs w:val="22"/>
        </w:rPr>
      </w:pPr>
    </w:p>
    <w:p w:rsidR="002B7FD1" w:rsidRDefault="002B7FD1" w:rsidP="002C731D">
      <w:pPr>
        <w:pStyle w:val="ARIALNARROW"/>
        <w:spacing w:line="360" w:lineRule="auto"/>
      </w:pPr>
      <w:r w:rsidRPr="002E1C80">
        <w:t xml:space="preserve">La Estadística de la Economía Social </w:t>
      </w:r>
      <w:r>
        <w:t xml:space="preserve">viene tratando, desde la edición de 2012, </w:t>
      </w:r>
      <w:r w:rsidRPr="002E1C80">
        <w:t>de acercarse al análisis de las estrategias abordadas por las empresas para hacer frente a la crisis. Se comprueba en este contexto que, entre 201</w:t>
      </w:r>
      <w:r>
        <w:t>2</w:t>
      </w:r>
      <w:r w:rsidRPr="002E1C80">
        <w:t xml:space="preserve"> y 201</w:t>
      </w:r>
      <w:r>
        <w:t>4</w:t>
      </w:r>
      <w:r w:rsidRPr="002E1C80">
        <w:t xml:space="preserve">, un </w:t>
      </w:r>
      <w:r>
        <w:t>45,7</w:t>
      </w:r>
      <w:r w:rsidRPr="002E1C80">
        <w:t xml:space="preserve">% de las empresas de la Economía Social ha aplicado alguna medida </w:t>
      </w:r>
      <w:r>
        <w:t>de ajuste, r</w:t>
      </w:r>
      <w:r w:rsidRPr="002E1C80">
        <w:t>elacionada con ajustes</w:t>
      </w:r>
      <w:r>
        <w:t xml:space="preserve"> salariales, ajustes</w:t>
      </w:r>
      <w:r w:rsidRPr="002E1C80">
        <w:t xml:space="preserve"> de personal y/o dedicación horaria </w:t>
      </w:r>
      <w:r>
        <w:t>o con</w:t>
      </w:r>
      <w:r w:rsidRPr="002E1C80">
        <w:t xml:space="preserve"> </w:t>
      </w:r>
      <w:r>
        <w:t>otro tipo de acuerdos de colaboración</w:t>
      </w:r>
      <w:r w:rsidRPr="002E1C80">
        <w:t>.</w:t>
      </w:r>
      <w:r w:rsidR="00B11197">
        <w:t xml:space="preserve"> Aunque algo a la baja, la proporción no difiere mucho del 50,7% de 2012.</w:t>
      </w:r>
    </w:p>
    <w:p w:rsidR="002B7FD1" w:rsidRDefault="002B7FD1" w:rsidP="002C731D">
      <w:pPr>
        <w:pStyle w:val="ARIALNARROW"/>
        <w:spacing w:line="360" w:lineRule="auto"/>
      </w:pPr>
    </w:p>
    <w:p w:rsidR="003B29C7" w:rsidRDefault="00B11197" w:rsidP="00B11197">
      <w:pPr>
        <w:pStyle w:val="ARIALNARROW"/>
        <w:spacing w:line="360" w:lineRule="auto"/>
        <w:rPr>
          <w:color w:val="000000" w:themeColor="text1"/>
        </w:rPr>
      </w:pPr>
      <w:r>
        <w:t xml:space="preserve">La tendencia a la continuidad de las grandes problemáticas de ajuste, aunque en una línea ligeramente descendente, se constata también en los distintos indicadores parciales. De esta forma, </w:t>
      </w:r>
      <w:r w:rsidR="00FE640C">
        <w:rPr>
          <w:color w:val="000000" w:themeColor="text1"/>
        </w:rPr>
        <w:t>un 30% de las empresas</w:t>
      </w:r>
      <w:r w:rsidR="000522C4">
        <w:rPr>
          <w:color w:val="000000" w:themeColor="text1"/>
        </w:rPr>
        <w:t xml:space="preserve"> de la Economía Social</w:t>
      </w:r>
      <w:r w:rsidR="00FE640C">
        <w:rPr>
          <w:color w:val="000000" w:themeColor="text1"/>
        </w:rPr>
        <w:t xml:space="preserve"> (frente al 35,3% del bienio anterior) ha procedido a efectuar ajustes salar</w:t>
      </w:r>
      <w:r>
        <w:rPr>
          <w:color w:val="000000" w:themeColor="text1"/>
        </w:rPr>
        <w:t xml:space="preserve">iales en estos dos últimos años. En la misma línea, </w:t>
      </w:r>
      <w:r w:rsidR="00FE640C">
        <w:rPr>
          <w:color w:val="000000" w:themeColor="text1"/>
        </w:rPr>
        <w:t>un 31,4% de las empresas ha</w:t>
      </w:r>
      <w:r>
        <w:rPr>
          <w:color w:val="000000" w:themeColor="text1"/>
        </w:rPr>
        <w:t xml:space="preserve">n tenido que </w:t>
      </w:r>
      <w:r w:rsidR="00FE640C">
        <w:rPr>
          <w:color w:val="000000" w:themeColor="text1"/>
        </w:rPr>
        <w:t>ajusta</w:t>
      </w:r>
      <w:r>
        <w:rPr>
          <w:color w:val="000000" w:themeColor="text1"/>
        </w:rPr>
        <w:t>r su</w:t>
      </w:r>
      <w:r w:rsidR="00FE640C">
        <w:rPr>
          <w:color w:val="000000" w:themeColor="text1"/>
        </w:rPr>
        <w:t xml:space="preserve"> plantilla</w:t>
      </w:r>
      <w:r>
        <w:rPr>
          <w:color w:val="000000" w:themeColor="text1"/>
        </w:rPr>
        <w:t xml:space="preserve"> (36,9% en 2012).</w:t>
      </w:r>
    </w:p>
    <w:p w:rsidR="0065300F" w:rsidRDefault="0065300F" w:rsidP="00B11197">
      <w:pPr>
        <w:rPr>
          <w:snapToGrid w:val="0"/>
          <w:lang w:val="es-ES_tradnl"/>
        </w:rPr>
      </w:pPr>
    </w:p>
    <w:p w:rsidR="00680BB7" w:rsidRDefault="00680BB7" w:rsidP="00B11197">
      <w:pPr>
        <w:rPr>
          <w:snapToGrid w:val="0"/>
          <w:lang w:val="es-ES_tradnl"/>
        </w:rPr>
      </w:pPr>
    </w:p>
    <w:p w:rsidR="009605D1" w:rsidRPr="001C63DE" w:rsidRDefault="009605D1" w:rsidP="004A2770">
      <w:pPr>
        <w:spacing w:line="240" w:lineRule="auto"/>
        <w:jc w:val="center"/>
        <w:rPr>
          <w:rFonts w:cs="Arial"/>
          <w:b/>
          <w:snapToGrid w:val="0"/>
          <w:color w:val="1F497D" w:themeColor="text2"/>
          <w:sz w:val="18"/>
          <w:szCs w:val="18"/>
          <w:lang w:val="es-ES_tradnl"/>
        </w:rPr>
      </w:pPr>
      <w:r w:rsidRPr="001C63DE">
        <w:rPr>
          <w:rFonts w:cs="Arial"/>
          <w:b/>
          <w:snapToGrid w:val="0"/>
          <w:color w:val="1F497D" w:themeColor="text2"/>
          <w:sz w:val="18"/>
          <w:szCs w:val="18"/>
          <w:lang w:val="es-ES_tradnl"/>
        </w:rPr>
        <w:t>PORCENTAJE DE EMPRESAS QUE HAN INTRODU</w:t>
      </w:r>
      <w:r>
        <w:rPr>
          <w:rFonts w:cs="Arial"/>
          <w:b/>
          <w:snapToGrid w:val="0"/>
          <w:color w:val="1F497D" w:themeColor="text2"/>
          <w:sz w:val="18"/>
          <w:szCs w:val="18"/>
          <w:lang w:val="es-ES_tradnl"/>
        </w:rPr>
        <w:t xml:space="preserve">CIDO MEDIDAS ANTE LA CRISIS </w:t>
      </w:r>
      <w:r w:rsidR="00DE6835">
        <w:rPr>
          <w:rFonts w:cs="Arial"/>
          <w:b/>
          <w:snapToGrid w:val="0"/>
          <w:color w:val="1F497D" w:themeColor="text2"/>
          <w:sz w:val="18"/>
          <w:szCs w:val="18"/>
          <w:lang w:val="es-ES_tradnl"/>
        </w:rPr>
        <w:t>EN LOS DOS ÚLTIMOS AÑOS</w:t>
      </w:r>
      <w:r w:rsidR="004A2770">
        <w:rPr>
          <w:rFonts w:cs="Arial"/>
          <w:b/>
          <w:snapToGrid w:val="0"/>
          <w:color w:val="1F497D" w:themeColor="text2"/>
          <w:sz w:val="18"/>
          <w:szCs w:val="18"/>
          <w:lang w:val="es-ES_tradnl"/>
        </w:rPr>
        <w:t xml:space="preserve"> </w:t>
      </w:r>
      <w:r w:rsidR="00931101">
        <w:rPr>
          <w:rFonts w:cs="Arial"/>
          <w:b/>
          <w:snapToGrid w:val="0"/>
          <w:color w:val="1F497D" w:themeColor="text2"/>
          <w:sz w:val="18"/>
          <w:szCs w:val="18"/>
          <w:lang w:val="es-ES_tradnl"/>
        </w:rPr>
        <w:t>2012</w:t>
      </w:r>
      <w:r w:rsidR="00D86960">
        <w:rPr>
          <w:rFonts w:cs="Arial"/>
          <w:b/>
          <w:snapToGrid w:val="0"/>
          <w:color w:val="1F497D" w:themeColor="text2"/>
          <w:sz w:val="18"/>
          <w:szCs w:val="18"/>
          <w:lang w:val="es-ES_tradnl"/>
        </w:rPr>
        <w:t xml:space="preserve"> Y</w:t>
      </w:r>
      <w:r w:rsidR="00931101">
        <w:rPr>
          <w:rFonts w:cs="Arial"/>
          <w:b/>
          <w:snapToGrid w:val="0"/>
          <w:color w:val="1F497D" w:themeColor="text2"/>
          <w:sz w:val="18"/>
          <w:szCs w:val="18"/>
          <w:lang w:val="es-ES_tradnl"/>
        </w:rPr>
        <w:t>-</w:t>
      </w:r>
      <w:r>
        <w:rPr>
          <w:rFonts w:cs="Arial"/>
          <w:b/>
          <w:snapToGrid w:val="0"/>
          <w:color w:val="1F497D" w:themeColor="text2"/>
          <w:sz w:val="18"/>
          <w:szCs w:val="18"/>
          <w:lang w:val="es-ES_tradnl"/>
        </w:rPr>
        <w:t>2014</w:t>
      </w:r>
      <w:r w:rsidRPr="001C63DE">
        <w:rPr>
          <w:rFonts w:cs="Arial"/>
          <w:b/>
          <w:snapToGrid w:val="0"/>
          <w:color w:val="1F497D" w:themeColor="text2"/>
          <w:sz w:val="18"/>
          <w:szCs w:val="18"/>
          <w:lang w:val="es-ES_tradnl"/>
        </w:rPr>
        <w:t xml:space="preserve"> (%)</w:t>
      </w:r>
    </w:p>
    <w:p w:rsidR="009605D1" w:rsidRDefault="009605D1" w:rsidP="00C330C6">
      <w:pPr>
        <w:tabs>
          <w:tab w:val="left" w:pos="3686"/>
        </w:tabs>
        <w:rPr>
          <w:rFonts w:cs="Arial"/>
          <w:lang w:val="es-ES_tradnl"/>
        </w:rPr>
      </w:pPr>
      <w:r w:rsidRPr="001361DF">
        <w:rPr>
          <w:rFonts w:cs="Arial"/>
          <w:noProof/>
          <w:lang w:eastAsia="es-ES"/>
        </w:rPr>
        <w:drawing>
          <wp:inline distT="0" distB="0" distL="0" distR="0">
            <wp:extent cx="5635256" cy="2615609"/>
            <wp:effectExtent l="0" t="0" r="0" b="0"/>
            <wp:docPr id="5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11197" w:rsidRDefault="00B11197" w:rsidP="00DE6835">
      <w:pPr>
        <w:pStyle w:val="ARIALNARROW"/>
        <w:widowControl w:val="0"/>
        <w:spacing w:line="360" w:lineRule="auto"/>
        <w:rPr>
          <w:color w:val="000000" w:themeColor="text1"/>
        </w:rPr>
      </w:pPr>
    </w:p>
    <w:p w:rsidR="00B11197" w:rsidRDefault="00B11197">
      <w:pPr>
        <w:spacing w:after="200" w:line="276" w:lineRule="auto"/>
        <w:jc w:val="left"/>
        <w:rPr>
          <w:rFonts w:eastAsia="Times New Roman" w:cs="Arial"/>
          <w:color w:val="000000" w:themeColor="text1"/>
          <w:szCs w:val="20"/>
          <w:lang w:val="es-ES_tradnl" w:eastAsia="es-ES"/>
        </w:rPr>
      </w:pPr>
      <w:r>
        <w:rPr>
          <w:color w:val="000000" w:themeColor="text1"/>
        </w:rPr>
        <w:br w:type="page"/>
      </w:r>
    </w:p>
    <w:p w:rsidR="00B11197" w:rsidRDefault="00412E2A" w:rsidP="00DE6835">
      <w:pPr>
        <w:pStyle w:val="ARIALNARROW"/>
        <w:widowControl w:val="0"/>
        <w:spacing w:line="360" w:lineRule="auto"/>
        <w:rPr>
          <w:color w:val="000000" w:themeColor="text1"/>
        </w:rPr>
      </w:pPr>
      <w:r w:rsidRPr="00412E2A">
        <w:rPr>
          <w:color w:val="000000" w:themeColor="text1"/>
        </w:rPr>
        <w:lastRenderedPageBreak/>
        <w:t xml:space="preserve">En este escenario de estrategias adoptadas para hacer frente </w:t>
      </w:r>
      <w:r w:rsidR="00B11197">
        <w:rPr>
          <w:color w:val="000000" w:themeColor="text1"/>
        </w:rPr>
        <w:t xml:space="preserve">a </w:t>
      </w:r>
      <w:r w:rsidRPr="00412E2A">
        <w:rPr>
          <w:color w:val="000000" w:themeColor="text1"/>
        </w:rPr>
        <w:t xml:space="preserve">la </w:t>
      </w:r>
      <w:r>
        <w:rPr>
          <w:color w:val="000000" w:themeColor="text1"/>
        </w:rPr>
        <w:t xml:space="preserve">situación económica </w:t>
      </w:r>
      <w:r w:rsidR="00B11197">
        <w:rPr>
          <w:color w:val="000000" w:themeColor="text1"/>
        </w:rPr>
        <w:t>del bienio 2012-2014</w:t>
      </w:r>
      <w:r w:rsidR="004A2770">
        <w:rPr>
          <w:color w:val="000000" w:themeColor="text1"/>
        </w:rPr>
        <w:t xml:space="preserve">, </w:t>
      </w:r>
      <w:r w:rsidR="00B11197">
        <w:rPr>
          <w:color w:val="000000" w:themeColor="text1"/>
        </w:rPr>
        <w:t xml:space="preserve">en la línea de las medidas de ajuste salarial, siguen destacando dos tipos de actuaciones: las acciones de </w:t>
      </w:r>
      <w:r w:rsidR="00FF3AFA">
        <w:rPr>
          <w:color w:val="000000" w:themeColor="text1"/>
        </w:rPr>
        <w:t>reducción salarial</w:t>
      </w:r>
      <w:r w:rsidR="00B11197">
        <w:rPr>
          <w:color w:val="000000" w:themeColor="text1"/>
        </w:rPr>
        <w:t>, aplicadas por un 22,1% de las empresas y la</w:t>
      </w:r>
      <w:r w:rsidR="006B276E">
        <w:rPr>
          <w:color w:val="000000" w:themeColor="text1"/>
        </w:rPr>
        <w:t xml:space="preserve"> reducción o eliminación de pagas extras</w:t>
      </w:r>
      <w:r w:rsidR="00E0559B">
        <w:rPr>
          <w:color w:val="000000" w:themeColor="text1"/>
        </w:rPr>
        <w:t>, utilizada por</w:t>
      </w:r>
      <w:r w:rsidR="00B11197">
        <w:rPr>
          <w:color w:val="000000" w:themeColor="text1"/>
        </w:rPr>
        <w:t xml:space="preserve"> un</w:t>
      </w:r>
      <w:r w:rsidR="006B276E">
        <w:rPr>
          <w:color w:val="000000" w:themeColor="text1"/>
        </w:rPr>
        <w:t xml:space="preserve"> 14,9%</w:t>
      </w:r>
      <w:r w:rsidR="00B11197">
        <w:rPr>
          <w:color w:val="000000" w:themeColor="text1"/>
        </w:rPr>
        <w:t xml:space="preserve"> de las empresas.</w:t>
      </w:r>
    </w:p>
    <w:p w:rsidR="00B11197" w:rsidRDefault="00B11197" w:rsidP="00DE6835">
      <w:pPr>
        <w:pStyle w:val="ARIALNARROW"/>
        <w:widowControl w:val="0"/>
        <w:spacing w:line="360" w:lineRule="auto"/>
        <w:rPr>
          <w:color w:val="000000" w:themeColor="text1"/>
        </w:rPr>
      </w:pPr>
    </w:p>
    <w:p w:rsidR="00E417F1" w:rsidRDefault="00B11197" w:rsidP="00DE6835">
      <w:pPr>
        <w:pStyle w:val="ARIALNARROW"/>
        <w:widowControl w:val="0"/>
        <w:spacing w:line="360" w:lineRule="auto"/>
        <w:rPr>
          <w:color w:val="000000" w:themeColor="text1"/>
        </w:rPr>
      </w:pPr>
      <w:r>
        <w:rPr>
          <w:color w:val="000000" w:themeColor="text1"/>
        </w:rPr>
        <w:t>Estas cifras muestran sin embargo una caída de entre 4,5 y 7 puntos respecto a las cifras detectadas en 2012 (con un 28,8 y un 19,5% de empresas recurriendo a esas actuaciones, respectivamente).</w:t>
      </w:r>
    </w:p>
    <w:p w:rsidR="00E417F1" w:rsidRDefault="00E417F1" w:rsidP="00B11197">
      <w:pPr>
        <w:pStyle w:val="ARIALNARROW"/>
        <w:widowControl w:val="0"/>
        <w:spacing w:line="360" w:lineRule="auto"/>
        <w:rPr>
          <w:color w:val="000000" w:themeColor="text1"/>
        </w:rPr>
      </w:pPr>
    </w:p>
    <w:p w:rsidR="00414483" w:rsidRDefault="00B11197" w:rsidP="00B11197">
      <w:pPr>
        <w:rPr>
          <w:rFonts w:cs="Arial"/>
          <w:lang w:val="es-ES_tradnl"/>
        </w:rPr>
      </w:pPr>
      <w:r>
        <w:rPr>
          <w:rFonts w:cs="Arial"/>
          <w:lang w:val="es-ES_tradnl"/>
        </w:rPr>
        <w:t xml:space="preserve">En lo relativo a las acciones de ajuste de personal, </w:t>
      </w:r>
      <w:r w:rsidR="00414483">
        <w:rPr>
          <w:rFonts w:cs="Arial"/>
          <w:lang w:val="es-ES_tradnl"/>
        </w:rPr>
        <w:t>la reducción del personal asalariado sigue siendo la actuación dominante, con un 15,6% de empresas recurriendo en 2014 a este tipo de actuaciones. La proporción se reduce sustancialmente</w:t>
      </w:r>
      <w:r w:rsidR="00096ED9">
        <w:rPr>
          <w:rFonts w:cs="Arial"/>
          <w:lang w:val="es-ES_tradnl"/>
        </w:rPr>
        <w:t>,</w:t>
      </w:r>
      <w:r w:rsidR="00414483">
        <w:rPr>
          <w:rFonts w:cs="Arial"/>
          <w:lang w:val="es-ES_tradnl"/>
        </w:rPr>
        <w:t xml:space="preserve"> </w:t>
      </w:r>
      <w:r w:rsidR="00156659">
        <w:rPr>
          <w:rFonts w:cs="Arial"/>
          <w:lang w:val="es-ES_tradnl"/>
        </w:rPr>
        <w:t>sin embargo</w:t>
      </w:r>
      <w:r w:rsidR="00096ED9">
        <w:rPr>
          <w:rFonts w:cs="Arial"/>
          <w:lang w:val="es-ES_tradnl"/>
        </w:rPr>
        <w:t>,</w:t>
      </w:r>
      <w:r w:rsidR="00156659">
        <w:rPr>
          <w:rFonts w:cs="Arial"/>
          <w:lang w:val="es-ES_tradnl"/>
        </w:rPr>
        <w:t xml:space="preserve"> </w:t>
      </w:r>
      <w:r w:rsidR="00414483">
        <w:rPr>
          <w:rFonts w:cs="Arial"/>
          <w:lang w:val="es-ES_tradnl"/>
        </w:rPr>
        <w:t>respecto al 23% de 2012.</w:t>
      </w:r>
    </w:p>
    <w:p w:rsidR="00414483" w:rsidRDefault="00414483" w:rsidP="00B11197">
      <w:pPr>
        <w:rPr>
          <w:rFonts w:cs="Arial"/>
          <w:lang w:val="es-ES_tradnl"/>
        </w:rPr>
      </w:pPr>
    </w:p>
    <w:p w:rsidR="00B11197" w:rsidRDefault="00414483" w:rsidP="00B11197">
      <w:r>
        <w:t xml:space="preserve">También tiende a la baja, en 2014, el recurso a las medidas de </w:t>
      </w:r>
      <w:r w:rsidR="00B11197">
        <w:t xml:space="preserve">reducción de jornada laboral </w:t>
      </w:r>
      <w:r>
        <w:t xml:space="preserve">(6,7% de las empresas frente a </w:t>
      </w:r>
      <w:r w:rsidR="00B11197">
        <w:t xml:space="preserve">9,6% </w:t>
      </w:r>
      <w:r>
        <w:t xml:space="preserve">en 2012), </w:t>
      </w:r>
      <w:r w:rsidR="00B11197">
        <w:rPr>
          <w:lang w:val="es-ES_tradnl"/>
        </w:rPr>
        <w:t>la prejubilación de</w:t>
      </w:r>
      <w:r>
        <w:rPr>
          <w:lang w:val="es-ES_tradnl"/>
        </w:rPr>
        <w:t>l</w:t>
      </w:r>
      <w:r w:rsidR="00B11197">
        <w:rPr>
          <w:lang w:val="es-ES_tradnl"/>
        </w:rPr>
        <w:t xml:space="preserve"> personal</w:t>
      </w:r>
      <w:r>
        <w:rPr>
          <w:lang w:val="es-ES_tradnl"/>
        </w:rPr>
        <w:t xml:space="preserve"> (6,9% frente a 8,6%) o el recurso a sistemas de calendario móvil (4,6% frente a 6,5%). En sentido contrario, aumenta de 7,2 a 8,6% la proporción de empresa que recurren </w:t>
      </w:r>
      <w:r w:rsidR="00B11197">
        <w:t xml:space="preserve">a incrementos </w:t>
      </w:r>
      <w:r>
        <w:t>de las horas trabajadas</w:t>
      </w:r>
      <w:r w:rsidR="00B11197">
        <w:t>.</w:t>
      </w:r>
    </w:p>
    <w:p w:rsidR="00412E2A" w:rsidRPr="00B11197" w:rsidRDefault="00412E2A" w:rsidP="00DE6835">
      <w:pPr>
        <w:pStyle w:val="ARIALNARROW"/>
        <w:widowControl w:val="0"/>
        <w:spacing w:line="360" w:lineRule="auto"/>
        <w:rPr>
          <w:color w:val="000000" w:themeColor="text1"/>
          <w:lang w:val="es-ES"/>
        </w:rPr>
      </w:pPr>
    </w:p>
    <w:p w:rsidR="00412E2A" w:rsidRDefault="00412E2A" w:rsidP="00680BB7">
      <w:pPr>
        <w:rPr>
          <w:snapToGrid w:val="0"/>
        </w:rPr>
      </w:pPr>
    </w:p>
    <w:p w:rsidR="00735FEC" w:rsidRPr="00FE640C" w:rsidRDefault="00FE640C" w:rsidP="00FE640C">
      <w:pPr>
        <w:pStyle w:val="ARIALNARROW"/>
        <w:widowControl w:val="0"/>
        <w:spacing w:line="360" w:lineRule="auto"/>
        <w:ind w:left="227"/>
        <w:jc w:val="center"/>
        <w:rPr>
          <w:rFonts w:eastAsiaTheme="minorHAnsi"/>
          <w:b/>
          <w:snapToGrid w:val="0"/>
          <w:color w:val="1F497D" w:themeColor="text2"/>
          <w:sz w:val="18"/>
          <w:szCs w:val="18"/>
          <w:lang w:eastAsia="en-US"/>
        </w:rPr>
      </w:pPr>
      <w:r w:rsidRPr="00FE640C">
        <w:rPr>
          <w:rFonts w:eastAsiaTheme="minorHAnsi"/>
          <w:b/>
          <w:snapToGrid w:val="0"/>
          <w:color w:val="1F497D" w:themeColor="text2"/>
          <w:sz w:val="18"/>
          <w:szCs w:val="18"/>
          <w:lang w:eastAsia="en-US"/>
        </w:rPr>
        <w:t>PORCENTAJE DE EMPRESAS QUE HAN EFECTUADO UN AJUSTE SALARIAL</w:t>
      </w:r>
      <w:r>
        <w:rPr>
          <w:rFonts w:eastAsiaTheme="minorHAnsi"/>
          <w:b/>
          <w:snapToGrid w:val="0"/>
          <w:color w:val="1F497D" w:themeColor="text2"/>
          <w:sz w:val="18"/>
          <w:szCs w:val="18"/>
          <w:lang w:eastAsia="en-US"/>
        </w:rPr>
        <w:t xml:space="preserve"> Y/O PERSONAL</w:t>
      </w:r>
      <w:r w:rsidR="00D86960">
        <w:rPr>
          <w:rFonts w:eastAsiaTheme="minorHAnsi"/>
          <w:b/>
          <w:snapToGrid w:val="0"/>
          <w:color w:val="1F497D" w:themeColor="text2"/>
          <w:sz w:val="18"/>
          <w:szCs w:val="18"/>
          <w:lang w:eastAsia="en-US"/>
        </w:rPr>
        <w:t xml:space="preserve"> 2012 Y 2014</w:t>
      </w:r>
      <w:r w:rsidR="00520B7A">
        <w:rPr>
          <w:rFonts w:eastAsiaTheme="minorHAnsi"/>
          <w:b/>
          <w:snapToGrid w:val="0"/>
          <w:color w:val="1F497D" w:themeColor="text2"/>
          <w:sz w:val="18"/>
          <w:szCs w:val="18"/>
          <w:lang w:eastAsia="en-US"/>
        </w:rPr>
        <w:t xml:space="preserve"> (%)</w:t>
      </w:r>
    </w:p>
    <w:p w:rsidR="00735FEC" w:rsidRPr="003B7EB5" w:rsidRDefault="00D86960" w:rsidP="00BB313D">
      <w:pPr>
        <w:pStyle w:val="ARIALNARROW"/>
        <w:widowControl w:val="0"/>
        <w:spacing w:line="360" w:lineRule="auto"/>
        <w:ind w:left="227"/>
        <w:rPr>
          <w:rFonts w:eastAsiaTheme="minorHAnsi"/>
          <w:b/>
          <w:snapToGrid w:val="0"/>
          <w:sz w:val="18"/>
          <w:szCs w:val="18"/>
          <w:lang w:eastAsia="en-US"/>
        </w:rPr>
      </w:pPr>
      <w:r w:rsidRPr="003B7EB5">
        <w:rPr>
          <w:rFonts w:eastAsiaTheme="minorHAnsi"/>
          <w:b/>
          <w:snapToGrid w:val="0"/>
          <w:sz w:val="18"/>
          <w:szCs w:val="18"/>
          <w:lang w:eastAsia="en-US"/>
        </w:rPr>
        <w:t xml:space="preserve">AJUSTE SALARIAL </w:t>
      </w:r>
      <w:r w:rsidRPr="003B7EB5">
        <w:rPr>
          <w:rFonts w:eastAsiaTheme="minorHAnsi"/>
          <w:b/>
          <w:snapToGrid w:val="0"/>
          <w:sz w:val="18"/>
          <w:szCs w:val="18"/>
          <w:lang w:eastAsia="en-US"/>
        </w:rPr>
        <w:tab/>
      </w:r>
      <w:r>
        <w:rPr>
          <w:rFonts w:eastAsiaTheme="minorHAnsi"/>
          <w:b/>
          <w:snapToGrid w:val="0"/>
          <w:color w:val="1F497D" w:themeColor="text2"/>
          <w:sz w:val="18"/>
          <w:szCs w:val="18"/>
          <w:lang w:eastAsia="en-US"/>
        </w:rPr>
        <w:tab/>
      </w:r>
      <w:r>
        <w:rPr>
          <w:rFonts w:eastAsiaTheme="minorHAnsi"/>
          <w:b/>
          <w:snapToGrid w:val="0"/>
          <w:color w:val="1F497D" w:themeColor="text2"/>
          <w:sz w:val="18"/>
          <w:szCs w:val="18"/>
          <w:lang w:eastAsia="en-US"/>
        </w:rPr>
        <w:tab/>
      </w:r>
      <w:r>
        <w:rPr>
          <w:rFonts w:eastAsiaTheme="minorHAnsi"/>
          <w:b/>
          <w:snapToGrid w:val="0"/>
          <w:color w:val="1F497D" w:themeColor="text2"/>
          <w:sz w:val="18"/>
          <w:szCs w:val="18"/>
          <w:lang w:eastAsia="en-US"/>
        </w:rPr>
        <w:tab/>
      </w:r>
      <w:r>
        <w:rPr>
          <w:rFonts w:eastAsiaTheme="minorHAnsi"/>
          <w:b/>
          <w:snapToGrid w:val="0"/>
          <w:color w:val="1F497D" w:themeColor="text2"/>
          <w:sz w:val="18"/>
          <w:szCs w:val="18"/>
          <w:lang w:eastAsia="en-US"/>
        </w:rPr>
        <w:tab/>
      </w:r>
      <w:r>
        <w:rPr>
          <w:rFonts w:eastAsiaTheme="minorHAnsi"/>
          <w:b/>
          <w:snapToGrid w:val="0"/>
          <w:color w:val="1F497D" w:themeColor="text2"/>
          <w:sz w:val="18"/>
          <w:szCs w:val="18"/>
          <w:lang w:eastAsia="en-US"/>
        </w:rPr>
        <w:tab/>
      </w:r>
      <w:r>
        <w:rPr>
          <w:rFonts w:eastAsiaTheme="minorHAnsi"/>
          <w:b/>
          <w:snapToGrid w:val="0"/>
          <w:color w:val="1F497D" w:themeColor="text2"/>
          <w:sz w:val="18"/>
          <w:szCs w:val="18"/>
          <w:lang w:eastAsia="en-US"/>
        </w:rPr>
        <w:tab/>
      </w:r>
      <w:r w:rsidRPr="003B7EB5">
        <w:rPr>
          <w:rFonts w:eastAsiaTheme="minorHAnsi"/>
          <w:b/>
          <w:snapToGrid w:val="0"/>
          <w:sz w:val="18"/>
          <w:szCs w:val="18"/>
          <w:lang w:eastAsia="en-US"/>
        </w:rPr>
        <w:t>AJUSTE PERSONAL</w:t>
      </w:r>
    </w:p>
    <w:p w:rsidR="00735FEC" w:rsidRDefault="00D86960" w:rsidP="00BB313D">
      <w:pPr>
        <w:pStyle w:val="ARIALNARROW"/>
        <w:widowControl w:val="0"/>
        <w:spacing w:line="360" w:lineRule="auto"/>
        <w:ind w:left="227"/>
      </w:pPr>
      <w:r>
        <w:rPr>
          <w:noProof/>
          <w:lang w:val="es-ES"/>
        </w:rPr>
        <w:drawing>
          <wp:anchor distT="0" distB="0" distL="114300" distR="114300" simplePos="0" relativeHeight="251836416" behindDoc="0" locked="0" layoutInCell="1" allowOverlap="1">
            <wp:simplePos x="0" y="0"/>
            <wp:positionH relativeFrom="column">
              <wp:posOffset>-926982</wp:posOffset>
            </wp:positionH>
            <wp:positionV relativeFrom="paragraph">
              <wp:posOffset>88398</wp:posOffset>
            </wp:positionV>
            <wp:extent cx="3700130" cy="2339163"/>
            <wp:effectExtent l="0" t="0" r="0" b="0"/>
            <wp:wrapNone/>
            <wp:docPr id="5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15293" w:rsidRDefault="0065300F">
      <w:pPr>
        <w:spacing w:after="200" w:line="276" w:lineRule="auto"/>
        <w:jc w:val="left"/>
        <w:rPr>
          <w:sz w:val="32"/>
          <w:szCs w:val="32"/>
        </w:rPr>
      </w:pPr>
      <w:bookmarkStart w:id="6" w:name="_Toc391999503"/>
      <w:r>
        <w:rPr>
          <w:noProof/>
          <w:sz w:val="32"/>
          <w:szCs w:val="32"/>
          <w:lang w:eastAsia="es-ES"/>
        </w:rPr>
        <w:drawing>
          <wp:anchor distT="0" distB="0" distL="114300" distR="114300" simplePos="0" relativeHeight="251837440" behindDoc="1" locked="0" layoutInCell="1" allowOverlap="1">
            <wp:simplePos x="0" y="0"/>
            <wp:positionH relativeFrom="column">
              <wp:posOffset>2774315</wp:posOffset>
            </wp:positionH>
            <wp:positionV relativeFrom="paragraph">
              <wp:posOffset>21590</wp:posOffset>
            </wp:positionV>
            <wp:extent cx="3604260" cy="2190115"/>
            <wp:effectExtent l="0" t="0" r="0" b="0"/>
            <wp:wrapNone/>
            <wp:docPr id="5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015293" w:rsidRDefault="00015293">
      <w:pPr>
        <w:spacing w:after="200" w:line="276" w:lineRule="auto"/>
        <w:jc w:val="left"/>
        <w:rPr>
          <w:sz w:val="32"/>
          <w:szCs w:val="32"/>
        </w:rPr>
      </w:pPr>
    </w:p>
    <w:p w:rsidR="00015293" w:rsidRDefault="00015293">
      <w:pPr>
        <w:spacing w:after="200" w:line="276" w:lineRule="auto"/>
        <w:jc w:val="left"/>
        <w:rPr>
          <w:sz w:val="32"/>
          <w:szCs w:val="32"/>
        </w:rPr>
      </w:pPr>
    </w:p>
    <w:p w:rsidR="00015293" w:rsidRDefault="00015293">
      <w:pPr>
        <w:spacing w:after="200" w:line="276" w:lineRule="auto"/>
        <w:jc w:val="left"/>
        <w:rPr>
          <w:sz w:val="32"/>
          <w:szCs w:val="32"/>
        </w:rPr>
      </w:pPr>
    </w:p>
    <w:p w:rsidR="00015293" w:rsidRDefault="00015293">
      <w:pPr>
        <w:spacing w:after="200" w:line="276" w:lineRule="auto"/>
        <w:jc w:val="left"/>
        <w:rPr>
          <w:sz w:val="32"/>
          <w:szCs w:val="32"/>
        </w:rPr>
      </w:pPr>
    </w:p>
    <w:p w:rsidR="00015293" w:rsidRDefault="00015293" w:rsidP="001A01CA">
      <w:pPr>
        <w:spacing w:after="200" w:line="276" w:lineRule="auto"/>
        <w:rPr>
          <w:sz w:val="32"/>
          <w:szCs w:val="32"/>
        </w:rPr>
      </w:pPr>
    </w:p>
    <w:p w:rsidR="0065300F" w:rsidRDefault="0065300F" w:rsidP="0065300F">
      <w:pPr>
        <w:rPr>
          <w:rFonts w:eastAsia="Times New Roman" w:cs="Arial"/>
          <w:color w:val="000000" w:themeColor="text1"/>
          <w:szCs w:val="20"/>
          <w:lang w:val="es-ES_tradnl" w:eastAsia="es-ES"/>
        </w:rPr>
      </w:pPr>
    </w:p>
    <w:p w:rsidR="00680BB7" w:rsidRDefault="00680BB7" w:rsidP="0065300F">
      <w:pPr>
        <w:rPr>
          <w:rFonts w:eastAsia="Times New Roman" w:cs="Arial"/>
          <w:color w:val="000000" w:themeColor="text1"/>
          <w:szCs w:val="20"/>
          <w:lang w:val="es-ES_tradnl" w:eastAsia="es-ES"/>
        </w:rPr>
      </w:pPr>
    </w:p>
    <w:p w:rsidR="00680BB7" w:rsidRDefault="00680BB7">
      <w:pPr>
        <w:spacing w:after="200" w:line="276" w:lineRule="auto"/>
        <w:jc w:val="left"/>
      </w:pPr>
      <w:r>
        <w:br w:type="page"/>
      </w:r>
    </w:p>
    <w:p w:rsidR="00680BB7" w:rsidRDefault="00680BB7" w:rsidP="0065300F">
      <w:pPr>
        <w:rPr>
          <w:lang w:val="es-ES_tradnl"/>
        </w:rPr>
      </w:pPr>
      <w:r>
        <w:lastRenderedPageBreak/>
        <w:t>Frente a la política de ajuste salarial y de personal, que implican a un 30-31% de las empresas de las FCES, l</w:t>
      </w:r>
      <w:r>
        <w:rPr>
          <w:lang w:val="es-ES_tradnl"/>
        </w:rPr>
        <w:t>a proporción de empresas que ha introducido</w:t>
      </w:r>
      <w:r w:rsidRPr="00DE01F8">
        <w:rPr>
          <w:lang w:val="es-ES_tradnl"/>
        </w:rPr>
        <w:t xml:space="preserve"> acuerdos de colaboración inter-cooperativos solidarios</w:t>
      </w:r>
      <w:r>
        <w:rPr>
          <w:lang w:val="es-ES_tradnl"/>
        </w:rPr>
        <w:t xml:space="preserve"> resulta mucho menor. Un 6% de empresas están implicadas en este tipo de estrategia en 2014, ligeramente por debajo del 6,7% de 2012.</w:t>
      </w:r>
    </w:p>
    <w:p w:rsidR="0065300F" w:rsidRDefault="0065300F" w:rsidP="0065300F">
      <w:pPr>
        <w:rPr>
          <w:rFonts w:eastAsia="Times New Roman" w:cs="Arial"/>
          <w:color w:val="000000" w:themeColor="text1"/>
          <w:szCs w:val="20"/>
          <w:lang w:val="es-ES_tradnl" w:eastAsia="es-ES"/>
        </w:rPr>
      </w:pPr>
    </w:p>
    <w:p w:rsidR="0063219E" w:rsidRDefault="0063219E" w:rsidP="0063219E">
      <w:pPr>
        <w:rPr>
          <w:rFonts w:eastAsia="Times New Roman" w:cs="Arial"/>
          <w:color w:val="000000" w:themeColor="text1"/>
          <w:szCs w:val="20"/>
          <w:lang w:val="es-ES_tradnl" w:eastAsia="es-ES"/>
        </w:rPr>
      </w:pPr>
      <w:r w:rsidRPr="00774698">
        <w:rPr>
          <w:rFonts w:eastAsia="Times New Roman" w:cs="Arial"/>
          <w:color w:val="000000" w:themeColor="text1"/>
          <w:szCs w:val="20"/>
          <w:lang w:val="es-ES_tradnl" w:eastAsia="es-ES"/>
        </w:rPr>
        <w:t>Entre estos acuerdos</w:t>
      </w:r>
      <w:r>
        <w:rPr>
          <w:rFonts w:eastAsia="Times New Roman" w:cs="Arial"/>
          <w:color w:val="000000" w:themeColor="text1"/>
          <w:szCs w:val="20"/>
          <w:lang w:val="es-ES_tradnl" w:eastAsia="es-ES"/>
        </w:rPr>
        <w:t xml:space="preserve"> de colaboración</w:t>
      </w:r>
      <w:r w:rsidRPr="00774698">
        <w:rPr>
          <w:rFonts w:eastAsia="Times New Roman" w:cs="Arial"/>
          <w:color w:val="000000" w:themeColor="text1"/>
          <w:szCs w:val="20"/>
          <w:lang w:val="es-ES_tradnl" w:eastAsia="es-ES"/>
        </w:rPr>
        <w:t xml:space="preserve"> </w:t>
      </w:r>
      <w:r>
        <w:rPr>
          <w:rFonts w:eastAsia="Times New Roman" w:cs="Arial"/>
          <w:color w:val="000000" w:themeColor="text1"/>
          <w:szCs w:val="20"/>
          <w:lang w:val="es-ES_tradnl" w:eastAsia="es-ES"/>
        </w:rPr>
        <w:t xml:space="preserve">destaca la acogida de personas por parte de otras empresas del grupo, medida adoptada por el 4,1% de las empresas, en línea con la proporción observada en 2012 (4,2%). </w:t>
      </w:r>
    </w:p>
    <w:p w:rsidR="00680BB7" w:rsidRDefault="00680BB7" w:rsidP="00680BB7">
      <w:pPr>
        <w:rPr>
          <w:lang w:val="es-ES_tradnl"/>
        </w:rPr>
      </w:pPr>
    </w:p>
    <w:p w:rsidR="0063219E" w:rsidRDefault="0063219E" w:rsidP="0063219E">
      <w:pPr>
        <w:spacing w:after="200"/>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La proporción de empresas que ha introducido medidas colaborativas en este campo tales como la contribución a un fondo común o la reubicación de personal propio excedentario en otras empresas del grupo en la CAE resulta aún más limitado. El recurso a un fondo común de financiación es utilizado en 2014 por un 2,5% de las empresas de las FCES, en una línea similar al 2,7% de 2014. Se reduce en cambio la proporción de empresas que recurren a la reubicación de personal excedentario en empresas del grupo, pasando de un 3,6% en 2012 a 2,1% en 2014.</w:t>
      </w:r>
    </w:p>
    <w:p w:rsidR="0063219E" w:rsidRPr="0063219E" w:rsidRDefault="0063219E" w:rsidP="00680BB7">
      <w:pPr>
        <w:rPr>
          <w:lang w:val="es-ES_tradnl"/>
        </w:rPr>
      </w:pPr>
    </w:p>
    <w:p w:rsidR="0065300F" w:rsidRPr="00680BB7" w:rsidRDefault="0065300F" w:rsidP="0065300F">
      <w:pPr>
        <w:rPr>
          <w:rFonts w:eastAsia="Times New Roman" w:cs="Arial"/>
          <w:color w:val="000000" w:themeColor="text1"/>
          <w:szCs w:val="20"/>
          <w:lang w:eastAsia="es-ES"/>
        </w:rPr>
      </w:pPr>
    </w:p>
    <w:p w:rsidR="00015293" w:rsidRDefault="00354CC9" w:rsidP="002A77C6">
      <w:pPr>
        <w:spacing w:after="200" w:line="276" w:lineRule="auto"/>
        <w:jc w:val="center"/>
        <w:rPr>
          <w:sz w:val="32"/>
          <w:szCs w:val="32"/>
        </w:rPr>
      </w:pPr>
      <w:r>
        <w:rPr>
          <w:b/>
          <w:noProof/>
          <w:color w:val="1F497D" w:themeColor="text2"/>
          <w:sz w:val="18"/>
          <w:szCs w:val="18"/>
          <w:lang w:eastAsia="es-ES"/>
        </w:rPr>
        <w:drawing>
          <wp:anchor distT="0" distB="0" distL="114300" distR="114300" simplePos="0" relativeHeight="251839488" behindDoc="1" locked="0" layoutInCell="1" allowOverlap="1">
            <wp:simplePos x="0" y="0"/>
            <wp:positionH relativeFrom="column">
              <wp:posOffset>-172070</wp:posOffset>
            </wp:positionH>
            <wp:positionV relativeFrom="paragraph">
              <wp:posOffset>351347</wp:posOffset>
            </wp:positionV>
            <wp:extent cx="5773479" cy="2668772"/>
            <wp:effectExtent l="0" t="0" r="0" b="0"/>
            <wp:wrapNone/>
            <wp:docPr id="6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A77C6" w:rsidRPr="00FE640C">
        <w:rPr>
          <w:b/>
          <w:snapToGrid w:val="0"/>
          <w:color w:val="1F497D" w:themeColor="text2"/>
          <w:sz w:val="18"/>
          <w:szCs w:val="18"/>
        </w:rPr>
        <w:t xml:space="preserve">PORCENTAJE DE EMPRESAS QUE HAN EFECTUADO </w:t>
      </w:r>
      <w:r w:rsidR="002A77C6" w:rsidRPr="002A77C6">
        <w:rPr>
          <w:b/>
          <w:snapToGrid w:val="0"/>
          <w:color w:val="1F497D" w:themeColor="text2"/>
          <w:sz w:val="18"/>
          <w:szCs w:val="18"/>
        </w:rPr>
        <w:t>ACUERDOS DE COLABORACIÓN SOLIDARIOS INTERCOOPERATIVA</w:t>
      </w:r>
      <w:r w:rsidR="00520B7A">
        <w:rPr>
          <w:b/>
          <w:snapToGrid w:val="0"/>
          <w:color w:val="1F497D" w:themeColor="text2"/>
          <w:sz w:val="18"/>
          <w:szCs w:val="18"/>
        </w:rPr>
        <w:t xml:space="preserve"> 2012 Y 2014 (%)</w:t>
      </w:r>
    </w:p>
    <w:p w:rsidR="00352A8E" w:rsidRDefault="00352A8E">
      <w:pPr>
        <w:spacing w:after="200" w:line="276" w:lineRule="auto"/>
        <w:jc w:val="left"/>
        <w:rPr>
          <w:sz w:val="32"/>
          <w:szCs w:val="32"/>
        </w:rPr>
      </w:pPr>
    </w:p>
    <w:p w:rsidR="00352A8E" w:rsidRDefault="00352A8E">
      <w:pPr>
        <w:spacing w:after="200" w:line="276" w:lineRule="auto"/>
        <w:jc w:val="left"/>
        <w:rPr>
          <w:sz w:val="32"/>
          <w:szCs w:val="32"/>
        </w:rPr>
      </w:pPr>
    </w:p>
    <w:p w:rsidR="00352A8E" w:rsidRDefault="00352A8E">
      <w:pPr>
        <w:spacing w:after="200" w:line="276" w:lineRule="auto"/>
        <w:jc w:val="left"/>
        <w:rPr>
          <w:sz w:val="32"/>
          <w:szCs w:val="32"/>
        </w:rPr>
      </w:pPr>
    </w:p>
    <w:p w:rsidR="00352A8E" w:rsidRDefault="00352A8E">
      <w:pPr>
        <w:spacing w:after="200" w:line="276" w:lineRule="auto"/>
        <w:jc w:val="left"/>
        <w:rPr>
          <w:sz w:val="32"/>
          <w:szCs w:val="32"/>
        </w:rPr>
      </w:pPr>
    </w:p>
    <w:p w:rsidR="00807667" w:rsidRDefault="00807667">
      <w:pPr>
        <w:spacing w:after="200" w:line="276" w:lineRule="auto"/>
        <w:jc w:val="left"/>
        <w:rPr>
          <w:sz w:val="32"/>
          <w:szCs w:val="32"/>
        </w:rPr>
      </w:pPr>
    </w:p>
    <w:p w:rsidR="0008386B" w:rsidRDefault="0008386B">
      <w:pPr>
        <w:spacing w:after="200" w:line="276" w:lineRule="auto"/>
        <w:jc w:val="left"/>
        <w:rPr>
          <w:sz w:val="32"/>
          <w:szCs w:val="32"/>
        </w:rPr>
      </w:pPr>
    </w:p>
    <w:p w:rsidR="0065300F" w:rsidRDefault="0065300F" w:rsidP="00FB149B">
      <w:pPr>
        <w:spacing w:after="200"/>
        <w:rPr>
          <w:rFonts w:eastAsia="Times New Roman" w:cs="Arial"/>
          <w:color w:val="000000" w:themeColor="text1"/>
          <w:szCs w:val="20"/>
          <w:lang w:val="es-ES_tradnl" w:eastAsia="es-ES"/>
        </w:rPr>
      </w:pPr>
    </w:p>
    <w:p w:rsidR="0063219E" w:rsidRDefault="0063219E">
      <w:pPr>
        <w:spacing w:after="200" w:line="276" w:lineRule="auto"/>
        <w:jc w:val="left"/>
        <w:rPr>
          <w:b/>
          <w:lang w:val="es-ES_tradnl"/>
        </w:rPr>
      </w:pPr>
    </w:p>
    <w:p w:rsidR="0063219E" w:rsidRDefault="0063219E">
      <w:pPr>
        <w:spacing w:after="200" w:line="276" w:lineRule="auto"/>
        <w:jc w:val="left"/>
        <w:rPr>
          <w:b/>
          <w:lang w:val="es-ES_tradnl"/>
        </w:rPr>
      </w:pPr>
    </w:p>
    <w:p w:rsidR="0063219E" w:rsidRDefault="0063219E">
      <w:pPr>
        <w:spacing w:after="200" w:line="276" w:lineRule="auto"/>
        <w:jc w:val="left"/>
        <w:rPr>
          <w:b/>
          <w:lang w:val="es-ES_tradnl"/>
        </w:rPr>
      </w:pPr>
      <w:r>
        <w:rPr>
          <w:b/>
          <w:lang w:val="es-ES_tradnl"/>
        </w:rPr>
        <w:br w:type="page"/>
      </w:r>
    </w:p>
    <w:p w:rsidR="0065300F" w:rsidRPr="0063219E" w:rsidRDefault="0065300F">
      <w:pPr>
        <w:spacing w:after="200" w:line="276" w:lineRule="auto"/>
        <w:jc w:val="left"/>
        <w:rPr>
          <w:b/>
          <w:sz w:val="2"/>
          <w:szCs w:val="2"/>
          <w:lang w:val="es-ES_tradnl"/>
        </w:rPr>
      </w:pPr>
    </w:p>
    <w:p w:rsidR="007A08E2" w:rsidRPr="004A2770" w:rsidRDefault="00D45323" w:rsidP="004A2770">
      <w:pPr>
        <w:pBdr>
          <w:top w:val="single" w:sz="4" w:space="1" w:color="auto"/>
          <w:left w:val="single" w:sz="4" w:space="4" w:color="auto"/>
          <w:bottom w:val="single" w:sz="4" w:space="0" w:color="auto"/>
          <w:right w:val="single" w:sz="4" w:space="4" w:color="auto"/>
        </w:pBdr>
        <w:spacing w:line="240" w:lineRule="auto"/>
        <w:rPr>
          <w:rFonts w:eastAsia="Times New Roman" w:cs="Times New Roman"/>
          <w:b/>
          <w:snapToGrid w:val="0"/>
          <w:sz w:val="28"/>
          <w:szCs w:val="28"/>
          <w:lang w:eastAsia="es-ES"/>
        </w:rPr>
      </w:pPr>
      <w:r>
        <w:rPr>
          <w:rFonts w:eastAsia="Times New Roman" w:cs="Times New Roman"/>
          <w:b/>
          <w:snapToGrid w:val="0"/>
          <w:sz w:val="28"/>
          <w:szCs w:val="28"/>
          <w:lang w:val="es-ES_tradnl" w:eastAsia="es-ES"/>
        </w:rPr>
        <w:t>E</w:t>
      </w:r>
      <w:r w:rsidR="00B928F3">
        <w:rPr>
          <w:rFonts w:eastAsia="Times New Roman" w:cs="Times New Roman"/>
          <w:b/>
          <w:snapToGrid w:val="0"/>
          <w:sz w:val="28"/>
          <w:szCs w:val="28"/>
          <w:lang w:val="es-ES_tradnl" w:eastAsia="es-ES"/>
        </w:rPr>
        <w:t>n un contexto de creciente atomización de la Economía Social, el</w:t>
      </w:r>
      <w:r>
        <w:rPr>
          <w:rFonts w:eastAsia="Times New Roman" w:cs="Times New Roman"/>
          <w:b/>
          <w:snapToGrid w:val="0"/>
          <w:sz w:val="28"/>
          <w:szCs w:val="28"/>
          <w:lang w:val="es-ES_tradnl" w:eastAsia="es-ES"/>
        </w:rPr>
        <w:t xml:space="preserve"> colectivo de empresas </w:t>
      </w:r>
      <w:r>
        <w:rPr>
          <w:rFonts w:eastAsia="Times New Roman" w:cs="Times New Roman"/>
          <w:b/>
          <w:snapToGrid w:val="0"/>
          <w:sz w:val="28"/>
          <w:szCs w:val="28"/>
          <w:lang w:eastAsia="es-ES"/>
        </w:rPr>
        <w:t xml:space="preserve">que cuenta </w:t>
      </w:r>
      <w:r w:rsidR="009E47CD" w:rsidRPr="004A2770">
        <w:rPr>
          <w:rFonts w:eastAsia="Times New Roman" w:cs="Times New Roman"/>
          <w:b/>
          <w:snapToGrid w:val="0"/>
          <w:sz w:val="28"/>
          <w:szCs w:val="28"/>
          <w:lang w:eastAsia="es-ES"/>
        </w:rPr>
        <w:t xml:space="preserve">con herramientas </w:t>
      </w:r>
      <w:r w:rsidR="005C49C4" w:rsidRPr="004A2770">
        <w:rPr>
          <w:rFonts w:eastAsia="Times New Roman" w:cs="Times New Roman"/>
          <w:b/>
          <w:snapToGrid w:val="0"/>
          <w:sz w:val="28"/>
          <w:szCs w:val="28"/>
          <w:lang w:eastAsia="es-ES"/>
        </w:rPr>
        <w:t xml:space="preserve">de gestión y planificación estratégica empresarial desciende </w:t>
      </w:r>
      <w:r w:rsidR="00D95BA4" w:rsidRPr="004A2770">
        <w:rPr>
          <w:rFonts w:eastAsia="Times New Roman" w:cs="Times New Roman"/>
          <w:b/>
          <w:snapToGrid w:val="0"/>
          <w:sz w:val="28"/>
          <w:szCs w:val="28"/>
          <w:lang w:eastAsia="es-ES"/>
        </w:rPr>
        <w:t>en relación a los valores alcanzados en 2012</w:t>
      </w:r>
    </w:p>
    <w:p w:rsidR="004A2770" w:rsidRDefault="004A2770" w:rsidP="009F1045">
      <w:pPr>
        <w:rPr>
          <w:rFonts w:eastAsia="Times New Roman" w:cs="Arial"/>
          <w:color w:val="000000" w:themeColor="text1"/>
          <w:szCs w:val="20"/>
          <w:lang w:val="es-ES_tradnl" w:eastAsia="es-ES"/>
        </w:rPr>
      </w:pPr>
    </w:p>
    <w:p w:rsidR="00B928F3" w:rsidRPr="00B928F3" w:rsidRDefault="00B928F3" w:rsidP="00B928F3">
      <w:pPr>
        <w:rPr>
          <w:b/>
          <w:lang w:val="es-ES_tradnl"/>
        </w:rPr>
      </w:pPr>
      <w:r>
        <w:rPr>
          <w:b/>
          <w:lang w:val="es-ES_tradnl"/>
        </w:rPr>
        <w:t>Entre 2012 y 2014, se observa un retroceso</w:t>
      </w:r>
      <w:r w:rsidRPr="00B928F3">
        <w:rPr>
          <w:b/>
          <w:lang w:val="es-ES_tradnl"/>
        </w:rPr>
        <w:t xml:space="preserve"> en los indicadores de profesionalización de la gestión y organización de las empresas</w:t>
      </w:r>
      <w:r>
        <w:rPr>
          <w:b/>
          <w:lang w:val="es-ES_tradnl"/>
        </w:rPr>
        <w:t xml:space="preserve"> de la Economía Social</w:t>
      </w:r>
      <w:r w:rsidR="0002539B">
        <w:rPr>
          <w:b/>
          <w:lang w:val="es-ES_tradnl"/>
        </w:rPr>
        <w:t>.</w:t>
      </w:r>
    </w:p>
    <w:p w:rsidR="00B928F3" w:rsidRDefault="00B928F3" w:rsidP="009F1045">
      <w:pPr>
        <w:rPr>
          <w:rFonts w:eastAsia="Times New Roman" w:cs="Arial"/>
          <w:color w:val="000000" w:themeColor="text1"/>
          <w:szCs w:val="20"/>
          <w:lang w:val="es-ES_tradnl" w:eastAsia="es-ES"/>
        </w:rPr>
      </w:pPr>
    </w:p>
    <w:p w:rsidR="00915A40" w:rsidRDefault="00B928F3" w:rsidP="00B928F3">
      <w:pPr>
        <w:rPr>
          <w:rFonts w:eastAsia="Times New Roman" w:cs="Arial"/>
          <w:color w:val="000000" w:themeColor="text1"/>
          <w:szCs w:val="20"/>
          <w:lang w:val="es-ES_tradnl" w:eastAsia="es-ES"/>
        </w:rPr>
      </w:pPr>
      <w:r>
        <w:rPr>
          <w:lang w:val="es-ES_tradnl"/>
        </w:rPr>
        <w:t xml:space="preserve">El análisis de </w:t>
      </w:r>
      <w:r w:rsidRPr="008F3129">
        <w:rPr>
          <w:lang w:val="es-ES_tradnl"/>
        </w:rPr>
        <w:t xml:space="preserve">los indicadores generales </w:t>
      </w:r>
      <w:r>
        <w:rPr>
          <w:lang w:val="es-ES_tradnl"/>
        </w:rPr>
        <w:t>relativos a la</w:t>
      </w:r>
      <w:r w:rsidRPr="008F3129">
        <w:rPr>
          <w:lang w:val="es-ES_tradnl"/>
        </w:rPr>
        <w:t xml:space="preserve"> disposición de herramientas de gestión empresarial (</w:t>
      </w:r>
      <w:r w:rsidRPr="008F3129">
        <w:t>Plan</w:t>
      </w:r>
      <w:r>
        <w:t>es</w:t>
      </w:r>
      <w:r w:rsidRPr="008F3129">
        <w:t xml:space="preserve"> de Gestión, de Formación y Estratégico</w:t>
      </w:r>
      <w:r>
        <w:t>, etc.</w:t>
      </w:r>
      <w:r w:rsidRPr="008F3129">
        <w:rPr>
          <w:lang w:val="es-ES_tradnl"/>
        </w:rPr>
        <w:t>)</w:t>
      </w:r>
      <w:r>
        <w:rPr>
          <w:lang w:val="es-ES_tradnl"/>
        </w:rPr>
        <w:t xml:space="preserve"> en las empresas de las FCES revela, en general, una </w:t>
      </w:r>
      <w:r>
        <w:rPr>
          <w:rFonts w:eastAsia="Times New Roman" w:cs="Arial"/>
          <w:color w:val="000000" w:themeColor="text1"/>
          <w:szCs w:val="20"/>
          <w:lang w:val="es-ES_tradnl" w:eastAsia="es-ES"/>
        </w:rPr>
        <w:t xml:space="preserve">caída en 2014 respecto a lo observado en 2012. Así, por ejemplo, </w:t>
      </w:r>
      <w:r w:rsidR="00CE0E7F">
        <w:rPr>
          <w:rFonts w:eastAsia="Times New Roman" w:cs="Arial"/>
          <w:color w:val="000000" w:themeColor="text1"/>
          <w:szCs w:val="20"/>
          <w:lang w:val="es-ES_tradnl" w:eastAsia="es-ES"/>
        </w:rPr>
        <w:t xml:space="preserve">el grado de incorporación </w:t>
      </w:r>
      <w:r>
        <w:rPr>
          <w:rFonts w:eastAsia="Times New Roman" w:cs="Arial"/>
          <w:color w:val="000000" w:themeColor="text1"/>
          <w:szCs w:val="20"/>
          <w:lang w:val="es-ES_tradnl" w:eastAsia="es-ES"/>
        </w:rPr>
        <w:t>en las empresas</w:t>
      </w:r>
      <w:r w:rsidR="00CE0E7F">
        <w:rPr>
          <w:rFonts w:eastAsia="Times New Roman" w:cs="Arial"/>
          <w:color w:val="000000" w:themeColor="text1"/>
          <w:szCs w:val="20"/>
          <w:lang w:val="es-ES_tradnl" w:eastAsia="es-ES"/>
        </w:rPr>
        <w:t xml:space="preserve"> de</w:t>
      </w:r>
      <w:r>
        <w:rPr>
          <w:rFonts w:eastAsia="Times New Roman" w:cs="Arial"/>
          <w:color w:val="000000" w:themeColor="text1"/>
          <w:szCs w:val="20"/>
          <w:lang w:val="es-ES_tradnl" w:eastAsia="es-ES"/>
        </w:rPr>
        <w:t xml:space="preserve"> </w:t>
      </w:r>
      <w:r w:rsidR="00CE0E7F">
        <w:rPr>
          <w:rFonts w:eastAsia="Times New Roman" w:cs="Arial"/>
          <w:color w:val="000000" w:themeColor="text1"/>
          <w:szCs w:val="20"/>
          <w:lang w:val="es-ES_tradnl" w:eastAsia="es-ES"/>
        </w:rPr>
        <w:t>Plan</w:t>
      </w:r>
      <w:r>
        <w:rPr>
          <w:rFonts w:eastAsia="Times New Roman" w:cs="Arial"/>
          <w:color w:val="000000" w:themeColor="text1"/>
          <w:szCs w:val="20"/>
          <w:lang w:val="es-ES_tradnl" w:eastAsia="es-ES"/>
        </w:rPr>
        <w:t>es</w:t>
      </w:r>
      <w:r w:rsidR="00CE0E7F">
        <w:rPr>
          <w:rFonts w:eastAsia="Times New Roman" w:cs="Arial"/>
          <w:color w:val="000000" w:themeColor="text1"/>
          <w:szCs w:val="20"/>
          <w:lang w:val="es-ES_tradnl" w:eastAsia="es-ES"/>
        </w:rPr>
        <w:t xml:space="preserve"> de Formación, </w:t>
      </w:r>
      <w:r>
        <w:rPr>
          <w:rFonts w:eastAsia="Times New Roman" w:cs="Arial"/>
          <w:color w:val="000000" w:themeColor="text1"/>
          <w:szCs w:val="20"/>
          <w:lang w:val="es-ES_tradnl" w:eastAsia="es-ES"/>
        </w:rPr>
        <w:t xml:space="preserve">que </w:t>
      </w:r>
      <w:r w:rsidR="000F3082">
        <w:rPr>
          <w:rFonts w:eastAsia="Times New Roman" w:cs="Arial"/>
          <w:color w:val="000000" w:themeColor="text1"/>
          <w:szCs w:val="20"/>
          <w:lang w:val="es-ES_tradnl" w:eastAsia="es-ES"/>
        </w:rPr>
        <w:t xml:space="preserve">en 2014 continúa constituyendo </w:t>
      </w:r>
      <w:r w:rsidR="00CE0E7F">
        <w:rPr>
          <w:rFonts w:eastAsia="Times New Roman" w:cs="Arial"/>
          <w:color w:val="000000" w:themeColor="text1"/>
          <w:szCs w:val="20"/>
          <w:lang w:val="es-ES_tradnl" w:eastAsia="es-ES"/>
        </w:rPr>
        <w:t>el documento más extendido entre las empresas</w:t>
      </w:r>
      <w:r>
        <w:rPr>
          <w:rFonts w:eastAsia="Times New Roman" w:cs="Arial"/>
          <w:color w:val="000000" w:themeColor="text1"/>
          <w:szCs w:val="20"/>
          <w:lang w:val="es-ES_tradnl" w:eastAsia="es-ES"/>
        </w:rPr>
        <w:t xml:space="preserve">, se reduce desde el 47,4% de 2012 al </w:t>
      </w:r>
      <w:r w:rsidR="00CE0E7F">
        <w:rPr>
          <w:rFonts w:eastAsia="Times New Roman" w:cs="Arial"/>
          <w:color w:val="000000" w:themeColor="text1"/>
          <w:szCs w:val="20"/>
          <w:lang w:val="es-ES_tradnl" w:eastAsia="es-ES"/>
        </w:rPr>
        <w:t>37,9%</w:t>
      </w:r>
      <w:r w:rsidR="008F5666">
        <w:rPr>
          <w:rFonts w:eastAsia="Times New Roman" w:cs="Arial"/>
          <w:color w:val="000000" w:themeColor="text1"/>
          <w:szCs w:val="20"/>
          <w:lang w:val="es-ES_tradnl" w:eastAsia="es-ES"/>
        </w:rPr>
        <w:t xml:space="preserve"> de 2014. La reducción es también significativa en lo relativo a la disposición de un Reglamento de Régimen Interno, de 38,2 a 31,3% entre 2012 y 2014.</w:t>
      </w:r>
    </w:p>
    <w:p w:rsidR="008F5666" w:rsidRDefault="008F5666" w:rsidP="00B928F3">
      <w:pPr>
        <w:rPr>
          <w:rFonts w:eastAsia="Times New Roman" w:cs="Arial"/>
          <w:color w:val="000000" w:themeColor="text1"/>
          <w:szCs w:val="20"/>
          <w:lang w:val="es-ES_tradnl" w:eastAsia="es-ES"/>
        </w:rPr>
      </w:pPr>
    </w:p>
    <w:p w:rsidR="008F5666" w:rsidRDefault="008F5666" w:rsidP="009F1045">
      <w:pPr>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 xml:space="preserve">La caída es menos intensa en relación con otras herramientas de gestión lo que, sin embargo, se vincula a su menor introducción en las empresas. Así, </w:t>
      </w:r>
      <w:r w:rsidR="00D07DB1">
        <w:rPr>
          <w:rFonts w:eastAsia="Times New Roman" w:cs="Arial"/>
          <w:color w:val="000000" w:themeColor="text1"/>
          <w:szCs w:val="20"/>
          <w:lang w:val="es-ES_tradnl" w:eastAsia="es-ES"/>
        </w:rPr>
        <w:t>el Plan Estratégico resulta una herramienta incorporada por tan solo una de cada cinco empresas</w:t>
      </w:r>
      <w:r w:rsidR="00A62EF2">
        <w:rPr>
          <w:rFonts w:eastAsia="Times New Roman" w:cs="Arial"/>
          <w:color w:val="000000" w:themeColor="text1"/>
          <w:szCs w:val="20"/>
          <w:lang w:val="es-ES_tradnl" w:eastAsia="es-ES"/>
        </w:rPr>
        <w:t xml:space="preserve"> de la Economía Social</w:t>
      </w:r>
      <w:r w:rsidR="00D07DB1">
        <w:rPr>
          <w:rFonts w:eastAsia="Times New Roman" w:cs="Arial"/>
          <w:color w:val="000000" w:themeColor="text1"/>
          <w:szCs w:val="20"/>
          <w:lang w:val="es-ES_tradnl" w:eastAsia="es-ES"/>
        </w:rPr>
        <w:t xml:space="preserve"> (21,9%</w:t>
      </w:r>
      <w:r>
        <w:rPr>
          <w:rFonts w:eastAsia="Times New Roman" w:cs="Arial"/>
          <w:color w:val="000000" w:themeColor="text1"/>
          <w:szCs w:val="20"/>
          <w:lang w:val="es-ES_tradnl" w:eastAsia="es-ES"/>
        </w:rPr>
        <w:t>, en descenso respecto al 25,8% de 2012</w:t>
      </w:r>
      <w:r w:rsidR="00D07DB1">
        <w:rPr>
          <w:rFonts w:eastAsia="Times New Roman" w:cs="Arial"/>
          <w:color w:val="000000" w:themeColor="text1"/>
          <w:szCs w:val="20"/>
          <w:lang w:val="es-ES_tradnl" w:eastAsia="es-ES"/>
        </w:rPr>
        <w:t>)</w:t>
      </w:r>
      <w:r>
        <w:rPr>
          <w:rFonts w:eastAsia="Times New Roman" w:cs="Arial"/>
          <w:color w:val="000000" w:themeColor="text1"/>
          <w:szCs w:val="20"/>
          <w:lang w:val="es-ES_tradnl" w:eastAsia="es-ES"/>
        </w:rPr>
        <w:t>. Un 29,7% cuenta con un Plan de Gestión, por debajo del 33,2% de 2012.</w:t>
      </w:r>
    </w:p>
    <w:p w:rsidR="009F1045" w:rsidRDefault="009F1045" w:rsidP="009F1045">
      <w:pPr>
        <w:rPr>
          <w:rFonts w:eastAsia="Times New Roman" w:cs="Arial"/>
          <w:color w:val="000000" w:themeColor="text1"/>
          <w:szCs w:val="20"/>
          <w:lang w:val="es-ES_tradnl" w:eastAsia="es-ES"/>
        </w:rPr>
      </w:pPr>
    </w:p>
    <w:p w:rsidR="00A62EF2" w:rsidRDefault="00604F16" w:rsidP="00604F16">
      <w:pPr>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E</w:t>
      </w:r>
      <w:r w:rsidR="00A62EF2">
        <w:rPr>
          <w:rFonts w:eastAsia="Times New Roman" w:cs="Arial"/>
          <w:color w:val="000000" w:themeColor="text1"/>
          <w:szCs w:val="20"/>
          <w:lang w:val="es-ES_tradnl" w:eastAsia="es-ES"/>
        </w:rPr>
        <w:t>l tamaño empresarial</w:t>
      </w:r>
      <w:r>
        <w:rPr>
          <w:rFonts w:eastAsia="Times New Roman" w:cs="Arial"/>
          <w:color w:val="000000" w:themeColor="text1"/>
          <w:szCs w:val="20"/>
          <w:lang w:val="es-ES_tradnl" w:eastAsia="es-ES"/>
        </w:rPr>
        <w:t xml:space="preserve"> sigue siendo</w:t>
      </w:r>
      <w:r w:rsidR="00A62EF2">
        <w:rPr>
          <w:rFonts w:eastAsia="Times New Roman" w:cs="Arial"/>
          <w:color w:val="000000" w:themeColor="text1"/>
          <w:szCs w:val="20"/>
          <w:lang w:val="es-ES_tradnl" w:eastAsia="es-ES"/>
        </w:rPr>
        <w:t xml:space="preserve"> una variable fundamental en el nivel de incorporación de este tip</w:t>
      </w:r>
      <w:r w:rsidR="005C1EBD">
        <w:rPr>
          <w:rFonts w:eastAsia="Times New Roman" w:cs="Arial"/>
          <w:color w:val="000000" w:themeColor="text1"/>
          <w:szCs w:val="20"/>
          <w:lang w:val="es-ES_tradnl" w:eastAsia="es-ES"/>
        </w:rPr>
        <w:t xml:space="preserve">o de herramientas. </w:t>
      </w:r>
      <w:r>
        <w:rPr>
          <w:rFonts w:eastAsia="Times New Roman" w:cs="Arial"/>
          <w:color w:val="000000" w:themeColor="text1"/>
          <w:szCs w:val="20"/>
          <w:lang w:val="es-ES_tradnl" w:eastAsia="es-ES"/>
        </w:rPr>
        <w:t>Así, las empresas con más de 1</w:t>
      </w:r>
      <w:r w:rsidR="00A62EF2">
        <w:rPr>
          <w:rFonts w:eastAsia="Times New Roman" w:cs="Arial"/>
          <w:color w:val="000000" w:themeColor="text1"/>
          <w:szCs w:val="20"/>
          <w:lang w:val="es-ES_tradnl" w:eastAsia="es-ES"/>
        </w:rPr>
        <w:t xml:space="preserve">00 empleos disponen en </w:t>
      </w:r>
      <w:r>
        <w:rPr>
          <w:rFonts w:eastAsia="Times New Roman" w:cs="Arial"/>
          <w:color w:val="000000" w:themeColor="text1"/>
          <w:szCs w:val="20"/>
          <w:lang w:val="es-ES_tradnl" w:eastAsia="es-ES"/>
        </w:rPr>
        <w:t xml:space="preserve">niveles cercanos o superiores al </w:t>
      </w:r>
      <w:r w:rsidR="00A8257B">
        <w:rPr>
          <w:rFonts w:eastAsia="Times New Roman" w:cs="Arial"/>
          <w:color w:val="000000" w:themeColor="text1"/>
          <w:szCs w:val="20"/>
          <w:lang w:val="es-ES_tradnl" w:eastAsia="es-ES"/>
        </w:rPr>
        <w:t>85</w:t>
      </w:r>
      <w:r>
        <w:rPr>
          <w:rFonts w:eastAsia="Times New Roman" w:cs="Arial"/>
          <w:color w:val="000000" w:themeColor="text1"/>
          <w:szCs w:val="20"/>
          <w:lang w:val="es-ES_tradnl" w:eastAsia="es-ES"/>
        </w:rPr>
        <w:t xml:space="preserve">% </w:t>
      </w:r>
      <w:r w:rsidR="00A62EF2">
        <w:rPr>
          <w:rFonts w:eastAsia="Times New Roman" w:cs="Arial"/>
          <w:color w:val="000000" w:themeColor="text1"/>
          <w:szCs w:val="20"/>
          <w:lang w:val="es-ES_tradnl" w:eastAsia="es-ES"/>
        </w:rPr>
        <w:t>el conjunto de documentos de gestión y planificación</w:t>
      </w:r>
      <w:r>
        <w:rPr>
          <w:rFonts w:eastAsia="Times New Roman" w:cs="Arial"/>
          <w:color w:val="000000" w:themeColor="text1"/>
          <w:szCs w:val="20"/>
          <w:lang w:val="es-ES_tradnl" w:eastAsia="es-ES"/>
        </w:rPr>
        <w:t xml:space="preserve"> considerados</w:t>
      </w:r>
      <w:r w:rsidR="00A8257B">
        <w:rPr>
          <w:rFonts w:eastAsia="Times New Roman" w:cs="Arial"/>
          <w:color w:val="000000" w:themeColor="text1"/>
          <w:szCs w:val="20"/>
          <w:lang w:val="es-ES_tradnl" w:eastAsia="es-ES"/>
        </w:rPr>
        <w:t xml:space="preserve"> (con un mínimo del 78,8% en lo relativo al Manual de Valoración de Puestos en empresas de 101 a 200 empleos)</w:t>
      </w:r>
      <w:r>
        <w:rPr>
          <w:rFonts w:eastAsia="Times New Roman" w:cs="Arial"/>
          <w:color w:val="000000" w:themeColor="text1"/>
          <w:szCs w:val="20"/>
          <w:lang w:val="es-ES_tradnl" w:eastAsia="es-ES"/>
        </w:rPr>
        <w:t xml:space="preserve">. </w:t>
      </w:r>
      <w:r w:rsidR="00C96F3E">
        <w:rPr>
          <w:rFonts w:eastAsia="Times New Roman" w:cs="Arial"/>
          <w:color w:val="000000" w:themeColor="text1"/>
          <w:szCs w:val="20"/>
          <w:lang w:val="es-ES_tradnl" w:eastAsia="es-ES"/>
        </w:rPr>
        <w:t>L</w:t>
      </w:r>
      <w:r w:rsidR="00A62EF2">
        <w:rPr>
          <w:rFonts w:eastAsia="Times New Roman" w:cs="Arial"/>
          <w:color w:val="000000" w:themeColor="text1"/>
          <w:szCs w:val="20"/>
          <w:lang w:val="es-ES_tradnl" w:eastAsia="es-ES"/>
        </w:rPr>
        <w:t>as PYMES que se sitúan en un rango de empleo entre los 51</w:t>
      </w:r>
      <w:r>
        <w:rPr>
          <w:rFonts w:eastAsia="Times New Roman" w:cs="Arial"/>
          <w:color w:val="000000" w:themeColor="text1"/>
          <w:szCs w:val="20"/>
          <w:lang w:val="es-ES_tradnl" w:eastAsia="es-ES"/>
        </w:rPr>
        <w:t xml:space="preserve"> y </w:t>
      </w:r>
      <w:r w:rsidR="00A62EF2">
        <w:rPr>
          <w:rFonts w:eastAsia="Times New Roman" w:cs="Arial"/>
          <w:color w:val="000000" w:themeColor="text1"/>
          <w:szCs w:val="20"/>
          <w:lang w:val="es-ES_tradnl" w:eastAsia="es-ES"/>
        </w:rPr>
        <w:t xml:space="preserve">100 empleos incorporan en torno al </w:t>
      </w:r>
      <w:r w:rsidR="006610AB">
        <w:rPr>
          <w:rFonts w:eastAsia="Times New Roman" w:cs="Arial"/>
          <w:color w:val="000000" w:themeColor="text1"/>
          <w:szCs w:val="20"/>
          <w:lang w:val="es-ES_tradnl" w:eastAsia="es-ES"/>
        </w:rPr>
        <w:t>75-</w:t>
      </w:r>
      <w:r w:rsidR="00A62EF2">
        <w:rPr>
          <w:rFonts w:eastAsia="Times New Roman" w:cs="Arial"/>
          <w:color w:val="000000" w:themeColor="text1"/>
          <w:szCs w:val="20"/>
          <w:lang w:val="es-ES_tradnl" w:eastAsia="es-ES"/>
        </w:rPr>
        <w:t>80% de los casos estos documentos</w:t>
      </w:r>
      <w:r w:rsidR="005C1EBD">
        <w:rPr>
          <w:rFonts w:eastAsia="Times New Roman" w:cs="Arial"/>
          <w:color w:val="000000" w:themeColor="text1"/>
          <w:szCs w:val="20"/>
          <w:lang w:val="es-ES_tradnl" w:eastAsia="es-ES"/>
        </w:rPr>
        <w:t xml:space="preserve"> de gestión empresarial</w:t>
      </w:r>
      <w:r w:rsidR="006610AB">
        <w:rPr>
          <w:rFonts w:eastAsia="Times New Roman" w:cs="Arial"/>
          <w:color w:val="000000" w:themeColor="text1"/>
          <w:szCs w:val="20"/>
          <w:lang w:val="es-ES_tradnl" w:eastAsia="es-ES"/>
        </w:rPr>
        <w:t xml:space="preserve"> (60,8%</w:t>
      </w:r>
      <w:r>
        <w:rPr>
          <w:rFonts w:eastAsia="Times New Roman" w:cs="Arial"/>
          <w:color w:val="000000" w:themeColor="text1"/>
          <w:szCs w:val="20"/>
          <w:lang w:val="es-ES_tradnl" w:eastAsia="es-ES"/>
        </w:rPr>
        <w:t xml:space="preserve"> en lo relativo al Manual de Valoración de Puestos</w:t>
      </w:r>
      <w:r w:rsidR="006610AB">
        <w:rPr>
          <w:rFonts w:eastAsia="Times New Roman" w:cs="Arial"/>
          <w:color w:val="000000" w:themeColor="text1"/>
          <w:szCs w:val="20"/>
          <w:lang w:val="es-ES_tradnl" w:eastAsia="es-ES"/>
        </w:rPr>
        <w:t>)</w:t>
      </w:r>
      <w:r>
        <w:rPr>
          <w:rFonts w:eastAsia="Times New Roman" w:cs="Arial"/>
          <w:color w:val="000000" w:themeColor="text1"/>
          <w:szCs w:val="20"/>
          <w:lang w:val="es-ES_tradnl" w:eastAsia="es-ES"/>
        </w:rPr>
        <w:t xml:space="preserve">. En las empresas de 16 a 50 empleos, las cifras se sitúan entre el </w:t>
      </w:r>
      <w:r w:rsidR="006610AB">
        <w:rPr>
          <w:rFonts w:eastAsia="Times New Roman" w:cs="Arial"/>
          <w:color w:val="000000" w:themeColor="text1"/>
          <w:szCs w:val="20"/>
          <w:lang w:val="es-ES_tradnl" w:eastAsia="es-ES"/>
        </w:rPr>
        <w:t>60-75</w:t>
      </w:r>
      <w:r>
        <w:rPr>
          <w:rFonts w:eastAsia="Times New Roman" w:cs="Arial"/>
          <w:color w:val="000000" w:themeColor="text1"/>
          <w:szCs w:val="20"/>
          <w:lang w:val="es-ES_tradnl" w:eastAsia="es-ES"/>
        </w:rPr>
        <w:t xml:space="preserve">% </w:t>
      </w:r>
      <w:r w:rsidR="006610AB">
        <w:rPr>
          <w:rFonts w:eastAsia="Times New Roman" w:cs="Arial"/>
          <w:color w:val="000000" w:themeColor="text1"/>
          <w:szCs w:val="20"/>
          <w:lang w:val="es-ES_tradnl" w:eastAsia="es-ES"/>
        </w:rPr>
        <w:t>en lo relativo al Plan de Gestió</w:t>
      </w:r>
      <w:r>
        <w:rPr>
          <w:rFonts w:eastAsia="Times New Roman" w:cs="Arial"/>
          <w:color w:val="000000" w:themeColor="text1"/>
          <w:szCs w:val="20"/>
          <w:lang w:val="es-ES_tradnl" w:eastAsia="es-ES"/>
        </w:rPr>
        <w:t>n y de Formación, así como en el Reglamento de Régimen Interno, con niveles entre el 5</w:t>
      </w:r>
      <w:r w:rsidR="006610AB">
        <w:rPr>
          <w:rFonts w:eastAsia="Times New Roman" w:cs="Arial"/>
          <w:color w:val="000000" w:themeColor="text1"/>
          <w:szCs w:val="20"/>
          <w:lang w:val="es-ES_tradnl" w:eastAsia="es-ES"/>
        </w:rPr>
        <w:t>0</w:t>
      </w:r>
      <w:r>
        <w:rPr>
          <w:rFonts w:eastAsia="Times New Roman" w:cs="Arial"/>
          <w:color w:val="000000" w:themeColor="text1"/>
          <w:szCs w:val="20"/>
          <w:lang w:val="es-ES_tradnl" w:eastAsia="es-ES"/>
        </w:rPr>
        <w:t>-5</w:t>
      </w:r>
      <w:r w:rsidR="006610AB">
        <w:rPr>
          <w:rFonts w:eastAsia="Times New Roman" w:cs="Arial"/>
          <w:color w:val="000000" w:themeColor="text1"/>
          <w:szCs w:val="20"/>
          <w:lang w:val="es-ES_tradnl" w:eastAsia="es-ES"/>
        </w:rPr>
        <w:t>3</w:t>
      </w:r>
      <w:r>
        <w:rPr>
          <w:rFonts w:eastAsia="Times New Roman" w:cs="Arial"/>
          <w:color w:val="000000" w:themeColor="text1"/>
          <w:szCs w:val="20"/>
          <w:lang w:val="es-ES_tradnl" w:eastAsia="es-ES"/>
        </w:rPr>
        <w:t>% en lo relativo al Manual de Valoración de Puestos y al Plan Estratégico</w:t>
      </w:r>
      <w:r w:rsidR="00A62EF2">
        <w:rPr>
          <w:rFonts w:eastAsia="Times New Roman" w:cs="Arial"/>
          <w:color w:val="000000" w:themeColor="text1"/>
          <w:szCs w:val="20"/>
          <w:lang w:val="es-ES_tradnl" w:eastAsia="es-ES"/>
        </w:rPr>
        <w:t>.</w:t>
      </w:r>
    </w:p>
    <w:p w:rsidR="009F1045" w:rsidRDefault="009F1045" w:rsidP="009F1045">
      <w:pPr>
        <w:rPr>
          <w:rFonts w:eastAsia="Times New Roman" w:cs="Arial"/>
          <w:color w:val="000000" w:themeColor="text1"/>
          <w:szCs w:val="20"/>
          <w:lang w:val="es-ES_tradnl" w:eastAsia="es-ES"/>
        </w:rPr>
      </w:pPr>
    </w:p>
    <w:p w:rsidR="00D07DB1" w:rsidRDefault="00A62EF2" w:rsidP="009F1045">
      <w:pPr>
        <w:rPr>
          <w:rFonts w:eastAsia="Times New Roman" w:cs="Arial"/>
          <w:color w:val="000000" w:themeColor="text1"/>
          <w:szCs w:val="20"/>
          <w:lang w:val="es-ES_tradnl" w:eastAsia="es-ES"/>
        </w:rPr>
      </w:pPr>
      <w:r>
        <w:rPr>
          <w:rFonts w:eastAsia="Times New Roman" w:cs="Arial"/>
          <w:color w:val="000000" w:themeColor="text1"/>
          <w:szCs w:val="20"/>
          <w:lang w:val="es-ES_tradnl" w:eastAsia="es-ES"/>
        </w:rPr>
        <w:t xml:space="preserve">En cambio, </w:t>
      </w:r>
      <w:r w:rsidR="00604F16">
        <w:rPr>
          <w:rFonts w:eastAsia="Times New Roman" w:cs="Arial"/>
          <w:color w:val="000000" w:themeColor="text1"/>
          <w:szCs w:val="20"/>
          <w:lang w:val="es-ES_tradnl" w:eastAsia="es-ES"/>
        </w:rPr>
        <w:t xml:space="preserve">en las empresas </w:t>
      </w:r>
      <w:r w:rsidR="006610AB">
        <w:rPr>
          <w:rFonts w:eastAsia="Times New Roman" w:cs="Arial"/>
          <w:color w:val="000000" w:themeColor="text1"/>
          <w:szCs w:val="20"/>
          <w:lang w:val="es-ES_tradnl" w:eastAsia="es-ES"/>
        </w:rPr>
        <w:t>entre 6 y</w:t>
      </w:r>
      <w:r w:rsidR="00E8705B">
        <w:rPr>
          <w:rFonts w:eastAsia="Times New Roman" w:cs="Arial"/>
          <w:color w:val="000000" w:themeColor="text1"/>
          <w:szCs w:val="20"/>
          <w:lang w:val="es-ES_tradnl" w:eastAsia="es-ES"/>
        </w:rPr>
        <w:t xml:space="preserve"> </w:t>
      </w:r>
      <w:r>
        <w:rPr>
          <w:rFonts w:eastAsia="Times New Roman" w:cs="Arial"/>
          <w:color w:val="000000" w:themeColor="text1"/>
          <w:szCs w:val="20"/>
          <w:lang w:val="es-ES_tradnl" w:eastAsia="es-ES"/>
        </w:rPr>
        <w:t>15 empleos</w:t>
      </w:r>
      <w:r w:rsidR="005C1EBD">
        <w:rPr>
          <w:rFonts w:eastAsia="Times New Roman" w:cs="Arial"/>
          <w:color w:val="000000" w:themeColor="text1"/>
          <w:szCs w:val="20"/>
          <w:lang w:val="es-ES_tradnl" w:eastAsia="es-ES"/>
        </w:rPr>
        <w:t>,</w:t>
      </w:r>
      <w:r>
        <w:rPr>
          <w:rFonts w:eastAsia="Times New Roman" w:cs="Arial"/>
          <w:color w:val="000000" w:themeColor="text1"/>
          <w:szCs w:val="20"/>
          <w:lang w:val="es-ES_tradnl" w:eastAsia="es-ES"/>
        </w:rPr>
        <w:t xml:space="preserve"> </w:t>
      </w:r>
      <w:r w:rsidR="00B300CC">
        <w:rPr>
          <w:rFonts w:eastAsia="Times New Roman" w:cs="Arial"/>
          <w:color w:val="000000" w:themeColor="text1"/>
          <w:szCs w:val="20"/>
          <w:lang w:val="es-ES_tradnl" w:eastAsia="es-ES"/>
        </w:rPr>
        <w:t xml:space="preserve">las proporciones descienden </w:t>
      </w:r>
      <w:r w:rsidR="00604F16">
        <w:rPr>
          <w:rFonts w:eastAsia="Times New Roman" w:cs="Arial"/>
          <w:color w:val="000000" w:themeColor="text1"/>
          <w:szCs w:val="20"/>
          <w:lang w:val="es-ES_tradnl" w:eastAsia="es-ES"/>
        </w:rPr>
        <w:t xml:space="preserve">en términos generales </w:t>
      </w:r>
      <w:r w:rsidR="006610AB">
        <w:rPr>
          <w:rFonts w:eastAsia="Times New Roman" w:cs="Arial"/>
          <w:color w:val="000000" w:themeColor="text1"/>
          <w:szCs w:val="20"/>
          <w:lang w:val="es-ES_tradnl" w:eastAsia="es-ES"/>
        </w:rPr>
        <w:t xml:space="preserve">a </w:t>
      </w:r>
      <w:r w:rsidR="00604F16">
        <w:rPr>
          <w:rFonts w:eastAsia="Times New Roman" w:cs="Arial"/>
          <w:color w:val="000000" w:themeColor="text1"/>
          <w:szCs w:val="20"/>
          <w:lang w:val="es-ES_tradnl" w:eastAsia="es-ES"/>
        </w:rPr>
        <w:t xml:space="preserve">niveles entre el 20 y 40%, </w:t>
      </w:r>
      <w:r w:rsidR="006610AB">
        <w:rPr>
          <w:rFonts w:eastAsia="Times New Roman" w:cs="Arial"/>
          <w:color w:val="000000" w:themeColor="text1"/>
          <w:szCs w:val="20"/>
          <w:lang w:val="es-ES_tradnl" w:eastAsia="es-ES"/>
        </w:rPr>
        <w:t>con un máximo del 39,3</w:t>
      </w:r>
      <w:r w:rsidR="00604F16">
        <w:rPr>
          <w:rFonts w:eastAsia="Times New Roman" w:cs="Arial"/>
          <w:color w:val="000000" w:themeColor="text1"/>
          <w:szCs w:val="20"/>
          <w:lang w:val="es-ES_tradnl" w:eastAsia="es-ES"/>
        </w:rPr>
        <w:t xml:space="preserve">% en lo relativo al Plan de Formación. Los niveles más bajos se dan entre las empresa </w:t>
      </w:r>
      <w:r w:rsidR="00B300CC">
        <w:rPr>
          <w:rFonts w:eastAsia="Times New Roman" w:cs="Arial"/>
          <w:color w:val="000000" w:themeColor="text1"/>
          <w:szCs w:val="20"/>
          <w:lang w:val="es-ES_tradnl" w:eastAsia="es-ES"/>
        </w:rPr>
        <w:t xml:space="preserve">con menos de 6 empleos, </w:t>
      </w:r>
      <w:r w:rsidR="00604F16">
        <w:rPr>
          <w:rFonts w:eastAsia="Times New Roman" w:cs="Arial"/>
          <w:color w:val="000000" w:themeColor="text1"/>
          <w:szCs w:val="20"/>
          <w:lang w:val="es-ES_tradnl" w:eastAsia="es-ES"/>
        </w:rPr>
        <w:t xml:space="preserve">con un máximo del </w:t>
      </w:r>
      <w:r w:rsidR="006610AB">
        <w:rPr>
          <w:rFonts w:eastAsia="Times New Roman" w:cs="Arial"/>
          <w:color w:val="000000" w:themeColor="text1"/>
          <w:szCs w:val="20"/>
          <w:lang w:val="es-ES_tradnl" w:eastAsia="es-ES"/>
        </w:rPr>
        <w:t>26,6</w:t>
      </w:r>
      <w:r w:rsidR="00604F16">
        <w:rPr>
          <w:rFonts w:eastAsia="Times New Roman" w:cs="Arial"/>
          <w:color w:val="000000" w:themeColor="text1"/>
          <w:szCs w:val="20"/>
          <w:lang w:val="es-ES_tradnl" w:eastAsia="es-ES"/>
        </w:rPr>
        <w:t xml:space="preserve">% accediendo al </w:t>
      </w:r>
      <w:r w:rsidR="00B300CC">
        <w:rPr>
          <w:rFonts w:eastAsia="Times New Roman" w:cs="Arial"/>
          <w:color w:val="000000" w:themeColor="text1"/>
          <w:szCs w:val="20"/>
          <w:lang w:val="es-ES_tradnl" w:eastAsia="es-ES"/>
        </w:rPr>
        <w:t>Plan de Formación</w:t>
      </w:r>
      <w:r w:rsidR="006610AB">
        <w:rPr>
          <w:rFonts w:eastAsia="Times New Roman" w:cs="Arial"/>
          <w:color w:val="000000" w:themeColor="text1"/>
          <w:szCs w:val="20"/>
          <w:lang w:val="es-ES_tradnl" w:eastAsia="es-ES"/>
        </w:rPr>
        <w:t xml:space="preserve">. Apenas un 11% disponen, en estas microempresas, </w:t>
      </w:r>
      <w:r w:rsidR="000645F7">
        <w:rPr>
          <w:rFonts w:eastAsia="Times New Roman" w:cs="Arial"/>
          <w:color w:val="000000" w:themeColor="text1"/>
          <w:szCs w:val="20"/>
          <w:lang w:val="es-ES_tradnl" w:eastAsia="es-ES"/>
        </w:rPr>
        <w:t>de un</w:t>
      </w:r>
      <w:r w:rsidR="00B300CC">
        <w:rPr>
          <w:rFonts w:eastAsia="Times New Roman" w:cs="Arial"/>
          <w:color w:val="000000" w:themeColor="text1"/>
          <w:szCs w:val="20"/>
          <w:lang w:val="es-ES_tradnl" w:eastAsia="es-ES"/>
        </w:rPr>
        <w:t xml:space="preserve"> Plan Estratégico</w:t>
      </w:r>
      <w:r w:rsidR="006610AB">
        <w:rPr>
          <w:rFonts w:eastAsia="Times New Roman" w:cs="Arial"/>
          <w:color w:val="000000" w:themeColor="text1"/>
          <w:szCs w:val="20"/>
          <w:lang w:val="es-ES_tradnl" w:eastAsia="es-ES"/>
        </w:rPr>
        <w:t>.</w:t>
      </w:r>
    </w:p>
    <w:p w:rsidR="009F1045" w:rsidRDefault="009F1045" w:rsidP="009F1045">
      <w:pPr>
        <w:rPr>
          <w:rFonts w:eastAsia="Times New Roman" w:cs="Arial"/>
          <w:color w:val="000000" w:themeColor="text1"/>
          <w:szCs w:val="20"/>
          <w:lang w:val="es-ES_tradnl" w:eastAsia="es-ES"/>
        </w:rPr>
      </w:pPr>
    </w:p>
    <w:p w:rsidR="002022D7" w:rsidRPr="009C4E1F" w:rsidRDefault="002022D7" w:rsidP="002022D7">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lastRenderedPageBreak/>
        <w:t>DISPOSICIÓN DE LAS HERRAMIENTAS DE GES</w:t>
      </w:r>
      <w:r>
        <w:rPr>
          <w:rFonts w:cs="Arial"/>
          <w:b/>
          <w:snapToGrid w:val="0"/>
          <w:color w:val="1F497D" w:themeColor="text2"/>
          <w:sz w:val="18"/>
          <w:szCs w:val="18"/>
          <w:lang w:val="es-ES_tradnl"/>
        </w:rPr>
        <w:t xml:space="preserve">TIÓN POR TAMAÑO DE EMPRESA. 2014 </w:t>
      </w:r>
      <w:r w:rsidRPr="009C4E1F">
        <w:rPr>
          <w:rFonts w:cs="Arial"/>
          <w:b/>
          <w:snapToGrid w:val="0"/>
          <w:color w:val="1F497D" w:themeColor="text2"/>
          <w:sz w:val="18"/>
          <w:szCs w:val="18"/>
          <w:lang w:val="es-ES_tradnl"/>
        </w:rPr>
        <w:t>(% de las empresas que disponen de estas herramientas)</w:t>
      </w:r>
    </w:p>
    <w:tbl>
      <w:tblPr>
        <w:tblW w:w="9940" w:type="dxa"/>
        <w:jc w:val="center"/>
        <w:tblBorders>
          <w:bottom w:val="single" w:sz="4" w:space="0" w:color="BFBFBF" w:themeColor="background1" w:themeShade="BF"/>
        </w:tblBorders>
        <w:tblLayout w:type="fixed"/>
        <w:tblLook w:val="04A0" w:firstRow="1" w:lastRow="0" w:firstColumn="1" w:lastColumn="0" w:noHBand="0" w:noVBand="1"/>
      </w:tblPr>
      <w:tblGrid>
        <w:gridCol w:w="2586"/>
        <w:gridCol w:w="1004"/>
        <w:gridCol w:w="1083"/>
        <w:gridCol w:w="851"/>
        <w:gridCol w:w="855"/>
        <w:gridCol w:w="851"/>
        <w:gridCol w:w="851"/>
        <w:gridCol w:w="851"/>
        <w:gridCol w:w="1008"/>
      </w:tblGrid>
      <w:tr w:rsidR="002022D7" w:rsidTr="00540C90">
        <w:trPr>
          <w:jc w:val="center"/>
        </w:trPr>
        <w:tc>
          <w:tcPr>
            <w:tcW w:w="13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2022D7" w:rsidRPr="0044494A" w:rsidRDefault="002022D7" w:rsidP="00540C90">
            <w:pPr>
              <w:spacing w:line="240" w:lineRule="auto"/>
              <w:jc w:val="center"/>
              <w:rPr>
                <w:rFonts w:cs="Arial"/>
                <w:b/>
                <w:bCs/>
                <w:sz w:val="16"/>
                <w:szCs w:val="16"/>
              </w:rPr>
            </w:pPr>
            <w:r w:rsidRPr="0044494A">
              <w:rPr>
                <w:rFonts w:cs="Arial"/>
                <w:b/>
                <w:bCs/>
                <w:sz w:val="16"/>
                <w:szCs w:val="16"/>
              </w:rPr>
              <w:t> </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TOTAL</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Menos</w:t>
            </w:r>
            <w:r>
              <w:rPr>
                <w:rFonts w:cs="Arial"/>
                <w:b/>
                <w:bCs/>
                <w:sz w:val="16"/>
                <w:szCs w:val="16"/>
              </w:rPr>
              <w:t xml:space="preserve"> </w:t>
            </w:r>
            <w:r w:rsidRPr="0044494A">
              <w:rPr>
                <w:rFonts w:cs="Arial"/>
                <w:b/>
                <w:bCs/>
                <w:sz w:val="16"/>
                <w:szCs w:val="16"/>
              </w:rPr>
              <w:t>de 6</w:t>
            </w:r>
            <w:r>
              <w:rPr>
                <w:rFonts w:cs="Arial"/>
                <w:b/>
                <w:bCs/>
                <w:sz w:val="16"/>
                <w:szCs w:val="16"/>
              </w:rPr>
              <w:t xml:space="preserve"> </w:t>
            </w:r>
            <w:r w:rsidRPr="0044494A">
              <w:rPr>
                <w:rFonts w:cs="Arial"/>
                <w:b/>
                <w:bCs/>
                <w:sz w:val="16"/>
                <w:szCs w:val="16"/>
              </w:rPr>
              <w:t>Empleos</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De 6 a</w:t>
            </w:r>
          </w:p>
          <w:p w:rsidR="002022D7" w:rsidRPr="0044494A" w:rsidRDefault="002022D7" w:rsidP="00540C90">
            <w:pPr>
              <w:spacing w:line="240" w:lineRule="auto"/>
              <w:jc w:val="center"/>
              <w:rPr>
                <w:rFonts w:cs="Arial"/>
                <w:b/>
                <w:bCs/>
                <w:sz w:val="16"/>
                <w:szCs w:val="16"/>
              </w:rPr>
            </w:pPr>
            <w:r w:rsidRPr="0044494A">
              <w:rPr>
                <w:rFonts w:cs="Arial"/>
                <w:b/>
                <w:bCs/>
                <w:sz w:val="16"/>
                <w:szCs w:val="16"/>
              </w:rPr>
              <w:t>15</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De 16 a</w:t>
            </w:r>
          </w:p>
          <w:p w:rsidR="002022D7" w:rsidRPr="0044494A" w:rsidRDefault="002022D7" w:rsidP="00540C90">
            <w:pPr>
              <w:spacing w:line="240" w:lineRule="auto"/>
              <w:jc w:val="center"/>
              <w:rPr>
                <w:rFonts w:cs="Arial"/>
                <w:b/>
                <w:bCs/>
                <w:sz w:val="16"/>
                <w:szCs w:val="16"/>
              </w:rPr>
            </w:pPr>
            <w:r w:rsidRPr="0044494A">
              <w:rPr>
                <w:rFonts w:cs="Arial"/>
                <w:b/>
                <w:bCs/>
                <w:sz w:val="16"/>
                <w:szCs w:val="16"/>
              </w:rPr>
              <w:t>50</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De 51 a</w:t>
            </w:r>
          </w:p>
          <w:p w:rsidR="002022D7" w:rsidRPr="0044494A" w:rsidRDefault="002022D7" w:rsidP="00540C90">
            <w:pPr>
              <w:spacing w:line="240" w:lineRule="auto"/>
              <w:jc w:val="center"/>
              <w:rPr>
                <w:rFonts w:cs="Arial"/>
                <w:b/>
                <w:bCs/>
                <w:sz w:val="16"/>
                <w:szCs w:val="16"/>
              </w:rPr>
            </w:pPr>
            <w:r w:rsidRPr="0044494A">
              <w:rPr>
                <w:rFonts w:cs="Arial"/>
                <w:b/>
                <w:bCs/>
                <w:sz w:val="16"/>
                <w:szCs w:val="16"/>
              </w:rPr>
              <w:t>100</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De 101 a</w:t>
            </w:r>
            <w:r>
              <w:rPr>
                <w:rFonts w:cs="Arial"/>
                <w:b/>
                <w:bCs/>
                <w:sz w:val="16"/>
                <w:szCs w:val="16"/>
              </w:rPr>
              <w:t xml:space="preserve"> </w:t>
            </w:r>
            <w:r w:rsidRPr="0044494A">
              <w:rPr>
                <w:rFonts w:cs="Arial"/>
                <w:b/>
                <w:bCs/>
                <w:sz w:val="16"/>
                <w:szCs w:val="16"/>
              </w:rPr>
              <w:t>200</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De 201 a 500</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c>
          <w:tcPr>
            <w:tcW w:w="507" w:type="pct"/>
            <w:tcBorders>
              <w:top w:val="single" w:sz="4" w:space="0" w:color="BFBFBF" w:themeColor="background1" w:themeShade="BF"/>
              <w:left w:val="single" w:sz="4" w:space="0" w:color="BFBFBF" w:themeColor="background1" w:themeShade="BF"/>
            </w:tcBorders>
            <w:shd w:val="clear" w:color="auto" w:fill="DBE5F1" w:themeFill="accent1" w:themeFillTint="33"/>
            <w:vAlign w:val="bottom"/>
          </w:tcPr>
          <w:p w:rsidR="002022D7" w:rsidRPr="0044494A" w:rsidRDefault="002022D7" w:rsidP="00540C90">
            <w:pPr>
              <w:spacing w:line="240" w:lineRule="auto"/>
              <w:jc w:val="center"/>
              <w:rPr>
                <w:rFonts w:cs="Arial"/>
                <w:b/>
                <w:bCs/>
                <w:sz w:val="16"/>
                <w:szCs w:val="16"/>
              </w:rPr>
            </w:pPr>
            <w:r w:rsidRPr="0044494A">
              <w:rPr>
                <w:rFonts w:cs="Arial"/>
                <w:b/>
                <w:bCs/>
                <w:sz w:val="16"/>
                <w:szCs w:val="16"/>
              </w:rPr>
              <w:t>Más de 500</w:t>
            </w:r>
            <w:r>
              <w:rPr>
                <w:rFonts w:cs="Arial"/>
                <w:b/>
                <w:bCs/>
                <w:sz w:val="16"/>
                <w:szCs w:val="16"/>
              </w:rPr>
              <w:t xml:space="preserve"> empleos</w:t>
            </w:r>
          </w:p>
          <w:p w:rsidR="002022D7" w:rsidRPr="0044494A" w:rsidRDefault="002022D7" w:rsidP="00540C90">
            <w:pPr>
              <w:spacing w:line="240" w:lineRule="auto"/>
              <w:jc w:val="center"/>
              <w:rPr>
                <w:rFonts w:cs="Arial"/>
                <w:b/>
                <w:bCs/>
                <w:sz w:val="16"/>
                <w:szCs w:val="16"/>
              </w:rPr>
            </w:pPr>
            <w:r w:rsidRPr="009C4E1F">
              <w:rPr>
                <w:rFonts w:cs="Arial"/>
                <w:b/>
                <w:sz w:val="16"/>
                <w:szCs w:val="16"/>
                <w:lang w:val="es-ES_tradnl"/>
              </w:rPr>
              <w:t>%</w:t>
            </w:r>
          </w:p>
        </w:tc>
      </w:tr>
      <w:tr w:rsidR="002022D7" w:rsidTr="00540C90">
        <w:trPr>
          <w:jc w:val="center"/>
        </w:trPr>
        <w:tc>
          <w:tcPr>
            <w:tcW w:w="1301" w:type="pct"/>
            <w:tcBorders>
              <w:top w:val="single" w:sz="4" w:space="0" w:color="BFBFBF" w:themeColor="background1" w:themeShade="BF"/>
              <w:right w:val="single" w:sz="4" w:space="0" w:color="BFBFBF" w:themeColor="background1" w:themeShade="BF"/>
            </w:tcBorders>
          </w:tcPr>
          <w:p w:rsidR="002022D7" w:rsidRDefault="002022D7" w:rsidP="00540C90">
            <w:pPr>
              <w:spacing w:line="240" w:lineRule="exact"/>
              <w:jc w:val="left"/>
              <w:rPr>
                <w:rFonts w:cs="Arial"/>
                <w:sz w:val="16"/>
                <w:szCs w:val="16"/>
              </w:rPr>
            </w:pPr>
            <w:r>
              <w:rPr>
                <w:rFonts w:cs="Arial"/>
                <w:sz w:val="16"/>
                <w:szCs w:val="16"/>
                <w:lang w:val="es-ES_tradnl"/>
              </w:rPr>
              <w:t>Reglamento de Régimen Interno</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022D7" w:rsidRPr="00EE16BE" w:rsidRDefault="002022D7" w:rsidP="00540C90">
            <w:pPr>
              <w:spacing w:line="240" w:lineRule="exact"/>
              <w:ind w:right="170"/>
              <w:jc w:val="right"/>
              <w:rPr>
                <w:rFonts w:cs="Arial"/>
                <w:bCs/>
                <w:sz w:val="16"/>
                <w:szCs w:val="16"/>
              </w:rPr>
            </w:pPr>
            <w:r>
              <w:rPr>
                <w:rFonts w:cs="Arial"/>
                <w:bCs/>
                <w:sz w:val="16"/>
                <w:szCs w:val="16"/>
              </w:rPr>
              <w:t>31,3</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022D7" w:rsidRPr="00C92E2A" w:rsidRDefault="002022D7" w:rsidP="00540C90">
            <w:pPr>
              <w:spacing w:line="240" w:lineRule="exact"/>
              <w:ind w:right="170"/>
              <w:jc w:val="right"/>
              <w:rPr>
                <w:rFonts w:cs="Arial"/>
                <w:bCs/>
                <w:sz w:val="16"/>
                <w:szCs w:val="16"/>
              </w:rPr>
            </w:pPr>
            <w:r w:rsidRPr="00C92E2A">
              <w:rPr>
                <w:rFonts w:cs="Arial"/>
                <w:bCs/>
                <w:sz w:val="16"/>
                <w:szCs w:val="16"/>
              </w:rPr>
              <w:t>20</w:t>
            </w:r>
            <w:r>
              <w:rPr>
                <w:rFonts w:cs="Arial"/>
                <w:bCs/>
                <w:sz w:val="16"/>
                <w:szCs w:val="16"/>
              </w:rPr>
              <w:t>,0</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022D7" w:rsidRPr="00C92E2A" w:rsidRDefault="002022D7" w:rsidP="00540C90">
            <w:pPr>
              <w:spacing w:line="240" w:lineRule="exact"/>
              <w:ind w:right="170"/>
              <w:jc w:val="right"/>
              <w:rPr>
                <w:rFonts w:cs="Arial"/>
                <w:bCs/>
                <w:sz w:val="16"/>
                <w:szCs w:val="16"/>
              </w:rPr>
            </w:pPr>
            <w:r w:rsidRPr="00C92E2A">
              <w:rPr>
                <w:rFonts w:cs="Arial"/>
                <w:bCs/>
                <w:sz w:val="16"/>
                <w:szCs w:val="16"/>
              </w:rPr>
              <w:t>31,7</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022D7" w:rsidRPr="00C92E2A" w:rsidRDefault="002022D7" w:rsidP="00540C90">
            <w:pPr>
              <w:spacing w:line="240" w:lineRule="exact"/>
              <w:ind w:right="170"/>
              <w:jc w:val="right"/>
              <w:rPr>
                <w:rFonts w:cs="Arial"/>
                <w:bCs/>
                <w:sz w:val="16"/>
                <w:szCs w:val="16"/>
              </w:rPr>
            </w:pPr>
            <w:r w:rsidRPr="00C92E2A">
              <w:rPr>
                <w:rFonts w:cs="Arial"/>
                <w:bCs/>
                <w:sz w:val="16"/>
                <w:szCs w:val="16"/>
              </w:rPr>
              <w:t>65,7</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022D7" w:rsidRPr="00C92E2A" w:rsidRDefault="002022D7" w:rsidP="00540C90">
            <w:pPr>
              <w:spacing w:line="240" w:lineRule="exact"/>
              <w:ind w:right="170"/>
              <w:jc w:val="right"/>
              <w:rPr>
                <w:rFonts w:cs="Arial"/>
                <w:bCs/>
                <w:sz w:val="16"/>
                <w:szCs w:val="16"/>
              </w:rPr>
            </w:pPr>
            <w:r w:rsidRPr="00C92E2A">
              <w:rPr>
                <w:rFonts w:cs="Arial"/>
                <w:bCs/>
                <w:sz w:val="16"/>
                <w:szCs w:val="16"/>
              </w:rPr>
              <w:t>76,9</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022D7" w:rsidRPr="00C92E2A" w:rsidRDefault="002022D7" w:rsidP="00540C90">
            <w:pPr>
              <w:spacing w:line="240" w:lineRule="exact"/>
              <w:ind w:right="170"/>
              <w:jc w:val="right"/>
              <w:rPr>
                <w:rFonts w:cs="Arial"/>
                <w:bCs/>
                <w:sz w:val="16"/>
                <w:szCs w:val="16"/>
              </w:rPr>
            </w:pPr>
            <w:r w:rsidRPr="00C92E2A">
              <w:rPr>
                <w:rFonts w:cs="Arial"/>
                <w:bCs/>
                <w:sz w:val="16"/>
                <w:szCs w:val="16"/>
              </w:rPr>
              <w:t>94,6</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2022D7" w:rsidRPr="00C92E2A" w:rsidRDefault="002022D7" w:rsidP="00540C90">
            <w:pPr>
              <w:spacing w:line="240" w:lineRule="exact"/>
              <w:ind w:right="170"/>
              <w:jc w:val="right"/>
              <w:rPr>
                <w:rFonts w:cs="Arial"/>
                <w:bCs/>
                <w:sz w:val="16"/>
                <w:szCs w:val="16"/>
              </w:rPr>
            </w:pPr>
            <w:r w:rsidRPr="00C92E2A">
              <w:rPr>
                <w:rFonts w:cs="Arial"/>
                <w:bCs/>
                <w:sz w:val="16"/>
                <w:szCs w:val="16"/>
              </w:rPr>
              <w:t>100</w:t>
            </w:r>
            <w:r w:rsidR="007F441F">
              <w:rPr>
                <w:rFonts w:cs="Arial"/>
                <w:bCs/>
                <w:sz w:val="16"/>
                <w:szCs w:val="16"/>
              </w:rPr>
              <w:t>,0</w:t>
            </w:r>
          </w:p>
        </w:tc>
        <w:tc>
          <w:tcPr>
            <w:tcW w:w="507" w:type="pct"/>
            <w:tcBorders>
              <w:top w:val="single" w:sz="4" w:space="0" w:color="BFBFBF" w:themeColor="background1" w:themeShade="BF"/>
              <w:left w:val="single" w:sz="4" w:space="0" w:color="BFBFBF" w:themeColor="background1" w:themeShade="BF"/>
            </w:tcBorders>
            <w:vAlign w:val="bottom"/>
          </w:tcPr>
          <w:p w:rsidR="002022D7" w:rsidRPr="00C92E2A" w:rsidRDefault="002022D7" w:rsidP="00540C90">
            <w:pPr>
              <w:spacing w:line="240" w:lineRule="exact"/>
              <w:ind w:right="170"/>
              <w:jc w:val="right"/>
              <w:rPr>
                <w:rFonts w:cs="Arial"/>
                <w:bCs/>
                <w:sz w:val="16"/>
                <w:szCs w:val="16"/>
              </w:rPr>
            </w:pPr>
            <w:r w:rsidRPr="00C92E2A">
              <w:rPr>
                <w:rFonts w:cs="Arial"/>
                <w:bCs/>
                <w:sz w:val="16"/>
                <w:szCs w:val="16"/>
              </w:rPr>
              <w:t>100</w:t>
            </w:r>
            <w:r w:rsidR="007F441F">
              <w:rPr>
                <w:rFonts w:cs="Arial"/>
                <w:bCs/>
                <w:sz w:val="16"/>
                <w:szCs w:val="16"/>
              </w:rPr>
              <w:t>,0</w:t>
            </w:r>
          </w:p>
        </w:tc>
      </w:tr>
      <w:tr w:rsidR="002022D7" w:rsidTr="00540C90">
        <w:trPr>
          <w:jc w:val="center"/>
        </w:trPr>
        <w:tc>
          <w:tcPr>
            <w:tcW w:w="1301" w:type="pct"/>
            <w:tcBorders>
              <w:right w:val="single" w:sz="4" w:space="0" w:color="BFBFBF" w:themeColor="background1" w:themeShade="BF"/>
            </w:tcBorders>
          </w:tcPr>
          <w:p w:rsidR="002022D7" w:rsidRPr="006C3F34" w:rsidRDefault="002022D7" w:rsidP="00540C90">
            <w:pPr>
              <w:spacing w:line="240" w:lineRule="exact"/>
              <w:jc w:val="left"/>
              <w:rPr>
                <w:rFonts w:cs="Arial"/>
                <w:sz w:val="16"/>
                <w:szCs w:val="16"/>
              </w:rPr>
            </w:pPr>
            <w:r w:rsidRPr="006C3F34">
              <w:rPr>
                <w:rFonts w:cs="Arial"/>
                <w:sz w:val="16"/>
                <w:szCs w:val="16"/>
                <w:lang w:val="es-ES_tradnl"/>
              </w:rPr>
              <w:t>Plan de Gestión</w:t>
            </w:r>
          </w:p>
        </w:tc>
        <w:tc>
          <w:tcPr>
            <w:tcW w:w="505" w:type="pct"/>
            <w:tcBorders>
              <w:left w:val="single" w:sz="4" w:space="0" w:color="BFBFBF" w:themeColor="background1" w:themeShade="BF"/>
              <w:right w:val="single" w:sz="4" w:space="0" w:color="BFBFBF" w:themeColor="background1" w:themeShade="BF"/>
            </w:tcBorders>
          </w:tcPr>
          <w:p w:rsidR="002022D7" w:rsidRPr="00EE16BE" w:rsidRDefault="002022D7" w:rsidP="00540C90">
            <w:pPr>
              <w:spacing w:line="240" w:lineRule="exact"/>
              <w:ind w:right="170"/>
              <w:jc w:val="right"/>
              <w:rPr>
                <w:rFonts w:cs="Arial"/>
                <w:bCs/>
                <w:sz w:val="16"/>
                <w:szCs w:val="16"/>
              </w:rPr>
            </w:pPr>
            <w:r>
              <w:rPr>
                <w:rFonts w:cs="Arial"/>
                <w:bCs/>
                <w:sz w:val="16"/>
                <w:szCs w:val="16"/>
              </w:rPr>
              <w:t>29,7</w:t>
            </w:r>
          </w:p>
        </w:tc>
        <w:tc>
          <w:tcPr>
            <w:tcW w:w="545"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18,6</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29,6</w:t>
            </w:r>
          </w:p>
        </w:tc>
        <w:tc>
          <w:tcPr>
            <w:tcW w:w="430"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63</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80,5</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92,5</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94,6</w:t>
            </w:r>
          </w:p>
        </w:tc>
        <w:tc>
          <w:tcPr>
            <w:tcW w:w="507" w:type="pct"/>
            <w:tcBorders>
              <w:lef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100</w:t>
            </w:r>
            <w:r w:rsidR="007F441F">
              <w:rPr>
                <w:rFonts w:cs="Arial"/>
                <w:bCs/>
                <w:sz w:val="16"/>
                <w:szCs w:val="16"/>
              </w:rPr>
              <w:t>,0</w:t>
            </w:r>
          </w:p>
        </w:tc>
      </w:tr>
      <w:tr w:rsidR="002022D7" w:rsidTr="00540C90">
        <w:trPr>
          <w:jc w:val="center"/>
        </w:trPr>
        <w:tc>
          <w:tcPr>
            <w:tcW w:w="1301" w:type="pct"/>
            <w:tcBorders>
              <w:right w:val="single" w:sz="4" w:space="0" w:color="BFBFBF" w:themeColor="background1" w:themeShade="BF"/>
            </w:tcBorders>
          </w:tcPr>
          <w:p w:rsidR="002022D7" w:rsidRPr="006C3F34" w:rsidRDefault="002022D7" w:rsidP="00540C90">
            <w:pPr>
              <w:spacing w:line="240" w:lineRule="exact"/>
              <w:jc w:val="left"/>
              <w:rPr>
                <w:rFonts w:cs="Arial"/>
                <w:sz w:val="16"/>
                <w:szCs w:val="16"/>
              </w:rPr>
            </w:pPr>
            <w:r w:rsidRPr="006C3F34">
              <w:rPr>
                <w:rFonts w:cs="Arial"/>
                <w:sz w:val="16"/>
                <w:szCs w:val="16"/>
                <w:lang w:val="es-ES_tradnl"/>
              </w:rPr>
              <w:t>Plan de Formación</w:t>
            </w:r>
          </w:p>
        </w:tc>
        <w:tc>
          <w:tcPr>
            <w:tcW w:w="505" w:type="pct"/>
            <w:tcBorders>
              <w:left w:val="single" w:sz="4" w:space="0" w:color="BFBFBF" w:themeColor="background1" w:themeShade="BF"/>
              <w:right w:val="single" w:sz="4" w:space="0" w:color="BFBFBF" w:themeColor="background1" w:themeShade="BF"/>
            </w:tcBorders>
          </w:tcPr>
          <w:p w:rsidR="002022D7" w:rsidRPr="00EE16BE" w:rsidRDefault="002022D7" w:rsidP="00540C90">
            <w:pPr>
              <w:spacing w:line="240" w:lineRule="exact"/>
              <w:ind w:right="170"/>
              <w:jc w:val="right"/>
              <w:rPr>
                <w:rFonts w:cs="Arial"/>
                <w:bCs/>
                <w:sz w:val="16"/>
                <w:szCs w:val="16"/>
              </w:rPr>
            </w:pPr>
            <w:r>
              <w:rPr>
                <w:rFonts w:cs="Arial"/>
                <w:bCs/>
                <w:sz w:val="16"/>
                <w:szCs w:val="16"/>
              </w:rPr>
              <w:t>37,9</w:t>
            </w:r>
          </w:p>
        </w:tc>
        <w:tc>
          <w:tcPr>
            <w:tcW w:w="545"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26,6</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39,3</w:t>
            </w:r>
          </w:p>
        </w:tc>
        <w:tc>
          <w:tcPr>
            <w:tcW w:w="430"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74,8</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82,5</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87,1</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94,8</w:t>
            </w:r>
          </w:p>
        </w:tc>
        <w:tc>
          <w:tcPr>
            <w:tcW w:w="507" w:type="pct"/>
            <w:tcBorders>
              <w:lef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100</w:t>
            </w:r>
            <w:r w:rsidR="007F441F">
              <w:rPr>
                <w:rFonts w:cs="Arial"/>
                <w:bCs/>
                <w:sz w:val="16"/>
                <w:szCs w:val="16"/>
              </w:rPr>
              <w:t>,0</w:t>
            </w:r>
          </w:p>
        </w:tc>
      </w:tr>
      <w:tr w:rsidR="002022D7" w:rsidTr="00540C90">
        <w:trPr>
          <w:jc w:val="center"/>
        </w:trPr>
        <w:tc>
          <w:tcPr>
            <w:tcW w:w="1301" w:type="pct"/>
            <w:tcBorders>
              <w:right w:val="single" w:sz="4" w:space="0" w:color="BFBFBF" w:themeColor="background1" w:themeShade="BF"/>
            </w:tcBorders>
          </w:tcPr>
          <w:p w:rsidR="002022D7" w:rsidRPr="006C3F34" w:rsidRDefault="002022D7" w:rsidP="00540C90">
            <w:pPr>
              <w:spacing w:line="240" w:lineRule="exact"/>
              <w:jc w:val="left"/>
              <w:rPr>
                <w:rFonts w:cs="Arial"/>
                <w:sz w:val="16"/>
                <w:szCs w:val="16"/>
              </w:rPr>
            </w:pPr>
            <w:r w:rsidRPr="006C3F34">
              <w:rPr>
                <w:rFonts w:cs="Arial"/>
                <w:sz w:val="16"/>
                <w:szCs w:val="16"/>
                <w:lang w:val="es-ES_tradnl"/>
              </w:rPr>
              <w:t>Plan Estratégico</w:t>
            </w:r>
          </w:p>
        </w:tc>
        <w:tc>
          <w:tcPr>
            <w:tcW w:w="505" w:type="pct"/>
            <w:tcBorders>
              <w:left w:val="single" w:sz="4" w:space="0" w:color="BFBFBF" w:themeColor="background1" w:themeShade="BF"/>
              <w:right w:val="single" w:sz="4" w:space="0" w:color="BFBFBF" w:themeColor="background1" w:themeShade="BF"/>
            </w:tcBorders>
          </w:tcPr>
          <w:p w:rsidR="002022D7" w:rsidRPr="00EE16BE" w:rsidRDefault="002022D7" w:rsidP="00540C90">
            <w:pPr>
              <w:spacing w:line="240" w:lineRule="exact"/>
              <w:ind w:right="170"/>
              <w:jc w:val="right"/>
              <w:rPr>
                <w:rFonts w:cs="Arial"/>
                <w:bCs/>
                <w:sz w:val="16"/>
                <w:szCs w:val="16"/>
              </w:rPr>
            </w:pPr>
            <w:r>
              <w:rPr>
                <w:rFonts w:cs="Arial"/>
                <w:bCs/>
                <w:sz w:val="16"/>
                <w:szCs w:val="16"/>
              </w:rPr>
              <w:t>21,9</w:t>
            </w:r>
          </w:p>
        </w:tc>
        <w:tc>
          <w:tcPr>
            <w:tcW w:w="545" w:type="pct"/>
            <w:tcBorders>
              <w:left w:val="single" w:sz="4" w:space="0" w:color="BFBFBF" w:themeColor="background1" w:themeShade="BF"/>
              <w:right w:val="single" w:sz="4" w:space="0" w:color="BFBFBF" w:themeColor="background1" w:themeShade="BF"/>
            </w:tcBorders>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11,0</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20,9</w:t>
            </w:r>
          </w:p>
        </w:tc>
        <w:tc>
          <w:tcPr>
            <w:tcW w:w="430"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50,1</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82,2</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86,7</w:t>
            </w:r>
          </w:p>
        </w:tc>
        <w:tc>
          <w:tcPr>
            <w:tcW w:w="428" w:type="pct"/>
            <w:tcBorders>
              <w:left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89,5</w:t>
            </w:r>
          </w:p>
        </w:tc>
        <w:tc>
          <w:tcPr>
            <w:tcW w:w="507" w:type="pct"/>
            <w:tcBorders>
              <w:lef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100</w:t>
            </w:r>
            <w:r w:rsidR="007F441F">
              <w:rPr>
                <w:rFonts w:cs="Arial"/>
                <w:bCs/>
                <w:sz w:val="16"/>
                <w:szCs w:val="16"/>
              </w:rPr>
              <w:t>,0</w:t>
            </w:r>
          </w:p>
        </w:tc>
      </w:tr>
      <w:tr w:rsidR="002022D7" w:rsidTr="00540C90">
        <w:trPr>
          <w:jc w:val="center"/>
        </w:trPr>
        <w:tc>
          <w:tcPr>
            <w:tcW w:w="1301" w:type="pct"/>
            <w:tcBorders>
              <w:bottom w:val="single" w:sz="4" w:space="0" w:color="BFBFBF" w:themeColor="background1" w:themeShade="BF"/>
              <w:right w:val="single" w:sz="4" w:space="0" w:color="BFBFBF" w:themeColor="background1" w:themeShade="BF"/>
            </w:tcBorders>
          </w:tcPr>
          <w:p w:rsidR="002022D7" w:rsidRDefault="002022D7" w:rsidP="00540C90">
            <w:pPr>
              <w:spacing w:line="240" w:lineRule="exact"/>
              <w:jc w:val="left"/>
              <w:rPr>
                <w:rFonts w:cs="Arial"/>
                <w:sz w:val="16"/>
                <w:szCs w:val="16"/>
              </w:rPr>
            </w:pPr>
            <w:r>
              <w:rPr>
                <w:rFonts w:cs="Arial"/>
                <w:sz w:val="16"/>
                <w:szCs w:val="16"/>
                <w:lang w:val="es-ES_tradnl"/>
              </w:rPr>
              <w:t>Manual Valoración Puestos</w:t>
            </w:r>
          </w:p>
        </w:tc>
        <w:tc>
          <w:tcPr>
            <w:tcW w:w="50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022D7" w:rsidRPr="00EE16BE" w:rsidRDefault="002022D7" w:rsidP="00540C90">
            <w:pPr>
              <w:spacing w:line="240" w:lineRule="exact"/>
              <w:ind w:right="170"/>
              <w:jc w:val="right"/>
              <w:rPr>
                <w:rFonts w:cs="Arial"/>
                <w:bCs/>
                <w:sz w:val="16"/>
                <w:szCs w:val="16"/>
              </w:rPr>
            </w:pPr>
            <w:r>
              <w:rPr>
                <w:rFonts w:cs="Arial"/>
                <w:bCs/>
                <w:sz w:val="16"/>
                <w:szCs w:val="16"/>
              </w:rPr>
              <w:t>24,5</w:t>
            </w:r>
          </w:p>
        </w:tc>
        <w:tc>
          <w:tcPr>
            <w:tcW w:w="54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13,6</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29,3</w:t>
            </w:r>
          </w:p>
        </w:tc>
        <w:tc>
          <w:tcPr>
            <w:tcW w:w="43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53,2</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60,8</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78,8</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88,4</w:t>
            </w:r>
          </w:p>
        </w:tc>
        <w:tc>
          <w:tcPr>
            <w:tcW w:w="507" w:type="pct"/>
            <w:tcBorders>
              <w:left w:val="single" w:sz="4" w:space="0" w:color="BFBFBF" w:themeColor="background1" w:themeShade="BF"/>
              <w:bottom w:val="single" w:sz="4" w:space="0" w:color="BFBFBF" w:themeColor="background1" w:themeShade="BF"/>
            </w:tcBorders>
            <w:vAlign w:val="bottom"/>
          </w:tcPr>
          <w:p w:rsidR="002022D7" w:rsidRPr="00D52FA4" w:rsidRDefault="002022D7" w:rsidP="00540C90">
            <w:pPr>
              <w:spacing w:line="240" w:lineRule="exact"/>
              <w:ind w:right="170"/>
              <w:jc w:val="right"/>
              <w:rPr>
                <w:rFonts w:cs="Arial"/>
                <w:bCs/>
                <w:sz w:val="16"/>
                <w:szCs w:val="16"/>
              </w:rPr>
            </w:pPr>
            <w:r w:rsidRPr="00D52FA4">
              <w:rPr>
                <w:rFonts w:cs="Arial"/>
                <w:bCs/>
                <w:sz w:val="16"/>
                <w:szCs w:val="16"/>
              </w:rPr>
              <w:t>83,2</w:t>
            </w:r>
          </w:p>
        </w:tc>
      </w:tr>
    </w:tbl>
    <w:p w:rsidR="002022D7" w:rsidRDefault="002022D7" w:rsidP="00DE6B32">
      <w:pPr>
        <w:rPr>
          <w:rFonts w:cs="Arial"/>
        </w:rPr>
      </w:pPr>
    </w:p>
    <w:p w:rsidR="00AD396E" w:rsidRDefault="00AD396E" w:rsidP="00DE6B32">
      <w:pPr>
        <w:rPr>
          <w:rFonts w:cs="Arial"/>
        </w:rPr>
      </w:pPr>
    </w:p>
    <w:p w:rsidR="006610AB" w:rsidRDefault="006610AB" w:rsidP="00DE6B32">
      <w:pPr>
        <w:rPr>
          <w:rFonts w:cs="Arial"/>
        </w:rPr>
      </w:pPr>
      <w:r>
        <w:rPr>
          <w:rFonts w:cs="Arial"/>
        </w:rPr>
        <w:t xml:space="preserve">La tendencia a la reducción del nivel de acceso a las herramientas de gestión consideradas entre 2012 y 2014 resulta generalizada </w:t>
      </w:r>
      <w:r w:rsidR="008676D4">
        <w:rPr>
          <w:rFonts w:cs="Arial"/>
        </w:rPr>
        <w:t>en las empresas con menos de 200 empleos</w:t>
      </w:r>
      <w:r>
        <w:rPr>
          <w:rFonts w:cs="Arial"/>
        </w:rPr>
        <w:t>, en particular en lo que se refiere al acceso al Plan de Formación y</w:t>
      </w:r>
      <w:r w:rsidR="008676D4">
        <w:rPr>
          <w:rFonts w:cs="Arial"/>
        </w:rPr>
        <w:t xml:space="preserve"> </w:t>
      </w:r>
      <w:r>
        <w:rPr>
          <w:rFonts w:cs="Arial"/>
        </w:rPr>
        <w:t>el Reglamento de Régimen Interno</w:t>
      </w:r>
      <w:r w:rsidR="008676D4">
        <w:rPr>
          <w:rFonts w:cs="Arial"/>
        </w:rPr>
        <w:t>, ampliándose a todo tipo de empresas, en particular las de 16 o más empleos en lo relativo al Manual de Valoración de Puestos</w:t>
      </w:r>
      <w:r>
        <w:rPr>
          <w:rFonts w:cs="Arial"/>
        </w:rPr>
        <w:t xml:space="preserve">. En lo relativo </w:t>
      </w:r>
      <w:r w:rsidR="008676D4">
        <w:rPr>
          <w:rFonts w:cs="Arial"/>
        </w:rPr>
        <w:t>al Plan de Gestión y al Plan Estratégico, aunque de forma algo diferente según los casos, la menor penetración en el periodo 2012-2014 de 16 a 200 empleos.</w:t>
      </w:r>
    </w:p>
    <w:p w:rsidR="006610AB" w:rsidRDefault="006610AB" w:rsidP="00DE6B32">
      <w:pPr>
        <w:rPr>
          <w:rFonts w:cs="Arial"/>
        </w:rPr>
      </w:pPr>
    </w:p>
    <w:p w:rsidR="007A08E2" w:rsidRDefault="008676D4" w:rsidP="00AD396E">
      <w:pPr>
        <w:rPr>
          <w:rFonts w:cs="Arial"/>
        </w:rPr>
      </w:pPr>
      <w:r>
        <w:rPr>
          <w:rFonts w:cs="Arial"/>
        </w:rPr>
        <w:t xml:space="preserve">La caída observada en los niveles </w:t>
      </w:r>
      <w:r w:rsidR="008060ED">
        <w:rPr>
          <w:rFonts w:cs="Arial"/>
        </w:rPr>
        <w:t>de incorporación de las herramientas de gestión</w:t>
      </w:r>
      <w:r>
        <w:rPr>
          <w:rFonts w:cs="Arial"/>
        </w:rPr>
        <w:t xml:space="preserve"> se extiende </w:t>
      </w:r>
      <w:r w:rsidR="0046269A">
        <w:rPr>
          <w:rFonts w:cs="Arial"/>
        </w:rPr>
        <w:t xml:space="preserve">entre 2012 y 2014 </w:t>
      </w:r>
      <w:r>
        <w:rPr>
          <w:rFonts w:cs="Arial"/>
        </w:rPr>
        <w:t xml:space="preserve">a </w:t>
      </w:r>
      <w:r w:rsidR="008060ED">
        <w:rPr>
          <w:rFonts w:cs="Arial"/>
        </w:rPr>
        <w:t>otros ámbitos referidos a la planificación y la gestión de las organizaciones.</w:t>
      </w:r>
      <w:r w:rsidR="00AD396E">
        <w:rPr>
          <w:rFonts w:cs="Arial"/>
        </w:rPr>
        <w:t xml:space="preserve"> En este contexto, pueden </w:t>
      </w:r>
      <w:r w:rsidR="00C36093">
        <w:rPr>
          <w:rFonts w:cs="Arial"/>
        </w:rPr>
        <w:t>apuntar</w:t>
      </w:r>
      <w:r w:rsidR="00AD396E">
        <w:rPr>
          <w:rFonts w:cs="Arial"/>
        </w:rPr>
        <w:t>se</w:t>
      </w:r>
      <w:r w:rsidR="00C36093">
        <w:rPr>
          <w:rFonts w:cs="Arial"/>
        </w:rPr>
        <w:t xml:space="preserve"> los siguientes tres hechos:</w:t>
      </w:r>
    </w:p>
    <w:p w:rsidR="008060ED" w:rsidRDefault="008060ED" w:rsidP="00DE6B32">
      <w:pPr>
        <w:rPr>
          <w:rFonts w:cs="Arial"/>
        </w:rPr>
      </w:pPr>
    </w:p>
    <w:p w:rsidR="008060ED" w:rsidRDefault="0046269A" w:rsidP="00AD396E">
      <w:pPr>
        <w:pStyle w:val="Prrafodelista"/>
        <w:numPr>
          <w:ilvl w:val="0"/>
          <w:numId w:val="9"/>
        </w:numPr>
        <w:spacing w:line="360" w:lineRule="auto"/>
        <w:ind w:left="227"/>
        <w:rPr>
          <w:rFonts w:ascii="Arial" w:eastAsiaTheme="minorHAnsi" w:hAnsi="Arial" w:cs="Arial"/>
        </w:rPr>
      </w:pPr>
      <w:r>
        <w:rPr>
          <w:rFonts w:ascii="Arial" w:eastAsiaTheme="minorHAnsi" w:hAnsi="Arial" w:cs="Arial"/>
        </w:rPr>
        <w:t xml:space="preserve">Desciende la </w:t>
      </w:r>
      <w:r w:rsidR="00DE6B32" w:rsidRPr="00DE6B32">
        <w:rPr>
          <w:rFonts w:ascii="Arial" w:eastAsiaTheme="minorHAnsi" w:hAnsi="Arial" w:cs="Arial"/>
        </w:rPr>
        <w:t xml:space="preserve">proporción de </w:t>
      </w:r>
      <w:r w:rsidR="00DE6B32">
        <w:rPr>
          <w:rFonts w:ascii="Arial" w:eastAsiaTheme="minorHAnsi" w:hAnsi="Arial" w:cs="Arial"/>
        </w:rPr>
        <w:t xml:space="preserve">empresas que disponen de sistemas de prevención de riesgos laborales, que se sitúa globalmente en un 78,3% frente al </w:t>
      </w:r>
      <w:r>
        <w:rPr>
          <w:rFonts w:ascii="Arial" w:eastAsiaTheme="minorHAnsi" w:hAnsi="Arial" w:cs="Arial"/>
        </w:rPr>
        <w:t>85</w:t>
      </w:r>
      <w:r w:rsidR="00DE6B32">
        <w:rPr>
          <w:rFonts w:ascii="Arial" w:eastAsiaTheme="minorHAnsi" w:hAnsi="Arial" w:cs="Arial"/>
        </w:rPr>
        <w:t>,8</w:t>
      </w:r>
      <w:r w:rsidR="00C36093">
        <w:rPr>
          <w:rFonts w:ascii="Arial" w:eastAsiaTheme="minorHAnsi" w:hAnsi="Arial" w:cs="Arial"/>
        </w:rPr>
        <w:t>%</w:t>
      </w:r>
      <w:r w:rsidR="00DE6B32">
        <w:rPr>
          <w:rFonts w:ascii="Arial" w:eastAsiaTheme="minorHAnsi" w:hAnsi="Arial" w:cs="Arial"/>
        </w:rPr>
        <w:t xml:space="preserve"> de 2012 o el 83,9% </w:t>
      </w:r>
      <w:r>
        <w:rPr>
          <w:rFonts w:ascii="Arial" w:eastAsiaTheme="minorHAnsi" w:hAnsi="Arial" w:cs="Arial"/>
        </w:rPr>
        <w:t xml:space="preserve">registrado </w:t>
      </w:r>
      <w:r w:rsidR="00DE6B32">
        <w:rPr>
          <w:rFonts w:ascii="Arial" w:eastAsiaTheme="minorHAnsi" w:hAnsi="Arial" w:cs="Arial"/>
        </w:rPr>
        <w:t>en 2010.</w:t>
      </w:r>
      <w:r w:rsidR="000F7C67">
        <w:rPr>
          <w:rFonts w:ascii="Arial" w:eastAsiaTheme="minorHAnsi" w:hAnsi="Arial" w:cs="Arial"/>
        </w:rPr>
        <w:t xml:space="preserve"> </w:t>
      </w:r>
      <w:r>
        <w:rPr>
          <w:rFonts w:ascii="Arial" w:eastAsiaTheme="minorHAnsi" w:hAnsi="Arial" w:cs="Arial"/>
        </w:rPr>
        <w:t xml:space="preserve">Se trata de una circunstancia </w:t>
      </w:r>
      <w:r w:rsidR="000F7C67">
        <w:rPr>
          <w:rFonts w:ascii="Arial" w:eastAsiaTheme="minorHAnsi" w:hAnsi="Arial" w:cs="Arial"/>
        </w:rPr>
        <w:t>muy vinculad</w:t>
      </w:r>
      <w:r>
        <w:rPr>
          <w:rFonts w:ascii="Arial" w:eastAsiaTheme="minorHAnsi" w:hAnsi="Arial" w:cs="Arial"/>
        </w:rPr>
        <w:t>a</w:t>
      </w:r>
      <w:r w:rsidR="000F7C67">
        <w:rPr>
          <w:rFonts w:ascii="Arial" w:eastAsiaTheme="minorHAnsi" w:hAnsi="Arial" w:cs="Arial"/>
        </w:rPr>
        <w:t xml:space="preserve"> a la</w:t>
      </w:r>
      <w:r>
        <w:rPr>
          <w:rFonts w:ascii="Arial" w:eastAsiaTheme="minorHAnsi" w:hAnsi="Arial" w:cs="Arial"/>
        </w:rPr>
        <w:t xml:space="preserve">s empresas con menos de 6 empleos en las que el acceso a estos sistemas se sitúa en un 77,9%, con cifras superiores al 95% </w:t>
      </w:r>
      <w:r w:rsidR="007532FD">
        <w:rPr>
          <w:rFonts w:ascii="Arial" w:eastAsiaTheme="minorHAnsi" w:hAnsi="Arial" w:cs="Arial"/>
        </w:rPr>
        <w:t>por encima de los 6 empleos.</w:t>
      </w:r>
    </w:p>
    <w:p w:rsidR="00DE6B32" w:rsidRDefault="00DE6B32" w:rsidP="00AD396E">
      <w:pPr>
        <w:pStyle w:val="Prrafodelista"/>
        <w:spacing w:line="360" w:lineRule="auto"/>
        <w:ind w:left="227"/>
        <w:rPr>
          <w:rFonts w:ascii="Arial" w:eastAsiaTheme="minorHAnsi" w:hAnsi="Arial" w:cs="Arial"/>
        </w:rPr>
      </w:pPr>
    </w:p>
    <w:p w:rsidR="00DE6B32" w:rsidRDefault="0046269A" w:rsidP="00AD396E">
      <w:pPr>
        <w:pStyle w:val="Prrafodelista"/>
        <w:numPr>
          <w:ilvl w:val="0"/>
          <w:numId w:val="9"/>
        </w:numPr>
        <w:spacing w:line="360" w:lineRule="auto"/>
        <w:ind w:left="227"/>
        <w:rPr>
          <w:rFonts w:ascii="Arial" w:eastAsiaTheme="minorHAnsi" w:hAnsi="Arial" w:cs="Arial"/>
        </w:rPr>
      </w:pPr>
      <w:r>
        <w:rPr>
          <w:rFonts w:ascii="Arial" w:eastAsiaTheme="minorHAnsi" w:hAnsi="Arial" w:cs="Arial"/>
        </w:rPr>
        <w:t>Apenas un 46,4%</w:t>
      </w:r>
      <w:r w:rsidR="00DE6B32">
        <w:rPr>
          <w:rFonts w:ascii="Arial" w:eastAsiaTheme="minorHAnsi" w:hAnsi="Arial" w:cs="Arial"/>
        </w:rPr>
        <w:t xml:space="preserve"> </w:t>
      </w:r>
      <w:r>
        <w:rPr>
          <w:rFonts w:ascii="Arial" w:eastAsiaTheme="minorHAnsi" w:hAnsi="Arial" w:cs="Arial"/>
        </w:rPr>
        <w:t xml:space="preserve">de las empresas de las FCES </w:t>
      </w:r>
      <w:r w:rsidR="00DE6B32">
        <w:rPr>
          <w:rFonts w:ascii="Arial" w:eastAsiaTheme="minorHAnsi" w:hAnsi="Arial" w:cs="Arial"/>
        </w:rPr>
        <w:t xml:space="preserve">realizan actividades vinculadas al medio ambiente, </w:t>
      </w:r>
      <w:r>
        <w:rPr>
          <w:rFonts w:ascii="Arial" w:eastAsiaTheme="minorHAnsi" w:hAnsi="Arial" w:cs="Arial"/>
        </w:rPr>
        <w:t>por debajo del 54% de 2012</w:t>
      </w:r>
      <w:r w:rsidR="00DE6B32">
        <w:rPr>
          <w:rFonts w:ascii="Arial" w:eastAsiaTheme="minorHAnsi" w:hAnsi="Arial" w:cs="Arial"/>
        </w:rPr>
        <w:t>.</w:t>
      </w:r>
      <w:r w:rsidR="00AC4219">
        <w:rPr>
          <w:rFonts w:ascii="Arial" w:eastAsiaTheme="minorHAnsi" w:hAnsi="Arial" w:cs="Arial"/>
        </w:rPr>
        <w:t xml:space="preserve"> </w:t>
      </w:r>
      <w:r>
        <w:rPr>
          <w:rFonts w:ascii="Arial" w:eastAsiaTheme="minorHAnsi" w:hAnsi="Arial" w:cs="Arial"/>
        </w:rPr>
        <w:t xml:space="preserve">Esta realidad vuelve a verse </w:t>
      </w:r>
      <w:r w:rsidR="006A4809">
        <w:rPr>
          <w:rFonts w:ascii="Arial" w:eastAsiaTheme="minorHAnsi" w:hAnsi="Arial" w:cs="Arial"/>
        </w:rPr>
        <w:t>influenciada por</w:t>
      </w:r>
      <w:r w:rsidR="00AC4219">
        <w:rPr>
          <w:rFonts w:ascii="Arial" w:eastAsiaTheme="minorHAnsi" w:hAnsi="Arial" w:cs="Arial"/>
        </w:rPr>
        <w:t xml:space="preserve"> la menor propensión </w:t>
      </w:r>
      <w:r>
        <w:rPr>
          <w:rFonts w:ascii="Arial" w:eastAsiaTheme="minorHAnsi" w:hAnsi="Arial" w:cs="Arial"/>
        </w:rPr>
        <w:t xml:space="preserve">a realizar estas actuaciones </w:t>
      </w:r>
      <w:r w:rsidR="00AC4219">
        <w:rPr>
          <w:rFonts w:ascii="Arial" w:eastAsiaTheme="minorHAnsi" w:hAnsi="Arial" w:cs="Arial"/>
        </w:rPr>
        <w:t>entre las empresas más pequeñas (36,6%</w:t>
      </w:r>
      <w:r>
        <w:rPr>
          <w:rFonts w:ascii="Arial" w:eastAsiaTheme="minorHAnsi" w:hAnsi="Arial" w:cs="Arial"/>
        </w:rPr>
        <w:t xml:space="preserve"> en las de menos de 6 empleos y 51,7% en las de 6 a 15</w:t>
      </w:r>
      <w:r w:rsidR="00AC4219">
        <w:rPr>
          <w:rFonts w:ascii="Arial" w:eastAsiaTheme="minorHAnsi" w:hAnsi="Arial" w:cs="Arial"/>
        </w:rPr>
        <w:t>)</w:t>
      </w:r>
      <w:r>
        <w:rPr>
          <w:rFonts w:ascii="Arial" w:eastAsiaTheme="minorHAnsi" w:hAnsi="Arial" w:cs="Arial"/>
        </w:rPr>
        <w:t>. La proporción se sitúa entre el 70 y 80% entre las de 16 a 100 empleo, con un 83,3% en las de 201 a 500 empleos. La proporción es igual o superior al 95% en las empresas de 101 a 200 trabajadores/as o con más de 200 empleos.</w:t>
      </w:r>
    </w:p>
    <w:p w:rsidR="002D0967" w:rsidRDefault="002D0967" w:rsidP="00AD396E">
      <w:pPr>
        <w:pStyle w:val="Prrafodelista"/>
        <w:spacing w:line="360" w:lineRule="auto"/>
        <w:ind w:left="227"/>
        <w:rPr>
          <w:rFonts w:ascii="Arial" w:eastAsiaTheme="minorHAnsi" w:hAnsi="Arial" w:cs="Arial"/>
        </w:rPr>
      </w:pPr>
    </w:p>
    <w:p w:rsidR="0046269A" w:rsidRDefault="0046269A" w:rsidP="00AD396E">
      <w:pPr>
        <w:pStyle w:val="Prrafodelista"/>
        <w:numPr>
          <w:ilvl w:val="0"/>
          <w:numId w:val="9"/>
        </w:numPr>
        <w:spacing w:line="360" w:lineRule="auto"/>
        <w:ind w:left="227"/>
        <w:rPr>
          <w:rFonts w:ascii="Arial" w:eastAsiaTheme="minorHAnsi" w:hAnsi="Arial" w:cs="Arial"/>
        </w:rPr>
      </w:pPr>
      <w:r>
        <w:rPr>
          <w:rFonts w:ascii="Arial" w:eastAsiaTheme="minorHAnsi" w:hAnsi="Arial" w:cs="Arial"/>
        </w:rPr>
        <w:t>También desciende la</w:t>
      </w:r>
      <w:r w:rsidR="00DE6B32">
        <w:rPr>
          <w:rFonts w:ascii="Arial" w:eastAsiaTheme="minorHAnsi" w:hAnsi="Arial" w:cs="Arial"/>
        </w:rPr>
        <w:t xml:space="preserve"> proporción de empresas que </w:t>
      </w:r>
      <w:r>
        <w:rPr>
          <w:rFonts w:ascii="Arial" w:eastAsiaTheme="minorHAnsi" w:hAnsi="Arial" w:cs="Arial"/>
        </w:rPr>
        <w:t xml:space="preserve">realizan </w:t>
      </w:r>
      <w:r w:rsidR="00DE6B32">
        <w:rPr>
          <w:rFonts w:ascii="Arial" w:eastAsiaTheme="minorHAnsi" w:hAnsi="Arial" w:cs="Arial"/>
        </w:rPr>
        <w:t xml:space="preserve">acciones </w:t>
      </w:r>
      <w:r w:rsidR="00AA5350">
        <w:rPr>
          <w:rFonts w:ascii="Arial" w:eastAsiaTheme="minorHAnsi" w:hAnsi="Arial" w:cs="Arial"/>
        </w:rPr>
        <w:t xml:space="preserve">internas </w:t>
      </w:r>
      <w:r w:rsidR="00DE6B32">
        <w:rPr>
          <w:rFonts w:ascii="Arial" w:eastAsiaTheme="minorHAnsi" w:hAnsi="Arial" w:cs="Arial"/>
        </w:rPr>
        <w:t xml:space="preserve">de formación cooperativa, </w:t>
      </w:r>
      <w:r>
        <w:rPr>
          <w:rFonts w:ascii="Arial" w:eastAsiaTheme="minorHAnsi" w:hAnsi="Arial" w:cs="Arial"/>
        </w:rPr>
        <w:t xml:space="preserve">pasando de 30% en 2012 a un </w:t>
      </w:r>
      <w:r w:rsidR="00DE6B32">
        <w:rPr>
          <w:rFonts w:ascii="Arial" w:eastAsiaTheme="minorHAnsi" w:hAnsi="Arial" w:cs="Arial"/>
        </w:rPr>
        <w:t xml:space="preserve">23,9% </w:t>
      </w:r>
      <w:r>
        <w:rPr>
          <w:rFonts w:ascii="Arial" w:eastAsiaTheme="minorHAnsi" w:hAnsi="Arial" w:cs="Arial"/>
        </w:rPr>
        <w:t>en 2014. Las empresas comprometidas en estas actuaciones es inferior al 25% en los centros hasta 15 empleos y del 46,7% en los de 16 a 50  empleos. Las cifras se sitúan en torno al 70% en empresas de 51 a 200 empleos, en el 83,2% en las de más de 200 y en un máximo del 90,9% en las de 201 a 500 empleos.</w:t>
      </w:r>
    </w:p>
    <w:p w:rsidR="0046269A" w:rsidRPr="0046269A" w:rsidRDefault="0046269A" w:rsidP="0046269A">
      <w:pPr>
        <w:pStyle w:val="Prrafodelista"/>
        <w:rPr>
          <w:rFonts w:ascii="Arial" w:eastAsiaTheme="minorHAnsi" w:hAnsi="Arial" w:cs="Arial"/>
        </w:rPr>
      </w:pPr>
    </w:p>
    <w:p w:rsidR="00B94FDC" w:rsidRDefault="001C794E" w:rsidP="002022D7">
      <w:pPr>
        <w:rPr>
          <w:rFonts w:cs="Arial"/>
          <w:b/>
        </w:rPr>
      </w:pPr>
      <w:r w:rsidRPr="001C794E">
        <w:rPr>
          <w:rFonts w:cs="Arial"/>
          <w:b/>
        </w:rPr>
        <w:lastRenderedPageBreak/>
        <w:t>La</w:t>
      </w:r>
      <w:r w:rsidR="00010F74">
        <w:rPr>
          <w:rFonts w:cs="Arial"/>
          <w:b/>
        </w:rPr>
        <w:t xml:space="preserve"> proporción de empresas que establecen</w:t>
      </w:r>
      <w:r w:rsidRPr="001C794E">
        <w:rPr>
          <w:rFonts w:cs="Arial"/>
          <w:b/>
        </w:rPr>
        <w:t xml:space="preserve"> relaciones de cooperación </w:t>
      </w:r>
      <w:proofErr w:type="spellStart"/>
      <w:r w:rsidRPr="001C794E">
        <w:rPr>
          <w:rFonts w:cs="Arial"/>
          <w:b/>
        </w:rPr>
        <w:t>interempresarial</w:t>
      </w:r>
      <w:proofErr w:type="spellEnd"/>
      <w:r w:rsidR="00010F74">
        <w:rPr>
          <w:rFonts w:cs="Arial"/>
          <w:b/>
        </w:rPr>
        <w:t xml:space="preserve"> </w:t>
      </w:r>
      <w:r w:rsidR="002D54DC">
        <w:rPr>
          <w:rFonts w:cs="Arial"/>
          <w:b/>
        </w:rPr>
        <w:t xml:space="preserve">también </w:t>
      </w:r>
      <w:r w:rsidR="00010F74">
        <w:rPr>
          <w:rFonts w:cs="Arial"/>
          <w:b/>
        </w:rPr>
        <w:t>decrece</w:t>
      </w:r>
      <w:r w:rsidR="007137E6">
        <w:rPr>
          <w:rFonts w:cs="Arial"/>
          <w:b/>
        </w:rPr>
        <w:t xml:space="preserve"> en relación a 2012</w:t>
      </w:r>
      <w:r w:rsidR="00A403B9">
        <w:rPr>
          <w:rFonts w:cs="Arial"/>
          <w:b/>
        </w:rPr>
        <w:t>.</w:t>
      </w:r>
    </w:p>
    <w:p w:rsidR="00B94FDC" w:rsidRDefault="00B94FDC" w:rsidP="002022D7">
      <w:pPr>
        <w:rPr>
          <w:rFonts w:cs="Arial"/>
          <w:b/>
        </w:rPr>
      </w:pPr>
    </w:p>
    <w:p w:rsidR="002D54DC" w:rsidRDefault="002D54DC" w:rsidP="002022D7">
      <w:pPr>
        <w:rPr>
          <w:rFonts w:cs="Arial"/>
        </w:rPr>
      </w:pPr>
      <w:r>
        <w:rPr>
          <w:rFonts w:cs="Arial"/>
        </w:rPr>
        <w:t xml:space="preserve">Entre 2012 y 2014, también resulta negativa la evolución del acceso empresarial de las FCES a formas de relación de cooperación </w:t>
      </w:r>
      <w:proofErr w:type="spellStart"/>
      <w:r>
        <w:rPr>
          <w:rFonts w:cs="Arial"/>
        </w:rPr>
        <w:t>interempresarial</w:t>
      </w:r>
      <w:proofErr w:type="spellEnd"/>
      <w:r>
        <w:rPr>
          <w:rFonts w:cs="Arial"/>
        </w:rPr>
        <w:t xml:space="preserve">. De esta forma, la proporción de </w:t>
      </w:r>
      <w:r w:rsidRPr="00010F74">
        <w:rPr>
          <w:rFonts w:cs="Arial"/>
        </w:rPr>
        <w:t xml:space="preserve">empresas </w:t>
      </w:r>
      <w:r>
        <w:rPr>
          <w:rFonts w:cs="Arial"/>
        </w:rPr>
        <w:t xml:space="preserve">que mantienen </w:t>
      </w:r>
      <w:r w:rsidRPr="00010F74">
        <w:rPr>
          <w:rFonts w:cs="Arial"/>
        </w:rPr>
        <w:t>relaciones de cooperación</w:t>
      </w:r>
      <w:r>
        <w:rPr>
          <w:rFonts w:cs="Arial"/>
        </w:rPr>
        <w:t xml:space="preserve"> con otras se reduce del 30,5% de </w:t>
      </w:r>
      <w:r w:rsidRPr="00C03EF7">
        <w:rPr>
          <w:rFonts w:cs="Arial"/>
        </w:rPr>
        <w:t>2012 al</w:t>
      </w:r>
      <w:r w:rsidR="009A7BE5" w:rsidRPr="00C03EF7">
        <w:rPr>
          <w:rFonts w:cs="Arial"/>
        </w:rPr>
        <w:t xml:space="preserve"> 2</w:t>
      </w:r>
      <w:r w:rsidRPr="00C03EF7">
        <w:rPr>
          <w:rFonts w:cs="Arial"/>
        </w:rPr>
        <w:t>6,1% de</w:t>
      </w:r>
      <w:r>
        <w:rPr>
          <w:rFonts w:cs="Arial"/>
        </w:rPr>
        <w:t xml:space="preserve"> 2014, una cifra que también resulta inferior al 29,4% de 2010.</w:t>
      </w:r>
    </w:p>
    <w:p w:rsidR="002D54DC" w:rsidRDefault="002D54DC" w:rsidP="002022D7">
      <w:pPr>
        <w:rPr>
          <w:rFonts w:cs="Arial"/>
        </w:rPr>
      </w:pPr>
    </w:p>
    <w:p w:rsidR="00010F74" w:rsidRPr="00010F74" w:rsidRDefault="0066413B" w:rsidP="002022D7">
      <w:pPr>
        <w:rPr>
          <w:rFonts w:cs="Arial"/>
        </w:rPr>
      </w:pPr>
      <w:r>
        <w:rPr>
          <w:rFonts w:cs="Arial"/>
        </w:rPr>
        <w:t xml:space="preserve">Por forma jurídica, </w:t>
      </w:r>
      <w:r w:rsidR="002D54DC">
        <w:rPr>
          <w:rFonts w:cs="Arial"/>
        </w:rPr>
        <w:t xml:space="preserve">el acceso a esta modalidad de cooperación </w:t>
      </w:r>
      <w:proofErr w:type="spellStart"/>
      <w:r w:rsidR="002D54DC">
        <w:rPr>
          <w:rFonts w:cs="Arial"/>
        </w:rPr>
        <w:t>interempresarial</w:t>
      </w:r>
      <w:proofErr w:type="spellEnd"/>
      <w:r w:rsidR="002D54DC">
        <w:rPr>
          <w:rFonts w:cs="Arial"/>
        </w:rPr>
        <w:t xml:space="preserve"> sigue teniendo mayor impacto en las sociedades cooperativas: 32,6% frente a cifras ligeramente inferiores al 15% en los distintos tipos de sociedades laborales. Sin embargo, la proporción de acceso a la</w:t>
      </w:r>
      <w:r w:rsidR="00B113F8">
        <w:rPr>
          <w:rFonts w:cs="Arial"/>
        </w:rPr>
        <w:t xml:space="preserve"> cooperación </w:t>
      </w:r>
      <w:proofErr w:type="spellStart"/>
      <w:r w:rsidR="00B113F8" w:rsidRPr="003D0BAE">
        <w:rPr>
          <w:rFonts w:cs="Arial"/>
        </w:rPr>
        <w:t>interempresarial</w:t>
      </w:r>
      <w:proofErr w:type="spellEnd"/>
      <w:r w:rsidR="00B113F8" w:rsidRPr="003D0BAE">
        <w:rPr>
          <w:rFonts w:cs="Arial"/>
        </w:rPr>
        <w:t xml:space="preserve"> </w:t>
      </w:r>
      <w:r w:rsidR="002B2AD3" w:rsidRPr="003D0BAE">
        <w:rPr>
          <w:rFonts w:cs="Arial"/>
        </w:rPr>
        <w:t xml:space="preserve">en el sector cooperativo es </w:t>
      </w:r>
      <w:r w:rsidR="002D54DC" w:rsidRPr="003D0BAE">
        <w:rPr>
          <w:rFonts w:cs="Arial"/>
        </w:rPr>
        <w:t>la que más se ve</w:t>
      </w:r>
      <w:r w:rsidR="002D54DC">
        <w:rPr>
          <w:rFonts w:cs="Arial"/>
        </w:rPr>
        <w:t xml:space="preserve"> afectada por la tendencia a la reducción, con cifras de empresas implicadas en este tipo de actuaciones que se situaban en 2010 y 2012 en torno al 39%.</w:t>
      </w:r>
    </w:p>
    <w:p w:rsidR="00010F74" w:rsidRDefault="00010F74" w:rsidP="002022D7">
      <w:pPr>
        <w:rPr>
          <w:rFonts w:cs="Arial"/>
          <w:b/>
        </w:rPr>
      </w:pPr>
    </w:p>
    <w:p w:rsidR="00010F74" w:rsidRDefault="00010F74" w:rsidP="00010F74">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RELACIONES DE COOPERACIÓN DE LAS EMPRESAS DE LA ECONOMÍA SOCIAL SEGÚN FORMA JURÍDICA. 201</w:t>
      </w:r>
      <w:r>
        <w:rPr>
          <w:rFonts w:cs="Arial"/>
          <w:b/>
          <w:snapToGrid w:val="0"/>
          <w:color w:val="1F497D" w:themeColor="text2"/>
          <w:sz w:val="18"/>
          <w:szCs w:val="18"/>
          <w:lang w:val="es-ES_tradnl"/>
        </w:rPr>
        <w:t>4</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527"/>
        <w:gridCol w:w="1370"/>
        <w:gridCol w:w="1369"/>
        <w:gridCol w:w="1369"/>
        <w:gridCol w:w="1369"/>
      </w:tblGrid>
      <w:tr w:rsidR="00010F74" w:rsidRPr="00F4159C" w:rsidTr="002D54DC">
        <w:trPr>
          <w:jc w:val="center"/>
        </w:trPr>
        <w:tc>
          <w:tcPr>
            <w:tcW w:w="19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010F74" w:rsidRPr="00F4159C" w:rsidRDefault="00010F74" w:rsidP="00540C90">
            <w:pPr>
              <w:spacing w:line="240" w:lineRule="exact"/>
              <w:rPr>
                <w:rFonts w:cs="Arial"/>
                <w:b/>
                <w:bCs/>
                <w:sz w:val="16"/>
                <w:szCs w:val="16"/>
              </w:rPr>
            </w:pPr>
          </w:p>
        </w:tc>
        <w:tc>
          <w:tcPr>
            <w:tcW w:w="76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010F74" w:rsidRDefault="009F1045" w:rsidP="00540C90">
            <w:pPr>
              <w:spacing w:line="240" w:lineRule="exact"/>
              <w:jc w:val="center"/>
              <w:rPr>
                <w:rFonts w:cs="Arial"/>
                <w:b/>
                <w:bCs/>
                <w:sz w:val="16"/>
                <w:szCs w:val="16"/>
                <w:lang w:val="en-GB"/>
              </w:rPr>
            </w:pPr>
            <w:r>
              <w:rPr>
                <w:rFonts w:cs="Arial"/>
                <w:b/>
                <w:bCs/>
                <w:sz w:val="16"/>
                <w:szCs w:val="16"/>
                <w:lang w:val="en-GB"/>
              </w:rPr>
              <w:t>TOTAL</w:t>
            </w:r>
          </w:p>
          <w:p w:rsidR="00010F74" w:rsidRPr="00F4159C" w:rsidRDefault="00010F74" w:rsidP="00540C90">
            <w:pPr>
              <w:spacing w:line="240" w:lineRule="exact"/>
              <w:jc w:val="center"/>
              <w:rPr>
                <w:rFonts w:cs="Arial"/>
                <w:b/>
                <w:bCs/>
                <w:sz w:val="16"/>
                <w:szCs w:val="16"/>
                <w:lang w:val="en-GB"/>
              </w:rPr>
            </w:pPr>
            <w:r>
              <w:rPr>
                <w:rFonts w:cs="Arial"/>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010F74" w:rsidRDefault="00010F74" w:rsidP="00540C90">
            <w:pPr>
              <w:spacing w:line="240" w:lineRule="exact"/>
              <w:jc w:val="center"/>
              <w:rPr>
                <w:rFonts w:cs="Arial"/>
                <w:b/>
                <w:bCs/>
                <w:sz w:val="16"/>
                <w:szCs w:val="16"/>
                <w:lang w:val="en-GB"/>
              </w:rPr>
            </w:pPr>
            <w:r w:rsidRPr="00F4159C">
              <w:rPr>
                <w:rFonts w:cs="Arial"/>
                <w:b/>
                <w:bCs/>
                <w:sz w:val="16"/>
                <w:szCs w:val="16"/>
                <w:lang w:val="en-GB"/>
              </w:rPr>
              <w:t>S. Coop.</w:t>
            </w:r>
          </w:p>
          <w:p w:rsidR="00010F74" w:rsidRPr="00F4159C" w:rsidRDefault="00010F74" w:rsidP="00540C90">
            <w:pPr>
              <w:spacing w:line="240" w:lineRule="exact"/>
              <w:jc w:val="center"/>
              <w:rPr>
                <w:rFonts w:cs="Arial"/>
                <w:b/>
                <w:bCs/>
                <w:sz w:val="16"/>
                <w:szCs w:val="16"/>
              </w:rPr>
            </w:pPr>
            <w:r>
              <w:rPr>
                <w:rFonts w:cs="Arial"/>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010F74" w:rsidRDefault="00010F74" w:rsidP="00540C90">
            <w:pPr>
              <w:spacing w:line="240" w:lineRule="exact"/>
              <w:jc w:val="center"/>
              <w:rPr>
                <w:rFonts w:cs="Arial"/>
                <w:b/>
                <w:bCs/>
                <w:sz w:val="16"/>
                <w:szCs w:val="16"/>
                <w:lang w:val="en-GB"/>
              </w:rPr>
            </w:pPr>
            <w:r w:rsidRPr="00F4159C">
              <w:rPr>
                <w:rFonts w:cs="Arial"/>
                <w:b/>
                <w:bCs/>
                <w:sz w:val="16"/>
                <w:szCs w:val="16"/>
                <w:lang w:val="en-GB"/>
              </w:rPr>
              <w:t>S.A.L.es</w:t>
            </w:r>
          </w:p>
          <w:p w:rsidR="00010F74" w:rsidRPr="00F4159C" w:rsidRDefault="00010F74" w:rsidP="00540C90">
            <w:pPr>
              <w:spacing w:line="240" w:lineRule="exact"/>
              <w:jc w:val="center"/>
              <w:rPr>
                <w:rFonts w:cs="Arial"/>
                <w:b/>
                <w:bCs/>
                <w:sz w:val="16"/>
                <w:szCs w:val="16"/>
              </w:rPr>
            </w:pPr>
            <w:r>
              <w:rPr>
                <w:rFonts w:cs="Arial"/>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010F74" w:rsidRDefault="00010F74" w:rsidP="00540C90">
            <w:pPr>
              <w:spacing w:line="240" w:lineRule="exact"/>
              <w:jc w:val="center"/>
              <w:rPr>
                <w:rFonts w:cs="Arial"/>
                <w:b/>
                <w:bCs/>
                <w:sz w:val="16"/>
                <w:szCs w:val="16"/>
                <w:lang w:val="en-GB"/>
              </w:rPr>
            </w:pPr>
            <w:r w:rsidRPr="00F4159C">
              <w:rPr>
                <w:rFonts w:cs="Arial"/>
                <w:b/>
                <w:bCs/>
                <w:sz w:val="16"/>
                <w:szCs w:val="16"/>
                <w:lang w:val="en-GB"/>
              </w:rPr>
              <w:t>S.L.L.es</w:t>
            </w:r>
          </w:p>
          <w:p w:rsidR="00010F74" w:rsidRPr="00F4159C" w:rsidRDefault="00010F74" w:rsidP="00540C90">
            <w:pPr>
              <w:spacing w:line="240" w:lineRule="exact"/>
              <w:jc w:val="center"/>
              <w:rPr>
                <w:rFonts w:cs="Arial"/>
                <w:b/>
                <w:bCs/>
                <w:sz w:val="16"/>
                <w:szCs w:val="16"/>
              </w:rPr>
            </w:pPr>
            <w:r>
              <w:rPr>
                <w:rFonts w:cs="Arial"/>
                <w:b/>
                <w:bCs/>
                <w:sz w:val="16"/>
                <w:szCs w:val="16"/>
                <w:lang w:val="en-GB"/>
              </w:rPr>
              <w:t>%</w:t>
            </w:r>
          </w:p>
        </w:tc>
      </w:tr>
      <w:tr w:rsidR="00010F74" w:rsidRPr="00A32CFB" w:rsidTr="002D54DC">
        <w:trPr>
          <w:trHeight w:val="280"/>
          <w:jc w:val="center"/>
        </w:trPr>
        <w:tc>
          <w:tcPr>
            <w:tcW w:w="1959" w:type="pct"/>
            <w:tcBorders>
              <w:right w:val="single" w:sz="4" w:space="0" w:color="BFBFBF" w:themeColor="background1" w:themeShade="BF"/>
            </w:tcBorders>
            <w:noWrap/>
            <w:vAlign w:val="bottom"/>
          </w:tcPr>
          <w:p w:rsidR="00010F74" w:rsidRDefault="00010F74" w:rsidP="00540C90">
            <w:pPr>
              <w:spacing w:line="240" w:lineRule="exact"/>
              <w:jc w:val="center"/>
              <w:rPr>
                <w:rFonts w:cs="Arial"/>
                <w:sz w:val="16"/>
                <w:szCs w:val="16"/>
              </w:rPr>
            </w:pPr>
            <w:r>
              <w:rPr>
                <w:rFonts w:cs="Arial"/>
                <w:sz w:val="16"/>
                <w:szCs w:val="16"/>
              </w:rPr>
              <w:t>Establecen relaciones de cooperación</w:t>
            </w:r>
          </w:p>
        </w:tc>
        <w:tc>
          <w:tcPr>
            <w:tcW w:w="761" w:type="pct"/>
            <w:tcBorders>
              <w:right w:val="single" w:sz="4" w:space="0" w:color="BFBFBF" w:themeColor="background1" w:themeShade="BF"/>
            </w:tcBorders>
            <w:vAlign w:val="center"/>
          </w:tcPr>
          <w:p w:rsidR="00010F74" w:rsidRPr="00A32CFB" w:rsidRDefault="00010F74" w:rsidP="0065300F">
            <w:pPr>
              <w:spacing w:line="240" w:lineRule="exact"/>
              <w:ind w:right="170"/>
              <w:jc w:val="right"/>
              <w:rPr>
                <w:rFonts w:cs="Arial"/>
                <w:sz w:val="16"/>
                <w:szCs w:val="16"/>
              </w:rPr>
            </w:pPr>
            <w:r w:rsidRPr="00A32CFB">
              <w:rPr>
                <w:rFonts w:cs="Arial"/>
                <w:sz w:val="16"/>
                <w:szCs w:val="16"/>
              </w:rPr>
              <w:t>26,1</w:t>
            </w:r>
          </w:p>
        </w:tc>
        <w:tc>
          <w:tcPr>
            <w:tcW w:w="760" w:type="pct"/>
            <w:tcBorders>
              <w:left w:val="single" w:sz="4" w:space="0" w:color="BFBFBF" w:themeColor="background1" w:themeShade="BF"/>
              <w:right w:val="single" w:sz="4" w:space="0" w:color="BFBFBF" w:themeColor="background1" w:themeShade="BF"/>
            </w:tcBorders>
            <w:vAlign w:val="center"/>
          </w:tcPr>
          <w:p w:rsidR="00010F74" w:rsidRPr="00A32CFB" w:rsidRDefault="00010F74" w:rsidP="0065300F">
            <w:pPr>
              <w:spacing w:line="240" w:lineRule="exact"/>
              <w:ind w:right="170"/>
              <w:jc w:val="right"/>
              <w:rPr>
                <w:rFonts w:cs="Arial"/>
                <w:sz w:val="16"/>
                <w:szCs w:val="16"/>
              </w:rPr>
            </w:pPr>
            <w:r w:rsidRPr="00A32CFB">
              <w:rPr>
                <w:rFonts w:cs="Arial"/>
                <w:sz w:val="16"/>
                <w:szCs w:val="16"/>
              </w:rPr>
              <w:t>32,6</w:t>
            </w:r>
          </w:p>
        </w:tc>
        <w:tc>
          <w:tcPr>
            <w:tcW w:w="760" w:type="pct"/>
            <w:tcBorders>
              <w:left w:val="single" w:sz="4" w:space="0" w:color="BFBFBF" w:themeColor="background1" w:themeShade="BF"/>
              <w:right w:val="single" w:sz="4" w:space="0" w:color="BFBFBF" w:themeColor="background1" w:themeShade="BF"/>
            </w:tcBorders>
            <w:vAlign w:val="center"/>
          </w:tcPr>
          <w:p w:rsidR="00010F74" w:rsidRPr="00A32CFB" w:rsidRDefault="00010F74" w:rsidP="0065300F">
            <w:pPr>
              <w:spacing w:line="240" w:lineRule="exact"/>
              <w:ind w:right="170"/>
              <w:jc w:val="right"/>
              <w:rPr>
                <w:rFonts w:cs="Arial"/>
                <w:sz w:val="16"/>
                <w:szCs w:val="16"/>
              </w:rPr>
            </w:pPr>
            <w:r w:rsidRPr="00A32CFB">
              <w:rPr>
                <w:rFonts w:cs="Arial"/>
                <w:sz w:val="16"/>
                <w:szCs w:val="16"/>
              </w:rPr>
              <w:t>14,6</w:t>
            </w:r>
          </w:p>
        </w:tc>
        <w:tc>
          <w:tcPr>
            <w:tcW w:w="760" w:type="pct"/>
            <w:tcBorders>
              <w:left w:val="single" w:sz="4" w:space="0" w:color="BFBFBF" w:themeColor="background1" w:themeShade="BF"/>
            </w:tcBorders>
            <w:vAlign w:val="center"/>
          </w:tcPr>
          <w:p w:rsidR="00010F74" w:rsidRPr="00A32CFB" w:rsidRDefault="00010F74" w:rsidP="0065300F">
            <w:pPr>
              <w:spacing w:line="240" w:lineRule="exact"/>
              <w:ind w:right="170"/>
              <w:jc w:val="right"/>
              <w:rPr>
                <w:rFonts w:cs="Arial"/>
                <w:sz w:val="16"/>
                <w:szCs w:val="16"/>
              </w:rPr>
            </w:pPr>
            <w:r w:rsidRPr="00A32CFB">
              <w:rPr>
                <w:rFonts w:cs="Arial"/>
                <w:sz w:val="16"/>
                <w:szCs w:val="16"/>
              </w:rPr>
              <w:t>14,8</w:t>
            </w:r>
          </w:p>
        </w:tc>
      </w:tr>
    </w:tbl>
    <w:p w:rsidR="00010F74" w:rsidRDefault="00010F74" w:rsidP="00010F74">
      <w:pPr>
        <w:rPr>
          <w:rFonts w:cs="Arial"/>
        </w:rPr>
      </w:pPr>
    </w:p>
    <w:p w:rsidR="00D92506" w:rsidRDefault="00D92506" w:rsidP="00D92506">
      <w:pPr>
        <w:rPr>
          <w:rFonts w:cs="Arial"/>
        </w:rPr>
      </w:pPr>
      <w:r>
        <w:rPr>
          <w:rFonts w:cs="Arial"/>
        </w:rPr>
        <w:t xml:space="preserve">En la misma línea, se consolida en general la línea negativa ya observada entre 2010 y 2012 en algunas </w:t>
      </w:r>
      <w:r w:rsidRPr="002D54DC">
        <w:rPr>
          <w:rFonts w:cs="Arial"/>
        </w:rPr>
        <w:t xml:space="preserve">fórmulas de </w:t>
      </w:r>
      <w:proofErr w:type="gramStart"/>
      <w:r w:rsidRPr="002D54DC">
        <w:rPr>
          <w:rFonts w:cs="Arial"/>
        </w:rPr>
        <w:t xml:space="preserve">colaboración estrechas y </w:t>
      </w:r>
      <w:r>
        <w:rPr>
          <w:rFonts w:cs="Arial"/>
        </w:rPr>
        <w:t>desarrolladas</w:t>
      </w:r>
      <w:proofErr w:type="gramEnd"/>
      <w:r>
        <w:rPr>
          <w:rFonts w:cs="Arial"/>
        </w:rPr>
        <w:t xml:space="preserve">. Así, aunque repunta de 1,8 a 2,7% entre 2012 y 2014 la participación en </w:t>
      </w:r>
      <w:proofErr w:type="spellStart"/>
      <w:r>
        <w:rPr>
          <w:rFonts w:cs="Arial"/>
        </w:rPr>
        <w:t>Joint</w:t>
      </w:r>
      <w:proofErr w:type="spellEnd"/>
      <w:r>
        <w:rPr>
          <w:rFonts w:cs="Arial"/>
        </w:rPr>
        <w:t xml:space="preserve"> </w:t>
      </w:r>
      <w:proofErr w:type="spellStart"/>
      <w:r>
        <w:rPr>
          <w:rFonts w:cs="Arial"/>
        </w:rPr>
        <w:t>Ventures</w:t>
      </w:r>
      <w:proofErr w:type="spellEnd"/>
      <w:r>
        <w:rPr>
          <w:rFonts w:cs="Arial"/>
        </w:rPr>
        <w:t>, la proporción de empresas implicadas sigue siendo muy inferior al 5,2% de 2010. El porcentaje</w:t>
      </w:r>
      <w:r w:rsidR="002A32BC">
        <w:rPr>
          <w:rFonts w:cs="Arial"/>
        </w:rPr>
        <w:t xml:space="preserve"> de cooperativas de segundo gra</w:t>
      </w:r>
      <w:r>
        <w:rPr>
          <w:rFonts w:cs="Arial"/>
        </w:rPr>
        <w:t>do prosigue su línea descendente, pasando de un 19,3% de empresas implicadas en 2010 a 15,9% en 2012 y 14,9% en 2014.</w:t>
      </w:r>
    </w:p>
    <w:p w:rsidR="00D92506" w:rsidRDefault="00D92506" w:rsidP="00D92506">
      <w:pPr>
        <w:rPr>
          <w:rFonts w:cs="Arial"/>
        </w:rPr>
      </w:pPr>
    </w:p>
    <w:p w:rsidR="00181E5E" w:rsidRPr="002D54DC" w:rsidRDefault="00181E5E" w:rsidP="00181E5E">
      <w:pPr>
        <w:rPr>
          <w:rFonts w:cs="Arial"/>
        </w:rPr>
      </w:pPr>
      <w:r>
        <w:rPr>
          <w:rFonts w:cs="Arial"/>
        </w:rPr>
        <w:t xml:space="preserve">Sin embargo, hay también dinámicas positivas en el bienio 2012-2014 como el aumento de la proporción de empresas implicadas en alianzas estratégicas (39,2% en 2012 pero 46,3% en 2014). También aumenta en el periodo considerado el intercambio accionarial (de 6,6 a 9,1%) y la proporción de empresas con </w:t>
      </w:r>
      <w:r w:rsidRPr="002D54DC">
        <w:rPr>
          <w:rFonts w:cs="Arial"/>
        </w:rPr>
        <w:t>colaboraciones puntuales</w:t>
      </w:r>
      <w:r>
        <w:rPr>
          <w:rFonts w:cs="Arial"/>
        </w:rPr>
        <w:t xml:space="preserve"> con terceras</w:t>
      </w:r>
      <w:r w:rsidRPr="002D54DC">
        <w:rPr>
          <w:rFonts w:cs="Arial"/>
        </w:rPr>
        <w:t xml:space="preserve"> </w:t>
      </w:r>
      <w:r w:rsidR="0066290A">
        <w:rPr>
          <w:rFonts w:cs="Arial"/>
        </w:rPr>
        <w:t>(de 61,5 a 65,4%).</w:t>
      </w:r>
    </w:p>
    <w:p w:rsidR="00181E5E" w:rsidRDefault="00181E5E" w:rsidP="00D92506">
      <w:pPr>
        <w:rPr>
          <w:rFonts w:cs="Arial"/>
        </w:rPr>
      </w:pPr>
    </w:p>
    <w:p w:rsidR="00810A3A" w:rsidRPr="009C4E1F" w:rsidRDefault="00810A3A" w:rsidP="00810A3A">
      <w:pPr>
        <w:spacing w:line="240" w:lineRule="auto"/>
        <w:jc w:val="center"/>
        <w:rPr>
          <w:rFonts w:cs="Arial"/>
          <w:b/>
          <w:snapToGrid w:val="0"/>
          <w:color w:val="1F497D" w:themeColor="text2"/>
          <w:sz w:val="18"/>
          <w:szCs w:val="18"/>
          <w:lang w:val="es-ES_tradnl"/>
        </w:rPr>
      </w:pPr>
      <w:r w:rsidRPr="007348F4">
        <w:rPr>
          <w:rFonts w:cs="Arial"/>
          <w:b/>
          <w:snapToGrid w:val="0"/>
          <w:color w:val="1F497D" w:themeColor="text2"/>
          <w:sz w:val="18"/>
          <w:szCs w:val="18"/>
          <w:lang w:val="es-ES_tradnl"/>
        </w:rPr>
        <w:t>NATURALEZA DE LAS RELACIONES DE COOPERACIÓN DE LAS EMPRESAS DE LA ECONOMÍA SOCIAL. 2014 (porcentaje de empresas sobre el total)</w:t>
      </w:r>
      <w:r w:rsidRPr="009C4E1F">
        <w:rPr>
          <w:rFonts w:cs="Arial"/>
          <w:b/>
          <w:snapToGrid w:val="0"/>
          <w:color w:val="1F497D" w:themeColor="text2"/>
          <w:sz w:val="18"/>
          <w:szCs w:val="18"/>
          <w:lang w:val="es-ES_tradnl"/>
        </w:rPr>
        <w:t xml:space="preserve"> </w:t>
      </w:r>
    </w:p>
    <w:p w:rsidR="00810A3A" w:rsidRDefault="00D92506" w:rsidP="00810A3A">
      <w:pPr>
        <w:rPr>
          <w:snapToGrid w:val="0"/>
          <w:lang w:val="es-ES_tradnl"/>
        </w:rPr>
      </w:pPr>
      <w:r>
        <w:rPr>
          <w:rFonts w:cs="Arial"/>
          <w:b/>
          <w:noProof/>
          <w:color w:val="1F497D" w:themeColor="text2"/>
          <w:sz w:val="18"/>
          <w:szCs w:val="18"/>
          <w:lang w:eastAsia="es-ES"/>
        </w:rPr>
        <w:drawing>
          <wp:anchor distT="0" distB="0" distL="114300" distR="114300" simplePos="0" relativeHeight="251858944" behindDoc="0" locked="0" layoutInCell="1" allowOverlap="1">
            <wp:simplePos x="0" y="0"/>
            <wp:positionH relativeFrom="column">
              <wp:posOffset>-45085</wp:posOffset>
            </wp:positionH>
            <wp:positionV relativeFrom="paragraph">
              <wp:posOffset>92710</wp:posOffset>
            </wp:positionV>
            <wp:extent cx="5486400" cy="1668780"/>
            <wp:effectExtent l="0" t="0" r="0" b="0"/>
            <wp:wrapNone/>
            <wp:docPr id="7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3B7EB5" w:rsidRDefault="003B7EB5" w:rsidP="00810A3A">
      <w:pPr>
        <w:rPr>
          <w:snapToGrid w:val="0"/>
          <w:lang w:val="es-ES_tradnl"/>
        </w:rPr>
      </w:pPr>
    </w:p>
    <w:p w:rsidR="003B7EB5" w:rsidRDefault="003B7EB5" w:rsidP="00810A3A">
      <w:pPr>
        <w:rPr>
          <w:snapToGrid w:val="0"/>
          <w:lang w:val="es-ES_tradnl"/>
        </w:rPr>
      </w:pPr>
    </w:p>
    <w:p w:rsidR="00810A3A" w:rsidRDefault="00810A3A" w:rsidP="00810A3A">
      <w:pPr>
        <w:rPr>
          <w:snapToGrid w:val="0"/>
          <w:lang w:val="es-ES_tradnl"/>
        </w:rPr>
      </w:pPr>
    </w:p>
    <w:p w:rsidR="00810A3A" w:rsidRPr="001C794E" w:rsidRDefault="00810A3A" w:rsidP="002022D7">
      <w:pPr>
        <w:rPr>
          <w:rFonts w:cs="Arial"/>
          <w:b/>
        </w:rPr>
      </w:pPr>
    </w:p>
    <w:p w:rsidR="003B7EB5" w:rsidRDefault="003B7EB5">
      <w:pPr>
        <w:spacing w:after="200" w:line="276" w:lineRule="auto"/>
        <w:jc w:val="left"/>
        <w:rPr>
          <w:rFonts w:cs="Arial"/>
        </w:rPr>
      </w:pPr>
      <w:r>
        <w:rPr>
          <w:rFonts w:cs="Arial"/>
        </w:rPr>
        <w:br w:type="page"/>
      </w:r>
    </w:p>
    <w:p w:rsidR="00822817" w:rsidRPr="00344202" w:rsidRDefault="004B4283" w:rsidP="00344202">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Pr>
          <w:rFonts w:eastAsia="Times New Roman" w:cs="Times New Roman"/>
          <w:b/>
          <w:snapToGrid w:val="0"/>
          <w:sz w:val="28"/>
          <w:szCs w:val="28"/>
          <w:lang w:eastAsia="es-ES"/>
        </w:rPr>
        <w:lastRenderedPageBreak/>
        <w:t>Sin embargo</w:t>
      </w:r>
      <w:r w:rsidR="00B73CA4" w:rsidRPr="00344202">
        <w:rPr>
          <w:rFonts w:eastAsia="Times New Roman" w:cs="Times New Roman"/>
          <w:b/>
          <w:snapToGrid w:val="0"/>
          <w:sz w:val="28"/>
          <w:szCs w:val="28"/>
          <w:lang w:eastAsia="es-ES"/>
        </w:rPr>
        <w:t>,</w:t>
      </w:r>
      <w:r w:rsidR="00822817" w:rsidRPr="00344202">
        <w:rPr>
          <w:rFonts w:eastAsia="Times New Roman" w:cs="Times New Roman"/>
          <w:b/>
          <w:snapToGrid w:val="0"/>
          <w:sz w:val="28"/>
          <w:szCs w:val="28"/>
          <w:lang w:eastAsia="es-ES"/>
        </w:rPr>
        <w:t xml:space="preserve"> la </w:t>
      </w:r>
      <w:r>
        <w:rPr>
          <w:rFonts w:eastAsia="Times New Roman" w:cs="Times New Roman"/>
          <w:b/>
          <w:snapToGrid w:val="0"/>
          <w:sz w:val="28"/>
          <w:szCs w:val="28"/>
          <w:lang w:eastAsia="es-ES"/>
        </w:rPr>
        <w:t xml:space="preserve">apuesta por la </w:t>
      </w:r>
      <w:r w:rsidR="00822817" w:rsidRPr="00344202">
        <w:rPr>
          <w:rFonts w:eastAsia="Times New Roman" w:cs="Times New Roman"/>
          <w:b/>
          <w:snapToGrid w:val="0"/>
          <w:sz w:val="28"/>
          <w:szCs w:val="28"/>
          <w:lang w:eastAsia="es-ES"/>
        </w:rPr>
        <w:t xml:space="preserve">innovación </w:t>
      </w:r>
      <w:r>
        <w:rPr>
          <w:rFonts w:eastAsia="Times New Roman" w:cs="Times New Roman"/>
          <w:b/>
          <w:snapToGrid w:val="0"/>
          <w:sz w:val="28"/>
          <w:szCs w:val="28"/>
          <w:lang w:eastAsia="es-ES"/>
        </w:rPr>
        <w:t xml:space="preserve">es </w:t>
      </w:r>
      <w:r w:rsidR="00822817" w:rsidRPr="00344202">
        <w:rPr>
          <w:rFonts w:eastAsia="Times New Roman" w:cs="Times New Roman"/>
          <w:b/>
          <w:snapToGrid w:val="0"/>
          <w:sz w:val="28"/>
          <w:szCs w:val="28"/>
          <w:lang w:eastAsia="es-ES"/>
        </w:rPr>
        <w:t xml:space="preserve">un rasgo y </w:t>
      </w:r>
      <w:r w:rsidR="001B5CC1" w:rsidRPr="00344202">
        <w:rPr>
          <w:rFonts w:eastAsia="Times New Roman" w:cs="Times New Roman"/>
          <w:b/>
          <w:snapToGrid w:val="0"/>
          <w:sz w:val="28"/>
          <w:szCs w:val="28"/>
          <w:lang w:eastAsia="es-ES"/>
        </w:rPr>
        <w:t xml:space="preserve">una </w:t>
      </w:r>
      <w:r w:rsidR="00822817" w:rsidRPr="00344202">
        <w:rPr>
          <w:rFonts w:eastAsia="Times New Roman" w:cs="Times New Roman"/>
          <w:b/>
          <w:snapToGrid w:val="0"/>
          <w:sz w:val="28"/>
          <w:szCs w:val="28"/>
          <w:lang w:eastAsia="es-ES"/>
        </w:rPr>
        <w:t xml:space="preserve">apuesta </w:t>
      </w:r>
      <w:r w:rsidR="001B5CC1" w:rsidRPr="00344202">
        <w:rPr>
          <w:rFonts w:eastAsia="Times New Roman" w:cs="Times New Roman"/>
          <w:b/>
          <w:snapToGrid w:val="0"/>
          <w:sz w:val="28"/>
          <w:szCs w:val="28"/>
          <w:lang w:eastAsia="es-ES"/>
        </w:rPr>
        <w:t xml:space="preserve">comparativamente </w:t>
      </w:r>
      <w:r w:rsidR="00F25196">
        <w:rPr>
          <w:rFonts w:eastAsia="Times New Roman" w:cs="Times New Roman"/>
          <w:b/>
          <w:snapToGrid w:val="0"/>
          <w:sz w:val="28"/>
          <w:szCs w:val="28"/>
          <w:lang w:eastAsia="es-ES"/>
        </w:rPr>
        <w:t>más</w:t>
      </w:r>
      <w:r w:rsidR="00822817" w:rsidRPr="00344202">
        <w:rPr>
          <w:rFonts w:eastAsia="Times New Roman" w:cs="Times New Roman"/>
          <w:b/>
          <w:snapToGrid w:val="0"/>
          <w:sz w:val="28"/>
          <w:szCs w:val="28"/>
          <w:lang w:eastAsia="es-ES"/>
        </w:rPr>
        <w:t xml:space="preserve"> consolidada entre las empresas de la Economía Social</w:t>
      </w:r>
      <w:r w:rsidR="00986EA2">
        <w:rPr>
          <w:rFonts w:eastAsia="Times New Roman" w:cs="Times New Roman"/>
          <w:b/>
          <w:snapToGrid w:val="0"/>
          <w:sz w:val="28"/>
          <w:szCs w:val="28"/>
          <w:lang w:eastAsia="es-ES"/>
        </w:rPr>
        <w:t xml:space="preserve"> </w:t>
      </w:r>
      <w:r w:rsidR="001B5CC1" w:rsidRPr="00344202">
        <w:rPr>
          <w:rFonts w:eastAsia="Times New Roman" w:cs="Times New Roman"/>
          <w:b/>
          <w:snapToGrid w:val="0"/>
          <w:sz w:val="28"/>
          <w:szCs w:val="28"/>
          <w:lang w:eastAsia="es-ES"/>
        </w:rPr>
        <w:t xml:space="preserve">que en </w:t>
      </w:r>
      <w:r w:rsidR="00C10394" w:rsidRPr="00344202">
        <w:rPr>
          <w:rFonts w:eastAsia="Times New Roman" w:cs="Times New Roman"/>
          <w:b/>
          <w:snapToGrid w:val="0"/>
          <w:sz w:val="28"/>
          <w:szCs w:val="28"/>
          <w:lang w:eastAsia="es-ES"/>
        </w:rPr>
        <w:t>el conjunto de la economía CAE</w:t>
      </w:r>
    </w:p>
    <w:p w:rsidR="001B5CC1" w:rsidRDefault="001B5CC1" w:rsidP="003B7EB5">
      <w:pPr>
        <w:rPr>
          <w:rFonts w:cs="Arial"/>
          <w:b/>
        </w:rPr>
      </w:pPr>
    </w:p>
    <w:p w:rsidR="001B5CC1" w:rsidRPr="001B5CC1" w:rsidRDefault="001B5CC1" w:rsidP="003B7EB5">
      <w:pPr>
        <w:rPr>
          <w:rFonts w:eastAsia="Calibri" w:cs="Arial"/>
        </w:rPr>
      </w:pPr>
      <w:r w:rsidRPr="001B5CC1">
        <w:rPr>
          <w:rFonts w:eastAsia="Calibri" w:cs="Arial"/>
        </w:rPr>
        <w:t>En la presente edición</w:t>
      </w:r>
      <w:r>
        <w:rPr>
          <w:rFonts w:eastAsia="Calibri" w:cs="Arial"/>
        </w:rPr>
        <w:t xml:space="preserve"> </w:t>
      </w:r>
      <w:r w:rsidR="009375E5">
        <w:rPr>
          <w:rFonts w:eastAsia="Calibri" w:cs="Arial"/>
        </w:rPr>
        <w:t xml:space="preserve">de la Estadística de la Economía Social </w:t>
      </w:r>
      <w:r>
        <w:rPr>
          <w:rFonts w:eastAsia="Calibri" w:cs="Arial"/>
        </w:rPr>
        <w:t>2014</w:t>
      </w:r>
      <w:r w:rsidRPr="001B5CC1">
        <w:rPr>
          <w:rFonts w:eastAsia="Calibri" w:cs="Arial"/>
        </w:rPr>
        <w:t xml:space="preserve"> se </w:t>
      </w:r>
      <w:r>
        <w:rPr>
          <w:rFonts w:eastAsia="Calibri" w:cs="Arial"/>
        </w:rPr>
        <w:t>ha introducido</w:t>
      </w:r>
      <w:r w:rsidR="00B86F4A">
        <w:rPr>
          <w:rFonts w:eastAsia="Calibri" w:cs="Arial"/>
        </w:rPr>
        <w:t xml:space="preserve"> </w:t>
      </w:r>
      <w:r w:rsidR="00136955">
        <w:rPr>
          <w:rFonts w:eastAsia="Calibri" w:cs="Arial"/>
        </w:rPr>
        <w:t xml:space="preserve">un apartado de información relativo a la política </w:t>
      </w:r>
      <w:r>
        <w:rPr>
          <w:rFonts w:eastAsia="Calibri" w:cs="Arial"/>
        </w:rPr>
        <w:t>de innovación</w:t>
      </w:r>
      <w:r w:rsidR="00B86F4A">
        <w:rPr>
          <w:rFonts w:eastAsia="Calibri" w:cs="Arial"/>
        </w:rPr>
        <w:t xml:space="preserve"> en la</w:t>
      </w:r>
      <w:r w:rsidR="00136955">
        <w:rPr>
          <w:rFonts w:eastAsia="Calibri" w:cs="Arial"/>
        </w:rPr>
        <w:t xml:space="preserve">s empresas de las FCES. La intención es medir el grado de </w:t>
      </w:r>
      <w:r>
        <w:rPr>
          <w:rFonts w:eastAsia="Calibri" w:cs="Arial"/>
        </w:rPr>
        <w:t xml:space="preserve">apuesta </w:t>
      </w:r>
      <w:r w:rsidR="00136955">
        <w:rPr>
          <w:rFonts w:eastAsia="Calibri" w:cs="Arial"/>
        </w:rPr>
        <w:t xml:space="preserve">por esta actividad </w:t>
      </w:r>
      <w:r>
        <w:rPr>
          <w:rFonts w:eastAsia="Calibri" w:cs="Arial"/>
        </w:rPr>
        <w:t xml:space="preserve">y </w:t>
      </w:r>
      <w:r w:rsidR="00136955">
        <w:rPr>
          <w:rFonts w:eastAsia="Calibri" w:cs="Arial"/>
        </w:rPr>
        <w:t>el</w:t>
      </w:r>
      <w:r>
        <w:rPr>
          <w:rFonts w:eastAsia="Calibri" w:cs="Arial"/>
        </w:rPr>
        <w:t xml:space="preserve"> impacto sobre el empleo del tejido empresarial que emprende este tipo de actividades.</w:t>
      </w:r>
    </w:p>
    <w:p w:rsidR="00986EA2" w:rsidRDefault="00986EA2" w:rsidP="003B7EB5">
      <w:pPr>
        <w:rPr>
          <w:rFonts w:eastAsia="Calibri" w:cs="Arial"/>
        </w:rPr>
      </w:pPr>
    </w:p>
    <w:p w:rsidR="00773665" w:rsidRDefault="00136955" w:rsidP="00136955">
      <w:pPr>
        <w:rPr>
          <w:rFonts w:eastAsia="Calibri" w:cs="Arial"/>
        </w:rPr>
      </w:pPr>
      <w:r>
        <w:rPr>
          <w:rFonts w:eastAsia="Calibri" w:cs="Arial"/>
        </w:rPr>
        <w:t>En comparación con el conjunto del tejido empresarial vasco, un</w:t>
      </w:r>
      <w:r w:rsidR="00B73CA4" w:rsidRPr="00B73CA4">
        <w:rPr>
          <w:rFonts w:eastAsia="Calibri" w:cs="Arial"/>
        </w:rPr>
        <w:t xml:space="preserve"> rasgo comparativamente favorable</w:t>
      </w:r>
      <w:r>
        <w:rPr>
          <w:rFonts w:eastAsia="Calibri" w:cs="Arial"/>
        </w:rPr>
        <w:t xml:space="preserve"> en esta dimensión es </w:t>
      </w:r>
      <w:r w:rsidR="00B73CA4" w:rsidRPr="00B73CA4">
        <w:rPr>
          <w:rFonts w:eastAsia="Calibri" w:cs="Arial"/>
        </w:rPr>
        <w:t xml:space="preserve">la mayor proporción de empresas </w:t>
      </w:r>
      <w:r>
        <w:rPr>
          <w:rFonts w:eastAsia="Calibri" w:cs="Arial"/>
        </w:rPr>
        <w:t xml:space="preserve">de las FCES </w:t>
      </w:r>
      <w:r w:rsidR="00B73CA4" w:rsidRPr="00B73CA4">
        <w:rPr>
          <w:rFonts w:eastAsia="Calibri" w:cs="Arial"/>
        </w:rPr>
        <w:t xml:space="preserve">que </w:t>
      </w:r>
      <w:r>
        <w:rPr>
          <w:rFonts w:eastAsia="Calibri" w:cs="Arial"/>
        </w:rPr>
        <w:t>apuestan por el</w:t>
      </w:r>
      <w:r w:rsidR="00382FFA">
        <w:rPr>
          <w:rFonts w:eastAsia="Calibri" w:cs="Arial"/>
        </w:rPr>
        <w:t xml:space="preserve"> desarrollo de actividades en el campo de la innovación. </w:t>
      </w:r>
      <w:r>
        <w:rPr>
          <w:rFonts w:eastAsia="Calibri" w:cs="Arial"/>
        </w:rPr>
        <w:t xml:space="preserve">Así, </w:t>
      </w:r>
      <w:r w:rsidR="00382FFA">
        <w:rPr>
          <w:rFonts w:eastAsia="Calibri" w:cs="Arial"/>
        </w:rPr>
        <w:t xml:space="preserve">mientras en el conjunto de la CAE la proporción de empresas que </w:t>
      </w:r>
      <w:r w:rsidR="00F52F81">
        <w:rPr>
          <w:rFonts w:eastAsia="Calibri" w:cs="Arial"/>
        </w:rPr>
        <w:t>han realizado</w:t>
      </w:r>
      <w:r w:rsidR="00382FFA">
        <w:rPr>
          <w:rFonts w:eastAsia="Calibri" w:cs="Arial"/>
        </w:rPr>
        <w:t xml:space="preserve"> actividades</w:t>
      </w:r>
      <w:r w:rsidR="00AD3B77">
        <w:rPr>
          <w:rFonts w:eastAsia="Calibri" w:cs="Arial"/>
        </w:rPr>
        <w:t xml:space="preserve"> de</w:t>
      </w:r>
      <w:r w:rsidR="00382FFA">
        <w:rPr>
          <w:rFonts w:eastAsia="Calibri" w:cs="Arial"/>
        </w:rPr>
        <w:t xml:space="preserve"> innovación </w:t>
      </w:r>
      <w:r w:rsidR="00F52F81">
        <w:rPr>
          <w:rFonts w:eastAsia="Calibri" w:cs="Arial"/>
        </w:rPr>
        <w:t xml:space="preserve">entre 2012 y 2014 </w:t>
      </w:r>
      <w:r w:rsidR="00382FFA">
        <w:rPr>
          <w:rFonts w:eastAsia="Calibri" w:cs="Arial"/>
        </w:rPr>
        <w:t>representan un 17</w:t>
      </w:r>
      <w:r w:rsidR="00D41EAA">
        <w:rPr>
          <w:rFonts w:eastAsia="Calibri" w:cs="Arial"/>
        </w:rPr>
        <w:t>,0</w:t>
      </w:r>
      <w:r w:rsidR="00382FFA">
        <w:rPr>
          <w:rFonts w:eastAsia="Calibri" w:cs="Arial"/>
        </w:rPr>
        <w:t>%</w:t>
      </w:r>
      <w:r>
        <w:rPr>
          <w:rFonts w:eastAsia="Calibri" w:cs="Arial"/>
        </w:rPr>
        <w:t xml:space="preserve"> del total</w:t>
      </w:r>
      <w:r w:rsidR="00382FFA">
        <w:rPr>
          <w:rFonts w:eastAsia="Calibri" w:cs="Arial"/>
        </w:rPr>
        <w:t>, en el caso del colectivo empresarial adscrito a la Economía Social</w:t>
      </w:r>
      <w:r w:rsidR="00986EA2">
        <w:rPr>
          <w:rFonts w:eastAsia="Calibri" w:cs="Arial"/>
        </w:rPr>
        <w:t>, esta proporción</w:t>
      </w:r>
      <w:r w:rsidR="00382FFA">
        <w:rPr>
          <w:rFonts w:eastAsia="Calibri" w:cs="Arial"/>
        </w:rPr>
        <w:t xml:space="preserve"> se eleva hasta </w:t>
      </w:r>
      <w:r>
        <w:rPr>
          <w:rFonts w:eastAsia="Calibri" w:cs="Arial"/>
        </w:rPr>
        <w:t>el 21,6%, 4,6 puntos porcentuales</w:t>
      </w:r>
      <w:r w:rsidR="00382FFA">
        <w:rPr>
          <w:rFonts w:eastAsia="Calibri" w:cs="Arial"/>
        </w:rPr>
        <w:t xml:space="preserve"> por encima </w:t>
      </w:r>
      <w:r>
        <w:rPr>
          <w:rFonts w:eastAsia="Calibri" w:cs="Arial"/>
        </w:rPr>
        <w:t>de la media general de las empresas de la CAE.</w:t>
      </w:r>
    </w:p>
    <w:p w:rsidR="00136955" w:rsidRDefault="00136955" w:rsidP="00136955">
      <w:pPr>
        <w:rPr>
          <w:rFonts w:eastAsia="Calibri" w:cs="Arial"/>
        </w:rPr>
      </w:pPr>
    </w:p>
    <w:p w:rsidR="00136955" w:rsidRDefault="00136955" w:rsidP="00136955">
      <w:pPr>
        <w:rPr>
          <w:rFonts w:eastAsia="Calibri" w:cs="Arial"/>
        </w:rPr>
      </w:pPr>
    </w:p>
    <w:p w:rsidR="00D41EAA" w:rsidRDefault="00D41EAA" w:rsidP="00D41EAA">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 xml:space="preserve">REALIZACIÓN DE ACTIVIDADES DE INNOVACIÓN. 2014 </w:t>
      </w:r>
    </w:p>
    <w:p w:rsidR="00D41EAA" w:rsidRDefault="00D41EAA" w:rsidP="00D41EAA">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p w:rsidR="00D41EAA" w:rsidRDefault="00D41EAA" w:rsidP="00D41EAA">
      <w:pPr>
        <w:spacing w:line="240" w:lineRule="auto"/>
        <w:jc w:val="center"/>
        <w:rPr>
          <w:rFonts w:cs="Arial"/>
          <w:b/>
          <w:snapToGrid w:val="0"/>
          <w:color w:val="1F497D" w:themeColor="text2"/>
          <w:sz w:val="18"/>
          <w:szCs w:val="18"/>
          <w:lang w:val="es-ES_tradnl"/>
        </w:rPr>
      </w:pPr>
    </w:p>
    <w:p w:rsidR="00D41EAA" w:rsidRDefault="00D41EAA" w:rsidP="00D41EAA">
      <w:pPr>
        <w:spacing w:line="240" w:lineRule="auto"/>
        <w:jc w:val="center"/>
        <w:rPr>
          <w:rFonts w:cs="Arial"/>
          <w:b/>
          <w:snapToGrid w:val="0"/>
          <w:color w:val="1F497D" w:themeColor="text2"/>
          <w:sz w:val="18"/>
          <w:szCs w:val="18"/>
          <w:lang w:val="es-ES_tradnl"/>
        </w:rPr>
      </w:pPr>
      <w:r w:rsidRPr="00A640AC">
        <w:rPr>
          <w:rFonts w:cs="Arial"/>
          <w:b/>
          <w:noProof/>
          <w:snapToGrid w:val="0"/>
          <w:color w:val="1F497D" w:themeColor="text2"/>
          <w:sz w:val="18"/>
          <w:szCs w:val="18"/>
          <w:lang w:eastAsia="es-ES"/>
        </w:rPr>
        <w:drawing>
          <wp:inline distT="0" distB="0" distL="0" distR="0">
            <wp:extent cx="4200525" cy="1704975"/>
            <wp:effectExtent l="0" t="0" r="0" b="0"/>
            <wp:docPr id="8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41EAA" w:rsidRDefault="00D41EAA" w:rsidP="00D41EAA">
      <w:pPr>
        <w:spacing w:line="240" w:lineRule="auto"/>
        <w:jc w:val="center"/>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D41EAA" w:rsidRPr="00135BA1" w:rsidRDefault="00D41EAA" w:rsidP="00D41EAA">
      <w:pPr>
        <w:spacing w:line="240" w:lineRule="auto"/>
        <w:jc w:val="center"/>
        <w:rPr>
          <w:rFonts w:eastAsia="Times New Roman" w:cs="Arial"/>
          <w:i/>
          <w:sz w:val="16"/>
          <w:szCs w:val="20"/>
          <w:lang w:val="es-ES_tradnl" w:eastAsia="es-ES"/>
        </w:rPr>
      </w:pPr>
    </w:p>
    <w:p w:rsidR="00D41EAA" w:rsidRDefault="00D41EAA" w:rsidP="00D41EAA">
      <w:pPr>
        <w:spacing w:line="240" w:lineRule="auto"/>
        <w:jc w:val="left"/>
        <w:rPr>
          <w:rFonts w:eastAsia="Times New Roman" w:cs="Arial"/>
          <w:i/>
          <w:sz w:val="16"/>
          <w:szCs w:val="20"/>
          <w:lang w:val="es-ES_tradnl" w:eastAsia="es-ES"/>
        </w:rPr>
      </w:pPr>
      <w:r>
        <w:rPr>
          <w:rFonts w:eastAsia="Times New Roman" w:cs="Arial"/>
          <w:i/>
          <w:sz w:val="16"/>
          <w:szCs w:val="20"/>
          <w:lang w:val="es-ES_tradnl" w:eastAsia="es-ES"/>
        </w:rPr>
        <w:t>* Incluye los establecimientos con innovación tecnológica y/o innovación de producto y proceso</w:t>
      </w:r>
    </w:p>
    <w:p w:rsidR="00D41EAA" w:rsidRDefault="00D41EAA" w:rsidP="00D41EAA">
      <w:pPr>
        <w:spacing w:line="240" w:lineRule="auto"/>
        <w:jc w:val="left"/>
        <w:rPr>
          <w:rFonts w:cs="Arial"/>
          <w:b/>
          <w:snapToGrid w:val="0"/>
          <w:color w:val="1F497D" w:themeColor="text2"/>
          <w:sz w:val="18"/>
          <w:szCs w:val="18"/>
          <w:lang w:val="es-ES_tradnl"/>
        </w:rPr>
      </w:pPr>
      <w:r>
        <w:rPr>
          <w:rFonts w:eastAsia="Times New Roman" w:cs="Arial"/>
          <w:i/>
          <w:sz w:val="16"/>
          <w:szCs w:val="20"/>
          <w:lang w:val="es-ES_tradnl" w:eastAsia="es-ES"/>
        </w:rPr>
        <w:t>**Incluye</w:t>
      </w:r>
      <w:r w:rsidRPr="00900456">
        <w:rPr>
          <w:rFonts w:eastAsia="Times New Roman" w:cs="Arial"/>
          <w:i/>
          <w:sz w:val="16"/>
          <w:szCs w:val="20"/>
          <w:lang w:val="es-ES_tradnl" w:eastAsia="es-ES"/>
        </w:rPr>
        <w:t xml:space="preserve"> los establecimientos con innova</w:t>
      </w:r>
      <w:r>
        <w:rPr>
          <w:rFonts w:eastAsia="Times New Roman" w:cs="Arial"/>
          <w:i/>
          <w:sz w:val="16"/>
          <w:szCs w:val="20"/>
          <w:lang w:val="es-ES_tradnl" w:eastAsia="es-ES"/>
        </w:rPr>
        <w:t>ción tecnológica e innovación no</w:t>
      </w:r>
      <w:r w:rsidRPr="00900456">
        <w:rPr>
          <w:rFonts w:eastAsia="Times New Roman" w:cs="Arial"/>
          <w:i/>
          <w:sz w:val="16"/>
          <w:szCs w:val="20"/>
          <w:lang w:val="es-ES_tradnl" w:eastAsia="es-ES"/>
        </w:rPr>
        <w:t xml:space="preserve"> tecnológica. </w:t>
      </w:r>
    </w:p>
    <w:p w:rsidR="00136955" w:rsidRDefault="00136955" w:rsidP="003B7EB5">
      <w:pPr>
        <w:rPr>
          <w:rFonts w:eastAsia="Calibri" w:cs="Arial"/>
        </w:rPr>
      </w:pPr>
    </w:p>
    <w:p w:rsidR="00136955" w:rsidRDefault="00136955" w:rsidP="003B7EB5">
      <w:pPr>
        <w:rPr>
          <w:rFonts w:eastAsia="Calibri" w:cs="Arial"/>
        </w:rPr>
      </w:pPr>
    </w:p>
    <w:p w:rsidR="003B7EB5" w:rsidRDefault="00136955" w:rsidP="003B7EB5">
      <w:pPr>
        <w:rPr>
          <w:rFonts w:eastAsia="Calibri" w:cs="Arial"/>
        </w:rPr>
      </w:pPr>
      <w:r>
        <w:rPr>
          <w:rFonts w:eastAsia="Calibri" w:cs="Arial"/>
        </w:rPr>
        <w:t>La</w:t>
      </w:r>
      <w:r w:rsidR="00382FFA">
        <w:rPr>
          <w:rFonts w:eastAsia="Calibri" w:cs="Arial"/>
        </w:rPr>
        <w:t xml:space="preserve"> proporción </w:t>
      </w:r>
      <w:r>
        <w:rPr>
          <w:rFonts w:eastAsia="Calibri" w:cs="Arial"/>
        </w:rPr>
        <w:t xml:space="preserve">analizada </w:t>
      </w:r>
      <w:r w:rsidR="00382FFA">
        <w:rPr>
          <w:rFonts w:eastAsia="Calibri" w:cs="Arial"/>
        </w:rPr>
        <w:t xml:space="preserve">se eleva en el caso guipuzcoano hasta </w:t>
      </w:r>
      <w:r>
        <w:rPr>
          <w:rFonts w:eastAsia="Calibri" w:cs="Arial"/>
        </w:rPr>
        <w:t xml:space="preserve">el 22,8%, 3,3 puntos porcentuales por </w:t>
      </w:r>
      <w:r w:rsidR="00773665">
        <w:rPr>
          <w:rFonts w:eastAsia="Calibri" w:cs="Arial"/>
        </w:rPr>
        <w:t>encima de la proporción media reflejada en la economía guipuzcoana</w:t>
      </w:r>
      <w:r>
        <w:rPr>
          <w:rFonts w:eastAsia="Calibri" w:cs="Arial"/>
        </w:rPr>
        <w:t xml:space="preserve">. Es sin embargo en </w:t>
      </w:r>
      <w:proofErr w:type="spellStart"/>
      <w:r>
        <w:rPr>
          <w:rFonts w:eastAsia="Calibri" w:cs="Arial"/>
        </w:rPr>
        <w:t>Bizkaia</w:t>
      </w:r>
      <w:proofErr w:type="spellEnd"/>
      <w:r>
        <w:rPr>
          <w:rFonts w:eastAsia="Calibri" w:cs="Arial"/>
        </w:rPr>
        <w:t xml:space="preserve"> donde </w:t>
      </w:r>
      <w:r w:rsidR="00773665">
        <w:rPr>
          <w:rFonts w:eastAsia="Calibri" w:cs="Arial"/>
        </w:rPr>
        <w:t>se advierte una mayor divergencia</w:t>
      </w:r>
      <w:r w:rsidR="00712316">
        <w:rPr>
          <w:rFonts w:eastAsia="Calibri" w:cs="Arial"/>
        </w:rPr>
        <w:t>, de 6,5 p</w:t>
      </w:r>
      <w:r>
        <w:rPr>
          <w:rFonts w:eastAsia="Calibri" w:cs="Arial"/>
        </w:rPr>
        <w:t>untos porcentuales a favor de la Economía Social</w:t>
      </w:r>
      <w:r w:rsidR="00712316">
        <w:rPr>
          <w:rFonts w:eastAsia="Calibri" w:cs="Arial"/>
        </w:rPr>
        <w:t>,</w:t>
      </w:r>
      <w:r w:rsidR="00773665">
        <w:rPr>
          <w:rFonts w:eastAsia="Calibri" w:cs="Arial"/>
        </w:rPr>
        <w:t xml:space="preserve"> entre la proporción de empresas que innovan </w:t>
      </w:r>
      <w:r>
        <w:rPr>
          <w:rFonts w:eastAsia="Calibri" w:cs="Arial"/>
        </w:rPr>
        <w:t>en el sector social (</w:t>
      </w:r>
      <w:r w:rsidR="00310290">
        <w:rPr>
          <w:rFonts w:eastAsia="Calibri" w:cs="Arial"/>
        </w:rPr>
        <w:t>22,3%</w:t>
      </w:r>
      <w:r>
        <w:rPr>
          <w:rFonts w:eastAsia="Calibri" w:cs="Arial"/>
        </w:rPr>
        <w:t>, apenas 0,5 puntos por debajo del nivel de la economía social guipuzcoana)</w:t>
      </w:r>
      <w:r w:rsidR="00310290">
        <w:rPr>
          <w:rFonts w:eastAsia="Calibri" w:cs="Arial"/>
        </w:rPr>
        <w:t xml:space="preserve"> en </w:t>
      </w:r>
      <w:r>
        <w:rPr>
          <w:rFonts w:eastAsia="Calibri" w:cs="Arial"/>
        </w:rPr>
        <w:t xml:space="preserve">comparación con </w:t>
      </w:r>
      <w:r w:rsidR="00310290">
        <w:rPr>
          <w:rFonts w:eastAsia="Calibri" w:cs="Arial"/>
        </w:rPr>
        <w:t xml:space="preserve">la media </w:t>
      </w:r>
      <w:r>
        <w:rPr>
          <w:rFonts w:eastAsia="Calibri" w:cs="Arial"/>
        </w:rPr>
        <w:t xml:space="preserve">correspondiente al conjunto de </w:t>
      </w:r>
      <w:r w:rsidR="00310290">
        <w:rPr>
          <w:rFonts w:eastAsia="Calibri" w:cs="Arial"/>
        </w:rPr>
        <w:t>empresas que conforman</w:t>
      </w:r>
      <w:r w:rsidR="00773665">
        <w:rPr>
          <w:rFonts w:eastAsia="Calibri" w:cs="Arial"/>
        </w:rPr>
        <w:t xml:space="preserve"> la economía vizcaína </w:t>
      </w:r>
      <w:r>
        <w:rPr>
          <w:rFonts w:eastAsia="Calibri" w:cs="Arial"/>
        </w:rPr>
        <w:t>(15,8%)</w:t>
      </w:r>
      <w:r w:rsidR="00773665">
        <w:rPr>
          <w:rFonts w:eastAsia="Calibri" w:cs="Arial"/>
        </w:rPr>
        <w:t>.</w:t>
      </w:r>
    </w:p>
    <w:p w:rsidR="00136955" w:rsidRDefault="00136955" w:rsidP="003B7EB5">
      <w:pPr>
        <w:rPr>
          <w:rFonts w:eastAsia="Calibri" w:cs="Arial"/>
        </w:rPr>
      </w:pPr>
    </w:p>
    <w:p w:rsidR="00136955" w:rsidRDefault="00136955" w:rsidP="003B7EB5">
      <w:pPr>
        <w:rPr>
          <w:rFonts w:eastAsia="Calibri" w:cs="Arial"/>
        </w:rPr>
      </w:pPr>
      <w:r>
        <w:rPr>
          <w:rFonts w:eastAsia="Calibri" w:cs="Arial"/>
        </w:rPr>
        <w:t xml:space="preserve">El grado de participación empresarial más bajo en las empresas de la economía social corresponde a Álava, con </w:t>
      </w:r>
      <w:r w:rsidR="009F0259">
        <w:rPr>
          <w:rFonts w:eastAsia="Calibri" w:cs="Arial"/>
        </w:rPr>
        <w:t>un 16,7% que resulta cercano al 15,6% de la economía alavesa general.</w:t>
      </w:r>
    </w:p>
    <w:p w:rsidR="003C08E5" w:rsidRDefault="003C08E5" w:rsidP="003C08E5">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lastRenderedPageBreak/>
        <w:t xml:space="preserve">REALIZACIÓN DE ACTIVIDADES DE INNOVACIÓN POR TERRITORIO HISTÓRICO. 2014 </w:t>
      </w:r>
    </w:p>
    <w:p w:rsidR="003C08E5" w:rsidRDefault="003C08E5" w:rsidP="003C08E5">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677"/>
        <w:gridCol w:w="1067"/>
        <w:gridCol w:w="1066"/>
        <w:gridCol w:w="1066"/>
        <w:gridCol w:w="1064"/>
      </w:tblGrid>
      <w:tr w:rsidR="003C08E5" w:rsidRPr="00F4159C" w:rsidTr="00540C90">
        <w:trPr>
          <w:jc w:val="center"/>
        </w:trPr>
        <w:tc>
          <w:tcPr>
            <w:tcW w:w="28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3C08E5" w:rsidRPr="00F4159C" w:rsidRDefault="003C08E5" w:rsidP="00540C90">
            <w:pPr>
              <w:spacing w:line="240" w:lineRule="exact"/>
              <w:rPr>
                <w:rFonts w:cs="Arial"/>
                <w:b/>
                <w:bCs/>
                <w:sz w:val="16"/>
                <w:szCs w:val="16"/>
              </w:rPr>
            </w:pP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3C08E5" w:rsidRDefault="003C08E5" w:rsidP="00540C90">
            <w:pPr>
              <w:spacing w:line="240" w:lineRule="exact"/>
              <w:jc w:val="center"/>
              <w:rPr>
                <w:rFonts w:cs="Arial"/>
                <w:b/>
                <w:bCs/>
                <w:sz w:val="16"/>
                <w:szCs w:val="16"/>
                <w:lang w:val="en-GB"/>
              </w:rPr>
            </w:pPr>
            <w:r>
              <w:rPr>
                <w:rFonts w:cs="Arial"/>
                <w:b/>
                <w:bCs/>
                <w:sz w:val="16"/>
                <w:szCs w:val="16"/>
                <w:lang w:val="en-GB"/>
              </w:rPr>
              <w:t>Total</w:t>
            </w:r>
          </w:p>
          <w:p w:rsidR="003C08E5" w:rsidRPr="00F4159C" w:rsidRDefault="003C08E5" w:rsidP="00540C90">
            <w:pPr>
              <w:spacing w:line="240" w:lineRule="exact"/>
              <w:jc w:val="center"/>
              <w:rPr>
                <w:rFonts w:cs="Arial"/>
                <w:b/>
                <w:bCs/>
                <w:sz w:val="16"/>
                <w:szCs w:val="16"/>
                <w:lang w:val="en-GB"/>
              </w:rPr>
            </w:pPr>
            <w:r>
              <w:rPr>
                <w:rFonts w:cs="Arial"/>
                <w:b/>
                <w:bCs/>
                <w:sz w:val="16"/>
                <w:szCs w:val="16"/>
                <w:lang w:val="en-GB"/>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3C08E5" w:rsidRDefault="003C08E5" w:rsidP="00540C90">
            <w:pPr>
              <w:spacing w:line="240" w:lineRule="exact"/>
              <w:jc w:val="center"/>
              <w:rPr>
                <w:rFonts w:cs="Arial"/>
                <w:b/>
                <w:bCs/>
                <w:sz w:val="16"/>
                <w:szCs w:val="16"/>
                <w:lang w:val="en-GB"/>
              </w:rPr>
            </w:pPr>
            <w:proofErr w:type="spellStart"/>
            <w:r>
              <w:rPr>
                <w:rFonts w:cs="Arial"/>
                <w:b/>
                <w:bCs/>
                <w:sz w:val="16"/>
                <w:szCs w:val="16"/>
                <w:lang w:val="en-GB"/>
              </w:rPr>
              <w:t>Álava</w:t>
            </w:r>
            <w:proofErr w:type="spellEnd"/>
          </w:p>
          <w:p w:rsidR="003C08E5" w:rsidRPr="00F4159C" w:rsidRDefault="003C08E5" w:rsidP="00540C90">
            <w:pPr>
              <w:spacing w:line="240" w:lineRule="exact"/>
              <w:jc w:val="center"/>
              <w:rPr>
                <w:rFonts w:cs="Arial"/>
                <w:b/>
                <w:bCs/>
                <w:sz w:val="16"/>
                <w:szCs w:val="16"/>
              </w:rPr>
            </w:pPr>
            <w:r>
              <w:rPr>
                <w:rFonts w:cs="Arial"/>
                <w:b/>
                <w:bCs/>
                <w:sz w:val="16"/>
                <w:szCs w:val="16"/>
                <w:lang w:val="en-GB"/>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3C08E5" w:rsidRDefault="003C08E5" w:rsidP="00540C90">
            <w:pPr>
              <w:spacing w:line="240" w:lineRule="exact"/>
              <w:jc w:val="center"/>
              <w:rPr>
                <w:rFonts w:cs="Arial"/>
                <w:b/>
                <w:bCs/>
                <w:sz w:val="16"/>
                <w:szCs w:val="16"/>
                <w:lang w:val="en-GB"/>
              </w:rPr>
            </w:pPr>
            <w:proofErr w:type="spellStart"/>
            <w:r>
              <w:rPr>
                <w:rFonts w:cs="Arial"/>
                <w:b/>
                <w:bCs/>
                <w:sz w:val="16"/>
                <w:szCs w:val="16"/>
                <w:lang w:val="en-GB"/>
              </w:rPr>
              <w:t>Bizkaia</w:t>
            </w:r>
            <w:proofErr w:type="spellEnd"/>
          </w:p>
          <w:p w:rsidR="003C08E5" w:rsidRPr="00F4159C" w:rsidRDefault="003C08E5" w:rsidP="00540C90">
            <w:pPr>
              <w:spacing w:line="240" w:lineRule="exact"/>
              <w:jc w:val="center"/>
              <w:rPr>
                <w:rFonts w:cs="Arial"/>
                <w:b/>
                <w:bCs/>
                <w:sz w:val="16"/>
                <w:szCs w:val="16"/>
              </w:rPr>
            </w:pPr>
            <w:r>
              <w:rPr>
                <w:rFonts w:cs="Arial"/>
                <w:b/>
                <w:bCs/>
                <w:sz w:val="16"/>
                <w:szCs w:val="16"/>
                <w:lang w:val="en-GB"/>
              </w:rPr>
              <w:t>%</w:t>
            </w:r>
          </w:p>
        </w:tc>
        <w:tc>
          <w:tcPr>
            <w:tcW w:w="535"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3C08E5" w:rsidRDefault="003C08E5" w:rsidP="00540C90">
            <w:pPr>
              <w:spacing w:line="240" w:lineRule="exact"/>
              <w:jc w:val="center"/>
              <w:rPr>
                <w:rFonts w:cs="Arial"/>
                <w:b/>
                <w:bCs/>
                <w:sz w:val="16"/>
                <w:szCs w:val="16"/>
                <w:lang w:val="en-GB"/>
              </w:rPr>
            </w:pPr>
            <w:proofErr w:type="spellStart"/>
            <w:r>
              <w:rPr>
                <w:rFonts w:cs="Arial"/>
                <w:b/>
                <w:bCs/>
                <w:sz w:val="16"/>
                <w:szCs w:val="16"/>
                <w:lang w:val="en-GB"/>
              </w:rPr>
              <w:t>Gipuzkoa</w:t>
            </w:r>
            <w:proofErr w:type="spellEnd"/>
          </w:p>
          <w:p w:rsidR="003C08E5" w:rsidRPr="00F4159C" w:rsidRDefault="003C08E5" w:rsidP="00540C90">
            <w:pPr>
              <w:spacing w:line="240" w:lineRule="exact"/>
              <w:jc w:val="center"/>
              <w:rPr>
                <w:rFonts w:cs="Arial"/>
                <w:b/>
                <w:bCs/>
                <w:sz w:val="16"/>
                <w:szCs w:val="16"/>
              </w:rPr>
            </w:pPr>
            <w:r>
              <w:rPr>
                <w:rFonts w:cs="Arial"/>
                <w:b/>
                <w:bCs/>
                <w:sz w:val="16"/>
                <w:szCs w:val="16"/>
                <w:lang w:val="en-GB"/>
              </w:rPr>
              <w:t>%</w:t>
            </w:r>
          </w:p>
        </w:tc>
      </w:tr>
      <w:tr w:rsidR="003C08E5" w:rsidRPr="00F4159C" w:rsidTr="00540C90">
        <w:trPr>
          <w:jc w:val="center"/>
        </w:trPr>
        <w:tc>
          <w:tcPr>
            <w:tcW w:w="2856" w:type="pct"/>
            <w:tcBorders>
              <w:top w:val="single" w:sz="4" w:space="0" w:color="BFBFBF" w:themeColor="background1" w:themeShade="BF"/>
              <w:right w:val="single" w:sz="4" w:space="0" w:color="BFBFBF" w:themeColor="background1" w:themeShade="BF"/>
            </w:tcBorders>
            <w:noWrap/>
          </w:tcPr>
          <w:p w:rsidR="003C08E5" w:rsidRPr="005B1DE0" w:rsidRDefault="003C08E5" w:rsidP="00540C90">
            <w:pPr>
              <w:spacing w:line="240" w:lineRule="exact"/>
              <w:jc w:val="left"/>
              <w:rPr>
                <w:rFonts w:cs="Arial"/>
                <w:b/>
                <w:sz w:val="16"/>
                <w:szCs w:val="16"/>
              </w:rPr>
            </w:pPr>
            <w:r>
              <w:rPr>
                <w:rFonts w:cs="Arial"/>
                <w:b/>
                <w:sz w:val="16"/>
                <w:szCs w:val="16"/>
              </w:rPr>
              <w:t>% INNOVACIÓN ECONOMÍA SOCIAL</w:t>
            </w:r>
          </w:p>
        </w:tc>
        <w:tc>
          <w:tcPr>
            <w:tcW w:w="537" w:type="pct"/>
            <w:tcBorders>
              <w:top w:val="single" w:sz="4" w:space="0" w:color="BFBFBF" w:themeColor="background1" w:themeShade="BF"/>
              <w:right w:val="single" w:sz="4" w:space="0" w:color="BFBFBF" w:themeColor="background1" w:themeShade="BF"/>
            </w:tcBorders>
          </w:tcPr>
          <w:p w:rsidR="003C08E5" w:rsidRPr="00EE16BE" w:rsidRDefault="003C08E5" w:rsidP="00540C90">
            <w:pPr>
              <w:spacing w:line="240" w:lineRule="exact"/>
              <w:ind w:right="170"/>
              <w:jc w:val="right"/>
              <w:rPr>
                <w:rFonts w:cs="Arial"/>
                <w:bCs/>
                <w:sz w:val="16"/>
                <w:szCs w:val="16"/>
              </w:rPr>
            </w:pPr>
            <w:r>
              <w:rPr>
                <w:rFonts w:cs="Arial"/>
                <w:bCs/>
                <w:sz w:val="16"/>
                <w:szCs w:val="16"/>
              </w:rPr>
              <w:t>21,6</w:t>
            </w:r>
          </w:p>
        </w:tc>
        <w:tc>
          <w:tcPr>
            <w:tcW w:w="536" w:type="pct"/>
            <w:tcBorders>
              <w:top w:val="single" w:sz="4" w:space="0" w:color="BFBFBF" w:themeColor="background1" w:themeShade="BF"/>
              <w:right w:val="single" w:sz="4" w:space="0" w:color="BFBFBF" w:themeColor="background1" w:themeShade="BF"/>
            </w:tcBorders>
          </w:tcPr>
          <w:p w:rsidR="003C08E5" w:rsidRPr="00EE16BE" w:rsidRDefault="003C08E5" w:rsidP="00540C90">
            <w:pPr>
              <w:spacing w:line="240" w:lineRule="exact"/>
              <w:ind w:right="170"/>
              <w:jc w:val="right"/>
              <w:rPr>
                <w:rFonts w:cs="Arial"/>
                <w:bCs/>
                <w:sz w:val="16"/>
                <w:szCs w:val="16"/>
              </w:rPr>
            </w:pPr>
            <w:r>
              <w:rPr>
                <w:rFonts w:cs="Arial"/>
                <w:bCs/>
                <w:sz w:val="16"/>
                <w:szCs w:val="16"/>
              </w:rPr>
              <w:t>16,7</w:t>
            </w:r>
          </w:p>
        </w:tc>
        <w:tc>
          <w:tcPr>
            <w:tcW w:w="536" w:type="pct"/>
            <w:tcBorders>
              <w:top w:val="single" w:sz="4" w:space="0" w:color="BFBFBF" w:themeColor="background1" w:themeShade="BF"/>
              <w:right w:val="single" w:sz="4" w:space="0" w:color="BFBFBF" w:themeColor="background1" w:themeShade="BF"/>
            </w:tcBorders>
          </w:tcPr>
          <w:p w:rsidR="003C08E5" w:rsidRPr="00EE16BE" w:rsidRDefault="003C08E5" w:rsidP="00540C90">
            <w:pPr>
              <w:spacing w:line="240" w:lineRule="exact"/>
              <w:ind w:right="170"/>
              <w:jc w:val="right"/>
              <w:rPr>
                <w:rFonts w:cs="Arial"/>
                <w:bCs/>
                <w:sz w:val="16"/>
                <w:szCs w:val="16"/>
              </w:rPr>
            </w:pPr>
            <w:r>
              <w:rPr>
                <w:rFonts w:cs="Arial"/>
                <w:bCs/>
                <w:sz w:val="16"/>
                <w:szCs w:val="16"/>
              </w:rPr>
              <w:t>22,3</w:t>
            </w:r>
          </w:p>
        </w:tc>
        <w:tc>
          <w:tcPr>
            <w:tcW w:w="535" w:type="pct"/>
            <w:tcBorders>
              <w:top w:val="single" w:sz="4" w:space="0" w:color="BFBFBF" w:themeColor="background1" w:themeShade="BF"/>
              <w:right w:val="nil"/>
            </w:tcBorders>
          </w:tcPr>
          <w:p w:rsidR="003C08E5" w:rsidRPr="00EE16BE" w:rsidRDefault="003C08E5" w:rsidP="00540C90">
            <w:pPr>
              <w:spacing w:line="240" w:lineRule="exact"/>
              <w:ind w:right="170"/>
              <w:jc w:val="right"/>
              <w:rPr>
                <w:rFonts w:cs="Arial"/>
                <w:bCs/>
                <w:sz w:val="16"/>
                <w:szCs w:val="16"/>
              </w:rPr>
            </w:pPr>
            <w:r>
              <w:rPr>
                <w:rFonts w:cs="Arial"/>
                <w:bCs/>
                <w:sz w:val="16"/>
                <w:szCs w:val="16"/>
              </w:rPr>
              <w:t>22,8</w:t>
            </w:r>
          </w:p>
        </w:tc>
      </w:tr>
      <w:tr w:rsidR="003C08E5" w:rsidRPr="00F4159C" w:rsidTr="00540C90">
        <w:trPr>
          <w:jc w:val="center"/>
        </w:trPr>
        <w:tc>
          <w:tcPr>
            <w:tcW w:w="2856" w:type="pct"/>
            <w:tcBorders>
              <w:right w:val="single" w:sz="4" w:space="0" w:color="BFBFBF" w:themeColor="background1" w:themeShade="BF"/>
            </w:tcBorders>
            <w:noWrap/>
          </w:tcPr>
          <w:p w:rsidR="003C08E5" w:rsidRDefault="003C08E5" w:rsidP="00540C90">
            <w:pPr>
              <w:spacing w:line="240" w:lineRule="exact"/>
              <w:jc w:val="left"/>
              <w:rPr>
                <w:rFonts w:cs="Arial"/>
                <w:sz w:val="16"/>
                <w:szCs w:val="16"/>
              </w:rPr>
            </w:pPr>
            <w:r>
              <w:rPr>
                <w:rFonts w:cs="Arial"/>
                <w:b/>
                <w:sz w:val="16"/>
                <w:szCs w:val="16"/>
              </w:rPr>
              <w:t>% INNOVACIÓN ECONOMÍA CAE</w:t>
            </w:r>
            <w:r>
              <w:rPr>
                <w:rFonts w:cs="Arial"/>
                <w:sz w:val="16"/>
                <w:szCs w:val="16"/>
              </w:rPr>
              <w:t xml:space="preserve"> </w:t>
            </w:r>
          </w:p>
        </w:tc>
        <w:tc>
          <w:tcPr>
            <w:tcW w:w="537" w:type="pct"/>
            <w:tcBorders>
              <w:right w:val="single" w:sz="4" w:space="0" w:color="BFBFBF" w:themeColor="background1" w:themeShade="BF"/>
            </w:tcBorders>
          </w:tcPr>
          <w:p w:rsidR="003C08E5" w:rsidRDefault="003C08E5" w:rsidP="00540C90">
            <w:pPr>
              <w:spacing w:line="240" w:lineRule="exact"/>
              <w:ind w:right="170"/>
              <w:jc w:val="right"/>
              <w:rPr>
                <w:rFonts w:cs="Arial"/>
                <w:bCs/>
                <w:sz w:val="16"/>
                <w:szCs w:val="16"/>
              </w:rPr>
            </w:pPr>
            <w:r>
              <w:rPr>
                <w:rFonts w:cs="Arial"/>
                <w:bCs/>
                <w:sz w:val="16"/>
                <w:szCs w:val="16"/>
              </w:rPr>
              <w:t>17,0</w:t>
            </w:r>
          </w:p>
        </w:tc>
        <w:tc>
          <w:tcPr>
            <w:tcW w:w="536" w:type="pct"/>
            <w:tcBorders>
              <w:right w:val="single" w:sz="4" w:space="0" w:color="BFBFBF" w:themeColor="background1" w:themeShade="BF"/>
            </w:tcBorders>
          </w:tcPr>
          <w:p w:rsidR="003C08E5" w:rsidRDefault="003C08E5" w:rsidP="00540C90">
            <w:pPr>
              <w:spacing w:line="240" w:lineRule="exact"/>
              <w:ind w:right="170"/>
              <w:jc w:val="right"/>
              <w:rPr>
                <w:rFonts w:cs="Arial"/>
                <w:bCs/>
                <w:sz w:val="16"/>
                <w:szCs w:val="16"/>
              </w:rPr>
            </w:pPr>
            <w:r>
              <w:rPr>
                <w:rFonts w:cs="Arial"/>
                <w:bCs/>
                <w:sz w:val="16"/>
                <w:szCs w:val="16"/>
              </w:rPr>
              <w:t>15,6</w:t>
            </w:r>
          </w:p>
        </w:tc>
        <w:tc>
          <w:tcPr>
            <w:tcW w:w="536" w:type="pct"/>
            <w:tcBorders>
              <w:right w:val="single" w:sz="4" w:space="0" w:color="BFBFBF" w:themeColor="background1" w:themeShade="BF"/>
            </w:tcBorders>
          </w:tcPr>
          <w:p w:rsidR="003C08E5" w:rsidRDefault="003C08E5" w:rsidP="00540C90">
            <w:pPr>
              <w:spacing w:line="240" w:lineRule="exact"/>
              <w:ind w:right="170"/>
              <w:jc w:val="right"/>
              <w:rPr>
                <w:rFonts w:cs="Arial"/>
                <w:bCs/>
                <w:sz w:val="16"/>
                <w:szCs w:val="16"/>
              </w:rPr>
            </w:pPr>
            <w:r>
              <w:rPr>
                <w:rFonts w:cs="Arial"/>
                <w:bCs/>
                <w:sz w:val="16"/>
                <w:szCs w:val="16"/>
              </w:rPr>
              <w:t>15,8</w:t>
            </w:r>
          </w:p>
        </w:tc>
        <w:tc>
          <w:tcPr>
            <w:tcW w:w="535" w:type="pct"/>
            <w:tcBorders>
              <w:bottom w:val="single" w:sz="4" w:space="0" w:color="BFBFBF" w:themeColor="background1" w:themeShade="BF"/>
              <w:right w:val="nil"/>
            </w:tcBorders>
          </w:tcPr>
          <w:p w:rsidR="003C08E5" w:rsidRDefault="003C08E5" w:rsidP="00540C90">
            <w:pPr>
              <w:spacing w:line="240" w:lineRule="exact"/>
              <w:ind w:right="170"/>
              <w:jc w:val="right"/>
              <w:rPr>
                <w:rFonts w:cs="Arial"/>
                <w:bCs/>
                <w:sz w:val="16"/>
                <w:szCs w:val="16"/>
              </w:rPr>
            </w:pPr>
            <w:r>
              <w:rPr>
                <w:rFonts w:cs="Arial"/>
                <w:bCs/>
                <w:sz w:val="16"/>
                <w:szCs w:val="16"/>
              </w:rPr>
              <w:t>19,5</w:t>
            </w:r>
          </w:p>
        </w:tc>
      </w:tr>
    </w:tbl>
    <w:p w:rsidR="003C08E5" w:rsidRDefault="003C08E5" w:rsidP="003C08E5">
      <w:pPr>
        <w:spacing w:line="240" w:lineRule="auto"/>
        <w:jc w:val="center"/>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3C08E5" w:rsidRDefault="003C08E5" w:rsidP="0065300F">
      <w:pPr>
        <w:rPr>
          <w:rFonts w:eastAsia="Calibri" w:cs="Arial"/>
        </w:rPr>
      </w:pPr>
    </w:p>
    <w:p w:rsidR="009F0259" w:rsidRDefault="009F0259" w:rsidP="0065300F">
      <w:pPr>
        <w:rPr>
          <w:rFonts w:eastAsia="Calibri" w:cs="Arial"/>
        </w:rPr>
      </w:pPr>
    </w:p>
    <w:p w:rsidR="00F75F74" w:rsidRDefault="001814F1" w:rsidP="0065300F">
      <w:pPr>
        <w:rPr>
          <w:rFonts w:eastAsia="Calibri" w:cs="Arial"/>
        </w:rPr>
      </w:pPr>
      <w:r>
        <w:rPr>
          <w:rFonts w:eastAsia="Calibri" w:cs="Arial"/>
        </w:rPr>
        <w:t xml:space="preserve">La </w:t>
      </w:r>
      <w:r w:rsidR="009F0259">
        <w:rPr>
          <w:rFonts w:eastAsia="Calibri" w:cs="Arial"/>
        </w:rPr>
        <w:t xml:space="preserve">participación sectorial en las actividades de innovación resulta similar en la Economía Social y en el conjunto de la economía vasca. Así, </w:t>
      </w:r>
      <w:r>
        <w:rPr>
          <w:rFonts w:eastAsia="Calibri" w:cs="Arial"/>
        </w:rPr>
        <w:t xml:space="preserve">la industria </w:t>
      </w:r>
      <w:r w:rsidR="007B5306">
        <w:rPr>
          <w:rFonts w:eastAsia="Calibri" w:cs="Arial"/>
        </w:rPr>
        <w:t xml:space="preserve">figura </w:t>
      </w:r>
      <w:r w:rsidR="009F0259">
        <w:rPr>
          <w:rFonts w:eastAsia="Calibri" w:cs="Arial"/>
        </w:rPr>
        <w:t xml:space="preserve">en los dos casos </w:t>
      </w:r>
      <w:r w:rsidR="007B5306">
        <w:rPr>
          <w:rFonts w:eastAsia="Calibri" w:cs="Arial"/>
        </w:rPr>
        <w:t>como</w:t>
      </w:r>
      <w:r>
        <w:rPr>
          <w:rFonts w:eastAsia="Calibri" w:cs="Arial"/>
        </w:rPr>
        <w:t xml:space="preserve"> </w:t>
      </w:r>
      <w:r w:rsidR="009F0259">
        <w:rPr>
          <w:rFonts w:eastAsia="Calibri" w:cs="Arial"/>
        </w:rPr>
        <w:t xml:space="preserve">gran </w:t>
      </w:r>
      <w:r>
        <w:rPr>
          <w:rFonts w:eastAsia="Calibri" w:cs="Arial"/>
        </w:rPr>
        <w:t xml:space="preserve">protagonista en </w:t>
      </w:r>
      <w:r w:rsidR="00310290">
        <w:rPr>
          <w:rFonts w:eastAsia="Calibri" w:cs="Arial"/>
        </w:rPr>
        <w:t>este ámbito</w:t>
      </w:r>
      <w:r w:rsidR="009F0259">
        <w:rPr>
          <w:rFonts w:eastAsia="Calibri" w:cs="Arial"/>
        </w:rPr>
        <w:t xml:space="preserve">. Un </w:t>
      </w:r>
      <w:r>
        <w:rPr>
          <w:rFonts w:eastAsia="Calibri" w:cs="Arial"/>
        </w:rPr>
        <w:t>26% de empresas de l</w:t>
      </w:r>
      <w:r w:rsidR="007B5306">
        <w:rPr>
          <w:rFonts w:eastAsia="Calibri" w:cs="Arial"/>
        </w:rPr>
        <w:t>a Economía Social se lanza</w:t>
      </w:r>
      <w:r w:rsidR="009F0259">
        <w:rPr>
          <w:rFonts w:eastAsia="Calibri" w:cs="Arial"/>
        </w:rPr>
        <w:t>, en este sentido,</w:t>
      </w:r>
      <w:r w:rsidR="007B5306">
        <w:rPr>
          <w:rFonts w:eastAsia="Calibri" w:cs="Arial"/>
        </w:rPr>
        <w:t xml:space="preserve"> </w:t>
      </w:r>
      <w:r>
        <w:rPr>
          <w:rFonts w:eastAsia="Calibri" w:cs="Arial"/>
        </w:rPr>
        <w:t>al desarrollo de actividades de innovación</w:t>
      </w:r>
      <w:r w:rsidR="009F0259">
        <w:rPr>
          <w:rFonts w:eastAsia="Calibri" w:cs="Arial"/>
        </w:rPr>
        <w:t xml:space="preserve">, dos puntos por encima del 24% que corresponde al </w:t>
      </w:r>
      <w:r>
        <w:rPr>
          <w:rFonts w:eastAsia="Calibri" w:cs="Arial"/>
        </w:rPr>
        <w:t>sector industrial general de la CAE.</w:t>
      </w:r>
    </w:p>
    <w:p w:rsidR="0065300F" w:rsidRDefault="0065300F" w:rsidP="0065300F">
      <w:pPr>
        <w:rPr>
          <w:rFonts w:eastAsia="Calibri" w:cs="Arial"/>
        </w:rPr>
      </w:pPr>
    </w:p>
    <w:p w:rsidR="00C10394" w:rsidRDefault="009F0259" w:rsidP="0065300F">
      <w:pPr>
        <w:rPr>
          <w:rFonts w:eastAsia="Calibri" w:cs="Arial"/>
        </w:rPr>
      </w:pPr>
      <w:r>
        <w:rPr>
          <w:rFonts w:eastAsia="Calibri" w:cs="Arial"/>
        </w:rPr>
        <w:t>En el sector servicios es en e</w:t>
      </w:r>
      <w:r w:rsidR="001814F1">
        <w:rPr>
          <w:rFonts w:eastAsia="Calibri" w:cs="Arial"/>
        </w:rPr>
        <w:t xml:space="preserve">l </w:t>
      </w:r>
      <w:r>
        <w:rPr>
          <w:rFonts w:eastAsia="Calibri" w:cs="Arial"/>
        </w:rPr>
        <w:t>que se detecta la mayor distancia entre la Economía Social y el sistema económico general de la CAE en los niveles de acceso a actividades de innovación. C</w:t>
      </w:r>
      <w:r w:rsidR="008D34F2">
        <w:rPr>
          <w:rFonts w:eastAsia="Calibri" w:cs="Arial"/>
        </w:rPr>
        <w:t xml:space="preserve">on una proporción </w:t>
      </w:r>
      <w:r w:rsidR="004C3A41">
        <w:rPr>
          <w:rFonts w:eastAsia="Calibri" w:cs="Arial"/>
        </w:rPr>
        <w:t>de empresas que emprende</w:t>
      </w:r>
      <w:r w:rsidR="004A0A3E">
        <w:rPr>
          <w:rFonts w:eastAsia="Calibri" w:cs="Arial"/>
        </w:rPr>
        <w:t xml:space="preserve"> acciones de innovación </w:t>
      </w:r>
      <w:r>
        <w:rPr>
          <w:rFonts w:eastAsia="Calibri" w:cs="Arial"/>
        </w:rPr>
        <w:t>del 22,9</w:t>
      </w:r>
      <w:r w:rsidR="008D34F2">
        <w:rPr>
          <w:rFonts w:eastAsia="Calibri" w:cs="Arial"/>
        </w:rPr>
        <w:t xml:space="preserve">%, </w:t>
      </w:r>
      <w:r>
        <w:rPr>
          <w:rFonts w:eastAsia="Calibri" w:cs="Arial"/>
        </w:rPr>
        <w:t xml:space="preserve">la Economía Social </w:t>
      </w:r>
      <w:r w:rsidR="001814F1">
        <w:rPr>
          <w:rFonts w:eastAsia="Calibri" w:cs="Arial"/>
        </w:rPr>
        <w:t>supera en 5,5 p</w:t>
      </w:r>
      <w:r>
        <w:rPr>
          <w:rFonts w:eastAsia="Calibri" w:cs="Arial"/>
        </w:rPr>
        <w:t>untos porcentuales</w:t>
      </w:r>
      <w:r w:rsidR="001814F1">
        <w:rPr>
          <w:rFonts w:eastAsia="Calibri" w:cs="Arial"/>
        </w:rPr>
        <w:t xml:space="preserve"> la proporción de empresas </w:t>
      </w:r>
      <w:r w:rsidR="00F75F74">
        <w:rPr>
          <w:rFonts w:eastAsia="Calibri" w:cs="Arial"/>
        </w:rPr>
        <w:t xml:space="preserve">terciarias </w:t>
      </w:r>
      <w:r w:rsidR="001814F1">
        <w:rPr>
          <w:rFonts w:eastAsia="Calibri" w:cs="Arial"/>
        </w:rPr>
        <w:t xml:space="preserve">innovadoras </w:t>
      </w:r>
      <w:r>
        <w:rPr>
          <w:rFonts w:eastAsia="Calibri" w:cs="Arial"/>
        </w:rPr>
        <w:t>observada</w:t>
      </w:r>
      <w:r w:rsidR="001814F1">
        <w:rPr>
          <w:rFonts w:eastAsia="Calibri" w:cs="Arial"/>
        </w:rPr>
        <w:t xml:space="preserve"> en la economía vasca en su conjunto</w:t>
      </w:r>
      <w:r>
        <w:rPr>
          <w:rFonts w:eastAsia="Calibri" w:cs="Arial"/>
        </w:rPr>
        <w:t xml:space="preserve"> (17,4%)</w:t>
      </w:r>
      <w:r w:rsidR="008D34F2">
        <w:rPr>
          <w:rFonts w:eastAsia="Calibri" w:cs="Arial"/>
        </w:rPr>
        <w:t>.</w:t>
      </w:r>
    </w:p>
    <w:p w:rsidR="0065300F" w:rsidRDefault="0065300F" w:rsidP="0065300F">
      <w:pPr>
        <w:rPr>
          <w:rFonts w:eastAsia="Calibri" w:cs="Arial"/>
        </w:rPr>
      </w:pPr>
    </w:p>
    <w:p w:rsidR="00773665" w:rsidRDefault="00C10394" w:rsidP="0065300F">
      <w:pPr>
        <w:rPr>
          <w:rFonts w:eastAsia="Calibri" w:cs="Arial"/>
        </w:rPr>
      </w:pPr>
      <w:r>
        <w:rPr>
          <w:rFonts w:eastAsia="Calibri" w:cs="Arial"/>
        </w:rPr>
        <w:t>E</w:t>
      </w:r>
      <w:r w:rsidR="008D34F2">
        <w:rPr>
          <w:rFonts w:eastAsia="Calibri" w:cs="Arial"/>
        </w:rPr>
        <w:t>n el caso de la construcción, la proporción</w:t>
      </w:r>
      <w:r w:rsidR="009F0259">
        <w:rPr>
          <w:rFonts w:eastAsia="Calibri" w:cs="Arial"/>
        </w:rPr>
        <w:t xml:space="preserve"> de acceso a la innovación</w:t>
      </w:r>
      <w:r w:rsidR="003C08E5">
        <w:rPr>
          <w:rFonts w:eastAsia="Calibri" w:cs="Arial"/>
        </w:rPr>
        <w:t xml:space="preserve"> </w:t>
      </w:r>
      <w:r w:rsidR="008D34F2">
        <w:rPr>
          <w:rFonts w:eastAsia="Calibri" w:cs="Arial"/>
        </w:rPr>
        <w:t xml:space="preserve">resulta significativamente más limitada </w:t>
      </w:r>
      <w:r w:rsidR="003C08E5">
        <w:rPr>
          <w:rFonts w:eastAsia="Calibri" w:cs="Arial"/>
        </w:rPr>
        <w:t>que en el resto de sectores de</w:t>
      </w:r>
      <w:r w:rsidR="008D34F2">
        <w:rPr>
          <w:rFonts w:eastAsia="Calibri" w:cs="Arial"/>
        </w:rPr>
        <w:t xml:space="preserve"> la Economía Social </w:t>
      </w:r>
      <w:r w:rsidR="009F0259">
        <w:rPr>
          <w:rFonts w:eastAsia="Calibri" w:cs="Arial"/>
        </w:rPr>
        <w:t xml:space="preserve">(8,2%). A diferencia de lo observado en la industria y los servicios, en este caso resulta incluso </w:t>
      </w:r>
      <w:r w:rsidR="008D34F2">
        <w:rPr>
          <w:rFonts w:eastAsia="Calibri" w:cs="Arial"/>
        </w:rPr>
        <w:t xml:space="preserve">inferior al </w:t>
      </w:r>
      <w:r w:rsidR="009F0259">
        <w:rPr>
          <w:rFonts w:eastAsia="Calibri" w:cs="Arial"/>
        </w:rPr>
        <w:t>10,5% que se observa en el conjunto del sector en la CAE</w:t>
      </w:r>
      <w:r w:rsidR="008D34F2">
        <w:rPr>
          <w:rFonts w:eastAsia="Calibri" w:cs="Arial"/>
        </w:rPr>
        <w:t>.</w:t>
      </w:r>
    </w:p>
    <w:p w:rsidR="0065300F" w:rsidRDefault="0065300F" w:rsidP="0065300F">
      <w:pPr>
        <w:rPr>
          <w:rFonts w:eastAsia="Calibri" w:cs="Arial"/>
        </w:rPr>
      </w:pPr>
    </w:p>
    <w:p w:rsidR="00D41EAA" w:rsidRDefault="00D41EAA" w:rsidP="00D41EAA">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 xml:space="preserve">REALIZACIÓN DE ACTIVIDADES DE INNOVACIÓN POR SECTOR DE ACTIVIDAD. 2014 </w:t>
      </w:r>
    </w:p>
    <w:p w:rsidR="00D41EAA" w:rsidRDefault="00D41EAA" w:rsidP="00D41EAA">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p w:rsidR="00D41EAA" w:rsidRDefault="00D41EAA" w:rsidP="00D41EAA">
      <w:pPr>
        <w:spacing w:line="240" w:lineRule="auto"/>
        <w:jc w:val="center"/>
        <w:rPr>
          <w:rFonts w:cs="Arial"/>
          <w:b/>
          <w:snapToGrid w:val="0"/>
          <w:color w:val="1F497D" w:themeColor="text2"/>
          <w:sz w:val="18"/>
          <w:szCs w:val="18"/>
          <w:lang w:val="es-ES_tradnl"/>
        </w:rPr>
      </w:pPr>
      <w:r w:rsidRPr="008843E4">
        <w:rPr>
          <w:rFonts w:cs="Arial"/>
          <w:b/>
          <w:noProof/>
          <w:snapToGrid w:val="0"/>
          <w:color w:val="1F497D" w:themeColor="text2"/>
          <w:sz w:val="18"/>
          <w:szCs w:val="18"/>
          <w:lang w:eastAsia="es-ES"/>
        </w:rPr>
        <w:drawing>
          <wp:inline distT="0" distB="0" distL="0" distR="0">
            <wp:extent cx="4965405" cy="1562986"/>
            <wp:effectExtent l="0" t="0" r="0" b="0"/>
            <wp:docPr id="8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B7EB5" w:rsidRDefault="003B7EB5" w:rsidP="0065300F">
      <w:pPr>
        <w:rPr>
          <w:rFonts w:eastAsia="Calibri" w:cs="Arial"/>
        </w:rPr>
      </w:pPr>
    </w:p>
    <w:p w:rsidR="0065300F" w:rsidRDefault="00E56870" w:rsidP="003B7EB5">
      <w:pPr>
        <w:rPr>
          <w:rFonts w:eastAsia="Calibri" w:cs="Arial"/>
        </w:rPr>
      </w:pPr>
      <w:r>
        <w:rPr>
          <w:rFonts w:eastAsia="Calibri" w:cs="Arial"/>
        </w:rPr>
        <w:t xml:space="preserve">Como cabría pensar de antemano, </w:t>
      </w:r>
      <w:r w:rsidRPr="00E56870">
        <w:rPr>
          <w:rFonts w:eastAsia="Calibri" w:cs="Arial"/>
        </w:rPr>
        <w:t xml:space="preserve">la dimensión empresarial favorece </w:t>
      </w:r>
      <w:r>
        <w:rPr>
          <w:rFonts w:eastAsia="Calibri" w:cs="Arial"/>
        </w:rPr>
        <w:t>la mayor propensión hacia la realización de actividades en el ámbito de la innovación</w:t>
      </w:r>
      <w:r w:rsidR="009F0259">
        <w:rPr>
          <w:rFonts w:eastAsia="Calibri" w:cs="Arial"/>
        </w:rPr>
        <w:t xml:space="preserve">. Así, </w:t>
      </w:r>
      <w:r>
        <w:rPr>
          <w:rFonts w:eastAsia="Calibri" w:cs="Arial"/>
        </w:rPr>
        <w:t>a medida que</w:t>
      </w:r>
      <w:r w:rsidR="00BF554C">
        <w:rPr>
          <w:rFonts w:eastAsia="Calibri" w:cs="Arial"/>
        </w:rPr>
        <w:t xml:space="preserve"> escala </w:t>
      </w:r>
      <w:r>
        <w:rPr>
          <w:rFonts w:eastAsia="Calibri" w:cs="Arial"/>
        </w:rPr>
        <w:t>el tamaño empresarial</w:t>
      </w:r>
      <w:r w:rsidR="00BF554C">
        <w:rPr>
          <w:rFonts w:eastAsia="Calibri" w:cs="Arial"/>
        </w:rPr>
        <w:t xml:space="preserve">, </w:t>
      </w:r>
      <w:r w:rsidR="009F0259">
        <w:rPr>
          <w:rFonts w:eastAsia="Calibri" w:cs="Arial"/>
        </w:rPr>
        <w:t xml:space="preserve">se incrementa </w:t>
      </w:r>
      <w:r>
        <w:rPr>
          <w:rFonts w:eastAsia="Calibri" w:cs="Arial"/>
        </w:rPr>
        <w:t xml:space="preserve">la proporción de empresas que ha realizado alguna actividad en el ámbito de la innovación en el bienio 2012-2014 </w:t>
      </w:r>
      <w:r w:rsidR="004C3A41">
        <w:rPr>
          <w:rFonts w:eastAsia="Calibri" w:cs="Arial"/>
        </w:rPr>
        <w:t>hasta</w:t>
      </w:r>
      <w:r w:rsidR="00BF554C">
        <w:rPr>
          <w:rFonts w:eastAsia="Calibri" w:cs="Arial"/>
        </w:rPr>
        <w:t xml:space="preserve"> </w:t>
      </w:r>
      <w:r w:rsidR="009F0259">
        <w:rPr>
          <w:rFonts w:eastAsia="Calibri" w:cs="Arial"/>
        </w:rPr>
        <w:t xml:space="preserve">alcanzar </w:t>
      </w:r>
      <w:r w:rsidR="00BF554C">
        <w:rPr>
          <w:rFonts w:eastAsia="Calibri" w:cs="Arial"/>
        </w:rPr>
        <w:t>un 89,4% entre l</w:t>
      </w:r>
      <w:r w:rsidR="00F37638">
        <w:rPr>
          <w:rFonts w:eastAsia="Calibri" w:cs="Arial"/>
        </w:rPr>
        <w:t xml:space="preserve">as empresas de 201-500 empleos </w:t>
      </w:r>
      <w:r w:rsidR="009F0259">
        <w:rPr>
          <w:rFonts w:eastAsia="Calibri" w:cs="Arial"/>
        </w:rPr>
        <w:t xml:space="preserve">y al 100% de las empresas con más de 500 </w:t>
      </w:r>
      <w:r w:rsidR="00BF554C">
        <w:rPr>
          <w:rFonts w:eastAsia="Calibri" w:cs="Arial"/>
        </w:rPr>
        <w:t>empleos</w:t>
      </w:r>
      <w:r w:rsidR="00F52F81">
        <w:rPr>
          <w:rFonts w:eastAsia="Calibri" w:cs="Arial"/>
        </w:rPr>
        <w:t>. El impacto ya resulta significativo, sin embargo, en los centros de 51 a 200 empleos, con proporciones de participación en las actividades de innovación que se sitúan entre el 65 y 70%</w:t>
      </w:r>
      <w:r w:rsidR="00BF554C">
        <w:rPr>
          <w:rFonts w:eastAsia="Calibri" w:cs="Arial"/>
        </w:rPr>
        <w:t>.</w:t>
      </w:r>
      <w:r w:rsidR="0065300F">
        <w:rPr>
          <w:rFonts w:eastAsia="Calibri" w:cs="Arial"/>
        </w:rPr>
        <w:br w:type="page"/>
      </w:r>
    </w:p>
    <w:p w:rsidR="00BF554C" w:rsidRDefault="00F52F81" w:rsidP="00F52F81">
      <w:pPr>
        <w:rPr>
          <w:rFonts w:eastAsia="Calibri" w:cs="Arial"/>
        </w:rPr>
      </w:pPr>
      <w:r>
        <w:rPr>
          <w:rFonts w:eastAsia="Calibri" w:cs="Arial"/>
        </w:rPr>
        <w:lastRenderedPageBreak/>
        <w:t xml:space="preserve">En las empresas con menos de 50 empleos, la proporción de </w:t>
      </w:r>
      <w:r w:rsidR="00BF554C">
        <w:rPr>
          <w:rFonts w:eastAsia="Calibri" w:cs="Arial"/>
        </w:rPr>
        <w:t>empresas que se suman a</w:t>
      </w:r>
      <w:r w:rsidR="00103E76">
        <w:rPr>
          <w:rFonts w:eastAsia="Calibri" w:cs="Arial"/>
        </w:rPr>
        <w:t xml:space="preserve"> emprender actividades en el ámbito de</w:t>
      </w:r>
      <w:r w:rsidR="00BF554C">
        <w:rPr>
          <w:rFonts w:eastAsia="Calibri" w:cs="Arial"/>
        </w:rPr>
        <w:t xml:space="preserve"> la innovación </w:t>
      </w:r>
      <w:r>
        <w:rPr>
          <w:rFonts w:eastAsia="Calibri" w:cs="Arial"/>
        </w:rPr>
        <w:t xml:space="preserve">resulta más limitada, con un mínimo del </w:t>
      </w:r>
      <w:r w:rsidR="00BF554C">
        <w:rPr>
          <w:rFonts w:eastAsia="Calibri" w:cs="Arial"/>
        </w:rPr>
        <w:t>11,4%</w:t>
      </w:r>
      <w:r>
        <w:rPr>
          <w:rFonts w:eastAsia="Calibri" w:cs="Arial"/>
        </w:rPr>
        <w:t xml:space="preserve"> en las empresas con menos de 6 empleos y 25,7% en las de </w:t>
      </w:r>
      <w:r w:rsidR="00BF554C">
        <w:rPr>
          <w:rFonts w:eastAsia="Calibri" w:cs="Arial"/>
        </w:rPr>
        <w:t>6 y 15 empleos</w:t>
      </w:r>
      <w:r w:rsidR="004C3A41">
        <w:rPr>
          <w:rFonts w:eastAsia="Calibri" w:cs="Arial"/>
        </w:rPr>
        <w:t>.</w:t>
      </w:r>
      <w:r>
        <w:rPr>
          <w:rFonts w:eastAsia="Calibri" w:cs="Arial"/>
        </w:rPr>
        <w:t xml:space="preserve"> La proporción es también inferior al 50% en las empresas de 16 a 50 empleos (43,9%).</w:t>
      </w:r>
    </w:p>
    <w:p w:rsidR="0065300F" w:rsidRDefault="0065300F" w:rsidP="0065300F">
      <w:pPr>
        <w:rPr>
          <w:rFonts w:eastAsia="Calibri" w:cs="Arial"/>
        </w:rPr>
      </w:pPr>
    </w:p>
    <w:p w:rsidR="00BF554C" w:rsidRDefault="00374C9D" w:rsidP="0065300F">
      <w:pPr>
        <w:rPr>
          <w:rFonts w:cs="Arial"/>
          <w:b/>
        </w:rPr>
      </w:pPr>
      <w:r>
        <w:rPr>
          <w:rFonts w:cs="Arial"/>
          <w:b/>
        </w:rPr>
        <w:t>La innovación tiene un efecto positivo sobre el empleo que resulta similar en la Economía Social y en el conjunto del sistema económico de la CAE</w:t>
      </w:r>
      <w:r w:rsidR="00594762">
        <w:rPr>
          <w:rFonts w:cs="Arial"/>
          <w:b/>
        </w:rPr>
        <w:t>.</w:t>
      </w:r>
    </w:p>
    <w:p w:rsidR="0065300F" w:rsidRPr="00374C9D" w:rsidRDefault="0065300F" w:rsidP="0065300F">
      <w:pPr>
        <w:rPr>
          <w:rFonts w:cs="Arial"/>
        </w:rPr>
      </w:pPr>
    </w:p>
    <w:p w:rsidR="00353A94" w:rsidRDefault="00374C9D" w:rsidP="0065300F">
      <w:pPr>
        <w:rPr>
          <w:rFonts w:cs="Arial"/>
        </w:rPr>
      </w:pPr>
      <w:r>
        <w:rPr>
          <w:rFonts w:cs="Arial"/>
        </w:rPr>
        <w:t xml:space="preserve">Un 52,6% de las </w:t>
      </w:r>
      <w:r w:rsidR="00353A94" w:rsidRPr="00353A94">
        <w:rPr>
          <w:rFonts w:cs="Arial"/>
        </w:rPr>
        <w:t xml:space="preserve">empresas que han </w:t>
      </w:r>
      <w:r w:rsidR="00353A94">
        <w:rPr>
          <w:rFonts w:cs="Arial"/>
        </w:rPr>
        <w:t>puesto en marcha acciones</w:t>
      </w:r>
      <w:r>
        <w:rPr>
          <w:rFonts w:cs="Arial"/>
        </w:rPr>
        <w:t xml:space="preserve"> de</w:t>
      </w:r>
      <w:r w:rsidR="00353A94">
        <w:rPr>
          <w:rFonts w:cs="Arial"/>
        </w:rPr>
        <w:t xml:space="preserve"> innovación</w:t>
      </w:r>
      <w:r>
        <w:rPr>
          <w:rFonts w:cs="Arial"/>
        </w:rPr>
        <w:t xml:space="preserve"> en el ámbito de la Economía Social señala que la innovación desarrollada ha incidido sobre el nivel de empleo en la empresa. Se trata de una proporción cercana al 53,7% que caracteriza a la empresas con esta misma dinámica de innovación en conjunto del </w:t>
      </w:r>
      <w:r w:rsidR="0039239C">
        <w:rPr>
          <w:rFonts w:cs="Arial"/>
        </w:rPr>
        <w:t xml:space="preserve">tejido empresarial </w:t>
      </w:r>
      <w:r>
        <w:rPr>
          <w:rFonts w:cs="Arial"/>
        </w:rPr>
        <w:t>de la CAE.</w:t>
      </w:r>
    </w:p>
    <w:p w:rsidR="0065300F" w:rsidRPr="00353A94" w:rsidRDefault="0065300F" w:rsidP="0065300F">
      <w:pPr>
        <w:rPr>
          <w:rFonts w:cs="Arial"/>
        </w:rPr>
      </w:pPr>
    </w:p>
    <w:p w:rsidR="0017169E" w:rsidRDefault="0017169E" w:rsidP="0017169E">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 xml:space="preserve">IMPACTO DE LA INNOVACIÓN SOBRE EL EMPLEO TOTAL. 2014 </w:t>
      </w:r>
    </w:p>
    <w:p w:rsidR="0017169E" w:rsidRDefault="0017169E" w:rsidP="0017169E">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 empresas que confirman algún tipo de impacto de la innovación sobre el empleo)</w:t>
      </w:r>
    </w:p>
    <w:p w:rsidR="0017169E" w:rsidRDefault="0017169E" w:rsidP="0017169E">
      <w:pPr>
        <w:jc w:val="center"/>
        <w:rPr>
          <w:lang w:val="es-ES_tradnl" w:eastAsia="es-ES"/>
        </w:rPr>
      </w:pPr>
      <w:r w:rsidRPr="00641140">
        <w:rPr>
          <w:noProof/>
          <w:lang w:eastAsia="es-ES"/>
        </w:rPr>
        <w:drawing>
          <wp:inline distT="0" distB="0" distL="0" distR="0">
            <wp:extent cx="4457700" cy="1524000"/>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7169E" w:rsidRDefault="0017169E" w:rsidP="0017169E">
      <w:pPr>
        <w:spacing w:line="240" w:lineRule="auto"/>
        <w:ind w:left="708"/>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17169E" w:rsidRDefault="0017169E" w:rsidP="0017169E">
      <w:pPr>
        <w:ind w:left="708"/>
        <w:rPr>
          <w:rFonts w:eastAsia="Times New Roman" w:cs="Arial"/>
          <w:i/>
          <w:sz w:val="16"/>
          <w:szCs w:val="20"/>
          <w:lang w:val="es-ES_tradnl" w:eastAsia="es-ES"/>
        </w:rPr>
      </w:pPr>
      <w:r w:rsidRPr="00406864">
        <w:rPr>
          <w:rFonts w:eastAsia="Times New Roman" w:cs="Arial"/>
          <w:i/>
          <w:sz w:val="16"/>
          <w:szCs w:val="20"/>
          <w:lang w:val="es-ES_tradnl" w:eastAsia="es-ES"/>
        </w:rPr>
        <w:t xml:space="preserve">Base: </w:t>
      </w:r>
      <w:r>
        <w:rPr>
          <w:rFonts w:eastAsia="Times New Roman" w:cs="Arial"/>
          <w:i/>
          <w:sz w:val="16"/>
          <w:szCs w:val="20"/>
          <w:lang w:val="es-ES_tradnl" w:eastAsia="es-ES"/>
        </w:rPr>
        <w:t>E</w:t>
      </w:r>
      <w:r w:rsidRPr="00406864">
        <w:rPr>
          <w:rFonts w:eastAsia="Times New Roman" w:cs="Arial"/>
          <w:i/>
          <w:sz w:val="16"/>
          <w:szCs w:val="20"/>
          <w:lang w:val="es-ES_tradnl" w:eastAsia="es-ES"/>
        </w:rPr>
        <w:t>mpresas que han realizado innovación en el periodo 2012-2014</w:t>
      </w:r>
    </w:p>
    <w:p w:rsidR="0097699A" w:rsidRPr="00374C9D" w:rsidRDefault="0097699A" w:rsidP="0065300F">
      <w:pPr>
        <w:rPr>
          <w:rFonts w:cs="Arial"/>
        </w:rPr>
      </w:pPr>
    </w:p>
    <w:p w:rsidR="00374C9D" w:rsidRPr="00374C9D" w:rsidRDefault="00374C9D" w:rsidP="0065300F">
      <w:pPr>
        <w:rPr>
          <w:rFonts w:cs="Arial"/>
        </w:rPr>
      </w:pPr>
    </w:p>
    <w:p w:rsidR="00AE29E4" w:rsidRDefault="00374C9D" w:rsidP="0065300F">
      <w:pPr>
        <w:rPr>
          <w:rFonts w:cs="Arial"/>
          <w:b/>
        </w:rPr>
      </w:pPr>
      <w:r>
        <w:rPr>
          <w:rFonts w:cs="Arial"/>
          <w:b/>
        </w:rPr>
        <w:t xml:space="preserve">La actuación innovadora </w:t>
      </w:r>
      <w:r w:rsidR="00DF2BB3">
        <w:rPr>
          <w:rFonts w:cs="Arial"/>
          <w:b/>
        </w:rPr>
        <w:t>revierte</w:t>
      </w:r>
      <w:r w:rsidR="00A92322">
        <w:rPr>
          <w:rFonts w:cs="Arial"/>
          <w:b/>
        </w:rPr>
        <w:t xml:space="preserve"> comparativamente </w:t>
      </w:r>
      <w:r w:rsidR="00DF2BB3">
        <w:rPr>
          <w:rFonts w:cs="Arial"/>
          <w:b/>
        </w:rPr>
        <w:t>de forma más</w:t>
      </w:r>
      <w:r w:rsidR="00A92322">
        <w:rPr>
          <w:rFonts w:cs="Arial"/>
          <w:b/>
        </w:rPr>
        <w:t xml:space="preserve"> favorable en</w:t>
      </w:r>
      <w:r w:rsidR="00911BA5">
        <w:rPr>
          <w:rFonts w:cs="Arial"/>
          <w:b/>
        </w:rPr>
        <w:t xml:space="preserve"> </w:t>
      </w:r>
      <w:r w:rsidR="00A92322">
        <w:rPr>
          <w:rFonts w:cs="Arial"/>
          <w:b/>
        </w:rPr>
        <w:t>el empleo de la Economía Social</w:t>
      </w:r>
      <w:r w:rsidR="00911BA5">
        <w:rPr>
          <w:rFonts w:cs="Arial"/>
          <w:b/>
        </w:rPr>
        <w:t>, en especial en lo relativo al más cualificado</w:t>
      </w:r>
      <w:r w:rsidR="00105495">
        <w:rPr>
          <w:rFonts w:cs="Arial"/>
          <w:b/>
        </w:rPr>
        <w:t>.</w:t>
      </w:r>
    </w:p>
    <w:p w:rsidR="0065300F" w:rsidRPr="00911BA5" w:rsidRDefault="0065300F" w:rsidP="0065300F">
      <w:pPr>
        <w:rPr>
          <w:rFonts w:cs="Arial"/>
        </w:rPr>
      </w:pPr>
    </w:p>
    <w:p w:rsidR="00911BA5" w:rsidRDefault="00374C9D" w:rsidP="00911BA5">
      <w:pPr>
        <w:rPr>
          <w:rFonts w:cs="Arial"/>
        </w:rPr>
      </w:pPr>
      <w:r>
        <w:rPr>
          <w:rFonts w:cs="Arial"/>
        </w:rPr>
        <w:t xml:space="preserve">En comparación con el conjunto de la economía vasca, </w:t>
      </w:r>
      <w:r w:rsidR="0097699A" w:rsidRPr="00A92322">
        <w:rPr>
          <w:rFonts w:cs="Arial"/>
        </w:rPr>
        <w:t>el</w:t>
      </w:r>
      <w:r w:rsidR="0017169E" w:rsidRPr="00A92322">
        <w:rPr>
          <w:rFonts w:cs="Arial"/>
        </w:rPr>
        <w:t xml:space="preserve"> impacto</w:t>
      </w:r>
      <w:r w:rsidR="0097699A" w:rsidRPr="00A92322">
        <w:rPr>
          <w:rFonts w:cs="Arial"/>
        </w:rPr>
        <w:t xml:space="preserve"> </w:t>
      </w:r>
      <w:r w:rsidR="00DF2BB3">
        <w:rPr>
          <w:rFonts w:cs="Arial"/>
        </w:rPr>
        <w:t xml:space="preserve">derivado de la innovación </w:t>
      </w:r>
      <w:r w:rsidR="00A92322" w:rsidRPr="00A92322">
        <w:rPr>
          <w:rFonts w:cs="Arial"/>
        </w:rPr>
        <w:t xml:space="preserve">en la Economía Social </w:t>
      </w:r>
      <w:r>
        <w:rPr>
          <w:rFonts w:cs="Arial"/>
        </w:rPr>
        <w:t xml:space="preserve">tiene sin embargo una incidencia más directa en la </w:t>
      </w:r>
      <w:r w:rsidR="00DF2BB3">
        <w:rPr>
          <w:rFonts w:cs="Arial"/>
        </w:rPr>
        <w:t xml:space="preserve">evolución del empleo cualificado. De </w:t>
      </w:r>
      <w:r>
        <w:rPr>
          <w:rFonts w:cs="Arial"/>
        </w:rPr>
        <w:t xml:space="preserve">esta </w:t>
      </w:r>
      <w:r w:rsidR="00DF2BB3">
        <w:rPr>
          <w:rFonts w:cs="Arial"/>
        </w:rPr>
        <w:t>forma</w:t>
      </w:r>
      <w:r>
        <w:rPr>
          <w:rFonts w:cs="Arial"/>
        </w:rPr>
        <w:t xml:space="preserve">, </w:t>
      </w:r>
      <w:r w:rsidR="00DF2BB3">
        <w:rPr>
          <w:rFonts w:cs="Arial"/>
        </w:rPr>
        <w:t xml:space="preserve">cerca </w:t>
      </w:r>
      <w:r w:rsidR="00911BA5">
        <w:rPr>
          <w:rFonts w:cs="Arial"/>
        </w:rPr>
        <w:t>20,1</w:t>
      </w:r>
      <w:r w:rsidR="00DF2BB3">
        <w:rPr>
          <w:rFonts w:cs="Arial"/>
        </w:rPr>
        <w:t>% de las empresas de la Economía Social que ha innovado en estos dos últimos años</w:t>
      </w:r>
      <w:r w:rsidR="00911BA5">
        <w:rPr>
          <w:rFonts w:cs="Arial"/>
        </w:rPr>
        <w:t xml:space="preserve"> señala que ha aumentado el empleo total por 18,7% en el conjunto de la </w:t>
      </w:r>
      <w:r w:rsidR="00911BA5" w:rsidRPr="00105495">
        <w:rPr>
          <w:rFonts w:cs="Arial"/>
        </w:rPr>
        <w:t>economía. El saldo neto entre creación y reducción de empleo en este tipo de empresas se sitúa en 19,9 puntos porcentuales en la Economía Social por 12,7 en el conjunto de la economía vasca.</w:t>
      </w:r>
      <w:r w:rsidR="00911BA5">
        <w:rPr>
          <w:rFonts w:cs="Arial"/>
          <w:color w:val="FF0000"/>
        </w:rPr>
        <w:t xml:space="preserve"> </w:t>
      </w:r>
      <w:r w:rsidR="00911BA5">
        <w:rPr>
          <w:rFonts w:cs="Arial"/>
        </w:rPr>
        <w:t>Esto se vincula a que la innovación tiene un efecto neutro o prácticamente nulo sobre una derivada en la reducción del empleo. Tan solo un 0,2% de las empresas de la Economía Social apunta un impacto en esta dirección por 6% en el conjunto de las empresas vascas.</w:t>
      </w:r>
    </w:p>
    <w:p w:rsidR="00911BA5" w:rsidRPr="00911BA5" w:rsidRDefault="00911BA5" w:rsidP="0065300F">
      <w:pPr>
        <w:rPr>
          <w:rFonts w:cs="Arial"/>
        </w:rPr>
      </w:pPr>
    </w:p>
    <w:p w:rsidR="00911BA5" w:rsidRDefault="00911BA5">
      <w:pPr>
        <w:spacing w:after="200" w:line="276" w:lineRule="auto"/>
        <w:jc w:val="left"/>
        <w:rPr>
          <w:rFonts w:cs="Arial"/>
        </w:rPr>
      </w:pPr>
      <w:r>
        <w:rPr>
          <w:rFonts w:cs="Arial"/>
        </w:rPr>
        <w:br w:type="page"/>
      </w:r>
    </w:p>
    <w:p w:rsidR="00DF2BB3" w:rsidRDefault="00911BA5" w:rsidP="0065300F">
      <w:pPr>
        <w:rPr>
          <w:rFonts w:cs="Arial"/>
        </w:rPr>
      </w:pPr>
      <w:r>
        <w:rPr>
          <w:rFonts w:cs="Arial"/>
        </w:rPr>
        <w:lastRenderedPageBreak/>
        <w:t>El impacto positivo de la creación de empleo, ligada a la innovación en la Economía Social</w:t>
      </w:r>
      <w:r w:rsidR="00DF2BB3">
        <w:rPr>
          <w:rFonts w:cs="Arial"/>
        </w:rPr>
        <w:t xml:space="preserve">, </w:t>
      </w:r>
      <w:r>
        <w:rPr>
          <w:rFonts w:cs="Arial"/>
        </w:rPr>
        <w:t>resulta además comparativamente mayor cuando se refiere al empleo cualificado. Entonces, un 20,9% de las empresas de las FCES señalan un impacto favorable en el incremento de este tipo de empleo frente a 15% en la economía vasca.</w:t>
      </w:r>
    </w:p>
    <w:p w:rsidR="0065300F" w:rsidRDefault="0065300F" w:rsidP="0065300F">
      <w:pPr>
        <w:rPr>
          <w:rFonts w:cs="Arial"/>
        </w:rPr>
      </w:pPr>
    </w:p>
    <w:p w:rsidR="002539FD" w:rsidRDefault="002539FD" w:rsidP="002539FD">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TIPO DE IMPACTOS DE LA INNOVACIÓN SOBRE EL EMPLEO TOTAL. 2014</w:t>
      </w:r>
    </w:p>
    <w:p w:rsidR="002539FD" w:rsidRDefault="002539FD" w:rsidP="002539FD">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 empresas que confirman impacto de la innovación sobre el empleo)</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622"/>
        <w:gridCol w:w="2159"/>
        <w:gridCol w:w="2159"/>
      </w:tblGrid>
      <w:tr w:rsidR="002539FD" w:rsidRPr="00F4159C" w:rsidTr="00540C90">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2539FD" w:rsidRPr="00F4159C" w:rsidRDefault="002539FD" w:rsidP="00540C90">
            <w:pPr>
              <w:spacing w:line="240" w:lineRule="exact"/>
              <w:rPr>
                <w:rFonts w:cs="Arial"/>
                <w:b/>
                <w:bCs/>
                <w:sz w:val="16"/>
                <w:szCs w:val="16"/>
              </w:rPr>
            </w:pPr>
          </w:p>
        </w:tc>
        <w:tc>
          <w:tcPr>
            <w:tcW w:w="2159"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2539FD" w:rsidRDefault="002539FD" w:rsidP="00540C90">
            <w:pPr>
              <w:spacing w:line="240" w:lineRule="exact"/>
              <w:jc w:val="center"/>
              <w:rPr>
                <w:rFonts w:cs="Arial"/>
                <w:b/>
                <w:bCs/>
                <w:sz w:val="16"/>
                <w:szCs w:val="16"/>
                <w:lang w:val="en-GB"/>
              </w:rPr>
            </w:pPr>
            <w:r w:rsidRPr="0003702B">
              <w:rPr>
                <w:rFonts w:cs="Arial"/>
                <w:b/>
                <w:bCs/>
                <w:sz w:val="16"/>
                <w:szCs w:val="16"/>
              </w:rPr>
              <w:t xml:space="preserve">Economía </w:t>
            </w:r>
            <w:r>
              <w:rPr>
                <w:rFonts w:cs="Arial"/>
                <w:b/>
                <w:bCs/>
                <w:sz w:val="16"/>
                <w:szCs w:val="16"/>
                <w:lang w:val="en-GB"/>
              </w:rPr>
              <w:t>Social</w:t>
            </w:r>
          </w:p>
          <w:p w:rsidR="002539FD" w:rsidRPr="00F4159C" w:rsidRDefault="002539FD" w:rsidP="00540C90">
            <w:pPr>
              <w:spacing w:line="240" w:lineRule="exact"/>
              <w:jc w:val="center"/>
              <w:rPr>
                <w:rFonts w:cs="Arial"/>
                <w:b/>
                <w:bCs/>
                <w:sz w:val="16"/>
                <w:szCs w:val="16"/>
                <w:lang w:val="en-GB"/>
              </w:rPr>
            </w:pPr>
            <w:r>
              <w:rPr>
                <w:rFonts w:cs="Arial"/>
                <w:b/>
                <w:bCs/>
                <w:sz w:val="16"/>
                <w:szCs w:val="16"/>
                <w:lang w:val="en-GB"/>
              </w:rPr>
              <w:t>%</w:t>
            </w:r>
          </w:p>
        </w:tc>
        <w:tc>
          <w:tcPr>
            <w:tcW w:w="2159"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2539FD" w:rsidRDefault="002539FD" w:rsidP="00540C90">
            <w:pPr>
              <w:spacing w:line="240" w:lineRule="exact"/>
              <w:jc w:val="center"/>
              <w:rPr>
                <w:rFonts w:cs="Arial"/>
                <w:b/>
                <w:bCs/>
                <w:sz w:val="16"/>
                <w:szCs w:val="16"/>
                <w:lang w:val="en-GB"/>
              </w:rPr>
            </w:pPr>
            <w:r w:rsidRPr="0003702B">
              <w:rPr>
                <w:rFonts w:cs="Arial"/>
                <w:b/>
                <w:bCs/>
                <w:sz w:val="16"/>
                <w:szCs w:val="16"/>
              </w:rPr>
              <w:t>Economía</w:t>
            </w:r>
            <w:r>
              <w:rPr>
                <w:rFonts w:cs="Arial"/>
                <w:b/>
                <w:bCs/>
                <w:sz w:val="16"/>
                <w:szCs w:val="16"/>
                <w:lang w:val="en-GB"/>
              </w:rPr>
              <w:t xml:space="preserve"> CAE</w:t>
            </w:r>
          </w:p>
          <w:p w:rsidR="002539FD" w:rsidRPr="00F4159C" w:rsidRDefault="002539FD" w:rsidP="00540C90">
            <w:pPr>
              <w:spacing w:line="240" w:lineRule="exact"/>
              <w:jc w:val="center"/>
              <w:rPr>
                <w:rFonts w:cs="Arial"/>
                <w:b/>
                <w:bCs/>
                <w:sz w:val="16"/>
                <w:szCs w:val="16"/>
              </w:rPr>
            </w:pPr>
            <w:r>
              <w:rPr>
                <w:rFonts w:cs="Arial"/>
                <w:b/>
                <w:bCs/>
                <w:sz w:val="16"/>
                <w:szCs w:val="16"/>
                <w:lang w:val="en-GB"/>
              </w:rPr>
              <w:t>%</w:t>
            </w:r>
          </w:p>
        </w:tc>
      </w:tr>
      <w:tr w:rsidR="002539FD" w:rsidRPr="00F4159C" w:rsidTr="00540C90">
        <w:trPr>
          <w:jc w:val="center"/>
        </w:trPr>
        <w:tc>
          <w:tcPr>
            <w:tcW w:w="0" w:type="auto"/>
            <w:tcBorders>
              <w:top w:val="single" w:sz="4" w:space="0" w:color="BFBFBF" w:themeColor="background1" w:themeShade="BF"/>
              <w:right w:val="single" w:sz="4" w:space="0" w:color="BFBFBF" w:themeColor="background1" w:themeShade="BF"/>
            </w:tcBorders>
            <w:noWrap/>
          </w:tcPr>
          <w:p w:rsidR="002539FD" w:rsidRPr="002917B0" w:rsidRDefault="002539FD" w:rsidP="00540C90">
            <w:pPr>
              <w:spacing w:line="240" w:lineRule="exact"/>
              <w:jc w:val="left"/>
              <w:rPr>
                <w:rFonts w:cs="Arial"/>
                <w:sz w:val="16"/>
                <w:szCs w:val="16"/>
              </w:rPr>
            </w:pPr>
            <w:r w:rsidRPr="002917B0">
              <w:rPr>
                <w:rFonts w:cs="Arial"/>
                <w:sz w:val="16"/>
                <w:szCs w:val="16"/>
              </w:rPr>
              <w:t xml:space="preserve">Ha aumentado el empleo total </w:t>
            </w:r>
          </w:p>
        </w:tc>
        <w:tc>
          <w:tcPr>
            <w:tcW w:w="2159" w:type="dxa"/>
            <w:tcBorders>
              <w:top w:val="single" w:sz="4" w:space="0" w:color="BFBFBF" w:themeColor="background1" w:themeShade="BF"/>
              <w:right w:val="single" w:sz="4" w:space="0" w:color="BFBFBF" w:themeColor="background1" w:themeShade="BF"/>
            </w:tcBorders>
          </w:tcPr>
          <w:p w:rsidR="002539FD" w:rsidRPr="00EE16BE" w:rsidRDefault="002539FD" w:rsidP="00540C90">
            <w:pPr>
              <w:spacing w:line="240" w:lineRule="exact"/>
              <w:ind w:right="170"/>
              <w:jc w:val="center"/>
              <w:rPr>
                <w:rFonts w:cs="Arial"/>
                <w:bCs/>
                <w:sz w:val="16"/>
                <w:szCs w:val="16"/>
              </w:rPr>
            </w:pPr>
            <w:r>
              <w:rPr>
                <w:rFonts w:cs="Arial"/>
                <w:bCs/>
                <w:sz w:val="16"/>
                <w:szCs w:val="16"/>
              </w:rPr>
              <w:t>20,1</w:t>
            </w:r>
          </w:p>
        </w:tc>
        <w:tc>
          <w:tcPr>
            <w:tcW w:w="2159" w:type="dxa"/>
            <w:tcBorders>
              <w:top w:val="single" w:sz="4" w:space="0" w:color="BFBFBF" w:themeColor="background1" w:themeShade="BF"/>
              <w:right w:val="nil"/>
            </w:tcBorders>
          </w:tcPr>
          <w:p w:rsidR="002539FD" w:rsidRPr="00EE16BE" w:rsidRDefault="002539FD" w:rsidP="00540C90">
            <w:pPr>
              <w:spacing w:line="240" w:lineRule="exact"/>
              <w:ind w:right="170"/>
              <w:jc w:val="center"/>
              <w:rPr>
                <w:rFonts w:cs="Arial"/>
                <w:bCs/>
                <w:sz w:val="16"/>
                <w:szCs w:val="16"/>
              </w:rPr>
            </w:pPr>
            <w:r>
              <w:rPr>
                <w:rFonts w:cs="Arial"/>
                <w:bCs/>
                <w:sz w:val="16"/>
                <w:szCs w:val="16"/>
              </w:rPr>
              <w:t>18,7</w:t>
            </w:r>
          </w:p>
        </w:tc>
      </w:tr>
      <w:tr w:rsidR="002539FD" w:rsidRPr="00F4159C" w:rsidTr="00540C90">
        <w:trPr>
          <w:jc w:val="center"/>
        </w:trPr>
        <w:tc>
          <w:tcPr>
            <w:tcW w:w="0" w:type="auto"/>
            <w:tcBorders>
              <w:right w:val="single" w:sz="4" w:space="0" w:color="BFBFBF" w:themeColor="background1" w:themeShade="BF"/>
            </w:tcBorders>
            <w:noWrap/>
          </w:tcPr>
          <w:p w:rsidR="002539FD" w:rsidRPr="00BC494E" w:rsidRDefault="002539FD" w:rsidP="00540C90">
            <w:pPr>
              <w:spacing w:line="240" w:lineRule="exact"/>
              <w:jc w:val="left"/>
              <w:rPr>
                <w:rFonts w:cs="Arial"/>
                <w:sz w:val="16"/>
                <w:szCs w:val="16"/>
              </w:rPr>
            </w:pPr>
            <w:r>
              <w:rPr>
                <w:rFonts w:cs="Arial"/>
                <w:sz w:val="16"/>
                <w:szCs w:val="16"/>
              </w:rPr>
              <w:t xml:space="preserve">Ha aumentado el empleo cualificado </w:t>
            </w:r>
          </w:p>
        </w:tc>
        <w:tc>
          <w:tcPr>
            <w:tcW w:w="2159" w:type="dxa"/>
            <w:tcBorders>
              <w:right w:val="single" w:sz="4" w:space="0" w:color="BFBFBF" w:themeColor="background1" w:themeShade="BF"/>
            </w:tcBorders>
          </w:tcPr>
          <w:p w:rsidR="002539FD" w:rsidRPr="00EE16BE" w:rsidRDefault="002539FD" w:rsidP="00540C90">
            <w:pPr>
              <w:spacing w:line="240" w:lineRule="exact"/>
              <w:ind w:right="170"/>
              <w:jc w:val="center"/>
              <w:rPr>
                <w:rFonts w:cs="Arial"/>
                <w:bCs/>
                <w:sz w:val="16"/>
                <w:szCs w:val="16"/>
              </w:rPr>
            </w:pPr>
            <w:r>
              <w:rPr>
                <w:rFonts w:cs="Arial"/>
                <w:bCs/>
                <w:sz w:val="16"/>
                <w:szCs w:val="16"/>
              </w:rPr>
              <w:t>20,9</w:t>
            </w:r>
          </w:p>
        </w:tc>
        <w:tc>
          <w:tcPr>
            <w:tcW w:w="2159" w:type="dxa"/>
            <w:tcBorders>
              <w:right w:val="nil"/>
            </w:tcBorders>
          </w:tcPr>
          <w:p w:rsidR="002539FD" w:rsidRDefault="002539FD" w:rsidP="00540C90">
            <w:pPr>
              <w:spacing w:line="240" w:lineRule="exact"/>
              <w:ind w:right="170"/>
              <w:jc w:val="center"/>
              <w:rPr>
                <w:rFonts w:cs="Arial"/>
                <w:bCs/>
                <w:sz w:val="16"/>
                <w:szCs w:val="16"/>
              </w:rPr>
            </w:pPr>
            <w:r>
              <w:rPr>
                <w:rFonts w:cs="Arial"/>
                <w:bCs/>
                <w:sz w:val="16"/>
                <w:szCs w:val="16"/>
              </w:rPr>
              <w:t>15,0</w:t>
            </w:r>
          </w:p>
        </w:tc>
      </w:tr>
      <w:tr w:rsidR="002539FD" w:rsidRPr="00F4159C" w:rsidTr="00540C90">
        <w:trPr>
          <w:jc w:val="center"/>
        </w:trPr>
        <w:tc>
          <w:tcPr>
            <w:tcW w:w="0" w:type="auto"/>
            <w:tcBorders>
              <w:right w:val="single" w:sz="4" w:space="0" w:color="BFBFBF" w:themeColor="background1" w:themeShade="BF"/>
            </w:tcBorders>
            <w:shd w:val="clear" w:color="auto" w:fill="D9D9D9" w:themeFill="background1" w:themeFillShade="D9"/>
            <w:noWrap/>
          </w:tcPr>
          <w:p w:rsidR="002539FD" w:rsidRPr="00BC494E" w:rsidRDefault="002539FD" w:rsidP="00540C90">
            <w:pPr>
              <w:spacing w:line="240" w:lineRule="exact"/>
              <w:jc w:val="left"/>
              <w:rPr>
                <w:rFonts w:cs="Arial"/>
                <w:sz w:val="16"/>
                <w:szCs w:val="16"/>
              </w:rPr>
            </w:pPr>
          </w:p>
        </w:tc>
        <w:tc>
          <w:tcPr>
            <w:tcW w:w="2159" w:type="dxa"/>
            <w:tcBorders>
              <w:right w:val="single" w:sz="4" w:space="0" w:color="BFBFBF" w:themeColor="background1" w:themeShade="BF"/>
            </w:tcBorders>
            <w:shd w:val="clear" w:color="auto" w:fill="D9D9D9" w:themeFill="background1" w:themeFillShade="D9"/>
          </w:tcPr>
          <w:p w:rsidR="002539FD" w:rsidRPr="00EE16BE" w:rsidRDefault="002539FD" w:rsidP="00540C90">
            <w:pPr>
              <w:spacing w:line="240" w:lineRule="exact"/>
              <w:ind w:right="170"/>
              <w:jc w:val="center"/>
              <w:rPr>
                <w:rFonts w:cs="Arial"/>
                <w:bCs/>
                <w:sz w:val="16"/>
                <w:szCs w:val="16"/>
              </w:rPr>
            </w:pPr>
          </w:p>
        </w:tc>
        <w:tc>
          <w:tcPr>
            <w:tcW w:w="2159" w:type="dxa"/>
            <w:tcBorders>
              <w:right w:val="nil"/>
            </w:tcBorders>
            <w:shd w:val="clear" w:color="auto" w:fill="D9D9D9" w:themeFill="background1" w:themeFillShade="D9"/>
          </w:tcPr>
          <w:p w:rsidR="002539FD" w:rsidRDefault="002539FD" w:rsidP="00540C90">
            <w:pPr>
              <w:spacing w:line="240" w:lineRule="exact"/>
              <w:ind w:right="170"/>
              <w:jc w:val="center"/>
              <w:rPr>
                <w:rFonts w:cs="Arial"/>
                <w:bCs/>
                <w:sz w:val="16"/>
                <w:szCs w:val="16"/>
              </w:rPr>
            </w:pPr>
          </w:p>
        </w:tc>
      </w:tr>
      <w:tr w:rsidR="002539FD" w:rsidRPr="00F4159C" w:rsidTr="00540C90">
        <w:trPr>
          <w:jc w:val="center"/>
        </w:trPr>
        <w:tc>
          <w:tcPr>
            <w:tcW w:w="0" w:type="auto"/>
            <w:tcBorders>
              <w:right w:val="single" w:sz="4" w:space="0" w:color="BFBFBF" w:themeColor="background1" w:themeShade="BF"/>
            </w:tcBorders>
            <w:noWrap/>
          </w:tcPr>
          <w:p w:rsidR="002539FD" w:rsidRDefault="002539FD" w:rsidP="00540C90">
            <w:pPr>
              <w:spacing w:line="240" w:lineRule="exact"/>
              <w:jc w:val="left"/>
              <w:rPr>
                <w:rFonts w:cs="Arial"/>
                <w:sz w:val="16"/>
                <w:szCs w:val="16"/>
              </w:rPr>
            </w:pPr>
            <w:r>
              <w:rPr>
                <w:rFonts w:cs="Arial"/>
                <w:sz w:val="16"/>
                <w:szCs w:val="16"/>
              </w:rPr>
              <w:t>Se ha mantenido el empleo total</w:t>
            </w:r>
          </w:p>
        </w:tc>
        <w:tc>
          <w:tcPr>
            <w:tcW w:w="2159" w:type="dxa"/>
            <w:tcBorders>
              <w:right w:val="single" w:sz="4" w:space="0" w:color="BFBFBF" w:themeColor="background1" w:themeShade="BF"/>
            </w:tcBorders>
          </w:tcPr>
          <w:p w:rsidR="002539FD" w:rsidRDefault="002539FD" w:rsidP="00540C90">
            <w:pPr>
              <w:spacing w:line="240" w:lineRule="exact"/>
              <w:ind w:right="170"/>
              <w:jc w:val="center"/>
              <w:rPr>
                <w:rFonts w:cs="Arial"/>
                <w:bCs/>
                <w:sz w:val="16"/>
                <w:szCs w:val="16"/>
              </w:rPr>
            </w:pPr>
            <w:r>
              <w:rPr>
                <w:rFonts w:cs="Arial"/>
                <w:bCs/>
                <w:sz w:val="16"/>
                <w:szCs w:val="16"/>
              </w:rPr>
              <w:t>19,9</w:t>
            </w:r>
          </w:p>
        </w:tc>
        <w:tc>
          <w:tcPr>
            <w:tcW w:w="2159" w:type="dxa"/>
            <w:tcBorders>
              <w:right w:val="nil"/>
            </w:tcBorders>
          </w:tcPr>
          <w:p w:rsidR="002539FD" w:rsidRDefault="002539FD" w:rsidP="00540C90">
            <w:pPr>
              <w:spacing w:line="240" w:lineRule="exact"/>
              <w:ind w:right="170"/>
              <w:jc w:val="center"/>
              <w:rPr>
                <w:rFonts w:cs="Arial"/>
                <w:bCs/>
                <w:sz w:val="16"/>
                <w:szCs w:val="16"/>
              </w:rPr>
            </w:pPr>
            <w:r>
              <w:rPr>
                <w:rFonts w:cs="Arial"/>
                <w:bCs/>
                <w:sz w:val="16"/>
                <w:szCs w:val="16"/>
              </w:rPr>
              <w:t>41,8</w:t>
            </w:r>
          </w:p>
        </w:tc>
      </w:tr>
      <w:tr w:rsidR="002539FD" w:rsidRPr="00F4159C" w:rsidTr="00540C90">
        <w:trPr>
          <w:jc w:val="center"/>
        </w:trPr>
        <w:tc>
          <w:tcPr>
            <w:tcW w:w="0" w:type="auto"/>
            <w:tcBorders>
              <w:right w:val="single" w:sz="4" w:space="0" w:color="BFBFBF" w:themeColor="background1" w:themeShade="BF"/>
            </w:tcBorders>
            <w:shd w:val="clear" w:color="auto" w:fill="D9D9D9" w:themeFill="background1" w:themeFillShade="D9"/>
            <w:noWrap/>
          </w:tcPr>
          <w:p w:rsidR="002539FD" w:rsidRDefault="002539FD" w:rsidP="00540C90">
            <w:pPr>
              <w:spacing w:line="240" w:lineRule="exact"/>
              <w:jc w:val="left"/>
              <w:rPr>
                <w:rFonts w:cs="Arial"/>
                <w:sz w:val="16"/>
                <w:szCs w:val="16"/>
              </w:rPr>
            </w:pPr>
          </w:p>
        </w:tc>
        <w:tc>
          <w:tcPr>
            <w:tcW w:w="2159" w:type="dxa"/>
            <w:tcBorders>
              <w:right w:val="single" w:sz="4" w:space="0" w:color="BFBFBF" w:themeColor="background1" w:themeShade="BF"/>
            </w:tcBorders>
            <w:shd w:val="clear" w:color="auto" w:fill="D9D9D9" w:themeFill="background1" w:themeFillShade="D9"/>
          </w:tcPr>
          <w:p w:rsidR="002539FD" w:rsidRDefault="002539FD" w:rsidP="00540C90">
            <w:pPr>
              <w:spacing w:line="240" w:lineRule="exact"/>
              <w:ind w:right="170"/>
              <w:jc w:val="center"/>
              <w:rPr>
                <w:rFonts w:cs="Arial"/>
                <w:bCs/>
                <w:sz w:val="16"/>
                <w:szCs w:val="16"/>
              </w:rPr>
            </w:pPr>
          </w:p>
        </w:tc>
        <w:tc>
          <w:tcPr>
            <w:tcW w:w="2159" w:type="dxa"/>
            <w:tcBorders>
              <w:right w:val="nil"/>
            </w:tcBorders>
            <w:shd w:val="clear" w:color="auto" w:fill="D9D9D9" w:themeFill="background1" w:themeFillShade="D9"/>
            <w:vAlign w:val="bottom"/>
          </w:tcPr>
          <w:p w:rsidR="002539FD" w:rsidRPr="00D41F6E" w:rsidRDefault="002539FD" w:rsidP="00540C90">
            <w:pPr>
              <w:spacing w:line="240" w:lineRule="exact"/>
              <w:ind w:right="170"/>
              <w:jc w:val="center"/>
              <w:rPr>
                <w:rFonts w:cs="Arial"/>
                <w:bCs/>
                <w:sz w:val="16"/>
                <w:szCs w:val="16"/>
              </w:rPr>
            </w:pPr>
          </w:p>
        </w:tc>
      </w:tr>
      <w:tr w:rsidR="002539FD" w:rsidRPr="00F4159C" w:rsidTr="00540C90">
        <w:trPr>
          <w:jc w:val="center"/>
        </w:trPr>
        <w:tc>
          <w:tcPr>
            <w:tcW w:w="0" w:type="auto"/>
            <w:tcBorders>
              <w:right w:val="single" w:sz="4" w:space="0" w:color="BFBFBF" w:themeColor="background1" w:themeShade="BF"/>
            </w:tcBorders>
            <w:noWrap/>
          </w:tcPr>
          <w:p w:rsidR="002539FD" w:rsidRDefault="002539FD" w:rsidP="00540C90">
            <w:pPr>
              <w:spacing w:line="240" w:lineRule="exact"/>
              <w:jc w:val="left"/>
              <w:rPr>
                <w:rFonts w:cs="Arial"/>
                <w:sz w:val="16"/>
                <w:szCs w:val="16"/>
              </w:rPr>
            </w:pPr>
            <w:r>
              <w:rPr>
                <w:rFonts w:cs="Arial"/>
                <w:sz w:val="16"/>
                <w:szCs w:val="16"/>
              </w:rPr>
              <w:t xml:space="preserve">Se ha reducido el empleo total </w:t>
            </w:r>
          </w:p>
        </w:tc>
        <w:tc>
          <w:tcPr>
            <w:tcW w:w="2159" w:type="dxa"/>
            <w:tcBorders>
              <w:right w:val="single" w:sz="4" w:space="0" w:color="BFBFBF" w:themeColor="background1" w:themeShade="BF"/>
            </w:tcBorders>
          </w:tcPr>
          <w:p w:rsidR="002539FD" w:rsidRDefault="002539FD" w:rsidP="00540C90">
            <w:pPr>
              <w:spacing w:line="240" w:lineRule="exact"/>
              <w:ind w:right="170"/>
              <w:jc w:val="center"/>
              <w:rPr>
                <w:rFonts w:cs="Arial"/>
                <w:bCs/>
                <w:sz w:val="16"/>
                <w:szCs w:val="16"/>
              </w:rPr>
            </w:pPr>
            <w:r>
              <w:rPr>
                <w:rFonts w:cs="Arial"/>
                <w:bCs/>
                <w:sz w:val="16"/>
                <w:szCs w:val="16"/>
              </w:rPr>
              <w:t>0,2</w:t>
            </w:r>
          </w:p>
        </w:tc>
        <w:tc>
          <w:tcPr>
            <w:tcW w:w="2159" w:type="dxa"/>
            <w:tcBorders>
              <w:bottom w:val="single" w:sz="4" w:space="0" w:color="BFBFBF" w:themeColor="background1" w:themeShade="BF"/>
              <w:right w:val="nil"/>
            </w:tcBorders>
            <w:vAlign w:val="bottom"/>
          </w:tcPr>
          <w:p w:rsidR="002539FD" w:rsidRPr="00D41F6E" w:rsidRDefault="002539FD" w:rsidP="00540C90">
            <w:pPr>
              <w:spacing w:line="240" w:lineRule="exact"/>
              <w:ind w:right="170"/>
              <w:jc w:val="center"/>
              <w:rPr>
                <w:rFonts w:cs="Arial"/>
                <w:bCs/>
                <w:sz w:val="16"/>
                <w:szCs w:val="16"/>
              </w:rPr>
            </w:pPr>
            <w:r>
              <w:rPr>
                <w:rFonts w:cs="Arial"/>
                <w:bCs/>
                <w:sz w:val="16"/>
                <w:szCs w:val="16"/>
              </w:rPr>
              <w:t>6,0</w:t>
            </w:r>
          </w:p>
        </w:tc>
      </w:tr>
    </w:tbl>
    <w:p w:rsidR="002539FD" w:rsidRDefault="002539FD" w:rsidP="002539FD">
      <w:pPr>
        <w:spacing w:line="240" w:lineRule="auto"/>
        <w:ind w:left="708"/>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2539FD" w:rsidRDefault="002539FD" w:rsidP="002539FD">
      <w:pPr>
        <w:ind w:left="708"/>
        <w:rPr>
          <w:rFonts w:eastAsia="Times New Roman" w:cs="Arial"/>
          <w:i/>
          <w:sz w:val="16"/>
          <w:szCs w:val="20"/>
          <w:lang w:val="es-ES_tradnl" w:eastAsia="es-ES"/>
        </w:rPr>
      </w:pPr>
      <w:r w:rsidRPr="00406864">
        <w:rPr>
          <w:rFonts w:eastAsia="Times New Roman" w:cs="Arial"/>
          <w:i/>
          <w:sz w:val="16"/>
          <w:szCs w:val="20"/>
          <w:lang w:val="es-ES_tradnl" w:eastAsia="es-ES"/>
        </w:rPr>
        <w:t xml:space="preserve">Base: </w:t>
      </w:r>
      <w:r>
        <w:rPr>
          <w:rFonts w:eastAsia="Times New Roman" w:cs="Arial"/>
          <w:i/>
          <w:sz w:val="16"/>
          <w:szCs w:val="20"/>
          <w:lang w:val="es-ES_tradnl" w:eastAsia="es-ES"/>
        </w:rPr>
        <w:t>E</w:t>
      </w:r>
      <w:r w:rsidRPr="00406864">
        <w:rPr>
          <w:rFonts w:eastAsia="Times New Roman" w:cs="Arial"/>
          <w:i/>
          <w:sz w:val="16"/>
          <w:szCs w:val="20"/>
          <w:lang w:val="es-ES_tradnl" w:eastAsia="es-ES"/>
        </w:rPr>
        <w:t>mpresas que han realizado innovación en el periodo 2012-2014</w:t>
      </w:r>
    </w:p>
    <w:p w:rsidR="002539FD" w:rsidRPr="00911BA5" w:rsidRDefault="002539FD" w:rsidP="0065300F">
      <w:pPr>
        <w:rPr>
          <w:rFonts w:cs="Arial"/>
          <w:lang w:val="es-ES_tradnl"/>
        </w:rPr>
      </w:pPr>
    </w:p>
    <w:p w:rsidR="00911BA5" w:rsidRPr="00911BA5" w:rsidRDefault="00911BA5" w:rsidP="0065300F">
      <w:pPr>
        <w:rPr>
          <w:rFonts w:cs="Arial"/>
          <w:lang w:val="es-ES_tradnl"/>
        </w:rPr>
      </w:pPr>
    </w:p>
    <w:p w:rsidR="007900E4" w:rsidRDefault="00911BA5" w:rsidP="007900E4">
      <w:pPr>
        <w:rPr>
          <w:rFonts w:cs="Arial"/>
        </w:rPr>
      </w:pPr>
      <w:r w:rsidRPr="00911BA5">
        <w:rPr>
          <w:rFonts w:cs="Arial"/>
          <w:lang w:val="es-ES_tradnl"/>
        </w:rPr>
        <w:t xml:space="preserve">En el contexto de la </w:t>
      </w:r>
      <w:r w:rsidR="006F32EF" w:rsidRPr="00911BA5">
        <w:rPr>
          <w:rFonts w:cs="Arial"/>
        </w:rPr>
        <w:t>Economía Social, se confirma</w:t>
      </w:r>
      <w:r w:rsidRPr="00911BA5">
        <w:rPr>
          <w:rFonts w:cs="Arial"/>
        </w:rPr>
        <w:t xml:space="preserve"> por tanto </w:t>
      </w:r>
      <w:r w:rsidR="006F32EF" w:rsidRPr="00911BA5">
        <w:rPr>
          <w:rFonts w:cs="Arial"/>
        </w:rPr>
        <w:t xml:space="preserve">la </w:t>
      </w:r>
      <w:r w:rsidR="00606423" w:rsidRPr="00911BA5">
        <w:rPr>
          <w:rFonts w:cs="Arial"/>
        </w:rPr>
        <w:t>hipó</w:t>
      </w:r>
      <w:r w:rsidR="006F32EF" w:rsidRPr="00911BA5">
        <w:rPr>
          <w:rFonts w:cs="Arial"/>
        </w:rPr>
        <w:t>tesis de q</w:t>
      </w:r>
      <w:r w:rsidR="00986EA2" w:rsidRPr="00911BA5">
        <w:rPr>
          <w:rFonts w:cs="Arial"/>
        </w:rPr>
        <w:t xml:space="preserve">ue el impacto de la innovación </w:t>
      </w:r>
      <w:r w:rsidRPr="00911BA5">
        <w:rPr>
          <w:rFonts w:cs="Arial"/>
        </w:rPr>
        <w:t xml:space="preserve">empresarial </w:t>
      </w:r>
      <w:r w:rsidR="00FB7DB9" w:rsidRPr="00911BA5">
        <w:rPr>
          <w:rFonts w:cs="Arial"/>
        </w:rPr>
        <w:t xml:space="preserve">ha </w:t>
      </w:r>
      <w:r w:rsidRPr="00911BA5">
        <w:rPr>
          <w:rFonts w:cs="Arial"/>
        </w:rPr>
        <w:t xml:space="preserve">tenido una incidencia </w:t>
      </w:r>
      <w:r w:rsidR="00FB7DB9" w:rsidRPr="00911BA5">
        <w:rPr>
          <w:rFonts w:cs="Arial"/>
        </w:rPr>
        <w:t xml:space="preserve">positiva </w:t>
      </w:r>
      <w:r w:rsidR="006F32EF" w:rsidRPr="00911BA5">
        <w:rPr>
          <w:rFonts w:cs="Arial"/>
        </w:rPr>
        <w:t xml:space="preserve">sobre el </w:t>
      </w:r>
      <w:r w:rsidR="00FB7DB9" w:rsidRPr="00911BA5">
        <w:rPr>
          <w:rFonts w:cs="Arial"/>
        </w:rPr>
        <w:t xml:space="preserve">nivel de </w:t>
      </w:r>
      <w:r w:rsidR="006F32EF" w:rsidRPr="00911BA5">
        <w:rPr>
          <w:rFonts w:cs="Arial"/>
        </w:rPr>
        <w:t xml:space="preserve">empleo </w:t>
      </w:r>
      <w:r w:rsidR="00986EA2" w:rsidRPr="00911BA5">
        <w:rPr>
          <w:rFonts w:cs="Arial"/>
        </w:rPr>
        <w:t>general y sobre el</w:t>
      </w:r>
      <w:r w:rsidR="009775D9" w:rsidRPr="00911BA5">
        <w:rPr>
          <w:rFonts w:cs="Arial"/>
        </w:rPr>
        <w:t xml:space="preserve"> </w:t>
      </w:r>
      <w:r w:rsidR="00FB7DB9" w:rsidRPr="00911BA5">
        <w:rPr>
          <w:rFonts w:cs="Arial"/>
        </w:rPr>
        <w:t xml:space="preserve">nivel de </w:t>
      </w:r>
      <w:r w:rsidR="009775D9" w:rsidRPr="00911BA5">
        <w:rPr>
          <w:rFonts w:cs="Arial"/>
        </w:rPr>
        <w:t>empleo cualificado</w:t>
      </w:r>
      <w:r w:rsidR="00986EA2" w:rsidRPr="00911BA5">
        <w:rPr>
          <w:rFonts w:cs="Arial"/>
        </w:rPr>
        <w:t>.</w:t>
      </w:r>
      <w:r w:rsidR="007900E4">
        <w:rPr>
          <w:rFonts w:cs="Arial"/>
        </w:rPr>
        <w:t xml:space="preserve"> En la práctica, entre 2012 y 2014, ninguna de las empresas que ha iniciado el camino de la innovación en el ámbito de las FCES ha perdido empleo</w:t>
      </w:r>
    </w:p>
    <w:p w:rsidR="007900E4" w:rsidRDefault="007900E4" w:rsidP="007900E4">
      <w:pPr>
        <w:rPr>
          <w:rFonts w:cs="Arial"/>
        </w:rPr>
      </w:pPr>
    </w:p>
    <w:p w:rsidR="007900E4" w:rsidRDefault="007900E4" w:rsidP="007900E4">
      <w:pPr>
        <w:rPr>
          <w:rFonts w:cs="Arial"/>
        </w:rPr>
      </w:pPr>
      <w:r>
        <w:rPr>
          <w:rFonts w:cs="Arial"/>
        </w:rPr>
        <w:t>En cambio, una proporción significativa ha sido capaz de generar empleo (20,1%, por 19,9% de casos de mantenimiento del empleo y 2,8% de limitación la reducción del nivel de empleo total). Las cifras son más positivas en el ámbito del empleo cualificado, con un 20,9% aumentado empleo de este tipo por 15,6% manteniéndolo y apenas un 0,8% limitando la reducción del nivel de empleo</w:t>
      </w:r>
      <w:r w:rsidR="00F27FAC">
        <w:rPr>
          <w:rFonts w:cs="Arial"/>
        </w:rPr>
        <w:t xml:space="preserve"> cualificado</w:t>
      </w:r>
      <w:r>
        <w:rPr>
          <w:rFonts w:cs="Arial"/>
        </w:rPr>
        <w:t>.</w:t>
      </w:r>
    </w:p>
    <w:p w:rsidR="007900E4" w:rsidRDefault="007900E4" w:rsidP="007900E4">
      <w:pPr>
        <w:rPr>
          <w:rFonts w:cs="Arial"/>
        </w:rPr>
      </w:pPr>
    </w:p>
    <w:p w:rsidR="0065300F" w:rsidRPr="002537E7" w:rsidRDefault="0065300F" w:rsidP="0065300F">
      <w:pPr>
        <w:rPr>
          <w:rFonts w:cs="Arial"/>
        </w:rPr>
      </w:pPr>
    </w:p>
    <w:p w:rsidR="00BA6DD6" w:rsidRDefault="00BA6DD6" w:rsidP="00BA6DD6">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TIPO E INTENSIDAD DEL IMPACTO DE LA INNOVACIÓN SOBRE EL EMPLEO. 2014</w:t>
      </w:r>
    </w:p>
    <w:p w:rsidR="00BA6DD6" w:rsidRDefault="00BA6DD6" w:rsidP="00BA6DD6">
      <w:pPr>
        <w:spacing w:line="240" w:lineRule="auto"/>
        <w:jc w:val="center"/>
        <w:rPr>
          <w:rFonts w:cs="Arial"/>
          <w:b/>
          <w:snapToGrid w:val="0"/>
          <w:color w:val="1F497D" w:themeColor="text2"/>
          <w:sz w:val="18"/>
          <w:szCs w:val="18"/>
          <w:lang w:val="es-ES_tradnl"/>
        </w:rPr>
      </w:pPr>
    </w:p>
    <w:p w:rsidR="00BA6DD6" w:rsidRDefault="00BA6DD6" w:rsidP="00BA6DD6">
      <w:pPr>
        <w:spacing w:line="240" w:lineRule="auto"/>
        <w:rPr>
          <w:rFonts w:cs="Arial"/>
          <w:b/>
          <w:snapToGrid w:val="0"/>
          <w:color w:val="1F497D" w:themeColor="text2"/>
          <w:sz w:val="18"/>
          <w:szCs w:val="18"/>
          <w:lang w:val="es-ES_tradnl"/>
        </w:rPr>
      </w:pPr>
      <w:r>
        <w:rPr>
          <w:rFonts w:cs="Arial"/>
          <w:b/>
          <w:snapToGrid w:val="0"/>
          <w:color w:val="1F497D" w:themeColor="text2"/>
          <w:sz w:val="18"/>
          <w:szCs w:val="18"/>
          <w:lang w:val="es-ES_tradnl"/>
        </w:rPr>
        <w:tab/>
      </w:r>
      <w:r>
        <w:rPr>
          <w:rFonts w:cs="Arial"/>
          <w:b/>
          <w:snapToGrid w:val="0"/>
          <w:color w:val="1F497D" w:themeColor="text2"/>
          <w:sz w:val="18"/>
          <w:szCs w:val="18"/>
          <w:lang w:val="es-ES_tradnl"/>
        </w:rPr>
        <w:tab/>
      </w:r>
      <w:r w:rsidRPr="003B7EB5">
        <w:rPr>
          <w:rFonts w:cs="Arial"/>
          <w:b/>
          <w:snapToGrid w:val="0"/>
          <w:sz w:val="18"/>
          <w:szCs w:val="18"/>
          <w:lang w:val="es-ES_tradnl"/>
        </w:rPr>
        <w:t>EMPLEO TOTAL</w:t>
      </w:r>
      <w:r w:rsidRPr="003B7EB5">
        <w:rPr>
          <w:rFonts w:cs="Arial"/>
          <w:b/>
          <w:snapToGrid w:val="0"/>
          <w:sz w:val="18"/>
          <w:szCs w:val="18"/>
          <w:lang w:val="es-ES_tradnl"/>
        </w:rPr>
        <w:tab/>
      </w:r>
      <w:r w:rsidRPr="003B7EB5">
        <w:rPr>
          <w:rFonts w:cs="Arial"/>
          <w:b/>
          <w:snapToGrid w:val="0"/>
          <w:sz w:val="18"/>
          <w:szCs w:val="18"/>
          <w:lang w:val="es-ES_tradnl"/>
        </w:rPr>
        <w:tab/>
      </w:r>
      <w:r>
        <w:rPr>
          <w:rFonts w:cs="Arial"/>
          <w:b/>
          <w:snapToGrid w:val="0"/>
          <w:color w:val="1F497D" w:themeColor="text2"/>
          <w:sz w:val="18"/>
          <w:szCs w:val="18"/>
          <w:lang w:val="es-ES_tradnl"/>
        </w:rPr>
        <w:tab/>
      </w:r>
      <w:r>
        <w:rPr>
          <w:rFonts w:cs="Arial"/>
          <w:b/>
          <w:snapToGrid w:val="0"/>
          <w:color w:val="1F497D" w:themeColor="text2"/>
          <w:sz w:val="18"/>
          <w:szCs w:val="18"/>
          <w:lang w:val="es-ES_tradnl"/>
        </w:rPr>
        <w:tab/>
      </w:r>
      <w:r>
        <w:rPr>
          <w:rFonts w:cs="Arial"/>
          <w:b/>
          <w:snapToGrid w:val="0"/>
          <w:color w:val="1F497D" w:themeColor="text2"/>
          <w:sz w:val="18"/>
          <w:szCs w:val="18"/>
          <w:lang w:val="es-ES_tradnl"/>
        </w:rPr>
        <w:tab/>
      </w:r>
      <w:r>
        <w:rPr>
          <w:rFonts w:cs="Arial"/>
          <w:b/>
          <w:snapToGrid w:val="0"/>
          <w:color w:val="1F497D" w:themeColor="text2"/>
          <w:sz w:val="18"/>
          <w:szCs w:val="18"/>
          <w:lang w:val="es-ES_tradnl"/>
        </w:rPr>
        <w:tab/>
      </w:r>
      <w:r w:rsidRPr="003B7EB5">
        <w:rPr>
          <w:rFonts w:cs="Arial"/>
          <w:b/>
          <w:snapToGrid w:val="0"/>
          <w:sz w:val="18"/>
          <w:szCs w:val="18"/>
          <w:lang w:val="es-ES_tradnl"/>
        </w:rPr>
        <w:t xml:space="preserve"> EMPLEO CUALIFICADO</w:t>
      </w:r>
    </w:p>
    <w:tbl>
      <w:tblPr>
        <w:tblpPr w:leftFromText="141" w:rightFromText="141" w:vertAnchor="text" w:horzAnchor="page" w:tblpX="6741" w:tblpY="108"/>
        <w:tblW w:w="4399" w:type="dxa"/>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272"/>
        <w:gridCol w:w="1127"/>
      </w:tblGrid>
      <w:tr w:rsidR="00BA6DD6" w:rsidRPr="001A3A42" w:rsidTr="00BA6DD6">
        <w:trPr>
          <w:trHeight w:val="240"/>
        </w:trPr>
        <w:tc>
          <w:tcPr>
            <w:tcW w:w="3272"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BA6DD6" w:rsidRPr="001A3A42" w:rsidRDefault="00BA6DD6" w:rsidP="00BA6DD6">
            <w:pPr>
              <w:spacing w:line="240" w:lineRule="exact"/>
              <w:rPr>
                <w:rFonts w:cs="Arial"/>
                <w:b/>
                <w:bCs/>
                <w:sz w:val="16"/>
                <w:szCs w:val="16"/>
              </w:rPr>
            </w:pPr>
          </w:p>
        </w:tc>
        <w:tc>
          <w:tcPr>
            <w:tcW w:w="1127"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BA6DD6" w:rsidRPr="001A3A42" w:rsidRDefault="00BA6DD6" w:rsidP="00BA6DD6">
            <w:pPr>
              <w:spacing w:line="240" w:lineRule="exact"/>
              <w:jc w:val="center"/>
              <w:rPr>
                <w:rFonts w:cs="Arial"/>
                <w:b/>
                <w:bCs/>
                <w:sz w:val="16"/>
                <w:szCs w:val="16"/>
              </w:rPr>
            </w:pPr>
            <w:r w:rsidRPr="001A3A42">
              <w:rPr>
                <w:rFonts w:cs="Arial"/>
                <w:b/>
                <w:bCs/>
                <w:sz w:val="16"/>
                <w:szCs w:val="16"/>
              </w:rPr>
              <w:t>Total</w:t>
            </w:r>
          </w:p>
          <w:p w:rsidR="00BA6DD6" w:rsidRPr="001A3A42" w:rsidRDefault="00BA6DD6" w:rsidP="00BA6DD6">
            <w:pPr>
              <w:spacing w:line="240" w:lineRule="exact"/>
              <w:jc w:val="center"/>
              <w:rPr>
                <w:rFonts w:cs="Arial"/>
                <w:b/>
                <w:bCs/>
                <w:sz w:val="16"/>
                <w:szCs w:val="16"/>
              </w:rPr>
            </w:pPr>
            <w:r w:rsidRPr="001A3A42">
              <w:rPr>
                <w:rFonts w:cs="Arial"/>
                <w:b/>
                <w:bCs/>
                <w:sz w:val="16"/>
                <w:szCs w:val="16"/>
              </w:rPr>
              <w:t>%</w:t>
            </w:r>
          </w:p>
        </w:tc>
      </w:tr>
      <w:tr w:rsidR="00BA6DD6" w:rsidRPr="001A3A42" w:rsidTr="00BA6DD6">
        <w:trPr>
          <w:trHeight w:val="240"/>
        </w:trPr>
        <w:tc>
          <w:tcPr>
            <w:tcW w:w="3272"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BA6DD6" w:rsidRPr="001A3A42" w:rsidRDefault="00BA6DD6" w:rsidP="00BA6DD6">
            <w:pPr>
              <w:spacing w:line="240" w:lineRule="exact"/>
              <w:rPr>
                <w:rFonts w:cs="Arial"/>
                <w:b/>
                <w:bCs/>
                <w:sz w:val="16"/>
                <w:szCs w:val="16"/>
              </w:rPr>
            </w:pPr>
          </w:p>
        </w:tc>
        <w:tc>
          <w:tcPr>
            <w:tcW w:w="1127"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BA6DD6" w:rsidRPr="001A3A42" w:rsidRDefault="00BA6DD6" w:rsidP="00BA6DD6">
            <w:pPr>
              <w:spacing w:line="240" w:lineRule="exact"/>
              <w:jc w:val="center"/>
              <w:rPr>
                <w:rFonts w:cs="Arial"/>
                <w:b/>
                <w:bCs/>
                <w:sz w:val="16"/>
                <w:szCs w:val="16"/>
              </w:rPr>
            </w:pPr>
          </w:p>
        </w:tc>
      </w:tr>
      <w:tr w:rsidR="00BA6DD6" w:rsidRPr="001A3A42" w:rsidTr="00BA6DD6">
        <w:tc>
          <w:tcPr>
            <w:tcW w:w="3272" w:type="dxa"/>
            <w:tcBorders>
              <w:top w:val="single" w:sz="4" w:space="0" w:color="BFBFBF" w:themeColor="background1" w:themeShade="BF"/>
              <w:right w:val="single" w:sz="4" w:space="0" w:color="BFBFBF" w:themeColor="background1" w:themeShade="BF"/>
            </w:tcBorders>
            <w:noWrap/>
          </w:tcPr>
          <w:p w:rsidR="00BA6DD6" w:rsidRPr="001A3A42" w:rsidRDefault="00BA6DD6" w:rsidP="00BA6DD6">
            <w:pPr>
              <w:spacing w:line="240" w:lineRule="auto"/>
              <w:jc w:val="left"/>
              <w:rPr>
                <w:rFonts w:cs="Arial"/>
                <w:sz w:val="16"/>
                <w:szCs w:val="16"/>
              </w:rPr>
            </w:pPr>
            <w:r w:rsidRPr="001A3A42">
              <w:rPr>
                <w:rFonts w:cs="Arial"/>
                <w:b/>
                <w:sz w:val="16"/>
                <w:szCs w:val="16"/>
              </w:rPr>
              <w:t>HA TENIDO EFECTO SOBRE EL EMPLEO CUALIFICADO</w:t>
            </w:r>
          </w:p>
        </w:tc>
        <w:tc>
          <w:tcPr>
            <w:tcW w:w="1127" w:type="dxa"/>
            <w:tcBorders>
              <w:top w:val="single" w:sz="4" w:space="0" w:color="BFBFBF" w:themeColor="background1" w:themeShade="BF"/>
              <w:right w:val="single" w:sz="4" w:space="0" w:color="BFBFBF" w:themeColor="background1" w:themeShade="BF"/>
            </w:tcBorders>
          </w:tcPr>
          <w:p w:rsidR="00BA6DD6" w:rsidRPr="001A3A42" w:rsidRDefault="00BA6DD6" w:rsidP="00BA6DD6">
            <w:pPr>
              <w:spacing w:line="240" w:lineRule="exact"/>
              <w:ind w:right="170"/>
              <w:jc w:val="center"/>
              <w:rPr>
                <w:rFonts w:cs="Arial"/>
                <w:b/>
                <w:bCs/>
                <w:sz w:val="16"/>
                <w:szCs w:val="16"/>
              </w:rPr>
            </w:pPr>
            <w:r w:rsidRPr="001A3A42">
              <w:rPr>
                <w:rFonts w:cs="Arial"/>
                <w:b/>
                <w:bCs/>
                <w:sz w:val="16"/>
                <w:szCs w:val="16"/>
              </w:rPr>
              <w:t>47,9</w:t>
            </w:r>
          </w:p>
        </w:tc>
      </w:tr>
      <w:tr w:rsidR="00BA6DD6" w:rsidRPr="001A3A42" w:rsidTr="00BA6DD6">
        <w:tc>
          <w:tcPr>
            <w:tcW w:w="4399" w:type="dxa"/>
            <w:gridSpan w:val="2"/>
            <w:tcBorders>
              <w:top w:val="single" w:sz="4" w:space="0" w:color="BFBFBF" w:themeColor="background1" w:themeShade="BF"/>
              <w:right w:val="single" w:sz="4" w:space="0" w:color="BFBFBF" w:themeColor="background1" w:themeShade="BF"/>
            </w:tcBorders>
            <w:shd w:val="clear" w:color="auto" w:fill="D9D9D9" w:themeFill="background1" w:themeFillShade="D9"/>
            <w:noWrap/>
          </w:tcPr>
          <w:p w:rsidR="00BA6DD6" w:rsidRPr="001A3A42" w:rsidRDefault="00BA6DD6" w:rsidP="00BA6DD6">
            <w:pPr>
              <w:spacing w:line="240" w:lineRule="exact"/>
              <w:ind w:right="170"/>
              <w:jc w:val="center"/>
              <w:rPr>
                <w:rFonts w:cs="Arial"/>
                <w:b/>
                <w:bCs/>
                <w:sz w:val="16"/>
                <w:szCs w:val="16"/>
              </w:rPr>
            </w:pPr>
          </w:p>
        </w:tc>
      </w:tr>
      <w:tr w:rsidR="00BA6DD6" w:rsidRPr="001A3A42" w:rsidTr="00BA6DD6">
        <w:tc>
          <w:tcPr>
            <w:tcW w:w="3272" w:type="dxa"/>
            <w:tcBorders>
              <w:top w:val="single" w:sz="4" w:space="0" w:color="BFBFBF" w:themeColor="background1" w:themeShade="BF"/>
              <w:right w:val="single" w:sz="4" w:space="0" w:color="BFBFBF" w:themeColor="background1" w:themeShade="BF"/>
            </w:tcBorders>
            <w:noWrap/>
          </w:tcPr>
          <w:p w:rsidR="00BA6DD6" w:rsidRPr="001A3A42" w:rsidRDefault="00BA6DD6" w:rsidP="00BA6DD6">
            <w:pPr>
              <w:spacing w:line="240" w:lineRule="auto"/>
              <w:jc w:val="left"/>
              <w:rPr>
                <w:rFonts w:cs="Arial"/>
                <w:sz w:val="16"/>
                <w:szCs w:val="16"/>
              </w:rPr>
            </w:pPr>
            <w:r w:rsidRPr="001A3A42">
              <w:rPr>
                <w:rFonts w:cs="Arial"/>
                <w:sz w:val="16"/>
                <w:szCs w:val="16"/>
              </w:rPr>
              <w:t>Ha aumentado el empleo cualificado</w:t>
            </w:r>
          </w:p>
        </w:tc>
        <w:tc>
          <w:tcPr>
            <w:tcW w:w="1127" w:type="dxa"/>
            <w:tcBorders>
              <w:top w:val="single" w:sz="4" w:space="0" w:color="BFBFBF" w:themeColor="background1" w:themeShade="BF"/>
              <w:right w:val="single" w:sz="4" w:space="0" w:color="BFBFBF" w:themeColor="background1" w:themeShade="BF"/>
            </w:tcBorders>
          </w:tcPr>
          <w:p w:rsidR="00BA6DD6" w:rsidRPr="001A3A42" w:rsidRDefault="00BA6DD6" w:rsidP="00BA6DD6">
            <w:pPr>
              <w:spacing w:line="240" w:lineRule="exact"/>
              <w:ind w:right="170"/>
              <w:jc w:val="center"/>
              <w:rPr>
                <w:rFonts w:cs="Arial"/>
                <w:b/>
                <w:bCs/>
                <w:sz w:val="16"/>
                <w:szCs w:val="16"/>
              </w:rPr>
            </w:pPr>
            <w:r w:rsidRPr="001A3A42">
              <w:rPr>
                <w:rFonts w:cs="Arial"/>
                <w:b/>
                <w:bCs/>
                <w:sz w:val="16"/>
                <w:szCs w:val="16"/>
              </w:rPr>
              <w:t>20,9</w:t>
            </w:r>
          </w:p>
        </w:tc>
      </w:tr>
      <w:tr w:rsidR="00BA6DD6" w:rsidRPr="001A3A42" w:rsidTr="00BA6DD6">
        <w:tc>
          <w:tcPr>
            <w:tcW w:w="3272" w:type="dxa"/>
            <w:tcBorders>
              <w:right w:val="single" w:sz="4" w:space="0" w:color="BFBFBF" w:themeColor="background1" w:themeShade="BF"/>
            </w:tcBorders>
            <w:shd w:val="clear" w:color="auto" w:fill="D9D9D9" w:themeFill="background1" w:themeFillShade="D9"/>
            <w:noWrap/>
          </w:tcPr>
          <w:p w:rsidR="00BA6DD6" w:rsidRPr="001A3A42" w:rsidRDefault="00BA6DD6" w:rsidP="00BA6DD6">
            <w:pPr>
              <w:spacing w:line="240" w:lineRule="auto"/>
              <w:jc w:val="left"/>
              <w:rPr>
                <w:rFonts w:cs="Arial"/>
                <w:sz w:val="16"/>
                <w:szCs w:val="16"/>
              </w:rPr>
            </w:pPr>
          </w:p>
        </w:tc>
        <w:tc>
          <w:tcPr>
            <w:tcW w:w="1127" w:type="dxa"/>
            <w:tcBorders>
              <w:right w:val="single" w:sz="4" w:space="0" w:color="BFBFBF" w:themeColor="background1" w:themeShade="BF"/>
            </w:tcBorders>
            <w:shd w:val="clear" w:color="auto" w:fill="D9D9D9" w:themeFill="background1" w:themeFillShade="D9"/>
          </w:tcPr>
          <w:p w:rsidR="00BA6DD6" w:rsidRPr="001A3A42" w:rsidRDefault="00BA6DD6" w:rsidP="00BA6DD6">
            <w:pPr>
              <w:spacing w:line="240" w:lineRule="exact"/>
              <w:ind w:right="170"/>
              <w:jc w:val="center"/>
              <w:rPr>
                <w:rFonts w:cs="Arial"/>
                <w:b/>
                <w:bCs/>
                <w:sz w:val="16"/>
                <w:szCs w:val="16"/>
              </w:rPr>
            </w:pPr>
          </w:p>
        </w:tc>
      </w:tr>
      <w:tr w:rsidR="00BA6DD6" w:rsidRPr="001A3A42" w:rsidTr="00BA6DD6">
        <w:tc>
          <w:tcPr>
            <w:tcW w:w="3272" w:type="dxa"/>
            <w:tcBorders>
              <w:right w:val="single" w:sz="4" w:space="0" w:color="BFBFBF" w:themeColor="background1" w:themeShade="BF"/>
            </w:tcBorders>
            <w:noWrap/>
          </w:tcPr>
          <w:p w:rsidR="00BA6DD6" w:rsidRPr="001A3A42" w:rsidRDefault="00BA6DD6" w:rsidP="00BA6DD6">
            <w:pPr>
              <w:spacing w:line="240" w:lineRule="auto"/>
              <w:jc w:val="left"/>
              <w:rPr>
                <w:rFonts w:cs="Arial"/>
                <w:sz w:val="16"/>
                <w:szCs w:val="16"/>
              </w:rPr>
            </w:pPr>
            <w:r w:rsidRPr="001A3A42">
              <w:rPr>
                <w:rFonts w:cs="Arial"/>
                <w:sz w:val="16"/>
                <w:szCs w:val="16"/>
              </w:rPr>
              <w:t>Se ha mantenido el empleo cualificado</w:t>
            </w:r>
          </w:p>
        </w:tc>
        <w:tc>
          <w:tcPr>
            <w:tcW w:w="1127" w:type="dxa"/>
            <w:tcBorders>
              <w:right w:val="single" w:sz="4" w:space="0" w:color="BFBFBF" w:themeColor="background1" w:themeShade="BF"/>
            </w:tcBorders>
          </w:tcPr>
          <w:p w:rsidR="00BA6DD6" w:rsidRPr="001A3A42" w:rsidRDefault="00BA6DD6" w:rsidP="00BA6DD6">
            <w:pPr>
              <w:spacing w:line="240" w:lineRule="exact"/>
              <w:ind w:right="170"/>
              <w:jc w:val="center"/>
              <w:rPr>
                <w:rFonts w:cs="Arial"/>
                <w:b/>
                <w:bCs/>
                <w:sz w:val="16"/>
                <w:szCs w:val="16"/>
              </w:rPr>
            </w:pPr>
            <w:r w:rsidRPr="001A3A42">
              <w:rPr>
                <w:rFonts w:cs="Arial"/>
                <w:b/>
                <w:bCs/>
                <w:sz w:val="16"/>
                <w:szCs w:val="16"/>
              </w:rPr>
              <w:t>15,6</w:t>
            </w:r>
          </w:p>
        </w:tc>
      </w:tr>
      <w:tr w:rsidR="00BA6DD6" w:rsidRPr="001A3A42" w:rsidTr="00BA6DD6">
        <w:tc>
          <w:tcPr>
            <w:tcW w:w="3272" w:type="dxa"/>
            <w:tcBorders>
              <w:right w:val="single" w:sz="4" w:space="0" w:color="BFBFBF" w:themeColor="background1" w:themeShade="BF"/>
            </w:tcBorders>
            <w:shd w:val="clear" w:color="auto" w:fill="D9D9D9" w:themeFill="background1" w:themeFillShade="D9"/>
            <w:noWrap/>
          </w:tcPr>
          <w:p w:rsidR="00BA6DD6" w:rsidRPr="001A3A42" w:rsidRDefault="00BA6DD6" w:rsidP="00BA6DD6">
            <w:pPr>
              <w:spacing w:line="240" w:lineRule="auto"/>
              <w:jc w:val="left"/>
              <w:rPr>
                <w:rFonts w:cs="Arial"/>
                <w:sz w:val="16"/>
                <w:szCs w:val="16"/>
              </w:rPr>
            </w:pPr>
          </w:p>
        </w:tc>
        <w:tc>
          <w:tcPr>
            <w:tcW w:w="1127" w:type="dxa"/>
            <w:tcBorders>
              <w:right w:val="single" w:sz="4" w:space="0" w:color="BFBFBF" w:themeColor="background1" w:themeShade="BF"/>
            </w:tcBorders>
            <w:shd w:val="clear" w:color="auto" w:fill="D9D9D9" w:themeFill="background1" w:themeFillShade="D9"/>
          </w:tcPr>
          <w:p w:rsidR="00BA6DD6" w:rsidRPr="001A3A42" w:rsidRDefault="00BA6DD6" w:rsidP="00BA6DD6">
            <w:pPr>
              <w:spacing w:line="240" w:lineRule="exact"/>
              <w:ind w:right="170"/>
              <w:jc w:val="center"/>
              <w:rPr>
                <w:rFonts w:cs="Arial"/>
                <w:b/>
                <w:bCs/>
                <w:sz w:val="16"/>
                <w:szCs w:val="16"/>
              </w:rPr>
            </w:pPr>
          </w:p>
        </w:tc>
      </w:tr>
      <w:tr w:rsidR="00BA6DD6" w:rsidRPr="001A3A42" w:rsidTr="00BA6DD6">
        <w:tc>
          <w:tcPr>
            <w:tcW w:w="3272" w:type="dxa"/>
            <w:tcBorders>
              <w:right w:val="single" w:sz="4" w:space="0" w:color="BFBFBF" w:themeColor="background1" w:themeShade="BF"/>
            </w:tcBorders>
            <w:noWrap/>
          </w:tcPr>
          <w:p w:rsidR="00BA6DD6" w:rsidRPr="001A3A42" w:rsidRDefault="00BA6DD6" w:rsidP="00BA6DD6">
            <w:pPr>
              <w:spacing w:line="240" w:lineRule="auto"/>
              <w:jc w:val="left"/>
              <w:rPr>
                <w:rFonts w:cs="Arial"/>
                <w:sz w:val="16"/>
                <w:szCs w:val="16"/>
              </w:rPr>
            </w:pPr>
            <w:r w:rsidRPr="001A3A42">
              <w:rPr>
                <w:rFonts w:cs="Arial"/>
                <w:sz w:val="16"/>
                <w:szCs w:val="16"/>
              </w:rPr>
              <w:t>Se ha permitido limitar la reducción del nivel del empleo cualificado</w:t>
            </w:r>
          </w:p>
        </w:tc>
        <w:tc>
          <w:tcPr>
            <w:tcW w:w="1127" w:type="dxa"/>
            <w:tcBorders>
              <w:right w:val="single" w:sz="4" w:space="0" w:color="BFBFBF" w:themeColor="background1" w:themeShade="BF"/>
            </w:tcBorders>
          </w:tcPr>
          <w:p w:rsidR="00BA6DD6" w:rsidRPr="001A3A42" w:rsidRDefault="00BA6DD6" w:rsidP="00BA6DD6">
            <w:pPr>
              <w:spacing w:line="240" w:lineRule="exact"/>
              <w:ind w:right="170"/>
              <w:jc w:val="center"/>
              <w:rPr>
                <w:rFonts w:cs="Arial"/>
                <w:b/>
                <w:bCs/>
                <w:sz w:val="16"/>
                <w:szCs w:val="16"/>
              </w:rPr>
            </w:pPr>
            <w:r w:rsidRPr="001A3A42">
              <w:rPr>
                <w:rFonts w:cs="Arial"/>
                <w:b/>
                <w:bCs/>
                <w:sz w:val="16"/>
                <w:szCs w:val="16"/>
              </w:rPr>
              <w:t>0,8</w:t>
            </w:r>
          </w:p>
        </w:tc>
      </w:tr>
      <w:tr w:rsidR="00BA6DD6" w:rsidRPr="001A3A42" w:rsidTr="00BA6DD6">
        <w:tc>
          <w:tcPr>
            <w:tcW w:w="3272" w:type="dxa"/>
            <w:tcBorders>
              <w:right w:val="single" w:sz="4" w:space="0" w:color="BFBFBF" w:themeColor="background1" w:themeShade="BF"/>
            </w:tcBorders>
            <w:shd w:val="clear" w:color="auto" w:fill="D9D9D9" w:themeFill="background1" w:themeFillShade="D9"/>
            <w:noWrap/>
          </w:tcPr>
          <w:p w:rsidR="00BA6DD6" w:rsidRPr="001A3A42" w:rsidRDefault="00BA6DD6" w:rsidP="00BA6DD6">
            <w:pPr>
              <w:spacing w:line="240" w:lineRule="auto"/>
              <w:jc w:val="left"/>
              <w:rPr>
                <w:rFonts w:cs="Arial"/>
                <w:sz w:val="16"/>
                <w:szCs w:val="16"/>
              </w:rPr>
            </w:pPr>
          </w:p>
        </w:tc>
        <w:tc>
          <w:tcPr>
            <w:tcW w:w="1127" w:type="dxa"/>
            <w:tcBorders>
              <w:right w:val="single" w:sz="4" w:space="0" w:color="BFBFBF" w:themeColor="background1" w:themeShade="BF"/>
            </w:tcBorders>
            <w:shd w:val="clear" w:color="auto" w:fill="D9D9D9" w:themeFill="background1" w:themeFillShade="D9"/>
          </w:tcPr>
          <w:p w:rsidR="00BA6DD6" w:rsidRPr="001A3A42" w:rsidRDefault="00BA6DD6" w:rsidP="00BA6DD6">
            <w:pPr>
              <w:spacing w:line="240" w:lineRule="exact"/>
              <w:ind w:right="170"/>
              <w:jc w:val="center"/>
              <w:rPr>
                <w:rFonts w:cs="Arial"/>
                <w:b/>
                <w:bCs/>
                <w:sz w:val="16"/>
                <w:szCs w:val="16"/>
              </w:rPr>
            </w:pPr>
          </w:p>
        </w:tc>
      </w:tr>
      <w:tr w:rsidR="00BA6DD6" w:rsidRPr="001A3A42" w:rsidTr="00BA6DD6">
        <w:tc>
          <w:tcPr>
            <w:tcW w:w="3272" w:type="dxa"/>
            <w:tcBorders>
              <w:right w:val="single" w:sz="4" w:space="0" w:color="BFBFBF" w:themeColor="background1" w:themeShade="BF"/>
            </w:tcBorders>
            <w:noWrap/>
          </w:tcPr>
          <w:p w:rsidR="00BA6DD6" w:rsidRPr="001A3A42" w:rsidRDefault="00BA6DD6" w:rsidP="00BA6DD6">
            <w:pPr>
              <w:spacing w:line="240" w:lineRule="auto"/>
              <w:jc w:val="left"/>
              <w:rPr>
                <w:rFonts w:cs="Arial"/>
                <w:sz w:val="16"/>
                <w:szCs w:val="16"/>
              </w:rPr>
            </w:pPr>
            <w:r w:rsidRPr="001A3A42">
              <w:rPr>
                <w:rFonts w:cs="Arial"/>
                <w:sz w:val="16"/>
                <w:szCs w:val="16"/>
              </w:rPr>
              <w:t>Se ha reducido el empleo cualificado</w:t>
            </w:r>
          </w:p>
        </w:tc>
        <w:tc>
          <w:tcPr>
            <w:tcW w:w="1127" w:type="dxa"/>
            <w:tcBorders>
              <w:right w:val="single" w:sz="4" w:space="0" w:color="BFBFBF" w:themeColor="background1" w:themeShade="BF"/>
            </w:tcBorders>
          </w:tcPr>
          <w:p w:rsidR="00BA6DD6" w:rsidRPr="001A3A42" w:rsidRDefault="00BA6DD6" w:rsidP="00BA6DD6">
            <w:pPr>
              <w:spacing w:line="240" w:lineRule="exact"/>
              <w:ind w:right="170"/>
              <w:jc w:val="center"/>
              <w:rPr>
                <w:rFonts w:cs="Arial"/>
                <w:b/>
                <w:bCs/>
                <w:sz w:val="16"/>
                <w:szCs w:val="16"/>
              </w:rPr>
            </w:pPr>
            <w:r w:rsidRPr="001A3A42">
              <w:rPr>
                <w:rFonts w:cs="Arial"/>
                <w:b/>
                <w:bCs/>
                <w:sz w:val="16"/>
                <w:szCs w:val="16"/>
              </w:rPr>
              <w:t>0</w:t>
            </w:r>
          </w:p>
        </w:tc>
      </w:tr>
    </w:tbl>
    <w:tbl>
      <w:tblPr>
        <w:tblpPr w:leftFromText="141" w:rightFromText="141" w:vertAnchor="text" w:horzAnchor="margin" w:tblpY="79"/>
        <w:tblW w:w="4077" w:type="dxa"/>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18"/>
        <w:gridCol w:w="959"/>
      </w:tblGrid>
      <w:tr w:rsidR="009D357D" w:rsidRPr="001A3A42" w:rsidTr="009D357D">
        <w:trPr>
          <w:trHeight w:val="240"/>
        </w:trPr>
        <w:tc>
          <w:tcPr>
            <w:tcW w:w="3118"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9D357D" w:rsidRPr="001A3A42" w:rsidRDefault="009D357D" w:rsidP="009D357D">
            <w:pPr>
              <w:spacing w:line="240" w:lineRule="exact"/>
              <w:rPr>
                <w:rFonts w:cs="Arial"/>
                <w:b/>
                <w:bCs/>
                <w:sz w:val="16"/>
                <w:szCs w:val="16"/>
              </w:rPr>
            </w:pPr>
          </w:p>
        </w:tc>
        <w:tc>
          <w:tcPr>
            <w:tcW w:w="959"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9D357D" w:rsidRPr="001A3A42" w:rsidRDefault="009D357D" w:rsidP="009D357D">
            <w:pPr>
              <w:spacing w:line="240" w:lineRule="exact"/>
              <w:jc w:val="center"/>
              <w:rPr>
                <w:rFonts w:cs="Arial"/>
                <w:b/>
                <w:bCs/>
                <w:sz w:val="16"/>
                <w:szCs w:val="16"/>
              </w:rPr>
            </w:pPr>
            <w:r w:rsidRPr="001A3A42">
              <w:rPr>
                <w:rFonts w:cs="Arial"/>
                <w:b/>
                <w:bCs/>
                <w:sz w:val="16"/>
                <w:szCs w:val="16"/>
              </w:rPr>
              <w:t>Total</w:t>
            </w:r>
          </w:p>
          <w:p w:rsidR="009D357D" w:rsidRPr="001A3A42" w:rsidRDefault="009D357D" w:rsidP="009D357D">
            <w:pPr>
              <w:spacing w:line="240" w:lineRule="exact"/>
              <w:jc w:val="center"/>
              <w:rPr>
                <w:rFonts w:cs="Arial"/>
                <w:b/>
                <w:bCs/>
                <w:sz w:val="16"/>
                <w:szCs w:val="16"/>
              </w:rPr>
            </w:pPr>
            <w:r w:rsidRPr="001A3A42">
              <w:rPr>
                <w:rFonts w:cs="Arial"/>
                <w:b/>
                <w:bCs/>
                <w:sz w:val="16"/>
                <w:szCs w:val="16"/>
              </w:rPr>
              <w:t>%</w:t>
            </w:r>
          </w:p>
        </w:tc>
      </w:tr>
      <w:tr w:rsidR="009D357D" w:rsidRPr="001A3A42" w:rsidTr="009D357D">
        <w:trPr>
          <w:trHeight w:val="240"/>
        </w:trPr>
        <w:tc>
          <w:tcPr>
            <w:tcW w:w="3118"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9D357D" w:rsidRPr="001A3A42" w:rsidRDefault="009D357D" w:rsidP="009D357D">
            <w:pPr>
              <w:spacing w:line="240" w:lineRule="exact"/>
              <w:rPr>
                <w:rFonts w:cs="Arial"/>
                <w:b/>
                <w:bCs/>
                <w:sz w:val="16"/>
                <w:szCs w:val="16"/>
              </w:rPr>
            </w:pPr>
          </w:p>
        </w:tc>
        <w:tc>
          <w:tcPr>
            <w:tcW w:w="959"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9D357D" w:rsidRPr="001A3A42" w:rsidRDefault="009D357D" w:rsidP="009D357D">
            <w:pPr>
              <w:spacing w:line="240" w:lineRule="exact"/>
              <w:jc w:val="center"/>
              <w:rPr>
                <w:rFonts w:cs="Arial"/>
                <w:b/>
                <w:bCs/>
                <w:sz w:val="16"/>
                <w:szCs w:val="16"/>
              </w:rPr>
            </w:pPr>
          </w:p>
        </w:tc>
      </w:tr>
      <w:tr w:rsidR="009D357D" w:rsidRPr="001A3A42" w:rsidTr="009D357D">
        <w:tc>
          <w:tcPr>
            <w:tcW w:w="3118" w:type="dxa"/>
            <w:tcBorders>
              <w:top w:val="single" w:sz="4" w:space="0" w:color="BFBFBF" w:themeColor="background1" w:themeShade="BF"/>
              <w:right w:val="single" w:sz="4" w:space="0" w:color="BFBFBF" w:themeColor="background1" w:themeShade="BF"/>
            </w:tcBorders>
            <w:noWrap/>
          </w:tcPr>
          <w:p w:rsidR="009D357D" w:rsidRPr="001A3A42" w:rsidRDefault="009D357D" w:rsidP="009D357D">
            <w:pPr>
              <w:spacing w:line="240" w:lineRule="auto"/>
              <w:jc w:val="left"/>
              <w:rPr>
                <w:rFonts w:cs="Arial"/>
                <w:b/>
                <w:sz w:val="16"/>
                <w:szCs w:val="16"/>
              </w:rPr>
            </w:pPr>
            <w:r w:rsidRPr="001A3A42">
              <w:rPr>
                <w:rFonts w:cs="Arial"/>
                <w:b/>
                <w:sz w:val="16"/>
                <w:szCs w:val="16"/>
              </w:rPr>
              <w:t xml:space="preserve">HA TENIDO EFECTO SOBRE EL EMPLEO TOTAL </w:t>
            </w:r>
          </w:p>
        </w:tc>
        <w:tc>
          <w:tcPr>
            <w:tcW w:w="959" w:type="dxa"/>
            <w:tcBorders>
              <w:top w:val="single" w:sz="4" w:space="0" w:color="BFBFBF" w:themeColor="background1" w:themeShade="BF"/>
              <w:right w:val="single" w:sz="4" w:space="0" w:color="BFBFBF" w:themeColor="background1" w:themeShade="BF"/>
            </w:tcBorders>
          </w:tcPr>
          <w:p w:rsidR="009D357D" w:rsidRPr="001A3A42" w:rsidRDefault="009D357D" w:rsidP="009D357D">
            <w:pPr>
              <w:spacing w:line="240" w:lineRule="exact"/>
              <w:ind w:right="170"/>
              <w:jc w:val="center"/>
              <w:rPr>
                <w:rFonts w:cs="Arial"/>
                <w:b/>
                <w:bCs/>
                <w:sz w:val="16"/>
                <w:szCs w:val="16"/>
              </w:rPr>
            </w:pPr>
            <w:r w:rsidRPr="001A3A42">
              <w:rPr>
                <w:rFonts w:cs="Arial"/>
                <w:b/>
                <w:bCs/>
                <w:sz w:val="16"/>
                <w:szCs w:val="16"/>
              </w:rPr>
              <w:t>52,6</w:t>
            </w:r>
          </w:p>
        </w:tc>
      </w:tr>
      <w:tr w:rsidR="009D357D" w:rsidRPr="001A3A42" w:rsidTr="009D357D">
        <w:tc>
          <w:tcPr>
            <w:tcW w:w="3118" w:type="dxa"/>
            <w:tcBorders>
              <w:top w:val="single" w:sz="4" w:space="0" w:color="BFBFBF" w:themeColor="background1" w:themeShade="BF"/>
              <w:right w:val="single" w:sz="4" w:space="0" w:color="BFBFBF" w:themeColor="background1" w:themeShade="BF"/>
            </w:tcBorders>
            <w:shd w:val="clear" w:color="auto" w:fill="D9D9D9" w:themeFill="background1" w:themeFillShade="D9"/>
            <w:noWrap/>
          </w:tcPr>
          <w:p w:rsidR="009D357D" w:rsidRPr="001A3A42" w:rsidRDefault="009D357D" w:rsidP="009D357D">
            <w:pPr>
              <w:spacing w:line="240" w:lineRule="auto"/>
              <w:jc w:val="left"/>
              <w:rPr>
                <w:rFonts w:cs="Arial"/>
                <w:sz w:val="16"/>
                <w:szCs w:val="16"/>
              </w:rPr>
            </w:pPr>
          </w:p>
        </w:tc>
        <w:tc>
          <w:tcPr>
            <w:tcW w:w="959" w:type="dxa"/>
            <w:tcBorders>
              <w:top w:val="single" w:sz="4" w:space="0" w:color="BFBFBF" w:themeColor="background1" w:themeShade="BF"/>
              <w:right w:val="single" w:sz="4" w:space="0" w:color="BFBFBF" w:themeColor="background1" w:themeShade="BF"/>
            </w:tcBorders>
            <w:shd w:val="clear" w:color="auto" w:fill="D9D9D9" w:themeFill="background1" w:themeFillShade="D9"/>
          </w:tcPr>
          <w:p w:rsidR="009D357D" w:rsidRPr="001A3A42" w:rsidRDefault="009D357D" w:rsidP="009D357D">
            <w:pPr>
              <w:spacing w:line="240" w:lineRule="exact"/>
              <w:ind w:right="170"/>
              <w:jc w:val="center"/>
              <w:rPr>
                <w:rFonts w:cs="Arial"/>
                <w:b/>
                <w:bCs/>
                <w:sz w:val="16"/>
                <w:szCs w:val="16"/>
              </w:rPr>
            </w:pPr>
          </w:p>
        </w:tc>
      </w:tr>
      <w:tr w:rsidR="009D357D" w:rsidRPr="001A3A42" w:rsidTr="009D357D">
        <w:tc>
          <w:tcPr>
            <w:tcW w:w="3118" w:type="dxa"/>
            <w:tcBorders>
              <w:top w:val="single" w:sz="4" w:space="0" w:color="BFBFBF" w:themeColor="background1" w:themeShade="BF"/>
              <w:right w:val="single" w:sz="4" w:space="0" w:color="BFBFBF" w:themeColor="background1" w:themeShade="BF"/>
            </w:tcBorders>
            <w:noWrap/>
          </w:tcPr>
          <w:p w:rsidR="009D357D" w:rsidRPr="001A3A42" w:rsidRDefault="009D357D" w:rsidP="009D357D">
            <w:pPr>
              <w:spacing w:line="240" w:lineRule="auto"/>
              <w:jc w:val="left"/>
              <w:rPr>
                <w:rFonts w:cs="Arial"/>
                <w:sz w:val="16"/>
                <w:szCs w:val="16"/>
              </w:rPr>
            </w:pPr>
            <w:r w:rsidRPr="001A3A42">
              <w:rPr>
                <w:rFonts w:cs="Arial"/>
                <w:sz w:val="16"/>
                <w:szCs w:val="16"/>
              </w:rPr>
              <w:t xml:space="preserve">Ha aumentado el empleo total </w:t>
            </w:r>
          </w:p>
        </w:tc>
        <w:tc>
          <w:tcPr>
            <w:tcW w:w="959" w:type="dxa"/>
            <w:tcBorders>
              <w:top w:val="single" w:sz="4" w:space="0" w:color="BFBFBF" w:themeColor="background1" w:themeShade="BF"/>
              <w:right w:val="single" w:sz="4" w:space="0" w:color="BFBFBF" w:themeColor="background1" w:themeShade="BF"/>
            </w:tcBorders>
          </w:tcPr>
          <w:p w:rsidR="009D357D" w:rsidRPr="001A3A42" w:rsidRDefault="009D357D" w:rsidP="009D357D">
            <w:pPr>
              <w:spacing w:line="240" w:lineRule="exact"/>
              <w:ind w:right="170"/>
              <w:jc w:val="center"/>
              <w:rPr>
                <w:rFonts w:cs="Arial"/>
                <w:b/>
                <w:bCs/>
                <w:sz w:val="16"/>
                <w:szCs w:val="16"/>
              </w:rPr>
            </w:pPr>
            <w:r w:rsidRPr="001A3A42">
              <w:rPr>
                <w:rFonts w:cs="Arial"/>
                <w:b/>
                <w:bCs/>
                <w:sz w:val="16"/>
                <w:szCs w:val="16"/>
              </w:rPr>
              <w:t>20,1</w:t>
            </w:r>
          </w:p>
        </w:tc>
      </w:tr>
      <w:tr w:rsidR="009D357D" w:rsidRPr="001A3A42" w:rsidTr="009D357D">
        <w:tc>
          <w:tcPr>
            <w:tcW w:w="3118" w:type="dxa"/>
            <w:tcBorders>
              <w:right w:val="single" w:sz="4" w:space="0" w:color="BFBFBF" w:themeColor="background1" w:themeShade="BF"/>
            </w:tcBorders>
            <w:shd w:val="clear" w:color="auto" w:fill="D9D9D9" w:themeFill="background1" w:themeFillShade="D9"/>
            <w:noWrap/>
          </w:tcPr>
          <w:p w:rsidR="009D357D" w:rsidRPr="001A3A42" w:rsidRDefault="009D357D" w:rsidP="009D357D">
            <w:pPr>
              <w:spacing w:line="240" w:lineRule="auto"/>
              <w:jc w:val="left"/>
              <w:rPr>
                <w:rFonts w:cs="Arial"/>
                <w:sz w:val="16"/>
                <w:szCs w:val="16"/>
              </w:rPr>
            </w:pPr>
          </w:p>
        </w:tc>
        <w:tc>
          <w:tcPr>
            <w:tcW w:w="959" w:type="dxa"/>
            <w:tcBorders>
              <w:right w:val="single" w:sz="4" w:space="0" w:color="BFBFBF" w:themeColor="background1" w:themeShade="BF"/>
            </w:tcBorders>
            <w:shd w:val="clear" w:color="auto" w:fill="D9D9D9" w:themeFill="background1" w:themeFillShade="D9"/>
          </w:tcPr>
          <w:p w:rsidR="009D357D" w:rsidRPr="001A3A42" w:rsidRDefault="009D357D" w:rsidP="009D357D">
            <w:pPr>
              <w:spacing w:line="240" w:lineRule="exact"/>
              <w:ind w:right="170"/>
              <w:jc w:val="center"/>
              <w:rPr>
                <w:rFonts w:cs="Arial"/>
                <w:b/>
                <w:bCs/>
                <w:sz w:val="16"/>
                <w:szCs w:val="16"/>
              </w:rPr>
            </w:pPr>
          </w:p>
        </w:tc>
      </w:tr>
      <w:tr w:rsidR="009D357D" w:rsidRPr="001A3A42" w:rsidTr="009D357D">
        <w:tc>
          <w:tcPr>
            <w:tcW w:w="3118" w:type="dxa"/>
            <w:tcBorders>
              <w:right w:val="single" w:sz="4" w:space="0" w:color="BFBFBF" w:themeColor="background1" w:themeShade="BF"/>
            </w:tcBorders>
            <w:noWrap/>
          </w:tcPr>
          <w:p w:rsidR="009D357D" w:rsidRPr="001A3A42" w:rsidRDefault="009D357D" w:rsidP="009D357D">
            <w:pPr>
              <w:spacing w:line="240" w:lineRule="auto"/>
              <w:jc w:val="left"/>
              <w:rPr>
                <w:rFonts w:cs="Arial"/>
                <w:sz w:val="16"/>
                <w:szCs w:val="16"/>
              </w:rPr>
            </w:pPr>
            <w:r w:rsidRPr="001A3A42">
              <w:rPr>
                <w:rFonts w:cs="Arial"/>
                <w:sz w:val="16"/>
                <w:szCs w:val="16"/>
              </w:rPr>
              <w:t>Se ha mantenido el empleo total</w:t>
            </w:r>
          </w:p>
        </w:tc>
        <w:tc>
          <w:tcPr>
            <w:tcW w:w="959" w:type="dxa"/>
            <w:tcBorders>
              <w:right w:val="single" w:sz="4" w:space="0" w:color="BFBFBF" w:themeColor="background1" w:themeShade="BF"/>
            </w:tcBorders>
          </w:tcPr>
          <w:p w:rsidR="009D357D" w:rsidRPr="001A3A42" w:rsidRDefault="009D357D" w:rsidP="009D357D">
            <w:pPr>
              <w:spacing w:line="240" w:lineRule="exact"/>
              <w:ind w:right="170"/>
              <w:jc w:val="center"/>
              <w:rPr>
                <w:rFonts w:cs="Arial"/>
                <w:b/>
                <w:bCs/>
                <w:sz w:val="16"/>
                <w:szCs w:val="16"/>
              </w:rPr>
            </w:pPr>
            <w:r w:rsidRPr="001A3A42">
              <w:rPr>
                <w:rFonts w:cs="Arial"/>
                <w:b/>
                <w:bCs/>
                <w:sz w:val="16"/>
                <w:szCs w:val="16"/>
              </w:rPr>
              <w:t>19,9</w:t>
            </w:r>
          </w:p>
        </w:tc>
      </w:tr>
      <w:tr w:rsidR="009D357D" w:rsidRPr="001A3A42" w:rsidTr="009D357D">
        <w:tc>
          <w:tcPr>
            <w:tcW w:w="3118" w:type="dxa"/>
            <w:tcBorders>
              <w:right w:val="single" w:sz="4" w:space="0" w:color="BFBFBF" w:themeColor="background1" w:themeShade="BF"/>
            </w:tcBorders>
            <w:shd w:val="clear" w:color="auto" w:fill="D9D9D9" w:themeFill="background1" w:themeFillShade="D9"/>
            <w:noWrap/>
          </w:tcPr>
          <w:p w:rsidR="009D357D" w:rsidRPr="001A3A42" w:rsidRDefault="009D357D" w:rsidP="009D357D">
            <w:pPr>
              <w:spacing w:line="240" w:lineRule="auto"/>
              <w:jc w:val="left"/>
              <w:rPr>
                <w:rFonts w:cs="Arial"/>
                <w:sz w:val="16"/>
                <w:szCs w:val="16"/>
              </w:rPr>
            </w:pPr>
          </w:p>
        </w:tc>
        <w:tc>
          <w:tcPr>
            <w:tcW w:w="959" w:type="dxa"/>
            <w:tcBorders>
              <w:right w:val="single" w:sz="4" w:space="0" w:color="BFBFBF" w:themeColor="background1" w:themeShade="BF"/>
            </w:tcBorders>
            <w:shd w:val="clear" w:color="auto" w:fill="D9D9D9" w:themeFill="background1" w:themeFillShade="D9"/>
          </w:tcPr>
          <w:p w:rsidR="009D357D" w:rsidRPr="001A3A42" w:rsidRDefault="009D357D" w:rsidP="009D357D">
            <w:pPr>
              <w:spacing w:line="240" w:lineRule="exact"/>
              <w:ind w:right="170"/>
              <w:jc w:val="center"/>
              <w:rPr>
                <w:rFonts w:cs="Arial"/>
                <w:b/>
                <w:bCs/>
                <w:sz w:val="16"/>
                <w:szCs w:val="16"/>
              </w:rPr>
            </w:pPr>
          </w:p>
        </w:tc>
      </w:tr>
      <w:tr w:rsidR="009D357D" w:rsidRPr="001A3A42" w:rsidTr="009D357D">
        <w:tc>
          <w:tcPr>
            <w:tcW w:w="3118" w:type="dxa"/>
            <w:tcBorders>
              <w:right w:val="single" w:sz="4" w:space="0" w:color="BFBFBF" w:themeColor="background1" w:themeShade="BF"/>
            </w:tcBorders>
            <w:noWrap/>
          </w:tcPr>
          <w:p w:rsidR="009D357D" w:rsidRPr="001A3A42" w:rsidRDefault="009D357D" w:rsidP="009D357D">
            <w:pPr>
              <w:spacing w:line="240" w:lineRule="auto"/>
              <w:jc w:val="left"/>
              <w:rPr>
                <w:rFonts w:cs="Arial"/>
                <w:sz w:val="16"/>
                <w:szCs w:val="16"/>
              </w:rPr>
            </w:pPr>
            <w:r w:rsidRPr="001A3A42">
              <w:rPr>
                <w:rFonts w:cs="Arial"/>
                <w:sz w:val="16"/>
                <w:szCs w:val="16"/>
              </w:rPr>
              <w:t xml:space="preserve">Se ha permitido limitar la reducción del </w:t>
            </w:r>
          </w:p>
          <w:p w:rsidR="009D357D" w:rsidRPr="001A3A42" w:rsidRDefault="009D357D" w:rsidP="009D357D">
            <w:pPr>
              <w:spacing w:line="240" w:lineRule="auto"/>
              <w:jc w:val="left"/>
              <w:rPr>
                <w:rFonts w:cs="Arial"/>
                <w:sz w:val="16"/>
                <w:szCs w:val="16"/>
              </w:rPr>
            </w:pPr>
            <w:r w:rsidRPr="001A3A42">
              <w:rPr>
                <w:rFonts w:cs="Arial"/>
                <w:sz w:val="16"/>
                <w:szCs w:val="16"/>
              </w:rPr>
              <w:t>nivel del empleo total</w:t>
            </w:r>
          </w:p>
        </w:tc>
        <w:tc>
          <w:tcPr>
            <w:tcW w:w="959" w:type="dxa"/>
            <w:tcBorders>
              <w:right w:val="single" w:sz="4" w:space="0" w:color="BFBFBF" w:themeColor="background1" w:themeShade="BF"/>
            </w:tcBorders>
          </w:tcPr>
          <w:p w:rsidR="009D357D" w:rsidRPr="001A3A42" w:rsidRDefault="009D357D" w:rsidP="009D357D">
            <w:pPr>
              <w:spacing w:line="240" w:lineRule="exact"/>
              <w:ind w:right="170"/>
              <w:jc w:val="center"/>
              <w:rPr>
                <w:rFonts w:cs="Arial"/>
                <w:b/>
                <w:bCs/>
                <w:sz w:val="16"/>
                <w:szCs w:val="16"/>
              </w:rPr>
            </w:pPr>
            <w:r w:rsidRPr="001A3A42">
              <w:rPr>
                <w:rFonts w:cs="Arial"/>
                <w:b/>
                <w:bCs/>
                <w:sz w:val="16"/>
                <w:szCs w:val="16"/>
              </w:rPr>
              <w:t>2,8</w:t>
            </w:r>
          </w:p>
        </w:tc>
      </w:tr>
      <w:tr w:rsidR="009D357D" w:rsidRPr="001A3A42" w:rsidTr="009D357D">
        <w:tc>
          <w:tcPr>
            <w:tcW w:w="3118" w:type="dxa"/>
            <w:tcBorders>
              <w:right w:val="single" w:sz="4" w:space="0" w:color="BFBFBF" w:themeColor="background1" w:themeShade="BF"/>
            </w:tcBorders>
            <w:shd w:val="clear" w:color="auto" w:fill="D9D9D9" w:themeFill="background1" w:themeFillShade="D9"/>
            <w:noWrap/>
          </w:tcPr>
          <w:p w:rsidR="009D357D" w:rsidRPr="001A3A42" w:rsidRDefault="009D357D" w:rsidP="009D357D">
            <w:pPr>
              <w:spacing w:line="240" w:lineRule="auto"/>
              <w:jc w:val="left"/>
              <w:rPr>
                <w:rFonts w:cs="Arial"/>
                <w:sz w:val="16"/>
                <w:szCs w:val="16"/>
              </w:rPr>
            </w:pPr>
          </w:p>
        </w:tc>
        <w:tc>
          <w:tcPr>
            <w:tcW w:w="959" w:type="dxa"/>
            <w:tcBorders>
              <w:right w:val="single" w:sz="4" w:space="0" w:color="BFBFBF" w:themeColor="background1" w:themeShade="BF"/>
            </w:tcBorders>
            <w:shd w:val="clear" w:color="auto" w:fill="D9D9D9" w:themeFill="background1" w:themeFillShade="D9"/>
          </w:tcPr>
          <w:p w:rsidR="009D357D" w:rsidRPr="001A3A42" w:rsidRDefault="009D357D" w:rsidP="009D357D">
            <w:pPr>
              <w:spacing w:line="240" w:lineRule="exact"/>
              <w:ind w:right="170"/>
              <w:jc w:val="center"/>
              <w:rPr>
                <w:rFonts w:cs="Arial"/>
                <w:b/>
                <w:bCs/>
                <w:sz w:val="16"/>
                <w:szCs w:val="16"/>
              </w:rPr>
            </w:pPr>
          </w:p>
        </w:tc>
      </w:tr>
      <w:tr w:rsidR="009D357D" w:rsidRPr="001A3A42" w:rsidTr="009D357D">
        <w:tc>
          <w:tcPr>
            <w:tcW w:w="3118" w:type="dxa"/>
            <w:tcBorders>
              <w:right w:val="single" w:sz="4" w:space="0" w:color="BFBFBF" w:themeColor="background1" w:themeShade="BF"/>
            </w:tcBorders>
            <w:noWrap/>
          </w:tcPr>
          <w:p w:rsidR="009D357D" w:rsidRPr="001A3A42" w:rsidRDefault="009D357D" w:rsidP="009D357D">
            <w:pPr>
              <w:spacing w:line="240" w:lineRule="auto"/>
              <w:jc w:val="left"/>
              <w:rPr>
                <w:rFonts w:cs="Arial"/>
                <w:sz w:val="16"/>
                <w:szCs w:val="16"/>
              </w:rPr>
            </w:pPr>
            <w:r w:rsidRPr="001A3A42">
              <w:rPr>
                <w:rFonts w:cs="Arial"/>
                <w:sz w:val="16"/>
                <w:szCs w:val="16"/>
              </w:rPr>
              <w:t xml:space="preserve">Se ha reducido el empleo total </w:t>
            </w:r>
          </w:p>
        </w:tc>
        <w:tc>
          <w:tcPr>
            <w:tcW w:w="959" w:type="dxa"/>
            <w:tcBorders>
              <w:right w:val="single" w:sz="4" w:space="0" w:color="BFBFBF" w:themeColor="background1" w:themeShade="BF"/>
            </w:tcBorders>
          </w:tcPr>
          <w:p w:rsidR="009D357D" w:rsidRPr="001A3A42" w:rsidRDefault="009D357D" w:rsidP="009D357D">
            <w:pPr>
              <w:spacing w:line="240" w:lineRule="exact"/>
              <w:ind w:right="170"/>
              <w:jc w:val="center"/>
              <w:rPr>
                <w:rFonts w:cs="Arial"/>
                <w:b/>
                <w:bCs/>
                <w:sz w:val="16"/>
                <w:szCs w:val="16"/>
              </w:rPr>
            </w:pPr>
            <w:r w:rsidRPr="001A3A42">
              <w:rPr>
                <w:rFonts w:cs="Arial"/>
                <w:b/>
                <w:bCs/>
                <w:sz w:val="16"/>
                <w:szCs w:val="16"/>
              </w:rPr>
              <w:t>0</w:t>
            </w:r>
          </w:p>
        </w:tc>
      </w:tr>
    </w:tbl>
    <w:p w:rsidR="00BA6DD6" w:rsidRDefault="00BA6DD6" w:rsidP="00BA6DD6">
      <w:pPr>
        <w:spacing w:line="240" w:lineRule="auto"/>
        <w:jc w:val="center"/>
        <w:rPr>
          <w:rFonts w:cs="Arial"/>
          <w:b/>
          <w:snapToGrid w:val="0"/>
          <w:color w:val="1F497D" w:themeColor="text2"/>
          <w:sz w:val="18"/>
          <w:szCs w:val="18"/>
          <w:lang w:val="es-ES_tradnl"/>
        </w:rPr>
      </w:pPr>
    </w:p>
    <w:p w:rsidR="00BA6DD6" w:rsidRDefault="00BA6DD6" w:rsidP="00BA6DD6">
      <w:pPr>
        <w:ind w:left="708"/>
        <w:rPr>
          <w:rFonts w:eastAsia="Times New Roman" w:cs="Arial"/>
          <w:i/>
          <w:sz w:val="16"/>
          <w:szCs w:val="20"/>
          <w:lang w:val="es-ES_tradnl" w:eastAsia="es-ES"/>
        </w:rPr>
      </w:pPr>
    </w:p>
    <w:p w:rsidR="00BA6DD6" w:rsidRDefault="00BA6DD6" w:rsidP="00BA6DD6">
      <w:pPr>
        <w:ind w:left="708"/>
        <w:rPr>
          <w:rFonts w:eastAsia="Times New Roman" w:cs="Arial"/>
          <w:i/>
          <w:sz w:val="16"/>
          <w:szCs w:val="20"/>
          <w:lang w:val="es-ES_tradnl" w:eastAsia="es-ES"/>
        </w:rPr>
      </w:pPr>
    </w:p>
    <w:p w:rsidR="0065300F" w:rsidRDefault="0065300F" w:rsidP="00D41EAA">
      <w:pPr>
        <w:spacing w:after="200" w:line="276" w:lineRule="auto"/>
        <w:jc w:val="left"/>
        <w:rPr>
          <w:rFonts w:eastAsia="Times New Roman" w:cs="Times New Roman"/>
          <w:b/>
          <w:snapToGrid w:val="0"/>
          <w:sz w:val="28"/>
          <w:szCs w:val="20"/>
          <w:lang w:eastAsia="es-ES"/>
        </w:rPr>
      </w:pPr>
    </w:p>
    <w:p w:rsidR="0065300F" w:rsidRDefault="0065300F" w:rsidP="00D41EAA">
      <w:pPr>
        <w:spacing w:after="200" w:line="276" w:lineRule="auto"/>
        <w:jc w:val="left"/>
        <w:rPr>
          <w:rFonts w:eastAsia="Times New Roman" w:cs="Times New Roman"/>
          <w:b/>
          <w:snapToGrid w:val="0"/>
          <w:sz w:val="28"/>
          <w:szCs w:val="20"/>
          <w:lang w:eastAsia="es-ES"/>
        </w:rPr>
      </w:pPr>
    </w:p>
    <w:p w:rsidR="0065300F" w:rsidRDefault="0065300F" w:rsidP="00D41EAA">
      <w:pPr>
        <w:spacing w:after="200" w:line="276" w:lineRule="auto"/>
        <w:jc w:val="left"/>
        <w:rPr>
          <w:rFonts w:eastAsia="Times New Roman" w:cs="Times New Roman"/>
          <w:b/>
          <w:snapToGrid w:val="0"/>
          <w:sz w:val="28"/>
          <w:szCs w:val="20"/>
          <w:lang w:eastAsia="es-ES"/>
        </w:rPr>
      </w:pPr>
    </w:p>
    <w:p w:rsidR="0065300F" w:rsidRDefault="0065300F" w:rsidP="00D41EAA">
      <w:pPr>
        <w:spacing w:after="200" w:line="276" w:lineRule="auto"/>
        <w:jc w:val="left"/>
        <w:rPr>
          <w:rFonts w:eastAsia="Times New Roman" w:cs="Times New Roman"/>
          <w:b/>
          <w:snapToGrid w:val="0"/>
          <w:sz w:val="28"/>
          <w:szCs w:val="20"/>
          <w:lang w:eastAsia="es-ES"/>
        </w:rPr>
      </w:pPr>
    </w:p>
    <w:p w:rsidR="0065300F" w:rsidRDefault="0065300F" w:rsidP="00D41EAA">
      <w:pPr>
        <w:spacing w:after="200" w:line="276" w:lineRule="auto"/>
        <w:jc w:val="left"/>
        <w:rPr>
          <w:rFonts w:eastAsia="Times New Roman" w:cs="Times New Roman"/>
          <w:b/>
          <w:snapToGrid w:val="0"/>
          <w:sz w:val="28"/>
          <w:szCs w:val="20"/>
          <w:lang w:eastAsia="es-ES"/>
        </w:rPr>
      </w:pPr>
    </w:p>
    <w:p w:rsidR="00D41EAA" w:rsidRDefault="00D41EAA" w:rsidP="00D41EAA">
      <w:pPr>
        <w:spacing w:after="200" w:line="276" w:lineRule="auto"/>
        <w:jc w:val="left"/>
        <w:rPr>
          <w:rFonts w:eastAsia="Times New Roman" w:cs="Times New Roman"/>
          <w:b/>
          <w:snapToGrid w:val="0"/>
          <w:sz w:val="28"/>
          <w:szCs w:val="20"/>
          <w:lang w:eastAsia="es-ES"/>
        </w:rPr>
      </w:pPr>
      <w:r>
        <w:rPr>
          <w:rFonts w:eastAsia="Times New Roman" w:cs="Times New Roman"/>
          <w:b/>
          <w:snapToGrid w:val="0"/>
          <w:sz w:val="28"/>
          <w:szCs w:val="20"/>
          <w:lang w:eastAsia="es-ES"/>
        </w:rPr>
        <w:br w:type="page"/>
      </w:r>
    </w:p>
    <w:p w:rsidR="008657B9" w:rsidRPr="004C34D4" w:rsidRDefault="008657B9" w:rsidP="008657B9">
      <w:pPr>
        <w:pStyle w:val="Ttulo1"/>
        <w:keepLines/>
        <w:widowControl/>
        <w:numPr>
          <w:ilvl w:val="0"/>
          <w:numId w:val="8"/>
        </w:numPr>
        <w:spacing w:before="480"/>
        <w:rPr>
          <w:szCs w:val="28"/>
        </w:rPr>
      </w:pPr>
      <w:bookmarkStart w:id="7" w:name="_Toc450118894"/>
      <w:r w:rsidRPr="004C34D4">
        <w:rPr>
          <w:szCs w:val="28"/>
        </w:rPr>
        <w:lastRenderedPageBreak/>
        <w:t>AVANCE DE CU</w:t>
      </w:r>
      <w:r>
        <w:rPr>
          <w:szCs w:val="28"/>
        </w:rPr>
        <w:t>ENTAS DE LA ECONOMÍA SOCIAL 2015</w:t>
      </w:r>
      <w:r w:rsidRPr="004C34D4">
        <w:rPr>
          <w:szCs w:val="28"/>
        </w:rPr>
        <w:t xml:space="preserve"> (FCES)</w:t>
      </w:r>
      <w:bookmarkEnd w:id="7"/>
    </w:p>
    <w:p w:rsidR="008657B9" w:rsidRDefault="008657B9" w:rsidP="008657B9">
      <w:pPr>
        <w:rPr>
          <w:lang w:eastAsia="es-ES"/>
        </w:rPr>
      </w:pPr>
    </w:p>
    <w:p w:rsidR="008657B9" w:rsidRPr="0015457E" w:rsidRDefault="008657B9" w:rsidP="008657B9">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Pr>
          <w:rFonts w:eastAsia="Times New Roman" w:cs="Times New Roman"/>
          <w:b/>
          <w:snapToGrid w:val="0"/>
          <w:sz w:val="28"/>
          <w:szCs w:val="28"/>
          <w:lang w:eastAsia="es-ES"/>
        </w:rPr>
        <w:t>El Avance de datos para</w:t>
      </w:r>
      <w:r w:rsidRPr="0015457E">
        <w:rPr>
          <w:rFonts w:eastAsia="Times New Roman" w:cs="Times New Roman"/>
          <w:b/>
          <w:snapToGrid w:val="0"/>
          <w:sz w:val="28"/>
          <w:szCs w:val="28"/>
          <w:lang w:eastAsia="es-ES"/>
        </w:rPr>
        <w:t xml:space="preserve"> 2015 </w:t>
      </w:r>
      <w:r>
        <w:rPr>
          <w:rFonts w:eastAsia="Times New Roman" w:cs="Times New Roman"/>
          <w:b/>
          <w:snapToGrid w:val="0"/>
          <w:sz w:val="28"/>
          <w:szCs w:val="28"/>
          <w:lang w:eastAsia="es-ES"/>
        </w:rPr>
        <w:t>muestra una significativa recuperación</w:t>
      </w:r>
      <w:r w:rsidRPr="0015457E">
        <w:rPr>
          <w:rFonts w:eastAsia="Times New Roman" w:cs="Times New Roman"/>
          <w:b/>
          <w:snapToGrid w:val="0"/>
          <w:sz w:val="28"/>
          <w:szCs w:val="28"/>
          <w:lang w:eastAsia="es-ES"/>
        </w:rPr>
        <w:t xml:space="preserve"> del empleo y de la facturación</w:t>
      </w:r>
      <w:r>
        <w:rPr>
          <w:rFonts w:eastAsia="Times New Roman" w:cs="Times New Roman"/>
          <w:b/>
          <w:snapToGrid w:val="0"/>
          <w:sz w:val="28"/>
          <w:szCs w:val="28"/>
          <w:lang w:eastAsia="es-ES"/>
        </w:rPr>
        <w:t xml:space="preserve"> que, a pesar de ello, no permite volver siquiera a los niveles </w:t>
      </w:r>
      <w:r w:rsidRPr="0015457E">
        <w:rPr>
          <w:rFonts w:eastAsia="Times New Roman" w:cs="Times New Roman"/>
          <w:b/>
          <w:snapToGrid w:val="0"/>
          <w:sz w:val="28"/>
          <w:szCs w:val="28"/>
          <w:lang w:eastAsia="es-ES"/>
        </w:rPr>
        <w:t>de 2012</w:t>
      </w:r>
      <w:r>
        <w:rPr>
          <w:rFonts w:eastAsia="Times New Roman" w:cs="Times New Roman"/>
          <w:b/>
          <w:snapToGrid w:val="0"/>
          <w:sz w:val="28"/>
          <w:szCs w:val="28"/>
          <w:lang w:eastAsia="es-ES"/>
        </w:rPr>
        <w:t xml:space="preserve"> y dista aún mucho del escenario pre-crisis</w:t>
      </w:r>
    </w:p>
    <w:p w:rsidR="008657B9" w:rsidRPr="009B028A" w:rsidRDefault="008657B9" w:rsidP="008657B9">
      <w:pPr>
        <w:rPr>
          <w:lang w:eastAsia="es-ES"/>
        </w:rPr>
      </w:pPr>
    </w:p>
    <w:p w:rsidR="008657B9" w:rsidRDefault="008657B9" w:rsidP="008657B9">
      <w:pPr>
        <w:rPr>
          <w:rFonts w:eastAsia="Times New Roman" w:cs="Arial"/>
          <w:szCs w:val="20"/>
          <w:lang w:val="es-ES_tradnl" w:eastAsia="es-ES"/>
        </w:rPr>
      </w:pPr>
      <w:r>
        <w:rPr>
          <w:rFonts w:eastAsia="Times New Roman" w:cs="Arial"/>
          <w:szCs w:val="20"/>
          <w:lang w:val="es-ES_tradnl" w:eastAsia="es-ES"/>
        </w:rPr>
        <w:t>En un contexto de crisis continuada de la facturación interna desde 2008 y de pérdida de facturación en el resto del mundo entre 2012 y 2014, resulta decisivo considerar las perspectivas que ofrece el Avance de resultados de las FCES en el año 2015.</w:t>
      </w:r>
    </w:p>
    <w:p w:rsidR="008657B9" w:rsidRDefault="008657B9" w:rsidP="008657B9">
      <w:pPr>
        <w:rPr>
          <w:rFonts w:eastAsia="Times New Roman" w:cs="Arial"/>
          <w:szCs w:val="20"/>
          <w:lang w:val="es-ES_tradnl" w:eastAsia="es-ES"/>
        </w:rPr>
      </w:pPr>
    </w:p>
    <w:p w:rsidR="008657B9" w:rsidRDefault="008657B9" w:rsidP="008657B9">
      <w:pPr>
        <w:rPr>
          <w:rFonts w:eastAsia="Times New Roman" w:cs="Arial"/>
          <w:szCs w:val="20"/>
          <w:lang w:val="es-ES_tradnl" w:eastAsia="es-ES"/>
        </w:rPr>
      </w:pPr>
      <w:r w:rsidRPr="0022403B">
        <w:rPr>
          <w:rFonts w:eastAsia="Times New Roman" w:cs="Arial"/>
          <w:szCs w:val="20"/>
          <w:lang w:val="es-ES_tradnl" w:eastAsia="es-ES"/>
        </w:rPr>
        <w:t>El avance de cifras para el ejercicio 2015 apunta</w:t>
      </w:r>
      <w:r>
        <w:rPr>
          <w:rFonts w:eastAsia="Times New Roman" w:cs="Arial"/>
          <w:szCs w:val="20"/>
          <w:lang w:val="es-ES_tradnl" w:eastAsia="es-ES"/>
        </w:rPr>
        <w:t xml:space="preserve"> a</w:t>
      </w:r>
      <w:r w:rsidRPr="0022403B">
        <w:rPr>
          <w:rFonts w:eastAsia="Times New Roman" w:cs="Arial"/>
          <w:szCs w:val="20"/>
          <w:lang w:val="es-ES_tradnl" w:eastAsia="es-ES"/>
        </w:rPr>
        <w:t xml:space="preserve"> una </w:t>
      </w:r>
      <w:r>
        <w:rPr>
          <w:rFonts w:eastAsia="Times New Roman" w:cs="Arial"/>
          <w:szCs w:val="20"/>
          <w:lang w:val="es-ES_tradnl" w:eastAsia="es-ES"/>
        </w:rPr>
        <w:t>significativa</w:t>
      </w:r>
      <w:r w:rsidRPr="0022403B">
        <w:rPr>
          <w:rFonts w:eastAsia="Times New Roman" w:cs="Arial"/>
          <w:szCs w:val="20"/>
          <w:lang w:val="es-ES_tradnl" w:eastAsia="es-ES"/>
        </w:rPr>
        <w:t xml:space="preserve"> recuperación</w:t>
      </w:r>
      <w:r>
        <w:rPr>
          <w:rFonts w:eastAsia="Times New Roman" w:cs="Arial"/>
          <w:szCs w:val="20"/>
          <w:lang w:val="es-ES_tradnl" w:eastAsia="es-ES"/>
        </w:rPr>
        <w:t>. En términos de empleo, el volumen ocupacional esperado para ese ejercicio económico se sitúa en 55.372 empleos, con un incremento del 1,45% respecto a los 54.582 de 2014. Esta significativa recuperación se acerca a los 55.809 empleos de 2012, con apenas un desfase del 0,8%. Sin embargo, la distancia es todavía muy llamativa respecto a los 62.615 empleo de 2008, con u</w:t>
      </w:r>
      <w:r w:rsidR="00C25C3A">
        <w:rPr>
          <w:rFonts w:eastAsia="Times New Roman" w:cs="Arial"/>
          <w:szCs w:val="20"/>
          <w:lang w:val="es-ES_tradnl" w:eastAsia="es-ES"/>
        </w:rPr>
        <w:t xml:space="preserve">n 11,6% menos de empleos en </w:t>
      </w:r>
      <w:r w:rsidR="00C25C3A" w:rsidRPr="002B2AD3">
        <w:rPr>
          <w:rFonts w:eastAsia="Times New Roman" w:cs="Arial"/>
          <w:szCs w:val="20"/>
          <w:lang w:val="es-ES_tradnl" w:eastAsia="es-ES"/>
        </w:rPr>
        <w:t>2015</w:t>
      </w:r>
      <w:r w:rsidRPr="002B2AD3">
        <w:rPr>
          <w:rFonts w:eastAsia="Times New Roman" w:cs="Arial"/>
          <w:szCs w:val="20"/>
          <w:lang w:val="es-ES_tradnl" w:eastAsia="es-ES"/>
        </w:rPr>
        <w:t>.</w:t>
      </w:r>
    </w:p>
    <w:p w:rsidR="008657B9" w:rsidRDefault="008657B9" w:rsidP="008657B9">
      <w:pPr>
        <w:rPr>
          <w:rFonts w:eastAsia="Times New Roman" w:cs="Arial"/>
          <w:szCs w:val="20"/>
          <w:lang w:val="es-ES_tradnl" w:eastAsia="es-ES"/>
        </w:rPr>
      </w:pPr>
    </w:p>
    <w:p w:rsidR="008657B9" w:rsidRDefault="008657B9" w:rsidP="008657B9">
      <w:pPr>
        <w:pStyle w:val="Epgrafe"/>
        <w:spacing w:line="360" w:lineRule="auto"/>
        <w:ind w:left="227" w:hanging="227"/>
        <w:jc w:val="center"/>
        <w:rPr>
          <w:rFonts w:ascii="Arial" w:hAnsi="Arial" w:cs="Arial"/>
          <w:snapToGrid w:val="0"/>
          <w:color w:val="1F497D" w:themeColor="text2"/>
          <w:sz w:val="18"/>
          <w:szCs w:val="18"/>
          <w:lang w:val="es-ES_tradnl"/>
        </w:rPr>
      </w:pPr>
      <w:r>
        <w:rPr>
          <w:rFonts w:ascii="Arial" w:hAnsi="Arial" w:cs="Arial"/>
          <w:snapToGrid w:val="0"/>
          <w:color w:val="1F497D" w:themeColor="text2"/>
          <w:sz w:val="18"/>
          <w:szCs w:val="18"/>
          <w:lang w:val="es-ES_tradnl"/>
        </w:rPr>
        <w:t>EVOLUCIÓN DE LOS EMPLEOS EN LA CAE EN LA ECONOMÍA SOCIAL 2006-2015</w:t>
      </w:r>
    </w:p>
    <w:p w:rsidR="008657B9" w:rsidRDefault="008657B9" w:rsidP="008657B9">
      <w:pPr>
        <w:ind w:left="227" w:hanging="227"/>
        <w:rPr>
          <w:rFonts w:ascii="Arial Black" w:hAnsi="Arial Black" w:cs="Arial"/>
          <w:b/>
          <w:color w:val="1F497D"/>
          <w:w w:val="90"/>
          <w:szCs w:val="26"/>
        </w:rPr>
      </w:pPr>
      <w:r>
        <w:rPr>
          <w:noProof/>
          <w:lang w:eastAsia="es-ES"/>
        </w:rPr>
        <w:drawing>
          <wp:anchor distT="85344" distB="188976" distL="187452" distR="495300" simplePos="0" relativeHeight="251866112" behindDoc="0" locked="0" layoutInCell="1" allowOverlap="1">
            <wp:simplePos x="0" y="0"/>
            <wp:positionH relativeFrom="column">
              <wp:posOffset>450215</wp:posOffset>
            </wp:positionH>
            <wp:positionV relativeFrom="paragraph">
              <wp:posOffset>207010</wp:posOffset>
            </wp:positionV>
            <wp:extent cx="4498975" cy="1554480"/>
            <wp:effectExtent l="0" t="0" r="0" b="0"/>
            <wp:wrapNone/>
            <wp:docPr id="95" name="Objet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8657B9" w:rsidRDefault="008657B9" w:rsidP="008657B9">
      <w:pPr>
        <w:ind w:left="227" w:hanging="227"/>
        <w:rPr>
          <w:rFonts w:ascii="Arial Black" w:hAnsi="Arial Black" w:cs="Arial"/>
          <w:b/>
          <w:color w:val="1F497D"/>
          <w:w w:val="90"/>
          <w:szCs w:val="26"/>
        </w:rPr>
      </w:pPr>
    </w:p>
    <w:p w:rsidR="008657B9" w:rsidRDefault="008657B9" w:rsidP="008657B9">
      <w:pPr>
        <w:ind w:left="227" w:hanging="227"/>
        <w:rPr>
          <w:rFonts w:ascii="Arial Black" w:hAnsi="Arial Black" w:cs="Arial"/>
          <w:b/>
          <w:color w:val="1F497D"/>
          <w:w w:val="90"/>
          <w:szCs w:val="26"/>
        </w:rPr>
      </w:pPr>
    </w:p>
    <w:p w:rsidR="008657B9" w:rsidRDefault="008657B9" w:rsidP="008657B9">
      <w:pPr>
        <w:ind w:left="227" w:hanging="227"/>
        <w:rPr>
          <w:rFonts w:ascii="Arial Black" w:hAnsi="Arial Black" w:cs="Arial"/>
          <w:b/>
          <w:color w:val="1F497D"/>
          <w:w w:val="90"/>
          <w:szCs w:val="26"/>
        </w:rPr>
      </w:pPr>
    </w:p>
    <w:p w:rsidR="008657B9" w:rsidRDefault="008657B9" w:rsidP="008657B9">
      <w:pPr>
        <w:ind w:left="227" w:hanging="227"/>
        <w:rPr>
          <w:rFonts w:ascii="Arial Black" w:hAnsi="Arial Black" w:cs="Arial"/>
          <w:b/>
          <w:color w:val="1F497D"/>
          <w:w w:val="90"/>
          <w:szCs w:val="26"/>
        </w:rPr>
      </w:pPr>
    </w:p>
    <w:p w:rsidR="008657B9" w:rsidRDefault="008657B9" w:rsidP="008657B9">
      <w:pPr>
        <w:ind w:left="227" w:hanging="227"/>
        <w:rPr>
          <w:rFonts w:ascii="Arial Black" w:hAnsi="Arial Black" w:cs="Arial"/>
          <w:b/>
          <w:color w:val="1F497D"/>
          <w:w w:val="90"/>
          <w:szCs w:val="26"/>
        </w:rPr>
      </w:pPr>
    </w:p>
    <w:p w:rsidR="008657B9" w:rsidRDefault="008657B9" w:rsidP="008657B9">
      <w:pPr>
        <w:ind w:left="227" w:hanging="227"/>
        <w:rPr>
          <w:rFonts w:ascii="Arial Black" w:hAnsi="Arial Black" w:cs="Arial"/>
          <w:b/>
          <w:color w:val="1F497D"/>
          <w:w w:val="90"/>
          <w:szCs w:val="26"/>
        </w:rPr>
      </w:pPr>
    </w:p>
    <w:p w:rsidR="008657B9" w:rsidRDefault="008657B9" w:rsidP="008657B9">
      <w:pPr>
        <w:ind w:left="227" w:hanging="227"/>
        <w:rPr>
          <w:rFonts w:ascii="Arial Black" w:hAnsi="Arial Black" w:cs="Arial"/>
          <w:b/>
          <w:color w:val="1F497D"/>
          <w:w w:val="90"/>
          <w:szCs w:val="26"/>
        </w:rPr>
      </w:pPr>
    </w:p>
    <w:p w:rsidR="008657B9" w:rsidRDefault="008657B9" w:rsidP="008657B9">
      <w:pPr>
        <w:rPr>
          <w:rFonts w:eastAsia="Times New Roman" w:cs="Arial"/>
          <w:szCs w:val="20"/>
          <w:lang w:val="es-ES_tradnl" w:eastAsia="es-ES"/>
        </w:rPr>
      </w:pPr>
      <w:r>
        <w:rPr>
          <w:rFonts w:eastAsia="Times New Roman" w:cs="Arial"/>
          <w:szCs w:val="20"/>
          <w:lang w:val="es-ES_tradnl" w:eastAsia="es-ES"/>
        </w:rPr>
        <w:t>Por lo que respecta a las cifras de facturación, la recuperación es aún más llamativa, con un incremento esperado del 1,88%. En esta variable, sin embargo, la distancia de la facturación esperada en 2015 (7,84 millones de euros en ventas) es muy superior a las registradas en años anteriores. De esta forma, la cifra de ventas prevista para 2015 queda aún un 5,4% por debajo de los 8,28 millones de facturación de 2012 y un 19,7% de los 9,76 obtenidos en el año 2008.</w:t>
      </w:r>
    </w:p>
    <w:p w:rsidR="008657B9" w:rsidRDefault="008657B9" w:rsidP="008657B9">
      <w:pPr>
        <w:rPr>
          <w:rFonts w:eastAsia="Times New Roman" w:cs="Arial"/>
          <w:szCs w:val="20"/>
          <w:lang w:val="es-ES_tradnl" w:eastAsia="es-ES"/>
        </w:rPr>
      </w:pPr>
    </w:p>
    <w:p w:rsidR="008657B9" w:rsidRPr="00243271" w:rsidRDefault="008657B9" w:rsidP="008657B9">
      <w:pPr>
        <w:ind w:left="227" w:hanging="227"/>
        <w:rPr>
          <w:rFonts w:ascii="Arial Black" w:hAnsi="Arial Black" w:cs="Arial"/>
          <w:b/>
          <w:color w:val="1F497D"/>
          <w:w w:val="90"/>
          <w:szCs w:val="26"/>
          <w:lang w:val="es-ES_tradnl"/>
        </w:rPr>
      </w:pPr>
    </w:p>
    <w:p w:rsidR="008657B9" w:rsidRDefault="008657B9" w:rsidP="008657B9">
      <w:pPr>
        <w:spacing w:after="200" w:line="276" w:lineRule="auto"/>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8657B9" w:rsidRDefault="008657B9" w:rsidP="008657B9">
      <w:pPr>
        <w:ind w:left="227" w:hanging="227"/>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lastRenderedPageBreak/>
        <w:t>EVOLUCIÓN FACTURACIÓN 2006 - 2015 (MILES DE EUROS)</w:t>
      </w:r>
    </w:p>
    <w:p w:rsidR="008657B9" w:rsidRDefault="008657B9" w:rsidP="008657B9">
      <w:pPr>
        <w:ind w:left="227" w:hanging="227"/>
        <w:rPr>
          <w:rFonts w:cs="Arial"/>
        </w:rPr>
      </w:pPr>
      <w:r>
        <w:rPr>
          <w:noProof/>
          <w:lang w:eastAsia="es-ES"/>
        </w:rPr>
        <w:drawing>
          <wp:anchor distT="60960" distB="188976" distL="138684" distR="318516" simplePos="0" relativeHeight="251867136" behindDoc="0" locked="0" layoutInCell="1" allowOverlap="1">
            <wp:simplePos x="0" y="0"/>
            <wp:positionH relativeFrom="column">
              <wp:posOffset>277495</wp:posOffset>
            </wp:positionH>
            <wp:positionV relativeFrom="paragraph">
              <wp:posOffset>193675</wp:posOffset>
            </wp:positionV>
            <wp:extent cx="4724400" cy="1578610"/>
            <wp:effectExtent l="0" t="0" r="0" b="0"/>
            <wp:wrapNone/>
            <wp:docPr id="94" name="Objet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Default="008657B9" w:rsidP="008657B9">
      <w:pPr>
        <w:ind w:left="227" w:hanging="227"/>
        <w:rPr>
          <w:rFonts w:cs="Arial"/>
          <w:b/>
          <w:color w:val="000080"/>
        </w:rPr>
      </w:pPr>
    </w:p>
    <w:p w:rsidR="008657B9" w:rsidRPr="0022403B" w:rsidRDefault="008657B9" w:rsidP="008657B9">
      <w:pPr>
        <w:rPr>
          <w:rFonts w:eastAsia="Times New Roman" w:cs="Arial"/>
          <w:szCs w:val="20"/>
          <w:lang w:val="es-ES_tradnl" w:eastAsia="es-ES"/>
        </w:rPr>
      </w:pPr>
      <w:r w:rsidRPr="0022403B">
        <w:rPr>
          <w:rFonts w:eastAsia="Times New Roman" w:cs="Arial"/>
          <w:szCs w:val="20"/>
          <w:lang w:val="es-ES_tradnl" w:eastAsia="es-ES"/>
        </w:rPr>
        <w:t xml:space="preserve">En </w:t>
      </w:r>
      <w:r>
        <w:rPr>
          <w:rFonts w:eastAsia="Times New Roman" w:cs="Arial"/>
          <w:szCs w:val="20"/>
          <w:lang w:val="es-ES_tradnl" w:eastAsia="es-ES"/>
        </w:rPr>
        <w:t>cualquier caso, los datos de avance para el ejercicio 2015 muestran, por primera vez, indicios ciertos y significativos de un proceso real de recuperación de la Economía Social vasca.</w:t>
      </w:r>
    </w:p>
    <w:p w:rsidR="008657B9" w:rsidRPr="00243271" w:rsidRDefault="008657B9" w:rsidP="008657B9">
      <w:pPr>
        <w:ind w:left="227" w:hanging="227"/>
        <w:rPr>
          <w:rFonts w:cs="Arial"/>
          <w:b/>
          <w:color w:val="000080"/>
          <w:lang w:val="es-ES_tradnl"/>
        </w:rPr>
      </w:pPr>
    </w:p>
    <w:p w:rsidR="008657B9" w:rsidRDefault="00CC2916" w:rsidP="008657B9">
      <w:pPr>
        <w:spacing w:after="200"/>
        <w:rPr>
          <w:b/>
        </w:rPr>
      </w:pPr>
      <w:r w:rsidRPr="00173AD8">
        <w:rPr>
          <w:b/>
        </w:rPr>
        <w:t>Se abren</w:t>
      </w:r>
      <w:r w:rsidR="008657B9">
        <w:rPr>
          <w:b/>
        </w:rPr>
        <w:t xml:space="preserve"> perspectivas de recuperación de la industria y la construcción, matizada</w:t>
      </w:r>
      <w:r w:rsidR="002337AF">
        <w:rPr>
          <w:b/>
        </w:rPr>
        <w:t>s</w:t>
      </w:r>
      <w:r w:rsidR="008657B9">
        <w:rPr>
          <w:b/>
        </w:rPr>
        <w:t xml:space="preserve"> por una evolución desfavorable del sector servicios</w:t>
      </w:r>
      <w:r w:rsidR="00064791">
        <w:rPr>
          <w:b/>
        </w:rPr>
        <w:t>.</w:t>
      </w:r>
    </w:p>
    <w:p w:rsidR="008657B9" w:rsidRPr="00243271" w:rsidRDefault="008657B9" w:rsidP="008657B9">
      <w:pPr>
        <w:spacing w:after="200"/>
      </w:pPr>
      <w:r w:rsidRPr="00243271">
        <w:t xml:space="preserve">En este marco de mejora del empleo y de las ventas, destaca </w:t>
      </w:r>
      <w:r>
        <w:t>en particular</w:t>
      </w:r>
      <w:r w:rsidRPr="00243271">
        <w:t xml:space="preserve"> la recuperación advertida en la industria</w:t>
      </w:r>
      <w:r>
        <w:t xml:space="preserve">. Tras </w:t>
      </w:r>
      <w:r w:rsidRPr="00243271">
        <w:t>una caída del 7,5%</w:t>
      </w:r>
      <w:r>
        <w:t xml:space="preserve"> </w:t>
      </w:r>
      <w:r w:rsidRPr="00243271">
        <w:t xml:space="preserve">en el bienio 2012-2014, </w:t>
      </w:r>
      <w:r>
        <w:t xml:space="preserve">que continuaba procesos previos de reducción </w:t>
      </w:r>
      <w:r>
        <w:rPr>
          <w:rFonts w:eastAsia="Times New Roman" w:cs="Arial"/>
          <w:szCs w:val="20"/>
          <w:lang w:val="es-ES_tradnl" w:eastAsia="es-ES"/>
        </w:rPr>
        <w:t xml:space="preserve">(-11,4% entre 2008 y 2010 y -3,0% entre 2010 y 2012), </w:t>
      </w:r>
      <w:r>
        <w:t xml:space="preserve">2015 marca un claro cambio de rumbo en esta </w:t>
      </w:r>
      <w:r w:rsidRPr="00243271">
        <w:t>tendencia decreciente</w:t>
      </w:r>
      <w:r>
        <w:t>. Las cifras del Avance muestran, para 2015, un aumento del 2,2% en los niveles de empleo, sostenido en un incremento del 4,7% en las cifras de facturación</w:t>
      </w:r>
      <w:r w:rsidRPr="00243271">
        <w:t>.</w:t>
      </w:r>
    </w:p>
    <w:p w:rsidR="008657B9" w:rsidRPr="00C03EF7" w:rsidRDefault="008657B9" w:rsidP="008657B9">
      <w:pPr>
        <w:spacing w:after="200"/>
        <w:rPr>
          <w:rFonts w:eastAsia="Times New Roman" w:cs="Arial"/>
          <w:szCs w:val="20"/>
          <w:lang w:val="es-ES_tradnl" w:eastAsia="es-ES"/>
        </w:rPr>
      </w:pPr>
      <w:r w:rsidRPr="00C03EF7">
        <w:rPr>
          <w:rFonts w:eastAsia="Times New Roman" w:cs="Arial"/>
          <w:szCs w:val="20"/>
          <w:lang w:eastAsia="es-ES"/>
        </w:rPr>
        <w:t>Otro elemento positivo asociado es una recuperación aún más llamativa del empleo en términos relativos</w:t>
      </w:r>
      <w:r w:rsidR="00EB2B46" w:rsidRPr="00C03EF7">
        <w:rPr>
          <w:rFonts w:eastAsia="Times New Roman" w:cs="Arial"/>
          <w:szCs w:val="20"/>
          <w:lang w:eastAsia="es-ES"/>
        </w:rPr>
        <w:t xml:space="preserve"> en el sector de la construcción</w:t>
      </w:r>
      <w:r w:rsidRPr="00C03EF7">
        <w:rPr>
          <w:rFonts w:eastAsia="Times New Roman" w:cs="Arial"/>
          <w:szCs w:val="20"/>
          <w:lang w:eastAsia="es-ES"/>
        </w:rPr>
        <w:t xml:space="preserve">, con un aumento previsto del </w:t>
      </w:r>
      <w:r w:rsidRPr="00C03EF7">
        <w:rPr>
          <w:rFonts w:eastAsia="Times New Roman" w:cs="Arial"/>
          <w:szCs w:val="20"/>
          <w:lang w:val="es-ES_tradnl" w:eastAsia="es-ES"/>
        </w:rPr>
        <w:t>4,9% que vendría acompañado de un crecimiento del 3,9% en la facturación.</w:t>
      </w:r>
    </w:p>
    <w:p w:rsidR="008657B9" w:rsidRPr="00C03EF7" w:rsidRDefault="008657B9" w:rsidP="008657B9">
      <w:pPr>
        <w:rPr>
          <w:rFonts w:eastAsia="Times New Roman" w:cs="Arial"/>
          <w:szCs w:val="20"/>
          <w:lang w:val="es-ES_tradnl" w:eastAsia="es-ES"/>
        </w:rPr>
      </w:pPr>
      <w:r w:rsidRPr="00C03EF7">
        <w:rPr>
          <w:rFonts w:eastAsia="Times New Roman" w:cs="Arial"/>
          <w:szCs w:val="20"/>
          <w:lang w:val="es-ES_tradnl" w:eastAsia="es-ES"/>
        </w:rPr>
        <w:t>Este proceso de recuperación tiene un impacto muy claro en algunos territorios y formas jurídicas:</w:t>
      </w:r>
    </w:p>
    <w:p w:rsidR="008657B9" w:rsidRPr="00C03EF7" w:rsidRDefault="008657B9" w:rsidP="008657B9">
      <w:pPr>
        <w:rPr>
          <w:rFonts w:eastAsia="Times New Roman" w:cs="Arial"/>
          <w:szCs w:val="20"/>
          <w:lang w:val="es-ES_tradnl" w:eastAsia="es-ES"/>
        </w:rPr>
      </w:pPr>
    </w:p>
    <w:p w:rsidR="008657B9" w:rsidRPr="00C03EF7" w:rsidRDefault="008657B9" w:rsidP="008657B9">
      <w:pPr>
        <w:pStyle w:val="Prrafodelista"/>
        <w:numPr>
          <w:ilvl w:val="0"/>
          <w:numId w:val="9"/>
        </w:numPr>
        <w:spacing w:line="360" w:lineRule="auto"/>
        <w:ind w:left="227" w:hanging="227"/>
        <w:rPr>
          <w:rFonts w:ascii="Arial" w:eastAsia="Times New Roman" w:hAnsi="Arial" w:cs="Arial"/>
          <w:szCs w:val="20"/>
          <w:lang w:val="es-ES_tradnl" w:eastAsia="es-ES"/>
        </w:rPr>
      </w:pPr>
      <w:r w:rsidRPr="00C03EF7">
        <w:rPr>
          <w:rFonts w:ascii="Arial" w:eastAsia="Times New Roman" w:hAnsi="Arial" w:cs="Arial"/>
          <w:szCs w:val="20"/>
          <w:lang w:val="es-ES_tradnl" w:eastAsia="es-ES"/>
        </w:rPr>
        <w:t xml:space="preserve">En la dimensión territorial, el aspecto más llamativo es la mejora de la situación en </w:t>
      </w:r>
      <w:proofErr w:type="spellStart"/>
      <w:r w:rsidRPr="00C03EF7">
        <w:rPr>
          <w:rFonts w:ascii="Arial" w:eastAsia="Times New Roman" w:hAnsi="Arial" w:cs="Arial"/>
          <w:szCs w:val="20"/>
          <w:lang w:val="es-ES_tradnl" w:eastAsia="es-ES"/>
        </w:rPr>
        <w:t>Gipuzkoa</w:t>
      </w:r>
      <w:proofErr w:type="spellEnd"/>
      <w:r w:rsidRPr="00C03EF7">
        <w:rPr>
          <w:rFonts w:ascii="Arial" w:eastAsia="Times New Roman" w:hAnsi="Arial" w:cs="Arial"/>
          <w:szCs w:val="20"/>
          <w:lang w:val="es-ES_tradnl" w:eastAsia="es-ES"/>
        </w:rPr>
        <w:t xml:space="preserve">, con un incremento esperado del 2,9% en </w:t>
      </w:r>
      <w:r w:rsidR="005A4B4F" w:rsidRPr="00C03EF7">
        <w:rPr>
          <w:rFonts w:ascii="Arial" w:eastAsia="Times New Roman" w:hAnsi="Arial" w:cs="Arial"/>
          <w:szCs w:val="20"/>
          <w:lang w:val="es-ES_tradnl" w:eastAsia="es-ES"/>
        </w:rPr>
        <w:t>la facturación</w:t>
      </w:r>
      <w:r w:rsidRPr="00C03EF7">
        <w:rPr>
          <w:rFonts w:ascii="Arial" w:eastAsia="Times New Roman" w:hAnsi="Arial" w:cs="Arial"/>
          <w:szCs w:val="20"/>
          <w:lang w:val="es-ES_tradnl" w:eastAsia="es-ES"/>
        </w:rPr>
        <w:t xml:space="preserve"> y del 3% en </w:t>
      </w:r>
      <w:r w:rsidR="005A4B4F" w:rsidRPr="00C03EF7">
        <w:rPr>
          <w:rFonts w:ascii="Arial" w:eastAsia="Times New Roman" w:hAnsi="Arial" w:cs="Arial"/>
          <w:szCs w:val="20"/>
          <w:lang w:val="es-ES_tradnl" w:eastAsia="es-ES"/>
        </w:rPr>
        <w:t>el empleo</w:t>
      </w:r>
      <w:r w:rsidRPr="00C03EF7">
        <w:rPr>
          <w:rFonts w:ascii="Arial" w:eastAsia="Times New Roman" w:hAnsi="Arial" w:cs="Arial"/>
          <w:szCs w:val="20"/>
          <w:lang w:val="es-ES_tradnl" w:eastAsia="es-ES"/>
        </w:rPr>
        <w:t xml:space="preserve">. Aunque </w:t>
      </w:r>
      <w:proofErr w:type="spellStart"/>
      <w:r w:rsidRPr="00C03EF7">
        <w:rPr>
          <w:rFonts w:ascii="Arial" w:eastAsia="Times New Roman" w:hAnsi="Arial" w:cs="Arial"/>
          <w:szCs w:val="20"/>
          <w:lang w:val="es-ES_tradnl" w:eastAsia="es-ES"/>
        </w:rPr>
        <w:t>Bizkaia</w:t>
      </w:r>
      <w:proofErr w:type="spellEnd"/>
      <w:r w:rsidRPr="00C03EF7">
        <w:rPr>
          <w:rFonts w:ascii="Arial" w:eastAsia="Times New Roman" w:hAnsi="Arial" w:cs="Arial"/>
          <w:szCs w:val="20"/>
          <w:lang w:val="es-ES_tradnl" w:eastAsia="es-ES"/>
        </w:rPr>
        <w:t xml:space="preserve"> no ofrece una perspectiva verdaderamente alcista en </w:t>
      </w:r>
      <w:r w:rsidR="00B216B1" w:rsidRPr="00C03EF7">
        <w:rPr>
          <w:rFonts w:ascii="Arial" w:eastAsia="Times New Roman" w:hAnsi="Arial" w:cs="Arial"/>
          <w:szCs w:val="20"/>
          <w:lang w:val="es-ES_tradnl" w:eastAsia="es-ES"/>
        </w:rPr>
        <w:t xml:space="preserve">el empleo, con un aumento esperado </w:t>
      </w:r>
      <w:r w:rsidRPr="00C03EF7">
        <w:rPr>
          <w:rFonts w:ascii="Arial" w:eastAsia="Times New Roman" w:hAnsi="Arial" w:cs="Arial"/>
          <w:szCs w:val="20"/>
          <w:lang w:val="es-ES_tradnl" w:eastAsia="es-ES"/>
        </w:rPr>
        <w:t xml:space="preserve">del 0,3%, sí muestra un incremento significativo </w:t>
      </w:r>
      <w:r w:rsidR="00B216B1" w:rsidRPr="00C03EF7">
        <w:rPr>
          <w:rFonts w:ascii="Arial" w:eastAsia="Times New Roman" w:hAnsi="Arial" w:cs="Arial"/>
          <w:szCs w:val="20"/>
          <w:lang w:val="es-ES_tradnl" w:eastAsia="es-ES"/>
        </w:rPr>
        <w:t xml:space="preserve">de la facturación </w:t>
      </w:r>
      <w:r w:rsidRPr="00C03EF7">
        <w:rPr>
          <w:rFonts w:ascii="Arial" w:eastAsia="Times New Roman" w:hAnsi="Arial" w:cs="Arial"/>
          <w:szCs w:val="20"/>
          <w:lang w:val="es-ES_tradnl" w:eastAsia="es-ES"/>
        </w:rPr>
        <w:t>(+1,5%).</w:t>
      </w:r>
    </w:p>
    <w:p w:rsidR="008657B9" w:rsidRPr="00C03EF7" w:rsidRDefault="008657B9" w:rsidP="008657B9">
      <w:pPr>
        <w:pStyle w:val="Prrafodelista"/>
        <w:spacing w:line="360" w:lineRule="auto"/>
        <w:ind w:left="227" w:hanging="227"/>
        <w:rPr>
          <w:rFonts w:ascii="Arial" w:eastAsia="Times New Roman" w:hAnsi="Arial" w:cs="Arial"/>
          <w:szCs w:val="20"/>
          <w:lang w:val="es-ES_tradnl" w:eastAsia="es-ES"/>
        </w:rPr>
      </w:pPr>
    </w:p>
    <w:p w:rsidR="008657B9" w:rsidRPr="00C03EF7" w:rsidRDefault="008657B9" w:rsidP="008657B9">
      <w:pPr>
        <w:pStyle w:val="Prrafodelista"/>
        <w:numPr>
          <w:ilvl w:val="0"/>
          <w:numId w:val="9"/>
        </w:numPr>
        <w:spacing w:line="360" w:lineRule="auto"/>
        <w:ind w:left="227" w:hanging="227"/>
        <w:rPr>
          <w:rFonts w:ascii="Arial" w:eastAsia="Times New Roman" w:hAnsi="Arial" w:cs="Arial"/>
          <w:szCs w:val="20"/>
          <w:lang w:val="es-ES_tradnl" w:eastAsia="es-ES"/>
        </w:rPr>
      </w:pPr>
      <w:r w:rsidRPr="00C03EF7">
        <w:rPr>
          <w:rFonts w:ascii="Arial" w:eastAsia="Times New Roman" w:hAnsi="Arial" w:cs="Arial"/>
          <w:szCs w:val="20"/>
          <w:lang w:val="es-ES_tradnl" w:eastAsia="es-ES"/>
        </w:rPr>
        <w:t xml:space="preserve">Por formas jurídicas, la recuperación se sostendría de nuevo en los centros del sector cooperativo y en las </w:t>
      </w:r>
      <w:proofErr w:type="spellStart"/>
      <w:r w:rsidRPr="00C03EF7">
        <w:rPr>
          <w:rFonts w:ascii="Arial" w:eastAsia="Times New Roman" w:hAnsi="Arial" w:cs="Arial"/>
          <w:szCs w:val="20"/>
          <w:lang w:val="es-ES_tradnl" w:eastAsia="es-ES"/>
        </w:rPr>
        <w:t>SLLes</w:t>
      </w:r>
      <w:proofErr w:type="spellEnd"/>
      <w:r w:rsidRPr="00C03EF7">
        <w:rPr>
          <w:rFonts w:ascii="Arial" w:eastAsia="Times New Roman" w:hAnsi="Arial" w:cs="Arial"/>
          <w:szCs w:val="20"/>
          <w:lang w:val="es-ES_tradnl" w:eastAsia="es-ES"/>
        </w:rPr>
        <w:t xml:space="preserve">. En el ámbito cooperativo, se espera para 2015 un aumento del 1,4% </w:t>
      </w:r>
      <w:r w:rsidR="00D94BF5" w:rsidRPr="00C03EF7">
        <w:rPr>
          <w:rFonts w:ascii="Arial" w:eastAsia="Times New Roman" w:hAnsi="Arial" w:cs="Arial"/>
          <w:szCs w:val="20"/>
          <w:lang w:val="es-ES_tradnl" w:eastAsia="es-ES"/>
        </w:rPr>
        <w:t>en el empleo</w:t>
      </w:r>
      <w:r w:rsidRPr="00C03EF7">
        <w:rPr>
          <w:rFonts w:ascii="Arial" w:eastAsia="Times New Roman" w:hAnsi="Arial" w:cs="Arial"/>
          <w:szCs w:val="20"/>
          <w:lang w:val="es-ES_tradnl" w:eastAsia="es-ES"/>
        </w:rPr>
        <w:t xml:space="preserve"> pero del 2% </w:t>
      </w:r>
      <w:r w:rsidR="00D94BF5" w:rsidRPr="00C03EF7">
        <w:rPr>
          <w:rFonts w:ascii="Arial" w:eastAsia="Times New Roman" w:hAnsi="Arial" w:cs="Arial"/>
          <w:szCs w:val="20"/>
          <w:lang w:val="es-ES_tradnl" w:eastAsia="es-ES"/>
        </w:rPr>
        <w:t>en la facturación</w:t>
      </w:r>
      <w:r w:rsidRPr="00C03EF7">
        <w:rPr>
          <w:rFonts w:ascii="Arial" w:eastAsia="Times New Roman" w:hAnsi="Arial" w:cs="Arial"/>
          <w:szCs w:val="20"/>
          <w:lang w:val="es-ES_tradnl" w:eastAsia="es-ES"/>
        </w:rPr>
        <w:t xml:space="preserve">. En lo relativo a las </w:t>
      </w:r>
      <w:proofErr w:type="spellStart"/>
      <w:r w:rsidRPr="00C03EF7">
        <w:rPr>
          <w:rFonts w:ascii="Arial" w:eastAsia="Times New Roman" w:hAnsi="Arial" w:cs="Arial"/>
          <w:szCs w:val="20"/>
          <w:lang w:val="es-ES_tradnl" w:eastAsia="es-ES"/>
        </w:rPr>
        <w:t>SLLes</w:t>
      </w:r>
      <w:proofErr w:type="spellEnd"/>
      <w:r w:rsidRPr="00C03EF7">
        <w:rPr>
          <w:rFonts w:ascii="Arial" w:eastAsia="Times New Roman" w:hAnsi="Arial" w:cs="Arial"/>
          <w:szCs w:val="20"/>
          <w:lang w:val="es-ES_tradnl" w:eastAsia="es-ES"/>
        </w:rPr>
        <w:t xml:space="preserve">, el incremento es superior, con unas previsiones de mejora del 2,6% en </w:t>
      </w:r>
      <w:r w:rsidR="00D94BF5" w:rsidRPr="00C03EF7">
        <w:rPr>
          <w:rFonts w:ascii="Arial" w:eastAsia="Times New Roman" w:hAnsi="Arial" w:cs="Arial"/>
          <w:szCs w:val="20"/>
          <w:lang w:val="es-ES_tradnl" w:eastAsia="es-ES"/>
        </w:rPr>
        <w:t>el empleo</w:t>
      </w:r>
      <w:r w:rsidRPr="00C03EF7">
        <w:rPr>
          <w:rFonts w:ascii="Arial" w:eastAsia="Times New Roman" w:hAnsi="Arial" w:cs="Arial"/>
          <w:szCs w:val="20"/>
          <w:lang w:val="es-ES_tradnl" w:eastAsia="es-ES"/>
        </w:rPr>
        <w:t xml:space="preserve"> y del 2,9% en </w:t>
      </w:r>
      <w:r w:rsidR="00D94BF5" w:rsidRPr="00C03EF7">
        <w:rPr>
          <w:rFonts w:ascii="Arial" w:eastAsia="Times New Roman" w:hAnsi="Arial" w:cs="Arial"/>
          <w:szCs w:val="20"/>
          <w:lang w:val="es-ES_tradnl" w:eastAsia="es-ES"/>
        </w:rPr>
        <w:t>la facturación</w:t>
      </w:r>
      <w:r w:rsidRPr="00C03EF7">
        <w:rPr>
          <w:rFonts w:ascii="Arial" w:eastAsia="Times New Roman" w:hAnsi="Arial" w:cs="Arial"/>
          <w:szCs w:val="20"/>
          <w:lang w:val="es-ES_tradnl" w:eastAsia="es-ES"/>
        </w:rPr>
        <w:t>.</w:t>
      </w:r>
    </w:p>
    <w:p w:rsidR="008657B9" w:rsidRDefault="008657B9" w:rsidP="008657B9">
      <w:pPr>
        <w:ind w:left="227" w:hanging="227"/>
        <w:rPr>
          <w:rFonts w:eastAsia="Times New Roman" w:cs="Arial"/>
          <w:szCs w:val="20"/>
          <w:lang w:val="es-ES_tradnl" w:eastAsia="es-ES"/>
        </w:rPr>
      </w:pPr>
    </w:p>
    <w:p w:rsidR="008657B9" w:rsidRDefault="008657B9" w:rsidP="008657B9">
      <w:pPr>
        <w:spacing w:after="200" w:line="276" w:lineRule="auto"/>
        <w:jc w:val="left"/>
        <w:rPr>
          <w:rFonts w:eastAsia="Times New Roman" w:cs="Arial"/>
          <w:b/>
          <w:bCs/>
          <w:snapToGrid w:val="0"/>
          <w:color w:val="1F497D" w:themeColor="text2"/>
          <w:sz w:val="18"/>
          <w:szCs w:val="18"/>
          <w:lang w:val="es-ES_tradnl" w:eastAsia="es-ES"/>
        </w:rPr>
      </w:pPr>
      <w:r>
        <w:rPr>
          <w:rFonts w:cs="Arial"/>
          <w:snapToGrid w:val="0"/>
          <w:color w:val="1F497D" w:themeColor="text2"/>
          <w:sz w:val="18"/>
          <w:szCs w:val="18"/>
          <w:lang w:val="es-ES_tradnl"/>
        </w:rPr>
        <w:br w:type="page"/>
      </w:r>
    </w:p>
    <w:p w:rsidR="008657B9" w:rsidRPr="003B7EB5" w:rsidRDefault="008657B9" w:rsidP="008657B9">
      <w:pPr>
        <w:pStyle w:val="Epgrafe"/>
        <w:spacing w:line="240" w:lineRule="auto"/>
        <w:ind w:left="227" w:hanging="227"/>
        <w:jc w:val="center"/>
        <w:rPr>
          <w:rFonts w:ascii="Arial" w:hAnsi="Arial" w:cs="Arial"/>
          <w:snapToGrid w:val="0"/>
          <w:color w:val="1F497D" w:themeColor="text2"/>
          <w:sz w:val="18"/>
          <w:szCs w:val="18"/>
          <w:lang w:val="es-ES_tradnl"/>
        </w:rPr>
      </w:pPr>
      <w:r w:rsidRPr="003B7EB5">
        <w:rPr>
          <w:rFonts w:ascii="Arial" w:hAnsi="Arial" w:cs="Arial"/>
          <w:snapToGrid w:val="0"/>
          <w:color w:val="1F497D" w:themeColor="text2"/>
          <w:sz w:val="18"/>
          <w:szCs w:val="18"/>
          <w:lang w:val="es-ES_tradnl"/>
        </w:rPr>
        <w:lastRenderedPageBreak/>
        <w:t xml:space="preserve">EVOLUCIÓN DE LA FACTURACIÓN Y EMPLEO PREVISTO </w:t>
      </w:r>
    </w:p>
    <w:p w:rsidR="008657B9" w:rsidRPr="003B7EB5" w:rsidRDefault="008657B9" w:rsidP="008657B9">
      <w:pPr>
        <w:pStyle w:val="Epgrafe"/>
        <w:spacing w:line="240" w:lineRule="auto"/>
        <w:ind w:left="227" w:hanging="227"/>
        <w:jc w:val="center"/>
        <w:rPr>
          <w:rFonts w:ascii="Arial" w:hAnsi="Arial" w:cs="Arial"/>
          <w:snapToGrid w:val="0"/>
          <w:color w:val="1F497D" w:themeColor="text2"/>
          <w:sz w:val="18"/>
          <w:szCs w:val="18"/>
          <w:lang w:val="es-ES_tradnl"/>
        </w:rPr>
      </w:pPr>
      <w:r w:rsidRPr="003B7EB5">
        <w:rPr>
          <w:rFonts w:ascii="Arial" w:hAnsi="Arial" w:cs="Arial"/>
          <w:snapToGrid w:val="0"/>
          <w:color w:val="1F497D" w:themeColor="text2"/>
          <w:sz w:val="18"/>
          <w:szCs w:val="18"/>
          <w:lang w:val="es-ES_tradnl"/>
        </w:rPr>
        <w:t>(Territorio histórico, Sector de actividad y Forma jurídica). 2014-2015</w:t>
      </w:r>
    </w:p>
    <w:p w:rsidR="008657B9" w:rsidRDefault="00503E0A" w:rsidP="008657B9">
      <w:r>
        <w:pict>
          <v:shapetype id="_x0000_t32" coordsize="21600,21600" o:spt="32" o:oned="t" path="m,l21600,21600e" filled="f">
            <v:path arrowok="t" fillok="f" o:connecttype="none"/>
            <o:lock v:ext="edit" shapetype="t"/>
          </v:shapetype>
          <v:shape id="_x0000_s1075" type="#_x0000_t32" style="position:absolute;left:0;text-align:left;margin-left:308.1pt;margin-top:15.65pt;width:0;height:113.4pt;z-index:251872256" o:connectortype="straight" strokecolor="#bfbfbf [2412]" strokeweight="1.5pt">
            <v:stroke dashstyle="1 1" endcap="round"/>
          </v:shape>
        </w:pict>
      </w:r>
      <w:r>
        <w:pict>
          <v:shape id="_x0000_s1074" type="#_x0000_t32" style="position:absolute;left:0;text-align:left;margin-left:160.55pt;margin-top:15.65pt;width:0;height:113.4pt;z-index:251871232" o:connectortype="straight" strokecolor="#bfbfbf [2412]" strokeweight="1.5pt">
            <v:stroke dashstyle="1 1" endcap="round"/>
          </v:shape>
        </w:pict>
      </w:r>
      <w:r w:rsidR="008657B9">
        <w:rPr>
          <w:noProof/>
          <w:lang w:eastAsia="es-ES"/>
        </w:rPr>
        <w:drawing>
          <wp:anchor distT="91440" distB="43053" distL="309372" distR="339471" simplePos="0" relativeHeight="251865088" behindDoc="0" locked="0" layoutInCell="1" allowOverlap="1">
            <wp:simplePos x="0" y="0"/>
            <wp:positionH relativeFrom="column">
              <wp:posOffset>-319302</wp:posOffset>
            </wp:positionH>
            <wp:positionV relativeFrom="paragraph">
              <wp:posOffset>192863</wp:posOffset>
            </wp:positionV>
            <wp:extent cx="6230679" cy="2083981"/>
            <wp:effectExtent l="0" t="0" r="0" b="0"/>
            <wp:wrapNone/>
            <wp:docPr id="93" name="Objet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8657B9" w:rsidRDefault="008657B9" w:rsidP="008657B9"/>
    <w:p w:rsidR="008657B9" w:rsidRDefault="008657B9" w:rsidP="008657B9"/>
    <w:p w:rsidR="008657B9" w:rsidRDefault="008657B9" w:rsidP="008657B9"/>
    <w:p w:rsidR="008657B9" w:rsidRDefault="008657B9" w:rsidP="008657B9"/>
    <w:p w:rsidR="008657B9" w:rsidRDefault="008657B9" w:rsidP="008657B9"/>
    <w:p w:rsidR="008657B9" w:rsidRDefault="008657B9" w:rsidP="008657B9"/>
    <w:p w:rsidR="008657B9" w:rsidRDefault="008657B9" w:rsidP="008657B9"/>
    <w:p w:rsidR="008657B9" w:rsidRDefault="00503E0A" w:rsidP="008657B9">
      <w:r>
        <w:pict>
          <v:shapetype id="_x0000_t202" coordsize="21600,21600" o:spt="202" path="m,l,21600r21600,l21600,xe">
            <v:stroke joinstyle="miter"/>
            <v:path gradientshapeok="t" o:connecttype="rect"/>
          </v:shapetype>
          <v:shape id="_x0000_s1072" type="#_x0000_t202" style="position:absolute;left:0;text-align:left;margin-left:180.8pt;margin-top:12.15pt;width:101.25pt;height:19.5pt;z-index:251869184" filled="f" stroked="f">
            <v:textbox style="mso-next-textbox:#_x0000_s1072">
              <w:txbxContent>
                <w:p w:rsidR="006367E5" w:rsidRDefault="006367E5" w:rsidP="008657B9">
                  <w:pPr>
                    <w:jc w:val="center"/>
                    <w:rPr>
                      <w:rFonts w:cs="Arial"/>
                      <w:b/>
                      <w:sz w:val="16"/>
                      <w:szCs w:val="16"/>
                    </w:rPr>
                  </w:pPr>
                  <w:r>
                    <w:rPr>
                      <w:rFonts w:cs="Arial"/>
                      <w:b/>
                      <w:sz w:val="16"/>
                      <w:szCs w:val="16"/>
                    </w:rPr>
                    <w:t>Sector de actividad</w:t>
                  </w:r>
                </w:p>
              </w:txbxContent>
            </v:textbox>
          </v:shape>
        </w:pict>
      </w:r>
      <w:r>
        <w:pict>
          <v:shape id="_x0000_s1071" type="#_x0000_t202" style="position:absolute;left:0;text-align:left;margin-left:42.7pt;margin-top:12.15pt;width:101.25pt;height:19.5pt;z-index:251868160" filled="f" stroked="f">
            <v:textbox style="mso-next-textbox:#_x0000_s1071">
              <w:txbxContent>
                <w:p w:rsidR="006367E5" w:rsidRDefault="006367E5" w:rsidP="008657B9">
                  <w:pPr>
                    <w:jc w:val="center"/>
                    <w:rPr>
                      <w:rFonts w:cs="Arial"/>
                      <w:b/>
                      <w:sz w:val="16"/>
                      <w:szCs w:val="16"/>
                    </w:rPr>
                  </w:pPr>
                  <w:r>
                    <w:rPr>
                      <w:rFonts w:cs="Arial"/>
                      <w:b/>
                      <w:sz w:val="16"/>
                      <w:szCs w:val="16"/>
                    </w:rPr>
                    <w:t>Territorio histórico</w:t>
                  </w:r>
                </w:p>
              </w:txbxContent>
            </v:textbox>
          </v:shape>
        </w:pict>
      </w:r>
      <w:r>
        <w:pict>
          <v:shape id="_x0000_s1073" type="#_x0000_t202" style="position:absolute;left:0;text-align:left;margin-left:329.9pt;margin-top:10.65pt;width:101.25pt;height:19.5pt;z-index:251870208" filled="f" stroked="f">
            <v:textbox style="mso-next-textbox:#_x0000_s1073">
              <w:txbxContent>
                <w:p w:rsidR="006367E5" w:rsidRDefault="006367E5" w:rsidP="008657B9">
                  <w:pPr>
                    <w:jc w:val="center"/>
                    <w:rPr>
                      <w:rFonts w:cs="Arial"/>
                      <w:b/>
                      <w:sz w:val="16"/>
                      <w:szCs w:val="16"/>
                    </w:rPr>
                  </w:pPr>
                  <w:r>
                    <w:rPr>
                      <w:rFonts w:cs="Arial"/>
                      <w:b/>
                      <w:sz w:val="16"/>
                      <w:szCs w:val="16"/>
                    </w:rPr>
                    <w:t>Forma jurídica</w:t>
                  </w:r>
                </w:p>
              </w:txbxContent>
            </v:textbox>
          </v:shape>
        </w:pict>
      </w:r>
    </w:p>
    <w:p w:rsidR="008657B9" w:rsidRDefault="008657B9" w:rsidP="008657B9"/>
    <w:p w:rsidR="008657B9" w:rsidRDefault="008657B9" w:rsidP="008657B9"/>
    <w:p w:rsidR="008657B9" w:rsidRDefault="008657B9" w:rsidP="008657B9">
      <w:pPr>
        <w:ind w:left="426" w:hanging="426"/>
        <w:rPr>
          <w:rFonts w:eastAsia="Times New Roman" w:cs="Arial"/>
          <w:szCs w:val="20"/>
          <w:lang w:val="es-ES_tradnl" w:eastAsia="es-ES"/>
        </w:rPr>
      </w:pPr>
    </w:p>
    <w:p w:rsidR="008657B9" w:rsidRDefault="008657B9" w:rsidP="008657B9">
      <w:pPr>
        <w:rPr>
          <w:lang w:val="es-ES_tradnl" w:eastAsia="es-ES"/>
        </w:rPr>
      </w:pPr>
      <w:r>
        <w:rPr>
          <w:lang w:val="es-ES_tradnl" w:eastAsia="es-ES"/>
        </w:rPr>
        <w:t xml:space="preserve">Los datos del Avance 2015 no ofrecen, sin embargo, una perspectiva por completo favorable, con algunos ámbitos todavía claramente marcados por la crisis, en especial en lo relativo </w:t>
      </w:r>
      <w:r w:rsidR="00D94BF5">
        <w:rPr>
          <w:lang w:val="es-ES_tradnl" w:eastAsia="es-ES"/>
        </w:rPr>
        <w:t xml:space="preserve">a la </w:t>
      </w:r>
      <w:r w:rsidR="00D94BF5" w:rsidRPr="00173AD8">
        <w:rPr>
          <w:lang w:val="es-ES_tradnl" w:eastAsia="es-ES"/>
        </w:rPr>
        <w:t>facturación</w:t>
      </w:r>
      <w:r>
        <w:rPr>
          <w:lang w:val="es-ES_tradnl" w:eastAsia="es-ES"/>
        </w:rPr>
        <w:t>.</w:t>
      </w:r>
    </w:p>
    <w:p w:rsidR="008657B9" w:rsidRDefault="008657B9" w:rsidP="008657B9">
      <w:pPr>
        <w:rPr>
          <w:lang w:val="es-ES_tradnl" w:eastAsia="es-ES"/>
        </w:rPr>
      </w:pPr>
    </w:p>
    <w:p w:rsidR="008657B9" w:rsidRDefault="008657B9" w:rsidP="008657B9">
      <w:pPr>
        <w:rPr>
          <w:lang w:val="es-ES_tradnl" w:eastAsia="es-ES"/>
        </w:rPr>
      </w:pPr>
      <w:r>
        <w:rPr>
          <w:lang w:val="es-ES_tradnl" w:eastAsia="es-ES"/>
        </w:rPr>
        <w:t xml:space="preserve">En términos de forma jurídica, esta realidad continúa a vincularse a las </w:t>
      </w:r>
      <w:proofErr w:type="spellStart"/>
      <w:r>
        <w:rPr>
          <w:lang w:val="es-ES_tradnl" w:eastAsia="es-ES"/>
        </w:rPr>
        <w:t>SALes</w:t>
      </w:r>
      <w:proofErr w:type="spellEnd"/>
      <w:r>
        <w:rPr>
          <w:lang w:val="es-ES_tradnl" w:eastAsia="es-ES"/>
        </w:rPr>
        <w:t xml:space="preserve">. Aunque se espera una recuperación en </w:t>
      </w:r>
      <w:r w:rsidRPr="00C03EF7">
        <w:rPr>
          <w:lang w:val="es-ES_tradnl" w:eastAsia="es-ES"/>
        </w:rPr>
        <w:t xml:space="preserve">un 0,9% </w:t>
      </w:r>
      <w:r w:rsidR="00006845" w:rsidRPr="00C03EF7">
        <w:rPr>
          <w:lang w:val="es-ES_tradnl" w:eastAsia="es-ES"/>
        </w:rPr>
        <w:t>del empleo</w:t>
      </w:r>
      <w:r>
        <w:rPr>
          <w:lang w:val="es-ES_tradnl" w:eastAsia="es-ES"/>
        </w:rPr>
        <w:t xml:space="preserve"> en este tipo de establecimientos, no desaparece la tendencia </w:t>
      </w:r>
      <w:r w:rsidR="00C03EF7">
        <w:rPr>
          <w:lang w:val="es-ES_tradnl" w:eastAsia="es-ES"/>
        </w:rPr>
        <w:t>negativa en las ventas</w:t>
      </w:r>
      <w:r>
        <w:rPr>
          <w:lang w:val="es-ES_tradnl" w:eastAsia="es-ES"/>
        </w:rPr>
        <w:t xml:space="preserve">, con una </w:t>
      </w:r>
      <w:r w:rsidRPr="00C03EF7">
        <w:rPr>
          <w:lang w:val="es-ES_tradnl" w:eastAsia="es-ES"/>
        </w:rPr>
        <w:t xml:space="preserve">pérdida esperada </w:t>
      </w:r>
      <w:r w:rsidR="00006845" w:rsidRPr="00C03EF7">
        <w:rPr>
          <w:lang w:val="es-ES_tradnl" w:eastAsia="es-ES"/>
        </w:rPr>
        <w:t>de facturación</w:t>
      </w:r>
      <w:r w:rsidRPr="00C03EF7">
        <w:rPr>
          <w:lang w:val="es-ES_tradnl" w:eastAsia="es-ES"/>
        </w:rPr>
        <w:t xml:space="preserve"> situada en -1,7%.</w:t>
      </w:r>
    </w:p>
    <w:p w:rsidR="008657B9" w:rsidRDefault="008657B9" w:rsidP="008657B9">
      <w:pPr>
        <w:rPr>
          <w:lang w:val="es-ES_tradnl" w:eastAsia="es-ES"/>
        </w:rPr>
      </w:pPr>
    </w:p>
    <w:p w:rsidR="008657B9" w:rsidRDefault="008657B9" w:rsidP="008657B9">
      <w:pPr>
        <w:rPr>
          <w:lang w:val="es-ES_tradnl" w:eastAsia="es-ES"/>
        </w:rPr>
      </w:pPr>
      <w:r w:rsidRPr="00C03EF7">
        <w:rPr>
          <w:lang w:val="es-ES_tradnl" w:eastAsia="es-ES"/>
        </w:rPr>
        <w:t xml:space="preserve">En la dimensión sectorial, resulta preocupante la perspectiva de caída de un 1,6% </w:t>
      </w:r>
      <w:r w:rsidR="00C03EF7">
        <w:rPr>
          <w:lang w:val="es-ES_tradnl" w:eastAsia="es-ES"/>
        </w:rPr>
        <w:t>en</w:t>
      </w:r>
      <w:r w:rsidR="00006845" w:rsidRPr="00C03EF7">
        <w:rPr>
          <w:lang w:val="es-ES_tradnl" w:eastAsia="es-ES"/>
        </w:rPr>
        <w:t xml:space="preserve"> la facturación </w:t>
      </w:r>
      <w:r w:rsidRPr="00C03EF7">
        <w:rPr>
          <w:lang w:val="es-ES_tradnl" w:eastAsia="es-ES"/>
        </w:rPr>
        <w:t xml:space="preserve">en el sector de servicios de la Economía Social, </w:t>
      </w:r>
      <w:r w:rsidR="00C03EF7" w:rsidRPr="00C03EF7">
        <w:rPr>
          <w:lang w:val="es-ES_tradnl" w:eastAsia="es-ES"/>
        </w:rPr>
        <w:t>aunque esta caída venga acompañada de una recuperación esperada en el empleo del 0,7%.</w:t>
      </w:r>
    </w:p>
    <w:p w:rsidR="00C03EF7" w:rsidRDefault="00C03EF7" w:rsidP="008657B9">
      <w:pPr>
        <w:rPr>
          <w:lang w:val="es-ES_tradnl" w:eastAsia="es-ES"/>
        </w:rPr>
      </w:pPr>
    </w:p>
    <w:p w:rsidR="008657B9" w:rsidRDefault="008657B9" w:rsidP="008657B9">
      <w:pPr>
        <w:spacing w:after="200"/>
        <w:rPr>
          <w:rFonts w:eastAsia="Times New Roman" w:cs="Arial"/>
          <w:szCs w:val="20"/>
          <w:lang w:val="es-ES_tradnl" w:eastAsia="es-ES"/>
        </w:rPr>
      </w:pPr>
      <w:r w:rsidRPr="00C03EF7">
        <w:rPr>
          <w:rFonts w:eastAsia="Times New Roman" w:cs="Arial"/>
          <w:szCs w:val="20"/>
          <w:lang w:val="es-ES_tradnl" w:eastAsia="es-ES"/>
        </w:rPr>
        <w:t xml:space="preserve">En la dimensión territorial, finalmente, los procesos más negativos se concretan en Álava. En este territorio histórico, se espera una caída significativa tanto en los niveles de </w:t>
      </w:r>
      <w:r w:rsidR="000D28D9" w:rsidRPr="00C03EF7">
        <w:rPr>
          <w:rFonts w:eastAsia="Times New Roman" w:cs="Arial"/>
          <w:szCs w:val="20"/>
          <w:lang w:val="es-ES_tradnl" w:eastAsia="es-ES"/>
        </w:rPr>
        <w:t>facturación</w:t>
      </w:r>
      <w:r w:rsidRPr="00C03EF7">
        <w:rPr>
          <w:rFonts w:eastAsia="Times New Roman" w:cs="Arial"/>
          <w:szCs w:val="20"/>
          <w:lang w:val="es-ES_tradnl" w:eastAsia="es-ES"/>
        </w:rPr>
        <w:t xml:space="preserve"> (-</w:t>
      </w:r>
      <w:r w:rsidR="000D28D9" w:rsidRPr="00C03EF7">
        <w:rPr>
          <w:rFonts w:eastAsia="Times New Roman" w:cs="Arial"/>
          <w:szCs w:val="20"/>
          <w:lang w:val="es-ES_tradnl" w:eastAsia="es-ES"/>
        </w:rPr>
        <w:t>1,5%) como en los de empleo</w:t>
      </w:r>
      <w:r w:rsidRPr="00C03EF7">
        <w:rPr>
          <w:rFonts w:eastAsia="Times New Roman" w:cs="Arial"/>
          <w:szCs w:val="20"/>
          <w:lang w:val="es-ES_tradnl" w:eastAsia="es-ES"/>
        </w:rPr>
        <w:t xml:space="preserve"> (-1,2%).</w:t>
      </w:r>
    </w:p>
    <w:p w:rsidR="008657B9" w:rsidRPr="004A2770" w:rsidRDefault="008657B9" w:rsidP="008657B9">
      <w:pPr>
        <w:spacing w:after="200"/>
        <w:rPr>
          <w:rFonts w:eastAsia="Times New Roman" w:cs="Arial"/>
          <w:szCs w:val="20"/>
          <w:lang w:val="es-ES_tradnl" w:eastAsia="es-ES"/>
        </w:rPr>
      </w:pPr>
    </w:p>
    <w:p w:rsidR="008657B9" w:rsidRDefault="008657B9">
      <w:pPr>
        <w:spacing w:after="200" w:line="276" w:lineRule="auto"/>
        <w:jc w:val="left"/>
        <w:rPr>
          <w:rFonts w:eastAsia="Times New Roman" w:cs="Times New Roman"/>
          <w:b/>
          <w:snapToGrid w:val="0"/>
          <w:sz w:val="28"/>
          <w:szCs w:val="28"/>
          <w:lang w:val="es-ES_tradnl" w:eastAsia="es-ES"/>
        </w:rPr>
      </w:pPr>
      <w:r>
        <w:rPr>
          <w:szCs w:val="28"/>
          <w:lang w:val="es-ES_tradnl"/>
        </w:rPr>
        <w:br w:type="page"/>
      </w:r>
    </w:p>
    <w:p w:rsidR="00A917B1" w:rsidRDefault="00A917B1" w:rsidP="00952143">
      <w:pPr>
        <w:pStyle w:val="Ttulo1"/>
        <w:keepLines/>
        <w:widowControl/>
        <w:numPr>
          <w:ilvl w:val="0"/>
          <w:numId w:val="8"/>
        </w:numPr>
        <w:spacing w:before="480"/>
        <w:rPr>
          <w:szCs w:val="28"/>
        </w:rPr>
      </w:pPr>
      <w:bookmarkStart w:id="8" w:name="_Toc450118895"/>
      <w:r>
        <w:rPr>
          <w:szCs w:val="28"/>
        </w:rPr>
        <w:lastRenderedPageBreak/>
        <w:t>NUEVAS FORMAS DE LA ECONOMÍA S</w:t>
      </w:r>
      <w:r w:rsidR="00311C01">
        <w:rPr>
          <w:szCs w:val="28"/>
        </w:rPr>
        <w:t>OCIAL</w:t>
      </w:r>
      <w:r>
        <w:rPr>
          <w:szCs w:val="28"/>
        </w:rPr>
        <w:t xml:space="preserve"> 2014 (NFES)</w:t>
      </w:r>
      <w:bookmarkEnd w:id="8"/>
    </w:p>
    <w:p w:rsidR="00BA5ABE" w:rsidRDefault="00BA5ABE" w:rsidP="00BA5ABE">
      <w:pPr>
        <w:rPr>
          <w:lang w:eastAsia="es-ES"/>
        </w:rPr>
      </w:pPr>
    </w:p>
    <w:p w:rsidR="00C117D9" w:rsidRPr="00FB7DB9" w:rsidRDefault="00C117D9" w:rsidP="00FB7DB9">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sidRPr="00FB7DB9">
        <w:rPr>
          <w:rFonts w:eastAsia="Times New Roman" w:cs="Times New Roman"/>
          <w:b/>
          <w:snapToGrid w:val="0"/>
          <w:sz w:val="28"/>
          <w:szCs w:val="28"/>
          <w:lang w:eastAsia="es-ES"/>
        </w:rPr>
        <w:t xml:space="preserve">Las Nuevas Formas de la Economía Social (NFES) </w:t>
      </w:r>
      <w:r w:rsidR="00FB7DB9" w:rsidRPr="00FB7DB9">
        <w:rPr>
          <w:rFonts w:eastAsia="Times New Roman" w:cs="Times New Roman"/>
          <w:b/>
          <w:snapToGrid w:val="0"/>
          <w:sz w:val="28"/>
          <w:szCs w:val="28"/>
          <w:lang w:eastAsia="es-ES"/>
        </w:rPr>
        <w:t xml:space="preserve">quedan conformadas por </w:t>
      </w:r>
      <w:r w:rsidRPr="00FB7DB9">
        <w:rPr>
          <w:rFonts w:eastAsia="Times New Roman" w:cs="Times New Roman"/>
          <w:b/>
          <w:snapToGrid w:val="0"/>
          <w:sz w:val="28"/>
          <w:szCs w:val="28"/>
          <w:lang w:eastAsia="es-ES"/>
        </w:rPr>
        <w:t xml:space="preserve">un total de 1.201 entidades </w:t>
      </w:r>
      <w:r w:rsidR="00804C5A">
        <w:rPr>
          <w:rFonts w:eastAsia="Times New Roman" w:cs="Times New Roman"/>
          <w:b/>
          <w:snapToGrid w:val="0"/>
          <w:sz w:val="28"/>
          <w:szCs w:val="28"/>
          <w:lang w:eastAsia="es-ES"/>
        </w:rPr>
        <w:t xml:space="preserve">y </w:t>
      </w:r>
      <w:r w:rsidRPr="00FB7DB9">
        <w:rPr>
          <w:rFonts w:eastAsia="Times New Roman" w:cs="Times New Roman"/>
          <w:b/>
          <w:snapToGrid w:val="0"/>
          <w:sz w:val="28"/>
          <w:szCs w:val="28"/>
          <w:lang w:eastAsia="es-ES"/>
        </w:rPr>
        <w:t>2.062 establec</w:t>
      </w:r>
      <w:r w:rsidR="00986EA2" w:rsidRPr="00FB7DB9">
        <w:rPr>
          <w:rFonts w:eastAsia="Times New Roman" w:cs="Times New Roman"/>
          <w:b/>
          <w:snapToGrid w:val="0"/>
          <w:sz w:val="28"/>
          <w:szCs w:val="28"/>
          <w:lang w:eastAsia="es-ES"/>
        </w:rPr>
        <w:t xml:space="preserve">imientos que generan en 2014 </w:t>
      </w:r>
      <w:r w:rsidRPr="00FB7DB9">
        <w:rPr>
          <w:rFonts w:eastAsia="Times New Roman" w:cs="Times New Roman"/>
          <w:b/>
          <w:snapToGrid w:val="0"/>
          <w:sz w:val="28"/>
          <w:szCs w:val="28"/>
          <w:lang w:eastAsia="es-ES"/>
        </w:rPr>
        <w:t>23.238 empleo</w:t>
      </w:r>
      <w:r w:rsidR="00F67BB4" w:rsidRPr="00FB7DB9">
        <w:rPr>
          <w:rFonts w:eastAsia="Times New Roman" w:cs="Times New Roman"/>
          <w:b/>
          <w:snapToGrid w:val="0"/>
          <w:sz w:val="28"/>
          <w:szCs w:val="28"/>
          <w:lang w:eastAsia="es-ES"/>
        </w:rPr>
        <w:t>s</w:t>
      </w:r>
      <w:r w:rsidRPr="00FB7DB9">
        <w:rPr>
          <w:rFonts w:eastAsia="Times New Roman" w:cs="Times New Roman"/>
          <w:b/>
          <w:snapToGrid w:val="0"/>
          <w:sz w:val="28"/>
          <w:szCs w:val="28"/>
          <w:lang w:eastAsia="es-ES"/>
        </w:rPr>
        <w:t xml:space="preserve"> remunerado</w:t>
      </w:r>
      <w:r w:rsidR="00F67BB4" w:rsidRPr="00FB7DB9">
        <w:rPr>
          <w:rFonts w:eastAsia="Times New Roman" w:cs="Times New Roman"/>
          <w:b/>
          <w:snapToGrid w:val="0"/>
          <w:sz w:val="28"/>
          <w:szCs w:val="28"/>
          <w:lang w:eastAsia="es-ES"/>
        </w:rPr>
        <w:t>s</w:t>
      </w:r>
      <w:r w:rsidR="00FB7DB9" w:rsidRPr="00FB7DB9">
        <w:rPr>
          <w:rFonts w:eastAsia="Times New Roman" w:cs="Times New Roman"/>
          <w:b/>
          <w:snapToGrid w:val="0"/>
          <w:sz w:val="28"/>
          <w:szCs w:val="28"/>
          <w:lang w:eastAsia="es-ES"/>
        </w:rPr>
        <w:t xml:space="preserve"> anualizados</w:t>
      </w:r>
    </w:p>
    <w:p w:rsidR="00C117D9" w:rsidRDefault="00C117D9" w:rsidP="00BA5ABE">
      <w:pPr>
        <w:rPr>
          <w:lang w:eastAsia="es-ES"/>
        </w:rPr>
      </w:pPr>
    </w:p>
    <w:p w:rsidR="00BA5ABE" w:rsidRDefault="004F24D9" w:rsidP="00BA5ABE">
      <w:pPr>
        <w:rPr>
          <w:lang w:eastAsia="es-ES"/>
        </w:rPr>
      </w:pPr>
      <w:r>
        <w:rPr>
          <w:lang w:eastAsia="es-ES"/>
        </w:rPr>
        <w:t xml:space="preserve">Las Nuevas Formas de la Economía Social </w:t>
      </w:r>
      <w:r w:rsidR="006419E8">
        <w:rPr>
          <w:lang w:eastAsia="es-ES"/>
        </w:rPr>
        <w:t>(NFES) se vinculan a entidades del tercer sector</w:t>
      </w:r>
      <w:r w:rsidR="00B73156">
        <w:rPr>
          <w:lang w:eastAsia="es-ES"/>
        </w:rPr>
        <w:t xml:space="preserve"> social tales como las empresas de inserción o los centros especiales de empleo</w:t>
      </w:r>
      <w:r w:rsidR="00F67BB4">
        <w:rPr>
          <w:lang w:eastAsia="es-ES"/>
        </w:rPr>
        <w:t>, así como a</w:t>
      </w:r>
      <w:r w:rsidR="006419E8">
        <w:rPr>
          <w:lang w:eastAsia="es-ES"/>
        </w:rPr>
        <w:t xml:space="preserve"> otras formas </w:t>
      </w:r>
      <w:r w:rsidR="00F11232">
        <w:rPr>
          <w:lang w:eastAsia="es-ES"/>
        </w:rPr>
        <w:t>de actividad que tienen una evidente dimensión social (</w:t>
      </w:r>
      <w:r w:rsidR="00B73156">
        <w:rPr>
          <w:lang w:eastAsia="es-ES"/>
        </w:rPr>
        <w:t>entidades de previsión social voluntaria o sociedades agrarias de transformación</w:t>
      </w:r>
      <w:r w:rsidR="00F11232">
        <w:rPr>
          <w:lang w:eastAsia="es-ES"/>
        </w:rPr>
        <w:t>)</w:t>
      </w:r>
      <w:r w:rsidR="00B73156">
        <w:rPr>
          <w:lang w:eastAsia="es-ES"/>
        </w:rPr>
        <w:t xml:space="preserve"> </w:t>
      </w:r>
      <w:r w:rsidR="006419E8">
        <w:rPr>
          <w:lang w:eastAsia="es-ES"/>
        </w:rPr>
        <w:t xml:space="preserve">que se suman </w:t>
      </w:r>
      <w:r w:rsidR="00F11232">
        <w:rPr>
          <w:lang w:eastAsia="es-ES"/>
        </w:rPr>
        <w:t xml:space="preserve">a las </w:t>
      </w:r>
      <w:r w:rsidR="006419E8">
        <w:rPr>
          <w:lang w:eastAsia="es-ES"/>
        </w:rPr>
        <w:t xml:space="preserve">formas jurídicas clásicas </w:t>
      </w:r>
      <w:r w:rsidR="00F11232">
        <w:rPr>
          <w:lang w:eastAsia="es-ES"/>
        </w:rPr>
        <w:t xml:space="preserve">de la Economía Social </w:t>
      </w:r>
      <w:r w:rsidR="006419E8">
        <w:rPr>
          <w:lang w:eastAsia="es-ES"/>
        </w:rPr>
        <w:t>–cooperativas y sociedades labora</w:t>
      </w:r>
      <w:r w:rsidR="003A3373">
        <w:rPr>
          <w:lang w:eastAsia="es-ES"/>
        </w:rPr>
        <w:t>les- (FCES).</w:t>
      </w:r>
    </w:p>
    <w:p w:rsidR="006419E8" w:rsidRDefault="006419E8" w:rsidP="00BA5ABE">
      <w:pPr>
        <w:rPr>
          <w:lang w:eastAsia="es-ES"/>
        </w:rPr>
      </w:pPr>
    </w:p>
    <w:p w:rsidR="00204F30" w:rsidRPr="00204F30" w:rsidRDefault="00204F30" w:rsidP="00BA5ABE">
      <w:pPr>
        <w:rPr>
          <w:b/>
          <w:lang w:eastAsia="es-ES"/>
        </w:rPr>
      </w:pPr>
      <w:r w:rsidRPr="00204F30">
        <w:rPr>
          <w:b/>
          <w:lang w:eastAsia="es-ES"/>
        </w:rPr>
        <w:t>Un volumen de empleo significativo</w:t>
      </w:r>
      <w:r>
        <w:rPr>
          <w:b/>
          <w:lang w:eastAsia="es-ES"/>
        </w:rPr>
        <w:t xml:space="preserve"> en las NFES</w:t>
      </w:r>
    </w:p>
    <w:p w:rsidR="00204F30" w:rsidRDefault="00204F30" w:rsidP="00BA5ABE">
      <w:pPr>
        <w:rPr>
          <w:lang w:eastAsia="es-ES"/>
        </w:rPr>
      </w:pPr>
    </w:p>
    <w:p w:rsidR="006419E8" w:rsidRDefault="00EA52A2" w:rsidP="00BA5ABE">
      <w:pPr>
        <w:rPr>
          <w:lang w:eastAsia="es-ES"/>
        </w:rPr>
      </w:pPr>
      <w:r>
        <w:rPr>
          <w:lang w:eastAsia="es-ES"/>
        </w:rPr>
        <w:t xml:space="preserve">En 2014, este grupo de NFES </w:t>
      </w:r>
      <w:r w:rsidR="006419E8">
        <w:rPr>
          <w:lang w:eastAsia="es-ES"/>
        </w:rPr>
        <w:t>aglutina a un total de 1.201 entidades</w:t>
      </w:r>
      <w:r w:rsidR="00A41418">
        <w:rPr>
          <w:lang w:eastAsia="es-ES"/>
        </w:rPr>
        <w:t xml:space="preserve"> que</w:t>
      </w:r>
      <w:r>
        <w:rPr>
          <w:lang w:eastAsia="es-ES"/>
        </w:rPr>
        <w:t>,</w:t>
      </w:r>
      <w:r w:rsidR="00A41418">
        <w:rPr>
          <w:lang w:eastAsia="es-ES"/>
        </w:rPr>
        <w:t xml:space="preserve"> en su conjunto</w:t>
      </w:r>
      <w:r>
        <w:rPr>
          <w:lang w:eastAsia="es-ES"/>
        </w:rPr>
        <w:t>,</w:t>
      </w:r>
      <w:r w:rsidR="00A41418">
        <w:rPr>
          <w:lang w:eastAsia="es-ES"/>
        </w:rPr>
        <w:t xml:space="preserve"> cuentan con 2.062 establecimientos. Atendiendo a la tipología</w:t>
      </w:r>
      <w:r w:rsidR="006843B0">
        <w:rPr>
          <w:lang w:eastAsia="es-ES"/>
        </w:rPr>
        <w:t xml:space="preserve"> a la que pertenecen </w:t>
      </w:r>
      <w:r w:rsidR="00A41418">
        <w:rPr>
          <w:lang w:eastAsia="es-ES"/>
        </w:rPr>
        <w:t xml:space="preserve">estas NFES y por orden de mayor a menor número de entidades cabría situar en 2014 las siguientes cifras: un total de 619 Fundaciones (51,5%), </w:t>
      </w:r>
      <w:r w:rsidR="006843B0">
        <w:rPr>
          <w:lang w:eastAsia="es-ES"/>
        </w:rPr>
        <w:t xml:space="preserve">184 Asociaciones de Utilidad Pública (15,3%), </w:t>
      </w:r>
      <w:r w:rsidR="00B73156">
        <w:rPr>
          <w:lang w:eastAsia="es-ES"/>
        </w:rPr>
        <w:t>179 Entidades de Previsión Social Voluntaria –</w:t>
      </w:r>
      <w:proofErr w:type="spellStart"/>
      <w:r w:rsidR="00B73156">
        <w:rPr>
          <w:lang w:eastAsia="es-ES"/>
        </w:rPr>
        <w:t>EPSVs</w:t>
      </w:r>
      <w:proofErr w:type="spellEnd"/>
      <w:r w:rsidR="00B73156">
        <w:rPr>
          <w:lang w:eastAsia="es-ES"/>
        </w:rPr>
        <w:t>- (15%), 87 Sociedades Agrarias de Transformación</w:t>
      </w:r>
      <w:r w:rsidR="00DD3CAA">
        <w:rPr>
          <w:lang w:eastAsia="es-ES"/>
        </w:rPr>
        <w:t xml:space="preserve"> –</w:t>
      </w:r>
      <w:proofErr w:type="spellStart"/>
      <w:r w:rsidR="00DD3CAA">
        <w:rPr>
          <w:lang w:eastAsia="es-ES"/>
        </w:rPr>
        <w:t>SATs</w:t>
      </w:r>
      <w:proofErr w:type="spellEnd"/>
      <w:r w:rsidR="00DD3CAA">
        <w:rPr>
          <w:lang w:eastAsia="es-ES"/>
        </w:rPr>
        <w:t>-</w:t>
      </w:r>
      <w:r w:rsidR="00B73156">
        <w:rPr>
          <w:lang w:eastAsia="es-ES"/>
        </w:rPr>
        <w:t xml:space="preserve"> (7,2%), 76 Empresas de Inserción (6,3%), 42 Centros Especiales de Empleo (3,5%), y</w:t>
      </w:r>
      <w:r w:rsidR="00D510B7">
        <w:rPr>
          <w:lang w:eastAsia="es-ES"/>
        </w:rPr>
        <w:t xml:space="preserve"> </w:t>
      </w:r>
      <w:r w:rsidR="00B73156">
        <w:rPr>
          <w:lang w:eastAsia="es-ES"/>
        </w:rPr>
        <w:t>15 Cofradías de Pescadores (1,2%).</w:t>
      </w:r>
    </w:p>
    <w:p w:rsidR="004F24D9" w:rsidRDefault="004F24D9" w:rsidP="004F24D9">
      <w:pPr>
        <w:widowControl w:val="0"/>
        <w:rPr>
          <w:rFonts w:cs="Arial"/>
          <w:noProof/>
        </w:rPr>
      </w:pPr>
    </w:p>
    <w:p w:rsidR="004F24D9" w:rsidRPr="008D51C3" w:rsidRDefault="004F24D9" w:rsidP="004F24D9">
      <w:pPr>
        <w:widowControl w:val="0"/>
        <w:spacing w:line="240" w:lineRule="auto"/>
        <w:jc w:val="center"/>
        <w:rPr>
          <w:rFonts w:cs="Arial"/>
          <w:b/>
          <w:color w:val="1F497D" w:themeColor="text2"/>
          <w:sz w:val="18"/>
          <w:szCs w:val="18"/>
        </w:rPr>
      </w:pPr>
      <w:r>
        <w:rPr>
          <w:rFonts w:cs="Arial"/>
          <w:b/>
          <w:color w:val="1F497D" w:themeColor="text2"/>
          <w:sz w:val="18"/>
          <w:szCs w:val="18"/>
        </w:rPr>
        <w:t>DISTRIBUCIÓN DE ENTIDADES NUEVA</w:t>
      </w:r>
      <w:r w:rsidRPr="008D51C3">
        <w:rPr>
          <w:rFonts w:cs="Arial"/>
          <w:b/>
          <w:color w:val="1F497D" w:themeColor="text2"/>
          <w:sz w:val="18"/>
          <w:szCs w:val="18"/>
        </w:rPr>
        <w:t>S F</w:t>
      </w:r>
      <w:r>
        <w:rPr>
          <w:rFonts w:cs="Arial"/>
          <w:b/>
          <w:color w:val="1F497D" w:themeColor="text2"/>
          <w:sz w:val="18"/>
          <w:szCs w:val="18"/>
        </w:rPr>
        <w:t xml:space="preserve">ORMAS DE LA ECONOMÍA SOCIAL 2012 y 2014 </w:t>
      </w:r>
      <w:r w:rsidRPr="008D51C3">
        <w:rPr>
          <w:rFonts w:cs="Arial"/>
          <w:b/>
          <w:color w:val="1F497D" w:themeColor="text2"/>
          <w:sz w:val="18"/>
          <w:szCs w:val="18"/>
        </w:rPr>
        <w:t>(</w:t>
      </w:r>
      <w:r>
        <w:rPr>
          <w:rFonts w:cs="Arial"/>
          <w:b/>
          <w:color w:val="1F497D" w:themeColor="text2"/>
          <w:sz w:val="18"/>
          <w:szCs w:val="18"/>
        </w:rPr>
        <w:t>cifras absolutas y % verticales</w:t>
      </w:r>
      <w:r w:rsidRPr="008D51C3">
        <w:rPr>
          <w:rFonts w:cs="Arial"/>
          <w:b/>
          <w:color w:val="1F497D" w:themeColor="text2"/>
          <w:sz w:val="18"/>
          <w:szCs w:val="18"/>
        </w:rPr>
        <w:t>)</w:t>
      </w:r>
    </w:p>
    <w:tbl>
      <w:tblPr>
        <w:tblW w:w="5000" w:type="pct"/>
        <w:jc w:val="center"/>
        <w:tblCellMar>
          <w:left w:w="70" w:type="dxa"/>
          <w:right w:w="70" w:type="dxa"/>
        </w:tblCellMar>
        <w:tblLook w:val="04A0" w:firstRow="1" w:lastRow="0" w:firstColumn="1" w:lastColumn="0" w:noHBand="0" w:noVBand="1"/>
      </w:tblPr>
      <w:tblGrid>
        <w:gridCol w:w="4248"/>
        <w:gridCol w:w="946"/>
        <w:gridCol w:w="1152"/>
        <w:gridCol w:w="1291"/>
        <w:gridCol w:w="1291"/>
      </w:tblGrid>
      <w:tr w:rsidR="004F24D9" w:rsidRPr="00080818" w:rsidTr="002121A0">
        <w:trPr>
          <w:jc w:val="center"/>
        </w:trPr>
        <w:tc>
          <w:tcPr>
            <w:tcW w:w="2379" w:type="pct"/>
            <w:tcBorders>
              <w:top w:val="single" w:sz="8" w:space="0" w:color="BFBFBF"/>
              <w:left w:val="nil"/>
              <w:bottom w:val="single" w:sz="8" w:space="0" w:color="BFBFBF"/>
              <w:right w:val="single" w:sz="8" w:space="0" w:color="BFBFBF"/>
            </w:tcBorders>
            <w:shd w:val="clear" w:color="000000" w:fill="DBE5F1"/>
            <w:hideMark/>
          </w:tcPr>
          <w:p w:rsidR="004F24D9" w:rsidRPr="00080818" w:rsidRDefault="004F24D9" w:rsidP="00540C90">
            <w:pPr>
              <w:spacing w:line="240" w:lineRule="exact"/>
              <w:jc w:val="left"/>
              <w:rPr>
                <w:rFonts w:ascii="Calibri" w:eastAsia="Times New Roman" w:hAnsi="Calibri" w:cs="Times New Roman"/>
                <w:color w:val="000000"/>
                <w:sz w:val="22"/>
                <w:lang w:eastAsia="es-ES"/>
              </w:rPr>
            </w:pPr>
          </w:p>
        </w:tc>
        <w:tc>
          <w:tcPr>
            <w:tcW w:w="2621" w:type="pct"/>
            <w:gridSpan w:val="4"/>
            <w:tcBorders>
              <w:top w:val="single" w:sz="8" w:space="0" w:color="BFBFBF"/>
              <w:left w:val="nil"/>
              <w:bottom w:val="single" w:sz="4" w:space="0" w:color="BFBFBF" w:themeColor="background1" w:themeShade="BF"/>
            </w:tcBorders>
            <w:shd w:val="clear" w:color="000000" w:fill="DBE5F1"/>
          </w:tcPr>
          <w:p w:rsidR="004F24D9" w:rsidRPr="00080818" w:rsidRDefault="004F24D9" w:rsidP="00540C9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Entidades</w:t>
            </w:r>
          </w:p>
        </w:tc>
      </w:tr>
      <w:tr w:rsidR="004F24D9" w:rsidRPr="00080818" w:rsidTr="002121A0">
        <w:trPr>
          <w:jc w:val="center"/>
        </w:trPr>
        <w:tc>
          <w:tcPr>
            <w:tcW w:w="2379" w:type="pct"/>
            <w:vMerge w:val="restart"/>
            <w:tcBorders>
              <w:top w:val="single" w:sz="8" w:space="0" w:color="BFBFBF"/>
              <w:left w:val="nil"/>
              <w:bottom w:val="single" w:sz="8" w:space="0" w:color="BFBFBF"/>
              <w:right w:val="single" w:sz="8" w:space="0" w:color="BFBFBF"/>
            </w:tcBorders>
            <w:shd w:val="clear" w:color="000000" w:fill="DBE5F1"/>
            <w:hideMark/>
          </w:tcPr>
          <w:p w:rsidR="004F24D9" w:rsidRPr="00080818" w:rsidRDefault="004F24D9" w:rsidP="00540C90">
            <w:pPr>
              <w:spacing w:line="240" w:lineRule="exact"/>
              <w:jc w:val="left"/>
              <w:rPr>
                <w:rFonts w:ascii="Calibri" w:eastAsia="Times New Roman" w:hAnsi="Calibri" w:cs="Times New Roman"/>
                <w:color w:val="000000"/>
                <w:sz w:val="22"/>
                <w:lang w:eastAsia="es-ES"/>
              </w:rPr>
            </w:pPr>
          </w:p>
        </w:tc>
        <w:tc>
          <w:tcPr>
            <w:tcW w:w="1175" w:type="pct"/>
            <w:gridSpan w:val="2"/>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tcPr>
          <w:p w:rsidR="004F24D9" w:rsidRPr="00080818" w:rsidRDefault="004F24D9" w:rsidP="00540C9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2012</w:t>
            </w:r>
          </w:p>
        </w:tc>
        <w:tc>
          <w:tcPr>
            <w:tcW w:w="1447" w:type="pct"/>
            <w:gridSpan w:val="2"/>
            <w:tcBorders>
              <w:top w:val="single" w:sz="8" w:space="0" w:color="BFBFBF"/>
              <w:left w:val="single" w:sz="4" w:space="0" w:color="BFBFBF" w:themeColor="background1" w:themeShade="BF"/>
              <w:bottom w:val="single" w:sz="4" w:space="0" w:color="BFBFBF" w:themeColor="background1" w:themeShade="BF"/>
            </w:tcBorders>
            <w:shd w:val="clear" w:color="000000" w:fill="DBE5F1"/>
            <w:hideMark/>
          </w:tcPr>
          <w:p w:rsidR="004F24D9" w:rsidRPr="00080818" w:rsidRDefault="004F24D9" w:rsidP="00540C9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2014</w:t>
            </w:r>
          </w:p>
        </w:tc>
      </w:tr>
      <w:tr w:rsidR="004F24D9" w:rsidRPr="00080818" w:rsidTr="002121A0">
        <w:trPr>
          <w:jc w:val="center"/>
        </w:trPr>
        <w:tc>
          <w:tcPr>
            <w:tcW w:w="2379" w:type="pct"/>
            <w:vMerge/>
            <w:tcBorders>
              <w:top w:val="single" w:sz="8" w:space="0" w:color="BFBFBF"/>
              <w:left w:val="nil"/>
              <w:bottom w:val="single" w:sz="8" w:space="0" w:color="BFBFBF"/>
              <w:right w:val="single" w:sz="8" w:space="0" w:color="BFBFBF"/>
            </w:tcBorders>
            <w:vAlign w:val="center"/>
            <w:hideMark/>
          </w:tcPr>
          <w:p w:rsidR="004F24D9" w:rsidRPr="00080818" w:rsidRDefault="004F24D9" w:rsidP="00540C90">
            <w:pPr>
              <w:spacing w:line="240" w:lineRule="exact"/>
              <w:jc w:val="left"/>
              <w:rPr>
                <w:rFonts w:ascii="Calibri" w:eastAsia="Times New Roman" w:hAnsi="Calibri" w:cs="Times New Roman"/>
                <w:color w:val="000000"/>
                <w:sz w:val="22"/>
                <w:lang w:eastAsia="es-ES"/>
              </w:rPr>
            </w:pPr>
          </w:p>
        </w:tc>
        <w:tc>
          <w:tcPr>
            <w:tcW w:w="530" w:type="pct"/>
            <w:tcBorders>
              <w:top w:val="single" w:sz="4" w:space="0" w:color="BFBFBF" w:themeColor="background1" w:themeShade="BF"/>
              <w:left w:val="nil"/>
              <w:bottom w:val="single" w:sz="8" w:space="0" w:color="BFBFBF"/>
              <w:right w:val="nil"/>
            </w:tcBorders>
            <w:shd w:val="clear" w:color="000000" w:fill="DBE5F1"/>
          </w:tcPr>
          <w:p w:rsidR="004F24D9" w:rsidRPr="00080818" w:rsidRDefault="004F24D9" w:rsidP="00540C9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645" w:type="pct"/>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tcPr>
          <w:p w:rsidR="004F24D9" w:rsidRPr="00080818" w:rsidRDefault="004F24D9" w:rsidP="00540C9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ver.</w:t>
            </w:r>
          </w:p>
        </w:tc>
        <w:tc>
          <w:tcPr>
            <w:tcW w:w="723" w:type="pct"/>
            <w:tcBorders>
              <w:top w:val="single" w:sz="4" w:space="0" w:color="BFBFBF" w:themeColor="background1" w:themeShade="BF"/>
              <w:left w:val="single" w:sz="4" w:space="0" w:color="BFBFBF" w:themeColor="background1" w:themeShade="BF"/>
              <w:bottom w:val="single" w:sz="8" w:space="0" w:color="BFBFBF"/>
            </w:tcBorders>
            <w:shd w:val="clear" w:color="000000" w:fill="DBE5F1"/>
            <w:hideMark/>
          </w:tcPr>
          <w:p w:rsidR="004F24D9" w:rsidRPr="00080818" w:rsidRDefault="004F24D9" w:rsidP="00540C9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723" w:type="pct"/>
            <w:tcBorders>
              <w:top w:val="single" w:sz="4" w:space="0" w:color="BFBFBF" w:themeColor="background1" w:themeShade="BF"/>
              <w:left w:val="nil"/>
              <w:bottom w:val="single" w:sz="8" w:space="0" w:color="BFBFBF"/>
            </w:tcBorders>
            <w:shd w:val="clear" w:color="000000" w:fill="DBE5F1"/>
            <w:hideMark/>
          </w:tcPr>
          <w:p w:rsidR="004F24D9" w:rsidRPr="00080818" w:rsidRDefault="004F24D9" w:rsidP="00540C9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ver.</w:t>
            </w:r>
          </w:p>
        </w:tc>
      </w:tr>
      <w:tr w:rsidR="004F24D9" w:rsidRPr="00080818" w:rsidTr="002121A0">
        <w:trPr>
          <w:jc w:val="center"/>
        </w:trPr>
        <w:tc>
          <w:tcPr>
            <w:tcW w:w="2379" w:type="pct"/>
            <w:tcBorders>
              <w:top w:val="nil"/>
              <w:left w:val="nil"/>
              <w:bottom w:val="nil"/>
              <w:right w:val="single" w:sz="8" w:space="0" w:color="BFBFBF"/>
            </w:tcBorders>
            <w:shd w:val="clear" w:color="auto" w:fill="auto"/>
            <w:hideMark/>
          </w:tcPr>
          <w:p w:rsidR="004F24D9" w:rsidRPr="00080818" w:rsidRDefault="004F24D9" w:rsidP="00540C9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530" w:type="pct"/>
            <w:tcBorders>
              <w:top w:val="nil"/>
              <w:left w:val="nil"/>
              <w:bottom w:val="nil"/>
              <w:right w:val="nil"/>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615</w:t>
            </w:r>
          </w:p>
        </w:tc>
        <w:tc>
          <w:tcPr>
            <w:tcW w:w="645" w:type="pct"/>
            <w:tcBorders>
              <w:top w:val="nil"/>
              <w:left w:val="nil"/>
              <w:bottom w:val="nil"/>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50,2</w:t>
            </w:r>
          </w:p>
        </w:tc>
        <w:tc>
          <w:tcPr>
            <w:tcW w:w="723" w:type="pct"/>
            <w:tcBorders>
              <w:top w:val="nil"/>
              <w:left w:val="single" w:sz="4" w:space="0" w:color="BFBFBF" w:themeColor="background1" w:themeShade="BF"/>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619</w:t>
            </w:r>
          </w:p>
        </w:tc>
        <w:tc>
          <w:tcPr>
            <w:tcW w:w="723" w:type="pct"/>
            <w:tcBorders>
              <w:top w:val="nil"/>
              <w:left w:val="nil"/>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51,5</w:t>
            </w:r>
          </w:p>
        </w:tc>
      </w:tr>
      <w:tr w:rsidR="004F24D9" w:rsidRPr="00080818" w:rsidTr="002121A0">
        <w:trPr>
          <w:jc w:val="center"/>
        </w:trPr>
        <w:tc>
          <w:tcPr>
            <w:tcW w:w="2379" w:type="pct"/>
            <w:tcBorders>
              <w:top w:val="nil"/>
              <w:left w:val="nil"/>
              <w:bottom w:val="nil"/>
              <w:right w:val="single" w:sz="8" w:space="0" w:color="BFBFBF"/>
            </w:tcBorders>
            <w:shd w:val="clear" w:color="auto" w:fill="auto"/>
            <w:hideMark/>
          </w:tcPr>
          <w:p w:rsidR="004F24D9" w:rsidRPr="00080818" w:rsidRDefault="004F24D9" w:rsidP="00540C9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530" w:type="pct"/>
            <w:tcBorders>
              <w:top w:val="nil"/>
              <w:left w:val="nil"/>
              <w:bottom w:val="nil"/>
              <w:right w:val="nil"/>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42</w:t>
            </w:r>
          </w:p>
        </w:tc>
        <w:tc>
          <w:tcPr>
            <w:tcW w:w="645" w:type="pct"/>
            <w:tcBorders>
              <w:top w:val="nil"/>
              <w:left w:val="nil"/>
              <w:bottom w:val="nil"/>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3,4</w:t>
            </w:r>
          </w:p>
        </w:tc>
        <w:tc>
          <w:tcPr>
            <w:tcW w:w="723" w:type="pct"/>
            <w:tcBorders>
              <w:top w:val="nil"/>
              <w:left w:val="single" w:sz="4" w:space="0" w:color="BFBFBF" w:themeColor="background1" w:themeShade="BF"/>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42</w:t>
            </w:r>
          </w:p>
        </w:tc>
        <w:tc>
          <w:tcPr>
            <w:tcW w:w="723" w:type="pct"/>
            <w:tcBorders>
              <w:top w:val="nil"/>
              <w:left w:val="nil"/>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3,5</w:t>
            </w:r>
          </w:p>
        </w:tc>
      </w:tr>
      <w:tr w:rsidR="004F24D9" w:rsidRPr="00080818" w:rsidTr="002121A0">
        <w:trPr>
          <w:jc w:val="center"/>
        </w:trPr>
        <w:tc>
          <w:tcPr>
            <w:tcW w:w="2379" w:type="pct"/>
            <w:tcBorders>
              <w:top w:val="nil"/>
              <w:left w:val="nil"/>
              <w:bottom w:val="nil"/>
              <w:right w:val="single" w:sz="8" w:space="0" w:color="BFBFBF"/>
            </w:tcBorders>
            <w:shd w:val="clear" w:color="auto" w:fill="auto"/>
            <w:hideMark/>
          </w:tcPr>
          <w:p w:rsidR="004F24D9" w:rsidRPr="00080818" w:rsidRDefault="004F24D9" w:rsidP="00540C9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530" w:type="pct"/>
            <w:tcBorders>
              <w:top w:val="nil"/>
              <w:left w:val="nil"/>
              <w:bottom w:val="nil"/>
              <w:right w:val="nil"/>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189</w:t>
            </w:r>
          </w:p>
        </w:tc>
        <w:tc>
          <w:tcPr>
            <w:tcW w:w="645" w:type="pct"/>
            <w:tcBorders>
              <w:top w:val="nil"/>
              <w:left w:val="nil"/>
              <w:bottom w:val="nil"/>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15,4</w:t>
            </w:r>
          </w:p>
        </w:tc>
        <w:tc>
          <w:tcPr>
            <w:tcW w:w="723" w:type="pct"/>
            <w:tcBorders>
              <w:top w:val="nil"/>
              <w:left w:val="single" w:sz="4" w:space="0" w:color="BFBFBF" w:themeColor="background1" w:themeShade="BF"/>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184</w:t>
            </w:r>
          </w:p>
        </w:tc>
        <w:tc>
          <w:tcPr>
            <w:tcW w:w="723" w:type="pct"/>
            <w:tcBorders>
              <w:top w:val="nil"/>
              <w:left w:val="nil"/>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15,3</w:t>
            </w:r>
          </w:p>
        </w:tc>
      </w:tr>
      <w:tr w:rsidR="004F24D9" w:rsidRPr="00080818" w:rsidTr="002121A0">
        <w:trPr>
          <w:jc w:val="center"/>
        </w:trPr>
        <w:tc>
          <w:tcPr>
            <w:tcW w:w="2379" w:type="pct"/>
            <w:tcBorders>
              <w:top w:val="nil"/>
              <w:left w:val="nil"/>
              <w:bottom w:val="nil"/>
              <w:right w:val="single" w:sz="8" w:space="0" w:color="BFBFBF"/>
            </w:tcBorders>
            <w:shd w:val="clear" w:color="auto" w:fill="auto"/>
            <w:noWrap/>
            <w:hideMark/>
          </w:tcPr>
          <w:p w:rsidR="004F24D9" w:rsidRPr="00080818" w:rsidRDefault="004F24D9" w:rsidP="00540C9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530" w:type="pct"/>
            <w:tcBorders>
              <w:top w:val="nil"/>
              <w:left w:val="nil"/>
              <w:bottom w:val="nil"/>
              <w:right w:val="nil"/>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78</w:t>
            </w:r>
          </w:p>
        </w:tc>
        <w:tc>
          <w:tcPr>
            <w:tcW w:w="645" w:type="pct"/>
            <w:tcBorders>
              <w:top w:val="nil"/>
              <w:left w:val="nil"/>
              <w:bottom w:val="nil"/>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6,4</w:t>
            </w:r>
          </w:p>
        </w:tc>
        <w:tc>
          <w:tcPr>
            <w:tcW w:w="723" w:type="pct"/>
            <w:tcBorders>
              <w:top w:val="nil"/>
              <w:left w:val="single" w:sz="4" w:space="0" w:color="BFBFBF" w:themeColor="background1" w:themeShade="BF"/>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76</w:t>
            </w:r>
          </w:p>
        </w:tc>
        <w:tc>
          <w:tcPr>
            <w:tcW w:w="723" w:type="pct"/>
            <w:tcBorders>
              <w:top w:val="nil"/>
              <w:left w:val="nil"/>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6,3</w:t>
            </w:r>
          </w:p>
        </w:tc>
      </w:tr>
      <w:tr w:rsidR="004F24D9" w:rsidRPr="00080818" w:rsidTr="002121A0">
        <w:trPr>
          <w:jc w:val="center"/>
        </w:trPr>
        <w:tc>
          <w:tcPr>
            <w:tcW w:w="2379" w:type="pct"/>
            <w:tcBorders>
              <w:top w:val="nil"/>
              <w:left w:val="nil"/>
              <w:bottom w:val="nil"/>
              <w:right w:val="single" w:sz="8" w:space="0" w:color="BFBFBF"/>
            </w:tcBorders>
            <w:shd w:val="clear" w:color="auto" w:fill="auto"/>
            <w:noWrap/>
            <w:hideMark/>
          </w:tcPr>
          <w:p w:rsidR="004F24D9" w:rsidRPr="00080818" w:rsidRDefault="004F24D9" w:rsidP="00540C9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530" w:type="pct"/>
            <w:tcBorders>
              <w:top w:val="nil"/>
              <w:left w:val="nil"/>
              <w:bottom w:val="nil"/>
              <w:right w:val="nil"/>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97</w:t>
            </w:r>
          </w:p>
        </w:tc>
        <w:tc>
          <w:tcPr>
            <w:tcW w:w="645" w:type="pct"/>
            <w:tcBorders>
              <w:top w:val="nil"/>
              <w:left w:val="nil"/>
              <w:bottom w:val="nil"/>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723" w:type="pct"/>
            <w:tcBorders>
              <w:top w:val="nil"/>
              <w:left w:val="single" w:sz="4" w:space="0" w:color="BFBFBF" w:themeColor="background1" w:themeShade="BF"/>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87</w:t>
            </w:r>
          </w:p>
        </w:tc>
        <w:tc>
          <w:tcPr>
            <w:tcW w:w="723" w:type="pct"/>
            <w:tcBorders>
              <w:top w:val="nil"/>
              <w:left w:val="nil"/>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7,2</w:t>
            </w:r>
          </w:p>
        </w:tc>
      </w:tr>
      <w:tr w:rsidR="004F24D9" w:rsidRPr="00080818" w:rsidTr="002121A0">
        <w:trPr>
          <w:jc w:val="center"/>
        </w:trPr>
        <w:tc>
          <w:tcPr>
            <w:tcW w:w="2379" w:type="pct"/>
            <w:tcBorders>
              <w:top w:val="nil"/>
              <w:left w:val="nil"/>
              <w:bottom w:val="nil"/>
              <w:right w:val="single" w:sz="8" w:space="0" w:color="BFBFBF"/>
            </w:tcBorders>
            <w:shd w:val="clear" w:color="auto" w:fill="auto"/>
            <w:noWrap/>
            <w:hideMark/>
          </w:tcPr>
          <w:p w:rsidR="004F24D9" w:rsidRPr="00080818" w:rsidRDefault="004F24D9" w:rsidP="00540C9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530" w:type="pct"/>
            <w:tcBorders>
              <w:top w:val="nil"/>
              <w:left w:val="nil"/>
              <w:bottom w:val="nil"/>
              <w:right w:val="nil"/>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16</w:t>
            </w:r>
          </w:p>
        </w:tc>
        <w:tc>
          <w:tcPr>
            <w:tcW w:w="645" w:type="pct"/>
            <w:tcBorders>
              <w:top w:val="nil"/>
              <w:left w:val="nil"/>
              <w:bottom w:val="nil"/>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1,3</w:t>
            </w:r>
          </w:p>
        </w:tc>
        <w:tc>
          <w:tcPr>
            <w:tcW w:w="723" w:type="pct"/>
            <w:tcBorders>
              <w:top w:val="nil"/>
              <w:left w:val="single" w:sz="4" w:space="0" w:color="BFBFBF" w:themeColor="background1" w:themeShade="BF"/>
              <w:bottom w:val="nil"/>
            </w:tcBorders>
            <w:shd w:val="clear" w:color="auto" w:fill="auto"/>
            <w:noWrap/>
            <w:hideMark/>
          </w:tcPr>
          <w:p w:rsidR="004F24D9" w:rsidRPr="00080818" w:rsidRDefault="004F24D9" w:rsidP="007467DB">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w:t>
            </w:r>
            <w:r>
              <w:rPr>
                <w:rFonts w:eastAsia="Times New Roman" w:cs="Arial"/>
                <w:color w:val="000000"/>
                <w:sz w:val="16"/>
                <w:szCs w:val="16"/>
                <w:lang w:eastAsia="es-ES"/>
              </w:rPr>
              <w:t>5</w:t>
            </w:r>
          </w:p>
        </w:tc>
        <w:tc>
          <w:tcPr>
            <w:tcW w:w="723" w:type="pct"/>
            <w:tcBorders>
              <w:top w:val="nil"/>
              <w:left w:val="nil"/>
              <w:bottom w:val="nil"/>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1,2</w:t>
            </w:r>
          </w:p>
        </w:tc>
      </w:tr>
      <w:tr w:rsidR="004F24D9" w:rsidRPr="00080818" w:rsidTr="002121A0">
        <w:trPr>
          <w:jc w:val="center"/>
        </w:trPr>
        <w:tc>
          <w:tcPr>
            <w:tcW w:w="2379" w:type="pct"/>
            <w:tcBorders>
              <w:top w:val="nil"/>
              <w:left w:val="nil"/>
              <w:bottom w:val="single" w:sz="8" w:space="0" w:color="BFBFBF"/>
              <w:right w:val="single" w:sz="8" w:space="0" w:color="BFBFBF"/>
            </w:tcBorders>
            <w:shd w:val="clear" w:color="auto" w:fill="auto"/>
            <w:noWrap/>
            <w:hideMark/>
          </w:tcPr>
          <w:p w:rsidR="004F24D9" w:rsidRPr="00080818" w:rsidRDefault="004F24D9" w:rsidP="00540C9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530" w:type="pct"/>
            <w:tcBorders>
              <w:top w:val="nil"/>
              <w:left w:val="nil"/>
              <w:bottom w:val="single" w:sz="8" w:space="0" w:color="BFBFBF"/>
              <w:right w:val="nil"/>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189</w:t>
            </w:r>
          </w:p>
        </w:tc>
        <w:tc>
          <w:tcPr>
            <w:tcW w:w="645" w:type="pct"/>
            <w:tcBorders>
              <w:top w:val="nil"/>
              <w:left w:val="nil"/>
              <w:bottom w:val="single" w:sz="8" w:space="0" w:color="BFBFBF"/>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15,4</w:t>
            </w:r>
          </w:p>
        </w:tc>
        <w:tc>
          <w:tcPr>
            <w:tcW w:w="723" w:type="pct"/>
            <w:tcBorders>
              <w:top w:val="nil"/>
              <w:left w:val="single" w:sz="4" w:space="0" w:color="BFBFBF" w:themeColor="background1" w:themeShade="BF"/>
              <w:bottom w:val="single" w:sz="8" w:space="0" w:color="BFBFBF"/>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179</w:t>
            </w:r>
          </w:p>
        </w:tc>
        <w:tc>
          <w:tcPr>
            <w:tcW w:w="723" w:type="pct"/>
            <w:tcBorders>
              <w:top w:val="nil"/>
              <w:left w:val="nil"/>
              <w:bottom w:val="single" w:sz="8" w:space="0" w:color="BFBFBF"/>
            </w:tcBorders>
            <w:shd w:val="clear" w:color="auto" w:fill="auto"/>
            <w:noWrap/>
            <w:hideMark/>
          </w:tcPr>
          <w:p w:rsidR="004F24D9" w:rsidRPr="00080818" w:rsidRDefault="004F24D9" w:rsidP="00540C9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w:t>
            </w:r>
            <w:r>
              <w:rPr>
                <w:rFonts w:eastAsia="Times New Roman" w:cs="Arial"/>
                <w:color w:val="000000"/>
                <w:sz w:val="16"/>
                <w:szCs w:val="16"/>
                <w:lang w:eastAsia="es-ES"/>
              </w:rPr>
              <w:t>5,0</w:t>
            </w:r>
          </w:p>
        </w:tc>
      </w:tr>
      <w:tr w:rsidR="004F24D9" w:rsidRPr="00080818" w:rsidTr="002121A0">
        <w:trPr>
          <w:jc w:val="center"/>
        </w:trPr>
        <w:tc>
          <w:tcPr>
            <w:tcW w:w="2379" w:type="pct"/>
            <w:tcBorders>
              <w:top w:val="nil"/>
              <w:left w:val="nil"/>
              <w:bottom w:val="single" w:sz="8" w:space="0" w:color="BFBFBF"/>
              <w:right w:val="single" w:sz="8" w:space="0" w:color="BFBFBF"/>
            </w:tcBorders>
            <w:shd w:val="clear" w:color="auto" w:fill="auto"/>
            <w:noWrap/>
            <w:hideMark/>
          </w:tcPr>
          <w:p w:rsidR="004F24D9" w:rsidRPr="00623693" w:rsidRDefault="004F24D9" w:rsidP="00540C90">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530" w:type="pct"/>
            <w:tcBorders>
              <w:top w:val="nil"/>
              <w:left w:val="nil"/>
              <w:bottom w:val="single" w:sz="8" w:space="0" w:color="BFBFBF"/>
              <w:right w:val="nil"/>
            </w:tcBorders>
          </w:tcPr>
          <w:p w:rsidR="004F24D9" w:rsidRPr="00080818" w:rsidRDefault="004F24D9" w:rsidP="00540C90">
            <w:pPr>
              <w:spacing w:line="240" w:lineRule="exact"/>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1.226</w:t>
            </w:r>
          </w:p>
        </w:tc>
        <w:tc>
          <w:tcPr>
            <w:tcW w:w="645" w:type="pct"/>
            <w:tcBorders>
              <w:top w:val="single" w:sz="8" w:space="0" w:color="BFBFBF"/>
              <w:left w:val="nil"/>
              <w:bottom w:val="single" w:sz="4" w:space="0" w:color="BFBFBF" w:themeColor="background1" w:themeShade="BF"/>
              <w:right w:val="single" w:sz="4" w:space="0" w:color="BFBFBF" w:themeColor="background1" w:themeShade="BF"/>
            </w:tcBorders>
          </w:tcPr>
          <w:p w:rsidR="004F24D9" w:rsidRPr="00080818" w:rsidRDefault="004F24D9" w:rsidP="00540C90">
            <w:pPr>
              <w:spacing w:line="240" w:lineRule="exact"/>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c>
          <w:tcPr>
            <w:tcW w:w="723" w:type="pct"/>
            <w:tcBorders>
              <w:top w:val="single" w:sz="8" w:space="0" w:color="BFBFBF"/>
              <w:left w:val="single" w:sz="4" w:space="0" w:color="BFBFBF" w:themeColor="background1" w:themeShade="BF"/>
              <w:bottom w:val="single" w:sz="4" w:space="0" w:color="BFBFBF" w:themeColor="background1" w:themeShade="BF"/>
            </w:tcBorders>
            <w:shd w:val="clear" w:color="auto" w:fill="auto"/>
            <w:hideMark/>
          </w:tcPr>
          <w:p w:rsidR="004F24D9" w:rsidRPr="00080818" w:rsidRDefault="004F24D9" w:rsidP="00540C90">
            <w:pPr>
              <w:spacing w:line="240" w:lineRule="exact"/>
              <w:ind w:right="245"/>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1.201</w:t>
            </w:r>
          </w:p>
        </w:tc>
        <w:tc>
          <w:tcPr>
            <w:tcW w:w="723" w:type="pct"/>
            <w:tcBorders>
              <w:top w:val="single" w:sz="8" w:space="0" w:color="BFBFBF"/>
              <w:left w:val="nil"/>
              <w:bottom w:val="single" w:sz="4" w:space="0" w:color="BFBFBF" w:themeColor="background1" w:themeShade="BF"/>
            </w:tcBorders>
            <w:shd w:val="clear" w:color="auto" w:fill="auto"/>
            <w:hideMark/>
          </w:tcPr>
          <w:p w:rsidR="004F24D9" w:rsidRPr="00080818" w:rsidRDefault="004F24D9" w:rsidP="00540C90">
            <w:pPr>
              <w:spacing w:line="240" w:lineRule="exact"/>
              <w:ind w:right="245"/>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100,0</w:t>
            </w:r>
          </w:p>
        </w:tc>
      </w:tr>
    </w:tbl>
    <w:p w:rsidR="00BA5ABE" w:rsidRDefault="00BA5ABE" w:rsidP="00BA5ABE">
      <w:pPr>
        <w:rPr>
          <w:lang w:eastAsia="es-ES"/>
        </w:rPr>
      </w:pPr>
    </w:p>
    <w:p w:rsidR="002121A0" w:rsidRDefault="002121A0" w:rsidP="00BA5ABE">
      <w:pPr>
        <w:rPr>
          <w:lang w:eastAsia="es-ES"/>
        </w:rPr>
      </w:pPr>
    </w:p>
    <w:p w:rsidR="00365142" w:rsidRDefault="00EA52A2" w:rsidP="00BD60C8">
      <w:pPr>
        <w:rPr>
          <w:lang w:eastAsia="es-ES"/>
        </w:rPr>
      </w:pPr>
      <w:r>
        <w:rPr>
          <w:lang w:eastAsia="es-ES"/>
        </w:rPr>
        <w:t>En términos evolutivos</w:t>
      </w:r>
      <w:r w:rsidR="00DD3CAA">
        <w:rPr>
          <w:lang w:eastAsia="es-ES"/>
        </w:rPr>
        <w:t xml:space="preserve">, </w:t>
      </w:r>
      <w:r w:rsidR="002C0F48">
        <w:rPr>
          <w:lang w:eastAsia="es-ES"/>
        </w:rPr>
        <w:t xml:space="preserve">las cifras señaladas muestran una línea moderadamente descendente en </w:t>
      </w:r>
      <w:r w:rsidR="00B73156">
        <w:rPr>
          <w:lang w:eastAsia="es-ES"/>
        </w:rPr>
        <w:t>el número de entidades</w:t>
      </w:r>
      <w:r w:rsidR="002121A0">
        <w:rPr>
          <w:lang w:eastAsia="es-ES"/>
        </w:rPr>
        <w:t xml:space="preserve">, con una reducción del </w:t>
      </w:r>
      <w:r w:rsidR="00183F24">
        <w:rPr>
          <w:lang w:eastAsia="es-ES"/>
        </w:rPr>
        <w:t>2,0%</w:t>
      </w:r>
      <w:r w:rsidR="00CA034D">
        <w:rPr>
          <w:lang w:eastAsia="es-ES"/>
        </w:rPr>
        <w:t>.</w:t>
      </w:r>
      <w:r w:rsidR="00365142">
        <w:rPr>
          <w:lang w:eastAsia="es-ES"/>
        </w:rPr>
        <w:t xml:space="preserve"> </w:t>
      </w:r>
    </w:p>
    <w:p w:rsidR="00365142" w:rsidRDefault="00365142" w:rsidP="00BD60C8">
      <w:pPr>
        <w:rPr>
          <w:lang w:eastAsia="es-ES"/>
        </w:rPr>
      </w:pPr>
    </w:p>
    <w:p w:rsidR="00C4223B" w:rsidRDefault="00C4223B">
      <w:pPr>
        <w:spacing w:after="200" w:line="276" w:lineRule="auto"/>
        <w:jc w:val="left"/>
        <w:rPr>
          <w:lang w:eastAsia="es-ES"/>
        </w:rPr>
      </w:pPr>
      <w:r>
        <w:rPr>
          <w:lang w:eastAsia="es-ES"/>
        </w:rPr>
        <w:br w:type="page"/>
      </w:r>
    </w:p>
    <w:p w:rsidR="007467DB" w:rsidRDefault="00DD3CAA" w:rsidP="00BD60C8">
      <w:pPr>
        <w:rPr>
          <w:lang w:eastAsia="es-ES"/>
        </w:rPr>
      </w:pPr>
      <w:r>
        <w:rPr>
          <w:lang w:eastAsia="es-ES"/>
        </w:rPr>
        <w:lastRenderedPageBreak/>
        <w:t>La</w:t>
      </w:r>
      <w:r w:rsidR="002121A0">
        <w:rPr>
          <w:lang w:eastAsia="es-ES"/>
        </w:rPr>
        <w:t>s</w:t>
      </w:r>
      <w:r>
        <w:rPr>
          <w:lang w:eastAsia="es-ES"/>
        </w:rPr>
        <w:t xml:space="preserve"> pérdida</w:t>
      </w:r>
      <w:r w:rsidR="002121A0">
        <w:rPr>
          <w:lang w:eastAsia="es-ES"/>
        </w:rPr>
        <w:t xml:space="preserve">s </w:t>
      </w:r>
      <w:r w:rsidR="007467DB">
        <w:rPr>
          <w:lang w:eastAsia="es-ES"/>
        </w:rPr>
        <w:t xml:space="preserve">relativas </w:t>
      </w:r>
      <w:r w:rsidR="002121A0">
        <w:rPr>
          <w:lang w:eastAsia="es-ES"/>
        </w:rPr>
        <w:t xml:space="preserve">más significativas corresponden </w:t>
      </w:r>
      <w:r>
        <w:rPr>
          <w:lang w:eastAsia="es-ES"/>
        </w:rPr>
        <w:t xml:space="preserve">a las </w:t>
      </w:r>
      <w:proofErr w:type="spellStart"/>
      <w:r>
        <w:rPr>
          <w:lang w:eastAsia="es-ES"/>
        </w:rPr>
        <w:t>EPSVs</w:t>
      </w:r>
      <w:proofErr w:type="spellEnd"/>
      <w:r>
        <w:rPr>
          <w:lang w:eastAsia="es-ES"/>
        </w:rPr>
        <w:t xml:space="preserve"> </w:t>
      </w:r>
      <w:r w:rsidR="002121A0">
        <w:rPr>
          <w:lang w:eastAsia="es-ES"/>
        </w:rPr>
        <w:t>(</w:t>
      </w:r>
      <w:r w:rsidR="007467DB">
        <w:rPr>
          <w:lang w:eastAsia="es-ES"/>
        </w:rPr>
        <w:t>-</w:t>
      </w:r>
      <w:r w:rsidR="002121A0">
        <w:rPr>
          <w:lang w:eastAsia="es-ES"/>
        </w:rPr>
        <w:t>5,3% de las existentes en 2012)</w:t>
      </w:r>
      <w:r w:rsidR="007467DB">
        <w:rPr>
          <w:lang w:eastAsia="es-ES"/>
        </w:rPr>
        <w:t xml:space="preserve"> y a </w:t>
      </w:r>
      <w:r>
        <w:rPr>
          <w:lang w:eastAsia="es-ES"/>
        </w:rPr>
        <w:t xml:space="preserve">las </w:t>
      </w:r>
      <w:proofErr w:type="spellStart"/>
      <w:r>
        <w:rPr>
          <w:lang w:eastAsia="es-ES"/>
        </w:rPr>
        <w:t>SATs</w:t>
      </w:r>
      <w:proofErr w:type="spellEnd"/>
      <w:r>
        <w:rPr>
          <w:lang w:eastAsia="es-ES"/>
        </w:rPr>
        <w:t xml:space="preserve"> </w:t>
      </w:r>
      <w:r w:rsidR="00314595">
        <w:rPr>
          <w:lang w:eastAsia="es-ES"/>
        </w:rPr>
        <w:t>(-10,3%)</w:t>
      </w:r>
      <w:r w:rsidR="007467DB">
        <w:rPr>
          <w:lang w:eastAsia="es-ES"/>
        </w:rPr>
        <w:t xml:space="preserve">. La caída se sitúa en niveles cercanos a la media en lo relativo a </w:t>
      </w:r>
      <w:r w:rsidR="00785534">
        <w:rPr>
          <w:lang w:eastAsia="es-ES"/>
        </w:rPr>
        <w:t xml:space="preserve">las Asociaciones de Utilidad Pública </w:t>
      </w:r>
      <w:r w:rsidR="007467DB">
        <w:rPr>
          <w:lang w:eastAsia="es-ES"/>
        </w:rPr>
        <w:t>y las empresas de inserción (-2,6%). En el caso de las cofradías de pescadores, la pérdida de una entidad supone una reducción del 6,3%</w:t>
      </w:r>
      <w:r w:rsidR="007467DB">
        <w:rPr>
          <w:rStyle w:val="Refdenotaalpie"/>
          <w:rFonts w:eastAsia="Times New Roman" w:cs="Arial"/>
          <w:color w:val="000000"/>
          <w:sz w:val="16"/>
          <w:szCs w:val="16"/>
          <w:lang w:eastAsia="es-ES"/>
        </w:rPr>
        <w:footnoteReference w:id="6"/>
      </w:r>
      <w:r w:rsidR="00785534">
        <w:rPr>
          <w:lang w:eastAsia="es-ES"/>
        </w:rPr>
        <w:t xml:space="preserve">. </w:t>
      </w:r>
      <w:r w:rsidR="007467DB">
        <w:rPr>
          <w:lang w:eastAsia="es-ES"/>
        </w:rPr>
        <w:t xml:space="preserve">En un contexto en el que las entidades que gestionan centros especiales de empleo se </w:t>
      </w:r>
      <w:r w:rsidR="007467DB" w:rsidRPr="006F710D">
        <w:rPr>
          <w:lang w:eastAsia="es-ES"/>
        </w:rPr>
        <w:t>mantienen estables, l</w:t>
      </w:r>
      <w:r w:rsidR="00417CAD" w:rsidRPr="006F710D">
        <w:rPr>
          <w:lang w:eastAsia="es-ES"/>
        </w:rPr>
        <w:t xml:space="preserve">as Fundaciones </w:t>
      </w:r>
      <w:r w:rsidR="007467DB" w:rsidRPr="006F710D">
        <w:rPr>
          <w:lang w:eastAsia="es-ES"/>
        </w:rPr>
        <w:t xml:space="preserve">constituyen el único tipo de </w:t>
      </w:r>
      <w:r w:rsidR="00417CAD" w:rsidRPr="006F710D">
        <w:rPr>
          <w:lang w:eastAsia="es-ES"/>
        </w:rPr>
        <w:t>entidad</w:t>
      </w:r>
      <w:r w:rsidR="007467DB" w:rsidRPr="006F710D">
        <w:rPr>
          <w:lang w:eastAsia="es-ES"/>
        </w:rPr>
        <w:t xml:space="preserve"> en </w:t>
      </w:r>
      <w:r w:rsidR="00687946" w:rsidRPr="006F710D">
        <w:rPr>
          <w:lang w:eastAsia="es-ES"/>
        </w:rPr>
        <w:t xml:space="preserve">la </w:t>
      </w:r>
      <w:r w:rsidR="007467DB" w:rsidRPr="006F710D">
        <w:rPr>
          <w:lang w:eastAsia="es-ES"/>
        </w:rPr>
        <w:t xml:space="preserve">que se registra un </w:t>
      </w:r>
      <w:r w:rsidR="00687946" w:rsidRPr="006F710D">
        <w:rPr>
          <w:lang w:eastAsia="es-ES"/>
        </w:rPr>
        <w:t xml:space="preserve">ligero </w:t>
      </w:r>
      <w:r w:rsidR="007467DB" w:rsidRPr="006F710D">
        <w:rPr>
          <w:lang w:eastAsia="es-ES"/>
        </w:rPr>
        <w:t>incremento</w:t>
      </w:r>
      <w:r w:rsidR="00687946" w:rsidRPr="006F710D">
        <w:rPr>
          <w:lang w:eastAsia="es-ES"/>
        </w:rPr>
        <w:t xml:space="preserve"> </w:t>
      </w:r>
      <w:r w:rsidR="006F710D" w:rsidRPr="006F710D">
        <w:rPr>
          <w:lang w:eastAsia="es-ES"/>
        </w:rPr>
        <w:t>(+</w:t>
      </w:r>
      <w:r w:rsidR="00687946" w:rsidRPr="006F710D">
        <w:rPr>
          <w:lang w:eastAsia="es-ES"/>
        </w:rPr>
        <w:t>0,</w:t>
      </w:r>
      <w:r w:rsidR="006F710D" w:rsidRPr="006F710D">
        <w:rPr>
          <w:lang w:eastAsia="es-ES"/>
        </w:rPr>
        <w:t>7</w:t>
      </w:r>
      <w:r w:rsidR="00687946" w:rsidRPr="006F710D">
        <w:rPr>
          <w:lang w:eastAsia="es-ES"/>
        </w:rPr>
        <w:t>%</w:t>
      </w:r>
      <w:r w:rsidR="006F710D" w:rsidRPr="006F710D">
        <w:rPr>
          <w:lang w:eastAsia="es-ES"/>
        </w:rPr>
        <w:t>)</w:t>
      </w:r>
      <w:r w:rsidR="00687946" w:rsidRPr="006F710D">
        <w:rPr>
          <w:lang w:eastAsia="es-ES"/>
        </w:rPr>
        <w:t>.</w:t>
      </w:r>
    </w:p>
    <w:p w:rsidR="007467DB" w:rsidRDefault="007467DB" w:rsidP="00BD60C8">
      <w:pPr>
        <w:rPr>
          <w:lang w:eastAsia="es-ES"/>
        </w:rPr>
      </w:pPr>
    </w:p>
    <w:p w:rsidR="00CC39AE" w:rsidRDefault="00365142" w:rsidP="00CC39AE">
      <w:pPr>
        <w:rPr>
          <w:lang w:eastAsia="es-ES"/>
        </w:rPr>
      </w:pPr>
      <w:r>
        <w:rPr>
          <w:lang w:eastAsia="es-ES"/>
        </w:rPr>
        <w:t xml:space="preserve">En </w:t>
      </w:r>
      <w:r w:rsidR="00F1123D">
        <w:rPr>
          <w:lang w:eastAsia="es-ES"/>
        </w:rPr>
        <w:t>2014</w:t>
      </w:r>
      <w:r>
        <w:rPr>
          <w:lang w:eastAsia="es-ES"/>
        </w:rPr>
        <w:t>, las entidades consideradas generan</w:t>
      </w:r>
      <w:r w:rsidR="00F1123D">
        <w:rPr>
          <w:lang w:eastAsia="es-ES"/>
        </w:rPr>
        <w:t xml:space="preserve"> un total de 23.238 empleos remunerados</w:t>
      </w:r>
      <w:r w:rsidR="0054655A" w:rsidRPr="0054655A">
        <w:rPr>
          <w:rStyle w:val="Refdenotaalpie"/>
          <w:rFonts w:eastAsia="Times New Roman" w:cs="Times New Roman"/>
          <w:snapToGrid w:val="0"/>
          <w:szCs w:val="20"/>
          <w:lang w:eastAsia="es-ES"/>
        </w:rPr>
        <w:footnoteReference w:id="7"/>
      </w:r>
      <w:r>
        <w:rPr>
          <w:lang w:eastAsia="es-ES"/>
        </w:rPr>
        <w:t>.</w:t>
      </w:r>
      <w:r w:rsidR="00C7028F">
        <w:rPr>
          <w:lang w:eastAsia="es-ES"/>
        </w:rPr>
        <w:t xml:space="preserve"> Las Fundaciones constituyen la principal fuente</w:t>
      </w:r>
      <w:r>
        <w:rPr>
          <w:lang w:eastAsia="es-ES"/>
        </w:rPr>
        <w:t xml:space="preserve"> de contratación, </w:t>
      </w:r>
      <w:r w:rsidR="00E27EF3">
        <w:rPr>
          <w:lang w:eastAsia="es-ES"/>
        </w:rPr>
        <w:t>con un total de 10.482 empleos,</w:t>
      </w:r>
      <w:r w:rsidR="00F1123D">
        <w:rPr>
          <w:lang w:eastAsia="es-ES"/>
        </w:rPr>
        <w:t xml:space="preserve"> </w:t>
      </w:r>
      <w:r>
        <w:rPr>
          <w:lang w:eastAsia="es-ES"/>
        </w:rPr>
        <w:t xml:space="preserve">un </w:t>
      </w:r>
      <w:r w:rsidR="00F1123D">
        <w:rPr>
          <w:lang w:eastAsia="es-ES"/>
        </w:rPr>
        <w:t xml:space="preserve">45,1% del empleo </w:t>
      </w:r>
      <w:r>
        <w:rPr>
          <w:lang w:eastAsia="es-ES"/>
        </w:rPr>
        <w:t xml:space="preserve">generado por </w:t>
      </w:r>
      <w:r w:rsidR="00CC7020">
        <w:rPr>
          <w:lang w:eastAsia="es-ES"/>
        </w:rPr>
        <w:t>las</w:t>
      </w:r>
      <w:r w:rsidR="00F1123D">
        <w:rPr>
          <w:lang w:eastAsia="es-ES"/>
        </w:rPr>
        <w:t xml:space="preserve"> NFES</w:t>
      </w:r>
      <w:r>
        <w:rPr>
          <w:lang w:eastAsia="es-ES"/>
        </w:rPr>
        <w:t xml:space="preserve">. El segundo grupo en importancia es el de </w:t>
      </w:r>
      <w:r w:rsidR="00F1123D">
        <w:rPr>
          <w:lang w:eastAsia="es-ES"/>
        </w:rPr>
        <w:t>los Centros Especiales de Empleo</w:t>
      </w:r>
      <w:r>
        <w:rPr>
          <w:lang w:eastAsia="es-ES"/>
        </w:rPr>
        <w:t xml:space="preserve">, con 7.920 empleos, un </w:t>
      </w:r>
      <w:r w:rsidR="00F1123D">
        <w:rPr>
          <w:lang w:eastAsia="es-ES"/>
        </w:rPr>
        <w:t xml:space="preserve">34,1% del </w:t>
      </w:r>
      <w:r>
        <w:rPr>
          <w:lang w:eastAsia="es-ES"/>
        </w:rPr>
        <w:t xml:space="preserve">total. Se trata en este caso de un tipo de empleo con fuerte presencia en </w:t>
      </w:r>
      <w:proofErr w:type="spellStart"/>
      <w:r>
        <w:rPr>
          <w:lang w:eastAsia="es-ES"/>
        </w:rPr>
        <w:t>Gipuzkoa</w:t>
      </w:r>
      <w:proofErr w:type="spellEnd"/>
      <w:r>
        <w:rPr>
          <w:lang w:eastAsia="es-ES"/>
        </w:rPr>
        <w:t xml:space="preserve"> (</w:t>
      </w:r>
      <w:r w:rsidR="00EC1C6B">
        <w:rPr>
          <w:lang w:eastAsia="es-ES"/>
        </w:rPr>
        <w:t xml:space="preserve">47,2% </w:t>
      </w:r>
      <w:r>
        <w:rPr>
          <w:lang w:eastAsia="es-ES"/>
        </w:rPr>
        <w:t xml:space="preserve">del total por </w:t>
      </w:r>
      <w:r w:rsidR="00EC1C6B">
        <w:rPr>
          <w:lang w:eastAsia="es-ES"/>
        </w:rPr>
        <w:t xml:space="preserve">43,1% en </w:t>
      </w:r>
      <w:proofErr w:type="spellStart"/>
      <w:r w:rsidR="00EC1C6B">
        <w:rPr>
          <w:lang w:eastAsia="es-ES"/>
        </w:rPr>
        <w:t>Bizkaia</w:t>
      </w:r>
      <w:proofErr w:type="spellEnd"/>
      <w:r w:rsidR="00EC1C6B">
        <w:rPr>
          <w:lang w:eastAsia="es-ES"/>
        </w:rPr>
        <w:t xml:space="preserve"> y 9,6% en Álava</w:t>
      </w:r>
      <w:r>
        <w:rPr>
          <w:lang w:eastAsia="es-ES"/>
        </w:rPr>
        <w:t>)</w:t>
      </w:r>
      <w:r w:rsidR="00EC1C6B">
        <w:rPr>
          <w:lang w:eastAsia="es-ES"/>
        </w:rPr>
        <w:t>.</w:t>
      </w:r>
    </w:p>
    <w:p w:rsidR="00F54830" w:rsidRDefault="00F54830" w:rsidP="00CC39AE">
      <w:pPr>
        <w:rPr>
          <w:lang w:eastAsia="es-ES"/>
        </w:rPr>
      </w:pPr>
    </w:p>
    <w:p w:rsidR="00F54830" w:rsidRDefault="00F54830" w:rsidP="00CC39AE">
      <w:pPr>
        <w:rPr>
          <w:lang w:eastAsia="es-ES"/>
        </w:rPr>
      </w:pPr>
      <w:r>
        <w:rPr>
          <w:lang w:eastAsia="es-ES"/>
        </w:rPr>
        <w:t>Las Asociaciones de Utilidad Pública gene</w:t>
      </w:r>
      <w:r w:rsidR="00C7028F">
        <w:rPr>
          <w:lang w:eastAsia="es-ES"/>
        </w:rPr>
        <w:t>ran</w:t>
      </w:r>
      <w:r>
        <w:rPr>
          <w:lang w:eastAsia="es-ES"/>
        </w:rPr>
        <w:t xml:space="preserve"> 3.593 empleos, un 15,5% de la ocupación de las NFES. El 5,3% restante corresponde a las </w:t>
      </w:r>
      <w:proofErr w:type="spellStart"/>
      <w:r>
        <w:rPr>
          <w:lang w:eastAsia="es-ES"/>
        </w:rPr>
        <w:t>SATs</w:t>
      </w:r>
      <w:proofErr w:type="spellEnd"/>
      <w:r>
        <w:rPr>
          <w:lang w:eastAsia="es-ES"/>
        </w:rPr>
        <w:t>, las cofradías de pescadores y las EPSV.</w:t>
      </w:r>
    </w:p>
    <w:p w:rsidR="00AF7C71" w:rsidRDefault="00AF7C71" w:rsidP="00CC39AE">
      <w:pPr>
        <w:rPr>
          <w:lang w:eastAsia="es-ES"/>
        </w:rPr>
      </w:pPr>
    </w:p>
    <w:p w:rsidR="00AF7C71" w:rsidRDefault="00AF7C71" w:rsidP="00AF7C71">
      <w:pPr>
        <w:widowControl w:val="0"/>
        <w:spacing w:line="240" w:lineRule="auto"/>
        <w:jc w:val="center"/>
        <w:rPr>
          <w:rFonts w:cs="Arial"/>
          <w:b/>
          <w:color w:val="1F497D" w:themeColor="text2"/>
          <w:sz w:val="18"/>
          <w:szCs w:val="18"/>
        </w:rPr>
      </w:pPr>
      <w:r>
        <w:rPr>
          <w:rFonts w:cs="Arial"/>
          <w:b/>
          <w:color w:val="1F497D" w:themeColor="text2"/>
          <w:sz w:val="18"/>
          <w:szCs w:val="18"/>
        </w:rPr>
        <w:t xml:space="preserve">DISTRIBUCIÓN DE </w:t>
      </w:r>
      <w:r w:rsidRPr="008D51C3">
        <w:rPr>
          <w:rFonts w:cs="Arial"/>
          <w:b/>
          <w:color w:val="1F497D" w:themeColor="text2"/>
          <w:sz w:val="18"/>
          <w:szCs w:val="18"/>
        </w:rPr>
        <w:t>EMPLEO REMUNERADO ANUALIZADO ESTIMADO POR SEGMENTOS NUEVAS F</w:t>
      </w:r>
      <w:r>
        <w:rPr>
          <w:rFonts w:cs="Arial"/>
          <w:b/>
          <w:color w:val="1F497D" w:themeColor="text2"/>
          <w:sz w:val="18"/>
          <w:szCs w:val="18"/>
        </w:rPr>
        <w:t xml:space="preserve">ORMAS DE LA ECONOMÍA SOCIAL 2014 </w:t>
      </w:r>
      <w:r w:rsidRPr="008D51C3">
        <w:rPr>
          <w:rFonts w:cs="Arial"/>
          <w:b/>
          <w:color w:val="1F497D" w:themeColor="text2"/>
          <w:sz w:val="18"/>
          <w:szCs w:val="18"/>
        </w:rPr>
        <w:t>(</w:t>
      </w:r>
      <w:r>
        <w:rPr>
          <w:rFonts w:cs="Arial"/>
          <w:b/>
          <w:color w:val="1F497D" w:themeColor="text2"/>
          <w:sz w:val="18"/>
          <w:szCs w:val="18"/>
        </w:rPr>
        <w:t>cifras absolutas y % verticales</w:t>
      </w:r>
      <w:r w:rsidRPr="008D51C3">
        <w:rPr>
          <w:rFonts w:cs="Arial"/>
          <w:b/>
          <w:color w:val="1F497D" w:themeColor="text2"/>
          <w:sz w:val="18"/>
          <w:szCs w:val="18"/>
        </w:rPr>
        <w:t>)</w:t>
      </w:r>
    </w:p>
    <w:tbl>
      <w:tblPr>
        <w:tblW w:w="5000" w:type="pct"/>
        <w:jc w:val="center"/>
        <w:tblCellMar>
          <w:left w:w="70" w:type="dxa"/>
          <w:right w:w="70" w:type="dxa"/>
        </w:tblCellMar>
        <w:tblLook w:val="04A0" w:firstRow="1" w:lastRow="0" w:firstColumn="1" w:lastColumn="0" w:noHBand="0" w:noVBand="1"/>
      </w:tblPr>
      <w:tblGrid>
        <w:gridCol w:w="5610"/>
        <w:gridCol w:w="1659"/>
        <w:gridCol w:w="1659"/>
      </w:tblGrid>
      <w:tr w:rsidR="00AF7C71" w:rsidRPr="00080818" w:rsidTr="007467DB">
        <w:trPr>
          <w:jc w:val="center"/>
        </w:trPr>
        <w:tc>
          <w:tcPr>
            <w:tcW w:w="3142" w:type="pct"/>
            <w:vMerge w:val="restart"/>
            <w:tcBorders>
              <w:top w:val="single" w:sz="8" w:space="0" w:color="BFBFBF"/>
              <w:left w:val="nil"/>
              <w:bottom w:val="single" w:sz="8" w:space="0" w:color="BFBFBF"/>
              <w:right w:val="single" w:sz="8" w:space="0" w:color="BFBFBF"/>
            </w:tcBorders>
            <w:shd w:val="clear" w:color="000000" w:fill="DBE5F1"/>
            <w:hideMark/>
          </w:tcPr>
          <w:p w:rsidR="00AF7C71" w:rsidRPr="00080818" w:rsidRDefault="00AF7C71" w:rsidP="00554F81">
            <w:pPr>
              <w:spacing w:line="240" w:lineRule="exact"/>
              <w:jc w:val="left"/>
              <w:rPr>
                <w:rFonts w:ascii="Calibri" w:eastAsia="Times New Roman" w:hAnsi="Calibri" w:cs="Times New Roman"/>
                <w:color w:val="000000"/>
                <w:sz w:val="22"/>
                <w:lang w:eastAsia="es-ES"/>
              </w:rPr>
            </w:pPr>
          </w:p>
        </w:tc>
        <w:tc>
          <w:tcPr>
            <w:tcW w:w="1858" w:type="pct"/>
            <w:gridSpan w:val="2"/>
            <w:tcBorders>
              <w:top w:val="single" w:sz="8" w:space="0" w:color="BFBFBF"/>
              <w:left w:val="nil"/>
              <w:bottom w:val="single" w:sz="4" w:space="0" w:color="BFBFBF" w:themeColor="background1" w:themeShade="BF"/>
            </w:tcBorders>
            <w:shd w:val="clear" w:color="000000" w:fill="DBE5F1"/>
            <w:hideMark/>
          </w:tcPr>
          <w:p w:rsidR="00AF7C71" w:rsidRPr="00080818" w:rsidRDefault="00AF7C71" w:rsidP="00554F81">
            <w:pPr>
              <w:spacing w:line="240" w:lineRule="exact"/>
              <w:jc w:val="center"/>
              <w:rPr>
                <w:rFonts w:eastAsia="Times New Roman" w:cs="Arial"/>
                <w:b/>
                <w:bCs/>
                <w:color w:val="000000"/>
                <w:sz w:val="16"/>
                <w:szCs w:val="16"/>
                <w:lang w:eastAsia="es-ES"/>
              </w:rPr>
            </w:pPr>
            <w:r w:rsidRPr="00080818">
              <w:rPr>
                <w:rFonts w:eastAsia="Times New Roman" w:cs="Arial"/>
                <w:b/>
                <w:bCs/>
                <w:color w:val="000000"/>
                <w:sz w:val="16"/>
                <w:szCs w:val="16"/>
                <w:lang w:eastAsia="es-ES"/>
              </w:rPr>
              <w:t>Empleo remunerado</w:t>
            </w:r>
            <w:r>
              <w:rPr>
                <w:rFonts w:eastAsia="Times New Roman" w:cs="Arial"/>
                <w:b/>
                <w:bCs/>
                <w:color w:val="000000"/>
                <w:sz w:val="16"/>
                <w:szCs w:val="16"/>
                <w:lang w:eastAsia="es-ES"/>
              </w:rPr>
              <w:t xml:space="preserve"> anualizado</w:t>
            </w:r>
          </w:p>
        </w:tc>
      </w:tr>
      <w:tr w:rsidR="00AF7C71" w:rsidRPr="00080818" w:rsidTr="007467DB">
        <w:trPr>
          <w:trHeight w:val="60"/>
          <w:jc w:val="center"/>
        </w:trPr>
        <w:tc>
          <w:tcPr>
            <w:tcW w:w="3142" w:type="pct"/>
            <w:vMerge/>
            <w:tcBorders>
              <w:top w:val="single" w:sz="8" w:space="0" w:color="BFBFBF"/>
              <w:left w:val="nil"/>
              <w:bottom w:val="single" w:sz="8" w:space="0" w:color="BFBFBF"/>
              <w:right w:val="single" w:sz="8" w:space="0" w:color="BFBFBF"/>
            </w:tcBorders>
            <w:vAlign w:val="center"/>
            <w:hideMark/>
          </w:tcPr>
          <w:p w:rsidR="00AF7C71" w:rsidRPr="00080818" w:rsidRDefault="00AF7C71" w:rsidP="00554F81">
            <w:pPr>
              <w:spacing w:line="240" w:lineRule="exact"/>
              <w:jc w:val="left"/>
              <w:rPr>
                <w:rFonts w:ascii="Calibri" w:eastAsia="Times New Roman" w:hAnsi="Calibri" w:cs="Times New Roman"/>
                <w:color w:val="000000"/>
                <w:sz w:val="22"/>
                <w:lang w:eastAsia="es-ES"/>
              </w:rPr>
            </w:pPr>
          </w:p>
        </w:tc>
        <w:tc>
          <w:tcPr>
            <w:tcW w:w="929" w:type="pct"/>
            <w:tcBorders>
              <w:top w:val="single" w:sz="4" w:space="0" w:color="BFBFBF" w:themeColor="background1" w:themeShade="BF"/>
              <w:left w:val="nil"/>
              <w:bottom w:val="single" w:sz="8" w:space="0" w:color="BFBFBF"/>
              <w:right w:val="single" w:sz="8" w:space="0" w:color="BFBFBF"/>
            </w:tcBorders>
            <w:shd w:val="clear" w:color="000000" w:fill="DBE5F1"/>
            <w:hideMark/>
          </w:tcPr>
          <w:p w:rsidR="00AF7C71" w:rsidRPr="00080818" w:rsidRDefault="00AF7C71" w:rsidP="00554F81">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929" w:type="pct"/>
            <w:tcBorders>
              <w:top w:val="single" w:sz="4" w:space="0" w:color="BFBFBF" w:themeColor="background1" w:themeShade="BF"/>
              <w:left w:val="nil"/>
              <w:bottom w:val="single" w:sz="8" w:space="0" w:color="BFBFBF"/>
            </w:tcBorders>
            <w:shd w:val="clear" w:color="000000" w:fill="DBE5F1"/>
            <w:hideMark/>
          </w:tcPr>
          <w:p w:rsidR="00AF7C71" w:rsidRPr="00080818" w:rsidRDefault="00AF7C71" w:rsidP="00554F81">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ver.</w:t>
            </w:r>
          </w:p>
        </w:tc>
      </w:tr>
      <w:tr w:rsidR="00AF7C71" w:rsidRPr="00080818" w:rsidTr="007467DB">
        <w:trPr>
          <w:jc w:val="center"/>
        </w:trPr>
        <w:tc>
          <w:tcPr>
            <w:tcW w:w="3142"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929"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10.482</w:t>
            </w:r>
          </w:p>
        </w:tc>
        <w:tc>
          <w:tcPr>
            <w:tcW w:w="929" w:type="pct"/>
            <w:tcBorders>
              <w:top w:val="nil"/>
              <w:left w:val="nil"/>
              <w:bottom w:val="nil"/>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45,1</w:t>
            </w:r>
          </w:p>
        </w:tc>
      </w:tr>
      <w:tr w:rsidR="00AF7C71" w:rsidRPr="00080818" w:rsidTr="007467DB">
        <w:trPr>
          <w:jc w:val="center"/>
        </w:trPr>
        <w:tc>
          <w:tcPr>
            <w:tcW w:w="3142"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929"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7.920</w:t>
            </w:r>
          </w:p>
        </w:tc>
        <w:tc>
          <w:tcPr>
            <w:tcW w:w="929" w:type="pct"/>
            <w:tcBorders>
              <w:top w:val="nil"/>
              <w:left w:val="nil"/>
              <w:bottom w:val="nil"/>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34,1</w:t>
            </w:r>
          </w:p>
        </w:tc>
      </w:tr>
      <w:tr w:rsidR="00AF7C71" w:rsidRPr="00080818" w:rsidTr="007467DB">
        <w:trPr>
          <w:jc w:val="center"/>
        </w:trPr>
        <w:tc>
          <w:tcPr>
            <w:tcW w:w="3142"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929"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3.593</w:t>
            </w:r>
          </w:p>
        </w:tc>
        <w:tc>
          <w:tcPr>
            <w:tcW w:w="929" w:type="pct"/>
            <w:tcBorders>
              <w:top w:val="nil"/>
              <w:left w:val="nil"/>
              <w:bottom w:val="nil"/>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15,5</w:t>
            </w:r>
          </w:p>
        </w:tc>
      </w:tr>
      <w:tr w:rsidR="00AF7C71" w:rsidRPr="00080818" w:rsidTr="007467DB">
        <w:trPr>
          <w:jc w:val="center"/>
        </w:trPr>
        <w:tc>
          <w:tcPr>
            <w:tcW w:w="3142" w:type="pct"/>
            <w:tcBorders>
              <w:top w:val="nil"/>
              <w:left w:val="nil"/>
              <w:bottom w:val="nil"/>
              <w:right w:val="single" w:sz="8" w:space="0" w:color="BFBFBF"/>
            </w:tcBorders>
            <w:shd w:val="clear" w:color="auto" w:fill="auto"/>
            <w:noWrap/>
            <w:hideMark/>
          </w:tcPr>
          <w:p w:rsidR="00AF7C71" w:rsidRPr="00080818" w:rsidRDefault="00AF7C71" w:rsidP="00554F81">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929"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846</w:t>
            </w:r>
          </w:p>
        </w:tc>
        <w:tc>
          <w:tcPr>
            <w:tcW w:w="929" w:type="pct"/>
            <w:tcBorders>
              <w:top w:val="nil"/>
              <w:left w:val="nil"/>
              <w:bottom w:val="nil"/>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3,6</w:t>
            </w:r>
          </w:p>
        </w:tc>
      </w:tr>
      <w:tr w:rsidR="00AF7C71" w:rsidRPr="00080818" w:rsidTr="007467DB">
        <w:trPr>
          <w:jc w:val="center"/>
        </w:trPr>
        <w:tc>
          <w:tcPr>
            <w:tcW w:w="3142" w:type="pct"/>
            <w:tcBorders>
              <w:top w:val="nil"/>
              <w:left w:val="nil"/>
              <w:bottom w:val="nil"/>
              <w:right w:val="single" w:sz="8" w:space="0" w:color="BFBFBF"/>
            </w:tcBorders>
            <w:shd w:val="clear" w:color="auto" w:fill="auto"/>
            <w:noWrap/>
            <w:hideMark/>
          </w:tcPr>
          <w:p w:rsidR="00AF7C71" w:rsidRPr="00080818" w:rsidRDefault="00AF7C71" w:rsidP="00554F81">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929"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239</w:t>
            </w:r>
          </w:p>
        </w:tc>
        <w:tc>
          <w:tcPr>
            <w:tcW w:w="929" w:type="pct"/>
            <w:tcBorders>
              <w:top w:val="nil"/>
              <w:left w:val="nil"/>
              <w:bottom w:val="nil"/>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1,0</w:t>
            </w:r>
          </w:p>
        </w:tc>
      </w:tr>
      <w:tr w:rsidR="00AF7C71" w:rsidRPr="00080818" w:rsidTr="007467DB">
        <w:trPr>
          <w:jc w:val="center"/>
        </w:trPr>
        <w:tc>
          <w:tcPr>
            <w:tcW w:w="3142" w:type="pct"/>
            <w:tcBorders>
              <w:top w:val="nil"/>
              <w:left w:val="nil"/>
              <w:bottom w:val="nil"/>
              <w:right w:val="single" w:sz="8" w:space="0" w:color="BFBFBF"/>
            </w:tcBorders>
            <w:shd w:val="clear" w:color="auto" w:fill="auto"/>
            <w:noWrap/>
            <w:hideMark/>
          </w:tcPr>
          <w:p w:rsidR="00AF7C71" w:rsidRPr="00080818" w:rsidRDefault="00AF7C71" w:rsidP="00554F81">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929" w:type="pct"/>
            <w:tcBorders>
              <w:top w:val="nil"/>
              <w:left w:val="nil"/>
              <w:bottom w:val="nil"/>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63</w:t>
            </w:r>
          </w:p>
        </w:tc>
        <w:tc>
          <w:tcPr>
            <w:tcW w:w="929" w:type="pct"/>
            <w:tcBorders>
              <w:top w:val="nil"/>
              <w:left w:val="nil"/>
              <w:bottom w:val="nil"/>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0,3</w:t>
            </w:r>
          </w:p>
        </w:tc>
      </w:tr>
      <w:tr w:rsidR="00AF7C71" w:rsidRPr="00080818" w:rsidTr="007467DB">
        <w:trPr>
          <w:jc w:val="center"/>
        </w:trPr>
        <w:tc>
          <w:tcPr>
            <w:tcW w:w="3142" w:type="pct"/>
            <w:tcBorders>
              <w:top w:val="nil"/>
              <w:left w:val="nil"/>
              <w:bottom w:val="single" w:sz="8" w:space="0" w:color="BFBFBF"/>
              <w:right w:val="single" w:sz="8" w:space="0" w:color="BFBFBF"/>
            </w:tcBorders>
            <w:shd w:val="clear" w:color="auto" w:fill="auto"/>
            <w:noWrap/>
            <w:hideMark/>
          </w:tcPr>
          <w:p w:rsidR="00AF7C71" w:rsidRPr="00080818" w:rsidRDefault="00AF7C71" w:rsidP="00554F81">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929" w:type="pct"/>
            <w:tcBorders>
              <w:top w:val="nil"/>
              <w:left w:val="nil"/>
              <w:bottom w:val="single" w:sz="8" w:space="0" w:color="BFBFBF"/>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95</w:t>
            </w:r>
          </w:p>
        </w:tc>
        <w:tc>
          <w:tcPr>
            <w:tcW w:w="929" w:type="pct"/>
            <w:tcBorders>
              <w:top w:val="nil"/>
              <w:left w:val="nil"/>
              <w:bottom w:val="single" w:sz="8" w:space="0" w:color="BFBFBF"/>
            </w:tcBorders>
            <w:shd w:val="clear" w:color="auto" w:fill="auto"/>
            <w:noWrap/>
            <w:hideMark/>
          </w:tcPr>
          <w:p w:rsidR="00AF7C71" w:rsidRPr="00080818" w:rsidRDefault="00AF7C71" w:rsidP="00554F81">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0,4</w:t>
            </w:r>
          </w:p>
        </w:tc>
      </w:tr>
      <w:tr w:rsidR="00AF7C71" w:rsidRPr="00080818" w:rsidTr="007467DB">
        <w:trPr>
          <w:jc w:val="center"/>
        </w:trPr>
        <w:tc>
          <w:tcPr>
            <w:tcW w:w="3142" w:type="pct"/>
            <w:tcBorders>
              <w:top w:val="nil"/>
              <w:left w:val="nil"/>
              <w:bottom w:val="single" w:sz="8" w:space="0" w:color="BFBFBF"/>
              <w:right w:val="single" w:sz="8" w:space="0" w:color="BFBFBF"/>
            </w:tcBorders>
            <w:shd w:val="clear" w:color="auto" w:fill="auto"/>
            <w:noWrap/>
            <w:hideMark/>
          </w:tcPr>
          <w:p w:rsidR="00AF7C71" w:rsidRPr="00623693" w:rsidRDefault="00AF7C71" w:rsidP="00554F81">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929" w:type="pct"/>
            <w:tcBorders>
              <w:top w:val="nil"/>
              <w:left w:val="nil"/>
              <w:bottom w:val="single" w:sz="8" w:space="0" w:color="BFBFBF"/>
              <w:right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23.238</w:t>
            </w:r>
          </w:p>
        </w:tc>
        <w:tc>
          <w:tcPr>
            <w:tcW w:w="929" w:type="pct"/>
            <w:tcBorders>
              <w:top w:val="nil"/>
              <w:left w:val="nil"/>
              <w:bottom w:val="single" w:sz="8" w:space="0" w:color="BFBFBF"/>
            </w:tcBorders>
            <w:shd w:val="clear" w:color="auto" w:fill="auto"/>
            <w:hideMark/>
          </w:tcPr>
          <w:p w:rsidR="00AF7C71" w:rsidRPr="00080818" w:rsidRDefault="00AF7C71" w:rsidP="00554F81">
            <w:pPr>
              <w:spacing w:line="240" w:lineRule="exact"/>
              <w:ind w:right="347"/>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100,0</w:t>
            </w:r>
          </w:p>
        </w:tc>
      </w:tr>
    </w:tbl>
    <w:p w:rsidR="00AF7C71" w:rsidRDefault="00AF7C71" w:rsidP="00CC39AE">
      <w:pPr>
        <w:rPr>
          <w:lang w:eastAsia="es-ES"/>
        </w:rPr>
      </w:pPr>
    </w:p>
    <w:p w:rsidR="00F54830" w:rsidRDefault="00F54830" w:rsidP="00CC39AE">
      <w:pPr>
        <w:rPr>
          <w:lang w:eastAsia="es-ES"/>
        </w:rPr>
      </w:pPr>
    </w:p>
    <w:p w:rsidR="00D50160" w:rsidRPr="00D50160" w:rsidRDefault="00780573" w:rsidP="00780573">
      <w:pPr>
        <w:rPr>
          <w:lang w:eastAsia="es-ES"/>
        </w:rPr>
      </w:pPr>
      <w:r>
        <w:rPr>
          <w:lang w:eastAsia="es-ES"/>
        </w:rPr>
        <w:t>Además del personal remunerado, l</w:t>
      </w:r>
      <w:r w:rsidR="00C50D3A" w:rsidRPr="00780573">
        <w:rPr>
          <w:lang w:eastAsia="es-ES"/>
        </w:rPr>
        <w:t xml:space="preserve">as </w:t>
      </w:r>
      <w:r>
        <w:rPr>
          <w:lang w:eastAsia="es-ES"/>
        </w:rPr>
        <w:t xml:space="preserve">entidades de las </w:t>
      </w:r>
      <w:r w:rsidR="00C50D3A" w:rsidRPr="00780573">
        <w:rPr>
          <w:lang w:eastAsia="es-ES"/>
        </w:rPr>
        <w:t xml:space="preserve">NFES </w:t>
      </w:r>
      <w:r>
        <w:rPr>
          <w:lang w:eastAsia="es-ES"/>
        </w:rPr>
        <w:t>destacan por el peso del personal voluntario. M</w:t>
      </w:r>
      <w:r w:rsidR="00C50D3A" w:rsidRPr="00780573">
        <w:rPr>
          <w:lang w:eastAsia="es-ES"/>
        </w:rPr>
        <w:t>ovilizan</w:t>
      </w:r>
      <w:r>
        <w:rPr>
          <w:lang w:eastAsia="es-ES"/>
        </w:rPr>
        <w:t>, en este sentido,</w:t>
      </w:r>
      <w:r w:rsidR="00C50D3A" w:rsidRPr="00780573">
        <w:rPr>
          <w:lang w:eastAsia="es-ES"/>
        </w:rPr>
        <w:t xml:space="preserve"> un colectivo </w:t>
      </w:r>
      <w:r>
        <w:rPr>
          <w:lang w:eastAsia="es-ES"/>
        </w:rPr>
        <w:t>importante de voluntarios y voluntarias (</w:t>
      </w:r>
      <w:r w:rsidR="000B5D3D" w:rsidRPr="00780573">
        <w:rPr>
          <w:lang w:eastAsia="es-ES"/>
        </w:rPr>
        <w:t>18.950 personas</w:t>
      </w:r>
      <w:r>
        <w:rPr>
          <w:lang w:eastAsia="es-ES"/>
        </w:rPr>
        <w:t>)</w:t>
      </w:r>
      <w:r w:rsidR="00C50D3A" w:rsidRPr="00780573">
        <w:rPr>
          <w:lang w:eastAsia="es-ES"/>
        </w:rPr>
        <w:t xml:space="preserve"> </w:t>
      </w:r>
      <w:r>
        <w:rPr>
          <w:lang w:eastAsia="es-ES"/>
        </w:rPr>
        <w:t xml:space="preserve">que tiene también cierto impacto </w:t>
      </w:r>
      <w:r w:rsidR="000B5D3D" w:rsidRPr="00780573">
        <w:rPr>
          <w:lang w:eastAsia="es-ES"/>
        </w:rPr>
        <w:t xml:space="preserve">en términos de empleo voluntario anualizado </w:t>
      </w:r>
      <w:r>
        <w:rPr>
          <w:lang w:eastAsia="es-ES"/>
        </w:rPr>
        <w:t xml:space="preserve">(equivalente a </w:t>
      </w:r>
      <w:r w:rsidR="000B5D3D" w:rsidRPr="00780573">
        <w:rPr>
          <w:lang w:eastAsia="es-ES"/>
        </w:rPr>
        <w:t>1.766 empleos anuales</w:t>
      </w:r>
      <w:r>
        <w:rPr>
          <w:lang w:eastAsia="es-ES"/>
        </w:rPr>
        <w:t>)</w:t>
      </w:r>
      <w:r w:rsidR="007D7BB5" w:rsidRPr="00780573">
        <w:rPr>
          <w:lang w:eastAsia="es-ES"/>
        </w:rPr>
        <w:t>.</w:t>
      </w:r>
      <w:r>
        <w:rPr>
          <w:lang w:eastAsia="es-ES"/>
        </w:rPr>
        <w:t xml:space="preserve"> El compromiso de este colectivo con las entidades es importante. E</w:t>
      </w:r>
      <w:r w:rsidR="00D50160" w:rsidRPr="00D50160">
        <w:rPr>
          <w:lang w:eastAsia="es-ES"/>
        </w:rPr>
        <w:t>l 65,5% de esta plantilla de voluntarios/as lo hace de f</w:t>
      </w:r>
      <w:r w:rsidR="00CC7020">
        <w:rPr>
          <w:lang w:eastAsia="es-ES"/>
        </w:rPr>
        <w:t>orma sistemática o estructural a lo largo de todo el año.</w:t>
      </w:r>
    </w:p>
    <w:p w:rsidR="0030251B" w:rsidRDefault="0030251B" w:rsidP="00CC39AE">
      <w:pPr>
        <w:rPr>
          <w:lang w:eastAsia="es-ES"/>
        </w:rPr>
      </w:pPr>
    </w:p>
    <w:p w:rsidR="00B464CC" w:rsidRDefault="00780573" w:rsidP="00CC39AE">
      <w:pPr>
        <w:rPr>
          <w:lang w:eastAsia="es-ES"/>
        </w:rPr>
      </w:pPr>
      <w:r>
        <w:rPr>
          <w:lang w:eastAsia="es-ES"/>
        </w:rPr>
        <w:t xml:space="preserve">El </w:t>
      </w:r>
      <w:r w:rsidR="002528DC">
        <w:rPr>
          <w:lang w:eastAsia="es-ES"/>
        </w:rPr>
        <w:t>voluntariado</w:t>
      </w:r>
      <w:r>
        <w:rPr>
          <w:lang w:eastAsia="es-ES"/>
        </w:rPr>
        <w:t xml:space="preserve"> en estas entidades</w:t>
      </w:r>
      <w:r w:rsidR="002528DC">
        <w:rPr>
          <w:lang w:eastAsia="es-ES"/>
        </w:rPr>
        <w:t xml:space="preserve"> se vincula principalmente a la labor </w:t>
      </w:r>
      <w:r w:rsidR="003A3705">
        <w:rPr>
          <w:lang w:eastAsia="es-ES"/>
        </w:rPr>
        <w:t>desarrollada en el ámbito de</w:t>
      </w:r>
      <w:r w:rsidR="00CC7020">
        <w:rPr>
          <w:lang w:eastAsia="es-ES"/>
        </w:rPr>
        <w:t xml:space="preserve"> las Fundaciones. </w:t>
      </w:r>
      <w:r>
        <w:rPr>
          <w:lang w:eastAsia="es-ES"/>
        </w:rPr>
        <w:t>Est</w:t>
      </w:r>
      <w:r w:rsidR="00CC7020">
        <w:rPr>
          <w:lang w:eastAsia="es-ES"/>
        </w:rPr>
        <w:t xml:space="preserve">as </w:t>
      </w:r>
      <w:r>
        <w:rPr>
          <w:lang w:eastAsia="es-ES"/>
        </w:rPr>
        <w:t>f</w:t>
      </w:r>
      <w:r w:rsidR="00CC7020">
        <w:rPr>
          <w:lang w:eastAsia="es-ES"/>
        </w:rPr>
        <w:t>undaciones</w:t>
      </w:r>
      <w:r w:rsidR="002528DC">
        <w:rPr>
          <w:lang w:eastAsia="es-ES"/>
        </w:rPr>
        <w:t xml:space="preserve"> </w:t>
      </w:r>
      <w:r>
        <w:rPr>
          <w:lang w:eastAsia="es-ES"/>
        </w:rPr>
        <w:t xml:space="preserve">cuentan, en este sentido, </w:t>
      </w:r>
      <w:r w:rsidR="002528DC">
        <w:rPr>
          <w:lang w:eastAsia="es-ES"/>
        </w:rPr>
        <w:t>con el apoyo de 10.730 personas</w:t>
      </w:r>
      <w:r>
        <w:rPr>
          <w:lang w:eastAsia="es-ES"/>
        </w:rPr>
        <w:t xml:space="preserve"> por 7.901 en </w:t>
      </w:r>
      <w:r w:rsidR="00204F30">
        <w:rPr>
          <w:lang w:eastAsia="es-ES"/>
        </w:rPr>
        <w:t xml:space="preserve">el otro grupo con fuerte presencia, </w:t>
      </w:r>
      <w:r w:rsidR="002528DC">
        <w:rPr>
          <w:lang w:eastAsia="es-ES"/>
        </w:rPr>
        <w:t>las Asociaciones de Utilidad Pública</w:t>
      </w:r>
      <w:r w:rsidR="00B464CC">
        <w:rPr>
          <w:lang w:eastAsia="es-ES"/>
        </w:rPr>
        <w:t>.</w:t>
      </w:r>
      <w:r w:rsidR="00204F30">
        <w:rPr>
          <w:lang w:eastAsia="es-ES"/>
        </w:rPr>
        <w:t xml:space="preserve"> Los demás tipos de entidades de la NFES cuentan apenas con el apoyo 319 personas voluntarias.</w:t>
      </w:r>
    </w:p>
    <w:p w:rsidR="00204F30" w:rsidRDefault="00204F30" w:rsidP="00204F30">
      <w:pPr>
        <w:rPr>
          <w:lang w:eastAsia="es-ES"/>
        </w:rPr>
      </w:pPr>
      <w:r>
        <w:rPr>
          <w:lang w:eastAsia="es-ES"/>
        </w:rPr>
        <w:lastRenderedPageBreak/>
        <w:t>En términos anualizados, estas cifras equivalen a un empleo equivalente anual de 949 personas en las Fundaciones y de 597 en las Asociaciones de Utilidad Pública.</w:t>
      </w:r>
    </w:p>
    <w:p w:rsidR="00204F30" w:rsidRDefault="00204F30" w:rsidP="00204F30">
      <w:pPr>
        <w:rPr>
          <w:lang w:eastAsia="es-ES"/>
        </w:rPr>
      </w:pPr>
    </w:p>
    <w:p w:rsidR="00DD54F1" w:rsidRDefault="00DD54F1" w:rsidP="00DD54F1">
      <w:pPr>
        <w:widowControl w:val="0"/>
        <w:spacing w:line="240" w:lineRule="auto"/>
        <w:jc w:val="center"/>
        <w:rPr>
          <w:rFonts w:cs="Arial"/>
          <w:b/>
          <w:bCs/>
          <w:color w:val="1F497D" w:themeColor="text2"/>
          <w:sz w:val="18"/>
          <w:szCs w:val="18"/>
        </w:rPr>
      </w:pPr>
      <w:r>
        <w:rPr>
          <w:rFonts w:cs="Arial"/>
          <w:b/>
          <w:bCs/>
          <w:color w:val="1F497D" w:themeColor="text2"/>
          <w:sz w:val="18"/>
          <w:szCs w:val="18"/>
        </w:rPr>
        <w:t>DISTRIBUCIÓN DEL EMPLEO –total personas- POR TIPO DE ENTIDAD EN LAS NFES. 2014 (cifras absolutas y % verticales) Y EMPLEO VOLUNTARIO POR ENTIDAD</w:t>
      </w:r>
    </w:p>
    <w:tbl>
      <w:tblPr>
        <w:tblW w:w="5000" w:type="pct"/>
        <w:jc w:val="center"/>
        <w:tblCellMar>
          <w:left w:w="70" w:type="dxa"/>
          <w:right w:w="70" w:type="dxa"/>
        </w:tblCellMar>
        <w:tblLook w:val="04A0" w:firstRow="1" w:lastRow="0" w:firstColumn="1" w:lastColumn="0" w:noHBand="0" w:noVBand="1"/>
      </w:tblPr>
      <w:tblGrid>
        <w:gridCol w:w="3247"/>
        <w:gridCol w:w="1755"/>
        <w:gridCol w:w="1755"/>
        <w:gridCol w:w="2171"/>
      </w:tblGrid>
      <w:tr w:rsidR="00DD54F1" w:rsidRPr="00172736" w:rsidTr="00204F30">
        <w:trPr>
          <w:jc w:val="center"/>
        </w:trPr>
        <w:tc>
          <w:tcPr>
            <w:tcW w:w="1818" w:type="pct"/>
            <w:vMerge w:val="restart"/>
            <w:tcBorders>
              <w:top w:val="single" w:sz="8" w:space="0" w:color="BFBFBF"/>
              <w:left w:val="nil"/>
              <w:bottom w:val="single" w:sz="8" w:space="0" w:color="BFBFBF"/>
              <w:right w:val="single" w:sz="8" w:space="0" w:color="BFBFBF"/>
            </w:tcBorders>
            <w:shd w:val="clear" w:color="000000" w:fill="DBE5F1"/>
            <w:hideMark/>
          </w:tcPr>
          <w:p w:rsidR="00DD54F1" w:rsidRPr="00172736" w:rsidRDefault="00DD54F1" w:rsidP="00554F81">
            <w:pPr>
              <w:spacing w:line="240" w:lineRule="atLeast"/>
              <w:rPr>
                <w:rFonts w:eastAsia="Times New Roman" w:cs="Arial"/>
                <w:b/>
                <w:bCs/>
                <w:color w:val="000000"/>
                <w:sz w:val="16"/>
                <w:szCs w:val="16"/>
                <w:lang w:eastAsia="es-ES"/>
              </w:rPr>
            </w:pPr>
            <w:r w:rsidRPr="00172736">
              <w:rPr>
                <w:rFonts w:eastAsia="Times New Roman" w:cs="Arial"/>
                <w:b/>
                <w:bCs/>
                <w:color w:val="000000"/>
                <w:sz w:val="16"/>
                <w:szCs w:val="16"/>
                <w:lang w:eastAsia="es-ES"/>
              </w:rPr>
              <w:t> </w:t>
            </w:r>
          </w:p>
        </w:tc>
        <w:tc>
          <w:tcPr>
            <w:tcW w:w="1966" w:type="pct"/>
            <w:gridSpan w:val="2"/>
            <w:tcBorders>
              <w:top w:val="single" w:sz="8" w:space="0" w:color="BFBFBF"/>
              <w:left w:val="nil"/>
              <w:bottom w:val="nil"/>
              <w:right w:val="single" w:sz="8" w:space="0" w:color="BFBFBF"/>
            </w:tcBorders>
            <w:shd w:val="clear" w:color="000000" w:fill="DBE5F1"/>
            <w:hideMark/>
          </w:tcPr>
          <w:p w:rsidR="00DD54F1" w:rsidRPr="00172736" w:rsidRDefault="00DD54F1" w:rsidP="00554F81">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Empleo voluntario</w:t>
            </w:r>
          </w:p>
        </w:tc>
        <w:tc>
          <w:tcPr>
            <w:tcW w:w="1216" w:type="pct"/>
            <w:vMerge w:val="restart"/>
            <w:tcBorders>
              <w:top w:val="single" w:sz="8" w:space="0" w:color="BFBFBF"/>
              <w:left w:val="single" w:sz="8" w:space="0" w:color="BFBFBF"/>
              <w:bottom w:val="single" w:sz="8" w:space="0" w:color="BFBFBF"/>
              <w:right w:val="nil"/>
            </w:tcBorders>
            <w:shd w:val="clear" w:color="000000" w:fill="DBE5F1"/>
            <w:vAlign w:val="center"/>
            <w:hideMark/>
          </w:tcPr>
          <w:p w:rsidR="00DD54F1" w:rsidRPr="00172736" w:rsidRDefault="00DD54F1" w:rsidP="00554F81">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Empleo voluntario por entidad</w:t>
            </w:r>
          </w:p>
        </w:tc>
      </w:tr>
      <w:tr w:rsidR="00DD54F1" w:rsidRPr="00172736" w:rsidTr="00204F30">
        <w:trPr>
          <w:jc w:val="center"/>
        </w:trPr>
        <w:tc>
          <w:tcPr>
            <w:tcW w:w="1818" w:type="pct"/>
            <w:vMerge/>
            <w:tcBorders>
              <w:top w:val="single" w:sz="8" w:space="0" w:color="BFBFBF"/>
              <w:left w:val="nil"/>
              <w:bottom w:val="single" w:sz="8" w:space="0" w:color="BFBFBF"/>
              <w:right w:val="single" w:sz="8" w:space="0" w:color="BFBFBF"/>
            </w:tcBorders>
            <w:vAlign w:val="center"/>
            <w:hideMark/>
          </w:tcPr>
          <w:p w:rsidR="00DD54F1" w:rsidRPr="00172736" w:rsidRDefault="00DD54F1" w:rsidP="00554F81">
            <w:pPr>
              <w:spacing w:line="240" w:lineRule="atLeast"/>
              <w:jc w:val="left"/>
              <w:rPr>
                <w:rFonts w:eastAsia="Times New Roman" w:cs="Arial"/>
                <w:b/>
                <w:bCs/>
                <w:color w:val="000000"/>
                <w:sz w:val="16"/>
                <w:szCs w:val="16"/>
                <w:lang w:eastAsia="es-ES"/>
              </w:rPr>
            </w:pPr>
          </w:p>
        </w:tc>
        <w:tc>
          <w:tcPr>
            <w:tcW w:w="1966" w:type="pct"/>
            <w:gridSpan w:val="2"/>
            <w:tcBorders>
              <w:top w:val="nil"/>
              <w:left w:val="nil"/>
              <w:bottom w:val="single" w:sz="8" w:space="0" w:color="BFBFBF"/>
              <w:right w:val="single" w:sz="8" w:space="0" w:color="BFBFBF"/>
            </w:tcBorders>
            <w:shd w:val="clear" w:color="000000" w:fill="DBE5F1"/>
            <w:hideMark/>
          </w:tcPr>
          <w:p w:rsidR="00DD54F1" w:rsidRPr="00172736" w:rsidRDefault="00DD54F1" w:rsidP="00554F81">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 total personas-</w:t>
            </w:r>
          </w:p>
        </w:tc>
        <w:tc>
          <w:tcPr>
            <w:tcW w:w="1216" w:type="pct"/>
            <w:vMerge/>
            <w:tcBorders>
              <w:top w:val="single" w:sz="8" w:space="0" w:color="BFBFBF"/>
              <w:left w:val="single" w:sz="8" w:space="0" w:color="BFBFBF"/>
              <w:bottom w:val="single" w:sz="8" w:space="0" w:color="BFBFBF"/>
              <w:right w:val="nil"/>
            </w:tcBorders>
            <w:vAlign w:val="center"/>
            <w:hideMark/>
          </w:tcPr>
          <w:p w:rsidR="00DD54F1" w:rsidRPr="00172736" w:rsidRDefault="00DD54F1" w:rsidP="00554F81">
            <w:pPr>
              <w:spacing w:line="240" w:lineRule="atLeast"/>
              <w:jc w:val="left"/>
              <w:rPr>
                <w:rFonts w:eastAsia="Times New Roman" w:cs="Arial"/>
                <w:b/>
                <w:bCs/>
                <w:color w:val="000000"/>
                <w:sz w:val="16"/>
                <w:szCs w:val="16"/>
                <w:lang w:eastAsia="es-ES"/>
              </w:rPr>
            </w:pPr>
          </w:p>
        </w:tc>
      </w:tr>
      <w:tr w:rsidR="00DD54F1" w:rsidRPr="00172736" w:rsidTr="00204F30">
        <w:trPr>
          <w:jc w:val="center"/>
        </w:trPr>
        <w:tc>
          <w:tcPr>
            <w:tcW w:w="1818" w:type="pct"/>
            <w:tcBorders>
              <w:top w:val="nil"/>
              <w:left w:val="nil"/>
              <w:bottom w:val="single" w:sz="8" w:space="0" w:color="BFBFBF"/>
              <w:right w:val="single" w:sz="8" w:space="0" w:color="BFBFBF"/>
            </w:tcBorders>
            <w:shd w:val="clear" w:color="000000" w:fill="DBE5F1"/>
            <w:hideMark/>
          </w:tcPr>
          <w:p w:rsidR="00DD54F1" w:rsidRPr="00172736" w:rsidRDefault="00DD54F1" w:rsidP="00554F81">
            <w:pPr>
              <w:spacing w:line="240" w:lineRule="atLeast"/>
              <w:rPr>
                <w:rFonts w:eastAsia="Times New Roman" w:cs="Arial"/>
                <w:b/>
                <w:bCs/>
                <w:color w:val="000000"/>
                <w:sz w:val="16"/>
                <w:szCs w:val="16"/>
                <w:lang w:eastAsia="es-ES"/>
              </w:rPr>
            </w:pPr>
            <w:r w:rsidRPr="00172736">
              <w:rPr>
                <w:rFonts w:eastAsia="Times New Roman" w:cs="Arial"/>
                <w:b/>
                <w:bCs/>
                <w:color w:val="000000"/>
                <w:sz w:val="16"/>
                <w:szCs w:val="16"/>
                <w:lang w:eastAsia="es-ES"/>
              </w:rPr>
              <w:t> </w:t>
            </w:r>
          </w:p>
        </w:tc>
        <w:tc>
          <w:tcPr>
            <w:tcW w:w="983" w:type="pct"/>
            <w:tcBorders>
              <w:top w:val="nil"/>
              <w:left w:val="nil"/>
              <w:bottom w:val="single" w:sz="8" w:space="0" w:color="BFBFBF"/>
              <w:right w:val="single" w:sz="8" w:space="0" w:color="BFBFBF"/>
            </w:tcBorders>
            <w:shd w:val="clear" w:color="000000" w:fill="DBE5F1"/>
            <w:hideMark/>
          </w:tcPr>
          <w:p w:rsidR="00DD54F1" w:rsidRPr="00172736" w:rsidRDefault="00DD54F1" w:rsidP="00554F81">
            <w:pPr>
              <w:spacing w:line="240" w:lineRule="atLeast"/>
              <w:jc w:val="center"/>
              <w:rPr>
                <w:rFonts w:eastAsia="Times New Roman" w:cs="Arial"/>
                <w:b/>
                <w:bCs/>
                <w:color w:val="000000"/>
                <w:sz w:val="16"/>
                <w:szCs w:val="16"/>
                <w:lang w:eastAsia="es-ES"/>
              </w:rPr>
            </w:pPr>
            <w:r>
              <w:rPr>
                <w:rFonts w:cs="Arial"/>
                <w:b/>
                <w:bCs/>
                <w:sz w:val="16"/>
                <w:szCs w:val="16"/>
                <w:lang w:val="en-GB"/>
              </w:rPr>
              <w:t>Abs.</w:t>
            </w:r>
          </w:p>
        </w:tc>
        <w:tc>
          <w:tcPr>
            <w:tcW w:w="983" w:type="pct"/>
            <w:tcBorders>
              <w:top w:val="nil"/>
              <w:left w:val="nil"/>
              <w:bottom w:val="single" w:sz="8" w:space="0" w:color="BFBFBF"/>
              <w:right w:val="nil"/>
            </w:tcBorders>
            <w:shd w:val="clear" w:color="000000" w:fill="DBE5F1"/>
            <w:hideMark/>
          </w:tcPr>
          <w:p w:rsidR="00DD54F1" w:rsidRPr="00172736" w:rsidRDefault="00DD54F1" w:rsidP="00554F81">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r w:rsidRPr="00172736">
              <w:rPr>
                <w:rFonts w:eastAsia="Times New Roman" w:cs="Arial"/>
                <w:b/>
                <w:bCs/>
                <w:color w:val="000000"/>
                <w:sz w:val="16"/>
                <w:szCs w:val="16"/>
                <w:lang w:eastAsia="es-ES"/>
              </w:rPr>
              <w:t>v</w:t>
            </w:r>
            <w:r>
              <w:rPr>
                <w:rFonts w:eastAsia="Times New Roman" w:cs="Arial"/>
                <w:b/>
                <w:bCs/>
                <w:color w:val="000000"/>
                <w:sz w:val="16"/>
                <w:szCs w:val="16"/>
                <w:lang w:eastAsia="es-ES"/>
              </w:rPr>
              <w:t>er</w:t>
            </w:r>
            <w:r w:rsidRPr="00172736">
              <w:rPr>
                <w:rFonts w:eastAsia="Times New Roman" w:cs="Arial"/>
                <w:b/>
                <w:bCs/>
                <w:color w:val="000000"/>
                <w:sz w:val="16"/>
                <w:szCs w:val="16"/>
                <w:lang w:eastAsia="es-ES"/>
              </w:rPr>
              <w:t>.</w:t>
            </w:r>
          </w:p>
        </w:tc>
        <w:tc>
          <w:tcPr>
            <w:tcW w:w="1216" w:type="pct"/>
            <w:vMerge/>
            <w:tcBorders>
              <w:top w:val="single" w:sz="8" w:space="0" w:color="BFBFBF"/>
              <w:left w:val="single" w:sz="8" w:space="0" w:color="BFBFBF"/>
              <w:bottom w:val="single" w:sz="8" w:space="0" w:color="BFBFBF"/>
              <w:right w:val="nil"/>
            </w:tcBorders>
            <w:vAlign w:val="center"/>
            <w:hideMark/>
          </w:tcPr>
          <w:p w:rsidR="00DD54F1" w:rsidRPr="00172736" w:rsidRDefault="00DD54F1" w:rsidP="00554F81">
            <w:pPr>
              <w:spacing w:line="240" w:lineRule="atLeast"/>
              <w:jc w:val="left"/>
              <w:rPr>
                <w:rFonts w:eastAsia="Times New Roman" w:cs="Arial"/>
                <w:b/>
                <w:bCs/>
                <w:color w:val="000000"/>
                <w:sz w:val="16"/>
                <w:szCs w:val="16"/>
                <w:lang w:eastAsia="es-ES"/>
              </w:rPr>
            </w:pPr>
          </w:p>
        </w:tc>
      </w:tr>
      <w:tr w:rsidR="00DD54F1" w:rsidRPr="00172736" w:rsidTr="00204F30">
        <w:trPr>
          <w:jc w:val="center"/>
        </w:trPr>
        <w:tc>
          <w:tcPr>
            <w:tcW w:w="1818"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983"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10.730</w:t>
            </w:r>
          </w:p>
        </w:tc>
        <w:tc>
          <w:tcPr>
            <w:tcW w:w="983" w:type="pct"/>
            <w:tcBorders>
              <w:top w:val="nil"/>
              <w:left w:val="nil"/>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56,6%</w:t>
            </w:r>
          </w:p>
        </w:tc>
        <w:tc>
          <w:tcPr>
            <w:tcW w:w="1216" w:type="pct"/>
            <w:tcBorders>
              <w:top w:val="nil"/>
              <w:left w:val="single" w:sz="8" w:space="0" w:color="BFBFBF"/>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17,3</w:t>
            </w:r>
          </w:p>
        </w:tc>
      </w:tr>
      <w:tr w:rsidR="00DD54F1" w:rsidRPr="00172736" w:rsidTr="00204F30">
        <w:trPr>
          <w:jc w:val="center"/>
        </w:trPr>
        <w:tc>
          <w:tcPr>
            <w:tcW w:w="1818"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983"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98</w:t>
            </w:r>
          </w:p>
        </w:tc>
        <w:tc>
          <w:tcPr>
            <w:tcW w:w="983" w:type="pct"/>
            <w:tcBorders>
              <w:top w:val="nil"/>
              <w:left w:val="nil"/>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0,5%</w:t>
            </w:r>
          </w:p>
        </w:tc>
        <w:tc>
          <w:tcPr>
            <w:tcW w:w="1216" w:type="pct"/>
            <w:tcBorders>
              <w:top w:val="nil"/>
              <w:left w:val="single" w:sz="8" w:space="0" w:color="BFBFBF"/>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2,3</w:t>
            </w:r>
          </w:p>
        </w:tc>
      </w:tr>
      <w:tr w:rsidR="00DD54F1" w:rsidRPr="00172736" w:rsidTr="00204F30">
        <w:trPr>
          <w:jc w:val="center"/>
        </w:trPr>
        <w:tc>
          <w:tcPr>
            <w:tcW w:w="1818"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983"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7.901</w:t>
            </w:r>
          </w:p>
        </w:tc>
        <w:tc>
          <w:tcPr>
            <w:tcW w:w="983" w:type="pct"/>
            <w:tcBorders>
              <w:top w:val="nil"/>
              <w:left w:val="nil"/>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41,7%</w:t>
            </w:r>
          </w:p>
        </w:tc>
        <w:tc>
          <w:tcPr>
            <w:tcW w:w="1216" w:type="pct"/>
            <w:tcBorders>
              <w:top w:val="nil"/>
              <w:left w:val="single" w:sz="8" w:space="0" w:color="BFBFBF"/>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42,9</w:t>
            </w:r>
          </w:p>
        </w:tc>
      </w:tr>
      <w:tr w:rsidR="00DD54F1" w:rsidRPr="00172736" w:rsidTr="00204F30">
        <w:trPr>
          <w:jc w:val="center"/>
        </w:trPr>
        <w:tc>
          <w:tcPr>
            <w:tcW w:w="1818"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983"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123</w:t>
            </w:r>
          </w:p>
        </w:tc>
        <w:tc>
          <w:tcPr>
            <w:tcW w:w="983" w:type="pct"/>
            <w:tcBorders>
              <w:top w:val="nil"/>
              <w:left w:val="nil"/>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0,6%</w:t>
            </w:r>
          </w:p>
        </w:tc>
        <w:tc>
          <w:tcPr>
            <w:tcW w:w="1216" w:type="pct"/>
            <w:tcBorders>
              <w:top w:val="nil"/>
              <w:left w:val="single" w:sz="8" w:space="0" w:color="BFBFBF"/>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1,6</w:t>
            </w:r>
          </w:p>
        </w:tc>
      </w:tr>
      <w:tr w:rsidR="00DD54F1" w:rsidRPr="00172736" w:rsidTr="00204F30">
        <w:trPr>
          <w:jc w:val="center"/>
        </w:trPr>
        <w:tc>
          <w:tcPr>
            <w:tcW w:w="1818"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983"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52</w:t>
            </w:r>
          </w:p>
        </w:tc>
        <w:tc>
          <w:tcPr>
            <w:tcW w:w="983" w:type="pct"/>
            <w:tcBorders>
              <w:top w:val="nil"/>
              <w:left w:val="nil"/>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0,3%</w:t>
            </w:r>
          </w:p>
        </w:tc>
        <w:tc>
          <w:tcPr>
            <w:tcW w:w="1216" w:type="pct"/>
            <w:tcBorders>
              <w:top w:val="nil"/>
              <w:left w:val="single" w:sz="8" w:space="0" w:color="BFBFBF"/>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0,5</w:t>
            </w:r>
          </w:p>
        </w:tc>
      </w:tr>
      <w:tr w:rsidR="00DD54F1" w:rsidRPr="00172736" w:rsidTr="00204F30">
        <w:trPr>
          <w:jc w:val="center"/>
        </w:trPr>
        <w:tc>
          <w:tcPr>
            <w:tcW w:w="1818"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983" w:type="pct"/>
            <w:tcBorders>
              <w:top w:val="nil"/>
              <w:left w:val="nil"/>
              <w:bottom w:val="nil"/>
              <w:right w:val="single" w:sz="8" w:space="0" w:color="BFBFBF"/>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46</w:t>
            </w:r>
          </w:p>
        </w:tc>
        <w:tc>
          <w:tcPr>
            <w:tcW w:w="983" w:type="pct"/>
            <w:tcBorders>
              <w:top w:val="nil"/>
              <w:left w:val="nil"/>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0,2%</w:t>
            </w:r>
          </w:p>
        </w:tc>
        <w:tc>
          <w:tcPr>
            <w:tcW w:w="1216" w:type="pct"/>
            <w:tcBorders>
              <w:top w:val="nil"/>
              <w:left w:val="single" w:sz="8" w:space="0" w:color="BFBFBF"/>
              <w:bottom w:val="nil"/>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3,1</w:t>
            </w:r>
          </w:p>
        </w:tc>
      </w:tr>
      <w:tr w:rsidR="00DD54F1" w:rsidRPr="00172736" w:rsidTr="00204F30">
        <w:trPr>
          <w:jc w:val="center"/>
        </w:trPr>
        <w:tc>
          <w:tcPr>
            <w:tcW w:w="1818" w:type="pct"/>
            <w:tcBorders>
              <w:top w:val="nil"/>
              <w:left w:val="nil"/>
              <w:bottom w:val="single" w:sz="8" w:space="0" w:color="BFBFBF"/>
              <w:right w:val="single" w:sz="8" w:space="0" w:color="BFBFBF"/>
            </w:tcBorders>
            <w:shd w:val="clear" w:color="auto" w:fill="auto"/>
            <w:hideMark/>
          </w:tcPr>
          <w:p w:rsidR="00DD54F1" w:rsidRPr="00AB3187" w:rsidRDefault="00DD54F1" w:rsidP="00554F81">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7.EPSVs</w:t>
            </w:r>
          </w:p>
        </w:tc>
        <w:tc>
          <w:tcPr>
            <w:tcW w:w="983" w:type="pct"/>
            <w:tcBorders>
              <w:top w:val="nil"/>
              <w:left w:val="nil"/>
              <w:bottom w:val="single" w:sz="8" w:space="0" w:color="BFBFBF"/>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983" w:type="pct"/>
            <w:tcBorders>
              <w:top w:val="nil"/>
              <w:left w:val="single" w:sz="8" w:space="0" w:color="BFBFBF"/>
              <w:bottom w:val="single" w:sz="8" w:space="0" w:color="BFBFBF"/>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216" w:type="pct"/>
            <w:tcBorders>
              <w:top w:val="nil"/>
              <w:left w:val="single" w:sz="8" w:space="0" w:color="BFBFBF"/>
              <w:bottom w:val="single" w:sz="8" w:space="0" w:color="BFBFBF"/>
              <w:right w:val="nil"/>
            </w:tcBorders>
            <w:shd w:val="clear" w:color="auto" w:fill="auto"/>
            <w:hideMark/>
          </w:tcPr>
          <w:p w:rsidR="00DD54F1" w:rsidRPr="00AB3187" w:rsidRDefault="00DD54F1" w:rsidP="00554F81">
            <w:pPr>
              <w:spacing w:line="240" w:lineRule="atLeast"/>
              <w:ind w:right="244"/>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r>
      <w:tr w:rsidR="00DD54F1" w:rsidRPr="00172736" w:rsidTr="00204F30">
        <w:trPr>
          <w:jc w:val="center"/>
        </w:trPr>
        <w:tc>
          <w:tcPr>
            <w:tcW w:w="1818" w:type="pct"/>
            <w:tcBorders>
              <w:top w:val="nil"/>
              <w:left w:val="nil"/>
              <w:bottom w:val="single" w:sz="8" w:space="0" w:color="BFBFBF"/>
              <w:right w:val="single" w:sz="8" w:space="0" w:color="BFBFBF"/>
            </w:tcBorders>
            <w:shd w:val="clear" w:color="auto" w:fill="auto"/>
            <w:hideMark/>
          </w:tcPr>
          <w:p w:rsidR="00DD54F1" w:rsidRPr="00AB3187" w:rsidRDefault="00DD54F1" w:rsidP="00554F81">
            <w:pPr>
              <w:spacing w:line="240" w:lineRule="atLeast"/>
              <w:rPr>
                <w:rFonts w:eastAsia="Times New Roman" w:cs="Arial"/>
                <w:b/>
                <w:color w:val="000000"/>
                <w:sz w:val="16"/>
                <w:szCs w:val="16"/>
                <w:lang w:eastAsia="es-ES"/>
              </w:rPr>
            </w:pPr>
            <w:r w:rsidRPr="00AB3187">
              <w:rPr>
                <w:rFonts w:eastAsia="Times New Roman" w:cs="Arial"/>
                <w:b/>
                <w:color w:val="000000"/>
                <w:sz w:val="16"/>
                <w:szCs w:val="16"/>
                <w:lang w:eastAsia="es-ES"/>
              </w:rPr>
              <w:t>TOTAL</w:t>
            </w:r>
          </w:p>
        </w:tc>
        <w:tc>
          <w:tcPr>
            <w:tcW w:w="983" w:type="pct"/>
            <w:tcBorders>
              <w:top w:val="nil"/>
              <w:left w:val="nil"/>
              <w:bottom w:val="single" w:sz="8" w:space="0" w:color="BFBFBF"/>
              <w:right w:val="nil"/>
            </w:tcBorders>
            <w:shd w:val="clear" w:color="auto" w:fill="auto"/>
            <w:hideMark/>
          </w:tcPr>
          <w:p w:rsidR="00DD54F1" w:rsidRPr="00AB3187" w:rsidRDefault="00DD54F1" w:rsidP="00554F81">
            <w:pPr>
              <w:spacing w:line="240" w:lineRule="atLeast"/>
              <w:ind w:right="244"/>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18.950</w:t>
            </w:r>
          </w:p>
        </w:tc>
        <w:tc>
          <w:tcPr>
            <w:tcW w:w="983" w:type="pct"/>
            <w:tcBorders>
              <w:top w:val="nil"/>
              <w:left w:val="single" w:sz="8" w:space="0" w:color="BFBFBF"/>
              <w:bottom w:val="single" w:sz="8" w:space="0" w:color="BFBFBF"/>
              <w:right w:val="nil"/>
            </w:tcBorders>
            <w:shd w:val="clear" w:color="auto" w:fill="auto"/>
            <w:hideMark/>
          </w:tcPr>
          <w:p w:rsidR="00DD54F1" w:rsidRPr="00AB3187" w:rsidRDefault="00DD54F1" w:rsidP="00554F81">
            <w:pPr>
              <w:spacing w:line="240" w:lineRule="atLeast"/>
              <w:ind w:right="244"/>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100</w:t>
            </w:r>
            <w:r w:rsidR="007F441F">
              <w:rPr>
                <w:rFonts w:eastAsia="Times New Roman" w:cs="Arial"/>
                <w:b/>
                <w:bCs/>
                <w:color w:val="000000"/>
                <w:sz w:val="16"/>
                <w:szCs w:val="16"/>
                <w:lang w:eastAsia="es-ES"/>
              </w:rPr>
              <w:t>,0</w:t>
            </w:r>
          </w:p>
        </w:tc>
        <w:tc>
          <w:tcPr>
            <w:tcW w:w="1216" w:type="pct"/>
            <w:tcBorders>
              <w:top w:val="nil"/>
              <w:left w:val="single" w:sz="8" w:space="0" w:color="BFBFBF"/>
              <w:bottom w:val="single" w:sz="8" w:space="0" w:color="BFBFBF"/>
              <w:right w:val="nil"/>
            </w:tcBorders>
            <w:shd w:val="clear" w:color="auto" w:fill="auto"/>
            <w:hideMark/>
          </w:tcPr>
          <w:p w:rsidR="00DD54F1" w:rsidRPr="00AB3187" w:rsidRDefault="00DD54F1" w:rsidP="00554F81">
            <w:pPr>
              <w:spacing w:line="240" w:lineRule="atLeast"/>
              <w:ind w:right="244"/>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15,8</w:t>
            </w:r>
          </w:p>
        </w:tc>
      </w:tr>
    </w:tbl>
    <w:p w:rsidR="00DD54F1" w:rsidRDefault="00DD54F1" w:rsidP="00CC39AE">
      <w:pPr>
        <w:rPr>
          <w:lang w:eastAsia="es-ES"/>
        </w:rPr>
      </w:pPr>
    </w:p>
    <w:p w:rsidR="0030251B" w:rsidRDefault="0030251B" w:rsidP="00CC39AE">
      <w:pPr>
        <w:rPr>
          <w:lang w:eastAsia="es-ES"/>
        </w:rPr>
      </w:pPr>
    </w:p>
    <w:p w:rsidR="00DD0C29" w:rsidRDefault="00204F30" w:rsidP="00EB609C">
      <w:pPr>
        <w:rPr>
          <w:lang w:eastAsia="es-ES"/>
        </w:rPr>
      </w:pPr>
      <w:r>
        <w:rPr>
          <w:lang w:eastAsia="es-ES"/>
        </w:rPr>
        <w:t xml:space="preserve">Con objetos sociales y naturaleza de actividad desarrollada bien diferenciada, </w:t>
      </w:r>
      <w:r w:rsidR="00711374">
        <w:rPr>
          <w:lang w:eastAsia="es-ES"/>
        </w:rPr>
        <w:t xml:space="preserve">las entidades que comprenden las </w:t>
      </w:r>
      <w:r w:rsidR="001674E8">
        <w:rPr>
          <w:lang w:eastAsia="es-ES"/>
        </w:rPr>
        <w:t>NFES</w:t>
      </w:r>
      <w:r w:rsidR="00711374">
        <w:rPr>
          <w:lang w:eastAsia="es-ES"/>
        </w:rPr>
        <w:t xml:space="preserve"> </w:t>
      </w:r>
      <w:r w:rsidR="006C5A24">
        <w:rPr>
          <w:lang w:eastAsia="es-ES"/>
        </w:rPr>
        <w:t>resulta</w:t>
      </w:r>
      <w:r w:rsidR="001674E8">
        <w:rPr>
          <w:lang w:eastAsia="es-ES"/>
        </w:rPr>
        <w:t>n</w:t>
      </w:r>
      <w:r w:rsidR="006C5A24">
        <w:rPr>
          <w:lang w:eastAsia="es-ES"/>
        </w:rPr>
        <w:t xml:space="preserve"> </w:t>
      </w:r>
      <w:r w:rsidR="001674E8">
        <w:rPr>
          <w:lang w:eastAsia="es-ES"/>
        </w:rPr>
        <w:t xml:space="preserve">muy variadas en </w:t>
      </w:r>
      <w:r>
        <w:rPr>
          <w:lang w:eastAsia="es-ES"/>
        </w:rPr>
        <w:t xml:space="preserve">términos de </w:t>
      </w:r>
      <w:r w:rsidR="001674E8">
        <w:rPr>
          <w:lang w:eastAsia="es-ES"/>
        </w:rPr>
        <w:t xml:space="preserve">la relación entre </w:t>
      </w:r>
      <w:r>
        <w:rPr>
          <w:lang w:eastAsia="es-ES"/>
        </w:rPr>
        <w:t xml:space="preserve">número de establecimientos y </w:t>
      </w:r>
      <w:r w:rsidR="001674E8">
        <w:rPr>
          <w:lang w:eastAsia="es-ES"/>
        </w:rPr>
        <w:t xml:space="preserve">personal. De esta forma, </w:t>
      </w:r>
      <w:r w:rsidR="006C5A24">
        <w:rPr>
          <w:lang w:eastAsia="es-ES"/>
        </w:rPr>
        <w:t xml:space="preserve">mientras en los Centros Especiales de Empleo el tamaño medio empresarial se </w:t>
      </w:r>
      <w:r w:rsidR="00931F8D">
        <w:rPr>
          <w:lang w:eastAsia="es-ES"/>
        </w:rPr>
        <w:t>eleva hasta</w:t>
      </w:r>
      <w:r w:rsidR="006C5A24">
        <w:rPr>
          <w:lang w:eastAsia="es-ES"/>
        </w:rPr>
        <w:t xml:space="preserve"> los 118,6 empleos, las Asociaciones de Utilidad Pública, Fundaciones y Empresas de Inserción </w:t>
      </w:r>
      <w:r w:rsidR="00DD0C29">
        <w:rPr>
          <w:lang w:eastAsia="es-ES"/>
        </w:rPr>
        <w:t xml:space="preserve">tienen un </w:t>
      </w:r>
      <w:r w:rsidR="006C5A24">
        <w:rPr>
          <w:lang w:eastAsia="es-ES"/>
        </w:rPr>
        <w:t>nivel</w:t>
      </w:r>
      <w:r w:rsidR="00BD5B74">
        <w:rPr>
          <w:lang w:eastAsia="es-ES"/>
        </w:rPr>
        <w:t xml:space="preserve"> de empleo</w:t>
      </w:r>
      <w:r w:rsidR="006C5A24">
        <w:rPr>
          <w:lang w:eastAsia="es-ES"/>
        </w:rPr>
        <w:t xml:space="preserve"> </w:t>
      </w:r>
      <w:r w:rsidR="00DD0C29">
        <w:rPr>
          <w:lang w:eastAsia="es-ES"/>
        </w:rPr>
        <w:t xml:space="preserve">medio por entidad </w:t>
      </w:r>
      <w:r w:rsidR="006C5A24">
        <w:rPr>
          <w:lang w:eastAsia="es-ES"/>
        </w:rPr>
        <w:t xml:space="preserve">más modesto </w:t>
      </w:r>
      <w:r w:rsidR="00DD0C29">
        <w:rPr>
          <w:lang w:eastAsia="es-ES"/>
        </w:rPr>
        <w:t>(</w:t>
      </w:r>
      <w:r w:rsidR="006C5A24">
        <w:rPr>
          <w:lang w:eastAsia="es-ES"/>
        </w:rPr>
        <w:t>19,5, 16,9 y 11,1 empleos respectivamente</w:t>
      </w:r>
      <w:r w:rsidR="00DD0C29">
        <w:rPr>
          <w:lang w:eastAsia="es-ES"/>
        </w:rPr>
        <w:t xml:space="preserve">). </w:t>
      </w:r>
    </w:p>
    <w:p w:rsidR="00DD0C29" w:rsidRDefault="00DD0C29" w:rsidP="00EB609C">
      <w:pPr>
        <w:rPr>
          <w:lang w:eastAsia="es-ES"/>
        </w:rPr>
      </w:pPr>
    </w:p>
    <w:p w:rsidR="008E7779" w:rsidRDefault="00DD0C29" w:rsidP="00EB609C">
      <w:pPr>
        <w:rPr>
          <w:lang w:eastAsia="es-ES"/>
        </w:rPr>
      </w:pPr>
      <w:r>
        <w:rPr>
          <w:lang w:eastAsia="es-ES"/>
        </w:rPr>
        <w:t>Por su parte, l</w:t>
      </w:r>
      <w:r w:rsidR="00931F8D">
        <w:rPr>
          <w:lang w:eastAsia="es-ES"/>
        </w:rPr>
        <w:t xml:space="preserve">as Cofradías de Pescadores y las </w:t>
      </w:r>
      <w:proofErr w:type="spellStart"/>
      <w:r w:rsidR="00931F8D">
        <w:rPr>
          <w:lang w:eastAsia="es-ES"/>
        </w:rPr>
        <w:t>SATs</w:t>
      </w:r>
      <w:proofErr w:type="spellEnd"/>
      <w:r w:rsidR="00931F8D">
        <w:rPr>
          <w:lang w:eastAsia="es-ES"/>
        </w:rPr>
        <w:t xml:space="preserve"> constitu</w:t>
      </w:r>
      <w:r>
        <w:rPr>
          <w:lang w:eastAsia="es-ES"/>
        </w:rPr>
        <w:t>yen</w:t>
      </w:r>
      <w:r w:rsidR="00931F8D">
        <w:rPr>
          <w:lang w:eastAsia="es-ES"/>
        </w:rPr>
        <w:t xml:space="preserve"> </w:t>
      </w:r>
      <w:r>
        <w:rPr>
          <w:lang w:eastAsia="es-ES"/>
        </w:rPr>
        <w:t xml:space="preserve">empresas de muy pequeño tamaño, </w:t>
      </w:r>
      <w:r w:rsidR="00931F8D">
        <w:rPr>
          <w:lang w:eastAsia="es-ES"/>
        </w:rPr>
        <w:t>con 4,2 y 2,7 empleos respectivamente</w:t>
      </w:r>
      <w:r>
        <w:rPr>
          <w:lang w:eastAsia="es-ES"/>
        </w:rPr>
        <w:t xml:space="preserve">, cifra que baja incluso a una media </w:t>
      </w:r>
      <w:r w:rsidR="00DF4A4F">
        <w:rPr>
          <w:lang w:eastAsia="es-ES"/>
        </w:rPr>
        <w:t xml:space="preserve">de </w:t>
      </w:r>
      <w:r>
        <w:rPr>
          <w:lang w:eastAsia="es-ES"/>
        </w:rPr>
        <w:t xml:space="preserve">0,5 empleos en las </w:t>
      </w:r>
      <w:proofErr w:type="spellStart"/>
      <w:r w:rsidR="00931F8D">
        <w:rPr>
          <w:lang w:eastAsia="es-ES"/>
        </w:rPr>
        <w:t>EPSVs</w:t>
      </w:r>
      <w:proofErr w:type="spellEnd"/>
      <w:r w:rsidR="00931F8D">
        <w:rPr>
          <w:lang w:eastAsia="es-ES"/>
        </w:rPr>
        <w:t xml:space="preserve">. </w:t>
      </w:r>
      <w:r>
        <w:rPr>
          <w:lang w:eastAsia="es-ES"/>
        </w:rPr>
        <w:t>C</w:t>
      </w:r>
      <w:r w:rsidR="003A3705">
        <w:rPr>
          <w:lang w:eastAsia="es-ES"/>
        </w:rPr>
        <w:t xml:space="preserve">abe apuntar, </w:t>
      </w:r>
      <w:r>
        <w:rPr>
          <w:lang w:eastAsia="es-ES"/>
        </w:rPr>
        <w:t xml:space="preserve">de hecho, </w:t>
      </w:r>
      <w:r w:rsidR="003A3705">
        <w:rPr>
          <w:lang w:eastAsia="es-ES"/>
        </w:rPr>
        <w:t xml:space="preserve">que gran parte de las </w:t>
      </w:r>
      <w:proofErr w:type="spellStart"/>
      <w:r w:rsidR="003A3705">
        <w:rPr>
          <w:lang w:eastAsia="es-ES"/>
        </w:rPr>
        <w:t>EPSVs</w:t>
      </w:r>
      <w:proofErr w:type="spellEnd"/>
      <w:r>
        <w:rPr>
          <w:lang w:eastAsia="es-ES"/>
        </w:rPr>
        <w:t xml:space="preserve">, 161 en total, </w:t>
      </w:r>
      <w:r w:rsidR="006F3A27">
        <w:rPr>
          <w:lang w:eastAsia="es-ES"/>
        </w:rPr>
        <w:t>no cuentan con empleo</w:t>
      </w:r>
      <w:r>
        <w:rPr>
          <w:lang w:eastAsia="es-ES"/>
        </w:rPr>
        <w:t xml:space="preserve"> asociado</w:t>
      </w:r>
      <w:r w:rsidR="006F3A27">
        <w:rPr>
          <w:lang w:eastAsia="es-ES"/>
        </w:rPr>
        <w:t>.</w:t>
      </w:r>
    </w:p>
    <w:p w:rsidR="00BD5B74" w:rsidRDefault="00BD5B74" w:rsidP="00EB609C">
      <w:pPr>
        <w:rPr>
          <w:lang w:eastAsia="es-ES"/>
        </w:rPr>
      </w:pPr>
    </w:p>
    <w:p w:rsidR="00D6606A" w:rsidRPr="00F8288A" w:rsidRDefault="00D6606A" w:rsidP="00D6606A">
      <w:pPr>
        <w:widowControl w:val="0"/>
        <w:spacing w:line="240" w:lineRule="auto"/>
        <w:jc w:val="center"/>
        <w:rPr>
          <w:rFonts w:cs="Arial"/>
          <w:b/>
          <w:color w:val="1F497D" w:themeColor="text2"/>
          <w:sz w:val="18"/>
          <w:szCs w:val="18"/>
        </w:rPr>
      </w:pPr>
      <w:r>
        <w:rPr>
          <w:rFonts w:cs="Arial"/>
          <w:b/>
          <w:bCs/>
          <w:color w:val="1F497D" w:themeColor="text2"/>
          <w:sz w:val="18"/>
          <w:szCs w:val="18"/>
        </w:rPr>
        <w:t xml:space="preserve">DIMENSIÓN DE LAS EMPRESAS DE LAS NUEVAS FORMAS DE LA ECONOMÍA SOCIAL 2014 </w:t>
      </w:r>
    </w:p>
    <w:tbl>
      <w:tblPr>
        <w:tblW w:w="6344" w:type="dxa"/>
        <w:jc w:val="center"/>
        <w:tblLayout w:type="fixed"/>
        <w:tblLook w:val="04A0" w:firstRow="1" w:lastRow="0" w:firstColumn="1" w:lastColumn="0" w:noHBand="0" w:noVBand="1"/>
      </w:tblPr>
      <w:tblGrid>
        <w:gridCol w:w="4546"/>
        <w:gridCol w:w="1798"/>
      </w:tblGrid>
      <w:tr w:rsidR="00D6606A" w:rsidRPr="00404CA5" w:rsidTr="00D6606A">
        <w:trPr>
          <w:jc w:val="center"/>
        </w:trPr>
        <w:tc>
          <w:tcPr>
            <w:tcW w:w="454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D6606A" w:rsidRPr="00404CA5" w:rsidRDefault="00D6606A" w:rsidP="00D6606A">
            <w:pPr>
              <w:widowControl w:val="0"/>
              <w:spacing w:line="240" w:lineRule="exact"/>
              <w:rPr>
                <w:rFonts w:cs="Arial"/>
                <w:b/>
                <w:sz w:val="16"/>
                <w:szCs w:val="16"/>
              </w:rPr>
            </w:pPr>
          </w:p>
        </w:tc>
        <w:tc>
          <w:tcPr>
            <w:tcW w:w="179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D6606A" w:rsidRPr="00404CA5" w:rsidRDefault="00D6606A" w:rsidP="00D6606A">
            <w:pPr>
              <w:widowControl w:val="0"/>
              <w:spacing w:line="240" w:lineRule="exact"/>
              <w:jc w:val="center"/>
              <w:rPr>
                <w:rFonts w:cs="Arial"/>
                <w:b/>
                <w:sz w:val="16"/>
                <w:szCs w:val="16"/>
              </w:rPr>
            </w:pPr>
            <w:r w:rsidRPr="0046149F">
              <w:rPr>
                <w:rFonts w:cs="Arial"/>
                <w:b/>
                <w:sz w:val="16"/>
                <w:szCs w:val="16"/>
              </w:rPr>
              <w:t>Tamaño Medio de Empresa (Empleos)</w:t>
            </w:r>
          </w:p>
        </w:tc>
      </w:tr>
      <w:tr w:rsidR="00D6606A" w:rsidRPr="00404CA5" w:rsidTr="00D6606A">
        <w:trPr>
          <w:jc w:val="center"/>
        </w:trPr>
        <w:tc>
          <w:tcPr>
            <w:tcW w:w="4546" w:type="dxa"/>
            <w:tcBorders>
              <w:top w:val="single" w:sz="4" w:space="0" w:color="BFBFBF" w:themeColor="background1" w:themeShade="BF"/>
              <w:right w:val="single" w:sz="4" w:space="0" w:color="BFBFBF" w:themeColor="background1" w:themeShade="BF"/>
            </w:tcBorders>
          </w:tcPr>
          <w:p w:rsidR="00D6606A" w:rsidRPr="00080818" w:rsidRDefault="00D6606A" w:rsidP="00D6606A">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1798" w:type="dxa"/>
            <w:tcBorders>
              <w:top w:val="single" w:sz="4" w:space="0" w:color="BFBFBF" w:themeColor="background1" w:themeShade="BF"/>
              <w:left w:val="single" w:sz="4" w:space="0" w:color="BFBFBF" w:themeColor="background1" w:themeShade="BF"/>
            </w:tcBorders>
          </w:tcPr>
          <w:p w:rsidR="00D6606A" w:rsidRPr="00404CA5" w:rsidRDefault="00D6606A" w:rsidP="00D6606A">
            <w:pPr>
              <w:widowControl w:val="0"/>
              <w:spacing w:line="240" w:lineRule="exact"/>
              <w:ind w:right="284"/>
              <w:jc w:val="right"/>
              <w:rPr>
                <w:rFonts w:cs="Arial"/>
                <w:sz w:val="16"/>
                <w:szCs w:val="16"/>
              </w:rPr>
            </w:pPr>
            <w:r>
              <w:rPr>
                <w:rFonts w:cs="Arial"/>
                <w:sz w:val="16"/>
                <w:szCs w:val="16"/>
              </w:rPr>
              <w:t>16,9</w:t>
            </w:r>
          </w:p>
        </w:tc>
      </w:tr>
      <w:tr w:rsidR="00D6606A" w:rsidRPr="00404CA5" w:rsidTr="00D6606A">
        <w:trPr>
          <w:jc w:val="center"/>
        </w:trPr>
        <w:tc>
          <w:tcPr>
            <w:tcW w:w="4546" w:type="dxa"/>
            <w:tcBorders>
              <w:right w:val="single" w:sz="4" w:space="0" w:color="BFBFBF" w:themeColor="background1" w:themeShade="BF"/>
            </w:tcBorders>
          </w:tcPr>
          <w:p w:rsidR="00D6606A" w:rsidRPr="00080818" w:rsidRDefault="00D6606A" w:rsidP="00D6606A">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1798" w:type="dxa"/>
            <w:tcBorders>
              <w:left w:val="single" w:sz="4" w:space="0" w:color="BFBFBF" w:themeColor="background1" w:themeShade="BF"/>
            </w:tcBorders>
          </w:tcPr>
          <w:p w:rsidR="00D6606A" w:rsidRPr="00404CA5" w:rsidRDefault="00D6606A" w:rsidP="00D6606A">
            <w:pPr>
              <w:widowControl w:val="0"/>
              <w:spacing w:line="240" w:lineRule="exact"/>
              <w:ind w:right="284"/>
              <w:jc w:val="right"/>
              <w:rPr>
                <w:rFonts w:cs="Arial"/>
                <w:sz w:val="16"/>
                <w:szCs w:val="16"/>
              </w:rPr>
            </w:pPr>
            <w:r>
              <w:rPr>
                <w:rFonts w:cs="Arial"/>
                <w:sz w:val="16"/>
                <w:szCs w:val="16"/>
              </w:rPr>
              <w:t>188,6</w:t>
            </w:r>
          </w:p>
        </w:tc>
      </w:tr>
      <w:tr w:rsidR="00D6606A" w:rsidRPr="00404CA5" w:rsidTr="00D6606A">
        <w:trPr>
          <w:jc w:val="center"/>
        </w:trPr>
        <w:tc>
          <w:tcPr>
            <w:tcW w:w="4546" w:type="dxa"/>
            <w:tcBorders>
              <w:right w:val="single" w:sz="4" w:space="0" w:color="BFBFBF" w:themeColor="background1" w:themeShade="BF"/>
            </w:tcBorders>
          </w:tcPr>
          <w:p w:rsidR="00D6606A" w:rsidRPr="00080818" w:rsidRDefault="00D6606A" w:rsidP="00D6606A">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1798" w:type="dxa"/>
            <w:tcBorders>
              <w:left w:val="single" w:sz="4" w:space="0" w:color="BFBFBF" w:themeColor="background1" w:themeShade="BF"/>
            </w:tcBorders>
          </w:tcPr>
          <w:p w:rsidR="00D6606A" w:rsidRPr="00404CA5" w:rsidRDefault="00D6606A" w:rsidP="00D6606A">
            <w:pPr>
              <w:widowControl w:val="0"/>
              <w:spacing w:line="240" w:lineRule="exact"/>
              <w:ind w:right="284"/>
              <w:jc w:val="right"/>
              <w:rPr>
                <w:rFonts w:cs="Arial"/>
                <w:sz w:val="16"/>
                <w:szCs w:val="16"/>
              </w:rPr>
            </w:pPr>
            <w:r>
              <w:rPr>
                <w:rFonts w:cs="Arial"/>
                <w:sz w:val="16"/>
                <w:szCs w:val="16"/>
              </w:rPr>
              <w:t>19,5</w:t>
            </w:r>
          </w:p>
        </w:tc>
      </w:tr>
      <w:tr w:rsidR="00D6606A" w:rsidRPr="00404CA5" w:rsidTr="00D6606A">
        <w:trPr>
          <w:jc w:val="center"/>
        </w:trPr>
        <w:tc>
          <w:tcPr>
            <w:tcW w:w="4546" w:type="dxa"/>
            <w:tcBorders>
              <w:right w:val="single" w:sz="4" w:space="0" w:color="BFBFBF" w:themeColor="background1" w:themeShade="BF"/>
            </w:tcBorders>
          </w:tcPr>
          <w:p w:rsidR="00D6606A" w:rsidRPr="00080818" w:rsidRDefault="00D6606A" w:rsidP="00D6606A">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1798" w:type="dxa"/>
            <w:tcBorders>
              <w:left w:val="single" w:sz="4" w:space="0" w:color="BFBFBF" w:themeColor="background1" w:themeShade="BF"/>
            </w:tcBorders>
          </w:tcPr>
          <w:p w:rsidR="00D6606A" w:rsidRPr="00404CA5" w:rsidRDefault="00D6606A" w:rsidP="00D6606A">
            <w:pPr>
              <w:widowControl w:val="0"/>
              <w:spacing w:line="240" w:lineRule="exact"/>
              <w:ind w:right="284"/>
              <w:jc w:val="right"/>
              <w:rPr>
                <w:rFonts w:cs="Arial"/>
                <w:sz w:val="16"/>
                <w:szCs w:val="16"/>
              </w:rPr>
            </w:pPr>
            <w:r>
              <w:rPr>
                <w:rFonts w:cs="Arial"/>
                <w:sz w:val="16"/>
                <w:szCs w:val="16"/>
              </w:rPr>
              <w:t>11,1</w:t>
            </w:r>
          </w:p>
        </w:tc>
      </w:tr>
      <w:tr w:rsidR="00D6606A" w:rsidRPr="00404CA5" w:rsidTr="00D6606A">
        <w:trPr>
          <w:jc w:val="center"/>
        </w:trPr>
        <w:tc>
          <w:tcPr>
            <w:tcW w:w="4546" w:type="dxa"/>
            <w:tcBorders>
              <w:right w:val="single" w:sz="4" w:space="0" w:color="BFBFBF" w:themeColor="background1" w:themeShade="BF"/>
            </w:tcBorders>
          </w:tcPr>
          <w:p w:rsidR="00D6606A" w:rsidRPr="00080818" w:rsidRDefault="00D6606A" w:rsidP="00D6606A">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1798" w:type="dxa"/>
            <w:tcBorders>
              <w:left w:val="single" w:sz="4" w:space="0" w:color="BFBFBF" w:themeColor="background1" w:themeShade="BF"/>
            </w:tcBorders>
          </w:tcPr>
          <w:p w:rsidR="00D6606A" w:rsidRPr="00404CA5" w:rsidRDefault="00D6606A" w:rsidP="00D6606A">
            <w:pPr>
              <w:widowControl w:val="0"/>
              <w:spacing w:line="240" w:lineRule="exact"/>
              <w:ind w:right="284"/>
              <w:jc w:val="right"/>
              <w:rPr>
                <w:rFonts w:cs="Arial"/>
                <w:sz w:val="16"/>
                <w:szCs w:val="16"/>
              </w:rPr>
            </w:pPr>
            <w:r>
              <w:rPr>
                <w:rFonts w:cs="Arial"/>
                <w:sz w:val="16"/>
                <w:szCs w:val="16"/>
              </w:rPr>
              <w:t>2,7</w:t>
            </w:r>
          </w:p>
        </w:tc>
      </w:tr>
      <w:tr w:rsidR="00D6606A" w:rsidRPr="00404CA5" w:rsidTr="00D6606A">
        <w:trPr>
          <w:jc w:val="center"/>
        </w:trPr>
        <w:tc>
          <w:tcPr>
            <w:tcW w:w="4546" w:type="dxa"/>
            <w:tcBorders>
              <w:right w:val="single" w:sz="4" w:space="0" w:color="BFBFBF" w:themeColor="background1" w:themeShade="BF"/>
            </w:tcBorders>
          </w:tcPr>
          <w:p w:rsidR="00D6606A" w:rsidRPr="00080818" w:rsidRDefault="00D6606A" w:rsidP="00D6606A">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1798" w:type="dxa"/>
            <w:tcBorders>
              <w:left w:val="single" w:sz="4" w:space="0" w:color="BFBFBF" w:themeColor="background1" w:themeShade="BF"/>
            </w:tcBorders>
          </w:tcPr>
          <w:p w:rsidR="00D6606A" w:rsidRPr="00404CA5" w:rsidRDefault="00D6606A" w:rsidP="00D6606A">
            <w:pPr>
              <w:widowControl w:val="0"/>
              <w:spacing w:line="240" w:lineRule="exact"/>
              <w:ind w:right="284"/>
              <w:jc w:val="right"/>
              <w:rPr>
                <w:rFonts w:cs="Arial"/>
                <w:sz w:val="16"/>
                <w:szCs w:val="16"/>
              </w:rPr>
            </w:pPr>
            <w:r>
              <w:rPr>
                <w:rFonts w:cs="Arial"/>
                <w:sz w:val="16"/>
                <w:szCs w:val="16"/>
              </w:rPr>
              <w:t>4,2</w:t>
            </w:r>
          </w:p>
        </w:tc>
      </w:tr>
      <w:tr w:rsidR="00D6606A" w:rsidRPr="00404CA5" w:rsidTr="00D6606A">
        <w:trPr>
          <w:jc w:val="center"/>
        </w:trPr>
        <w:tc>
          <w:tcPr>
            <w:tcW w:w="4546" w:type="dxa"/>
            <w:tcBorders>
              <w:bottom w:val="single" w:sz="4" w:space="0" w:color="BFBFBF" w:themeColor="background1" w:themeShade="BF"/>
              <w:right w:val="single" w:sz="4" w:space="0" w:color="BFBFBF" w:themeColor="background1" w:themeShade="BF"/>
            </w:tcBorders>
          </w:tcPr>
          <w:p w:rsidR="00D6606A" w:rsidRPr="00080818" w:rsidRDefault="00D6606A" w:rsidP="00D6606A">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1798" w:type="dxa"/>
            <w:tcBorders>
              <w:left w:val="single" w:sz="4" w:space="0" w:color="BFBFBF" w:themeColor="background1" w:themeShade="BF"/>
              <w:bottom w:val="single" w:sz="4" w:space="0" w:color="BFBFBF" w:themeColor="background1" w:themeShade="BF"/>
            </w:tcBorders>
          </w:tcPr>
          <w:p w:rsidR="00D6606A" w:rsidRPr="00404CA5" w:rsidRDefault="00D6606A" w:rsidP="00D6606A">
            <w:pPr>
              <w:widowControl w:val="0"/>
              <w:spacing w:line="240" w:lineRule="exact"/>
              <w:ind w:right="284"/>
              <w:jc w:val="right"/>
              <w:rPr>
                <w:rFonts w:cs="Arial"/>
                <w:sz w:val="16"/>
                <w:szCs w:val="16"/>
              </w:rPr>
            </w:pPr>
            <w:r>
              <w:rPr>
                <w:rFonts w:cs="Arial"/>
                <w:sz w:val="16"/>
                <w:szCs w:val="16"/>
              </w:rPr>
              <w:t>0,5</w:t>
            </w:r>
          </w:p>
        </w:tc>
      </w:tr>
    </w:tbl>
    <w:p w:rsidR="0065300F" w:rsidRDefault="0065300F" w:rsidP="00EB609C">
      <w:pPr>
        <w:rPr>
          <w:lang w:eastAsia="es-ES"/>
        </w:rPr>
      </w:pPr>
    </w:p>
    <w:p w:rsidR="00DD0C29" w:rsidRDefault="00DD0C29" w:rsidP="00EB609C">
      <w:pPr>
        <w:rPr>
          <w:lang w:eastAsia="es-ES"/>
        </w:rPr>
      </w:pPr>
    </w:p>
    <w:p w:rsidR="00BD5B74" w:rsidRDefault="00817C68" w:rsidP="00744140">
      <w:pPr>
        <w:rPr>
          <w:rFonts w:cs="Arial"/>
          <w:lang w:eastAsia="es-ES"/>
        </w:rPr>
      </w:pPr>
      <w:r>
        <w:rPr>
          <w:lang w:eastAsia="es-ES"/>
        </w:rPr>
        <w:t>Se observa un peso ligeramente superior del colectivo femenino en el empleo de las NFES (</w:t>
      </w:r>
      <w:r w:rsidR="008E7DE5">
        <w:rPr>
          <w:lang w:eastAsia="es-ES"/>
        </w:rPr>
        <w:t>56,7</w:t>
      </w:r>
      <w:bookmarkStart w:id="9" w:name="_GoBack"/>
      <w:bookmarkEnd w:id="9"/>
      <w:r w:rsidRPr="00744140">
        <w:rPr>
          <w:lang w:eastAsia="es-ES"/>
        </w:rPr>
        <w:t>%</w:t>
      </w:r>
      <w:r w:rsidR="003A37D5">
        <w:rPr>
          <w:lang w:eastAsia="es-ES"/>
        </w:rPr>
        <w:t xml:space="preserve"> </w:t>
      </w:r>
      <w:r w:rsidR="003A37D5" w:rsidRPr="006367E5">
        <w:rPr>
          <w:lang w:eastAsia="es-ES"/>
        </w:rPr>
        <w:t>frente al 4</w:t>
      </w:r>
      <w:r w:rsidR="000E02B4" w:rsidRPr="006367E5">
        <w:rPr>
          <w:lang w:eastAsia="es-ES"/>
        </w:rPr>
        <w:t>3</w:t>
      </w:r>
      <w:r w:rsidR="003A37D5" w:rsidRPr="006367E5">
        <w:rPr>
          <w:lang w:eastAsia="es-ES"/>
        </w:rPr>
        <w:t>,9% de las FCES</w:t>
      </w:r>
      <w:r w:rsidRPr="006367E5">
        <w:rPr>
          <w:lang w:eastAsia="es-ES"/>
        </w:rPr>
        <w:t>)</w:t>
      </w:r>
      <w:r w:rsidR="00744140" w:rsidRPr="006367E5">
        <w:rPr>
          <w:rFonts w:cs="Arial"/>
          <w:lang w:eastAsia="es-ES"/>
        </w:rPr>
        <w:t xml:space="preserve">. El </w:t>
      </w:r>
      <w:r w:rsidR="00BD5B74" w:rsidRPr="006367E5">
        <w:rPr>
          <w:rFonts w:cs="Arial"/>
          <w:lang w:eastAsia="es-ES"/>
        </w:rPr>
        <w:t>mayor</w:t>
      </w:r>
      <w:r w:rsidR="00BD5B74" w:rsidRPr="00744140">
        <w:rPr>
          <w:rFonts w:cs="Arial"/>
          <w:lang w:eastAsia="es-ES"/>
        </w:rPr>
        <w:t xml:space="preserve"> grado de feminización entre las plantillas </w:t>
      </w:r>
      <w:r w:rsidR="003A37D5">
        <w:rPr>
          <w:rFonts w:cs="Arial"/>
          <w:lang w:eastAsia="es-ES"/>
        </w:rPr>
        <w:t>se da</w:t>
      </w:r>
      <w:r w:rsidR="00744140">
        <w:rPr>
          <w:rFonts w:cs="Arial"/>
          <w:lang w:eastAsia="es-ES"/>
        </w:rPr>
        <w:t xml:space="preserve"> en </w:t>
      </w:r>
      <w:r w:rsidR="00BD5B74" w:rsidRPr="00744140">
        <w:rPr>
          <w:rFonts w:cs="Arial"/>
          <w:lang w:eastAsia="es-ES"/>
        </w:rPr>
        <w:t xml:space="preserve">las Asociaciones de Utilidad Pública (73,1% </w:t>
      </w:r>
      <w:r w:rsidR="00744140">
        <w:rPr>
          <w:rFonts w:cs="Arial"/>
          <w:lang w:eastAsia="es-ES"/>
        </w:rPr>
        <w:t>de</w:t>
      </w:r>
      <w:r w:rsidR="00BD5B74" w:rsidRPr="00744140">
        <w:rPr>
          <w:rFonts w:cs="Arial"/>
          <w:lang w:eastAsia="es-ES"/>
        </w:rPr>
        <w:t xml:space="preserve"> mujeres), las Fundaciones (60,9%)</w:t>
      </w:r>
      <w:r w:rsidR="00BD5B74" w:rsidRPr="006F3A27">
        <w:rPr>
          <w:rFonts w:cs="Arial"/>
          <w:b/>
          <w:lang w:eastAsia="es-ES"/>
        </w:rPr>
        <w:t xml:space="preserve"> </w:t>
      </w:r>
      <w:r w:rsidR="00BD5B74" w:rsidRPr="00EB609C">
        <w:rPr>
          <w:rFonts w:cs="Arial"/>
          <w:lang w:eastAsia="es-ES"/>
        </w:rPr>
        <w:t>y</w:t>
      </w:r>
      <w:r w:rsidR="00744140">
        <w:rPr>
          <w:rFonts w:cs="Arial"/>
          <w:lang w:eastAsia="es-ES"/>
        </w:rPr>
        <w:t>,</w:t>
      </w:r>
      <w:r w:rsidR="00BD5B74" w:rsidRPr="00EB609C">
        <w:rPr>
          <w:rFonts w:cs="Arial"/>
          <w:lang w:eastAsia="es-ES"/>
        </w:rPr>
        <w:t xml:space="preserve"> en menor medida</w:t>
      </w:r>
      <w:r w:rsidR="00744140">
        <w:rPr>
          <w:rFonts w:cs="Arial"/>
          <w:lang w:eastAsia="es-ES"/>
        </w:rPr>
        <w:t>,</w:t>
      </w:r>
      <w:r w:rsidR="00BD5B74" w:rsidRPr="00EB609C">
        <w:rPr>
          <w:rFonts w:cs="Arial"/>
          <w:lang w:eastAsia="es-ES"/>
        </w:rPr>
        <w:t xml:space="preserve"> la</w:t>
      </w:r>
      <w:r w:rsidR="00FE228C">
        <w:rPr>
          <w:rFonts w:cs="Arial"/>
          <w:lang w:eastAsia="es-ES"/>
        </w:rPr>
        <w:t>s empresas de inserción (53,8%)</w:t>
      </w:r>
      <w:r w:rsidR="00744140">
        <w:rPr>
          <w:rFonts w:cs="Arial"/>
          <w:lang w:eastAsia="es-ES"/>
        </w:rPr>
        <w:t xml:space="preserve">. En </w:t>
      </w:r>
      <w:r w:rsidR="00FE228C">
        <w:rPr>
          <w:rFonts w:cs="Arial"/>
          <w:lang w:eastAsia="es-ES"/>
        </w:rPr>
        <w:t xml:space="preserve">las </w:t>
      </w:r>
      <w:proofErr w:type="spellStart"/>
      <w:r w:rsidR="00FE228C">
        <w:rPr>
          <w:rFonts w:cs="Arial"/>
          <w:lang w:eastAsia="es-ES"/>
        </w:rPr>
        <w:t>SATs</w:t>
      </w:r>
      <w:proofErr w:type="spellEnd"/>
      <w:r w:rsidR="00FE228C">
        <w:rPr>
          <w:rFonts w:cs="Arial"/>
          <w:lang w:eastAsia="es-ES"/>
        </w:rPr>
        <w:t xml:space="preserve"> y</w:t>
      </w:r>
      <w:r w:rsidR="003A37D5">
        <w:rPr>
          <w:rFonts w:cs="Arial"/>
          <w:lang w:eastAsia="es-ES"/>
        </w:rPr>
        <w:t xml:space="preserve"> en</w:t>
      </w:r>
      <w:r w:rsidR="00FE228C">
        <w:rPr>
          <w:rFonts w:cs="Arial"/>
          <w:lang w:eastAsia="es-ES"/>
        </w:rPr>
        <w:t xml:space="preserve"> </w:t>
      </w:r>
      <w:r w:rsidR="006275BB">
        <w:rPr>
          <w:rFonts w:cs="Arial"/>
          <w:lang w:eastAsia="es-ES"/>
        </w:rPr>
        <w:t xml:space="preserve">las </w:t>
      </w:r>
      <w:r w:rsidR="00FE228C">
        <w:rPr>
          <w:rFonts w:cs="Arial"/>
          <w:lang w:eastAsia="es-ES"/>
        </w:rPr>
        <w:t xml:space="preserve">Cofradías de Pescadores el empleo masculino </w:t>
      </w:r>
      <w:r w:rsidR="002419E1">
        <w:rPr>
          <w:rFonts w:cs="Arial"/>
          <w:lang w:eastAsia="es-ES"/>
        </w:rPr>
        <w:t>representa</w:t>
      </w:r>
      <w:r w:rsidR="00B34122">
        <w:rPr>
          <w:rFonts w:cs="Arial"/>
          <w:lang w:eastAsia="es-ES"/>
        </w:rPr>
        <w:t xml:space="preserve"> el 77,8% y el 60,3% </w:t>
      </w:r>
      <w:r w:rsidR="00744140">
        <w:rPr>
          <w:rFonts w:cs="Arial"/>
          <w:lang w:eastAsia="es-ES"/>
        </w:rPr>
        <w:t>de los empleos, respectivamente.</w:t>
      </w:r>
    </w:p>
    <w:p w:rsidR="00817C68" w:rsidRDefault="00AF7C71" w:rsidP="00AF7C71">
      <w:pPr>
        <w:widowControl w:val="0"/>
        <w:spacing w:line="240" w:lineRule="auto"/>
        <w:jc w:val="center"/>
        <w:rPr>
          <w:rFonts w:cs="Arial"/>
          <w:b/>
          <w:color w:val="1F497D" w:themeColor="text2"/>
          <w:sz w:val="18"/>
          <w:szCs w:val="18"/>
        </w:rPr>
      </w:pPr>
      <w:r>
        <w:rPr>
          <w:rFonts w:cs="Arial"/>
          <w:b/>
          <w:color w:val="1F497D" w:themeColor="text2"/>
          <w:sz w:val="18"/>
          <w:szCs w:val="18"/>
        </w:rPr>
        <w:lastRenderedPageBreak/>
        <w:t>DISTRIBUCIÓN POR DEL EMPLEO SEGÚN GÉNERO POR TIPO DE ENTIDAD</w:t>
      </w:r>
      <w:r w:rsidRPr="003B5717">
        <w:rPr>
          <w:rFonts w:cs="Arial"/>
          <w:b/>
          <w:color w:val="1F497D" w:themeColor="text2"/>
          <w:sz w:val="18"/>
          <w:szCs w:val="18"/>
        </w:rPr>
        <w:t xml:space="preserve"> EN L</w:t>
      </w:r>
      <w:r>
        <w:rPr>
          <w:rFonts w:cs="Arial"/>
          <w:b/>
          <w:color w:val="1F497D" w:themeColor="text2"/>
          <w:sz w:val="18"/>
          <w:szCs w:val="18"/>
        </w:rPr>
        <w:t>AS NFES 2014</w:t>
      </w:r>
    </w:p>
    <w:p w:rsidR="00AF7C71" w:rsidRPr="003B5717" w:rsidRDefault="00AF7C71" w:rsidP="00AF7C71">
      <w:pPr>
        <w:widowControl w:val="0"/>
        <w:spacing w:line="240" w:lineRule="auto"/>
        <w:jc w:val="center"/>
        <w:rPr>
          <w:rFonts w:cs="Arial"/>
          <w:b/>
          <w:color w:val="1F497D" w:themeColor="text2"/>
          <w:sz w:val="18"/>
          <w:szCs w:val="18"/>
        </w:rPr>
      </w:pPr>
      <w:r w:rsidRPr="003B5717">
        <w:rPr>
          <w:rFonts w:cs="Arial"/>
          <w:b/>
          <w:color w:val="1F497D" w:themeColor="text2"/>
          <w:sz w:val="18"/>
          <w:szCs w:val="18"/>
        </w:rPr>
        <w:t>(%</w:t>
      </w:r>
      <w:r>
        <w:rPr>
          <w:rFonts w:cs="Arial"/>
          <w:b/>
          <w:color w:val="1F497D" w:themeColor="text2"/>
          <w:sz w:val="18"/>
          <w:szCs w:val="18"/>
        </w:rPr>
        <w:t xml:space="preserve"> verticales</w:t>
      </w:r>
      <w:r w:rsidRPr="003B5717">
        <w:rPr>
          <w:rFonts w:cs="Arial"/>
          <w:b/>
          <w:color w:val="1F497D" w:themeColor="text2"/>
          <w:sz w:val="18"/>
          <w:szCs w:val="18"/>
        </w:rPr>
        <w:t>)</w:t>
      </w:r>
    </w:p>
    <w:p w:rsidR="00C47BF5" w:rsidRPr="003B5717" w:rsidRDefault="00C47BF5" w:rsidP="00C47BF5">
      <w:pPr>
        <w:widowControl w:val="0"/>
        <w:spacing w:line="240" w:lineRule="auto"/>
        <w:jc w:val="center"/>
        <w:rPr>
          <w:rFonts w:cs="Arial"/>
          <w:b/>
          <w:color w:val="1F497D" w:themeColor="text2"/>
          <w:sz w:val="18"/>
          <w:szCs w:val="18"/>
        </w:rPr>
      </w:pPr>
    </w:p>
    <w:tbl>
      <w:tblPr>
        <w:tblW w:w="5000" w:type="pct"/>
        <w:jc w:val="center"/>
        <w:tblLook w:val="04A0" w:firstRow="1" w:lastRow="0" w:firstColumn="1" w:lastColumn="0" w:noHBand="0" w:noVBand="1"/>
      </w:tblPr>
      <w:tblGrid>
        <w:gridCol w:w="866"/>
        <w:gridCol w:w="1203"/>
        <w:gridCol w:w="1137"/>
        <w:gridCol w:w="1248"/>
        <w:gridCol w:w="1137"/>
        <w:gridCol w:w="1137"/>
        <w:gridCol w:w="1138"/>
        <w:gridCol w:w="1138"/>
      </w:tblGrid>
      <w:tr w:rsidR="00C47BF5" w:rsidRPr="003B5717" w:rsidTr="00744140">
        <w:trPr>
          <w:jc w:val="center"/>
        </w:trPr>
        <w:tc>
          <w:tcPr>
            <w:tcW w:w="4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47BF5" w:rsidRPr="003B5717" w:rsidRDefault="00C47BF5" w:rsidP="00554F81">
            <w:pPr>
              <w:widowControl w:val="0"/>
              <w:spacing w:line="240" w:lineRule="auto"/>
              <w:jc w:val="center"/>
              <w:rPr>
                <w:rFonts w:cs="Arial"/>
                <w:sz w:val="16"/>
                <w:szCs w:val="16"/>
              </w:rPr>
            </w:pPr>
            <w:r w:rsidRPr="003B5717">
              <w:rPr>
                <w:rFonts w:cs="Arial"/>
                <w:sz w:val="16"/>
                <w:szCs w:val="16"/>
              </w:rPr>
              <w:t> </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C47BF5" w:rsidRPr="003B5717" w:rsidRDefault="00C47BF5" w:rsidP="00554F81">
            <w:pPr>
              <w:widowControl w:val="0"/>
              <w:spacing w:line="240" w:lineRule="auto"/>
              <w:jc w:val="center"/>
              <w:rPr>
                <w:rFonts w:cs="Arial"/>
                <w:b/>
                <w:bCs/>
                <w:sz w:val="16"/>
                <w:szCs w:val="16"/>
              </w:rPr>
            </w:pPr>
            <w:r>
              <w:rPr>
                <w:rFonts w:cs="Arial"/>
                <w:b/>
                <w:bCs/>
                <w:sz w:val="16"/>
                <w:szCs w:val="16"/>
              </w:rPr>
              <w:t>1.- Fundaciones</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C47BF5" w:rsidRPr="003B5717" w:rsidRDefault="00C47BF5" w:rsidP="00554F81">
            <w:pPr>
              <w:widowControl w:val="0"/>
              <w:spacing w:line="240" w:lineRule="auto"/>
              <w:jc w:val="center"/>
              <w:rPr>
                <w:rFonts w:cs="Arial"/>
                <w:b/>
                <w:bCs/>
                <w:sz w:val="16"/>
                <w:szCs w:val="16"/>
              </w:rPr>
            </w:pPr>
            <w:r>
              <w:rPr>
                <w:rFonts w:cs="Arial"/>
                <w:b/>
                <w:bCs/>
                <w:sz w:val="16"/>
                <w:szCs w:val="16"/>
              </w:rPr>
              <w:t>2. Centros Especiales de Empleo</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C47BF5" w:rsidRPr="003B5717" w:rsidRDefault="00C47BF5" w:rsidP="00554F81">
            <w:pPr>
              <w:widowControl w:val="0"/>
              <w:spacing w:line="240" w:lineRule="auto"/>
              <w:jc w:val="center"/>
              <w:rPr>
                <w:rFonts w:cs="Arial"/>
                <w:b/>
                <w:bCs/>
                <w:sz w:val="16"/>
                <w:szCs w:val="16"/>
              </w:rPr>
            </w:pPr>
            <w:r>
              <w:rPr>
                <w:rFonts w:cs="Arial"/>
                <w:b/>
                <w:bCs/>
                <w:sz w:val="16"/>
                <w:szCs w:val="16"/>
              </w:rPr>
              <w:t>3.- Asociaciones de Utilidad Pública</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C47BF5" w:rsidRPr="003B5717" w:rsidRDefault="00C47BF5" w:rsidP="00554F81">
            <w:pPr>
              <w:widowControl w:val="0"/>
              <w:spacing w:line="240" w:lineRule="auto"/>
              <w:jc w:val="center"/>
              <w:rPr>
                <w:rFonts w:cs="Arial"/>
                <w:b/>
                <w:bCs/>
                <w:sz w:val="16"/>
                <w:szCs w:val="16"/>
              </w:rPr>
            </w:pPr>
            <w:r>
              <w:rPr>
                <w:rFonts w:cs="Arial"/>
                <w:b/>
                <w:bCs/>
                <w:sz w:val="16"/>
                <w:szCs w:val="16"/>
              </w:rPr>
              <w:t>4.- Empresas de Inserción</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C47BF5" w:rsidRPr="003B5717" w:rsidRDefault="00C47BF5" w:rsidP="00554F81">
            <w:pPr>
              <w:widowControl w:val="0"/>
              <w:spacing w:line="240" w:lineRule="auto"/>
              <w:jc w:val="center"/>
              <w:rPr>
                <w:rFonts w:cs="Arial"/>
                <w:b/>
                <w:bCs/>
                <w:sz w:val="16"/>
                <w:szCs w:val="16"/>
              </w:rPr>
            </w:pPr>
            <w:r>
              <w:rPr>
                <w:rFonts w:cs="Arial"/>
                <w:b/>
                <w:bCs/>
                <w:sz w:val="16"/>
                <w:szCs w:val="16"/>
              </w:rPr>
              <w:t xml:space="preserve">5.- </w:t>
            </w:r>
            <w:proofErr w:type="spellStart"/>
            <w:r>
              <w:rPr>
                <w:rFonts w:cs="Arial"/>
                <w:b/>
                <w:bCs/>
                <w:sz w:val="16"/>
                <w:szCs w:val="16"/>
              </w:rPr>
              <w:t>SATs</w:t>
            </w:r>
            <w:proofErr w:type="spellEnd"/>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C47BF5" w:rsidRDefault="00C47BF5" w:rsidP="00554F81">
            <w:pPr>
              <w:widowControl w:val="0"/>
              <w:spacing w:line="240" w:lineRule="auto"/>
              <w:jc w:val="center"/>
              <w:rPr>
                <w:rFonts w:cs="Arial"/>
                <w:b/>
                <w:bCs/>
                <w:sz w:val="16"/>
                <w:szCs w:val="16"/>
              </w:rPr>
            </w:pPr>
            <w:r>
              <w:rPr>
                <w:rFonts w:cs="Arial"/>
                <w:b/>
                <w:bCs/>
                <w:sz w:val="16"/>
                <w:szCs w:val="16"/>
              </w:rPr>
              <w:t>6.- Cofradías de Pescadores</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C47BF5" w:rsidRDefault="00C47BF5" w:rsidP="00554F81">
            <w:pPr>
              <w:widowControl w:val="0"/>
              <w:spacing w:line="240" w:lineRule="auto"/>
              <w:jc w:val="center"/>
              <w:rPr>
                <w:rFonts w:cs="Arial"/>
                <w:b/>
                <w:bCs/>
                <w:sz w:val="16"/>
                <w:szCs w:val="16"/>
              </w:rPr>
            </w:pPr>
            <w:r>
              <w:rPr>
                <w:rFonts w:cs="Arial"/>
                <w:b/>
                <w:bCs/>
                <w:sz w:val="16"/>
                <w:szCs w:val="16"/>
              </w:rPr>
              <w:t xml:space="preserve">7. </w:t>
            </w:r>
            <w:proofErr w:type="spellStart"/>
            <w:r>
              <w:rPr>
                <w:rFonts w:cs="Arial"/>
                <w:b/>
                <w:bCs/>
                <w:sz w:val="16"/>
                <w:szCs w:val="16"/>
              </w:rPr>
              <w:t>EPSVs</w:t>
            </w:r>
            <w:proofErr w:type="spellEnd"/>
            <w:r>
              <w:rPr>
                <w:rFonts w:cs="Arial"/>
                <w:b/>
                <w:bCs/>
                <w:sz w:val="16"/>
                <w:szCs w:val="16"/>
              </w:rPr>
              <w:t>*</w:t>
            </w:r>
          </w:p>
        </w:tc>
      </w:tr>
      <w:tr w:rsidR="00C47BF5" w:rsidRPr="003B5717" w:rsidTr="00744140">
        <w:trPr>
          <w:jc w:val="center"/>
        </w:trPr>
        <w:tc>
          <w:tcPr>
            <w:tcW w:w="436" w:type="pct"/>
            <w:tcBorders>
              <w:top w:val="single" w:sz="4" w:space="0" w:color="BFBFBF" w:themeColor="background1" w:themeShade="BF"/>
              <w:right w:val="single" w:sz="4" w:space="0" w:color="BFBFBF" w:themeColor="background1" w:themeShade="BF"/>
            </w:tcBorders>
          </w:tcPr>
          <w:p w:rsidR="00C47BF5" w:rsidRPr="00AB3187" w:rsidRDefault="00C47BF5" w:rsidP="00554F81">
            <w:pPr>
              <w:widowControl w:val="0"/>
              <w:spacing w:line="240" w:lineRule="exact"/>
              <w:rPr>
                <w:rFonts w:cs="Arial"/>
                <w:sz w:val="16"/>
                <w:szCs w:val="16"/>
              </w:rPr>
            </w:pPr>
            <w:r w:rsidRPr="00AB3187">
              <w:rPr>
                <w:rFonts w:cs="Arial"/>
                <w:sz w:val="16"/>
                <w:szCs w:val="16"/>
              </w:rPr>
              <w:t>Hombres</w:t>
            </w:r>
          </w:p>
        </w:tc>
        <w:tc>
          <w:tcPr>
            <w:tcW w:w="652"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39,1</w:t>
            </w:r>
          </w:p>
        </w:tc>
        <w:tc>
          <w:tcPr>
            <w:tcW w:w="652"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54,7</w:t>
            </w:r>
          </w:p>
        </w:tc>
        <w:tc>
          <w:tcPr>
            <w:tcW w:w="652"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26,9</w:t>
            </w:r>
          </w:p>
        </w:tc>
        <w:tc>
          <w:tcPr>
            <w:tcW w:w="652"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46,1</w:t>
            </w:r>
          </w:p>
        </w:tc>
        <w:tc>
          <w:tcPr>
            <w:tcW w:w="652" w:type="pct"/>
            <w:tcBorders>
              <w:top w:val="single" w:sz="4" w:space="0" w:color="BFBFBF" w:themeColor="background1" w:themeShade="BF"/>
              <w:lef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77,8</w:t>
            </w:r>
          </w:p>
        </w:tc>
        <w:tc>
          <w:tcPr>
            <w:tcW w:w="652" w:type="pct"/>
            <w:tcBorders>
              <w:top w:val="single" w:sz="4" w:space="0" w:color="BFBFBF" w:themeColor="background1" w:themeShade="BF"/>
              <w:lef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60,3</w:t>
            </w:r>
          </w:p>
        </w:tc>
        <w:tc>
          <w:tcPr>
            <w:tcW w:w="652" w:type="pct"/>
            <w:tcBorders>
              <w:top w:val="single" w:sz="4" w:space="0" w:color="BFBFBF" w:themeColor="background1" w:themeShade="BF"/>
              <w:left w:val="single" w:sz="4" w:space="0" w:color="BFBFBF" w:themeColor="background1" w:themeShade="BF"/>
            </w:tcBorders>
          </w:tcPr>
          <w:p w:rsidR="00C47BF5" w:rsidRPr="00AB3187" w:rsidRDefault="00C47BF5" w:rsidP="00554F81">
            <w:pPr>
              <w:widowControl w:val="0"/>
              <w:spacing w:line="240" w:lineRule="exact"/>
              <w:ind w:right="151"/>
              <w:jc w:val="right"/>
              <w:rPr>
                <w:rFonts w:cs="Arial"/>
                <w:sz w:val="16"/>
                <w:szCs w:val="16"/>
              </w:rPr>
            </w:pPr>
            <w:r w:rsidRPr="00AB3187">
              <w:rPr>
                <w:rFonts w:cs="Arial"/>
                <w:sz w:val="16"/>
                <w:szCs w:val="16"/>
              </w:rPr>
              <w:t>63,2</w:t>
            </w:r>
          </w:p>
        </w:tc>
      </w:tr>
      <w:tr w:rsidR="00C47BF5" w:rsidRPr="003B5717" w:rsidTr="00744140">
        <w:trPr>
          <w:jc w:val="center"/>
        </w:trPr>
        <w:tc>
          <w:tcPr>
            <w:tcW w:w="436" w:type="pct"/>
            <w:tcBorders>
              <w:bottom w:val="single" w:sz="4" w:space="0" w:color="BFBFBF" w:themeColor="background1" w:themeShade="BF"/>
              <w:right w:val="single" w:sz="4" w:space="0" w:color="BFBFBF" w:themeColor="background1" w:themeShade="BF"/>
            </w:tcBorders>
          </w:tcPr>
          <w:p w:rsidR="00C47BF5" w:rsidRPr="00AB3187" w:rsidRDefault="00C47BF5" w:rsidP="00554F81">
            <w:pPr>
              <w:widowControl w:val="0"/>
              <w:spacing w:line="240" w:lineRule="exact"/>
              <w:rPr>
                <w:rFonts w:cs="Arial"/>
                <w:sz w:val="16"/>
                <w:szCs w:val="16"/>
              </w:rPr>
            </w:pPr>
            <w:r w:rsidRPr="00AB3187">
              <w:rPr>
                <w:rFonts w:cs="Arial"/>
                <w:sz w:val="16"/>
                <w:szCs w:val="16"/>
              </w:rPr>
              <w:t>Mujeres</w:t>
            </w:r>
          </w:p>
        </w:tc>
        <w:tc>
          <w:tcPr>
            <w:tcW w:w="65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60,9</w:t>
            </w:r>
          </w:p>
        </w:tc>
        <w:tc>
          <w:tcPr>
            <w:tcW w:w="65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45,3</w:t>
            </w:r>
          </w:p>
        </w:tc>
        <w:tc>
          <w:tcPr>
            <w:tcW w:w="65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73,1</w:t>
            </w:r>
          </w:p>
        </w:tc>
        <w:tc>
          <w:tcPr>
            <w:tcW w:w="65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53,8</w:t>
            </w:r>
          </w:p>
        </w:tc>
        <w:tc>
          <w:tcPr>
            <w:tcW w:w="652" w:type="pct"/>
            <w:tcBorders>
              <w:left w:val="single" w:sz="4" w:space="0" w:color="BFBFBF" w:themeColor="background1" w:themeShade="BF"/>
              <w:bottom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22,2</w:t>
            </w:r>
          </w:p>
        </w:tc>
        <w:tc>
          <w:tcPr>
            <w:tcW w:w="652" w:type="pct"/>
            <w:tcBorders>
              <w:left w:val="single" w:sz="4" w:space="0" w:color="BFBFBF" w:themeColor="background1" w:themeShade="BF"/>
              <w:bottom w:val="single" w:sz="4" w:space="0" w:color="BFBFBF" w:themeColor="background1" w:themeShade="BF"/>
            </w:tcBorders>
          </w:tcPr>
          <w:p w:rsidR="00C47BF5" w:rsidRPr="00AB3187" w:rsidRDefault="00C47BF5" w:rsidP="00554F81">
            <w:pPr>
              <w:spacing w:line="240" w:lineRule="exact"/>
              <w:jc w:val="right"/>
              <w:rPr>
                <w:rFonts w:cs="Arial"/>
                <w:color w:val="000000"/>
                <w:sz w:val="16"/>
                <w:szCs w:val="16"/>
              </w:rPr>
            </w:pPr>
            <w:r w:rsidRPr="00AB3187">
              <w:rPr>
                <w:rFonts w:cs="Arial"/>
                <w:color w:val="000000"/>
                <w:sz w:val="16"/>
                <w:szCs w:val="16"/>
              </w:rPr>
              <w:t>39,7</w:t>
            </w:r>
          </w:p>
        </w:tc>
        <w:tc>
          <w:tcPr>
            <w:tcW w:w="652" w:type="pct"/>
            <w:tcBorders>
              <w:left w:val="single" w:sz="4" w:space="0" w:color="BFBFBF" w:themeColor="background1" w:themeShade="BF"/>
              <w:bottom w:val="single" w:sz="4" w:space="0" w:color="BFBFBF" w:themeColor="background1" w:themeShade="BF"/>
            </w:tcBorders>
          </w:tcPr>
          <w:p w:rsidR="00C47BF5" w:rsidRPr="00AB3187" w:rsidRDefault="00C47BF5" w:rsidP="00554F81">
            <w:pPr>
              <w:widowControl w:val="0"/>
              <w:spacing w:line="240" w:lineRule="exact"/>
              <w:ind w:right="151"/>
              <w:jc w:val="right"/>
              <w:rPr>
                <w:rFonts w:cs="Arial"/>
                <w:sz w:val="16"/>
                <w:szCs w:val="16"/>
              </w:rPr>
            </w:pPr>
            <w:r w:rsidRPr="00AB3187">
              <w:rPr>
                <w:rFonts w:cs="Arial"/>
                <w:sz w:val="16"/>
                <w:szCs w:val="16"/>
              </w:rPr>
              <w:t>36,8</w:t>
            </w:r>
          </w:p>
        </w:tc>
      </w:tr>
    </w:tbl>
    <w:p w:rsidR="00C47BF5" w:rsidRPr="0088597F" w:rsidRDefault="00C47BF5" w:rsidP="00C47BF5">
      <w:pPr>
        <w:spacing w:line="240" w:lineRule="auto"/>
        <w:rPr>
          <w:rFonts w:cs="Arial"/>
          <w:i/>
          <w:sz w:val="16"/>
          <w:szCs w:val="16"/>
        </w:rPr>
      </w:pPr>
      <w:r w:rsidRPr="0088597F">
        <w:rPr>
          <w:rFonts w:cs="Arial"/>
          <w:i/>
          <w:sz w:val="16"/>
          <w:szCs w:val="16"/>
        </w:rPr>
        <w:t>*</w:t>
      </w:r>
      <w:r w:rsidRPr="00B27F35">
        <w:rPr>
          <w:rFonts w:cs="Arial"/>
          <w:i/>
          <w:sz w:val="16"/>
          <w:szCs w:val="16"/>
        </w:rPr>
        <w:t xml:space="preserve"> </w:t>
      </w:r>
      <w:r w:rsidRPr="0088597F">
        <w:rPr>
          <w:rFonts w:cs="Arial"/>
          <w:i/>
          <w:sz w:val="16"/>
          <w:szCs w:val="16"/>
        </w:rPr>
        <w:t xml:space="preserve">Fuente: </w:t>
      </w:r>
      <w:r>
        <w:rPr>
          <w:rFonts w:cs="Arial"/>
          <w:i/>
          <w:sz w:val="16"/>
          <w:szCs w:val="16"/>
        </w:rPr>
        <w:t xml:space="preserve">Informe nº 35 Nº empleados de las </w:t>
      </w:r>
      <w:proofErr w:type="spellStart"/>
      <w:r>
        <w:rPr>
          <w:rFonts w:cs="Arial"/>
          <w:i/>
          <w:sz w:val="16"/>
          <w:szCs w:val="16"/>
        </w:rPr>
        <w:t>EPSVs</w:t>
      </w:r>
      <w:proofErr w:type="spellEnd"/>
      <w:r>
        <w:rPr>
          <w:rFonts w:cs="Arial"/>
          <w:i/>
          <w:sz w:val="16"/>
          <w:szCs w:val="16"/>
        </w:rPr>
        <w:t xml:space="preserve">, </w:t>
      </w:r>
      <w:r w:rsidRPr="0088597F">
        <w:rPr>
          <w:rFonts w:cs="Arial"/>
          <w:i/>
          <w:sz w:val="16"/>
          <w:szCs w:val="16"/>
        </w:rPr>
        <w:t>IV Trimestre de 2014</w:t>
      </w:r>
      <w:r>
        <w:rPr>
          <w:rFonts w:cs="Arial"/>
          <w:i/>
          <w:sz w:val="16"/>
          <w:szCs w:val="16"/>
        </w:rPr>
        <w:t>,</w:t>
      </w:r>
      <w:r w:rsidRPr="0088597F">
        <w:rPr>
          <w:rFonts w:cs="Arial"/>
          <w:i/>
          <w:sz w:val="16"/>
          <w:szCs w:val="16"/>
        </w:rPr>
        <w:t xml:space="preserve"> Departamento de Hacienda y Finanzas. Dirección de Política Financ</w:t>
      </w:r>
      <w:r>
        <w:rPr>
          <w:rFonts w:cs="Arial"/>
          <w:i/>
          <w:sz w:val="16"/>
          <w:szCs w:val="16"/>
        </w:rPr>
        <w:t>iera y Recursos Institucionales.</w:t>
      </w:r>
    </w:p>
    <w:p w:rsidR="00C47BF5" w:rsidRDefault="00C47BF5" w:rsidP="00C47BF5">
      <w:pPr>
        <w:widowControl w:val="0"/>
      </w:pPr>
    </w:p>
    <w:p w:rsidR="00AF7C71" w:rsidRDefault="00AF7C71" w:rsidP="00C47BF5">
      <w:pPr>
        <w:widowControl w:val="0"/>
      </w:pPr>
    </w:p>
    <w:p w:rsidR="00540C90" w:rsidRDefault="00744140" w:rsidP="00744140">
      <w:pPr>
        <w:widowControl w:val="0"/>
        <w:rPr>
          <w:rFonts w:cs="Arial"/>
          <w:lang w:eastAsia="es-ES"/>
        </w:rPr>
      </w:pPr>
      <w:r>
        <w:t xml:space="preserve">En cuanto a la relación contractual, la proporción de </w:t>
      </w:r>
      <w:r>
        <w:rPr>
          <w:rFonts w:cs="Arial"/>
          <w:lang w:eastAsia="es-ES"/>
        </w:rPr>
        <w:t xml:space="preserve">personal </w:t>
      </w:r>
      <w:r w:rsidR="00246381">
        <w:rPr>
          <w:rFonts w:cs="Arial"/>
          <w:lang w:eastAsia="es-ES"/>
        </w:rPr>
        <w:t xml:space="preserve">fijo se sitúa en una horquilla </w:t>
      </w:r>
      <w:r>
        <w:rPr>
          <w:rFonts w:cs="Arial"/>
          <w:lang w:eastAsia="es-ES"/>
        </w:rPr>
        <w:t xml:space="preserve">entre el 79 y </w:t>
      </w:r>
      <w:r w:rsidR="00246381">
        <w:rPr>
          <w:rFonts w:cs="Arial"/>
          <w:lang w:eastAsia="es-ES"/>
        </w:rPr>
        <w:t>95</w:t>
      </w:r>
      <w:r>
        <w:rPr>
          <w:rFonts w:cs="Arial"/>
          <w:lang w:eastAsia="es-ES"/>
        </w:rPr>
        <w:t>,2</w:t>
      </w:r>
      <w:r w:rsidR="00246381">
        <w:rPr>
          <w:rFonts w:cs="Arial"/>
          <w:lang w:eastAsia="es-ES"/>
        </w:rPr>
        <w:t>% en</w:t>
      </w:r>
      <w:r>
        <w:rPr>
          <w:rFonts w:cs="Arial"/>
          <w:lang w:eastAsia="es-ES"/>
        </w:rPr>
        <w:t xml:space="preserve"> lo relativo a las </w:t>
      </w:r>
      <w:r w:rsidR="00246381">
        <w:rPr>
          <w:rFonts w:cs="Arial"/>
          <w:lang w:eastAsia="es-ES"/>
        </w:rPr>
        <w:t xml:space="preserve">Cofradías de Pescadores, </w:t>
      </w:r>
      <w:proofErr w:type="spellStart"/>
      <w:r w:rsidR="00246381">
        <w:rPr>
          <w:rFonts w:cs="Arial"/>
          <w:lang w:eastAsia="es-ES"/>
        </w:rPr>
        <w:t>SATs</w:t>
      </w:r>
      <w:proofErr w:type="spellEnd"/>
      <w:r w:rsidR="00246381">
        <w:rPr>
          <w:rFonts w:cs="Arial"/>
          <w:lang w:eastAsia="es-ES"/>
        </w:rPr>
        <w:t>, Fundaciones y Asociaciones de Utilidad Pública</w:t>
      </w:r>
      <w:r>
        <w:rPr>
          <w:rFonts w:cs="Arial"/>
          <w:lang w:eastAsia="es-ES"/>
        </w:rPr>
        <w:t>. Esta proporción se reduce al 65,3%</w:t>
      </w:r>
      <w:r w:rsidR="00246381">
        <w:rPr>
          <w:rFonts w:cs="Arial"/>
          <w:lang w:eastAsia="es-ES"/>
        </w:rPr>
        <w:t xml:space="preserve"> entre l</w:t>
      </w:r>
      <w:r>
        <w:rPr>
          <w:rFonts w:cs="Arial"/>
          <w:lang w:eastAsia="es-ES"/>
        </w:rPr>
        <w:t xml:space="preserve">os Centros Especiales de Empleo, tipo de entidades en los que sigue sin embargo siendo predominante el empleo fijo. Las </w:t>
      </w:r>
      <w:r w:rsidR="00246381">
        <w:rPr>
          <w:rFonts w:cs="Arial"/>
          <w:lang w:eastAsia="es-ES"/>
        </w:rPr>
        <w:t>Empresas de Inserción</w:t>
      </w:r>
      <w:r>
        <w:rPr>
          <w:rFonts w:cs="Arial"/>
          <w:lang w:eastAsia="es-ES"/>
        </w:rPr>
        <w:t xml:space="preserve"> constituyen el único tipo de entidad en el que predomina el empleo eventual, con un </w:t>
      </w:r>
      <w:r w:rsidR="005E2E8C">
        <w:rPr>
          <w:rFonts w:cs="Arial"/>
          <w:lang w:eastAsia="es-ES"/>
        </w:rPr>
        <w:t>50,8%.</w:t>
      </w:r>
    </w:p>
    <w:p w:rsidR="003B7EB5" w:rsidRDefault="003B7EB5">
      <w:pPr>
        <w:spacing w:after="200" w:line="276" w:lineRule="auto"/>
        <w:jc w:val="left"/>
        <w:rPr>
          <w:rFonts w:cs="Arial"/>
          <w:b/>
          <w:bCs/>
          <w:color w:val="1F497D" w:themeColor="text2"/>
          <w:sz w:val="18"/>
          <w:szCs w:val="18"/>
        </w:rPr>
      </w:pPr>
    </w:p>
    <w:p w:rsidR="00AF7C71" w:rsidRDefault="00AF7C71" w:rsidP="00AF7C71">
      <w:pPr>
        <w:widowControl w:val="0"/>
        <w:spacing w:line="240" w:lineRule="auto"/>
        <w:jc w:val="center"/>
        <w:rPr>
          <w:rFonts w:cs="Arial"/>
          <w:b/>
          <w:color w:val="1F497D" w:themeColor="text2"/>
          <w:sz w:val="18"/>
          <w:szCs w:val="18"/>
        </w:rPr>
      </w:pPr>
      <w:r>
        <w:rPr>
          <w:rFonts w:cs="Arial"/>
          <w:b/>
          <w:bCs/>
          <w:color w:val="1F497D" w:themeColor="text2"/>
          <w:sz w:val="18"/>
          <w:szCs w:val="18"/>
        </w:rPr>
        <w:t>DISTRIBUCIÓN DEL EMPLEO SEGÚN RELACIÓN CONTRACTUAL POR TIPO DE ENTIDAD EN LAS NFES. 2014 (% horizontales)</w:t>
      </w:r>
    </w:p>
    <w:tbl>
      <w:tblPr>
        <w:tblW w:w="5000" w:type="pct"/>
        <w:jc w:val="center"/>
        <w:tblLook w:val="04A0" w:firstRow="1" w:lastRow="0" w:firstColumn="1" w:lastColumn="0" w:noHBand="0" w:noVBand="1"/>
      </w:tblPr>
      <w:tblGrid>
        <w:gridCol w:w="5558"/>
        <w:gridCol w:w="1723"/>
        <w:gridCol w:w="1723"/>
      </w:tblGrid>
      <w:tr w:rsidR="00AF7C71" w:rsidRPr="00404CA5" w:rsidTr="00744140">
        <w:trPr>
          <w:jc w:val="center"/>
        </w:trPr>
        <w:tc>
          <w:tcPr>
            <w:tcW w:w="308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F7C71" w:rsidRPr="00404CA5" w:rsidRDefault="00AF7C71" w:rsidP="00554F81">
            <w:pPr>
              <w:widowControl w:val="0"/>
              <w:spacing w:line="240" w:lineRule="exact"/>
              <w:rPr>
                <w:rFonts w:cs="Arial"/>
                <w:b/>
                <w:sz w:val="16"/>
                <w:szCs w:val="16"/>
              </w:rPr>
            </w:pPr>
          </w:p>
        </w:tc>
        <w:tc>
          <w:tcPr>
            <w:tcW w:w="9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F7C71" w:rsidRPr="00404CA5" w:rsidRDefault="00AF7C71" w:rsidP="00554F81">
            <w:pPr>
              <w:widowControl w:val="0"/>
              <w:spacing w:line="240" w:lineRule="exact"/>
              <w:jc w:val="center"/>
              <w:rPr>
                <w:rFonts w:cs="Arial"/>
                <w:b/>
                <w:sz w:val="16"/>
                <w:szCs w:val="16"/>
              </w:rPr>
            </w:pPr>
            <w:r>
              <w:rPr>
                <w:rFonts w:cs="Arial"/>
                <w:b/>
                <w:sz w:val="16"/>
                <w:szCs w:val="16"/>
              </w:rPr>
              <w:t>Fijos</w:t>
            </w:r>
          </w:p>
        </w:tc>
        <w:tc>
          <w:tcPr>
            <w:tcW w:w="9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AF7C71" w:rsidRPr="00404CA5" w:rsidRDefault="00AF7C71" w:rsidP="00554F81">
            <w:pPr>
              <w:widowControl w:val="0"/>
              <w:spacing w:line="240" w:lineRule="exact"/>
              <w:jc w:val="center"/>
              <w:rPr>
                <w:rFonts w:cs="Arial"/>
                <w:b/>
                <w:sz w:val="16"/>
                <w:szCs w:val="16"/>
              </w:rPr>
            </w:pPr>
            <w:r>
              <w:rPr>
                <w:rFonts w:cs="Arial"/>
                <w:b/>
                <w:sz w:val="16"/>
                <w:szCs w:val="16"/>
              </w:rPr>
              <w:t>Eventuales</w:t>
            </w:r>
          </w:p>
        </w:tc>
      </w:tr>
      <w:tr w:rsidR="00AF7C71" w:rsidRPr="00404CA5" w:rsidTr="00744140">
        <w:trPr>
          <w:jc w:val="center"/>
        </w:trPr>
        <w:tc>
          <w:tcPr>
            <w:tcW w:w="3086" w:type="pct"/>
            <w:tcBorders>
              <w:top w:val="single" w:sz="4" w:space="0" w:color="BFBFBF" w:themeColor="background1" w:themeShade="BF"/>
              <w:right w:val="single" w:sz="4" w:space="0" w:color="BFBFBF" w:themeColor="background1" w:themeShade="BF"/>
            </w:tcBorders>
          </w:tcPr>
          <w:p w:rsidR="00AF7C71" w:rsidRPr="00AB3187" w:rsidRDefault="00AF7C71" w:rsidP="00554F81">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957" w:type="pct"/>
            <w:tcBorders>
              <w:top w:val="single" w:sz="4" w:space="0" w:color="BFBFBF" w:themeColor="background1" w:themeShade="BF"/>
              <w:righ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82,4</w:t>
            </w:r>
          </w:p>
        </w:tc>
        <w:tc>
          <w:tcPr>
            <w:tcW w:w="957" w:type="pct"/>
            <w:tcBorders>
              <w:top w:val="single" w:sz="4" w:space="0" w:color="BFBFBF" w:themeColor="background1" w:themeShade="BF"/>
              <w:lef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17,6</w:t>
            </w:r>
          </w:p>
        </w:tc>
      </w:tr>
      <w:tr w:rsidR="00AF7C71" w:rsidRPr="00404CA5" w:rsidTr="00744140">
        <w:trPr>
          <w:jc w:val="center"/>
        </w:trPr>
        <w:tc>
          <w:tcPr>
            <w:tcW w:w="3086" w:type="pct"/>
            <w:tcBorders>
              <w:right w:val="single" w:sz="4" w:space="0" w:color="BFBFBF" w:themeColor="background1" w:themeShade="BF"/>
            </w:tcBorders>
          </w:tcPr>
          <w:p w:rsidR="00AF7C71" w:rsidRPr="00AB3187" w:rsidRDefault="00AF7C71" w:rsidP="00554F81">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957" w:type="pct"/>
            <w:tcBorders>
              <w:righ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65,3</w:t>
            </w:r>
          </w:p>
        </w:tc>
        <w:tc>
          <w:tcPr>
            <w:tcW w:w="957" w:type="pct"/>
            <w:tcBorders>
              <w:lef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34,7</w:t>
            </w:r>
          </w:p>
        </w:tc>
      </w:tr>
      <w:tr w:rsidR="00AF7C71" w:rsidRPr="00404CA5" w:rsidTr="00744140">
        <w:trPr>
          <w:jc w:val="center"/>
        </w:trPr>
        <w:tc>
          <w:tcPr>
            <w:tcW w:w="3086" w:type="pct"/>
            <w:tcBorders>
              <w:right w:val="single" w:sz="4" w:space="0" w:color="BFBFBF" w:themeColor="background1" w:themeShade="BF"/>
            </w:tcBorders>
          </w:tcPr>
          <w:p w:rsidR="00AF7C71" w:rsidRPr="00AB3187" w:rsidRDefault="00AF7C71" w:rsidP="00554F81">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957" w:type="pct"/>
            <w:tcBorders>
              <w:righ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79,0</w:t>
            </w:r>
          </w:p>
        </w:tc>
        <w:tc>
          <w:tcPr>
            <w:tcW w:w="957" w:type="pct"/>
            <w:tcBorders>
              <w:lef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21,0</w:t>
            </w:r>
          </w:p>
        </w:tc>
      </w:tr>
      <w:tr w:rsidR="00AF7C71" w:rsidRPr="00404CA5" w:rsidTr="00744140">
        <w:trPr>
          <w:jc w:val="center"/>
        </w:trPr>
        <w:tc>
          <w:tcPr>
            <w:tcW w:w="3086" w:type="pct"/>
            <w:tcBorders>
              <w:right w:val="single" w:sz="4" w:space="0" w:color="BFBFBF" w:themeColor="background1" w:themeShade="BF"/>
            </w:tcBorders>
          </w:tcPr>
          <w:p w:rsidR="00AF7C71" w:rsidRPr="00AB3187" w:rsidRDefault="00AF7C71" w:rsidP="00554F81">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957" w:type="pct"/>
            <w:tcBorders>
              <w:righ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49,1</w:t>
            </w:r>
          </w:p>
        </w:tc>
        <w:tc>
          <w:tcPr>
            <w:tcW w:w="957" w:type="pct"/>
            <w:tcBorders>
              <w:lef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50,8</w:t>
            </w:r>
          </w:p>
        </w:tc>
      </w:tr>
      <w:tr w:rsidR="00AF7C71" w:rsidRPr="00404CA5" w:rsidTr="00744140">
        <w:trPr>
          <w:jc w:val="center"/>
        </w:trPr>
        <w:tc>
          <w:tcPr>
            <w:tcW w:w="3086" w:type="pct"/>
            <w:tcBorders>
              <w:right w:val="single" w:sz="4" w:space="0" w:color="BFBFBF" w:themeColor="background1" w:themeShade="BF"/>
            </w:tcBorders>
          </w:tcPr>
          <w:p w:rsidR="00AF7C71" w:rsidRPr="00AB3187" w:rsidRDefault="00AF7C71" w:rsidP="00554F81">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957" w:type="pct"/>
            <w:tcBorders>
              <w:righ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82,4</w:t>
            </w:r>
          </w:p>
        </w:tc>
        <w:tc>
          <w:tcPr>
            <w:tcW w:w="957" w:type="pct"/>
            <w:tcBorders>
              <w:lef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17,6</w:t>
            </w:r>
          </w:p>
        </w:tc>
      </w:tr>
      <w:tr w:rsidR="00AF7C71" w:rsidRPr="00404CA5" w:rsidTr="00744140">
        <w:trPr>
          <w:jc w:val="center"/>
        </w:trPr>
        <w:tc>
          <w:tcPr>
            <w:tcW w:w="3086" w:type="pct"/>
            <w:tcBorders>
              <w:right w:val="single" w:sz="4" w:space="0" w:color="BFBFBF" w:themeColor="background1" w:themeShade="BF"/>
            </w:tcBorders>
          </w:tcPr>
          <w:p w:rsidR="00AF7C71" w:rsidRPr="00AB3187" w:rsidRDefault="00AF7C71" w:rsidP="00554F81">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957" w:type="pct"/>
            <w:tcBorders>
              <w:righ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95,2</w:t>
            </w:r>
          </w:p>
        </w:tc>
        <w:tc>
          <w:tcPr>
            <w:tcW w:w="957" w:type="pct"/>
            <w:tcBorders>
              <w:lef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r w:rsidRPr="00AB3187">
              <w:rPr>
                <w:rFonts w:cs="Arial"/>
                <w:color w:val="000000"/>
                <w:sz w:val="16"/>
                <w:szCs w:val="16"/>
              </w:rPr>
              <w:t>4,8</w:t>
            </w:r>
          </w:p>
        </w:tc>
      </w:tr>
      <w:tr w:rsidR="00AF7C71" w:rsidRPr="00404CA5" w:rsidTr="00744140">
        <w:trPr>
          <w:jc w:val="center"/>
        </w:trPr>
        <w:tc>
          <w:tcPr>
            <w:tcW w:w="3086" w:type="pct"/>
            <w:tcBorders>
              <w:bottom w:val="single" w:sz="4" w:space="0" w:color="BFBFBF" w:themeColor="background1" w:themeShade="BF"/>
              <w:right w:val="single" w:sz="4" w:space="0" w:color="BFBFBF" w:themeColor="background1" w:themeShade="BF"/>
            </w:tcBorders>
          </w:tcPr>
          <w:p w:rsidR="00AF7C71" w:rsidRPr="00AB3187" w:rsidRDefault="00AF7C71" w:rsidP="00554F81">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7.EPSVs</w:t>
            </w:r>
          </w:p>
        </w:tc>
        <w:tc>
          <w:tcPr>
            <w:tcW w:w="957" w:type="pct"/>
            <w:tcBorders>
              <w:bottom w:val="single" w:sz="4" w:space="0" w:color="BFBFBF" w:themeColor="background1" w:themeShade="BF"/>
              <w:right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proofErr w:type="spellStart"/>
            <w:r w:rsidRPr="00AB3187">
              <w:rPr>
                <w:rFonts w:cs="Arial"/>
                <w:color w:val="000000"/>
                <w:sz w:val="16"/>
                <w:szCs w:val="16"/>
              </w:rPr>
              <w:t>n.d</w:t>
            </w:r>
            <w:proofErr w:type="spellEnd"/>
            <w:r w:rsidRPr="00AB3187">
              <w:rPr>
                <w:rFonts w:cs="Arial"/>
                <w:color w:val="000000"/>
                <w:sz w:val="16"/>
                <w:szCs w:val="16"/>
              </w:rPr>
              <w:t>.</w:t>
            </w:r>
          </w:p>
        </w:tc>
        <w:tc>
          <w:tcPr>
            <w:tcW w:w="957" w:type="pct"/>
            <w:tcBorders>
              <w:left w:val="single" w:sz="4" w:space="0" w:color="BFBFBF" w:themeColor="background1" w:themeShade="BF"/>
              <w:bottom w:val="single" w:sz="4" w:space="0" w:color="BFBFBF" w:themeColor="background1" w:themeShade="BF"/>
            </w:tcBorders>
          </w:tcPr>
          <w:p w:rsidR="00AF7C71" w:rsidRPr="00AB3187" w:rsidRDefault="00AF7C71" w:rsidP="00554F81">
            <w:pPr>
              <w:spacing w:line="240" w:lineRule="exact"/>
              <w:ind w:right="123"/>
              <w:jc w:val="right"/>
              <w:rPr>
                <w:rFonts w:cs="Arial"/>
                <w:color w:val="000000"/>
                <w:sz w:val="16"/>
                <w:szCs w:val="16"/>
              </w:rPr>
            </w:pPr>
            <w:proofErr w:type="spellStart"/>
            <w:r w:rsidRPr="00AB3187">
              <w:rPr>
                <w:rFonts w:cs="Arial"/>
                <w:color w:val="000000"/>
                <w:sz w:val="16"/>
                <w:szCs w:val="16"/>
              </w:rPr>
              <w:t>n.d</w:t>
            </w:r>
            <w:proofErr w:type="spellEnd"/>
            <w:r w:rsidRPr="00AB3187">
              <w:rPr>
                <w:rFonts w:cs="Arial"/>
                <w:color w:val="000000"/>
                <w:sz w:val="16"/>
                <w:szCs w:val="16"/>
              </w:rPr>
              <w:t>.</w:t>
            </w:r>
          </w:p>
        </w:tc>
      </w:tr>
    </w:tbl>
    <w:p w:rsidR="00AF7C71" w:rsidRDefault="00AF7C71" w:rsidP="00AF7C71">
      <w:pPr>
        <w:widowControl w:val="0"/>
      </w:pPr>
    </w:p>
    <w:p w:rsidR="00744140" w:rsidRDefault="00744140" w:rsidP="00AF7C71">
      <w:pPr>
        <w:widowControl w:val="0"/>
      </w:pPr>
    </w:p>
    <w:p w:rsidR="00554F81" w:rsidRDefault="00744140" w:rsidP="00790DDD">
      <w:pPr>
        <w:rPr>
          <w:b/>
          <w:lang w:eastAsia="es-ES"/>
        </w:rPr>
      </w:pPr>
      <w:r>
        <w:rPr>
          <w:b/>
          <w:lang w:eastAsia="es-ES"/>
        </w:rPr>
        <w:t>E</w:t>
      </w:r>
      <w:r w:rsidR="00790DDD">
        <w:rPr>
          <w:b/>
          <w:lang w:eastAsia="es-ES"/>
        </w:rPr>
        <w:t xml:space="preserve">n términos </w:t>
      </w:r>
      <w:r w:rsidR="00A03F54">
        <w:rPr>
          <w:b/>
          <w:lang w:eastAsia="es-ES"/>
        </w:rPr>
        <w:t>de actividad económica</w:t>
      </w:r>
      <w:r>
        <w:rPr>
          <w:b/>
          <w:lang w:eastAsia="es-ES"/>
        </w:rPr>
        <w:t>, las NFES</w:t>
      </w:r>
      <w:r w:rsidR="00790DDD">
        <w:rPr>
          <w:b/>
          <w:lang w:eastAsia="es-ES"/>
        </w:rPr>
        <w:t xml:space="preserve"> factura</w:t>
      </w:r>
      <w:r w:rsidR="00A30D9D">
        <w:rPr>
          <w:b/>
          <w:lang w:eastAsia="es-ES"/>
        </w:rPr>
        <w:t>n</w:t>
      </w:r>
      <w:r w:rsidR="00790DDD">
        <w:rPr>
          <w:b/>
          <w:lang w:eastAsia="es-ES"/>
        </w:rPr>
        <w:t xml:space="preserve"> en 2014 un total de 2.183</w:t>
      </w:r>
      <w:r w:rsidR="00A30D9D">
        <w:rPr>
          <w:b/>
          <w:lang w:eastAsia="es-ES"/>
        </w:rPr>
        <w:t>,2</w:t>
      </w:r>
      <w:r w:rsidR="00790DDD">
        <w:rPr>
          <w:b/>
          <w:lang w:eastAsia="es-ES"/>
        </w:rPr>
        <w:t xml:space="preserve"> millones de euros</w:t>
      </w:r>
      <w:r w:rsidR="00AC59B7">
        <w:rPr>
          <w:b/>
          <w:lang w:eastAsia="es-ES"/>
        </w:rPr>
        <w:t>.</w:t>
      </w:r>
    </w:p>
    <w:p w:rsidR="00E3165A" w:rsidRDefault="00E3165A" w:rsidP="00790DDD">
      <w:pPr>
        <w:rPr>
          <w:b/>
          <w:lang w:eastAsia="es-ES"/>
        </w:rPr>
      </w:pPr>
    </w:p>
    <w:p w:rsidR="00DE6344" w:rsidRDefault="00E3165A" w:rsidP="00790DDD">
      <w:pPr>
        <w:rPr>
          <w:lang w:eastAsia="es-ES"/>
        </w:rPr>
      </w:pPr>
      <w:r w:rsidRPr="00C77E1B">
        <w:rPr>
          <w:lang w:eastAsia="es-ES"/>
        </w:rPr>
        <w:t xml:space="preserve">Las NFES </w:t>
      </w:r>
      <w:r w:rsidR="00C77E1B" w:rsidRPr="00C77E1B">
        <w:rPr>
          <w:lang w:eastAsia="es-ES"/>
        </w:rPr>
        <w:t>facturan glob</w:t>
      </w:r>
      <w:r w:rsidR="00A30D9D">
        <w:rPr>
          <w:lang w:eastAsia="es-ES"/>
        </w:rPr>
        <w:t>almente 2.183 millones de euros en 2014</w:t>
      </w:r>
      <w:r w:rsidR="00744140">
        <w:rPr>
          <w:lang w:eastAsia="es-ES"/>
        </w:rPr>
        <w:t xml:space="preserve">. Esto supone, en comparación con </w:t>
      </w:r>
      <w:r w:rsidR="00C77E1B">
        <w:rPr>
          <w:lang w:eastAsia="es-ES"/>
        </w:rPr>
        <w:t xml:space="preserve">las primeras estimaciones realizadas en la Estadística de la Economía Social 2012, un crecimiento próximo al 12%. </w:t>
      </w:r>
    </w:p>
    <w:p w:rsidR="00DE6344" w:rsidRDefault="00DE6344" w:rsidP="00790DDD">
      <w:pPr>
        <w:rPr>
          <w:lang w:eastAsia="es-ES"/>
        </w:rPr>
      </w:pPr>
    </w:p>
    <w:p w:rsidR="00A30D9D" w:rsidRDefault="00C77E1B" w:rsidP="00744140">
      <w:pPr>
        <w:rPr>
          <w:lang w:eastAsia="es-ES"/>
        </w:rPr>
      </w:pPr>
      <w:r>
        <w:rPr>
          <w:lang w:eastAsia="es-ES"/>
        </w:rPr>
        <w:t xml:space="preserve">Esta cifra </w:t>
      </w:r>
      <w:r w:rsidR="00744140">
        <w:rPr>
          <w:lang w:eastAsia="es-ES"/>
        </w:rPr>
        <w:t xml:space="preserve">se ve </w:t>
      </w:r>
      <w:r>
        <w:rPr>
          <w:lang w:eastAsia="es-ES"/>
        </w:rPr>
        <w:t xml:space="preserve">en gran medida </w:t>
      </w:r>
      <w:r w:rsidR="00554F81" w:rsidRPr="00C77E1B">
        <w:rPr>
          <w:lang w:eastAsia="es-ES"/>
        </w:rPr>
        <w:t>condicionada</w:t>
      </w:r>
      <w:r w:rsidR="00744140">
        <w:rPr>
          <w:lang w:eastAsia="es-ES"/>
        </w:rPr>
        <w:t>, sin embargo,</w:t>
      </w:r>
      <w:r w:rsidR="00554F81" w:rsidRPr="00C77E1B">
        <w:rPr>
          <w:lang w:eastAsia="es-ES"/>
        </w:rPr>
        <w:t xml:space="preserve"> por los volúmenes</w:t>
      </w:r>
      <w:r w:rsidR="006F3A27">
        <w:rPr>
          <w:lang w:eastAsia="es-ES"/>
        </w:rPr>
        <w:t xml:space="preserve"> de facturación generados por</w:t>
      </w:r>
      <w:r w:rsidR="00554F81" w:rsidRPr="00C77E1B">
        <w:rPr>
          <w:lang w:eastAsia="es-ES"/>
        </w:rPr>
        <w:t xml:space="preserve"> las </w:t>
      </w:r>
      <w:proofErr w:type="spellStart"/>
      <w:r w:rsidR="00554F81" w:rsidRPr="00C77E1B">
        <w:rPr>
          <w:lang w:eastAsia="es-ES"/>
        </w:rPr>
        <w:t>EPSVs</w:t>
      </w:r>
      <w:proofErr w:type="spellEnd"/>
      <w:r w:rsidR="000E7EA7">
        <w:rPr>
          <w:lang w:eastAsia="es-ES"/>
        </w:rPr>
        <w:t>, que con un total de 1.232 millones de euros,</w:t>
      </w:r>
      <w:r w:rsidR="00554F81" w:rsidRPr="00C77E1B">
        <w:rPr>
          <w:lang w:eastAsia="es-ES"/>
        </w:rPr>
        <w:t xml:space="preserve"> representan más de la m</w:t>
      </w:r>
      <w:r w:rsidR="000E7EA7">
        <w:rPr>
          <w:lang w:eastAsia="es-ES"/>
        </w:rPr>
        <w:t xml:space="preserve">itad de </w:t>
      </w:r>
      <w:r w:rsidR="00744140">
        <w:rPr>
          <w:lang w:eastAsia="es-ES"/>
        </w:rPr>
        <w:t>la facturación de</w:t>
      </w:r>
      <w:r w:rsidR="006F3A27">
        <w:rPr>
          <w:lang w:eastAsia="es-ES"/>
        </w:rPr>
        <w:t xml:space="preserve"> estas NFES</w:t>
      </w:r>
      <w:r w:rsidR="000E7EA7">
        <w:rPr>
          <w:lang w:eastAsia="es-ES"/>
        </w:rPr>
        <w:t xml:space="preserve"> (56,4%)</w:t>
      </w:r>
      <w:r w:rsidR="00744140">
        <w:rPr>
          <w:lang w:eastAsia="es-ES"/>
        </w:rPr>
        <w:t>. L</w:t>
      </w:r>
      <w:r w:rsidR="00D33E14">
        <w:rPr>
          <w:lang w:eastAsia="es-ES"/>
        </w:rPr>
        <w:t>e</w:t>
      </w:r>
      <w:r w:rsidR="00744140">
        <w:rPr>
          <w:lang w:eastAsia="es-ES"/>
        </w:rPr>
        <w:t>s</w:t>
      </w:r>
      <w:r w:rsidR="00D33E14">
        <w:rPr>
          <w:lang w:eastAsia="es-ES"/>
        </w:rPr>
        <w:t xml:space="preserve"> siguen las Fundaciones</w:t>
      </w:r>
      <w:r w:rsidR="00744140">
        <w:rPr>
          <w:lang w:eastAsia="es-ES"/>
        </w:rPr>
        <w:t>,</w:t>
      </w:r>
      <w:r w:rsidR="00D33E14">
        <w:rPr>
          <w:lang w:eastAsia="es-ES"/>
        </w:rPr>
        <w:t xml:space="preserve"> con 524 millones de euros de facturación</w:t>
      </w:r>
      <w:r w:rsidR="00744140">
        <w:rPr>
          <w:lang w:eastAsia="es-ES"/>
        </w:rPr>
        <w:t>,</w:t>
      </w:r>
      <w:r w:rsidR="00D33E14">
        <w:rPr>
          <w:lang w:eastAsia="es-ES"/>
        </w:rPr>
        <w:t xml:space="preserve"> y </w:t>
      </w:r>
      <w:r w:rsidR="00F0000A">
        <w:rPr>
          <w:lang w:eastAsia="es-ES"/>
        </w:rPr>
        <w:t>los Centros Especiales de Empleo</w:t>
      </w:r>
      <w:r w:rsidR="00744140">
        <w:rPr>
          <w:lang w:eastAsia="es-ES"/>
        </w:rPr>
        <w:t>,</w:t>
      </w:r>
      <w:r w:rsidR="00D33E14">
        <w:rPr>
          <w:lang w:eastAsia="es-ES"/>
        </w:rPr>
        <w:t xml:space="preserve"> con </w:t>
      </w:r>
      <w:r w:rsidR="00744140">
        <w:rPr>
          <w:lang w:eastAsia="es-ES"/>
        </w:rPr>
        <w:t xml:space="preserve">otros </w:t>
      </w:r>
      <w:r w:rsidR="00D33E14">
        <w:rPr>
          <w:lang w:eastAsia="es-ES"/>
        </w:rPr>
        <w:t>229 millones.</w:t>
      </w:r>
      <w:r w:rsidR="00A30D9D">
        <w:rPr>
          <w:lang w:eastAsia="es-ES"/>
        </w:rPr>
        <w:t xml:space="preserve"> </w:t>
      </w:r>
      <w:r w:rsidR="00744140">
        <w:rPr>
          <w:lang w:eastAsia="es-ES"/>
        </w:rPr>
        <w:t>Las Asociaciones de Utilidad Pública facturan, por su parte, 92,4 millones de euros</w:t>
      </w:r>
      <w:r w:rsidR="00A30D9D">
        <w:rPr>
          <w:lang w:eastAsia="es-ES"/>
        </w:rPr>
        <w:t>.</w:t>
      </w:r>
    </w:p>
    <w:p w:rsidR="00A30D9D" w:rsidRDefault="00A30D9D" w:rsidP="00744140">
      <w:pPr>
        <w:rPr>
          <w:lang w:eastAsia="es-ES"/>
        </w:rPr>
      </w:pPr>
    </w:p>
    <w:p w:rsidR="00A30D9D" w:rsidRDefault="00A30D9D" w:rsidP="00744140">
      <w:pPr>
        <w:rPr>
          <w:lang w:eastAsia="es-ES"/>
        </w:rPr>
      </w:pPr>
      <w:r>
        <w:rPr>
          <w:lang w:eastAsia="es-ES"/>
        </w:rPr>
        <w:t xml:space="preserve">La facturación resulta mucho más limitada entre </w:t>
      </w:r>
      <w:r w:rsidR="00744140">
        <w:rPr>
          <w:lang w:eastAsia="es-ES"/>
        </w:rPr>
        <w:t xml:space="preserve">las </w:t>
      </w:r>
      <w:proofErr w:type="spellStart"/>
      <w:r w:rsidR="00744140">
        <w:rPr>
          <w:lang w:eastAsia="es-ES"/>
        </w:rPr>
        <w:t>SAT</w:t>
      </w:r>
      <w:r>
        <w:rPr>
          <w:lang w:eastAsia="es-ES"/>
        </w:rPr>
        <w:t>s</w:t>
      </w:r>
      <w:proofErr w:type="spellEnd"/>
      <w:r w:rsidR="00744140">
        <w:rPr>
          <w:lang w:eastAsia="es-ES"/>
        </w:rPr>
        <w:t xml:space="preserve">, las Empresas de Inserción y las Cofradías de Pescadores, </w:t>
      </w:r>
      <w:r>
        <w:rPr>
          <w:lang w:eastAsia="es-ES"/>
        </w:rPr>
        <w:t xml:space="preserve">entidades que </w:t>
      </w:r>
      <w:r w:rsidR="00744140">
        <w:rPr>
          <w:lang w:eastAsia="es-ES"/>
        </w:rPr>
        <w:t>genera</w:t>
      </w:r>
      <w:r>
        <w:rPr>
          <w:lang w:eastAsia="es-ES"/>
        </w:rPr>
        <w:t xml:space="preserve">ron en 2014 </w:t>
      </w:r>
      <w:r w:rsidR="00744140">
        <w:rPr>
          <w:lang w:eastAsia="es-ES"/>
        </w:rPr>
        <w:t>40,5, 33,9 y 31,8 millones de euros</w:t>
      </w:r>
      <w:r>
        <w:rPr>
          <w:lang w:eastAsia="es-ES"/>
        </w:rPr>
        <w:t>,</w:t>
      </w:r>
      <w:r w:rsidR="00744140">
        <w:rPr>
          <w:lang w:eastAsia="es-ES"/>
        </w:rPr>
        <w:t xml:space="preserve"> respectivamente.</w:t>
      </w:r>
    </w:p>
    <w:p w:rsidR="00A30D9D" w:rsidRPr="00C77E1B" w:rsidRDefault="00A30D9D" w:rsidP="00A30D9D">
      <w:pPr>
        <w:rPr>
          <w:lang w:eastAsia="es-ES"/>
        </w:rPr>
      </w:pPr>
      <w:r>
        <w:rPr>
          <w:lang w:eastAsia="es-ES"/>
        </w:rPr>
        <w:lastRenderedPageBreak/>
        <w:t xml:space="preserve">En la dimensión territorial, la facturación de las NFES se asocia en buena medida al Territorio Histórico de </w:t>
      </w:r>
      <w:proofErr w:type="spellStart"/>
      <w:r>
        <w:rPr>
          <w:lang w:eastAsia="es-ES"/>
        </w:rPr>
        <w:t>Gipuzkoa</w:t>
      </w:r>
      <w:proofErr w:type="spellEnd"/>
      <w:r>
        <w:rPr>
          <w:lang w:eastAsia="es-ES"/>
        </w:rPr>
        <w:t xml:space="preserve"> (50,9%), seguido por </w:t>
      </w:r>
      <w:proofErr w:type="spellStart"/>
      <w:r>
        <w:rPr>
          <w:lang w:eastAsia="es-ES"/>
        </w:rPr>
        <w:t>Bizkaia</w:t>
      </w:r>
      <w:proofErr w:type="spellEnd"/>
      <w:r>
        <w:rPr>
          <w:lang w:eastAsia="es-ES"/>
        </w:rPr>
        <w:t xml:space="preserve"> (40,5%). Álava recoge el 8,6% restante.</w:t>
      </w:r>
    </w:p>
    <w:p w:rsidR="00A30D9D" w:rsidRDefault="00A30D9D" w:rsidP="00744140">
      <w:pPr>
        <w:rPr>
          <w:lang w:eastAsia="es-ES"/>
        </w:rPr>
      </w:pPr>
    </w:p>
    <w:p w:rsidR="00DE6344" w:rsidRDefault="00DE6344" w:rsidP="00DE6344">
      <w:pPr>
        <w:widowControl w:val="0"/>
        <w:spacing w:line="240" w:lineRule="auto"/>
        <w:jc w:val="center"/>
        <w:rPr>
          <w:rFonts w:cs="Arial"/>
          <w:b/>
          <w:snapToGrid w:val="0"/>
          <w:color w:val="1F497D" w:themeColor="text2"/>
          <w:sz w:val="18"/>
          <w:szCs w:val="18"/>
        </w:rPr>
      </w:pPr>
      <w:r>
        <w:rPr>
          <w:rFonts w:cs="Arial"/>
          <w:b/>
          <w:color w:val="1F497D" w:themeColor="text2"/>
          <w:sz w:val="18"/>
          <w:szCs w:val="18"/>
        </w:rPr>
        <w:t>FACTURACIÓN POR SEGMENTOS NUEVAS FOR</w:t>
      </w:r>
      <w:r w:rsidR="00C24F89">
        <w:rPr>
          <w:rFonts w:cs="Arial"/>
          <w:b/>
          <w:color w:val="1F497D" w:themeColor="text2"/>
          <w:sz w:val="18"/>
          <w:szCs w:val="18"/>
        </w:rPr>
        <w:t xml:space="preserve">MAS DE LA ECONOMÍA SOCIAL </w:t>
      </w:r>
      <w:r>
        <w:rPr>
          <w:rFonts w:cs="Arial"/>
          <w:b/>
          <w:color w:val="1F497D" w:themeColor="text2"/>
          <w:sz w:val="18"/>
          <w:szCs w:val="18"/>
        </w:rPr>
        <w:t>2014 (cifras absolutas y %</w:t>
      </w:r>
      <w:r w:rsidR="00C24F89">
        <w:rPr>
          <w:rFonts w:cs="Arial"/>
          <w:b/>
          <w:color w:val="1F497D" w:themeColor="text2"/>
          <w:sz w:val="18"/>
          <w:szCs w:val="18"/>
        </w:rPr>
        <w:t>v.</w:t>
      </w:r>
      <w:r>
        <w:rPr>
          <w:rFonts w:cs="Arial"/>
          <w:b/>
          <w:color w:val="1F497D" w:themeColor="text2"/>
          <w:sz w:val="18"/>
          <w:szCs w:val="18"/>
        </w:rPr>
        <w:t>)</w:t>
      </w:r>
    </w:p>
    <w:tbl>
      <w:tblPr>
        <w:tblW w:w="9628" w:type="dxa"/>
        <w:jc w:val="center"/>
        <w:tblInd w:w="2409" w:type="dxa"/>
        <w:tblCellMar>
          <w:left w:w="70" w:type="dxa"/>
          <w:right w:w="70" w:type="dxa"/>
        </w:tblCellMar>
        <w:tblLook w:val="04A0" w:firstRow="1" w:lastRow="0" w:firstColumn="1" w:lastColumn="0" w:noHBand="0" w:noVBand="1"/>
      </w:tblPr>
      <w:tblGrid>
        <w:gridCol w:w="5523"/>
        <w:gridCol w:w="2052"/>
        <w:gridCol w:w="2053"/>
      </w:tblGrid>
      <w:tr w:rsidR="00C24F89" w:rsidRPr="00080818" w:rsidTr="002E2BB9">
        <w:trPr>
          <w:jc w:val="center"/>
        </w:trPr>
        <w:tc>
          <w:tcPr>
            <w:tcW w:w="5523" w:type="dxa"/>
            <w:vMerge w:val="restart"/>
            <w:tcBorders>
              <w:top w:val="single" w:sz="8" w:space="0" w:color="BFBFBF"/>
              <w:left w:val="nil"/>
              <w:bottom w:val="single" w:sz="8" w:space="0" w:color="BFBFBF"/>
              <w:right w:val="single" w:sz="8" w:space="0" w:color="BFBFBF"/>
            </w:tcBorders>
            <w:shd w:val="clear" w:color="000000" w:fill="DBE5F1"/>
            <w:hideMark/>
          </w:tcPr>
          <w:p w:rsidR="00C24F89" w:rsidRPr="00080818" w:rsidRDefault="00C24F89" w:rsidP="002E2BB9">
            <w:pPr>
              <w:spacing w:line="240" w:lineRule="exact"/>
              <w:jc w:val="left"/>
              <w:rPr>
                <w:rFonts w:ascii="Calibri" w:eastAsia="Times New Roman" w:hAnsi="Calibri" w:cs="Times New Roman"/>
                <w:color w:val="000000"/>
                <w:sz w:val="22"/>
                <w:lang w:eastAsia="es-ES"/>
              </w:rPr>
            </w:pPr>
          </w:p>
        </w:tc>
        <w:tc>
          <w:tcPr>
            <w:tcW w:w="4105" w:type="dxa"/>
            <w:gridSpan w:val="2"/>
            <w:tcBorders>
              <w:top w:val="single" w:sz="8" w:space="0" w:color="BFBFBF"/>
              <w:left w:val="nil"/>
              <w:bottom w:val="single" w:sz="4" w:space="0" w:color="BFBFBF" w:themeColor="background1" w:themeShade="BF"/>
            </w:tcBorders>
            <w:shd w:val="clear" w:color="000000" w:fill="DBE5F1"/>
          </w:tcPr>
          <w:p w:rsidR="00C24F89" w:rsidRPr="00080818" w:rsidRDefault="00C24F89" w:rsidP="002E2BB9">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Facturación 2014</w:t>
            </w:r>
          </w:p>
        </w:tc>
      </w:tr>
      <w:tr w:rsidR="00C24F89" w:rsidRPr="00080818" w:rsidTr="002E2BB9">
        <w:trPr>
          <w:trHeight w:val="60"/>
          <w:jc w:val="center"/>
        </w:trPr>
        <w:tc>
          <w:tcPr>
            <w:tcW w:w="5523" w:type="dxa"/>
            <w:vMerge/>
            <w:tcBorders>
              <w:top w:val="single" w:sz="8" w:space="0" w:color="BFBFBF"/>
              <w:left w:val="nil"/>
              <w:bottom w:val="single" w:sz="8" w:space="0" w:color="BFBFBF"/>
              <w:right w:val="single" w:sz="8" w:space="0" w:color="BFBFBF"/>
            </w:tcBorders>
            <w:vAlign w:val="center"/>
            <w:hideMark/>
          </w:tcPr>
          <w:p w:rsidR="00C24F89" w:rsidRPr="00080818" w:rsidRDefault="00C24F89" w:rsidP="002E2BB9">
            <w:pPr>
              <w:spacing w:line="240" w:lineRule="exact"/>
              <w:jc w:val="left"/>
              <w:rPr>
                <w:rFonts w:ascii="Calibri" w:eastAsia="Times New Roman" w:hAnsi="Calibri" w:cs="Times New Roman"/>
                <w:color w:val="000000"/>
                <w:sz w:val="22"/>
                <w:lang w:eastAsia="es-ES"/>
              </w:rPr>
            </w:pPr>
          </w:p>
        </w:tc>
        <w:tc>
          <w:tcPr>
            <w:tcW w:w="2052"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hideMark/>
          </w:tcPr>
          <w:p w:rsidR="00C24F89" w:rsidRPr="00080818" w:rsidRDefault="00C24F89" w:rsidP="002E2BB9">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2053"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tcPr>
          <w:p w:rsidR="00C24F89" w:rsidRDefault="00C24F89" w:rsidP="002E2BB9">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%v.</w:t>
            </w:r>
          </w:p>
        </w:tc>
      </w:tr>
      <w:tr w:rsidR="00C24F89" w:rsidRPr="00080818" w:rsidTr="002E2BB9">
        <w:trPr>
          <w:jc w:val="center"/>
        </w:trPr>
        <w:tc>
          <w:tcPr>
            <w:tcW w:w="5523" w:type="dxa"/>
            <w:tcBorders>
              <w:top w:val="nil"/>
              <w:left w:val="nil"/>
              <w:bottom w:val="nil"/>
              <w:right w:val="single" w:sz="8" w:space="0" w:color="BFBFBF"/>
            </w:tcBorders>
            <w:shd w:val="clear" w:color="auto" w:fill="auto"/>
            <w:hideMark/>
          </w:tcPr>
          <w:p w:rsidR="00C24F89" w:rsidRPr="00080818" w:rsidRDefault="00C24F89"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C24F89" w:rsidRPr="00080818" w:rsidRDefault="00C24F89" w:rsidP="002E2BB9">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524.009.095</w:t>
            </w:r>
          </w:p>
        </w:tc>
        <w:tc>
          <w:tcPr>
            <w:tcW w:w="2053" w:type="dxa"/>
            <w:tcBorders>
              <w:top w:val="nil"/>
              <w:left w:val="single" w:sz="4" w:space="0" w:color="BFBFBF" w:themeColor="background1" w:themeShade="BF"/>
              <w:bottom w:val="nil"/>
              <w:right w:val="single" w:sz="8" w:space="0" w:color="BFBFBF"/>
            </w:tcBorders>
          </w:tcPr>
          <w:p w:rsidR="00C24F89" w:rsidRPr="0098245D" w:rsidRDefault="00C24F89" w:rsidP="002E2BB9">
            <w:pPr>
              <w:spacing w:line="240" w:lineRule="exact"/>
              <w:ind w:right="142"/>
              <w:jc w:val="right"/>
              <w:rPr>
                <w:rFonts w:eastAsia="Times New Roman" w:cs="Arial"/>
                <w:color w:val="000000"/>
                <w:sz w:val="16"/>
                <w:szCs w:val="16"/>
                <w:lang w:eastAsia="es-ES"/>
              </w:rPr>
            </w:pPr>
            <w:r w:rsidRPr="00DB4D91">
              <w:rPr>
                <w:rFonts w:eastAsia="Times New Roman" w:cs="Arial"/>
                <w:color w:val="000000"/>
                <w:sz w:val="16"/>
                <w:szCs w:val="16"/>
                <w:lang w:eastAsia="es-ES"/>
              </w:rPr>
              <w:t>24,0</w:t>
            </w:r>
          </w:p>
        </w:tc>
      </w:tr>
      <w:tr w:rsidR="00C24F89" w:rsidRPr="00080818" w:rsidTr="002E2BB9">
        <w:trPr>
          <w:jc w:val="center"/>
        </w:trPr>
        <w:tc>
          <w:tcPr>
            <w:tcW w:w="5523" w:type="dxa"/>
            <w:tcBorders>
              <w:top w:val="nil"/>
              <w:left w:val="nil"/>
              <w:bottom w:val="nil"/>
              <w:right w:val="single" w:sz="8" w:space="0" w:color="BFBFBF"/>
            </w:tcBorders>
            <w:shd w:val="clear" w:color="auto" w:fill="auto"/>
            <w:hideMark/>
          </w:tcPr>
          <w:p w:rsidR="00C24F89" w:rsidRPr="00080818" w:rsidRDefault="00C24F89"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C24F89" w:rsidRPr="00080818" w:rsidRDefault="00C24F89" w:rsidP="002E2BB9">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229.053.360</w:t>
            </w:r>
          </w:p>
        </w:tc>
        <w:tc>
          <w:tcPr>
            <w:tcW w:w="2053" w:type="dxa"/>
            <w:tcBorders>
              <w:top w:val="nil"/>
              <w:left w:val="single" w:sz="4" w:space="0" w:color="BFBFBF" w:themeColor="background1" w:themeShade="BF"/>
              <w:bottom w:val="nil"/>
              <w:right w:val="single" w:sz="8" w:space="0" w:color="BFBFBF"/>
            </w:tcBorders>
          </w:tcPr>
          <w:p w:rsidR="00C24F89" w:rsidRPr="0098245D" w:rsidRDefault="00C24F89" w:rsidP="002E2BB9">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10,5</w:t>
            </w:r>
          </w:p>
        </w:tc>
      </w:tr>
      <w:tr w:rsidR="00C24F89" w:rsidRPr="00080818" w:rsidTr="002E2BB9">
        <w:trPr>
          <w:jc w:val="center"/>
        </w:trPr>
        <w:tc>
          <w:tcPr>
            <w:tcW w:w="5523" w:type="dxa"/>
            <w:tcBorders>
              <w:top w:val="nil"/>
              <w:left w:val="nil"/>
              <w:bottom w:val="nil"/>
              <w:right w:val="single" w:sz="8" w:space="0" w:color="BFBFBF"/>
            </w:tcBorders>
            <w:shd w:val="clear" w:color="auto" w:fill="auto"/>
            <w:hideMark/>
          </w:tcPr>
          <w:p w:rsidR="00C24F89" w:rsidRPr="00080818" w:rsidRDefault="00C24F89"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C24F89" w:rsidRPr="00080818" w:rsidRDefault="00C24F89" w:rsidP="002E2BB9">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92.434.283</w:t>
            </w:r>
          </w:p>
        </w:tc>
        <w:tc>
          <w:tcPr>
            <w:tcW w:w="2053" w:type="dxa"/>
            <w:tcBorders>
              <w:top w:val="nil"/>
              <w:left w:val="single" w:sz="4" w:space="0" w:color="BFBFBF" w:themeColor="background1" w:themeShade="BF"/>
              <w:bottom w:val="nil"/>
              <w:right w:val="single" w:sz="8" w:space="0" w:color="BFBFBF"/>
            </w:tcBorders>
          </w:tcPr>
          <w:p w:rsidR="00C24F89" w:rsidRPr="0098245D" w:rsidRDefault="00C24F89" w:rsidP="002E2BB9">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4,2</w:t>
            </w:r>
          </w:p>
        </w:tc>
      </w:tr>
      <w:tr w:rsidR="00C24F89" w:rsidRPr="00080818" w:rsidTr="002E2BB9">
        <w:trPr>
          <w:jc w:val="center"/>
        </w:trPr>
        <w:tc>
          <w:tcPr>
            <w:tcW w:w="5523" w:type="dxa"/>
            <w:tcBorders>
              <w:top w:val="nil"/>
              <w:left w:val="nil"/>
              <w:bottom w:val="nil"/>
              <w:right w:val="single" w:sz="8" w:space="0" w:color="BFBFBF"/>
            </w:tcBorders>
            <w:shd w:val="clear" w:color="auto" w:fill="auto"/>
            <w:noWrap/>
            <w:hideMark/>
          </w:tcPr>
          <w:p w:rsidR="00C24F89" w:rsidRPr="00080818" w:rsidRDefault="00C24F89"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C24F89" w:rsidRPr="00080818" w:rsidRDefault="00C24F89" w:rsidP="002E2BB9">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33.862.744</w:t>
            </w:r>
          </w:p>
        </w:tc>
        <w:tc>
          <w:tcPr>
            <w:tcW w:w="2053" w:type="dxa"/>
            <w:tcBorders>
              <w:top w:val="nil"/>
              <w:left w:val="single" w:sz="4" w:space="0" w:color="BFBFBF" w:themeColor="background1" w:themeShade="BF"/>
              <w:bottom w:val="nil"/>
              <w:right w:val="single" w:sz="8" w:space="0" w:color="BFBFBF"/>
            </w:tcBorders>
          </w:tcPr>
          <w:p w:rsidR="00C24F89" w:rsidRPr="0098245D" w:rsidRDefault="00C24F89" w:rsidP="002E2BB9">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1,6</w:t>
            </w:r>
          </w:p>
        </w:tc>
      </w:tr>
      <w:tr w:rsidR="00C24F89" w:rsidRPr="00080818" w:rsidTr="002E2BB9">
        <w:trPr>
          <w:jc w:val="center"/>
        </w:trPr>
        <w:tc>
          <w:tcPr>
            <w:tcW w:w="5523" w:type="dxa"/>
            <w:tcBorders>
              <w:top w:val="nil"/>
              <w:left w:val="nil"/>
              <w:bottom w:val="nil"/>
              <w:right w:val="single" w:sz="8" w:space="0" w:color="BFBFBF"/>
            </w:tcBorders>
            <w:shd w:val="clear" w:color="auto" w:fill="auto"/>
            <w:noWrap/>
            <w:hideMark/>
          </w:tcPr>
          <w:p w:rsidR="00C24F89" w:rsidRPr="00080818" w:rsidRDefault="00C24F89"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C24F89" w:rsidRPr="00080818" w:rsidRDefault="00C24F89" w:rsidP="002E2BB9">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40.498.269</w:t>
            </w:r>
          </w:p>
        </w:tc>
        <w:tc>
          <w:tcPr>
            <w:tcW w:w="2053" w:type="dxa"/>
            <w:tcBorders>
              <w:top w:val="nil"/>
              <w:left w:val="single" w:sz="4" w:space="0" w:color="BFBFBF" w:themeColor="background1" w:themeShade="BF"/>
              <w:bottom w:val="nil"/>
              <w:right w:val="single" w:sz="8" w:space="0" w:color="BFBFBF"/>
            </w:tcBorders>
          </w:tcPr>
          <w:p w:rsidR="00C24F89" w:rsidRPr="0098245D" w:rsidRDefault="00C24F89" w:rsidP="002E2BB9">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1,9</w:t>
            </w:r>
          </w:p>
        </w:tc>
      </w:tr>
      <w:tr w:rsidR="00C24F89" w:rsidRPr="00080818" w:rsidTr="002E2BB9">
        <w:trPr>
          <w:jc w:val="center"/>
        </w:trPr>
        <w:tc>
          <w:tcPr>
            <w:tcW w:w="5523" w:type="dxa"/>
            <w:tcBorders>
              <w:top w:val="nil"/>
              <w:left w:val="nil"/>
              <w:bottom w:val="nil"/>
              <w:right w:val="single" w:sz="8" w:space="0" w:color="BFBFBF"/>
            </w:tcBorders>
            <w:shd w:val="clear" w:color="auto" w:fill="auto"/>
            <w:noWrap/>
            <w:hideMark/>
          </w:tcPr>
          <w:p w:rsidR="00C24F89" w:rsidRPr="00080818" w:rsidRDefault="00C24F89"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C24F89" w:rsidRPr="00080818" w:rsidRDefault="00C24F89" w:rsidP="002E2BB9">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31.817.185</w:t>
            </w:r>
          </w:p>
        </w:tc>
        <w:tc>
          <w:tcPr>
            <w:tcW w:w="2053" w:type="dxa"/>
            <w:tcBorders>
              <w:top w:val="nil"/>
              <w:left w:val="single" w:sz="4" w:space="0" w:color="BFBFBF" w:themeColor="background1" w:themeShade="BF"/>
              <w:bottom w:val="nil"/>
              <w:right w:val="single" w:sz="8" w:space="0" w:color="BFBFBF"/>
            </w:tcBorders>
          </w:tcPr>
          <w:p w:rsidR="00C24F89" w:rsidRPr="0098245D" w:rsidRDefault="00C24F89" w:rsidP="002E2BB9">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1,5</w:t>
            </w:r>
          </w:p>
        </w:tc>
      </w:tr>
      <w:tr w:rsidR="00C24F89" w:rsidRPr="00080818" w:rsidTr="002E2BB9">
        <w:trPr>
          <w:jc w:val="center"/>
        </w:trPr>
        <w:tc>
          <w:tcPr>
            <w:tcW w:w="5523" w:type="dxa"/>
            <w:tcBorders>
              <w:top w:val="nil"/>
              <w:left w:val="nil"/>
              <w:bottom w:val="single" w:sz="8" w:space="0" w:color="BFBFBF"/>
              <w:right w:val="single" w:sz="8" w:space="0" w:color="BFBFBF"/>
            </w:tcBorders>
            <w:shd w:val="clear" w:color="auto" w:fill="auto"/>
            <w:noWrap/>
            <w:hideMark/>
          </w:tcPr>
          <w:p w:rsidR="00C24F89" w:rsidRPr="00080818" w:rsidRDefault="00C24F89"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C24F89" w:rsidRPr="00080818" w:rsidRDefault="00C24F89" w:rsidP="002E2BB9">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1.231.566.704</w:t>
            </w:r>
          </w:p>
        </w:tc>
        <w:tc>
          <w:tcPr>
            <w:tcW w:w="2053" w:type="dxa"/>
            <w:tcBorders>
              <w:top w:val="nil"/>
              <w:left w:val="single" w:sz="4" w:space="0" w:color="BFBFBF" w:themeColor="background1" w:themeShade="BF"/>
              <w:bottom w:val="single" w:sz="8" w:space="0" w:color="BFBFBF"/>
              <w:right w:val="single" w:sz="8" w:space="0" w:color="BFBFBF"/>
            </w:tcBorders>
          </w:tcPr>
          <w:p w:rsidR="00C24F89" w:rsidRDefault="00C24F89" w:rsidP="002E2BB9">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56,4</w:t>
            </w:r>
          </w:p>
        </w:tc>
      </w:tr>
      <w:tr w:rsidR="00C24F89" w:rsidRPr="00080818" w:rsidTr="002E2BB9">
        <w:trPr>
          <w:jc w:val="center"/>
        </w:trPr>
        <w:tc>
          <w:tcPr>
            <w:tcW w:w="5523" w:type="dxa"/>
            <w:tcBorders>
              <w:top w:val="nil"/>
              <w:left w:val="nil"/>
              <w:bottom w:val="single" w:sz="8" w:space="0" w:color="BFBFBF"/>
              <w:right w:val="single" w:sz="8" w:space="0" w:color="BFBFBF"/>
            </w:tcBorders>
            <w:shd w:val="clear" w:color="auto" w:fill="auto"/>
            <w:noWrap/>
            <w:hideMark/>
          </w:tcPr>
          <w:p w:rsidR="00C24F89" w:rsidRPr="00623693" w:rsidRDefault="00C24F89" w:rsidP="002E2BB9">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C24F89" w:rsidRPr="0098245D" w:rsidRDefault="00C24F89" w:rsidP="002E2BB9">
            <w:pPr>
              <w:spacing w:line="240" w:lineRule="exact"/>
              <w:ind w:right="142"/>
              <w:jc w:val="right"/>
              <w:rPr>
                <w:rFonts w:eastAsia="Times New Roman" w:cs="Arial"/>
                <w:b/>
                <w:bCs/>
                <w:color w:val="000000"/>
                <w:sz w:val="16"/>
                <w:szCs w:val="16"/>
                <w:lang w:eastAsia="es-ES"/>
              </w:rPr>
            </w:pPr>
            <w:r w:rsidRPr="0098245D">
              <w:rPr>
                <w:rFonts w:eastAsia="Times New Roman" w:cs="Arial"/>
                <w:b/>
                <w:bCs/>
                <w:color w:val="000000"/>
                <w:sz w:val="16"/>
                <w:szCs w:val="16"/>
                <w:lang w:eastAsia="es-ES"/>
              </w:rPr>
              <w:t>2.183.241.640</w:t>
            </w:r>
          </w:p>
        </w:tc>
        <w:tc>
          <w:tcPr>
            <w:tcW w:w="2053" w:type="dxa"/>
            <w:tcBorders>
              <w:top w:val="nil"/>
              <w:left w:val="single" w:sz="4" w:space="0" w:color="BFBFBF" w:themeColor="background1" w:themeShade="BF"/>
              <w:bottom w:val="single" w:sz="8" w:space="0" w:color="BFBFBF"/>
              <w:right w:val="single" w:sz="8" w:space="0" w:color="BFBFBF"/>
            </w:tcBorders>
          </w:tcPr>
          <w:p w:rsidR="00C24F89" w:rsidRPr="0098245D" w:rsidRDefault="00C24F89" w:rsidP="002E2BB9">
            <w:pPr>
              <w:spacing w:line="240" w:lineRule="exact"/>
              <w:ind w:right="142"/>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rsidR="00DE6344" w:rsidRDefault="00DE6344" w:rsidP="00DE6344">
      <w:pPr>
        <w:widowControl w:val="0"/>
        <w:spacing w:line="240" w:lineRule="auto"/>
        <w:jc w:val="center"/>
        <w:rPr>
          <w:rFonts w:cs="Arial"/>
          <w:b/>
          <w:snapToGrid w:val="0"/>
          <w:color w:val="1F497D" w:themeColor="text2"/>
          <w:sz w:val="18"/>
          <w:szCs w:val="18"/>
          <w:lang w:val="es-ES_tradnl"/>
        </w:rPr>
      </w:pPr>
    </w:p>
    <w:p w:rsidR="00DE6344" w:rsidRDefault="00DE6344" w:rsidP="00790DDD">
      <w:pPr>
        <w:rPr>
          <w:lang w:eastAsia="es-ES"/>
        </w:rPr>
      </w:pPr>
    </w:p>
    <w:p w:rsidR="00A30D9D" w:rsidRDefault="00A30D9D" w:rsidP="00A30D9D">
      <w:pPr>
        <w:rPr>
          <w:lang w:eastAsia="es-ES"/>
        </w:rPr>
      </w:pPr>
      <w:r>
        <w:rPr>
          <w:lang w:eastAsia="es-ES"/>
        </w:rPr>
        <w:t xml:space="preserve">El componente vinculado a las subvenciones resulta notorio entre las NFES, una realidad que en cifras se sitúa en un total de 595,5 millones de euros. </w:t>
      </w:r>
    </w:p>
    <w:p w:rsidR="00DE6344" w:rsidRDefault="00DE6344" w:rsidP="006C5A24">
      <w:pPr>
        <w:rPr>
          <w:lang w:eastAsia="es-ES"/>
        </w:rPr>
      </w:pPr>
    </w:p>
    <w:p w:rsidR="00DE6344" w:rsidRDefault="008F1A36" w:rsidP="006C5A24">
      <w:pPr>
        <w:rPr>
          <w:lang w:eastAsia="es-ES"/>
        </w:rPr>
      </w:pPr>
      <w:r>
        <w:rPr>
          <w:lang w:eastAsia="es-ES"/>
        </w:rPr>
        <w:t xml:space="preserve">Poniendo en relación </w:t>
      </w:r>
      <w:r w:rsidR="00A30D9D">
        <w:rPr>
          <w:lang w:eastAsia="es-ES"/>
        </w:rPr>
        <w:t xml:space="preserve">el peso que tienen las subvenciones en </w:t>
      </w:r>
      <w:r>
        <w:rPr>
          <w:lang w:eastAsia="es-ES"/>
        </w:rPr>
        <w:t xml:space="preserve">las cifras </w:t>
      </w:r>
      <w:r w:rsidR="00A30D9D">
        <w:rPr>
          <w:lang w:eastAsia="es-ES"/>
        </w:rPr>
        <w:t xml:space="preserve">totales </w:t>
      </w:r>
      <w:r>
        <w:rPr>
          <w:lang w:eastAsia="es-ES"/>
        </w:rPr>
        <w:t>de facturación</w:t>
      </w:r>
      <w:r w:rsidR="00A30D9D">
        <w:rPr>
          <w:lang w:eastAsia="es-ES"/>
        </w:rPr>
        <w:t>, a través de las cuotas societarias o de los ingresos directamente ligados y percibidos por la actividad asociativa, se constata que la ratio llega a superar el nivel del 100% en</w:t>
      </w:r>
      <w:r w:rsidR="00F901F0">
        <w:rPr>
          <w:lang w:eastAsia="es-ES"/>
        </w:rPr>
        <w:t xml:space="preserve"> el caso de las Asociaciones de Utilidad Pública</w:t>
      </w:r>
      <w:r w:rsidR="00A30D9D">
        <w:rPr>
          <w:lang w:eastAsia="es-ES"/>
        </w:rPr>
        <w:t xml:space="preserve">. Aunque no llega a esos niveles, la proporción es aún del 82,4% en el caso de las Fundaciones. La proporción se sitúa entre el 20 y 25% en los Centros Especiales de Empleo y en las Empresas de Inserción, con mínimos cercanos al 5% en las </w:t>
      </w:r>
      <w:proofErr w:type="spellStart"/>
      <w:r w:rsidR="00A30D9D">
        <w:rPr>
          <w:lang w:eastAsia="es-ES"/>
        </w:rPr>
        <w:t>SATs</w:t>
      </w:r>
      <w:proofErr w:type="spellEnd"/>
      <w:r w:rsidR="00A30D9D">
        <w:rPr>
          <w:lang w:eastAsia="es-ES"/>
        </w:rPr>
        <w:t xml:space="preserve"> y las Cofradías de Pescadores.</w:t>
      </w:r>
    </w:p>
    <w:p w:rsidR="0065300F" w:rsidRDefault="0065300F">
      <w:pPr>
        <w:spacing w:after="200" w:line="276" w:lineRule="auto"/>
        <w:jc w:val="left"/>
        <w:rPr>
          <w:lang w:eastAsia="es-ES"/>
        </w:rPr>
      </w:pPr>
    </w:p>
    <w:p w:rsidR="00DE6344" w:rsidRDefault="00DE6344" w:rsidP="00DE6344">
      <w:pPr>
        <w:widowControl w:val="0"/>
        <w:spacing w:line="240" w:lineRule="auto"/>
        <w:jc w:val="center"/>
        <w:rPr>
          <w:rFonts w:cs="Arial"/>
        </w:rPr>
      </w:pPr>
      <w:r>
        <w:rPr>
          <w:rFonts w:cs="Arial"/>
          <w:b/>
          <w:color w:val="1F497D" w:themeColor="text2"/>
          <w:sz w:val="18"/>
          <w:szCs w:val="18"/>
        </w:rPr>
        <w:t>SUBVENCIONES POR TIPO DE ENTIDAD NFES 2014 Y PESO DE LAS SUBVENCIONES s/ FACTURACIÓN NFES 2014(cifras absolutas)</w:t>
      </w:r>
    </w:p>
    <w:tbl>
      <w:tblPr>
        <w:tblW w:w="9940" w:type="dxa"/>
        <w:jc w:val="center"/>
        <w:tblCellMar>
          <w:left w:w="70" w:type="dxa"/>
          <w:right w:w="70" w:type="dxa"/>
        </w:tblCellMar>
        <w:tblLook w:val="04A0" w:firstRow="1" w:lastRow="0" w:firstColumn="1" w:lastColumn="0" w:noHBand="0" w:noVBand="1"/>
      </w:tblPr>
      <w:tblGrid>
        <w:gridCol w:w="5676"/>
        <w:gridCol w:w="2132"/>
        <w:gridCol w:w="2132"/>
      </w:tblGrid>
      <w:tr w:rsidR="00DE6344" w:rsidTr="00DD62D2">
        <w:trPr>
          <w:jc w:val="center"/>
        </w:trPr>
        <w:tc>
          <w:tcPr>
            <w:tcW w:w="0" w:type="auto"/>
            <w:tcBorders>
              <w:top w:val="single" w:sz="8" w:space="0" w:color="BFBFBF"/>
              <w:left w:val="nil"/>
              <w:bottom w:val="single" w:sz="8" w:space="0" w:color="BFBFBF"/>
              <w:right w:val="single" w:sz="8" w:space="0" w:color="BFBFBF"/>
            </w:tcBorders>
            <w:shd w:val="clear" w:color="auto" w:fill="DBE5F1"/>
            <w:hideMark/>
          </w:tcPr>
          <w:p w:rsidR="00DE6344" w:rsidRDefault="00DE6344">
            <w:pPr>
              <w:spacing w:line="240" w:lineRule="exact"/>
              <w:rPr>
                <w:rFonts w:eastAsia="Times New Roman" w:cs="Arial"/>
                <w:b/>
                <w:bCs/>
                <w:color w:val="000000"/>
                <w:sz w:val="16"/>
                <w:szCs w:val="16"/>
                <w:lang w:eastAsia="es-ES"/>
              </w:rPr>
            </w:pPr>
            <w:r>
              <w:rPr>
                <w:rFonts w:eastAsia="Times New Roman" w:cs="Arial"/>
                <w:b/>
                <w:bCs/>
                <w:color w:val="000000"/>
                <w:sz w:val="16"/>
                <w:szCs w:val="16"/>
                <w:lang w:eastAsia="es-ES"/>
              </w:rPr>
              <w:t> </w:t>
            </w:r>
          </w:p>
        </w:tc>
        <w:tc>
          <w:tcPr>
            <w:tcW w:w="2132" w:type="dxa"/>
            <w:tcBorders>
              <w:top w:val="single" w:sz="8" w:space="0" w:color="BFBFBF"/>
              <w:left w:val="nil"/>
              <w:bottom w:val="single" w:sz="4" w:space="0" w:color="BFBFBF" w:themeColor="background1" w:themeShade="BF"/>
              <w:right w:val="single" w:sz="8" w:space="0" w:color="BFBFBF"/>
            </w:tcBorders>
            <w:shd w:val="clear" w:color="auto" w:fill="DBE5F1"/>
            <w:vAlign w:val="center"/>
            <w:hideMark/>
          </w:tcPr>
          <w:p w:rsidR="00DE6344" w:rsidRDefault="00DE6344">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Subvenciones</w:t>
            </w:r>
          </w:p>
        </w:tc>
        <w:tc>
          <w:tcPr>
            <w:tcW w:w="2132" w:type="dxa"/>
            <w:tcBorders>
              <w:top w:val="single" w:sz="8" w:space="0" w:color="BFBFBF"/>
              <w:left w:val="nil"/>
              <w:bottom w:val="single" w:sz="4" w:space="0" w:color="BFBFBF" w:themeColor="background1" w:themeShade="BF"/>
              <w:right w:val="nil"/>
            </w:tcBorders>
            <w:shd w:val="clear" w:color="auto" w:fill="DBE5F1"/>
            <w:hideMark/>
          </w:tcPr>
          <w:p w:rsidR="00DE6344" w:rsidRDefault="00DE6344">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Ratio Subvenciones/ Facturación</w:t>
            </w:r>
          </w:p>
        </w:tc>
      </w:tr>
      <w:tr w:rsidR="00DE6344" w:rsidTr="00DD62D2">
        <w:trPr>
          <w:jc w:val="center"/>
        </w:trPr>
        <w:tc>
          <w:tcPr>
            <w:tcW w:w="0" w:type="auto"/>
            <w:tcBorders>
              <w:top w:val="nil"/>
              <w:left w:val="nil"/>
              <w:bottom w:val="nil"/>
              <w:right w:val="single" w:sz="8" w:space="0" w:color="BFBFBF"/>
            </w:tcBorders>
            <w:hideMark/>
          </w:tcPr>
          <w:p w:rsidR="00DE6344" w:rsidRDefault="00DE6344">
            <w:pPr>
              <w:spacing w:line="240" w:lineRule="exact"/>
              <w:rPr>
                <w:rFonts w:eastAsia="Times New Roman" w:cs="Arial"/>
                <w:color w:val="000000"/>
                <w:sz w:val="16"/>
                <w:szCs w:val="16"/>
                <w:lang w:eastAsia="es-ES"/>
              </w:rPr>
            </w:pPr>
            <w:r>
              <w:rPr>
                <w:rFonts w:eastAsia="Times New Roman" w:cs="Arial"/>
                <w:color w:val="000000"/>
                <w:sz w:val="16"/>
                <w:szCs w:val="16"/>
                <w:lang w:eastAsia="es-ES"/>
              </w:rPr>
              <w:t>1. Fundaciones</w:t>
            </w:r>
          </w:p>
        </w:tc>
        <w:tc>
          <w:tcPr>
            <w:tcW w:w="2132" w:type="dxa"/>
            <w:tcBorders>
              <w:top w:val="single" w:sz="4" w:space="0" w:color="BFBFBF" w:themeColor="background1" w:themeShade="BF"/>
              <w:left w:val="nil"/>
              <w:bottom w:val="nil"/>
              <w:right w:val="single" w:sz="8" w:space="0" w:color="BFBFBF"/>
            </w:tcBorders>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431.836.064</w:t>
            </w:r>
          </w:p>
        </w:tc>
        <w:tc>
          <w:tcPr>
            <w:tcW w:w="2132" w:type="dxa"/>
            <w:tcBorders>
              <w:top w:val="single" w:sz="4" w:space="0" w:color="BFBFBF" w:themeColor="background1" w:themeShade="BF"/>
              <w:left w:val="nil"/>
              <w:bottom w:val="nil"/>
              <w:right w:val="nil"/>
            </w:tcBorders>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82,4%</w:t>
            </w:r>
          </w:p>
        </w:tc>
      </w:tr>
      <w:tr w:rsidR="00DE6344" w:rsidTr="00DD62D2">
        <w:trPr>
          <w:jc w:val="center"/>
        </w:trPr>
        <w:tc>
          <w:tcPr>
            <w:tcW w:w="0" w:type="auto"/>
            <w:tcBorders>
              <w:top w:val="nil"/>
              <w:left w:val="nil"/>
              <w:bottom w:val="nil"/>
              <w:right w:val="single" w:sz="8" w:space="0" w:color="BFBFBF"/>
            </w:tcBorders>
            <w:hideMark/>
          </w:tcPr>
          <w:p w:rsidR="00DE6344" w:rsidRDefault="00DE6344">
            <w:pPr>
              <w:spacing w:line="240" w:lineRule="exact"/>
              <w:rPr>
                <w:rFonts w:eastAsia="Times New Roman" w:cs="Arial"/>
                <w:color w:val="000000"/>
                <w:sz w:val="16"/>
                <w:szCs w:val="16"/>
                <w:lang w:eastAsia="es-ES"/>
              </w:rPr>
            </w:pPr>
            <w:r>
              <w:rPr>
                <w:rFonts w:eastAsia="Times New Roman" w:cs="Arial"/>
                <w:color w:val="000000"/>
                <w:sz w:val="16"/>
                <w:szCs w:val="16"/>
                <w:lang w:eastAsia="es-ES"/>
              </w:rPr>
              <w:t>2.Centros Especiales de Empleo</w:t>
            </w:r>
          </w:p>
        </w:tc>
        <w:tc>
          <w:tcPr>
            <w:tcW w:w="2132" w:type="dxa"/>
            <w:tcBorders>
              <w:top w:val="nil"/>
              <w:left w:val="nil"/>
              <w:bottom w:val="nil"/>
              <w:right w:val="single" w:sz="8" w:space="0" w:color="BFBFBF"/>
            </w:tcBorders>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55.844.747</w:t>
            </w:r>
          </w:p>
        </w:tc>
        <w:tc>
          <w:tcPr>
            <w:tcW w:w="2132" w:type="dxa"/>
            <w:hideMark/>
          </w:tcPr>
          <w:p w:rsidR="00DE6344" w:rsidRDefault="00DE6344" w:rsidP="00DD62D2">
            <w:pPr>
              <w:spacing w:line="240" w:lineRule="exact"/>
              <w:ind w:right="216"/>
              <w:jc w:val="right"/>
              <w:rPr>
                <w:rFonts w:eastAsia="Times New Roman" w:cs="Arial"/>
                <w:color w:val="000000"/>
                <w:sz w:val="16"/>
                <w:szCs w:val="16"/>
                <w:lang w:eastAsia="es-ES"/>
              </w:rPr>
            </w:pPr>
            <w:r>
              <w:rPr>
                <w:rFonts w:ascii="Calibri" w:eastAsia="Times New Roman" w:hAnsi="Calibri" w:cs="Times New Roman"/>
                <w:bCs/>
                <w:color w:val="000000"/>
                <w:sz w:val="18"/>
                <w:szCs w:val="18"/>
                <w:lang w:eastAsia="es-ES"/>
              </w:rPr>
              <w:t>24,4%</w:t>
            </w:r>
          </w:p>
        </w:tc>
      </w:tr>
      <w:tr w:rsidR="00DE6344" w:rsidTr="00DD62D2">
        <w:trPr>
          <w:jc w:val="center"/>
        </w:trPr>
        <w:tc>
          <w:tcPr>
            <w:tcW w:w="0" w:type="auto"/>
            <w:tcBorders>
              <w:top w:val="nil"/>
              <w:left w:val="nil"/>
              <w:bottom w:val="nil"/>
              <w:right w:val="single" w:sz="8" w:space="0" w:color="BFBFBF"/>
            </w:tcBorders>
            <w:hideMark/>
          </w:tcPr>
          <w:p w:rsidR="00DE6344" w:rsidRDefault="00DE6344">
            <w:pPr>
              <w:spacing w:line="240" w:lineRule="exact"/>
              <w:rPr>
                <w:rFonts w:eastAsia="Times New Roman" w:cs="Arial"/>
                <w:color w:val="000000"/>
                <w:sz w:val="16"/>
                <w:szCs w:val="16"/>
                <w:lang w:eastAsia="es-ES"/>
              </w:rPr>
            </w:pPr>
            <w:r>
              <w:rPr>
                <w:rFonts w:eastAsia="Times New Roman" w:cs="Arial"/>
                <w:color w:val="000000"/>
                <w:sz w:val="16"/>
                <w:szCs w:val="16"/>
                <w:lang w:eastAsia="es-ES"/>
              </w:rPr>
              <w:t>3.Asociaciones de Utilidad Pública</w:t>
            </w:r>
          </w:p>
        </w:tc>
        <w:tc>
          <w:tcPr>
            <w:tcW w:w="2132" w:type="dxa"/>
            <w:tcBorders>
              <w:top w:val="nil"/>
              <w:left w:val="nil"/>
              <w:bottom w:val="nil"/>
              <w:right w:val="single" w:sz="8" w:space="0" w:color="BFBFBF"/>
            </w:tcBorders>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97.247.376</w:t>
            </w:r>
          </w:p>
        </w:tc>
        <w:tc>
          <w:tcPr>
            <w:tcW w:w="2132" w:type="dxa"/>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105,2%</w:t>
            </w:r>
          </w:p>
        </w:tc>
      </w:tr>
      <w:tr w:rsidR="00DE6344" w:rsidTr="00DD62D2">
        <w:trPr>
          <w:jc w:val="center"/>
        </w:trPr>
        <w:tc>
          <w:tcPr>
            <w:tcW w:w="0" w:type="auto"/>
            <w:tcBorders>
              <w:top w:val="nil"/>
              <w:left w:val="nil"/>
              <w:bottom w:val="nil"/>
              <w:right w:val="single" w:sz="8" w:space="0" w:color="BFBFBF"/>
            </w:tcBorders>
            <w:hideMark/>
          </w:tcPr>
          <w:p w:rsidR="00DE6344" w:rsidRDefault="00DE6344">
            <w:pPr>
              <w:spacing w:line="240" w:lineRule="exact"/>
              <w:rPr>
                <w:rFonts w:eastAsia="Times New Roman" w:cs="Arial"/>
                <w:color w:val="000000"/>
                <w:sz w:val="16"/>
                <w:szCs w:val="16"/>
                <w:lang w:eastAsia="es-ES"/>
              </w:rPr>
            </w:pPr>
            <w:r>
              <w:rPr>
                <w:rFonts w:eastAsia="Times New Roman" w:cs="Arial"/>
                <w:color w:val="000000"/>
                <w:sz w:val="16"/>
                <w:szCs w:val="16"/>
                <w:lang w:eastAsia="es-ES"/>
              </w:rPr>
              <w:t>4.Empresas de Inserción</w:t>
            </w:r>
          </w:p>
        </w:tc>
        <w:tc>
          <w:tcPr>
            <w:tcW w:w="2132" w:type="dxa"/>
            <w:tcBorders>
              <w:top w:val="nil"/>
              <w:left w:val="nil"/>
              <w:bottom w:val="nil"/>
              <w:right w:val="single" w:sz="8" w:space="0" w:color="BFBFBF"/>
            </w:tcBorders>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6.966.354</w:t>
            </w:r>
          </w:p>
        </w:tc>
        <w:tc>
          <w:tcPr>
            <w:tcW w:w="2132" w:type="dxa"/>
            <w:hideMark/>
          </w:tcPr>
          <w:p w:rsidR="00DE6344" w:rsidRDefault="00DE6344" w:rsidP="00DD62D2">
            <w:pPr>
              <w:spacing w:line="240" w:lineRule="exact"/>
              <w:ind w:right="216"/>
              <w:jc w:val="right"/>
              <w:rPr>
                <w:rFonts w:eastAsia="Times New Roman" w:cs="Arial"/>
                <w:color w:val="000000"/>
                <w:sz w:val="16"/>
                <w:szCs w:val="16"/>
                <w:lang w:eastAsia="es-ES"/>
              </w:rPr>
            </w:pPr>
            <w:r>
              <w:rPr>
                <w:rFonts w:ascii="Calibri" w:eastAsia="Times New Roman" w:hAnsi="Calibri" w:cs="Times New Roman"/>
                <w:bCs/>
                <w:color w:val="000000"/>
                <w:sz w:val="18"/>
                <w:szCs w:val="18"/>
                <w:lang w:eastAsia="es-ES"/>
              </w:rPr>
              <w:t>20,6%</w:t>
            </w:r>
          </w:p>
        </w:tc>
      </w:tr>
      <w:tr w:rsidR="00DE6344" w:rsidTr="00DD62D2">
        <w:trPr>
          <w:jc w:val="center"/>
        </w:trPr>
        <w:tc>
          <w:tcPr>
            <w:tcW w:w="0" w:type="auto"/>
            <w:tcBorders>
              <w:top w:val="nil"/>
              <w:left w:val="nil"/>
              <w:bottom w:val="nil"/>
              <w:right w:val="single" w:sz="8" w:space="0" w:color="BFBFBF"/>
            </w:tcBorders>
            <w:hideMark/>
          </w:tcPr>
          <w:p w:rsidR="00DE6344" w:rsidRDefault="00DE6344">
            <w:pPr>
              <w:spacing w:line="240" w:lineRule="exact"/>
              <w:rPr>
                <w:rFonts w:eastAsia="Times New Roman" w:cs="Arial"/>
                <w:color w:val="000000"/>
                <w:sz w:val="16"/>
                <w:szCs w:val="16"/>
                <w:lang w:eastAsia="es-ES"/>
              </w:rPr>
            </w:pPr>
            <w:r>
              <w:rPr>
                <w:rFonts w:eastAsia="Times New Roman" w:cs="Arial"/>
                <w:color w:val="000000"/>
                <w:sz w:val="16"/>
                <w:szCs w:val="16"/>
                <w:lang w:eastAsia="es-ES"/>
              </w:rPr>
              <w:t>5.SATs</w:t>
            </w:r>
          </w:p>
        </w:tc>
        <w:tc>
          <w:tcPr>
            <w:tcW w:w="2132" w:type="dxa"/>
            <w:tcBorders>
              <w:top w:val="nil"/>
              <w:left w:val="nil"/>
              <w:bottom w:val="nil"/>
              <w:right w:val="single" w:sz="8" w:space="0" w:color="BFBFBF"/>
            </w:tcBorders>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2.153.054</w:t>
            </w:r>
          </w:p>
        </w:tc>
        <w:tc>
          <w:tcPr>
            <w:tcW w:w="2132" w:type="dxa"/>
            <w:hideMark/>
          </w:tcPr>
          <w:p w:rsidR="00DE6344" w:rsidRDefault="00DE6344" w:rsidP="00DD62D2">
            <w:pPr>
              <w:spacing w:line="240" w:lineRule="exact"/>
              <w:ind w:right="216"/>
              <w:jc w:val="right"/>
              <w:rPr>
                <w:rFonts w:eastAsia="Times New Roman" w:cs="Arial"/>
                <w:color w:val="000000"/>
                <w:sz w:val="16"/>
                <w:szCs w:val="16"/>
                <w:lang w:eastAsia="es-ES"/>
              </w:rPr>
            </w:pPr>
            <w:r>
              <w:rPr>
                <w:rFonts w:ascii="Calibri" w:eastAsia="Times New Roman" w:hAnsi="Calibri" w:cs="Times New Roman"/>
                <w:bCs/>
                <w:color w:val="000000"/>
                <w:sz w:val="18"/>
                <w:szCs w:val="18"/>
                <w:lang w:eastAsia="es-ES"/>
              </w:rPr>
              <w:t>5,3%</w:t>
            </w:r>
          </w:p>
        </w:tc>
      </w:tr>
      <w:tr w:rsidR="00DE6344" w:rsidTr="00DD62D2">
        <w:trPr>
          <w:jc w:val="center"/>
        </w:trPr>
        <w:tc>
          <w:tcPr>
            <w:tcW w:w="0" w:type="auto"/>
            <w:tcBorders>
              <w:top w:val="nil"/>
              <w:left w:val="nil"/>
              <w:bottom w:val="nil"/>
              <w:right w:val="single" w:sz="8" w:space="0" w:color="BFBFBF"/>
            </w:tcBorders>
            <w:hideMark/>
          </w:tcPr>
          <w:p w:rsidR="00DE6344" w:rsidRDefault="00DE6344">
            <w:pPr>
              <w:spacing w:line="240" w:lineRule="exact"/>
              <w:rPr>
                <w:rFonts w:eastAsia="Times New Roman" w:cs="Arial"/>
                <w:color w:val="000000"/>
                <w:sz w:val="16"/>
                <w:szCs w:val="16"/>
                <w:lang w:eastAsia="es-ES"/>
              </w:rPr>
            </w:pPr>
            <w:r>
              <w:rPr>
                <w:rFonts w:eastAsia="Times New Roman" w:cs="Arial"/>
                <w:color w:val="000000"/>
                <w:sz w:val="16"/>
                <w:szCs w:val="16"/>
                <w:lang w:eastAsia="es-ES"/>
              </w:rPr>
              <w:t>6.Cofradías de Pescadores</w:t>
            </w:r>
          </w:p>
        </w:tc>
        <w:tc>
          <w:tcPr>
            <w:tcW w:w="2132" w:type="dxa"/>
            <w:tcBorders>
              <w:top w:val="nil"/>
              <w:left w:val="nil"/>
              <w:bottom w:val="nil"/>
              <w:right w:val="single" w:sz="8" w:space="0" w:color="BFBFBF"/>
            </w:tcBorders>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1.463.009</w:t>
            </w:r>
          </w:p>
        </w:tc>
        <w:tc>
          <w:tcPr>
            <w:tcW w:w="2132" w:type="dxa"/>
            <w:hideMark/>
          </w:tcPr>
          <w:p w:rsidR="00DE6344" w:rsidRDefault="00DE6344" w:rsidP="00DD62D2">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4,6%</w:t>
            </w:r>
          </w:p>
        </w:tc>
      </w:tr>
      <w:tr w:rsidR="00DE6344" w:rsidTr="00DD62D2">
        <w:trPr>
          <w:jc w:val="center"/>
        </w:trPr>
        <w:tc>
          <w:tcPr>
            <w:tcW w:w="0" w:type="auto"/>
            <w:tcBorders>
              <w:top w:val="nil"/>
              <w:left w:val="nil"/>
              <w:bottom w:val="single" w:sz="4" w:space="0" w:color="BFBFBF" w:themeColor="background1" w:themeShade="BF"/>
              <w:right w:val="single" w:sz="8" w:space="0" w:color="BFBFBF"/>
            </w:tcBorders>
            <w:hideMark/>
          </w:tcPr>
          <w:p w:rsidR="00DE6344" w:rsidRDefault="00DE6344">
            <w:pPr>
              <w:spacing w:line="240" w:lineRule="exact"/>
              <w:rPr>
                <w:rFonts w:eastAsia="Times New Roman" w:cs="Arial"/>
                <w:b/>
                <w:bCs/>
                <w:color w:val="000000"/>
                <w:sz w:val="16"/>
                <w:szCs w:val="16"/>
                <w:lang w:eastAsia="es-ES"/>
              </w:rPr>
            </w:pPr>
            <w:r>
              <w:rPr>
                <w:rFonts w:eastAsia="Times New Roman" w:cs="Arial"/>
                <w:color w:val="000000"/>
                <w:sz w:val="16"/>
                <w:szCs w:val="16"/>
                <w:lang w:eastAsia="es-ES"/>
              </w:rPr>
              <w:t>7.EPSVs</w:t>
            </w:r>
          </w:p>
        </w:tc>
        <w:tc>
          <w:tcPr>
            <w:tcW w:w="2132" w:type="dxa"/>
            <w:tcBorders>
              <w:top w:val="nil"/>
              <w:left w:val="nil"/>
              <w:bottom w:val="single" w:sz="4" w:space="0" w:color="BFBFBF" w:themeColor="background1" w:themeShade="BF"/>
              <w:right w:val="single" w:sz="8" w:space="0" w:color="BFBFBF"/>
            </w:tcBorders>
            <w:hideMark/>
          </w:tcPr>
          <w:p w:rsidR="00DE6344" w:rsidRDefault="00DE6344" w:rsidP="00DD62D2">
            <w:pPr>
              <w:spacing w:line="240" w:lineRule="exact"/>
              <w:ind w:right="216"/>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c>
          <w:tcPr>
            <w:tcW w:w="2132" w:type="dxa"/>
            <w:tcBorders>
              <w:top w:val="nil"/>
              <w:left w:val="nil"/>
              <w:bottom w:val="single" w:sz="4" w:space="0" w:color="BFBFBF" w:themeColor="background1" w:themeShade="BF"/>
              <w:right w:val="nil"/>
            </w:tcBorders>
            <w:hideMark/>
          </w:tcPr>
          <w:p w:rsidR="00DE6344" w:rsidRDefault="00DE6344" w:rsidP="00DD62D2">
            <w:pPr>
              <w:spacing w:line="240" w:lineRule="exact"/>
              <w:ind w:right="216"/>
              <w:jc w:val="right"/>
              <w:rPr>
                <w:rFonts w:eastAsia="Times New Roman" w:cs="Arial"/>
                <w:color w:val="000000"/>
                <w:sz w:val="16"/>
                <w:szCs w:val="16"/>
                <w:lang w:eastAsia="es-ES"/>
              </w:rPr>
            </w:pPr>
            <w:proofErr w:type="spellStart"/>
            <w:r>
              <w:rPr>
                <w:rFonts w:eastAsia="Times New Roman" w:cs="Arial"/>
                <w:color w:val="000000"/>
                <w:sz w:val="16"/>
                <w:szCs w:val="16"/>
                <w:lang w:eastAsia="es-ES"/>
              </w:rPr>
              <w:t>n.d</w:t>
            </w:r>
            <w:proofErr w:type="spellEnd"/>
            <w:r>
              <w:rPr>
                <w:rFonts w:eastAsia="Times New Roman" w:cs="Arial"/>
                <w:color w:val="000000"/>
                <w:sz w:val="16"/>
                <w:szCs w:val="16"/>
                <w:lang w:eastAsia="es-ES"/>
              </w:rPr>
              <w:t>.</w:t>
            </w:r>
          </w:p>
        </w:tc>
      </w:tr>
      <w:tr w:rsidR="00DE6344" w:rsidTr="00DD62D2">
        <w:trPr>
          <w:jc w:val="center"/>
        </w:trPr>
        <w:tc>
          <w:tcPr>
            <w:tcW w:w="0" w:type="auto"/>
            <w:tcBorders>
              <w:top w:val="single" w:sz="4" w:space="0" w:color="BFBFBF" w:themeColor="background1" w:themeShade="BF"/>
              <w:left w:val="nil"/>
              <w:bottom w:val="single" w:sz="8" w:space="0" w:color="BFBFBF"/>
              <w:right w:val="single" w:sz="8" w:space="0" w:color="BFBFBF"/>
            </w:tcBorders>
            <w:hideMark/>
          </w:tcPr>
          <w:p w:rsidR="00DE6344" w:rsidRDefault="00DE6344">
            <w:pPr>
              <w:spacing w:line="240" w:lineRule="exact"/>
              <w:rPr>
                <w:rFonts w:eastAsia="Times New Roman" w:cs="Arial"/>
                <w:b/>
                <w:bCs/>
                <w:color w:val="000000"/>
                <w:sz w:val="16"/>
                <w:szCs w:val="16"/>
                <w:lang w:eastAsia="es-ES"/>
              </w:rPr>
            </w:pPr>
            <w:r>
              <w:rPr>
                <w:rFonts w:eastAsia="Times New Roman" w:cs="Arial"/>
                <w:b/>
                <w:bCs/>
                <w:color w:val="000000"/>
                <w:sz w:val="16"/>
                <w:szCs w:val="16"/>
                <w:lang w:eastAsia="es-ES"/>
              </w:rPr>
              <w:t>TOTAL</w:t>
            </w:r>
          </w:p>
        </w:tc>
        <w:tc>
          <w:tcPr>
            <w:tcW w:w="2132" w:type="dxa"/>
            <w:tcBorders>
              <w:top w:val="single" w:sz="4" w:space="0" w:color="BFBFBF" w:themeColor="background1" w:themeShade="BF"/>
              <w:left w:val="nil"/>
              <w:bottom w:val="single" w:sz="8" w:space="0" w:color="BFBFBF"/>
              <w:right w:val="single" w:sz="8" w:space="0" w:color="BFBFBF"/>
            </w:tcBorders>
            <w:hideMark/>
          </w:tcPr>
          <w:p w:rsidR="00DE6344" w:rsidRDefault="00DE6344" w:rsidP="00DD62D2">
            <w:pPr>
              <w:spacing w:line="240" w:lineRule="exact"/>
              <w:ind w:right="216"/>
              <w:jc w:val="right"/>
              <w:rPr>
                <w:rFonts w:eastAsia="Times New Roman" w:cs="Arial"/>
                <w:b/>
                <w:bCs/>
                <w:color w:val="000000"/>
                <w:sz w:val="16"/>
                <w:szCs w:val="16"/>
                <w:lang w:eastAsia="es-ES"/>
              </w:rPr>
            </w:pPr>
            <w:r>
              <w:rPr>
                <w:rFonts w:eastAsia="Times New Roman" w:cs="Arial"/>
                <w:b/>
                <w:color w:val="000000"/>
                <w:sz w:val="16"/>
                <w:szCs w:val="16"/>
                <w:lang w:eastAsia="es-ES"/>
              </w:rPr>
              <w:t>595</w:t>
            </w:r>
            <w:r>
              <w:rPr>
                <w:rFonts w:eastAsia="Times New Roman" w:cs="Arial"/>
                <w:b/>
                <w:bCs/>
                <w:color w:val="000000"/>
                <w:sz w:val="16"/>
                <w:szCs w:val="16"/>
                <w:lang w:eastAsia="es-ES"/>
              </w:rPr>
              <w:t>.510.603</w:t>
            </w:r>
          </w:p>
        </w:tc>
        <w:tc>
          <w:tcPr>
            <w:tcW w:w="2132" w:type="dxa"/>
            <w:tcBorders>
              <w:top w:val="single" w:sz="4" w:space="0" w:color="BFBFBF" w:themeColor="background1" w:themeShade="BF"/>
              <w:left w:val="nil"/>
              <w:bottom w:val="single" w:sz="8" w:space="0" w:color="BFBFBF"/>
              <w:right w:val="nil"/>
            </w:tcBorders>
            <w:hideMark/>
          </w:tcPr>
          <w:p w:rsidR="00DE6344" w:rsidRDefault="00DE6344" w:rsidP="00DD62D2">
            <w:pPr>
              <w:spacing w:line="240" w:lineRule="exact"/>
              <w:ind w:right="216"/>
              <w:jc w:val="right"/>
              <w:rPr>
                <w:rFonts w:eastAsia="Times New Roman" w:cs="Arial"/>
                <w:b/>
                <w:bCs/>
                <w:color w:val="000000"/>
                <w:sz w:val="16"/>
                <w:szCs w:val="16"/>
                <w:lang w:eastAsia="es-ES"/>
              </w:rPr>
            </w:pPr>
          </w:p>
        </w:tc>
      </w:tr>
    </w:tbl>
    <w:p w:rsidR="00DE6344" w:rsidRDefault="00DE6344" w:rsidP="006C5A24">
      <w:pPr>
        <w:rPr>
          <w:lang w:eastAsia="es-ES"/>
        </w:rPr>
      </w:pPr>
    </w:p>
    <w:p w:rsidR="00096609" w:rsidRDefault="00096609" w:rsidP="00CC39AE">
      <w:pPr>
        <w:rPr>
          <w:b/>
          <w:lang w:eastAsia="es-ES"/>
        </w:rPr>
      </w:pPr>
    </w:p>
    <w:p w:rsidR="00A30D9D" w:rsidRDefault="00A30D9D">
      <w:pPr>
        <w:spacing w:after="200" w:line="276" w:lineRule="auto"/>
        <w:jc w:val="left"/>
        <w:rPr>
          <w:b/>
          <w:lang w:eastAsia="es-ES"/>
        </w:rPr>
      </w:pPr>
      <w:r>
        <w:rPr>
          <w:b/>
          <w:lang w:eastAsia="es-ES"/>
        </w:rPr>
        <w:br w:type="page"/>
      </w:r>
    </w:p>
    <w:p w:rsidR="00A30D9D" w:rsidRDefault="00A30D9D" w:rsidP="00CC39AE">
      <w:pPr>
        <w:rPr>
          <w:b/>
          <w:lang w:eastAsia="es-ES"/>
        </w:rPr>
      </w:pPr>
      <w:r>
        <w:rPr>
          <w:b/>
          <w:lang w:eastAsia="es-ES"/>
        </w:rPr>
        <w:lastRenderedPageBreak/>
        <w:t>E</w:t>
      </w:r>
      <w:r w:rsidR="0063717B">
        <w:rPr>
          <w:b/>
          <w:lang w:eastAsia="es-ES"/>
        </w:rPr>
        <w:t>l conjunto de NFES genera un VAB de 466,5 millones de euros</w:t>
      </w:r>
      <w:r>
        <w:rPr>
          <w:b/>
          <w:lang w:eastAsia="es-ES"/>
        </w:rPr>
        <w:t>.</w:t>
      </w:r>
    </w:p>
    <w:p w:rsidR="00A30D9D" w:rsidRDefault="00A30D9D" w:rsidP="00CC39AE">
      <w:pPr>
        <w:rPr>
          <w:lang w:eastAsia="es-ES"/>
        </w:rPr>
      </w:pPr>
    </w:p>
    <w:p w:rsidR="008C6F4C" w:rsidRPr="00DE01F8" w:rsidRDefault="008C6F4C" w:rsidP="008C6F4C">
      <w:r>
        <w:rPr>
          <w:lang w:eastAsia="es-ES"/>
        </w:rPr>
        <w:t xml:space="preserve">El conjunto de las NFES genera un total de 466,5 millones de euros, destacando la cuantía correspondiente a las Fundaciones (266,9 millones de euros) y a los Centros Especiales de Empleo (118,4 millones de euros). El VAB de las Asociaciones de Utilidad Pública se sitúa en 44,6 millones de euros, con cifras entre los 8 y 16,2 millones de euros en las Empresas de Inserción, </w:t>
      </w:r>
      <w:proofErr w:type="spellStart"/>
      <w:r>
        <w:rPr>
          <w:lang w:eastAsia="es-ES"/>
        </w:rPr>
        <w:t>EPSVs</w:t>
      </w:r>
      <w:proofErr w:type="spellEnd"/>
      <w:r>
        <w:rPr>
          <w:lang w:eastAsia="es-ES"/>
        </w:rPr>
        <w:t xml:space="preserve"> y </w:t>
      </w:r>
      <w:proofErr w:type="spellStart"/>
      <w:r>
        <w:rPr>
          <w:lang w:eastAsia="es-ES"/>
        </w:rPr>
        <w:t>SATs</w:t>
      </w:r>
      <w:proofErr w:type="spellEnd"/>
      <w:r>
        <w:rPr>
          <w:lang w:eastAsia="es-ES"/>
        </w:rPr>
        <w:t>. El VAB de las Cofradías de Pescadores se sitúa en 2,3 millones de euros.</w:t>
      </w:r>
    </w:p>
    <w:p w:rsidR="008C6F4C" w:rsidRDefault="008C6F4C" w:rsidP="00CC39AE">
      <w:pPr>
        <w:rPr>
          <w:lang w:eastAsia="es-ES"/>
        </w:rPr>
      </w:pPr>
    </w:p>
    <w:p w:rsidR="008C6F4C" w:rsidRPr="00537ABD" w:rsidRDefault="008C6F4C" w:rsidP="008C6F4C">
      <w:pPr>
        <w:widowControl w:val="0"/>
        <w:jc w:val="center"/>
        <w:rPr>
          <w:rFonts w:cs="Arial"/>
          <w:b/>
        </w:rPr>
      </w:pPr>
      <w:r w:rsidRPr="00537ABD">
        <w:rPr>
          <w:rFonts w:cs="Arial"/>
          <w:b/>
          <w:color w:val="1F497D" w:themeColor="text2"/>
          <w:sz w:val="18"/>
          <w:szCs w:val="18"/>
        </w:rPr>
        <w:t>VAB POR TIPO DE ENTIDAD NFES 2014 (cifras absolutas)</w:t>
      </w:r>
    </w:p>
    <w:p w:rsidR="008C6F4C" w:rsidRDefault="008C6F4C" w:rsidP="008C6F4C">
      <w:pPr>
        <w:jc w:val="left"/>
        <w:rPr>
          <w:rFonts w:cs="Arial"/>
          <w:i/>
          <w:sz w:val="18"/>
          <w:szCs w:val="18"/>
        </w:rPr>
      </w:pPr>
      <w:r>
        <w:rPr>
          <w:rFonts w:cs="Arial"/>
          <w:i/>
          <w:noProof/>
          <w:sz w:val="18"/>
          <w:szCs w:val="18"/>
          <w:lang w:eastAsia="es-ES"/>
        </w:rPr>
        <w:drawing>
          <wp:anchor distT="103632" distB="78613" distL="547116" distR="556260" simplePos="0" relativeHeight="251874304" behindDoc="0" locked="0" layoutInCell="1" allowOverlap="1">
            <wp:simplePos x="0" y="0"/>
            <wp:positionH relativeFrom="column">
              <wp:posOffset>-146684</wp:posOffset>
            </wp:positionH>
            <wp:positionV relativeFrom="paragraph">
              <wp:posOffset>134621</wp:posOffset>
            </wp:positionV>
            <wp:extent cx="5374532" cy="1905000"/>
            <wp:effectExtent l="19050" t="0" r="0" b="0"/>
            <wp:wrapNone/>
            <wp:docPr id="15"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8C6F4C" w:rsidRPr="0088597F" w:rsidRDefault="008C6F4C" w:rsidP="008C6F4C">
      <w:pPr>
        <w:jc w:val="left"/>
        <w:rPr>
          <w:rFonts w:cs="Arial"/>
          <w:i/>
          <w:sz w:val="18"/>
          <w:szCs w:val="18"/>
        </w:rPr>
      </w:pPr>
    </w:p>
    <w:p w:rsidR="008C6F4C" w:rsidRDefault="008C6F4C" w:rsidP="008C6F4C">
      <w:pPr>
        <w:jc w:val="left"/>
        <w:rPr>
          <w:rFonts w:cs="Arial"/>
          <w:b/>
          <w:color w:val="1F497D" w:themeColor="text2"/>
          <w:sz w:val="18"/>
          <w:szCs w:val="18"/>
        </w:rPr>
      </w:pPr>
    </w:p>
    <w:p w:rsidR="008C6F4C" w:rsidRDefault="008C6F4C" w:rsidP="008C6F4C">
      <w:pPr>
        <w:jc w:val="left"/>
        <w:rPr>
          <w:rFonts w:cs="Arial"/>
          <w:b/>
          <w:color w:val="1F497D" w:themeColor="text2"/>
          <w:sz w:val="18"/>
          <w:szCs w:val="18"/>
        </w:rPr>
      </w:pPr>
    </w:p>
    <w:p w:rsidR="008C6F4C" w:rsidRDefault="008C6F4C" w:rsidP="008C6F4C">
      <w:pPr>
        <w:jc w:val="left"/>
        <w:rPr>
          <w:rFonts w:cs="Arial"/>
          <w:b/>
          <w:color w:val="1F497D" w:themeColor="text2"/>
          <w:sz w:val="18"/>
          <w:szCs w:val="18"/>
        </w:rPr>
      </w:pPr>
    </w:p>
    <w:p w:rsidR="008C6F4C" w:rsidRDefault="008C6F4C" w:rsidP="008C6F4C">
      <w:pPr>
        <w:jc w:val="left"/>
        <w:rPr>
          <w:rFonts w:cs="Arial"/>
          <w:b/>
          <w:color w:val="1F497D" w:themeColor="text2"/>
          <w:sz w:val="18"/>
          <w:szCs w:val="18"/>
        </w:rPr>
      </w:pPr>
    </w:p>
    <w:p w:rsidR="008C6F4C" w:rsidRDefault="008C6F4C" w:rsidP="008C6F4C">
      <w:pPr>
        <w:jc w:val="left"/>
        <w:rPr>
          <w:rFonts w:cs="Arial"/>
          <w:b/>
          <w:color w:val="1F497D" w:themeColor="text2"/>
          <w:sz w:val="18"/>
          <w:szCs w:val="18"/>
        </w:rPr>
      </w:pPr>
    </w:p>
    <w:p w:rsidR="008C6F4C" w:rsidRDefault="008C6F4C" w:rsidP="008C6F4C">
      <w:pPr>
        <w:jc w:val="left"/>
        <w:rPr>
          <w:rFonts w:cs="Arial"/>
          <w:b/>
          <w:color w:val="1F497D" w:themeColor="text2"/>
          <w:sz w:val="18"/>
          <w:szCs w:val="18"/>
        </w:rPr>
      </w:pPr>
    </w:p>
    <w:p w:rsidR="008C6F4C" w:rsidRDefault="008C6F4C" w:rsidP="008C6F4C">
      <w:pPr>
        <w:jc w:val="left"/>
        <w:rPr>
          <w:rFonts w:cs="Arial"/>
          <w:b/>
          <w:color w:val="1F497D" w:themeColor="text2"/>
          <w:sz w:val="18"/>
          <w:szCs w:val="18"/>
        </w:rPr>
      </w:pPr>
    </w:p>
    <w:p w:rsidR="008C6F4C" w:rsidRDefault="008C6F4C" w:rsidP="008C6F4C">
      <w:pPr>
        <w:jc w:val="left"/>
        <w:rPr>
          <w:rFonts w:cs="Arial"/>
          <w:b/>
          <w:color w:val="1F497D" w:themeColor="text2"/>
          <w:sz w:val="18"/>
          <w:szCs w:val="18"/>
        </w:rPr>
      </w:pPr>
    </w:p>
    <w:p w:rsidR="008C6F4C" w:rsidRDefault="008C6F4C" w:rsidP="00CC39AE">
      <w:pPr>
        <w:rPr>
          <w:lang w:eastAsia="es-ES"/>
        </w:rPr>
      </w:pPr>
    </w:p>
    <w:p w:rsidR="008C6F4C" w:rsidRPr="00A30D9D" w:rsidRDefault="008C6F4C" w:rsidP="00CC39AE">
      <w:pPr>
        <w:rPr>
          <w:lang w:eastAsia="es-ES"/>
        </w:rPr>
      </w:pPr>
    </w:p>
    <w:p w:rsidR="008C6F4C" w:rsidRDefault="008C6F4C">
      <w:pPr>
        <w:spacing w:after="200" w:line="276" w:lineRule="auto"/>
        <w:jc w:val="left"/>
        <w:rPr>
          <w:b/>
          <w:lang w:eastAsia="es-ES"/>
        </w:rPr>
      </w:pPr>
      <w:r>
        <w:rPr>
          <w:b/>
          <w:lang w:eastAsia="es-ES"/>
        </w:rPr>
        <w:br w:type="page"/>
      </w:r>
    </w:p>
    <w:p w:rsidR="008C6F4C" w:rsidRPr="008C6F4C" w:rsidRDefault="008C6F4C" w:rsidP="008C6F4C">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8"/>
          <w:szCs w:val="28"/>
          <w:lang w:eastAsia="es-ES"/>
        </w:rPr>
      </w:pPr>
      <w:r w:rsidRPr="008C6F4C">
        <w:rPr>
          <w:b/>
          <w:sz w:val="28"/>
          <w:szCs w:val="28"/>
          <w:lang w:eastAsia="es-ES"/>
        </w:rPr>
        <w:lastRenderedPageBreak/>
        <w:t>A través de su actividad, y de forma agregada FCES</w:t>
      </w:r>
      <w:r>
        <w:rPr>
          <w:b/>
          <w:sz w:val="28"/>
          <w:szCs w:val="28"/>
          <w:lang w:eastAsia="es-ES"/>
        </w:rPr>
        <w:t>-NFES</w:t>
      </w:r>
      <w:r w:rsidRPr="008C6F4C">
        <w:rPr>
          <w:b/>
          <w:sz w:val="28"/>
          <w:szCs w:val="28"/>
          <w:lang w:eastAsia="es-ES"/>
        </w:rPr>
        <w:t>, la Economía Social eleva su dimensión socioeconómica a las siguientes grandes cifras: 76.843 empleo</w:t>
      </w:r>
      <w:r w:rsidR="003212A0">
        <w:rPr>
          <w:b/>
          <w:sz w:val="28"/>
          <w:szCs w:val="28"/>
          <w:lang w:eastAsia="es-ES"/>
        </w:rPr>
        <w:t>s</w:t>
      </w:r>
      <w:r w:rsidRPr="008C6F4C">
        <w:rPr>
          <w:b/>
          <w:sz w:val="28"/>
          <w:szCs w:val="28"/>
          <w:lang w:eastAsia="es-ES"/>
        </w:rPr>
        <w:t>, 9.855 millones de facturación y 3.068 millones de VAB</w:t>
      </w:r>
      <w:r w:rsidR="003212A0">
        <w:rPr>
          <w:b/>
          <w:sz w:val="28"/>
          <w:szCs w:val="28"/>
          <w:lang w:eastAsia="es-ES"/>
        </w:rPr>
        <w:t>.</w:t>
      </w:r>
    </w:p>
    <w:p w:rsidR="008C6F4C" w:rsidRDefault="008C6F4C" w:rsidP="00CC39AE">
      <w:pPr>
        <w:rPr>
          <w:b/>
          <w:lang w:eastAsia="es-ES"/>
        </w:rPr>
      </w:pPr>
    </w:p>
    <w:p w:rsidR="00096609" w:rsidRDefault="00096609" w:rsidP="00CC39AE">
      <w:pPr>
        <w:rPr>
          <w:b/>
          <w:lang w:eastAsia="es-ES"/>
        </w:rPr>
      </w:pPr>
    </w:p>
    <w:p w:rsidR="008C6F4C" w:rsidRDefault="008C6F4C" w:rsidP="003B7EB5">
      <w:pPr>
        <w:rPr>
          <w:lang w:eastAsia="es-ES"/>
        </w:rPr>
      </w:pPr>
      <w:r>
        <w:rPr>
          <w:lang w:eastAsia="es-ES"/>
        </w:rPr>
        <w:t>Considerada en su conjunto</w:t>
      </w:r>
      <w:r w:rsidRPr="008C6F4C">
        <w:rPr>
          <w:rStyle w:val="Refdenotaalpie"/>
          <w:rFonts w:cs="Arial"/>
          <w:b/>
          <w:bCs/>
          <w:szCs w:val="20"/>
        </w:rPr>
        <w:footnoteReference w:id="8"/>
      </w:r>
      <w:r>
        <w:rPr>
          <w:lang w:eastAsia="es-ES"/>
        </w:rPr>
        <w:t xml:space="preserve">, la Economía Social, tal y como es definida en la actualidad, cuenta con </w:t>
      </w:r>
      <w:r w:rsidR="009336BE">
        <w:rPr>
          <w:lang w:eastAsia="es-ES"/>
        </w:rPr>
        <w:t>un conjunto de</w:t>
      </w:r>
      <w:r w:rsidR="001E615B">
        <w:rPr>
          <w:lang w:eastAsia="es-ES"/>
        </w:rPr>
        <w:t xml:space="preserve"> 5.172 establecimientos </w:t>
      </w:r>
      <w:r w:rsidR="00E710BF">
        <w:rPr>
          <w:lang w:eastAsia="es-ES"/>
        </w:rPr>
        <w:t>que emplean a un total de 76.843 empleos</w:t>
      </w:r>
      <w:r>
        <w:rPr>
          <w:lang w:eastAsia="es-ES"/>
        </w:rPr>
        <w:t>.</w:t>
      </w:r>
    </w:p>
    <w:p w:rsidR="008C6F4C" w:rsidRDefault="008C6F4C" w:rsidP="003B7EB5">
      <w:pPr>
        <w:rPr>
          <w:lang w:eastAsia="es-ES"/>
        </w:rPr>
      </w:pPr>
    </w:p>
    <w:p w:rsidR="00204F30" w:rsidRDefault="008C6F4C" w:rsidP="003B7EB5">
      <w:pPr>
        <w:rPr>
          <w:lang w:eastAsia="es-ES"/>
        </w:rPr>
      </w:pPr>
      <w:r>
        <w:rPr>
          <w:lang w:eastAsia="es-ES"/>
        </w:rPr>
        <w:t xml:space="preserve">La facturación generada se eleva a </w:t>
      </w:r>
      <w:r w:rsidR="00AC59B7">
        <w:rPr>
          <w:lang w:eastAsia="es-ES"/>
        </w:rPr>
        <w:t>9.855 millones de euros</w:t>
      </w:r>
      <w:r>
        <w:rPr>
          <w:lang w:eastAsia="es-ES"/>
        </w:rPr>
        <w:t>. Con una masa salarial de 2.647 millones de euros</w:t>
      </w:r>
      <w:r w:rsidR="00AC59B7">
        <w:rPr>
          <w:lang w:eastAsia="es-ES"/>
        </w:rPr>
        <w:t xml:space="preserve">, </w:t>
      </w:r>
      <w:r>
        <w:rPr>
          <w:lang w:eastAsia="es-ES"/>
        </w:rPr>
        <w:t xml:space="preserve">los resultados globales del sector se sitúan en </w:t>
      </w:r>
      <w:r w:rsidR="00AC59B7">
        <w:rPr>
          <w:lang w:eastAsia="es-ES"/>
        </w:rPr>
        <w:t>114 millones de euros</w:t>
      </w:r>
      <w:r>
        <w:rPr>
          <w:lang w:eastAsia="es-ES"/>
        </w:rPr>
        <w:t xml:space="preserve">. El VAB generado se estima en </w:t>
      </w:r>
      <w:r w:rsidR="00AC59B7">
        <w:rPr>
          <w:lang w:eastAsia="es-ES"/>
        </w:rPr>
        <w:t>3.068 millones de euros.</w:t>
      </w:r>
      <w:r w:rsidR="00483DF7">
        <w:rPr>
          <w:lang w:eastAsia="es-ES"/>
        </w:rPr>
        <w:t xml:space="preserve"> </w:t>
      </w:r>
    </w:p>
    <w:p w:rsidR="00AC59B7" w:rsidRDefault="00AC59B7" w:rsidP="003522A0">
      <w:pPr>
        <w:rPr>
          <w:lang w:eastAsia="es-ES"/>
        </w:rPr>
      </w:pPr>
    </w:p>
    <w:tbl>
      <w:tblPr>
        <w:tblW w:w="8808" w:type="dxa"/>
        <w:jc w:val="center"/>
        <w:tblInd w:w="-1478" w:type="dxa"/>
        <w:tblLook w:val="04A0" w:firstRow="1" w:lastRow="0" w:firstColumn="1" w:lastColumn="0" w:noHBand="0" w:noVBand="1"/>
      </w:tblPr>
      <w:tblGrid>
        <w:gridCol w:w="3101"/>
        <w:gridCol w:w="2376"/>
        <w:gridCol w:w="3331"/>
      </w:tblGrid>
      <w:tr w:rsidR="005D0047" w:rsidTr="005D0047">
        <w:trPr>
          <w:jc w:val="center"/>
        </w:trPr>
        <w:tc>
          <w:tcPr>
            <w:tcW w:w="1760" w:type="pct"/>
            <w:tcBorders>
              <w:top w:val="single" w:sz="4" w:space="0" w:color="BFBFBF" w:themeColor="background1" w:themeShade="BF"/>
              <w:left w:val="nil"/>
              <w:bottom w:val="nil"/>
              <w:right w:val="single" w:sz="4" w:space="0" w:color="BFBFBF" w:themeColor="background1" w:themeShade="BF"/>
            </w:tcBorders>
            <w:shd w:val="clear" w:color="auto" w:fill="DBE5F1" w:themeFill="accent1" w:themeFillTint="33"/>
            <w:vAlign w:val="center"/>
            <w:hideMark/>
          </w:tcPr>
          <w:p w:rsidR="005D0047" w:rsidRDefault="005D0047" w:rsidP="00DD62D2">
            <w:pPr>
              <w:spacing w:line="240" w:lineRule="exact"/>
              <w:jc w:val="left"/>
              <w:rPr>
                <w:rFonts w:asciiTheme="minorHAnsi" w:eastAsiaTheme="minorEastAsia" w:hAnsiTheme="minorHAnsi" w:cs="Times New Roman"/>
                <w:sz w:val="22"/>
                <w:lang w:eastAsia="es-ES"/>
              </w:rPr>
            </w:pPr>
          </w:p>
        </w:tc>
        <w:tc>
          <w:tcPr>
            <w:tcW w:w="324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5D0047" w:rsidRDefault="005D0047" w:rsidP="00DD62D2">
            <w:pPr>
              <w:widowControl w:val="0"/>
              <w:spacing w:line="240" w:lineRule="exact"/>
              <w:jc w:val="center"/>
              <w:rPr>
                <w:rFonts w:cs="Arial"/>
                <w:b/>
                <w:bCs/>
                <w:sz w:val="16"/>
                <w:szCs w:val="16"/>
              </w:rPr>
            </w:pPr>
            <w:r>
              <w:rPr>
                <w:rFonts w:cs="Arial"/>
                <w:b/>
                <w:bCs/>
                <w:sz w:val="16"/>
                <w:szCs w:val="16"/>
                <w:lang w:val="pt-BR"/>
              </w:rPr>
              <w:t xml:space="preserve">ECONOMIA SOCIAL AGREGADA (Cooperativas, </w:t>
            </w:r>
            <w:proofErr w:type="spellStart"/>
            <w:proofErr w:type="gramStart"/>
            <w:r>
              <w:rPr>
                <w:rFonts w:cs="Arial"/>
                <w:b/>
                <w:bCs/>
                <w:sz w:val="16"/>
                <w:szCs w:val="16"/>
                <w:lang w:val="pt-BR"/>
              </w:rPr>
              <w:t>SALes</w:t>
            </w:r>
            <w:proofErr w:type="spellEnd"/>
            <w:proofErr w:type="gramEnd"/>
            <w:r>
              <w:rPr>
                <w:rFonts w:cs="Arial"/>
                <w:b/>
                <w:bCs/>
                <w:sz w:val="16"/>
                <w:szCs w:val="16"/>
                <w:lang w:val="pt-BR"/>
              </w:rPr>
              <w:t xml:space="preserve"> y </w:t>
            </w:r>
            <w:proofErr w:type="spellStart"/>
            <w:r>
              <w:rPr>
                <w:rFonts w:cs="Arial"/>
                <w:b/>
                <w:bCs/>
                <w:sz w:val="16"/>
                <w:szCs w:val="16"/>
                <w:lang w:val="pt-BR"/>
              </w:rPr>
              <w:t>SLLes</w:t>
            </w:r>
            <w:proofErr w:type="spellEnd"/>
            <w:r>
              <w:rPr>
                <w:rFonts w:cs="Arial"/>
                <w:b/>
                <w:bCs/>
                <w:sz w:val="16"/>
                <w:szCs w:val="16"/>
                <w:lang w:val="pt-BR"/>
              </w:rPr>
              <w:t xml:space="preserve">) + </w:t>
            </w:r>
            <w:proofErr w:type="spellStart"/>
            <w:r>
              <w:rPr>
                <w:rFonts w:cs="Arial"/>
                <w:b/>
                <w:bCs/>
                <w:sz w:val="16"/>
                <w:szCs w:val="16"/>
                <w:lang w:val="pt-BR"/>
              </w:rPr>
              <w:t>Nuevas</w:t>
            </w:r>
            <w:proofErr w:type="spellEnd"/>
            <w:r>
              <w:rPr>
                <w:rFonts w:cs="Arial"/>
                <w:b/>
                <w:bCs/>
                <w:sz w:val="16"/>
                <w:szCs w:val="16"/>
                <w:lang w:val="pt-BR"/>
              </w:rPr>
              <w:t xml:space="preserve"> Formas</w:t>
            </w:r>
          </w:p>
        </w:tc>
      </w:tr>
      <w:tr w:rsidR="005D0047" w:rsidTr="005D0047">
        <w:trPr>
          <w:jc w:val="center"/>
        </w:trPr>
        <w:tc>
          <w:tcPr>
            <w:tcW w:w="1760"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D0047" w:rsidRDefault="005D0047" w:rsidP="00DD62D2">
            <w:pPr>
              <w:spacing w:line="240" w:lineRule="exact"/>
              <w:jc w:val="left"/>
              <w:rPr>
                <w:rFonts w:asciiTheme="minorHAnsi" w:eastAsiaTheme="minorEastAsia" w:hAnsiTheme="minorHAnsi" w:cs="Times New Roman"/>
                <w:sz w:val="22"/>
                <w:lang w:eastAsia="es-ES"/>
              </w:rPr>
            </w:pP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5D0047" w:rsidRDefault="005D0047" w:rsidP="00DD62D2">
            <w:pPr>
              <w:widowControl w:val="0"/>
              <w:spacing w:line="240" w:lineRule="exact"/>
              <w:jc w:val="center"/>
              <w:rPr>
                <w:rFonts w:cs="Arial"/>
                <w:b/>
                <w:bCs/>
                <w:sz w:val="16"/>
                <w:szCs w:val="16"/>
              </w:rPr>
            </w:pPr>
            <w:r>
              <w:rPr>
                <w:rFonts w:cs="Arial"/>
                <w:b/>
                <w:bCs/>
                <w:sz w:val="16"/>
                <w:szCs w:val="16"/>
                <w:lang w:val="pt-BR"/>
              </w:rPr>
              <w:t>2012</w:t>
            </w:r>
            <w:r>
              <w:rPr>
                <w:rStyle w:val="Refdenotaalpie"/>
                <w:rFonts w:eastAsia="Times New Roman" w:cs="Arial"/>
                <w:b/>
                <w:bCs/>
                <w:color w:val="000000"/>
                <w:sz w:val="16"/>
                <w:szCs w:val="16"/>
                <w:lang w:eastAsia="es-ES"/>
              </w:rPr>
              <w:footnoteReference w:id="9"/>
            </w:r>
          </w:p>
        </w:tc>
        <w:tc>
          <w:tcPr>
            <w:tcW w:w="189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5D0047" w:rsidRDefault="005D0047" w:rsidP="00DD62D2">
            <w:pPr>
              <w:widowControl w:val="0"/>
              <w:spacing w:line="240" w:lineRule="exact"/>
              <w:jc w:val="center"/>
              <w:rPr>
                <w:rFonts w:cs="Arial"/>
                <w:b/>
                <w:bCs/>
                <w:sz w:val="16"/>
                <w:szCs w:val="16"/>
              </w:rPr>
            </w:pPr>
            <w:r>
              <w:rPr>
                <w:rFonts w:cs="Arial"/>
                <w:b/>
                <w:bCs/>
                <w:sz w:val="16"/>
                <w:szCs w:val="16"/>
                <w:lang w:val="pt-BR"/>
              </w:rPr>
              <w:t>2014</w:t>
            </w:r>
          </w:p>
        </w:tc>
      </w:tr>
      <w:tr w:rsidR="005D0047" w:rsidTr="005D0047">
        <w:trPr>
          <w:jc w:val="center"/>
        </w:trPr>
        <w:tc>
          <w:tcPr>
            <w:tcW w:w="1760" w:type="pct"/>
            <w:tcBorders>
              <w:top w:val="single" w:sz="4" w:space="0" w:color="BFBFBF" w:themeColor="background1" w:themeShade="BF"/>
              <w:left w:val="nil"/>
              <w:bottom w:val="nil"/>
              <w:right w:val="single" w:sz="4" w:space="0" w:color="BFBFBF" w:themeColor="background1" w:themeShade="BF"/>
            </w:tcBorders>
            <w:hideMark/>
          </w:tcPr>
          <w:p w:rsidR="005D0047" w:rsidRDefault="005D0047" w:rsidP="00DD62D2">
            <w:pPr>
              <w:widowControl w:val="0"/>
              <w:spacing w:line="240" w:lineRule="exact"/>
              <w:rPr>
                <w:rFonts w:cs="Arial"/>
                <w:b/>
                <w:sz w:val="16"/>
                <w:szCs w:val="16"/>
              </w:rPr>
            </w:pPr>
            <w:r>
              <w:rPr>
                <w:rFonts w:cs="Arial"/>
                <w:b/>
                <w:sz w:val="16"/>
                <w:szCs w:val="16"/>
              </w:rPr>
              <w:t>Empleo remunerado anualizado</w:t>
            </w:r>
          </w:p>
        </w:tc>
        <w:tc>
          <w:tcPr>
            <w:tcW w:w="134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81.224 empleos</w:t>
            </w:r>
          </w:p>
        </w:tc>
        <w:tc>
          <w:tcPr>
            <w:tcW w:w="1890" w:type="pct"/>
            <w:tcBorders>
              <w:top w:val="single" w:sz="4" w:space="0" w:color="BFBFBF" w:themeColor="background1" w:themeShade="BF"/>
              <w:left w:val="single" w:sz="4" w:space="0" w:color="BFBFBF" w:themeColor="background1" w:themeShade="BF"/>
              <w:bottom w:val="nil"/>
              <w:right w:val="nil"/>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76.843 empleos</w:t>
            </w:r>
          </w:p>
        </w:tc>
      </w:tr>
      <w:tr w:rsidR="005D0047" w:rsidTr="005D0047">
        <w:trPr>
          <w:jc w:val="center"/>
        </w:trPr>
        <w:tc>
          <w:tcPr>
            <w:tcW w:w="1760" w:type="pct"/>
            <w:tcBorders>
              <w:top w:val="nil"/>
              <w:left w:val="nil"/>
              <w:bottom w:val="nil"/>
              <w:right w:val="single" w:sz="4" w:space="0" w:color="BFBFBF" w:themeColor="background1" w:themeShade="BF"/>
            </w:tcBorders>
            <w:hideMark/>
          </w:tcPr>
          <w:p w:rsidR="005D0047" w:rsidRDefault="005D0047" w:rsidP="00DD62D2">
            <w:pPr>
              <w:widowControl w:val="0"/>
              <w:spacing w:line="240" w:lineRule="exact"/>
              <w:rPr>
                <w:rFonts w:cs="Arial"/>
                <w:b/>
                <w:sz w:val="16"/>
                <w:szCs w:val="16"/>
              </w:rPr>
            </w:pPr>
            <w:r>
              <w:rPr>
                <w:rFonts w:cs="Arial"/>
                <w:b/>
                <w:sz w:val="16"/>
                <w:szCs w:val="16"/>
              </w:rPr>
              <w:t>Facturación</w:t>
            </w:r>
          </w:p>
        </w:tc>
        <w:tc>
          <w:tcPr>
            <w:tcW w:w="1349" w:type="pct"/>
            <w:tcBorders>
              <w:top w:val="nil"/>
              <w:left w:val="single" w:sz="4" w:space="0" w:color="BFBFBF" w:themeColor="background1" w:themeShade="BF"/>
              <w:bottom w:val="nil"/>
              <w:right w:val="single" w:sz="4" w:space="0" w:color="BFBFBF" w:themeColor="background1" w:themeShade="BF"/>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10.196 millones de euros</w:t>
            </w:r>
          </w:p>
        </w:tc>
        <w:tc>
          <w:tcPr>
            <w:tcW w:w="1890" w:type="pct"/>
            <w:tcBorders>
              <w:top w:val="nil"/>
              <w:left w:val="single" w:sz="4" w:space="0" w:color="BFBFBF" w:themeColor="background1" w:themeShade="BF"/>
              <w:bottom w:val="nil"/>
              <w:right w:val="nil"/>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9.855 millones de euros</w:t>
            </w:r>
          </w:p>
        </w:tc>
      </w:tr>
      <w:tr w:rsidR="005D0047" w:rsidTr="005D0047">
        <w:trPr>
          <w:jc w:val="center"/>
        </w:trPr>
        <w:tc>
          <w:tcPr>
            <w:tcW w:w="1760" w:type="pct"/>
            <w:tcBorders>
              <w:top w:val="nil"/>
              <w:left w:val="nil"/>
              <w:right w:val="single" w:sz="4" w:space="0" w:color="BFBFBF" w:themeColor="background1" w:themeShade="BF"/>
            </w:tcBorders>
            <w:hideMark/>
          </w:tcPr>
          <w:p w:rsidR="005D0047" w:rsidRDefault="005D0047" w:rsidP="00DD62D2">
            <w:pPr>
              <w:widowControl w:val="0"/>
              <w:spacing w:line="240" w:lineRule="exact"/>
              <w:rPr>
                <w:rFonts w:cs="Arial"/>
                <w:b/>
                <w:sz w:val="16"/>
                <w:szCs w:val="16"/>
              </w:rPr>
            </w:pPr>
            <w:r>
              <w:rPr>
                <w:rFonts w:cs="Arial"/>
                <w:b/>
                <w:sz w:val="16"/>
                <w:szCs w:val="16"/>
              </w:rPr>
              <w:t xml:space="preserve">Masa salarial </w:t>
            </w:r>
          </w:p>
        </w:tc>
        <w:tc>
          <w:tcPr>
            <w:tcW w:w="1349" w:type="pct"/>
            <w:tcBorders>
              <w:top w:val="nil"/>
              <w:left w:val="single" w:sz="4" w:space="0" w:color="BFBFBF" w:themeColor="background1" w:themeShade="BF"/>
              <w:right w:val="single" w:sz="4" w:space="0" w:color="BFBFBF" w:themeColor="background1" w:themeShade="BF"/>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2.691 millones de euros</w:t>
            </w:r>
          </w:p>
        </w:tc>
        <w:tc>
          <w:tcPr>
            <w:tcW w:w="1890" w:type="pct"/>
            <w:tcBorders>
              <w:top w:val="nil"/>
              <w:left w:val="single" w:sz="4" w:space="0" w:color="BFBFBF" w:themeColor="background1" w:themeShade="BF"/>
              <w:right w:val="nil"/>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2.647 millones de euros</w:t>
            </w:r>
          </w:p>
        </w:tc>
      </w:tr>
      <w:tr w:rsidR="005D0047" w:rsidTr="005D0047">
        <w:trPr>
          <w:jc w:val="center"/>
        </w:trPr>
        <w:tc>
          <w:tcPr>
            <w:tcW w:w="1760" w:type="pct"/>
            <w:tcBorders>
              <w:top w:val="nil"/>
              <w:left w:val="nil"/>
              <w:bottom w:val="single" w:sz="4" w:space="0" w:color="BFBFBF" w:themeColor="background1" w:themeShade="BF"/>
              <w:right w:val="single" w:sz="4" w:space="0" w:color="BFBFBF" w:themeColor="background1" w:themeShade="BF"/>
            </w:tcBorders>
            <w:hideMark/>
          </w:tcPr>
          <w:p w:rsidR="005D0047" w:rsidRDefault="005D0047" w:rsidP="00DD62D2">
            <w:pPr>
              <w:spacing w:line="240" w:lineRule="exact"/>
              <w:rPr>
                <w:rFonts w:eastAsia="Times New Roman" w:cs="Arial"/>
                <w:color w:val="000000"/>
                <w:sz w:val="16"/>
                <w:szCs w:val="16"/>
                <w:lang w:eastAsia="es-ES"/>
              </w:rPr>
            </w:pPr>
            <w:r>
              <w:rPr>
                <w:rFonts w:cs="Arial"/>
                <w:b/>
                <w:sz w:val="16"/>
                <w:szCs w:val="16"/>
              </w:rPr>
              <w:t>VAB</w:t>
            </w:r>
          </w:p>
        </w:tc>
        <w:tc>
          <w:tcPr>
            <w:tcW w:w="134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3.495 millones de euros</w:t>
            </w:r>
          </w:p>
        </w:tc>
        <w:tc>
          <w:tcPr>
            <w:tcW w:w="1890" w:type="pct"/>
            <w:tcBorders>
              <w:top w:val="nil"/>
              <w:left w:val="single" w:sz="4" w:space="0" w:color="BFBFBF" w:themeColor="background1" w:themeShade="BF"/>
              <w:bottom w:val="single" w:sz="4" w:space="0" w:color="BFBFBF" w:themeColor="background1" w:themeShade="BF"/>
              <w:right w:val="nil"/>
            </w:tcBorders>
            <w:vAlign w:val="bottom"/>
            <w:hideMark/>
          </w:tcPr>
          <w:p w:rsidR="005D0047" w:rsidRDefault="005D0047" w:rsidP="00DD62D2">
            <w:pPr>
              <w:widowControl w:val="0"/>
              <w:spacing w:line="240" w:lineRule="exact"/>
              <w:ind w:right="284"/>
              <w:jc w:val="right"/>
              <w:rPr>
                <w:rFonts w:cs="Arial"/>
                <w:color w:val="000000"/>
                <w:sz w:val="16"/>
                <w:szCs w:val="16"/>
              </w:rPr>
            </w:pPr>
            <w:r>
              <w:rPr>
                <w:rFonts w:cs="Arial"/>
                <w:color w:val="000000"/>
                <w:sz w:val="16"/>
                <w:szCs w:val="16"/>
              </w:rPr>
              <w:t>3.068 millones de euros</w:t>
            </w:r>
          </w:p>
        </w:tc>
      </w:tr>
    </w:tbl>
    <w:p w:rsidR="00DD62D2" w:rsidRDefault="00DD62D2" w:rsidP="003522A0">
      <w:pPr>
        <w:rPr>
          <w:lang w:eastAsia="es-ES"/>
        </w:rPr>
      </w:pPr>
    </w:p>
    <w:p w:rsidR="0054655A" w:rsidRDefault="0054655A" w:rsidP="003522A0">
      <w:pPr>
        <w:rPr>
          <w:lang w:eastAsia="es-ES"/>
        </w:rPr>
      </w:pPr>
    </w:p>
    <w:p w:rsidR="008C6F4C" w:rsidRPr="008C6F4C" w:rsidRDefault="008C6F4C" w:rsidP="008C6F4C">
      <w:pPr>
        <w:rPr>
          <w:lang w:eastAsia="es-ES"/>
        </w:rPr>
      </w:pPr>
      <w:r w:rsidRPr="008C6F4C">
        <w:rPr>
          <w:lang w:eastAsia="es-ES"/>
        </w:rPr>
        <w:t>En términos relativos, el VAB generado en 2014 por el conjunto de la Economía Social (FCES y NFES) puede así estimarse, en relación al conjunto del VAB a precios básicos de la CAE</w:t>
      </w:r>
      <w:r w:rsidRPr="008C6F4C">
        <w:rPr>
          <w:rStyle w:val="Refdenotaalpie"/>
          <w:lang w:eastAsia="es-ES"/>
        </w:rPr>
        <w:footnoteReference w:id="10"/>
      </w:r>
      <w:r w:rsidRPr="008C6F4C">
        <w:rPr>
          <w:lang w:eastAsia="es-ES"/>
        </w:rPr>
        <w:t>, en un 5,1 %. El peso del empleo del conjunto de la Economía Social resulta equivalente, por su parte, a un 8,6% de la población ocupada.</w:t>
      </w:r>
    </w:p>
    <w:p w:rsidR="008C6F4C" w:rsidRDefault="008C6F4C" w:rsidP="003522A0">
      <w:pPr>
        <w:rPr>
          <w:lang w:eastAsia="es-ES"/>
        </w:rPr>
      </w:pPr>
    </w:p>
    <w:p w:rsidR="0054655A" w:rsidRDefault="0054655A">
      <w:pPr>
        <w:spacing w:after="200" w:line="276" w:lineRule="auto"/>
        <w:jc w:val="left"/>
        <w:rPr>
          <w:lang w:eastAsia="es-ES"/>
        </w:rPr>
      </w:pPr>
      <w:r>
        <w:rPr>
          <w:lang w:eastAsia="es-ES"/>
        </w:rPr>
        <w:br w:type="page"/>
      </w:r>
    </w:p>
    <w:p w:rsidR="0054655A" w:rsidRPr="0054655A" w:rsidRDefault="0054655A" w:rsidP="003522A0">
      <w:pPr>
        <w:rPr>
          <w:b/>
          <w:lang w:eastAsia="es-ES"/>
        </w:rPr>
      </w:pPr>
      <w:r w:rsidRPr="0054655A">
        <w:rPr>
          <w:b/>
          <w:lang w:eastAsia="es-ES"/>
        </w:rPr>
        <w:lastRenderedPageBreak/>
        <w:t>ANEXO METODOLÓGICO SOBRE LA MEDICIÓN DEL EMPLEO EN LAS NFES</w:t>
      </w:r>
    </w:p>
    <w:p w:rsidR="0054655A" w:rsidRDefault="0054655A" w:rsidP="003522A0">
      <w:pPr>
        <w:rPr>
          <w:lang w:eastAsia="es-ES"/>
        </w:rPr>
      </w:pPr>
    </w:p>
    <w:p w:rsidR="0054655A" w:rsidRDefault="0054655A" w:rsidP="0054655A">
      <w:pPr>
        <w:rPr>
          <w:lang w:eastAsia="es-ES"/>
        </w:rPr>
      </w:pPr>
      <w:r>
        <w:rPr>
          <w:lang w:eastAsia="es-ES"/>
        </w:rPr>
        <w:t>Conviene señalar que l</w:t>
      </w:r>
      <w:r w:rsidRPr="001A4847">
        <w:rPr>
          <w:lang w:eastAsia="es-ES"/>
        </w:rPr>
        <w:t xml:space="preserve">a metodología en la que se ha apoyado la realización de la estimación </w:t>
      </w:r>
      <w:r>
        <w:rPr>
          <w:lang w:eastAsia="es-ES"/>
        </w:rPr>
        <w:t>de las cifras de empleo</w:t>
      </w:r>
      <w:r w:rsidRPr="001A4847">
        <w:rPr>
          <w:lang w:eastAsia="es-ES"/>
        </w:rPr>
        <w:t xml:space="preserve"> en la edición 2014 no </w:t>
      </w:r>
      <w:r>
        <w:rPr>
          <w:lang w:eastAsia="es-ES"/>
        </w:rPr>
        <w:t>resulta estrictamente comparable con las cifras estimadas en el capítulo de NFES de la Estadística de la Economía Social 2012.</w:t>
      </w:r>
    </w:p>
    <w:p w:rsidR="0054655A" w:rsidRDefault="0054655A" w:rsidP="0054655A">
      <w:pPr>
        <w:rPr>
          <w:lang w:eastAsia="es-ES"/>
        </w:rPr>
      </w:pPr>
    </w:p>
    <w:p w:rsidR="0054655A" w:rsidRDefault="0054655A" w:rsidP="0054655A">
      <w:pPr>
        <w:rPr>
          <w:lang w:eastAsia="es-ES"/>
        </w:rPr>
      </w:pPr>
      <w:r>
        <w:rPr>
          <w:lang w:eastAsia="es-ES"/>
        </w:rPr>
        <w:t xml:space="preserve">Aunque en 2012 se facilitaban cifras sobre una base o un universo ya consolidado de 1.226 entidades, se trató en aquel momento de una aproximación experimental que no permite realizar una lectura dinámica rigurosa en términos de empleo en relación al ejercicio 2014. Este último ejercicio constituye, de hecho, la primera fase de aplicación de una aproximación en la que se recaba la información a través de un cuestionario específico dirigido de forma censal al conjunto de NFES. </w:t>
      </w:r>
    </w:p>
    <w:p w:rsidR="0054655A" w:rsidRDefault="0054655A" w:rsidP="0054655A">
      <w:pPr>
        <w:rPr>
          <w:lang w:eastAsia="es-ES"/>
        </w:rPr>
      </w:pPr>
    </w:p>
    <w:p w:rsidR="0054655A" w:rsidRDefault="0054655A" w:rsidP="0054655A">
      <w:pPr>
        <w:rPr>
          <w:lang w:eastAsia="es-ES"/>
        </w:rPr>
      </w:pPr>
      <w:r>
        <w:rPr>
          <w:lang w:eastAsia="es-ES"/>
        </w:rPr>
        <w:t>Las ventajas de la nueva aproximación desarrollada en 2014 son las siguientes:</w:t>
      </w:r>
    </w:p>
    <w:p w:rsidR="0054655A" w:rsidRDefault="0054655A" w:rsidP="0054655A">
      <w:pPr>
        <w:rPr>
          <w:lang w:eastAsia="es-ES"/>
        </w:rPr>
      </w:pPr>
    </w:p>
    <w:p w:rsidR="0054655A" w:rsidRPr="00500054" w:rsidRDefault="0054655A" w:rsidP="0054655A">
      <w:pPr>
        <w:pStyle w:val="Prrafodelista"/>
        <w:numPr>
          <w:ilvl w:val="0"/>
          <w:numId w:val="19"/>
        </w:numPr>
        <w:spacing w:line="360" w:lineRule="auto"/>
        <w:ind w:left="227" w:hanging="227"/>
        <w:rPr>
          <w:rFonts w:ascii="Arial" w:hAnsi="Arial" w:cs="Arial"/>
          <w:lang w:eastAsia="es-ES"/>
        </w:rPr>
      </w:pPr>
      <w:r w:rsidRPr="00500054">
        <w:rPr>
          <w:rFonts w:ascii="Arial" w:hAnsi="Arial" w:cs="Arial"/>
          <w:lang w:eastAsia="es-ES"/>
        </w:rPr>
        <w:t>Armonizar y homogeneizar la información socioeconómica aportada desde el heterogéneo colectivo que conforma</w:t>
      </w:r>
      <w:r>
        <w:rPr>
          <w:rFonts w:ascii="Arial" w:hAnsi="Arial" w:cs="Arial"/>
          <w:lang w:eastAsia="es-ES"/>
        </w:rPr>
        <w:t>n</w:t>
      </w:r>
      <w:r w:rsidRPr="00500054">
        <w:rPr>
          <w:rFonts w:ascii="Arial" w:hAnsi="Arial" w:cs="Arial"/>
          <w:lang w:eastAsia="es-ES"/>
        </w:rPr>
        <w:t xml:space="preserve"> </w:t>
      </w:r>
      <w:r>
        <w:rPr>
          <w:rFonts w:ascii="Arial" w:hAnsi="Arial" w:cs="Arial"/>
          <w:lang w:eastAsia="es-ES"/>
        </w:rPr>
        <w:t xml:space="preserve">las </w:t>
      </w:r>
      <w:r w:rsidRPr="00500054">
        <w:rPr>
          <w:rFonts w:ascii="Arial" w:hAnsi="Arial" w:cs="Arial"/>
          <w:lang w:eastAsia="es-ES"/>
        </w:rPr>
        <w:t>NFES</w:t>
      </w:r>
      <w:r>
        <w:rPr>
          <w:rFonts w:ascii="Arial" w:hAnsi="Arial" w:cs="Arial"/>
          <w:lang w:eastAsia="es-ES"/>
        </w:rPr>
        <w:t xml:space="preserve"> a través de una herramienta única de recogida de la información frente a la diversidad de fuentes manejadas en el bienio anterior</w:t>
      </w:r>
      <w:r>
        <w:rPr>
          <w:rStyle w:val="Refdenotaalpie"/>
          <w:rFonts w:ascii="Arial" w:hAnsi="Arial" w:cs="Arial"/>
          <w:lang w:eastAsia="es-ES"/>
        </w:rPr>
        <w:footnoteReference w:id="11"/>
      </w:r>
      <w:r>
        <w:rPr>
          <w:rFonts w:ascii="Arial" w:hAnsi="Arial" w:cs="Arial"/>
          <w:lang w:eastAsia="es-ES"/>
        </w:rPr>
        <w:t>.</w:t>
      </w:r>
    </w:p>
    <w:p w:rsidR="0054655A" w:rsidRDefault="0054655A" w:rsidP="0054655A">
      <w:pPr>
        <w:pStyle w:val="Prrafodelista"/>
        <w:spacing w:line="360" w:lineRule="auto"/>
        <w:ind w:left="227" w:hanging="227"/>
        <w:rPr>
          <w:rFonts w:ascii="Arial" w:hAnsi="Arial" w:cs="Arial"/>
          <w:lang w:eastAsia="es-ES"/>
        </w:rPr>
      </w:pPr>
    </w:p>
    <w:p w:rsidR="0054655A" w:rsidRPr="00500054" w:rsidRDefault="0054655A" w:rsidP="0054655A">
      <w:pPr>
        <w:pStyle w:val="Prrafodelista"/>
        <w:numPr>
          <w:ilvl w:val="0"/>
          <w:numId w:val="19"/>
        </w:numPr>
        <w:spacing w:line="360" w:lineRule="auto"/>
        <w:ind w:left="227" w:hanging="227"/>
        <w:rPr>
          <w:rFonts w:ascii="Arial" w:hAnsi="Arial" w:cs="Arial"/>
          <w:lang w:eastAsia="es-ES"/>
        </w:rPr>
      </w:pPr>
      <w:r w:rsidRPr="00500054">
        <w:rPr>
          <w:rFonts w:ascii="Arial" w:hAnsi="Arial" w:cs="Arial"/>
          <w:lang w:eastAsia="es-ES"/>
        </w:rPr>
        <w:t>Tratar de forma anualizada las cifras de empleo</w:t>
      </w:r>
      <w:r>
        <w:rPr>
          <w:rFonts w:ascii="Arial" w:hAnsi="Arial" w:cs="Arial"/>
          <w:lang w:eastAsia="es-ES"/>
        </w:rPr>
        <w:t xml:space="preserve"> en el conjunto de entidades de las NFES,</w:t>
      </w:r>
      <w:r w:rsidRPr="00500054">
        <w:rPr>
          <w:rFonts w:ascii="Arial" w:hAnsi="Arial" w:cs="Arial"/>
          <w:lang w:eastAsia="es-ES"/>
        </w:rPr>
        <w:t xml:space="preserve"> a través de la </w:t>
      </w:r>
      <w:r>
        <w:rPr>
          <w:rFonts w:ascii="Arial" w:hAnsi="Arial" w:cs="Arial"/>
          <w:lang w:eastAsia="es-ES"/>
        </w:rPr>
        <w:t>introducción explí</w:t>
      </w:r>
      <w:r w:rsidRPr="00500054">
        <w:rPr>
          <w:rFonts w:ascii="Arial" w:hAnsi="Arial" w:cs="Arial"/>
          <w:lang w:eastAsia="es-ES"/>
        </w:rPr>
        <w:t>cita en el cuestionario de</w:t>
      </w:r>
      <w:r>
        <w:rPr>
          <w:rFonts w:ascii="Arial" w:hAnsi="Arial" w:cs="Arial"/>
          <w:lang w:eastAsia="es-ES"/>
        </w:rPr>
        <w:t>l concepto de</w:t>
      </w:r>
      <w:r w:rsidRPr="00500054">
        <w:rPr>
          <w:rFonts w:ascii="Arial" w:hAnsi="Arial" w:cs="Arial"/>
          <w:lang w:eastAsia="es-ES"/>
        </w:rPr>
        <w:t xml:space="preserve"> horas trabajadas</w:t>
      </w:r>
      <w:r>
        <w:rPr>
          <w:rFonts w:ascii="Arial" w:hAnsi="Arial" w:cs="Arial"/>
          <w:lang w:eastAsia="es-ES"/>
        </w:rPr>
        <w:t>. Se trata de una</w:t>
      </w:r>
      <w:r w:rsidRPr="00500054">
        <w:rPr>
          <w:rFonts w:ascii="Arial" w:hAnsi="Arial" w:cs="Arial"/>
          <w:lang w:eastAsia="es-ES"/>
        </w:rPr>
        <w:t xml:space="preserve"> información </w:t>
      </w:r>
      <w:r>
        <w:rPr>
          <w:rFonts w:ascii="Arial" w:hAnsi="Arial" w:cs="Arial"/>
          <w:lang w:eastAsia="es-ES"/>
        </w:rPr>
        <w:t xml:space="preserve">que no estaba </w:t>
      </w:r>
      <w:r w:rsidRPr="00500054">
        <w:rPr>
          <w:rFonts w:ascii="Arial" w:hAnsi="Arial" w:cs="Arial"/>
          <w:lang w:eastAsia="es-ES"/>
        </w:rPr>
        <w:t xml:space="preserve">disponible en la Estadística del </w:t>
      </w:r>
      <w:r>
        <w:rPr>
          <w:rFonts w:ascii="Arial" w:hAnsi="Arial" w:cs="Arial"/>
          <w:lang w:eastAsia="es-ES"/>
        </w:rPr>
        <w:t>2010-2012</w:t>
      </w:r>
      <w:r w:rsidRPr="00500054">
        <w:rPr>
          <w:rFonts w:ascii="Arial" w:hAnsi="Arial" w:cs="Arial"/>
          <w:lang w:eastAsia="es-ES"/>
        </w:rPr>
        <w:t>.</w:t>
      </w:r>
      <w:r>
        <w:rPr>
          <w:rFonts w:ascii="Arial" w:hAnsi="Arial" w:cs="Arial"/>
          <w:lang w:eastAsia="es-ES"/>
        </w:rPr>
        <w:t xml:space="preserve"> </w:t>
      </w:r>
    </w:p>
    <w:p w:rsidR="0054655A" w:rsidRDefault="0054655A" w:rsidP="0054655A">
      <w:pPr>
        <w:rPr>
          <w:lang w:eastAsia="es-ES"/>
        </w:rPr>
      </w:pPr>
    </w:p>
    <w:p w:rsidR="0054655A" w:rsidRDefault="0054655A" w:rsidP="0054655A">
      <w:pPr>
        <w:rPr>
          <w:lang w:eastAsia="es-ES"/>
        </w:rPr>
      </w:pPr>
      <w:r>
        <w:rPr>
          <w:lang w:eastAsia="es-ES"/>
        </w:rPr>
        <w:t>De hecho, en la aproximación de la edición 2012, atendiendo a las particularidades y ámbitos administrativos de cada tipo de entidad, las estimaciones se efectuaron a través de fuentes indirectas, en gran medida heterogéneas entre sí.</w:t>
      </w:r>
    </w:p>
    <w:p w:rsidR="0054655A" w:rsidRDefault="0054655A" w:rsidP="0054655A">
      <w:pPr>
        <w:rPr>
          <w:lang w:eastAsia="es-ES"/>
        </w:rPr>
      </w:pPr>
    </w:p>
    <w:p w:rsidR="0054655A" w:rsidRDefault="0054655A" w:rsidP="0054655A">
      <w:pPr>
        <w:rPr>
          <w:lang w:eastAsia="es-ES"/>
        </w:rPr>
      </w:pPr>
      <w:r>
        <w:rPr>
          <w:lang w:eastAsia="es-ES"/>
        </w:rPr>
        <w:t>En concreto y por tipo de entidad cabe advertir las siguientes circunstancias asociadas a las estimaciones efectuadas en el periodo anterior:</w:t>
      </w:r>
    </w:p>
    <w:p w:rsidR="0054655A" w:rsidRDefault="0054655A" w:rsidP="0054655A">
      <w:pPr>
        <w:rPr>
          <w:lang w:eastAsia="es-ES"/>
        </w:rPr>
      </w:pPr>
    </w:p>
    <w:p w:rsidR="0054655A" w:rsidRPr="0054655A" w:rsidRDefault="0054655A" w:rsidP="0054655A">
      <w:pPr>
        <w:pStyle w:val="Prrafodelista"/>
        <w:numPr>
          <w:ilvl w:val="0"/>
          <w:numId w:val="17"/>
        </w:numPr>
        <w:rPr>
          <w:i/>
          <w:szCs w:val="20"/>
          <w:lang w:eastAsia="es-ES"/>
        </w:rPr>
      </w:pPr>
      <w:r w:rsidRPr="00A87A3A">
        <w:rPr>
          <w:rFonts w:cs="Arial"/>
          <w:i/>
          <w:szCs w:val="20"/>
        </w:rPr>
        <w:t>En el caso de las Empresas de Inserción (EI), en la edición 2012 se incorpora</w:t>
      </w:r>
      <w:r>
        <w:rPr>
          <w:rFonts w:cs="Arial"/>
          <w:i/>
          <w:szCs w:val="20"/>
        </w:rPr>
        <w:t>ron</w:t>
      </w:r>
      <w:r w:rsidRPr="00A87A3A">
        <w:rPr>
          <w:rFonts w:cs="Arial"/>
          <w:i/>
          <w:szCs w:val="20"/>
        </w:rPr>
        <w:t xml:space="preserve"> la cifras aportadas en la Memoria de </w:t>
      </w:r>
      <w:proofErr w:type="spellStart"/>
      <w:r w:rsidRPr="00A87A3A">
        <w:rPr>
          <w:rFonts w:cs="Arial"/>
          <w:i/>
          <w:szCs w:val="20"/>
        </w:rPr>
        <w:t>Gizatea</w:t>
      </w:r>
      <w:proofErr w:type="spellEnd"/>
      <w:r w:rsidRPr="00A87A3A">
        <w:rPr>
          <w:rFonts w:cs="Arial"/>
          <w:i/>
          <w:szCs w:val="20"/>
        </w:rPr>
        <w:t xml:space="preserve"> – Asociación de Empresas de Inserción del País Vasco- de empleo en términos de personas  trabajadoras (tanto aquellos empleos de inserción como de no inserción), un total de 1.046 personas vinculadas a 44 Empres</w:t>
      </w:r>
      <w:r>
        <w:rPr>
          <w:rFonts w:cs="Arial"/>
          <w:i/>
          <w:szCs w:val="20"/>
        </w:rPr>
        <w:t>as de Inserción (EI) de la CAE. E</w:t>
      </w:r>
      <w:r w:rsidRPr="00A87A3A">
        <w:rPr>
          <w:rFonts w:cs="Arial"/>
          <w:i/>
          <w:szCs w:val="20"/>
        </w:rPr>
        <w:t>sta cifra equival</w:t>
      </w:r>
      <w:r>
        <w:rPr>
          <w:rFonts w:cs="Arial"/>
          <w:i/>
          <w:szCs w:val="20"/>
        </w:rPr>
        <w:t>e</w:t>
      </w:r>
      <w:r w:rsidRPr="00A87A3A">
        <w:rPr>
          <w:rFonts w:cs="Arial"/>
          <w:i/>
          <w:szCs w:val="20"/>
        </w:rPr>
        <w:t xml:space="preserve"> sin embargo a 637 empleos anualizados o equivalentes a jornada completa, de manera que procediendo a un ajuste de la estimación de 2012 los empleos anualizados equivaldrían a un total de 843 empleos, cifra en línea </w:t>
      </w:r>
      <w:r>
        <w:rPr>
          <w:rFonts w:cs="Arial"/>
          <w:i/>
          <w:szCs w:val="20"/>
        </w:rPr>
        <w:t>con</w:t>
      </w:r>
      <w:r w:rsidRPr="00A87A3A">
        <w:rPr>
          <w:rFonts w:cs="Arial"/>
          <w:i/>
          <w:szCs w:val="20"/>
        </w:rPr>
        <w:t xml:space="preserve"> los 846 de 2014.</w:t>
      </w:r>
    </w:p>
    <w:p w:rsidR="0054655A" w:rsidRPr="0054655A" w:rsidRDefault="0054655A" w:rsidP="0054655A">
      <w:pPr>
        <w:pStyle w:val="Prrafodelista"/>
        <w:rPr>
          <w:i/>
          <w:sz w:val="22"/>
          <w:lang w:eastAsia="es-ES"/>
        </w:rPr>
      </w:pPr>
    </w:p>
    <w:p w:rsidR="0054655A" w:rsidRDefault="0054655A" w:rsidP="0054655A">
      <w:pPr>
        <w:pStyle w:val="Prrafodelista"/>
        <w:numPr>
          <w:ilvl w:val="0"/>
          <w:numId w:val="17"/>
        </w:numPr>
        <w:rPr>
          <w:rFonts w:cs="Arial"/>
          <w:i/>
          <w:szCs w:val="20"/>
        </w:rPr>
      </w:pPr>
      <w:r w:rsidRPr="00A87A3A">
        <w:rPr>
          <w:rFonts w:cs="Arial"/>
          <w:i/>
          <w:szCs w:val="20"/>
        </w:rPr>
        <w:lastRenderedPageBreak/>
        <w:t>En el caso de los Centros Especiales de Empleo</w:t>
      </w:r>
      <w:r>
        <w:rPr>
          <w:rFonts w:cs="Arial"/>
          <w:i/>
          <w:szCs w:val="20"/>
        </w:rPr>
        <w:t xml:space="preserve"> (CEE)</w:t>
      </w:r>
      <w:r w:rsidRPr="00A87A3A">
        <w:rPr>
          <w:rFonts w:cs="Arial"/>
          <w:i/>
          <w:szCs w:val="20"/>
        </w:rPr>
        <w:t>, en concreto, e</w:t>
      </w:r>
      <w:r>
        <w:rPr>
          <w:rFonts w:cs="Arial"/>
          <w:i/>
          <w:szCs w:val="20"/>
        </w:rPr>
        <w:t>n lo que hace a la</w:t>
      </w:r>
      <w:r w:rsidRPr="00A87A3A">
        <w:rPr>
          <w:rFonts w:cs="Arial"/>
          <w:i/>
          <w:szCs w:val="20"/>
        </w:rPr>
        <w:t xml:space="preserve"> estimación del empleo del Grupo </w:t>
      </w:r>
      <w:proofErr w:type="spellStart"/>
      <w:r w:rsidRPr="00A87A3A">
        <w:rPr>
          <w:rFonts w:cs="Arial"/>
          <w:i/>
          <w:szCs w:val="20"/>
        </w:rPr>
        <w:t>Gureak</w:t>
      </w:r>
      <w:proofErr w:type="spellEnd"/>
      <w:r w:rsidRPr="00A87A3A">
        <w:rPr>
          <w:rFonts w:cs="Arial"/>
          <w:i/>
          <w:szCs w:val="20"/>
        </w:rPr>
        <w:t xml:space="preserve">, en la edición 2012 se incorporaron el total de personas empleadas </w:t>
      </w:r>
      <w:r>
        <w:rPr>
          <w:rFonts w:cs="Arial"/>
          <w:i/>
          <w:szCs w:val="20"/>
        </w:rPr>
        <w:t>(4.256),</w:t>
      </w:r>
      <w:r w:rsidRPr="00A87A3A">
        <w:rPr>
          <w:rFonts w:cs="Arial"/>
          <w:i/>
          <w:szCs w:val="20"/>
        </w:rPr>
        <w:t xml:space="preserve"> de forma que el empleo anualizado equivalente </w:t>
      </w:r>
      <w:r>
        <w:rPr>
          <w:rFonts w:cs="Arial"/>
          <w:i/>
          <w:szCs w:val="20"/>
        </w:rPr>
        <w:t xml:space="preserve">a este Grupo de CEE </w:t>
      </w:r>
      <w:r w:rsidRPr="00A87A3A">
        <w:rPr>
          <w:rFonts w:cs="Arial"/>
          <w:i/>
          <w:szCs w:val="20"/>
        </w:rPr>
        <w:t>descendería a 2.779 empleos</w:t>
      </w:r>
      <w:r>
        <w:rPr>
          <w:rFonts w:cs="Arial"/>
          <w:i/>
          <w:szCs w:val="20"/>
        </w:rPr>
        <w:t>. D</w:t>
      </w:r>
      <w:r w:rsidRPr="00A87A3A">
        <w:rPr>
          <w:rFonts w:cs="Arial"/>
          <w:i/>
          <w:szCs w:val="20"/>
        </w:rPr>
        <w:t xml:space="preserve">escontando esta diferencia </w:t>
      </w:r>
      <w:r>
        <w:rPr>
          <w:rFonts w:cs="Arial"/>
          <w:i/>
          <w:szCs w:val="20"/>
        </w:rPr>
        <w:t xml:space="preserve">en las cifras de 2012, quedaría </w:t>
      </w:r>
      <w:r w:rsidRPr="00A87A3A">
        <w:rPr>
          <w:rFonts w:cs="Arial"/>
          <w:i/>
          <w:szCs w:val="20"/>
        </w:rPr>
        <w:t>una cifra de empleo anualizado comparable de 7.891 empleos frente a los 7.920 empleos de 2014.</w:t>
      </w:r>
    </w:p>
    <w:p w:rsidR="0054655A" w:rsidRPr="0054655A" w:rsidRDefault="0054655A" w:rsidP="0054655A">
      <w:pPr>
        <w:pStyle w:val="Prrafodelista"/>
        <w:rPr>
          <w:rFonts w:cs="Arial"/>
          <w:i/>
          <w:sz w:val="22"/>
        </w:rPr>
      </w:pPr>
    </w:p>
    <w:p w:rsidR="0054655A" w:rsidRPr="0054655A" w:rsidRDefault="0054655A" w:rsidP="0054655A">
      <w:pPr>
        <w:pStyle w:val="Prrafodelista"/>
        <w:numPr>
          <w:ilvl w:val="0"/>
          <w:numId w:val="17"/>
        </w:numPr>
        <w:spacing w:line="240" w:lineRule="auto"/>
        <w:rPr>
          <w:rFonts w:cs="Arial"/>
          <w:i/>
          <w:szCs w:val="20"/>
        </w:rPr>
      </w:pPr>
      <w:r w:rsidRPr="0054655A">
        <w:rPr>
          <w:rFonts w:cs="Arial"/>
          <w:i/>
          <w:szCs w:val="20"/>
        </w:rPr>
        <w:t>En el caso de las Asociaciones de Utilidad Pública y Fundaciones la fuente de información la constituía la información aportada por el Registro de Fundaciones y Asociaciones de Utilidad Pública de Gobierno Vasco, que a su vez trasladaba las cifras de trabajadores empleados de aquellas entidades que habían depositado Memoria en el año 2012. En el caso de las Fundaciones se incluía parte del empleo voluntario –por comparación con los datos aportados por el anterior proveedor de Cuentas al Protectorado de Fundaciones y Asociaciones en el ejercicio 2010, que desagregaba el empleo voluntario y el empleo remunerado y reflejaba una metodología a su vez distinta-. En este caso por tanto las cifras de empleo no resultan comparables.</w:t>
      </w:r>
    </w:p>
    <w:p w:rsidR="0054655A" w:rsidRPr="0054655A" w:rsidRDefault="0054655A" w:rsidP="0054655A">
      <w:pPr>
        <w:pStyle w:val="Prrafodelista"/>
        <w:rPr>
          <w:rFonts w:cs="Arial"/>
          <w:i/>
          <w:sz w:val="22"/>
        </w:rPr>
      </w:pPr>
    </w:p>
    <w:p w:rsidR="0054655A" w:rsidRPr="0054655A" w:rsidRDefault="0054655A" w:rsidP="0054655A">
      <w:pPr>
        <w:pStyle w:val="Prrafodelista"/>
        <w:numPr>
          <w:ilvl w:val="0"/>
          <w:numId w:val="17"/>
        </w:numPr>
        <w:spacing w:line="240" w:lineRule="auto"/>
        <w:rPr>
          <w:rFonts w:cs="Arial"/>
          <w:i/>
          <w:szCs w:val="20"/>
        </w:rPr>
      </w:pPr>
      <w:r w:rsidRPr="0054655A">
        <w:rPr>
          <w:rFonts w:cs="Arial"/>
          <w:i/>
          <w:szCs w:val="20"/>
        </w:rPr>
        <w:t xml:space="preserve">En el caso de las Sociedades Agrarias de Transformación y de las Cofradías de Pescadores, la información se facilitaba a través del Departamento de Desarrollo Económico y Competitividad, a través de las áreas de Agricultura y Pesca. En lo relativo a las Entidades de Previsión Social Voluntaria, la información era aportada por parte del Registro de </w:t>
      </w:r>
      <w:proofErr w:type="spellStart"/>
      <w:r w:rsidRPr="0054655A">
        <w:rPr>
          <w:rFonts w:cs="Arial"/>
          <w:i/>
          <w:szCs w:val="20"/>
        </w:rPr>
        <w:t>EPSVs</w:t>
      </w:r>
      <w:proofErr w:type="spellEnd"/>
      <w:r w:rsidRPr="0054655A">
        <w:rPr>
          <w:rFonts w:cs="Arial"/>
          <w:i/>
          <w:szCs w:val="20"/>
        </w:rPr>
        <w:t xml:space="preserve"> Departamento de Hacienda y Finanzas. En este caso, la comparación de datos resulta más factible. Sin embargo estos tres tipos de entidades tan solo representan un 1,7% sobre el empleo generado entre las NFES.</w:t>
      </w:r>
    </w:p>
    <w:p w:rsidR="0054655A" w:rsidRDefault="0054655A" w:rsidP="003522A0">
      <w:pPr>
        <w:rPr>
          <w:lang w:eastAsia="es-ES"/>
        </w:rPr>
      </w:pPr>
    </w:p>
    <w:p w:rsidR="00DD62D2" w:rsidRDefault="00DD62D2">
      <w:pPr>
        <w:spacing w:after="200" w:line="276" w:lineRule="auto"/>
        <w:jc w:val="left"/>
        <w:rPr>
          <w:lang w:eastAsia="es-ES"/>
        </w:rPr>
      </w:pPr>
      <w:r>
        <w:rPr>
          <w:lang w:eastAsia="es-ES"/>
        </w:rPr>
        <w:br w:type="page"/>
      </w:r>
    </w:p>
    <w:p w:rsidR="00C4223B" w:rsidRDefault="00C4223B">
      <w:pPr>
        <w:spacing w:after="200" w:line="276" w:lineRule="auto"/>
        <w:jc w:val="left"/>
        <w:rPr>
          <w:b/>
          <w:lang w:eastAsia="es-ES"/>
        </w:rPr>
      </w:pPr>
      <w:r>
        <w:rPr>
          <w:b/>
          <w:lang w:eastAsia="es-ES"/>
        </w:rPr>
        <w:lastRenderedPageBreak/>
        <w:br w:type="page"/>
      </w:r>
    </w:p>
    <w:p w:rsidR="00096609" w:rsidRDefault="00096609" w:rsidP="00CC39AE">
      <w:pPr>
        <w:rPr>
          <w:b/>
          <w:lang w:eastAsia="es-ES"/>
        </w:rPr>
      </w:pPr>
    </w:p>
    <w:p w:rsidR="00096609" w:rsidRDefault="00096609" w:rsidP="00CC39AE">
      <w:pPr>
        <w:rPr>
          <w:b/>
          <w:lang w:eastAsia="es-ES"/>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C4223B" w:rsidRPr="00C4223B" w:rsidRDefault="00C4223B" w:rsidP="00C4223B">
      <w:pPr>
        <w:rPr>
          <w:lang w:eastAsia="es-ES"/>
        </w:rPr>
      </w:pPr>
    </w:p>
    <w:p w:rsidR="00A917B1" w:rsidRDefault="00A917B1" w:rsidP="00417CAD">
      <w:pPr>
        <w:pStyle w:val="Ttulo1"/>
        <w:keepNext w:val="0"/>
        <w:jc w:val="center"/>
        <w:rPr>
          <w:sz w:val="32"/>
          <w:szCs w:val="32"/>
        </w:rPr>
      </w:pPr>
    </w:p>
    <w:p w:rsidR="00A917B1" w:rsidRDefault="00A917B1" w:rsidP="00417CAD">
      <w:pPr>
        <w:pStyle w:val="Ttulo1"/>
        <w:keepNext w:val="0"/>
        <w:jc w:val="center"/>
        <w:rPr>
          <w:sz w:val="32"/>
          <w:szCs w:val="32"/>
        </w:rPr>
      </w:pPr>
    </w:p>
    <w:p w:rsidR="00537ABD" w:rsidRPr="00537ABD" w:rsidRDefault="00537ABD" w:rsidP="00537ABD">
      <w:pPr>
        <w:rPr>
          <w:lang w:eastAsia="es-ES"/>
        </w:rPr>
      </w:pPr>
    </w:p>
    <w:p w:rsidR="00DD62D2" w:rsidRPr="00DD62D2" w:rsidRDefault="00DD62D2" w:rsidP="00DD62D2">
      <w:pPr>
        <w:rPr>
          <w:lang w:eastAsia="es-ES"/>
        </w:rPr>
      </w:pPr>
    </w:p>
    <w:p w:rsidR="00371E34" w:rsidRPr="00665097" w:rsidRDefault="00371E34" w:rsidP="00BB313D">
      <w:pPr>
        <w:pStyle w:val="Ttulo1"/>
        <w:keepNext w:val="0"/>
        <w:pBdr>
          <w:bottom w:val="single" w:sz="4" w:space="1" w:color="BFBFBF" w:themeColor="background1" w:themeShade="BF"/>
        </w:pBdr>
        <w:jc w:val="center"/>
        <w:rPr>
          <w:sz w:val="32"/>
          <w:szCs w:val="32"/>
        </w:rPr>
      </w:pPr>
      <w:bookmarkStart w:id="10" w:name="_Toc450118896"/>
      <w:r w:rsidRPr="00665097">
        <w:rPr>
          <w:sz w:val="32"/>
          <w:szCs w:val="32"/>
        </w:rPr>
        <w:t>ANEXO ESTADÍSTICO</w:t>
      </w:r>
      <w:bookmarkEnd w:id="6"/>
      <w:bookmarkEnd w:id="10"/>
    </w:p>
    <w:p w:rsidR="00371E34" w:rsidRDefault="00371E34" w:rsidP="00BB313D">
      <w:pPr>
        <w:pStyle w:val="ARIALNARROW"/>
        <w:widowControl w:val="0"/>
        <w:spacing w:line="360" w:lineRule="auto"/>
        <w:ind w:left="227"/>
        <w:jc w:val="center"/>
      </w:pPr>
    </w:p>
    <w:p w:rsidR="00371E34" w:rsidRDefault="00371E34" w:rsidP="00BB313D">
      <w:pPr>
        <w:pStyle w:val="ARIALNARROW"/>
        <w:widowControl w:val="0"/>
        <w:spacing w:line="360" w:lineRule="auto"/>
        <w:ind w:left="227"/>
      </w:pPr>
    </w:p>
    <w:p w:rsidR="00371E34" w:rsidRDefault="00371E34" w:rsidP="00BB313D">
      <w:pPr>
        <w:pStyle w:val="ARIALNARROW"/>
        <w:widowControl w:val="0"/>
        <w:spacing w:line="360" w:lineRule="auto"/>
        <w:ind w:left="227"/>
      </w:pPr>
    </w:p>
    <w:p w:rsidR="00371E34" w:rsidRPr="00DE01F8" w:rsidRDefault="00371E34" w:rsidP="00BB313D">
      <w:pPr>
        <w:pStyle w:val="ARIALNARROW"/>
        <w:widowControl w:val="0"/>
        <w:spacing w:line="360" w:lineRule="auto"/>
        <w:ind w:left="227"/>
      </w:pPr>
    </w:p>
    <w:p w:rsidR="00665097" w:rsidRDefault="00665097" w:rsidP="00BB313D">
      <w:pPr>
        <w:widowControl w:val="0"/>
        <w:spacing w:after="200" w:line="276" w:lineRule="auto"/>
        <w:jc w:val="left"/>
        <w:rPr>
          <w:rFonts w:eastAsia="Times New Roman" w:cs="Arial"/>
          <w:szCs w:val="20"/>
          <w:lang w:val="es-ES_tradnl" w:eastAsia="es-ES"/>
        </w:rPr>
      </w:pPr>
      <w:r>
        <w:rPr>
          <w:rFonts w:eastAsia="Times New Roman" w:cs="Arial"/>
          <w:szCs w:val="20"/>
          <w:lang w:val="es-ES_tradnl" w:eastAsia="es-ES"/>
        </w:rPr>
        <w:br w:type="page"/>
      </w:r>
    </w:p>
    <w:p w:rsidR="00F80093" w:rsidRDefault="00F80093" w:rsidP="00BB313D">
      <w:pPr>
        <w:widowControl w:val="0"/>
        <w:spacing w:after="200" w:line="276" w:lineRule="auto"/>
        <w:jc w:val="left"/>
        <w:rPr>
          <w:rFonts w:eastAsia="Times New Roman" w:cs="Times New Roman"/>
          <w:b/>
          <w:snapToGrid w:val="0"/>
          <w:color w:val="1F497D" w:themeColor="text2"/>
          <w:sz w:val="28"/>
          <w:szCs w:val="20"/>
          <w:lang w:eastAsia="es-ES"/>
        </w:rPr>
      </w:pPr>
      <w:r>
        <w:rPr>
          <w:color w:val="1F497D" w:themeColor="text2"/>
        </w:rPr>
        <w:lastRenderedPageBreak/>
        <w:br w:type="page"/>
      </w:r>
    </w:p>
    <w:p w:rsidR="00665097" w:rsidRPr="00665097" w:rsidRDefault="00665097" w:rsidP="00BB313D">
      <w:pPr>
        <w:pStyle w:val="Ttulo1"/>
        <w:keepNext w:val="0"/>
        <w:ind w:left="708" w:hanging="708"/>
        <w:rPr>
          <w:color w:val="1F497D" w:themeColor="text2"/>
        </w:rPr>
      </w:pPr>
      <w:bookmarkStart w:id="11" w:name="_Toc391999504"/>
      <w:bookmarkStart w:id="12" w:name="_Toc450118897"/>
      <w:r w:rsidRPr="00665097">
        <w:rPr>
          <w:color w:val="1F497D" w:themeColor="text2"/>
        </w:rPr>
        <w:lastRenderedPageBreak/>
        <w:t xml:space="preserve">I.- </w:t>
      </w:r>
      <w:r w:rsidRPr="00665097">
        <w:rPr>
          <w:color w:val="1F497D" w:themeColor="text2"/>
        </w:rPr>
        <w:tab/>
        <w:t>LAS FORMAS CLÁS</w:t>
      </w:r>
      <w:r w:rsidR="00E25F48">
        <w:rPr>
          <w:color w:val="1F497D" w:themeColor="text2"/>
        </w:rPr>
        <w:t xml:space="preserve">ICAS DE LA ECONOMÍA SOCIAL 2014 </w:t>
      </w:r>
      <w:r w:rsidRPr="00665097">
        <w:rPr>
          <w:color w:val="1F497D" w:themeColor="text2"/>
        </w:rPr>
        <w:t>(FCES)</w:t>
      </w:r>
      <w:bookmarkEnd w:id="11"/>
      <w:bookmarkEnd w:id="12"/>
    </w:p>
    <w:p w:rsidR="00A16483" w:rsidRDefault="00A16483" w:rsidP="00BB313D">
      <w:pPr>
        <w:widowControl w:val="0"/>
      </w:pPr>
    </w:p>
    <w:p w:rsidR="00665097" w:rsidRPr="00033E92" w:rsidRDefault="00665097" w:rsidP="00BB313D">
      <w:pPr>
        <w:pStyle w:val="Ttulo1"/>
        <w:keepNext w:val="0"/>
        <w:ind w:left="708" w:hanging="708"/>
        <w:rPr>
          <w:color w:val="1F497D" w:themeColor="text2"/>
          <w:sz w:val="26"/>
          <w:szCs w:val="26"/>
        </w:rPr>
      </w:pPr>
      <w:bookmarkStart w:id="13" w:name="_Toc391999505"/>
      <w:bookmarkStart w:id="14" w:name="_Toc450118898"/>
      <w:r w:rsidRPr="00033E92">
        <w:rPr>
          <w:color w:val="1F497D" w:themeColor="text2"/>
          <w:sz w:val="26"/>
          <w:szCs w:val="26"/>
        </w:rPr>
        <w:t xml:space="preserve">1.- </w:t>
      </w:r>
      <w:r w:rsidRPr="00033E92">
        <w:rPr>
          <w:color w:val="1F497D" w:themeColor="text2"/>
          <w:sz w:val="26"/>
          <w:szCs w:val="26"/>
        </w:rPr>
        <w:tab/>
        <w:t>LA DINÁMICA DEL EMPLEO Y LOS ESTABLE</w:t>
      </w:r>
      <w:r w:rsidR="00E25F48">
        <w:rPr>
          <w:color w:val="1F497D" w:themeColor="text2"/>
          <w:sz w:val="26"/>
          <w:szCs w:val="26"/>
        </w:rPr>
        <w:t>CIMIENTOS EN EL BIENIO 2010-2014</w:t>
      </w:r>
      <w:r w:rsidRPr="00033E92">
        <w:rPr>
          <w:color w:val="1F497D" w:themeColor="text2"/>
          <w:sz w:val="26"/>
          <w:szCs w:val="26"/>
        </w:rPr>
        <w:t xml:space="preserve"> (FCES)</w:t>
      </w:r>
      <w:bookmarkEnd w:id="13"/>
      <w:bookmarkEnd w:id="14"/>
    </w:p>
    <w:p w:rsidR="00A16483" w:rsidRPr="008B5D14" w:rsidRDefault="00A16483" w:rsidP="00BB313D">
      <w:pPr>
        <w:widowControl w:val="0"/>
      </w:pPr>
    </w:p>
    <w:p w:rsidR="00665097" w:rsidRPr="00A95E68" w:rsidRDefault="009F1045" w:rsidP="00BD60C8">
      <w:pPr>
        <w:pStyle w:val="Epgrafe"/>
        <w:jc w:val="center"/>
        <w:rPr>
          <w:rFonts w:ascii="Arial" w:hAnsi="Arial" w:cs="Arial"/>
          <w:color w:val="1F497D" w:themeColor="text2"/>
          <w:sz w:val="18"/>
          <w:szCs w:val="18"/>
        </w:rPr>
      </w:pPr>
      <w:bookmarkStart w:id="15" w:name="_Toc391999573"/>
      <w:bookmarkStart w:id="16" w:name="_Toc450119456"/>
      <w:r w:rsidRPr="009F1045">
        <w:rPr>
          <w:rFonts w:ascii="Arial" w:hAnsi="Arial" w:cs="Arial"/>
          <w:color w:val="1F497D" w:themeColor="text2"/>
          <w:sz w:val="18"/>
          <w:szCs w:val="18"/>
        </w:rPr>
        <w:t>Cuadro 1.</w:t>
      </w:r>
      <w:r w:rsidR="00771A61" w:rsidRPr="009F1045">
        <w:rPr>
          <w:rFonts w:ascii="Arial" w:hAnsi="Arial" w:cs="Arial"/>
          <w:color w:val="1F497D" w:themeColor="text2"/>
          <w:sz w:val="18"/>
          <w:szCs w:val="18"/>
        </w:rPr>
        <w:fldChar w:fldCharType="begin"/>
      </w:r>
      <w:r w:rsidRPr="009F1045">
        <w:rPr>
          <w:rFonts w:ascii="Arial" w:hAnsi="Arial" w:cs="Arial"/>
          <w:color w:val="1F497D" w:themeColor="text2"/>
          <w:sz w:val="18"/>
          <w:szCs w:val="18"/>
        </w:rPr>
        <w:instrText xml:space="preserve"> SEQ Cuadro_1. \* ARABIC </w:instrText>
      </w:r>
      <w:r w:rsidR="00771A61" w:rsidRPr="009F1045">
        <w:rPr>
          <w:rFonts w:ascii="Arial" w:hAnsi="Arial" w:cs="Arial"/>
          <w:color w:val="1F497D" w:themeColor="text2"/>
          <w:sz w:val="18"/>
          <w:szCs w:val="18"/>
        </w:rPr>
        <w:fldChar w:fldCharType="separate"/>
      </w:r>
      <w:r w:rsidR="00FC71A9">
        <w:rPr>
          <w:rFonts w:ascii="Arial" w:hAnsi="Arial" w:cs="Arial"/>
          <w:noProof/>
          <w:color w:val="1F497D" w:themeColor="text2"/>
          <w:sz w:val="18"/>
          <w:szCs w:val="18"/>
        </w:rPr>
        <w:t>1</w:t>
      </w:r>
      <w:r w:rsidR="00771A61" w:rsidRPr="009F1045">
        <w:rPr>
          <w:rFonts w:ascii="Arial" w:hAnsi="Arial" w:cs="Arial"/>
          <w:color w:val="1F497D" w:themeColor="text2"/>
          <w:sz w:val="18"/>
          <w:szCs w:val="18"/>
        </w:rPr>
        <w:fldChar w:fldCharType="end"/>
      </w:r>
      <w:r w:rsidRPr="009F1045">
        <w:rPr>
          <w:rFonts w:ascii="Arial" w:hAnsi="Arial" w:cs="Arial"/>
          <w:color w:val="1F497D" w:themeColor="text2"/>
          <w:sz w:val="18"/>
          <w:szCs w:val="18"/>
        </w:rPr>
        <w:t xml:space="preserve"> </w:t>
      </w:r>
      <w:r w:rsidR="00665097" w:rsidRPr="00665097">
        <w:rPr>
          <w:rFonts w:ascii="Arial" w:hAnsi="Arial" w:cs="Arial"/>
          <w:color w:val="1F497D" w:themeColor="text2"/>
          <w:sz w:val="18"/>
          <w:szCs w:val="18"/>
        </w:rPr>
        <w:t>EVOLUCIÓN DE LOS ESTABLECIMIENTOS Y DEL EMPLEO</w:t>
      </w:r>
      <w:r w:rsidR="00E25F48">
        <w:rPr>
          <w:rFonts w:ascii="Arial" w:hAnsi="Arial" w:cs="Arial"/>
          <w:color w:val="1F497D" w:themeColor="text2"/>
          <w:sz w:val="18"/>
          <w:szCs w:val="18"/>
        </w:rPr>
        <w:t xml:space="preserve"> DE LA ECONOMÍA SOCIAL 2002-2014</w:t>
      </w:r>
      <w:r w:rsidR="00665097">
        <w:rPr>
          <w:rFonts w:ascii="Arial" w:hAnsi="Arial" w:cs="Arial"/>
          <w:color w:val="1F497D" w:themeColor="text2"/>
          <w:sz w:val="18"/>
          <w:szCs w:val="18"/>
        </w:rPr>
        <w:t xml:space="preserve"> </w:t>
      </w:r>
      <w:r w:rsidR="00665097" w:rsidRPr="00665097">
        <w:rPr>
          <w:rFonts w:ascii="Arial" w:hAnsi="Arial" w:cs="Arial"/>
          <w:color w:val="1F497D" w:themeColor="text2"/>
          <w:sz w:val="18"/>
          <w:szCs w:val="18"/>
        </w:rPr>
        <w:t>REFERENCIA COMPARATIVA: POBLACIÓN OCUPADA CAE</w:t>
      </w:r>
      <w:bookmarkEnd w:id="15"/>
      <w:bookmarkEnd w:id="16"/>
    </w:p>
    <w:tbl>
      <w:tblPr>
        <w:tblW w:w="9940" w:type="dxa"/>
        <w:jc w:val="center"/>
        <w:tblLook w:val="04A0" w:firstRow="1" w:lastRow="0" w:firstColumn="1" w:lastColumn="0" w:noHBand="0" w:noVBand="1"/>
      </w:tblPr>
      <w:tblGrid>
        <w:gridCol w:w="2861"/>
        <w:gridCol w:w="2586"/>
        <w:gridCol w:w="2167"/>
        <w:gridCol w:w="2326"/>
      </w:tblGrid>
      <w:tr w:rsidR="00665097" w:rsidRPr="00AC5400" w:rsidTr="00D122F5">
        <w:trPr>
          <w:jc w:val="center"/>
        </w:trPr>
        <w:tc>
          <w:tcPr>
            <w:tcW w:w="1439"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665097" w:rsidRPr="00AC5400" w:rsidRDefault="00665097" w:rsidP="00BB313D">
            <w:pPr>
              <w:widowControl w:val="0"/>
              <w:spacing w:line="240" w:lineRule="exact"/>
              <w:rPr>
                <w:rFonts w:cs="Arial"/>
                <w:b/>
                <w:sz w:val="16"/>
                <w:szCs w:val="16"/>
              </w:rPr>
            </w:pPr>
          </w:p>
        </w:tc>
        <w:tc>
          <w:tcPr>
            <w:tcW w:w="239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AC5400" w:rsidRDefault="00665097" w:rsidP="00BB313D">
            <w:pPr>
              <w:widowControl w:val="0"/>
              <w:spacing w:line="240" w:lineRule="exact"/>
              <w:jc w:val="center"/>
              <w:rPr>
                <w:rFonts w:cs="Arial"/>
                <w:b/>
                <w:sz w:val="16"/>
                <w:szCs w:val="16"/>
              </w:rPr>
            </w:pPr>
            <w:r w:rsidRPr="00AC5400">
              <w:rPr>
                <w:rFonts w:cs="Arial"/>
                <w:b/>
                <w:sz w:val="16"/>
                <w:szCs w:val="16"/>
              </w:rPr>
              <w:t>ECONOMÍA SOCIAL</w:t>
            </w:r>
          </w:p>
        </w:tc>
        <w:tc>
          <w:tcPr>
            <w:tcW w:w="117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AC5400" w:rsidRDefault="00665097" w:rsidP="00BB313D">
            <w:pPr>
              <w:widowControl w:val="0"/>
              <w:spacing w:line="240" w:lineRule="exact"/>
              <w:jc w:val="center"/>
              <w:rPr>
                <w:rFonts w:cs="Arial"/>
                <w:b/>
                <w:sz w:val="16"/>
                <w:szCs w:val="16"/>
              </w:rPr>
            </w:pPr>
            <w:r w:rsidRPr="00AC5400">
              <w:rPr>
                <w:rFonts w:cs="Arial"/>
                <w:b/>
                <w:sz w:val="16"/>
                <w:szCs w:val="16"/>
              </w:rPr>
              <w:t>Población Ocupada CAE</w:t>
            </w:r>
          </w:p>
        </w:tc>
      </w:tr>
      <w:tr w:rsidR="00665097" w:rsidRPr="00AC5400" w:rsidTr="00D122F5">
        <w:trPr>
          <w:jc w:val="center"/>
        </w:trPr>
        <w:tc>
          <w:tcPr>
            <w:tcW w:w="1439"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AC5400" w:rsidRDefault="00665097" w:rsidP="00BB313D">
            <w:pPr>
              <w:widowControl w:val="0"/>
              <w:spacing w:line="240" w:lineRule="exact"/>
              <w:rPr>
                <w:rFonts w:cs="Arial"/>
                <w:b/>
                <w:sz w:val="16"/>
                <w:szCs w:val="16"/>
              </w:rPr>
            </w:pPr>
          </w:p>
        </w:tc>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AC5400" w:rsidRDefault="00665097" w:rsidP="00BB313D">
            <w:pPr>
              <w:widowControl w:val="0"/>
              <w:spacing w:line="240" w:lineRule="exact"/>
              <w:jc w:val="center"/>
              <w:rPr>
                <w:rFonts w:cs="Arial"/>
                <w:b/>
                <w:sz w:val="16"/>
                <w:szCs w:val="16"/>
              </w:rPr>
            </w:pPr>
            <w:r w:rsidRPr="00AC5400">
              <w:rPr>
                <w:rFonts w:cs="Arial"/>
                <w:b/>
                <w:sz w:val="16"/>
                <w:szCs w:val="16"/>
              </w:rPr>
              <w:t>Establecimientos</w:t>
            </w:r>
          </w:p>
        </w:tc>
        <w:tc>
          <w:tcPr>
            <w:tcW w:w="10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AC5400" w:rsidRDefault="00665097" w:rsidP="00BB313D">
            <w:pPr>
              <w:widowControl w:val="0"/>
              <w:spacing w:line="240" w:lineRule="exact"/>
              <w:jc w:val="center"/>
              <w:rPr>
                <w:rFonts w:cs="Arial"/>
                <w:b/>
                <w:sz w:val="16"/>
                <w:szCs w:val="16"/>
              </w:rPr>
            </w:pPr>
            <w:r w:rsidRPr="00AC5400">
              <w:rPr>
                <w:rFonts w:cs="Arial"/>
                <w:b/>
                <w:sz w:val="16"/>
                <w:szCs w:val="16"/>
              </w:rPr>
              <w:t>Empleos</w:t>
            </w:r>
          </w:p>
        </w:tc>
        <w:tc>
          <w:tcPr>
            <w:tcW w:w="1170"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AC5400" w:rsidRDefault="00665097" w:rsidP="00BB313D">
            <w:pPr>
              <w:widowControl w:val="0"/>
              <w:spacing w:line="240" w:lineRule="exact"/>
              <w:jc w:val="center"/>
              <w:rPr>
                <w:rFonts w:cs="Arial"/>
                <w:b/>
                <w:sz w:val="16"/>
                <w:szCs w:val="16"/>
              </w:rPr>
            </w:pPr>
          </w:p>
        </w:tc>
      </w:tr>
      <w:tr w:rsidR="00665097" w:rsidRPr="00AC5400" w:rsidTr="00D122F5">
        <w:trPr>
          <w:jc w:val="center"/>
        </w:trPr>
        <w:tc>
          <w:tcPr>
            <w:tcW w:w="1439" w:type="pct"/>
            <w:tcBorders>
              <w:top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rPr>
                <w:rFonts w:cs="Arial"/>
                <w:sz w:val="16"/>
                <w:szCs w:val="16"/>
              </w:rPr>
            </w:pPr>
            <w:r w:rsidRPr="00AC5400">
              <w:rPr>
                <w:rFonts w:cs="Arial"/>
                <w:sz w:val="16"/>
                <w:szCs w:val="16"/>
              </w:rPr>
              <w:t>2002</w:t>
            </w:r>
          </w:p>
        </w:tc>
        <w:tc>
          <w:tcPr>
            <w:tcW w:w="13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2.976</w:t>
            </w:r>
          </w:p>
        </w:tc>
        <w:tc>
          <w:tcPr>
            <w:tcW w:w="1090"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61.022</w:t>
            </w:r>
          </w:p>
        </w:tc>
        <w:tc>
          <w:tcPr>
            <w:tcW w:w="1170" w:type="pct"/>
            <w:tcBorders>
              <w:top w:val="single" w:sz="4" w:space="0" w:color="BFBFBF" w:themeColor="background1" w:themeShade="BF"/>
              <w:lef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902.200</w:t>
            </w:r>
          </w:p>
        </w:tc>
      </w:tr>
      <w:tr w:rsidR="00665097" w:rsidRPr="00AC5400" w:rsidTr="00D122F5">
        <w:trPr>
          <w:jc w:val="center"/>
        </w:trPr>
        <w:tc>
          <w:tcPr>
            <w:tcW w:w="1439" w:type="pct"/>
            <w:tcBorders>
              <w:right w:val="single" w:sz="4" w:space="0" w:color="BFBFBF" w:themeColor="background1" w:themeShade="BF"/>
            </w:tcBorders>
          </w:tcPr>
          <w:p w:rsidR="00665097" w:rsidRPr="00AC5400" w:rsidRDefault="00665097" w:rsidP="00BB313D">
            <w:pPr>
              <w:widowControl w:val="0"/>
              <w:spacing w:line="240" w:lineRule="exact"/>
              <w:rPr>
                <w:rFonts w:cs="Arial"/>
                <w:sz w:val="16"/>
                <w:szCs w:val="16"/>
              </w:rPr>
            </w:pPr>
            <w:r w:rsidRPr="00AC5400">
              <w:rPr>
                <w:rFonts w:cs="Arial"/>
                <w:sz w:val="16"/>
                <w:szCs w:val="16"/>
              </w:rPr>
              <w:t>2004</w:t>
            </w:r>
          </w:p>
        </w:tc>
        <w:tc>
          <w:tcPr>
            <w:tcW w:w="1301" w:type="pct"/>
            <w:tcBorders>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3.032</w:t>
            </w:r>
          </w:p>
        </w:tc>
        <w:tc>
          <w:tcPr>
            <w:tcW w:w="1090" w:type="pct"/>
            <w:tcBorders>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61.140</w:t>
            </w:r>
          </w:p>
        </w:tc>
        <w:tc>
          <w:tcPr>
            <w:tcW w:w="1170" w:type="pct"/>
            <w:tcBorders>
              <w:lef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930.600</w:t>
            </w:r>
          </w:p>
        </w:tc>
      </w:tr>
      <w:tr w:rsidR="00665097" w:rsidRPr="00AC5400" w:rsidTr="00D122F5">
        <w:trPr>
          <w:jc w:val="center"/>
        </w:trPr>
        <w:tc>
          <w:tcPr>
            <w:tcW w:w="1439" w:type="pct"/>
            <w:tcBorders>
              <w:right w:val="single" w:sz="4" w:space="0" w:color="BFBFBF" w:themeColor="background1" w:themeShade="BF"/>
            </w:tcBorders>
          </w:tcPr>
          <w:p w:rsidR="00665097" w:rsidRPr="00AC5400" w:rsidRDefault="00665097" w:rsidP="00BB313D">
            <w:pPr>
              <w:widowControl w:val="0"/>
              <w:spacing w:line="240" w:lineRule="exact"/>
              <w:rPr>
                <w:rFonts w:cs="Arial"/>
                <w:sz w:val="16"/>
                <w:szCs w:val="16"/>
              </w:rPr>
            </w:pPr>
            <w:r w:rsidRPr="00AC5400">
              <w:rPr>
                <w:rFonts w:cs="Arial"/>
                <w:sz w:val="16"/>
                <w:szCs w:val="16"/>
              </w:rPr>
              <w:t>2006</w:t>
            </w:r>
          </w:p>
        </w:tc>
        <w:tc>
          <w:tcPr>
            <w:tcW w:w="1301" w:type="pct"/>
            <w:tcBorders>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3.096</w:t>
            </w:r>
          </w:p>
        </w:tc>
        <w:tc>
          <w:tcPr>
            <w:tcW w:w="1090" w:type="pct"/>
            <w:tcBorders>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63.480</w:t>
            </w:r>
          </w:p>
        </w:tc>
        <w:tc>
          <w:tcPr>
            <w:tcW w:w="1170" w:type="pct"/>
            <w:tcBorders>
              <w:lef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9</w:t>
            </w:r>
            <w:r w:rsidR="001A03FA">
              <w:rPr>
                <w:rFonts w:cs="Arial"/>
                <w:sz w:val="16"/>
                <w:szCs w:val="16"/>
              </w:rPr>
              <w:t>62.100</w:t>
            </w:r>
          </w:p>
        </w:tc>
      </w:tr>
      <w:tr w:rsidR="00665097" w:rsidRPr="00AC5400" w:rsidTr="00D122F5">
        <w:trPr>
          <w:jc w:val="center"/>
        </w:trPr>
        <w:tc>
          <w:tcPr>
            <w:tcW w:w="1439" w:type="pct"/>
            <w:tcBorders>
              <w:right w:val="single" w:sz="4" w:space="0" w:color="BFBFBF" w:themeColor="background1" w:themeShade="BF"/>
            </w:tcBorders>
          </w:tcPr>
          <w:p w:rsidR="00665097" w:rsidRPr="00AC5400" w:rsidRDefault="00665097" w:rsidP="00BB313D">
            <w:pPr>
              <w:widowControl w:val="0"/>
              <w:spacing w:line="240" w:lineRule="exact"/>
              <w:rPr>
                <w:rFonts w:cs="Arial"/>
                <w:sz w:val="16"/>
                <w:szCs w:val="16"/>
              </w:rPr>
            </w:pPr>
            <w:r w:rsidRPr="00AC5400">
              <w:rPr>
                <w:rFonts w:cs="Arial"/>
                <w:sz w:val="16"/>
                <w:szCs w:val="16"/>
              </w:rPr>
              <w:t>2008</w:t>
            </w:r>
          </w:p>
        </w:tc>
        <w:tc>
          <w:tcPr>
            <w:tcW w:w="1301" w:type="pct"/>
            <w:tcBorders>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2.986</w:t>
            </w:r>
          </w:p>
        </w:tc>
        <w:tc>
          <w:tcPr>
            <w:tcW w:w="1090" w:type="pct"/>
            <w:tcBorders>
              <w:left w:val="single" w:sz="4" w:space="0" w:color="BFBFBF" w:themeColor="background1" w:themeShade="BF"/>
              <w:righ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62.615</w:t>
            </w:r>
          </w:p>
        </w:tc>
        <w:tc>
          <w:tcPr>
            <w:tcW w:w="1170" w:type="pct"/>
            <w:tcBorders>
              <w:left w:val="single" w:sz="4" w:space="0" w:color="BFBFBF" w:themeColor="background1" w:themeShade="BF"/>
            </w:tcBorders>
          </w:tcPr>
          <w:p w:rsidR="00665097" w:rsidRPr="00AC5400" w:rsidRDefault="00665097" w:rsidP="00BB313D">
            <w:pPr>
              <w:widowControl w:val="0"/>
              <w:spacing w:line="240" w:lineRule="exact"/>
              <w:ind w:right="284"/>
              <w:jc w:val="right"/>
              <w:rPr>
                <w:rFonts w:cs="Arial"/>
                <w:sz w:val="16"/>
                <w:szCs w:val="16"/>
              </w:rPr>
            </w:pPr>
            <w:r w:rsidRPr="00AC5400">
              <w:rPr>
                <w:rFonts w:cs="Arial"/>
                <w:sz w:val="16"/>
                <w:szCs w:val="16"/>
              </w:rPr>
              <w:t>98</w:t>
            </w:r>
            <w:r w:rsidR="001A03FA">
              <w:rPr>
                <w:rFonts w:cs="Arial"/>
                <w:sz w:val="16"/>
                <w:szCs w:val="16"/>
              </w:rPr>
              <w:t>6.100</w:t>
            </w:r>
          </w:p>
        </w:tc>
      </w:tr>
      <w:tr w:rsidR="004041B3" w:rsidRPr="00AC5400" w:rsidTr="00D122F5">
        <w:trPr>
          <w:jc w:val="center"/>
        </w:trPr>
        <w:tc>
          <w:tcPr>
            <w:tcW w:w="1439" w:type="pct"/>
            <w:tcBorders>
              <w:right w:val="single" w:sz="4" w:space="0" w:color="BFBFBF" w:themeColor="background1" w:themeShade="BF"/>
            </w:tcBorders>
          </w:tcPr>
          <w:p w:rsidR="004041B3" w:rsidRPr="00AC5400" w:rsidRDefault="004041B3" w:rsidP="00BB313D">
            <w:pPr>
              <w:widowControl w:val="0"/>
              <w:spacing w:line="240" w:lineRule="exact"/>
              <w:rPr>
                <w:rFonts w:cs="Arial"/>
                <w:sz w:val="16"/>
                <w:szCs w:val="16"/>
              </w:rPr>
            </w:pPr>
            <w:r w:rsidRPr="00AC5400">
              <w:rPr>
                <w:rFonts w:cs="Arial"/>
                <w:sz w:val="16"/>
                <w:szCs w:val="16"/>
              </w:rPr>
              <w:t>2010</w:t>
            </w:r>
          </w:p>
        </w:tc>
        <w:tc>
          <w:tcPr>
            <w:tcW w:w="1301" w:type="pct"/>
            <w:tcBorders>
              <w:left w:val="single" w:sz="4" w:space="0" w:color="BFBFBF" w:themeColor="background1" w:themeShade="BF"/>
              <w:right w:val="single" w:sz="4" w:space="0" w:color="BFBFBF" w:themeColor="background1" w:themeShade="BF"/>
            </w:tcBorders>
          </w:tcPr>
          <w:p w:rsidR="004041B3" w:rsidRPr="00AC5400" w:rsidRDefault="004041B3" w:rsidP="00BB313D">
            <w:pPr>
              <w:widowControl w:val="0"/>
              <w:spacing w:line="240" w:lineRule="exact"/>
              <w:ind w:right="284"/>
              <w:jc w:val="right"/>
              <w:rPr>
                <w:rFonts w:cs="Arial"/>
                <w:sz w:val="16"/>
                <w:szCs w:val="16"/>
              </w:rPr>
            </w:pPr>
            <w:r w:rsidRPr="00AC5400">
              <w:rPr>
                <w:rFonts w:cs="Arial"/>
                <w:sz w:val="16"/>
                <w:szCs w:val="16"/>
              </w:rPr>
              <w:t>2.997</w:t>
            </w:r>
          </w:p>
        </w:tc>
        <w:tc>
          <w:tcPr>
            <w:tcW w:w="1090" w:type="pct"/>
            <w:tcBorders>
              <w:left w:val="single" w:sz="4" w:space="0" w:color="BFBFBF" w:themeColor="background1" w:themeShade="BF"/>
              <w:right w:val="single" w:sz="4" w:space="0" w:color="BFBFBF" w:themeColor="background1" w:themeShade="BF"/>
            </w:tcBorders>
          </w:tcPr>
          <w:p w:rsidR="004041B3" w:rsidRPr="00AC5400" w:rsidRDefault="004041B3" w:rsidP="00BB313D">
            <w:pPr>
              <w:widowControl w:val="0"/>
              <w:spacing w:line="240" w:lineRule="exact"/>
              <w:ind w:right="284"/>
              <w:jc w:val="right"/>
              <w:rPr>
                <w:rFonts w:cs="Arial"/>
                <w:sz w:val="16"/>
                <w:szCs w:val="16"/>
              </w:rPr>
            </w:pPr>
            <w:r w:rsidRPr="00AC5400">
              <w:rPr>
                <w:rFonts w:cs="Arial"/>
                <w:sz w:val="16"/>
                <w:szCs w:val="16"/>
              </w:rPr>
              <w:t>59.915</w:t>
            </w:r>
          </w:p>
        </w:tc>
        <w:tc>
          <w:tcPr>
            <w:tcW w:w="1170" w:type="pct"/>
            <w:tcBorders>
              <w:left w:val="single" w:sz="4" w:space="0" w:color="BFBFBF" w:themeColor="background1" w:themeShade="BF"/>
            </w:tcBorders>
          </w:tcPr>
          <w:p w:rsidR="004041B3" w:rsidRPr="00AC5400" w:rsidRDefault="004041B3" w:rsidP="00BB313D">
            <w:pPr>
              <w:widowControl w:val="0"/>
              <w:spacing w:line="240" w:lineRule="exact"/>
              <w:ind w:right="284"/>
              <w:jc w:val="right"/>
              <w:rPr>
                <w:rFonts w:cs="Arial"/>
                <w:sz w:val="16"/>
                <w:szCs w:val="16"/>
              </w:rPr>
            </w:pPr>
            <w:r w:rsidRPr="00AC5400">
              <w:rPr>
                <w:rFonts w:cs="Arial"/>
                <w:sz w:val="16"/>
                <w:szCs w:val="16"/>
              </w:rPr>
              <w:t>9</w:t>
            </w:r>
            <w:r w:rsidR="001A03FA">
              <w:rPr>
                <w:rFonts w:cs="Arial"/>
                <w:sz w:val="16"/>
                <w:szCs w:val="16"/>
              </w:rPr>
              <w:t>37.800</w:t>
            </w:r>
          </w:p>
        </w:tc>
      </w:tr>
      <w:tr w:rsidR="004041B3" w:rsidRPr="00AC5400" w:rsidTr="00D122F5">
        <w:trPr>
          <w:jc w:val="center"/>
        </w:trPr>
        <w:tc>
          <w:tcPr>
            <w:tcW w:w="1439" w:type="pct"/>
            <w:tcBorders>
              <w:right w:val="single" w:sz="4" w:space="0" w:color="BFBFBF" w:themeColor="background1" w:themeShade="BF"/>
            </w:tcBorders>
          </w:tcPr>
          <w:p w:rsidR="004041B3" w:rsidRPr="00AC5400" w:rsidRDefault="004041B3" w:rsidP="00BB313D">
            <w:pPr>
              <w:widowControl w:val="0"/>
              <w:spacing w:line="240" w:lineRule="exact"/>
              <w:rPr>
                <w:rFonts w:cs="Arial"/>
                <w:sz w:val="16"/>
                <w:szCs w:val="16"/>
              </w:rPr>
            </w:pPr>
            <w:r w:rsidRPr="00AC5400">
              <w:rPr>
                <w:rFonts w:cs="Arial"/>
                <w:sz w:val="16"/>
                <w:szCs w:val="16"/>
              </w:rPr>
              <w:t>2012</w:t>
            </w:r>
          </w:p>
        </w:tc>
        <w:tc>
          <w:tcPr>
            <w:tcW w:w="1301" w:type="pct"/>
            <w:tcBorders>
              <w:left w:val="single" w:sz="4" w:space="0" w:color="BFBFBF" w:themeColor="background1" w:themeShade="BF"/>
              <w:right w:val="single" w:sz="4" w:space="0" w:color="BFBFBF" w:themeColor="background1" w:themeShade="BF"/>
            </w:tcBorders>
          </w:tcPr>
          <w:p w:rsidR="004041B3" w:rsidRPr="00AC5400" w:rsidRDefault="004041B3" w:rsidP="00BB313D">
            <w:pPr>
              <w:widowControl w:val="0"/>
              <w:spacing w:line="240" w:lineRule="exact"/>
              <w:ind w:right="284"/>
              <w:jc w:val="right"/>
              <w:rPr>
                <w:rFonts w:cs="Arial"/>
                <w:sz w:val="16"/>
                <w:szCs w:val="16"/>
              </w:rPr>
            </w:pPr>
            <w:r w:rsidRPr="00AC5400">
              <w:rPr>
                <w:rFonts w:cs="Arial"/>
                <w:sz w:val="16"/>
                <w:szCs w:val="16"/>
              </w:rPr>
              <w:t>3.078</w:t>
            </w:r>
          </w:p>
        </w:tc>
        <w:tc>
          <w:tcPr>
            <w:tcW w:w="1090" w:type="pct"/>
            <w:tcBorders>
              <w:left w:val="single" w:sz="4" w:space="0" w:color="BFBFBF" w:themeColor="background1" w:themeShade="BF"/>
              <w:right w:val="single" w:sz="4" w:space="0" w:color="BFBFBF" w:themeColor="background1" w:themeShade="BF"/>
            </w:tcBorders>
          </w:tcPr>
          <w:p w:rsidR="004041B3" w:rsidRPr="00AC5400" w:rsidRDefault="004041B3" w:rsidP="00BB313D">
            <w:pPr>
              <w:widowControl w:val="0"/>
              <w:spacing w:line="240" w:lineRule="exact"/>
              <w:ind w:right="284"/>
              <w:jc w:val="right"/>
              <w:rPr>
                <w:rFonts w:cs="Arial"/>
                <w:sz w:val="16"/>
                <w:szCs w:val="16"/>
              </w:rPr>
            </w:pPr>
            <w:r w:rsidRPr="00AC5400">
              <w:rPr>
                <w:rFonts w:cs="Arial"/>
                <w:sz w:val="16"/>
                <w:szCs w:val="16"/>
              </w:rPr>
              <w:t>55.809</w:t>
            </w:r>
          </w:p>
        </w:tc>
        <w:tc>
          <w:tcPr>
            <w:tcW w:w="1170" w:type="pct"/>
            <w:tcBorders>
              <w:left w:val="single" w:sz="4" w:space="0" w:color="BFBFBF" w:themeColor="background1" w:themeShade="BF"/>
            </w:tcBorders>
          </w:tcPr>
          <w:p w:rsidR="004041B3" w:rsidRPr="001A03FA" w:rsidRDefault="001A03FA" w:rsidP="00BB313D">
            <w:pPr>
              <w:widowControl w:val="0"/>
              <w:spacing w:line="240" w:lineRule="exact"/>
              <w:ind w:right="284"/>
              <w:jc w:val="right"/>
              <w:rPr>
                <w:rFonts w:cs="Arial"/>
                <w:sz w:val="16"/>
                <w:szCs w:val="16"/>
              </w:rPr>
            </w:pPr>
            <w:r w:rsidRPr="001A03FA">
              <w:rPr>
                <w:rFonts w:cs="Arial"/>
                <w:sz w:val="16"/>
                <w:szCs w:val="16"/>
              </w:rPr>
              <w:t>898.400</w:t>
            </w:r>
          </w:p>
        </w:tc>
      </w:tr>
      <w:tr w:rsidR="004041B3" w:rsidRPr="00AC5400" w:rsidTr="00D122F5">
        <w:trPr>
          <w:jc w:val="center"/>
        </w:trPr>
        <w:tc>
          <w:tcPr>
            <w:tcW w:w="1439" w:type="pct"/>
            <w:tcBorders>
              <w:bottom w:val="single" w:sz="4" w:space="0" w:color="BFBFBF" w:themeColor="background1" w:themeShade="BF"/>
              <w:right w:val="single" w:sz="4" w:space="0" w:color="BFBFBF" w:themeColor="background1" w:themeShade="BF"/>
            </w:tcBorders>
          </w:tcPr>
          <w:p w:rsidR="004041B3" w:rsidRPr="00AC5400" w:rsidRDefault="004041B3" w:rsidP="00BB313D">
            <w:pPr>
              <w:widowControl w:val="0"/>
              <w:spacing w:line="240" w:lineRule="exact"/>
              <w:rPr>
                <w:rFonts w:cs="Arial"/>
                <w:sz w:val="16"/>
                <w:szCs w:val="16"/>
              </w:rPr>
            </w:pPr>
            <w:r>
              <w:rPr>
                <w:rFonts w:cs="Arial"/>
                <w:sz w:val="16"/>
                <w:szCs w:val="16"/>
              </w:rPr>
              <w:t>2014</w:t>
            </w:r>
          </w:p>
        </w:tc>
        <w:tc>
          <w:tcPr>
            <w:tcW w:w="13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AC5400" w:rsidRDefault="004041B3" w:rsidP="00BB313D">
            <w:pPr>
              <w:widowControl w:val="0"/>
              <w:spacing w:line="240" w:lineRule="exact"/>
              <w:ind w:right="284"/>
              <w:jc w:val="right"/>
              <w:rPr>
                <w:rFonts w:cs="Arial"/>
                <w:sz w:val="16"/>
                <w:szCs w:val="16"/>
              </w:rPr>
            </w:pPr>
            <w:r>
              <w:rPr>
                <w:rFonts w:cs="Arial"/>
                <w:sz w:val="16"/>
                <w:szCs w:val="16"/>
              </w:rPr>
              <w:t>3.127</w:t>
            </w:r>
          </w:p>
        </w:tc>
        <w:tc>
          <w:tcPr>
            <w:tcW w:w="109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AC5400" w:rsidRDefault="00B77A89" w:rsidP="00BB313D">
            <w:pPr>
              <w:widowControl w:val="0"/>
              <w:spacing w:line="240" w:lineRule="exact"/>
              <w:ind w:right="284"/>
              <w:jc w:val="right"/>
              <w:rPr>
                <w:rFonts w:cs="Arial"/>
                <w:sz w:val="16"/>
                <w:szCs w:val="16"/>
              </w:rPr>
            </w:pPr>
            <w:r w:rsidRPr="00B77A89">
              <w:rPr>
                <w:rFonts w:cs="Arial"/>
                <w:sz w:val="16"/>
                <w:szCs w:val="16"/>
              </w:rPr>
              <w:t>54.</w:t>
            </w:r>
            <w:r w:rsidR="001A03FA">
              <w:rPr>
                <w:rFonts w:cs="Arial"/>
                <w:sz w:val="16"/>
                <w:szCs w:val="16"/>
              </w:rPr>
              <w:t>582</w:t>
            </w:r>
          </w:p>
        </w:tc>
        <w:tc>
          <w:tcPr>
            <w:tcW w:w="1170" w:type="pct"/>
            <w:tcBorders>
              <w:left w:val="single" w:sz="4" w:space="0" w:color="BFBFBF" w:themeColor="background1" w:themeShade="BF"/>
              <w:bottom w:val="single" w:sz="4" w:space="0" w:color="BFBFBF" w:themeColor="background1" w:themeShade="BF"/>
            </w:tcBorders>
          </w:tcPr>
          <w:p w:rsidR="004041B3" w:rsidRPr="00AC5400" w:rsidRDefault="00B77A89" w:rsidP="00BB313D">
            <w:pPr>
              <w:widowControl w:val="0"/>
              <w:spacing w:line="240" w:lineRule="exact"/>
              <w:ind w:right="284"/>
              <w:jc w:val="right"/>
              <w:rPr>
                <w:rFonts w:cs="Arial"/>
                <w:sz w:val="16"/>
                <w:szCs w:val="16"/>
              </w:rPr>
            </w:pPr>
            <w:r>
              <w:rPr>
                <w:rFonts w:cs="Arial"/>
                <w:sz w:val="16"/>
                <w:szCs w:val="16"/>
              </w:rPr>
              <w:t>892.200</w:t>
            </w:r>
          </w:p>
        </w:tc>
      </w:tr>
      <w:tr w:rsidR="004041B3" w:rsidRPr="00AC5400" w:rsidTr="00D122F5">
        <w:trPr>
          <w:jc w:val="center"/>
        </w:trPr>
        <w:tc>
          <w:tcPr>
            <w:tcW w:w="143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AC5400" w:rsidRDefault="004041B3" w:rsidP="00BB313D">
            <w:pPr>
              <w:widowControl w:val="0"/>
              <w:spacing w:line="240" w:lineRule="exact"/>
              <w:rPr>
                <w:rFonts w:cs="Arial"/>
                <w:sz w:val="16"/>
                <w:szCs w:val="16"/>
              </w:rPr>
            </w:pPr>
          </w:p>
        </w:tc>
        <w:tc>
          <w:tcPr>
            <w:tcW w:w="13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1F7FDB" w:rsidRDefault="00B77A89" w:rsidP="00BB313D">
            <w:pPr>
              <w:widowControl w:val="0"/>
              <w:spacing w:line="240" w:lineRule="exact"/>
              <w:ind w:right="284"/>
              <w:jc w:val="right"/>
              <w:rPr>
                <w:rFonts w:cs="Arial"/>
                <w:b/>
                <w:color w:val="76923C" w:themeColor="accent3" w:themeShade="BF"/>
                <w:sz w:val="16"/>
                <w:szCs w:val="16"/>
              </w:rPr>
            </w:pPr>
            <w:r>
              <w:rPr>
                <w:rFonts w:cs="Arial"/>
                <w:b/>
                <w:color w:val="76923C" w:themeColor="accent3" w:themeShade="BF"/>
                <w:sz w:val="16"/>
                <w:szCs w:val="16"/>
              </w:rPr>
              <w:t>+1,6</w:t>
            </w:r>
            <w:r w:rsidR="004041B3" w:rsidRPr="001F7FDB">
              <w:rPr>
                <w:rFonts w:cs="Arial"/>
                <w:b/>
                <w:color w:val="76923C" w:themeColor="accent3" w:themeShade="BF"/>
                <w:sz w:val="16"/>
                <w:szCs w:val="16"/>
              </w:rPr>
              <w:t>%</w:t>
            </w:r>
          </w:p>
        </w:tc>
        <w:tc>
          <w:tcPr>
            <w:tcW w:w="10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41B3" w:rsidRPr="0079588C" w:rsidRDefault="001A03FA" w:rsidP="00BB313D">
            <w:pPr>
              <w:widowControl w:val="0"/>
              <w:spacing w:line="240" w:lineRule="exact"/>
              <w:ind w:right="284"/>
              <w:jc w:val="right"/>
              <w:rPr>
                <w:rFonts w:cs="Arial"/>
                <w:b/>
                <w:color w:val="FF0000"/>
                <w:sz w:val="16"/>
                <w:szCs w:val="16"/>
              </w:rPr>
            </w:pPr>
            <w:r>
              <w:rPr>
                <w:rFonts w:cs="Arial"/>
                <w:b/>
                <w:color w:val="FF0000"/>
                <w:sz w:val="16"/>
                <w:szCs w:val="16"/>
              </w:rPr>
              <w:t>-2,2</w:t>
            </w:r>
            <w:r w:rsidR="004041B3" w:rsidRPr="0079588C">
              <w:rPr>
                <w:rFonts w:cs="Arial"/>
                <w:b/>
                <w:color w:val="FF0000"/>
                <w:sz w:val="16"/>
                <w:szCs w:val="16"/>
              </w:rPr>
              <w:t>%</w:t>
            </w:r>
          </w:p>
        </w:tc>
        <w:tc>
          <w:tcPr>
            <w:tcW w:w="1170"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4041B3" w:rsidRPr="0079588C" w:rsidRDefault="004041B3" w:rsidP="00BB313D">
            <w:pPr>
              <w:widowControl w:val="0"/>
              <w:spacing w:line="240" w:lineRule="exact"/>
              <w:ind w:right="284"/>
              <w:jc w:val="right"/>
              <w:rPr>
                <w:rFonts w:cs="Arial"/>
                <w:b/>
                <w:color w:val="FF0000"/>
                <w:sz w:val="16"/>
                <w:szCs w:val="16"/>
              </w:rPr>
            </w:pPr>
            <w:r>
              <w:rPr>
                <w:rFonts w:cs="Arial"/>
                <w:b/>
                <w:color w:val="FF0000"/>
                <w:sz w:val="16"/>
                <w:szCs w:val="16"/>
              </w:rPr>
              <w:t>-0</w:t>
            </w:r>
            <w:r w:rsidRPr="0079588C">
              <w:rPr>
                <w:rFonts w:cs="Arial"/>
                <w:b/>
                <w:color w:val="FF0000"/>
                <w:sz w:val="16"/>
                <w:szCs w:val="16"/>
              </w:rPr>
              <w:t>,7%</w:t>
            </w:r>
          </w:p>
        </w:tc>
      </w:tr>
    </w:tbl>
    <w:p w:rsidR="00665097" w:rsidRDefault="00665097" w:rsidP="00BB313D">
      <w:pPr>
        <w:pStyle w:val="Piedepgina"/>
        <w:widowControl w:val="0"/>
        <w:tabs>
          <w:tab w:val="clear" w:pos="4252"/>
          <w:tab w:val="clear" w:pos="8504"/>
          <w:tab w:val="left" w:pos="426"/>
        </w:tabs>
        <w:ind w:left="426" w:hanging="426"/>
        <w:rPr>
          <w:rFonts w:cs="Arial"/>
          <w:i/>
          <w:sz w:val="16"/>
          <w:szCs w:val="16"/>
        </w:rPr>
      </w:pPr>
      <w:r w:rsidRPr="008E49F0">
        <w:rPr>
          <w:rFonts w:cs="Arial"/>
          <w:i/>
          <w:sz w:val="16"/>
          <w:szCs w:val="16"/>
        </w:rPr>
        <w:t xml:space="preserve">Nota: Los datos de ocupación proceden de la Encuesta de Población en Relación con la Actividad PRA </w:t>
      </w:r>
      <w:proofErr w:type="spellStart"/>
      <w:r w:rsidRPr="008E49F0">
        <w:rPr>
          <w:rFonts w:cs="Arial"/>
          <w:i/>
          <w:sz w:val="16"/>
          <w:szCs w:val="16"/>
        </w:rPr>
        <w:t>Eustat</w:t>
      </w:r>
      <w:proofErr w:type="spellEnd"/>
      <w:r>
        <w:rPr>
          <w:rFonts w:cs="Arial"/>
          <w:i/>
          <w:sz w:val="16"/>
          <w:szCs w:val="16"/>
        </w:rPr>
        <w:t>. Promedio de ocupación anual</w:t>
      </w:r>
    </w:p>
    <w:p w:rsidR="00665097" w:rsidRDefault="00665097" w:rsidP="00BB313D">
      <w:pPr>
        <w:widowControl w:val="0"/>
      </w:pPr>
    </w:p>
    <w:p w:rsidR="00665097" w:rsidRPr="0079588C" w:rsidRDefault="009F1045" w:rsidP="00BB313D">
      <w:pPr>
        <w:widowControl w:val="0"/>
        <w:spacing w:line="240" w:lineRule="auto"/>
        <w:jc w:val="center"/>
        <w:rPr>
          <w:rFonts w:cs="Arial"/>
          <w:b/>
          <w:color w:val="1F497D" w:themeColor="text2"/>
          <w:sz w:val="18"/>
          <w:szCs w:val="18"/>
        </w:rPr>
      </w:pPr>
      <w:bookmarkStart w:id="17" w:name="_Toc391999574"/>
      <w:bookmarkStart w:id="18" w:name="_Toc450119457"/>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9F1045">
        <w:rPr>
          <w:rFonts w:cs="Arial"/>
          <w:b/>
          <w:color w:val="1F497D" w:themeColor="text2"/>
          <w:sz w:val="18"/>
          <w:szCs w:val="18"/>
        </w:rPr>
        <w:t xml:space="preserve"> </w:t>
      </w:r>
      <w:r w:rsidR="00665097" w:rsidRPr="009F1045">
        <w:rPr>
          <w:rFonts w:cs="Arial"/>
          <w:b/>
          <w:color w:val="1F497D" w:themeColor="text2"/>
          <w:sz w:val="18"/>
          <w:szCs w:val="18"/>
        </w:rPr>
        <w:t>TASAS DE CRECIMIENTO DE LOS ESTABLECIMIENTOS Y EMPLEOS DE LA ECONOMÍA</w:t>
      </w:r>
      <w:r w:rsidR="00861248">
        <w:rPr>
          <w:rFonts w:cs="Arial"/>
          <w:b/>
          <w:color w:val="1F497D" w:themeColor="text2"/>
          <w:sz w:val="18"/>
          <w:szCs w:val="18"/>
        </w:rPr>
        <w:t xml:space="preserve"> SOCIAL ENTRE 2000 Y 2014</w:t>
      </w:r>
      <w:r w:rsidR="00AC5A66">
        <w:rPr>
          <w:rFonts w:cs="Arial"/>
          <w:b/>
          <w:color w:val="1F497D" w:themeColor="text2"/>
          <w:sz w:val="18"/>
          <w:szCs w:val="18"/>
        </w:rPr>
        <w:t xml:space="preserve"> </w:t>
      </w:r>
      <w:r w:rsidR="00665097" w:rsidRPr="0079588C">
        <w:rPr>
          <w:rFonts w:cs="Arial"/>
          <w:b/>
          <w:color w:val="1F497D" w:themeColor="text2"/>
          <w:sz w:val="18"/>
          <w:szCs w:val="18"/>
        </w:rPr>
        <w:t>REFERENCIA COMPARATIVA: POBLACIÓN OCUPADA CAE</w:t>
      </w:r>
      <w:bookmarkEnd w:id="17"/>
      <w:bookmarkEnd w:id="18"/>
    </w:p>
    <w:tbl>
      <w:tblPr>
        <w:tblW w:w="9940" w:type="dxa"/>
        <w:jc w:val="center"/>
        <w:tblLook w:val="04A0" w:firstRow="1" w:lastRow="0" w:firstColumn="1" w:lastColumn="0" w:noHBand="0" w:noVBand="1"/>
      </w:tblPr>
      <w:tblGrid>
        <w:gridCol w:w="2621"/>
        <w:gridCol w:w="2691"/>
        <w:gridCol w:w="2314"/>
        <w:gridCol w:w="2314"/>
      </w:tblGrid>
      <w:tr w:rsidR="00665097" w:rsidRPr="0079588C" w:rsidTr="00D122F5">
        <w:trPr>
          <w:jc w:val="center"/>
        </w:trPr>
        <w:tc>
          <w:tcPr>
            <w:tcW w:w="131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79588C" w:rsidRDefault="00665097" w:rsidP="00BB313D">
            <w:pPr>
              <w:widowControl w:val="0"/>
              <w:spacing w:line="240" w:lineRule="exact"/>
              <w:rPr>
                <w:rFonts w:cs="Arial"/>
                <w:b/>
                <w:sz w:val="16"/>
                <w:szCs w:val="16"/>
              </w:rPr>
            </w:pPr>
          </w:p>
        </w:tc>
        <w:tc>
          <w:tcPr>
            <w:tcW w:w="13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79588C" w:rsidRDefault="00665097" w:rsidP="00BB313D">
            <w:pPr>
              <w:widowControl w:val="0"/>
              <w:spacing w:line="240" w:lineRule="exact"/>
              <w:jc w:val="center"/>
              <w:rPr>
                <w:rFonts w:cs="Arial"/>
                <w:b/>
                <w:sz w:val="16"/>
                <w:szCs w:val="16"/>
              </w:rPr>
            </w:pPr>
            <w:r w:rsidRPr="0079588C">
              <w:rPr>
                <w:rFonts w:cs="Arial"/>
                <w:b/>
                <w:sz w:val="16"/>
                <w:szCs w:val="16"/>
              </w:rPr>
              <w:t>Establecimientos</w:t>
            </w:r>
          </w:p>
        </w:tc>
        <w:tc>
          <w:tcPr>
            <w:tcW w:w="11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79588C" w:rsidRDefault="00665097" w:rsidP="00BB313D">
            <w:pPr>
              <w:widowControl w:val="0"/>
              <w:spacing w:line="240" w:lineRule="exact"/>
              <w:jc w:val="center"/>
              <w:rPr>
                <w:rFonts w:cs="Arial"/>
                <w:b/>
                <w:sz w:val="16"/>
                <w:szCs w:val="16"/>
              </w:rPr>
            </w:pPr>
            <w:r w:rsidRPr="0079588C">
              <w:rPr>
                <w:rFonts w:cs="Arial"/>
                <w:b/>
                <w:sz w:val="16"/>
                <w:szCs w:val="16"/>
              </w:rPr>
              <w:t>Empleos</w:t>
            </w:r>
          </w:p>
        </w:tc>
        <w:tc>
          <w:tcPr>
            <w:tcW w:w="11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79588C" w:rsidRDefault="00665097" w:rsidP="00BB313D">
            <w:pPr>
              <w:widowControl w:val="0"/>
              <w:spacing w:line="240" w:lineRule="exact"/>
              <w:jc w:val="center"/>
              <w:rPr>
                <w:rFonts w:cs="Arial"/>
                <w:b/>
                <w:sz w:val="16"/>
                <w:szCs w:val="16"/>
              </w:rPr>
            </w:pPr>
            <w:r w:rsidRPr="0079588C">
              <w:rPr>
                <w:rFonts w:cs="Arial"/>
                <w:b/>
                <w:sz w:val="16"/>
                <w:szCs w:val="16"/>
              </w:rPr>
              <w:t>Población Ocupada CAE</w:t>
            </w:r>
          </w:p>
        </w:tc>
      </w:tr>
      <w:tr w:rsidR="00665097" w:rsidRPr="0079588C" w:rsidTr="00D122F5">
        <w:trPr>
          <w:jc w:val="center"/>
        </w:trPr>
        <w:tc>
          <w:tcPr>
            <w:tcW w:w="1318" w:type="pct"/>
            <w:tcBorders>
              <w:top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rPr>
                <w:rFonts w:cs="Arial"/>
                <w:sz w:val="16"/>
                <w:szCs w:val="16"/>
              </w:rPr>
            </w:pPr>
            <w:r w:rsidRPr="0079588C">
              <w:rPr>
                <w:rFonts w:cs="Arial"/>
                <w:sz w:val="16"/>
                <w:szCs w:val="16"/>
              </w:rPr>
              <w:sym w:font="Monotype Sorts" w:char="F073"/>
            </w:r>
            <w:r w:rsidRPr="0079588C">
              <w:rPr>
                <w:rFonts w:cs="Arial"/>
                <w:sz w:val="16"/>
                <w:szCs w:val="16"/>
              </w:rPr>
              <w:t xml:space="preserve"> %02/00</w:t>
            </w:r>
          </w:p>
        </w:tc>
        <w:tc>
          <w:tcPr>
            <w:tcW w:w="1353"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+6,2%</w:t>
            </w:r>
          </w:p>
        </w:tc>
        <w:tc>
          <w:tcPr>
            <w:tcW w:w="116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+12,6%</w:t>
            </w:r>
          </w:p>
        </w:tc>
        <w:tc>
          <w:tcPr>
            <w:tcW w:w="1164" w:type="pct"/>
            <w:tcBorders>
              <w:top w:val="single" w:sz="4" w:space="0" w:color="BFBFBF" w:themeColor="background1" w:themeShade="BF"/>
              <w:lef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+8,7%</w:t>
            </w:r>
          </w:p>
        </w:tc>
      </w:tr>
      <w:tr w:rsidR="00665097" w:rsidRPr="0079588C" w:rsidTr="00D122F5">
        <w:trPr>
          <w:jc w:val="center"/>
        </w:trPr>
        <w:tc>
          <w:tcPr>
            <w:tcW w:w="1318" w:type="pct"/>
            <w:tcBorders>
              <w:right w:val="single" w:sz="4" w:space="0" w:color="BFBFBF" w:themeColor="background1" w:themeShade="BF"/>
            </w:tcBorders>
          </w:tcPr>
          <w:p w:rsidR="00665097" w:rsidRPr="0079588C" w:rsidRDefault="00665097" w:rsidP="00BB313D">
            <w:pPr>
              <w:widowControl w:val="0"/>
              <w:spacing w:line="240" w:lineRule="exact"/>
              <w:rPr>
                <w:rFonts w:cs="Arial"/>
                <w:sz w:val="16"/>
                <w:szCs w:val="16"/>
              </w:rPr>
            </w:pPr>
            <w:r w:rsidRPr="0079588C">
              <w:rPr>
                <w:rFonts w:cs="Arial"/>
                <w:sz w:val="16"/>
                <w:szCs w:val="16"/>
              </w:rPr>
              <w:sym w:font="Monotype Sorts" w:char="F073"/>
            </w:r>
            <w:r w:rsidRPr="0079588C">
              <w:rPr>
                <w:rFonts w:cs="Arial"/>
                <w:sz w:val="16"/>
                <w:szCs w:val="16"/>
              </w:rPr>
              <w:t xml:space="preserve"> %04/02</w:t>
            </w:r>
          </w:p>
        </w:tc>
        <w:tc>
          <w:tcPr>
            <w:tcW w:w="1353"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+1,9%</w:t>
            </w:r>
          </w:p>
        </w:tc>
        <w:tc>
          <w:tcPr>
            <w:tcW w:w="1164"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 xml:space="preserve">  +0,2%</w:t>
            </w:r>
          </w:p>
        </w:tc>
        <w:tc>
          <w:tcPr>
            <w:tcW w:w="1164" w:type="pct"/>
            <w:tcBorders>
              <w:lef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+3,1%</w:t>
            </w:r>
          </w:p>
        </w:tc>
      </w:tr>
      <w:tr w:rsidR="00665097" w:rsidRPr="0079588C" w:rsidTr="00D122F5">
        <w:trPr>
          <w:jc w:val="center"/>
        </w:trPr>
        <w:tc>
          <w:tcPr>
            <w:tcW w:w="1318" w:type="pct"/>
            <w:tcBorders>
              <w:right w:val="single" w:sz="4" w:space="0" w:color="BFBFBF" w:themeColor="background1" w:themeShade="BF"/>
            </w:tcBorders>
          </w:tcPr>
          <w:p w:rsidR="00665097" w:rsidRPr="0079588C" w:rsidRDefault="00665097" w:rsidP="00BB313D">
            <w:pPr>
              <w:widowControl w:val="0"/>
              <w:spacing w:line="240" w:lineRule="exact"/>
              <w:rPr>
                <w:rFonts w:cs="Arial"/>
                <w:sz w:val="16"/>
                <w:szCs w:val="16"/>
              </w:rPr>
            </w:pPr>
            <w:r w:rsidRPr="0079588C">
              <w:rPr>
                <w:rFonts w:cs="Arial"/>
                <w:sz w:val="16"/>
                <w:szCs w:val="16"/>
              </w:rPr>
              <w:sym w:font="Monotype Sorts" w:char="F073"/>
            </w:r>
            <w:r w:rsidRPr="0079588C">
              <w:rPr>
                <w:rFonts w:cs="Arial"/>
                <w:sz w:val="16"/>
                <w:szCs w:val="16"/>
              </w:rPr>
              <w:t xml:space="preserve"> %06/04</w:t>
            </w:r>
          </w:p>
        </w:tc>
        <w:tc>
          <w:tcPr>
            <w:tcW w:w="1353"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+2,1%</w:t>
            </w:r>
          </w:p>
        </w:tc>
        <w:tc>
          <w:tcPr>
            <w:tcW w:w="1164"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 xml:space="preserve">  +3,8%</w:t>
            </w:r>
          </w:p>
        </w:tc>
        <w:tc>
          <w:tcPr>
            <w:tcW w:w="1164" w:type="pct"/>
            <w:tcBorders>
              <w:lef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+3,3%</w:t>
            </w:r>
          </w:p>
        </w:tc>
      </w:tr>
      <w:tr w:rsidR="00665097" w:rsidRPr="0079588C" w:rsidTr="00D122F5">
        <w:trPr>
          <w:jc w:val="center"/>
        </w:trPr>
        <w:tc>
          <w:tcPr>
            <w:tcW w:w="1318" w:type="pct"/>
            <w:tcBorders>
              <w:right w:val="single" w:sz="4" w:space="0" w:color="BFBFBF" w:themeColor="background1" w:themeShade="BF"/>
            </w:tcBorders>
          </w:tcPr>
          <w:p w:rsidR="00665097" w:rsidRPr="0079588C" w:rsidRDefault="00665097" w:rsidP="00BB313D">
            <w:pPr>
              <w:widowControl w:val="0"/>
              <w:spacing w:line="240" w:lineRule="exact"/>
              <w:rPr>
                <w:rFonts w:cs="Arial"/>
                <w:sz w:val="16"/>
                <w:szCs w:val="16"/>
              </w:rPr>
            </w:pPr>
            <w:r w:rsidRPr="0079588C">
              <w:rPr>
                <w:rFonts w:cs="Arial"/>
                <w:sz w:val="16"/>
                <w:szCs w:val="16"/>
              </w:rPr>
              <w:sym w:font="Monotype Sorts" w:char="F073"/>
            </w:r>
            <w:r w:rsidRPr="0079588C">
              <w:rPr>
                <w:rFonts w:cs="Arial"/>
                <w:sz w:val="16"/>
                <w:szCs w:val="16"/>
              </w:rPr>
              <w:t xml:space="preserve"> %08/06</w:t>
            </w:r>
          </w:p>
        </w:tc>
        <w:tc>
          <w:tcPr>
            <w:tcW w:w="1353"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 xml:space="preserve"> -3,6%</w:t>
            </w:r>
          </w:p>
        </w:tc>
        <w:tc>
          <w:tcPr>
            <w:tcW w:w="1164"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 xml:space="preserve">  -1,4%</w:t>
            </w:r>
          </w:p>
        </w:tc>
        <w:tc>
          <w:tcPr>
            <w:tcW w:w="1164" w:type="pct"/>
            <w:tcBorders>
              <w:lef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+2,7%</w:t>
            </w:r>
          </w:p>
        </w:tc>
      </w:tr>
      <w:tr w:rsidR="00665097" w:rsidRPr="0079588C" w:rsidTr="00D122F5">
        <w:trPr>
          <w:jc w:val="center"/>
        </w:trPr>
        <w:tc>
          <w:tcPr>
            <w:tcW w:w="1318" w:type="pct"/>
            <w:tcBorders>
              <w:right w:val="single" w:sz="4" w:space="0" w:color="BFBFBF" w:themeColor="background1" w:themeShade="BF"/>
            </w:tcBorders>
          </w:tcPr>
          <w:p w:rsidR="00665097" w:rsidRPr="0079588C" w:rsidRDefault="00665097" w:rsidP="00BB313D">
            <w:pPr>
              <w:widowControl w:val="0"/>
              <w:spacing w:line="240" w:lineRule="exact"/>
              <w:rPr>
                <w:rFonts w:cs="Arial"/>
                <w:sz w:val="16"/>
                <w:szCs w:val="16"/>
              </w:rPr>
            </w:pPr>
            <w:r w:rsidRPr="0079588C">
              <w:rPr>
                <w:rFonts w:cs="Arial"/>
                <w:sz w:val="16"/>
                <w:szCs w:val="16"/>
              </w:rPr>
              <w:sym w:font="Monotype Sorts" w:char="F073"/>
            </w:r>
            <w:r w:rsidRPr="0079588C">
              <w:rPr>
                <w:rFonts w:cs="Arial"/>
                <w:sz w:val="16"/>
                <w:szCs w:val="16"/>
              </w:rPr>
              <w:t xml:space="preserve"> %10/08</w:t>
            </w:r>
          </w:p>
        </w:tc>
        <w:tc>
          <w:tcPr>
            <w:tcW w:w="1353"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+0,4%</w:t>
            </w:r>
          </w:p>
        </w:tc>
        <w:tc>
          <w:tcPr>
            <w:tcW w:w="1164"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 xml:space="preserve">  -4,3%</w:t>
            </w:r>
          </w:p>
        </w:tc>
        <w:tc>
          <w:tcPr>
            <w:tcW w:w="1164" w:type="pct"/>
            <w:tcBorders>
              <w:lef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-3,9%</w:t>
            </w:r>
          </w:p>
        </w:tc>
      </w:tr>
      <w:tr w:rsidR="00665097" w:rsidRPr="0079588C" w:rsidTr="00D122F5">
        <w:trPr>
          <w:jc w:val="center"/>
        </w:trPr>
        <w:tc>
          <w:tcPr>
            <w:tcW w:w="1318" w:type="pct"/>
            <w:tcBorders>
              <w:right w:val="single" w:sz="4" w:space="0" w:color="BFBFBF" w:themeColor="background1" w:themeShade="BF"/>
            </w:tcBorders>
          </w:tcPr>
          <w:p w:rsidR="00665097" w:rsidRPr="0079588C" w:rsidRDefault="00665097" w:rsidP="00BB313D">
            <w:pPr>
              <w:widowControl w:val="0"/>
              <w:spacing w:line="240" w:lineRule="exact"/>
              <w:rPr>
                <w:rFonts w:cs="Arial"/>
                <w:sz w:val="16"/>
                <w:szCs w:val="16"/>
              </w:rPr>
            </w:pPr>
            <w:r w:rsidRPr="0079588C">
              <w:rPr>
                <w:rFonts w:cs="Arial"/>
                <w:sz w:val="16"/>
                <w:szCs w:val="16"/>
              </w:rPr>
              <w:sym w:font="Monotype Sorts" w:char="F073"/>
            </w:r>
            <w:r w:rsidRPr="0079588C">
              <w:rPr>
                <w:rFonts w:cs="Arial"/>
                <w:sz w:val="16"/>
                <w:szCs w:val="16"/>
              </w:rPr>
              <w:t xml:space="preserve"> %12/10</w:t>
            </w:r>
          </w:p>
        </w:tc>
        <w:tc>
          <w:tcPr>
            <w:tcW w:w="1353"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+2,7</w:t>
            </w:r>
          </w:p>
        </w:tc>
        <w:tc>
          <w:tcPr>
            <w:tcW w:w="1164" w:type="pct"/>
            <w:tcBorders>
              <w:left w:val="single" w:sz="4" w:space="0" w:color="BFBFBF" w:themeColor="background1" w:themeShade="BF"/>
              <w:righ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 xml:space="preserve">  -6,9%</w:t>
            </w:r>
          </w:p>
        </w:tc>
        <w:tc>
          <w:tcPr>
            <w:tcW w:w="1164" w:type="pct"/>
            <w:tcBorders>
              <w:left w:val="single" w:sz="4" w:space="0" w:color="BFBFBF" w:themeColor="background1" w:themeShade="BF"/>
            </w:tcBorders>
          </w:tcPr>
          <w:p w:rsidR="00665097" w:rsidRPr="0079588C" w:rsidRDefault="00665097" w:rsidP="00BB313D">
            <w:pPr>
              <w:widowControl w:val="0"/>
              <w:spacing w:line="240" w:lineRule="exact"/>
              <w:ind w:right="284"/>
              <w:jc w:val="right"/>
              <w:rPr>
                <w:rFonts w:cs="Arial"/>
                <w:sz w:val="16"/>
                <w:szCs w:val="16"/>
              </w:rPr>
            </w:pPr>
            <w:r w:rsidRPr="0079588C">
              <w:rPr>
                <w:rFonts w:cs="Arial"/>
                <w:sz w:val="16"/>
                <w:szCs w:val="16"/>
              </w:rPr>
              <w:t>-4,7%</w:t>
            </w:r>
          </w:p>
        </w:tc>
      </w:tr>
      <w:tr w:rsidR="00B77A89" w:rsidRPr="0079588C" w:rsidTr="00D122F5">
        <w:trPr>
          <w:jc w:val="center"/>
        </w:trPr>
        <w:tc>
          <w:tcPr>
            <w:tcW w:w="1318" w:type="pct"/>
            <w:tcBorders>
              <w:bottom w:val="single" w:sz="4" w:space="0" w:color="BFBFBF" w:themeColor="background1" w:themeShade="BF"/>
              <w:right w:val="single" w:sz="4" w:space="0" w:color="BFBFBF" w:themeColor="background1" w:themeShade="BF"/>
            </w:tcBorders>
          </w:tcPr>
          <w:p w:rsidR="00B77A89" w:rsidRPr="0079588C" w:rsidRDefault="00B77A89" w:rsidP="00BB313D">
            <w:pPr>
              <w:widowControl w:val="0"/>
              <w:spacing w:line="240" w:lineRule="exact"/>
              <w:rPr>
                <w:rFonts w:cs="Arial"/>
                <w:sz w:val="16"/>
                <w:szCs w:val="16"/>
              </w:rPr>
            </w:pPr>
            <w:r w:rsidRPr="0079588C">
              <w:rPr>
                <w:rFonts w:cs="Arial"/>
                <w:sz w:val="16"/>
                <w:szCs w:val="16"/>
              </w:rPr>
              <w:sym w:font="Monotype Sorts" w:char="F073"/>
            </w:r>
            <w:r>
              <w:rPr>
                <w:rFonts w:cs="Arial"/>
                <w:sz w:val="16"/>
                <w:szCs w:val="16"/>
              </w:rPr>
              <w:t xml:space="preserve"> %14</w:t>
            </w:r>
            <w:r w:rsidRPr="0079588C">
              <w:rPr>
                <w:rFonts w:cs="Arial"/>
                <w:sz w:val="16"/>
                <w:szCs w:val="16"/>
              </w:rPr>
              <w:t>/1</w:t>
            </w:r>
            <w:r>
              <w:rPr>
                <w:rFonts w:cs="Arial"/>
                <w:sz w:val="16"/>
                <w:szCs w:val="16"/>
              </w:rPr>
              <w:t>2</w:t>
            </w:r>
          </w:p>
        </w:tc>
        <w:tc>
          <w:tcPr>
            <w:tcW w:w="135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B77A89" w:rsidRPr="0079588C" w:rsidRDefault="00B77A89" w:rsidP="00BB313D">
            <w:pPr>
              <w:widowControl w:val="0"/>
              <w:spacing w:line="240" w:lineRule="exact"/>
              <w:ind w:right="284"/>
              <w:jc w:val="right"/>
              <w:rPr>
                <w:rFonts w:cs="Arial"/>
                <w:sz w:val="16"/>
                <w:szCs w:val="16"/>
              </w:rPr>
            </w:pPr>
            <w:r>
              <w:rPr>
                <w:rFonts w:cs="Arial"/>
                <w:sz w:val="16"/>
                <w:szCs w:val="16"/>
              </w:rPr>
              <w:t>+1,6</w:t>
            </w:r>
          </w:p>
        </w:tc>
        <w:tc>
          <w:tcPr>
            <w:tcW w:w="116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B77A89" w:rsidRPr="0079588C" w:rsidRDefault="001A03FA" w:rsidP="00BB313D">
            <w:pPr>
              <w:widowControl w:val="0"/>
              <w:spacing w:line="240" w:lineRule="exact"/>
              <w:ind w:right="284"/>
              <w:jc w:val="right"/>
              <w:rPr>
                <w:rFonts w:cs="Arial"/>
                <w:sz w:val="16"/>
                <w:szCs w:val="16"/>
              </w:rPr>
            </w:pPr>
            <w:r>
              <w:rPr>
                <w:rFonts w:cs="Arial"/>
                <w:sz w:val="16"/>
                <w:szCs w:val="16"/>
              </w:rPr>
              <w:t>-2,2</w:t>
            </w:r>
            <w:r w:rsidR="00B77A89">
              <w:rPr>
                <w:rFonts w:cs="Arial"/>
                <w:sz w:val="16"/>
                <w:szCs w:val="16"/>
              </w:rPr>
              <w:t>%</w:t>
            </w:r>
          </w:p>
        </w:tc>
        <w:tc>
          <w:tcPr>
            <w:tcW w:w="1164" w:type="pct"/>
            <w:tcBorders>
              <w:left w:val="single" w:sz="4" w:space="0" w:color="BFBFBF" w:themeColor="background1" w:themeShade="BF"/>
              <w:bottom w:val="single" w:sz="4" w:space="0" w:color="BFBFBF" w:themeColor="background1" w:themeShade="BF"/>
            </w:tcBorders>
          </w:tcPr>
          <w:p w:rsidR="00B77A89" w:rsidRPr="0079588C" w:rsidRDefault="00B77A89" w:rsidP="00BB313D">
            <w:pPr>
              <w:widowControl w:val="0"/>
              <w:spacing w:line="240" w:lineRule="exact"/>
              <w:ind w:right="284"/>
              <w:jc w:val="right"/>
              <w:rPr>
                <w:rFonts w:cs="Arial"/>
                <w:sz w:val="16"/>
                <w:szCs w:val="16"/>
              </w:rPr>
            </w:pPr>
            <w:r>
              <w:rPr>
                <w:rFonts w:cs="Arial"/>
                <w:sz w:val="16"/>
                <w:szCs w:val="16"/>
              </w:rPr>
              <w:t>-0,7%</w:t>
            </w:r>
          </w:p>
        </w:tc>
      </w:tr>
    </w:tbl>
    <w:p w:rsidR="00665097" w:rsidRPr="008E49F0" w:rsidRDefault="00665097" w:rsidP="00BB313D">
      <w:pPr>
        <w:pStyle w:val="Piedepgina"/>
        <w:widowControl w:val="0"/>
        <w:tabs>
          <w:tab w:val="clear" w:pos="4252"/>
          <w:tab w:val="clear" w:pos="8504"/>
          <w:tab w:val="left" w:pos="426"/>
        </w:tabs>
        <w:ind w:left="426" w:hanging="426"/>
        <w:rPr>
          <w:rFonts w:ascii="Tahoma" w:hAnsi="Tahoma" w:cs="Tahoma"/>
          <w:snapToGrid w:val="0"/>
          <w:lang w:val="es-ES_tradnl"/>
        </w:rPr>
      </w:pPr>
      <w:r w:rsidRPr="008E49F0">
        <w:rPr>
          <w:rFonts w:cs="Arial"/>
          <w:i/>
          <w:sz w:val="16"/>
          <w:szCs w:val="16"/>
        </w:rPr>
        <w:t xml:space="preserve">Nota: Los datos de ocupación proceden de la Encuesta de Población en Relación con la Actividad PRA </w:t>
      </w:r>
      <w:proofErr w:type="spellStart"/>
      <w:r w:rsidRPr="008E49F0">
        <w:rPr>
          <w:rFonts w:cs="Arial"/>
          <w:i/>
          <w:sz w:val="16"/>
          <w:szCs w:val="16"/>
        </w:rPr>
        <w:t>Eustat</w:t>
      </w:r>
      <w:proofErr w:type="spellEnd"/>
      <w:r>
        <w:rPr>
          <w:rFonts w:cs="Arial"/>
          <w:i/>
          <w:sz w:val="16"/>
          <w:szCs w:val="16"/>
        </w:rPr>
        <w:t>. Promedio de ocupación anual</w:t>
      </w:r>
    </w:p>
    <w:p w:rsidR="00665097" w:rsidRDefault="00665097" w:rsidP="00BB313D">
      <w:pPr>
        <w:widowControl w:val="0"/>
      </w:pPr>
    </w:p>
    <w:p w:rsidR="00665097" w:rsidRDefault="0035503D" w:rsidP="009F1045">
      <w:pPr>
        <w:widowControl w:val="0"/>
        <w:spacing w:line="240" w:lineRule="auto"/>
        <w:jc w:val="center"/>
        <w:rPr>
          <w:rFonts w:cs="Arial"/>
          <w:b/>
          <w:color w:val="1F497D" w:themeColor="text2"/>
          <w:sz w:val="18"/>
          <w:szCs w:val="18"/>
        </w:rPr>
      </w:pPr>
      <w:r>
        <w:rPr>
          <w:rFonts w:cs="Arial"/>
          <w:b/>
          <w:noProof/>
          <w:color w:val="1F497D" w:themeColor="text2"/>
          <w:sz w:val="18"/>
          <w:szCs w:val="18"/>
          <w:lang w:eastAsia="es-ES"/>
        </w:rPr>
        <w:drawing>
          <wp:anchor distT="0" distB="0" distL="114300" distR="114300" simplePos="0" relativeHeight="251724800" behindDoc="0" locked="0" layoutInCell="1" allowOverlap="1">
            <wp:simplePos x="0" y="0"/>
            <wp:positionH relativeFrom="column">
              <wp:posOffset>260985</wp:posOffset>
            </wp:positionH>
            <wp:positionV relativeFrom="paragraph">
              <wp:posOffset>236855</wp:posOffset>
            </wp:positionV>
            <wp:extent cx="4895850" cy="1828800"/>
            <wp:effectExtent l="0" t="0" r="0" b="0"/>
            <wp:wrapNone/>
            <wp:docPr id="58"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bookmarkStart w:id="19" w:name="_Toc391999648"/>
      <w:bookmarkStart w:id="20" w:name="_Toc450119989"/>
      <w:r w:rsidR="009F1045"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009F1045"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w:t>
      </w:r>
      <w:r w:rsidR="00771A61" w:rsidRPr="009F1045">
        <w:rPr>
          <w:rFonts w:cs="Arial"/>
          <w:b/>
          <w:color w:val="1F497D" w:themeColor="text2"/>
          <w:sz w:val="18"/>
          <w:szCs w:val="18"/>
        </w:rPr>
        <w:fldChar w:fldCharType="end"/>
      </w:r>
      <w:r w:rsidR="00AC5A66" w:rsidRPr="00AC5A66">
        <w:rPr>
          <w:rFonts w:cs="Arial"/>
          <w:b/>
          <w:color w:val="1F497D" w:themeColor="text2"/>
          <w:sz w:val="18"/>
          <w:szCs w:val="18"/>
        </w:rPr>
        <w:t xml:space="preserve"> </w:t>
      </w:r>
      <w:r w:rsidR="00665097" w:rsidRPr="0079588C">
        <w:rPr>
          <w:rFonts w:cs="Arial"/>
          <w:b/>
          <w:color w:val="1F497D" w:themeColor="text2"/>
          <w:sz w:val="18"/>
          <w:szCs w:val="18"/>
        </w:rPr>
        <w:t>EVOLUCIÓN DE LOS ESTABLECIMIENTOS Y EL EMPLEO EN LA CAE EN LA ECONOMÍA SOCIAL 1994-201</w:t>
      </w:r>
      <w:bookmarkEnd w:id="19"/>
      <w:r w:rsidR="00B77A89">
        <w:rPr>
          <w:rFonts w:cs="Arial"/>
          <w:b/>
          <w:color w:val="1F497D" w:themeColor="text2"/>
          <w:sz w:val="18"/>
          <w:szCs w:val="18"/>
        </w:rPr>
        <w:t>4</w:t>
      </w:r>
      <w:bookmarkEnd w:id="20"/>
    </w:p>
    <w:p w:rsidR="00665097" w:rsidRPr="00627246" w:rsidRDefault="00665097" w:rsidP="00BB313D">
      <w:pPr>
        <w:widowControl w:val="0"/>
        <w:rPr>
          <w:rFonts w:cs="Arial"/>
          <w:sz w:val="16"/>
          <w:szCs w:val="16"/>
        </w:rPr>
      </w:pPr>
    </w:p>
    <w:p w:rsidR="00665097" w:rsidRDefault="00665097" w:rsidP="00BB313D">
      <w:pPr>
        <w:widowControl w:val="0"/>
        <w:rPr>
          <w:rFonts w:cs="Arial"/>
        </w:rPr>
      </w:pPr>
    </w:p>
    <w:p w:rsidR="00665097" w:rsidRDefault="00665097" w:rsidP="00BB313D">
      <w:pPr>
        <w:widowControl w:val="0"/>
        <w:rPr>
          <w:rFonts w:cs="Arial"/>
        </w:rPr>
      </w:pPr>
    </w:p>
    <w:p w:rsidR="00665097" w:rsidRDefault="00665097" w:rsidP="00BB313D">
      <w:pPr>
        <w:widowControl w:val="0"/>
        <w:rPr>
          <w:rFonts w:cs="Arial"/>
        </w:rPr>
      </w:pPr>
    </w:p>
    <w:p w:rsidR="00665097" w:rsidRDefault="00665097" w:rsidP="00BB313D">
      <w:pPr>
        <w:widowControl w:val="0"/>
        <w:rPr>
          <w:rFonts w:cs="Arial"/>
        </w:rPr>
      </w:pPr>
    </w:p>
    <w:p w:rsidR="00665097" w:rsidRDefault="00665097" w:rsidP="00BB313D">
      <w:pPr>
        <w:widowControl w:val="0"/>
        <w:rPr>
          <w:rFonts w:cs="Arial"/>
        </w:rPr>
      </w:pPr>
    </w:p>
    <w:p w:rsidR="00665097" w:rsidRDefault="00665097" w:rsidP="00BB313D">
      <w:pPr>
        <w:widowControl w:val="0"/>
        <w:rPr>
          <w:rFonts w:cs="Arial"/>
        </w:rPr>
      </w:pPr>
    </w:p>
    <w:p w:rsidR="00665097" w:rsidRDefault="00665097" w:rsidP="00BB313D">
      <w:pPr>
        <w:widowControl w:val="0"/>
        <w:rPr>
          <w:rFonts w:cs="Arial"/>
        </w:rPr>
      </w:pPr>
    </w:p>
    <w:p w:rsidR="00665097" w:rsidRDefault="00665097" w:rsidP="00BB313D">
      <w:pPr>
        <w:widowControl w:val="0"/>
        <w:rPr>
          <w:rFonts w:cs="Arial"/>
        </w:rPr>
      </w:pPr>
      <w:r>
        <w:rPr>
          <w:rFonts w:cs="Arial"/>
          <w:noProof/>
          <w:lang w:eastAsia="es-ES"/>
        </w:rPr>
        <w:drawing>
          <wp:anchor distT="0" distB="0" distL="114300" distR="114300" simplePos="0" relativeHeight="251723776" behindDoc="0" locked="0" layoutInCell="1" allowOverlap="1">
            <wp:simplePos x="0" y="0"/>
            <wp:positionH relativeFrom="column">
              <wp:posOffset>260985</wp:posOffset>
            </wp:positionH>
            <wp:positionV relativeFrom="paragraph">
              <wp:posOffset>8890</wp:posOffset>
            </wp:positionV>
            <wp:extent cx="4953000" cy="1828800"/>
            <wp:effectExtent l="0" t="0" r="0" b="0"/>
            <wp:wrapNone/>
            <wp:docPr id="59"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665097" w:rsidRDefault="00665097" w:rsidP="00BB313D">
      <w:pPr>
        <w:widowControl w:val="0"/>
        <w:spacing w:line="240" w:lineRule="auto"/>
        <w:rPr>
          <w:rFonts w:cs="Arial"/>
        </w:rPr>
      </w:pPr>
    </w:p>
    <w:p w:rsidR="00665097" w:rsidRDefault="00665097" w:rsidP="00BB313D">
      <w:pPr>
        <w:widowControl w:val="0"/>
        <w:rPr>
          <w:rFonts w:cs="Arial"/>
        </w:rPr>
      </w:pPr>
    </w:p>
    <w:p w:rsidR="00665097" w:rsidRDefault="00665097" w:rsidP="00BB313D">
      <w:pPr>
        <w:widowControl w:val="0"/>
        <w:rPr>
          <w:rFonts w:cs="Arial"/>
        </w:rPr>
      </w:pPr>
    </w:p>
    <w:p w:rsidR="00665097" w:rsidRDefault="00665097" w:rsidP="00BB313D">
      <w:pPr>
        <w:pStyle w:val="Textoindependiente2"/>
        <w:widowControl w:val="0"/>
        <w:spacing w:line="240" w:lineRule="auto"/>
      </w:pPr>
    </w:p>
    <w:p w:rsidR="00665097" w:rsidRDefault="00665097" w:rsidP="00BB313D">
      <w:pPr>
        <w:pStyle w:val="Textoindependiente2"/>
        <w:widowControl w:val="0"/>
        <w:spacing w:line="240" w:lineRule="auto"/>
      </w:pPr>
    </w:p>
    <w:p w:rsidR="00665097" w:rsidRDefault="00665097" w:rsidP="00BB313D">
      <w:pPr>
        <w:pStyle w:val="Textoindependiente2"/>
        <w:widowControl w:val="0"/>
        <w:spacing w:line="240" w:lineRule="auto"/>
      </w:pPr>
    </w:p>
    <w:p w:rsidR="00665097" w:rsidRDefault="00665097" w:rsidP="00BB313D">
      <w:pPr>
        <w:pStyle w:val="Textoindependiente2"/>
        <w:widowControl w:val="0"/>
        <w:spacing w:line="240" w:lineRule="auto"/>
      </w:pPr>
    </w:p>
    <w:p w:rsidR="00665097" w:rsidRDefault="009F1045" w:rsidP="00BB313D">
      <w:pPr>
        <w:widowControl w:val="0"/>
        <w:spacing w:line="240" w:lineRule="auto"/>
        <w:jc w:val="center"/>
        <w:rPr>
          <w:rFonts w:cs="Arial"/>
          <w:b/>
          <w:color w:val="1F497D" w:themeColor="text2"/>
          <w:sz w:val="18"/>
          <w:szCs w:val="18"/>
          <w:lang w:val="es-ES_tradnl"/>
        </w:rPr>
      </w:pPr>
      <w:bookmarkStart w:id="21" w:name="_Toc391999649"/>
      <w:bookmarkStart w:id="22" w:name="_Toc450119990"/>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627246">
        <w:rPr>
          <w:rFonts w:cs="Arial"/>
          <w:b/>
          <w:color w:val="1F497D" w:themeColor="text2"/>
          <w:sz w:val="18"/>
          <w:szCs w:val="18"/>
          <w:lang w:val="es-ES_tradnl"/>
        </w:rPr>
        <w:t>EVOLUCIÓN DEL PESO RELATIVO DEL EMPLEO DE LA ECONOMÍA SOCIAL EN</w:t>
      </w:r>
      <w:r w:rsidR="00D61E8A">
        <w:rPr>
          <w:rFonts w:cs="Arial"/>
          <w:b/>
          <w:color w:val="1F497D" w:themeColor="text2"/>
          <w:sz w:val="18"/>
          <w:szCs w:val="18"/>
          <w:lang w:val="es-ES_tradnl"/>
        </w:rPr>
        <w:t xml:space="preserve"> LA ECONOMÍA DE LA CAE 1994-2014</w:t>
      </w:r>
      <w:r w:rsidR="00665097" w:rsidRPr="00627246">
        <w:rPr>
          <w:rFonts w:cs="Arial"/>
          <w:b/>
          <w:color w:val="1F497D" w:themeColor="text2"/>
          <w:sz w:val="18"/>
          <w:szCs w:val="18"/>
          <w:lang w:val="es-ES_tradnl"/>
        </w:rPr>
        <w:t xml:space="preserve"> (% sobre el total del empleo de la CAE).</w:t>
      </w:r>
      <w:bookmarkEnd w:id="21"/>
      <w:bookmarkEnd w:id="22"/>
    </w:p>
    <w:p w:rsidR="00665097" w:rsidRPr="00627246" w:rsidRDefault="00665097" w:rsidP="00BB313D">
      <w:pPr>
        <w:widowControl w:val="0"/>
        <w:jc w:val="center"/>
        <w:rPr>
          <w:rFonts w:cs="Arial"/>
          <w:b/>
          <w:color w:val="1F497D" w:themeColor="text2"/>
          <w:sz w:val="18"/>
          <w:szCs w:val="18"/>
          <w:lang w:val="es-ES_tradnl"/>
        </w:rPr>
      </w:pPr>
      <w:r>
        <w:rPr>
          <w:rFonts w:cs="Arial"/>
          <w:b/>
          <w:noProof/>
          <w:color w:val="1F497D" w:themeColor="text2"/>
          <w:sz w:val="18"/>
          <w:szCs w:val="18"/>
          <w:lang w:eastAsia="es-ES"/>
        </w:rPr>
        <w:drawing>
          <wp:anchor distT="0" distB="0" distL="114300" distR="114300" simplePos="0" relativeHeight="251725824" behindDoc="0" locked="0" layoutInCell="1" allowOverlap="1">
            <wp:simplePos x="0" y="0"/>
            <wp:positionH relativeFrom="column">
              <wp:posOffset>405682</wp:posOffset>
            </wp:positionH>
            <wp:positionV relativeFrom="paragraph">
              <wp:posOffset>70485</wp:posOffset>
            </wp:positionV>
            <wp:extent cx="4876800" cy="1828800"/>
            <wp:effectExtent l="0" t="0" r="0" b="0"/>
            <wp:wrapNone/>
            <wp:docPr id="60"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665097" w:rsidRPr="00777C7A" w:rsidRDefault="00665097" w:rsidP="00BB313D">
      <w:pPr>
        <w:widowControl w:val="0"/>
        <w:rPr>
          <w:rFonts w:cs="Arial"/>
          <w:b/>
          <w:lang w:val="es-ES_tradnl"/>
        </w:rPr>
      </w:pPr>
    </w:p>
    <w:p w:rsidR="00665097" w:rsidRPr="00777C7A" w:rsidRDefault="00665097" w:rsidP="00BB313D">
      <w:pPr>
        <w:widowControl w:val="0"/>
        <w:rPr>
          <w:lang w:val="es-ES_tradnl"/>
        </w:rPr>
      </w:pPr>
    </w:p>
    <w:p w:rsidR="00665097" w:rsidRPr="00777C7A" w:rsidRDefault="00665097" w:rsidP="00BB313D">
      <w:pPr>
        <w:widowControl w:val="0"/>
        <w:rPr>
          <w:lang w:val="es-ES_tradnl"/>
        </w:rPr>
      </w:pPr>
    </w:p>
    <w:p w:rsidR="00665097" w:rsidRDefault="00665097" w:rsidP="00BB313D">
      <w:pPr>
        <w:widowControl w:val="0"/>
        <w:rPr>
          <w:lang w:val="es-ES_tradnl"/>
        </w:rPr>
      </w:pPr>
    </w:p>
    <w:p w:rsidR="00665097" w:rsidRDefault="00665097" w:rsidP="00BB313D">
      <w:pPr>
        <w:widowControl w:val="0"/>
        <w:rPr>
          <w:lang w:val="es-ES_tradnl"/>
        </w:rPr>
      </w:pPr>
    </w:p>
    <w:p w:rsidR="00665097" w:rsidRDefault="00665097" w:rsidP="00BB313D">
      <w:pPr>
        <w:widowControl w:val="0"/>
        <w:rPr>
          <w:lang w:val="es-ES_tradnl"/>
        </w:rPr>
      </w:pPr>
    </w:p>
    <w:p w:rsidR="00665097" w:rsidRDefault="00665097" w:rsidP="00BB313D">
      <w:pPr>
        <w:widowControl w:val="0"/>
        <w:rPr>
          <w:lang w:val="es-ES_tradnl"/>
        </w:rPr>
      </w:pPr>
    </w:p>
    <w:p w:rsidR="009606C0" w:rsidRDefault="009606C0" w:rsidP="00BB313D">
      <w:pPr>
        <w:pStyle w:val="Piedepgina"/>
        <w:widowControl w:val="0"/>
        <w:tabs>
          <w:tab w:val="clear" w:pos="4252"/>
          <w:tab w:val="clear" w:pos="8504"/>
          <w:tab w:val="left" w:pos="1276"/>
        </w:tabs>
        <w:ind w:left="1276" w:right="566" w:hanging="425"/>
        <w:rPr>
          <w:rFonts w:cs="Arial"/>
          <w:i/>
          <w:sz w:val="16"/>
          <w:szCs w:val="16"/>
        </w:rPr>
      </w:pPr>
    </w:p>
    <w:p w:rsidR="009606C0" w:rsidRDefault="009606C0" w:rsidP="00BB313D">
      <w:pPr>
        <w:pStyle w:val="Piedepgina"/>
        <w:widowControl w:val="0"/>
        <w:tabs>
          <w:tab w:val="clear" w:pos="4252"/>
          <w:tab w:val="clear" w:pos="8504"/>
          <w:tab w:val="left" w:pos="1276"/>
        </w:tabs>
        <w:ind w:left="1276" w:right="566" w:hanging="425"/>
        <w:rPr>
          <w:rFonts w:cs="Arial"/>
          <w:i/>
          <w:sz w:val="16"/>
          <w:szCs w:val="16"/>
        </w:rPr>
      </w:pPr>
    </w:p>
    <w:p w:rsidR="00665097" w:rsidRPr="008E49F0" w:rsidRDefault="00665097" w:rsidP="00BB313D">
      <w:pPr>
        <w:pStyle w:val="Piedepgina"/>
        <w:widowControl w:val="0"/>
        <w:tabs>
          <w:tab w:val="clear" w:pos="4252"/>
          <w:tab w:val="clear" w:pos="8504"/>
          <w:tab w:val="left" w:pos="1276"/>
        </w:tabs>
        <w:ind w:left="1276" w:right="566" w:hanging="425"/>
        <w:rPr>
          <w:rFonts w:ascii="Tahoma" w:hAnsi="Tahoma" w:cs="Tahoma"/>
          <w:snapToGrid w:val="0"/>
          <w:lang w:val="es-ES_tradnl"/>
        </w:rPr>
      </w:pPr>
      <w:r w:rsidRPr="008E49F0">
        <w:rPr>
          <w:rFonts w:cs="Arial"/>
          <w:i/>
          <w:sz w:val="16"/>
          <w:szCs w:val="16"/>
        </w:rPr>
        <w:t xml:space="preserve">Nota: Los datos de </w:t>
      </w:r>
      <w:r>
        <w:rPr>
          <w:rFonts w:cs="Arial"/>
          <w:i/>
          <w:sz w:val="16"/>
          <w:szCs w:val="16"/>
        </w:rPr>
        <w:t xml:space="preserve">comparación proceden de la </w:t>
      </w:r>
      <w:r w:rsidRPr="008E49F0">
        <w:rPr>
          <w:rFonts w:cs="Arial"/>
          <w:i/>
          <w:sz w:val="16"/>
          <w:szCs w:val="16"/>
        </w:rPr>
        <w:t xml:space="preserve">Encuesta de Población en Relación con la Actividad PRA </w:t>
      </w:r>
      <w:proofErr w:type="spellStart"/>
      <w:r w:rsidRPr="008E49F0">
        <w:rPr>
          <w:rFonts w:cs="Arial"/>
          <w:i/>
          <w:sz w:val="16"/>
          <w:szCs w:val="16"/>
        </w:rPr>
        <w:t>Eustat</w:t>
      </w:r>
      <w:proofErr w:type="spellEnd"/>
      <w:r>
        <w:rPr>
          <w:rFonts w:cs="Arial"/>
          <w:i/>
          <w:sz w:val="16"/>
          <w:szCs w:val="16"/>
        </w:rPr>
        <w:t>. Promedio de ocupación anual</w:t>
      </w:r>
    </w:p>
    <w:p w:rsidR="00665097" w:rsidRPr="00F8288A" w:rsidRDefault="00665097" w:rsidP="00BB313D">
      <w:pPr>
        <w:widowControl w:val="0"/>
      </w:pPr>
    </w:p>
    <w:p w:rsidR="00665097" w:rsidRDefault="00665097" w:rsidP="00BB313D">
      <w:pPr>
        <w:widowControl w:val="0"/>
        <w:rPr>
          <w:rFonts w:cs="Arial"/>
          <w:b/>
        </w:rPr>
      </w:pPr>
    </w:p>
    <w:p w:rsidR="00665097" w:rsidRPr="00F8288A" w:rsidRDefault="009F1045" w:rsidP="00BB313D">
      <w:pPr>
        <w:widowControl w:val="0"/>
        <w:spacing w:line="240" w:lineRule="auto"/>
        <w:jc w:val="center"/>
        <w:rPr>
          <w:rFonts w:cs="Arial"/>
          <w:b/>
          <w:color w:val="1F497D" w:themeColor="text2"/>
          <w:sz w:val="18"/>
          <w:szCs w:val="18"/>
        </w:rPr>
      </w:pPr>
      <w:bookmarkStart w:id="23" w:name="_Toc391999575"/>
      <w:bookmarkStart w:id="24" w:name="_Toc450119458"/>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F8288A">
        <w:rPr>
          <w:rFonts w:cs="Arial"/>
          <w:b/>
          <w:color w:val="1F497D" w:themeColor="text2"/>
          <w:sz w:val="18"/>
          <w:szCs w:val="18"/>
        </w:rPr>
        <w:t>INDICADORES DE LA DIMENSIÓN DE LAS E</w:t>
      </w:r>
      <w:r w:rsidR="00785D3A">
        <w:rPr>
          <w:rFonts w:cs="Arial"/>
          <w:b/>
          <w:color w:val="1F497D" w:themeColor="text2"/>
          <w:sz w:val="18"/>
          <w:szCs w:val="18"/>
        </w:rPr>
        <w:t>MPRESAS DE ECONOMÍA SOCIAL. 2012</w:t>
      </w:r>
      <w:r w:rsidR="00665097" w:rsidRPr="00F8288A">
        <w:rPr>
          <w:rFonts w:cs="Arial"/>
          <w:b/>
          <w:color w:val="1F497D" w:themeColor="text2"/>
          <w:sz w:val="18"/>
          <w:szCs w:val="18"/>
        </w:rPr>
        <w:t>-201</w:t>
      </w:r>
      <w:bookmarkEnd w:id="23"/>
      <w:r w:rsidR="00785D3A">
        <w:rPr>
          <w:rFonts w:cs="Arial"/>
          <w:b/>
          <w:color w:val="1F497D" w:themeColor="text2"/>
          <w:sz w:val="18"/>
          <w:szCs w:val="18"/>
        </w:rPr>
        <w:t>4</w:t>
      </w:r>
      <w:bookmarkEnd w:id="24"/>
      <w:r w:rsidR="00665097">
        <w:rPr>
          <w:rFonts w:cs="Arial"/>
          <w:b/>
          <w:color w:val="1F497D" w:themeColor="text2"/>
          <w:sz w:val="18"/>
          <w:szCs w:val="18"/>
        </w:rPr>
        <w:t xml:space="preserve"> </w:t>
      </w:r>
    </w:p>
    <w:tbl>
      <w:tblPr>
        <w:tblW w:w="9940" w:type="dxa"/>
        <w:jc w:val="center"/>
        <w:tblLook w:val="04A0" w:firstRow="1" w:lastRow="0" w:firstColumn="1" w:lastColumn="0" w:noHBand="0" w:noVBand="1"/>
      </w:tblPr>
      <w:tblGrid>
        <w:gridCol w:w="5828"/>
        <w:gridCol w:w="2056"/>
        <w:gridCol w:w="2056"/>
      </w:tblGrid>
      <w:tr w:rsidR="00861248" w:rsidRPr="00404CA5" w:rsidTr="00D122F5">
        <w:trPr>
          <w:jc w:val="center"/>
        </w:trPr>
        <w:tc>
          <w:tcPr>
            <w:tcW w:w="293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861248" w:rsidRPr="00404CA5" w:rsidRDefault="00861248" w:rsidP="00BB313D">
            <w:pPr>
              <w:widowControl w:val="0"/>
              <w:spacing w:line="240" w:lineRule="exact"/>
              <w:rPr>
                <w:rFonts w:cs="Arial"/>
                <w:b/>
                <w:sz w:val="16"/>
                <w:szCs w:val="16"/>
              </w:rPr>
            </w:pPr>
          </w:p>
        </w:tc>
        <w:tc>
          <w:tcPr>
            <w:tcW w:w="103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861248" w:rsidRPr="00404CA5" w:rsidRDefault="00861248" w:rsidP="00BB313D">
            <w:pPr>
              <w:widowControl w:val="0"/>
              <w:spacing w:line="240" w:lineRule="exact"/>
              <w:jc w:val="center"/>
              <w:rPr>
                <w:rFonts w:cs="Arial"/>
                <w:b/>
                <w:sz w:val="16"/>
                <w:szCs w:val="16"/>
              </w:rPr>
            </w:pPr>
            <w:r w:rsidRPr="00404CA5">
              <w:rPr>
                <w:rFonts w:cs="Arial"/>
                <w:b/>
                <w:sz w:val="16"/>
                <w:szCs w:val="16"/>
              </w:rPr>
              <w:t>2012</w:t>
            </w:r>
          </w:p>
        </w:tc>
        <w:tc>
          <w:tcPr>
            <w:tcW w:w="10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861248" w:rsidRPr="00404CA5" w:rsidRDefault="00861248" w:rsidP="00BB313D">
            <w:pPr>
              <w:widowControl w:val="0"/>
              <w:spacing w:line="240" w:lineRule="exact"/>
              <w:jc w:val="center"/>
              <w:rPr>
                <w:rFonts w:cs="Arial"/>
                <w:b/>
                <w:sz w:val="16"/>
                <w:szCs w:val="16"/>
              </w:rPr>
            </w:pPr>
            <w:r>
              <w:rPr>
                <w:rFonts w:cs="Arial"/>
                <w:b/>
                <w:sz w:val="16"/>
                <w:szCs w:val="16"/>
              </w:rPr>
              <w:t>2014</w:t>
            </w:r>
          </w:p>
        </w:tc>
      </w:tr>
      <w:tr w:rsidR="00861248" w:rsidRPr="00404CA5" w:rsidTr="00D122F5">
        <w:trPr>
          <w:jc w:val="center"/>
        </w:trPr>
        <w:tc>
          <w:tcPr>
            <w:tcW w:w="2931" w:type="pct"/>
            <w:tcBorders>
              <w:top w:val="single" w:sz="4" w:space="0" w:color="BFBFBF" w:themeColor="background1" w:themeShade="BF"/>
              <w:right w:val="single" w:sz="4" w:space="0" w:color="BFBFBF" w:themeColor="background1" w:themeShade="BF"/>
            </w:tcBorders>
          </w:tcPr>
          <w:p w:rsidR="00861248" w:rsidRPr="00404CA5" w:rsidRDefault="00861248" w:rsidP="00BB313D">
            <w:pPr>
              <w:widowControl w:val="0"/>
              <w:spacing w:line="240" w:lineRule="exact"/>
              <w:rPr>
                <w:rFonts w:cs="Arial"/>
                <w:sz w:val="16"/>
                <w:szCs w:val="16"/>
              </w:rPr>
            </w:pPr>
            <w:r w:rsidRPr="00404CA5">
              <w:rPr>
                <w:rFonts w:cs="Arial"/>
                <w:sz w:val="16"/>
                <w:szCs w:val="16"/>
              </w:rPr>
              <w:t>Nº Establecimientos/Empresa</w:t>
            </w:r>
          </w:p>
        </w:tc>
        <w:tc>
          <w:tcPr>
            <w:tcW w:w="1034" w:type="pct"/>
            <w:tcBorders>
              <w:top w:val="single" w:sz="4" w:space="0" w:color="BFBFBF" w:themeColor="background1" w:themeShade="BF"/>
              <w:right w:val="single" w:sz="4" w:space="0" w:color="BFBFBF" w:themeColor="background1" w:themeShade="BF"/>
            </w:tcBorders>
          </w:tcPr>
          <w:p w:rsidR="00861248" w:rsidRPr="00404CA5" w:rsidRDefault="00861248" w:rsidP="00BB313D">
            <w:pPr>
              <w:widowControl w:val="0"/>
              <w:spacing w:line="240" w:lineRule="exact"/>
              <w:ind w:right="284"/>
              <w:jc w:val="right"/>
              <w:rPr>
                <w:rFonts w:cs="Arial"/>
                <w:sz w:val="16"/>
                <w:szCs w:val="16"/>
              </w:rPr>
            </w:pPr>
            <w:r w:rsidRPr="00404CA5">
              <w:rPr>
                <w:rFonts w:cs="Arial"/>
                <w:sz w:val="16"/>
                <w:szCs w:val="16"/>
              </w:rPr>
              <w:t>1,31</w:t>
            </w:r>
          </w:p>
        </w:tc>
        <w:tc>
          <w:tcPr>
            <w:tcW w:w="1034" w:type="pct"/>
            <w:tcBorders>
              <w:top w:val="single" w:sz="4" w:space="0" w:color="BFBFBF" w:themeColor="background1" w:themeShade="BF"/>
              <w:left w:val="single" w:sz="4" w:space="0" w:color="BFBFBF" w:themeColor="background1" w:themeShade="BF"/>
            </w:tcBorders>
          </w:tcPr>
          <w:p w:rsidR="00861248" w:rsidRPr="00404CA5" w:rsidRDefault="00785D3A" w:rsidP="00BB313D">
            <w:pPr>
              <w:widowControl w:val="0"/>
              <w:spacing w:line="240" w:lineRule="exact"/>
              <w:ind w:right="284"/>
              <w:jc w:val="right"/>
              <w:rPr>
                <w:rFonts w:cs="Arial"/>
                <w:sz w:val="16"/>
                <w:szCs w:val="16"/>
              </w:rPr>
            </w:pPr>
            <w:r>
              <w:rPr>
                <w:rFonts w:cs="Arial"/>
                <w:sz w:val="16"/>
                <w:szCs w:val="16"/>
              </w:rPr>
              <w:t>1,31</w:t>
            </w:r>
          </w:p>
        </w:tc>
      </w:tr>
      <w:tr w:rsidR="00861248" w:rsidRPr="00404CA5" w:rsidTr="00D122F5">
        <w:trPr>
          <w:trHeight w:val="185"/>
          <w:jc w:val="center"/>
        </w:trPr>
        <w:tc>
          <w:tcPr>
            <w:tcW w:w="2931" w:type="pct"/>
            <w:tcBorders>
              <w:right w:val="single" w:sz="4" w:space="0" w:color="BFBFBF" w:themeColor="background1" w:themeShade="BF"/>
            </w:tcBorders>
          </w:tcPr>
          <w:p w:rsidR="00861248" w:rsidRPr="00404CA5" w:rsidRDefault="00861248" w:rsidP="00BB313D">
            <w:pPr>
              <w:widowControl w:val="0"/>
              <w:spacing w:line="240" w:lineRule="exact"/>
              <w:rPr>
                <w:rFonts w:cs="Arial"/>
                <w:sz w:val="16"/>
                <w:szCs w:val="16"/>
              </w:rPr>
            </w:pPr>
            <w:r w:rsidRPr="00404CA5">
              <w:rPr>
                <w:rFonts w:cs="Arial"/>
                <w:sz w:val="16"/>
                <w:szCs w:val="16"/>
              </w:rPr>
              <w:t>Tamaño Medio de Empresa (Empleos)</w:t>
            </w:r>
          </w:p>
        </w:tc>
        <w:tc>
          <w:tcPr>
            <w:tcW w:w="1034" w:type="pct"/>
            <w:tcBorders>
              <w:right w:val="single" w:sz="4" w:space="0" w:color="BFBFBF" w:themeColor="background1" w:themeShade="BF"/>
            </w:tcBorders>
          </w:tcPr>
          <w:p w:rsidR="00861248" w:rsidRPr="00404CA5" w:rsidRDefault="00861248" w:rsidP="00BB313D">
            <w:pPr>
              <w:widowControl w:val="0"/>
              <w:spacing w:line="240" w:lineRule="exact"/>
              <w:ind w:right="284"/>
              <w:jc w:val="right"/>
              <w:rPr>
                <w:rFonts w:cs="Arial"/>
                <w:sz w:val="16"/>
                <w:szCs w:val="16"/>
              </w:rPr>
            </w:pPr>
            <w:r w:rsidRPr="00404CA5">
              <w:rPr>
                <w:rFonts w:cs="Arial"/>
                <w:sz w:val="16"/>
                <w:szCs w:val="16"/>
              </w:rPr>
              <w:t>23,8</w:t>
            </w:r>
          </w:p>
        </w:tc>
        <w:tc>
          <w:tcPr>
            <w:tcW w:w="1034" w:type="pct"/>
            <w:tcBorders>
              <w:left w:val="single" w:sz="4" w:space="0" w:color="BFBFBF" w:themeColor="background1" w:themeShade="BF"/>
            </w:tcBorders>
          </w:tcPr>
          <w:p w:rsidR="00861248" w:rsidRPr="00404CA5" w:rsidRDefault="00FB0667" w:rsidP="00BB313D">
            <w:pPr>
              <w:widowControl w:val="0"/>
              <w:spacing w:line="240" w:lineRule="exact"/>
              <w:ind w:right="284"/>
              <w:jc w:val="right"/>
              <w:rPr>
                <w:rFonts w:cs="Arial"/>
                <w:sz w:val="16"/>
                <w:szCs w:val="16"/>
              </w:rPr>
            </w:pPr>
            <w:r>
              <w:rPr>
                <w:rFonts w:cs="Arial"/>
                <w:sz w:val="16"/>
                <w:szCs w:val="16"/>
              </w:rPr>
              <w:t>22,9</w:t>
            </w:r>
          </w:p>
        </w:tc>
      </w:tr>
      <w:tr w:rsidR="00861248" w:rsidRPr="00404CA5" w:rsidTr="00D122F5">
        <w:trPr>
          <w:jc w:val="center"/>
        </w:trPr>
        <w:tc>
          <w:tcPr>
            <w:tcW w:w="2931" w:type="pct"/>
            <w:tcBorders>
              <w:bottom w:val="single" w:sz="4" w:space="0" w:color="BFBFBF" w:themeColor="background1" w:themeShade="BF"/>
              <w:right w:val="single" w:sz="4" w:space="0" w:color="BFBFBF" w:themeColor="background1" w:themeShade="BF"/>
            </w:tcBorders>
          </w:tcPr>
          <w:p w:rsidR="00861248" w:rsidRPr="00404CA5" w:rsidRDefault="00861248" w:rsidP="00BB313D">
            <w:pPr>
              <w:widowControl w:val="0"/>
              <w:spacing w:line="240" w:lineRule="exact"/>
              <w:rPr>
                <w:rFonts w:cs="Arial"/>
                <w:sz w:val="16"/>
                <w:szCs w:val="16"/>
              </w:rPr>
            </w:pPr>
            <w:r w:rsidRPr="00404CA5">
              <w:rPr>
                <w:rFonts w:cs="Arial"/>
                <w:sz w:val="16"/>
                <w:szCs w:val="16"/>
              </w:rPr>
              <w:t>Tamaño Medio de Establecimiento (Empleos)</w:t>
            </w:r>
          </w:p>
        </w:tc>
        <w:tc>
          <w:tcPr>
            <w:tcW w:w="1034" w:type="pct"/>
            <w:tcBorders>
              <w:bottom w:val="single" w:sz="4" w:space="0" w:color="BFBFBF" w:themeColor="background1" w:themeShade="BF"/>
              <w:right w:val="single" w:sz="4" w:space="0" w:color="BFBFBF" w:themeColor="background1" w:themeShade="BF"/>
            </w:tcBorders>
          </w:tcPr>
          <w:p w:rsidR="00861248" w:rsidRPr="00404CA5" w:rsidRDefault="00861248" w:rsidP="00BB313D">
            <w:pPr>
              <w:widowControl w:val="0"/>
              <w:spacing w:line="240" w:lineRule="exact"/>
              <w:ind w:right="284"/>
              <w:jc w:val="right"/>
              <w:rPr>
                <w:rFonts w:cs="Arial"/>
                <w:sz w:val="16"/>
                <w:szCs w:val="16"/>
              </w:rPr>
            </w:pPr>
            <w:r w:rsidRPr="00404CA5">
              <w:rPr>
                <w:rFonts w:cs="Arial"/>
                <w:sz w:val="16"/>
                <w:szCs w:val="16"/>
              </w:rPr>
              <w:t>18,1</w:t>
            </w:r>
          </w:p>
        </w:tc>
        <w:tc>
          <w:tcPr>
            <w:tcW w:w="1034" w:type="pct"/>
            <w:tcBorders>
              <w:left w:val="single" w:sz="4" w:space="0" w:color="BFBFBF" w:themeColor="background1" w:themeShade="BF"/>
              <w:bottom w:val="single" w:sz="4" w:space="0" w:color="BFBFBF" w:themeColor="background1" w:themeShade="BF"/>
            </w:tcBorders>
          </w:tcPr>
          <w:p w:rsidR="00861248" w:rsidRPr="00404CA5" w:rsidRDefault="00FB0667" w:rsidP="00BB313D">
            <w:pPr>
              <w:widowControl w:val="0"/>
              <w:spacing w:line="240" w:lineRule="exact"/>
              <w:ind w:right="284"/>
              <w:jc w:val="right"/>
              <w:rPr>
                <w:rFonts w:cs="Arial"/>
                <w:sz w:val="16"/>
                <w:szCs w:val="16"/>
              </w:rPr>
            </w:pPr>
            <w:r>
              <w:rPr>
                <w:rFonts w:cs="Arial"/>
                <w:sz w:val="16"/>
                <w:szCs w:val="16"/>
              </w:rPr>
              <w:t>17,5</w:t>
            </w:r>
          </w:p>
        </w:tc>
      </w:tr>
    </w:tbl>
    <w:p w:rsidR="005E0B67" w:rsidRDefault="005E0B67" w:rsidP="00BB313D">
      <w:pPr>
        <w:widowControl w:val="0"/>
      </w:pPr>
    </w:p>
    <w:p w:rsidR="00E70663" w:rsidRDefault="00E70663" w:rsidP="00BB313D">
      <w:pPr>
        <w:widowControl w:val="0"/>
      </w:pPr>
    </w:p>
    <w:p w:rsidR="00665097" w:rsidRPr="00F8288A" w:rsidRDefault="009F1045" w:rsidP="00BB313D">
      <w:pPr>
        <w:widowControl w:val="0"/>
        <w:spacing w:line="240" w:lineRule="auto"/>
        <w:jc w:val="center"/>
        <w:rPr>
          <w:rFonts w:cs="Arial"/>
          <w:b/>
          <w:noProof/>
          <w:color w:val="1F497D" w:themeColor="text2"/>
          <w:sz w:val="18"/>
          <w:szCs w:val="18"/>
        </w:rPr>
      </w:pPr>
      <w:bookmarkStart w:id="25" w:name="_Toc391999576"/>
      <w:bookmarkStart w:id="26" w:name="_Toc450119459"/>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F8288A">
        <w:rPr>
          <w:rFonts w:cs="Arial"/>
          <w:b/>
          <w:noProof/>
          <w:color w:val="1F497D" w:themeColor="text2"/>
          <w:sz w:val="18"/>
          <w:szCs w:val="18"/>
        </w:rPr>
        <w:t>DIMENSION DE LAS EMPRESAS DE LA ECONOMIA SOCIAL (</w:t>
      </w:r>
      <w:r w:rsidR="007D763B">
        <w:rPr>
          <w:rFonts w:cs="Arial"/>
          <w:b/>
          <w:noProof/>
          <w:color w:val="1F497D" w:themeColor="text2"/>
          <w:sz w:val="18"/>
          <w:szCs w:val="18"/>
        </w:rPr>
        <w:t>cifras absolutas y % verticales</w:t>
      </w:r>
      <w:r w:rsidR="00665097" w:rsidRPr="00F8288A">
        <w:rPr>
          <w:rFonts w:cs="Arial"/>
          <w:b/>
          <w:noProof/>
          <w:color w:val="1F497D" w:themeColor="text2"/>
          <w:sz w:val="18"/>
          <w:szCs w:val="18"/>
        </w:rPr>
        <w:t>). 201</w:t>
      </w:r>
      <w:bookmarkEnd w:id="25"/>
      <w:r w:rsidR="009413FC">
        <w:rPr>
          <w:rFonts w:cs="Arial"/>
          <w:b/>
          <w:noProof/>
          <w:color w:val="1F497D" w:themeColor="text2"/>
          <w:sz w:val="18"/>
          <w:szCs w:val="18"/>
        </w:rPr>
        <w:t>4</w:t>
      </w:r>
      <w:bookmarkEnd w:id="26"/>
    </w:p>
    <w:tbl>
      <w:tblPr>
        <w:tblW w:w="9940" w:type="dxa"/>
        <w:jc w:val="center"/>
        <w:tblLook w:val="04A0" w:firstRow="1" w:lastRow="0" w:firstColumn="1" w:lastColumn="0" w:noHBand="0" w:noVBand="1"/>
      </w:tblPr>
      <w:tblGrid>
        <w:gridCol w:w="2341"/>
        <w:gridCol w:w="1521"/>
        <w:gridCol w:w="1521"/>
        <w:gridCol w:w="1519"/>
        <w:gridCol w:w="1519"/>
        <w:gridCol w:w="1519"/>
      </w:tblGrid>
      <w:tr w:rsidR="00665097" w:rsidRPr="00F8288A" w:rsidTr="00D122F5">
        <w:trPr>
          <w:jc w:val="center"/>
        </w:trPr>
        <w:tc>
          <w:tcPr>
            <w:tcW w:w="117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8288A" w:rsidRDefault="00665097" w:rsidP="00BB313D">
            <w:pPr>
              <w:widowControl w:val="0"/>
              <w:spacing w:line="240" w:lineRule="exact"/>
              <w:jc w:val="center"/>
              <w:rPr>
                <w:rFonts w:cs="Arial"/>
                <w:b/>
                <w:sz w:val="16"/>
                <w:szCs w:val="16"/>
              </w:rPr>
            </w:pPr>
          </w:p>
        </w:tc>
        <w:tc>
          <w:tcPr>
            <w:tcW w:w="7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0921D4" w:rsidRDefault="00665097" w:rsidP="00BB313D">
            <w:pPr>
              <w:widowControl w:val="0"/>
              <w:spacing w:line="240" w:lineRule="exact"/>
              <w:jc w:val="center"/>
              <w:rPr>
                <w:rFonts w:cs="Arial"/>
                <w:b/>
                <w:sz w:val="16"/>
                <w:szCs w:val="16"/>
              </w:rPr>
            </w:pPr>
            <w:r w:rsidRPr="000921D4">
              <w:rPr>
                <w:rFonts w:cs="Arial"/>
                <w:b/>
                <w:sz w:val="16"/>
                <w:szCs w:val="16"/>
              </w:rPr>
              <w:t>Nº de empresas</w:t>
            </w:r>
          </w:p>
        </w:tc>
        <w:tc>
          <w:tcPr>
            <w:tcW w:w="7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0921D4" w:rsidRDefault="00DF1122" w:rsidP="00BB313D">
            <w:pPr>
              <w:widowControl w:val="0"/>
              <w:spacing w:line="240" w:lineRule="exact"/>
              <w:jc w:val="center"/>
              <w:rPr>
                <w:rFonts w:cs="Arial"/>
                <w:b/>
                <w:sz w:val="16"/>
                <w:szCs w:val="16"/>
              </w:rPr>
            </w:pPr>
            <w:r w:rsidRPr="000921D4">
              <w:rPr>
                <w:rFonts w:cs="Arial"/>
                <w:b/>
                <w:bCs/>
                <w:sz w:val="16"/>
                <w:szCs w:val="16"/>
              </w:rPr>
              <w:t>% ver.</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0921D4" w:rsidRDefault="00665097" w:rsidP="00BB313D">
            <w:pPr>
              <w:widowControl w:val="0"/>
              <w:spacing w:line="240" w:lineRule="exact"/>
              <w:jc w:val="center"/>
              <w:rPr>
                <w:rFonts w:cs="Arial"/>
                <w:b/>
                <w:sz w:val="16"/>
                <w:szCs w:val="16"/>
              </w:rPr>
            </w:pPr>
            <w:r w:rsidRPr="000921D4">
              <w:rPr>
                <w:rFonts w:cs="Arial"/>
                <w:b/>
                <w:sz w:val="16"/>
                <w:szCs w:val="16"/>
              </w:rPr>
              <w:t>Empleos</w:t>
            </w:r>
          </w:p>
        </w:tc>
        <w:tc>
          <w:tcPr>
            <w:tcW w:w="7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0921D4" w:rsidRDefault="00DF1122" w:rsidP="00BB313D">
            <w:pPr>
              <w:widowControl w:val="0"/>
              <w:spacing w:line="240" w:lineRule="exact"/>
              <w:jc w:val="center"/>
              <w:rPr>
                <w:rFonts w:cs="Arial"/>
                <w:b/>
                <w:sz w:val="16"/>
                <w:szCs w:val="16"/>
              </w:rPr>
            </w:pPr>
            <w:r w:rsidRPr="000921D4">
              <w:rPr>
                <w:rFonts w:cs="Arial"/>
                <w:b/>
                <w:bCs/>
                <w:sz w:val="16"/>
                <w:szCs w:val="16"/>
              </w:rPr>
              <w:t>% ver.</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0921D4" w:rsidRDefault="00665097" w:rsidP="00BB313D">
            <w:pPr>
              <w:widowControl w:val="0"/>
              <w:spacing w:line="240" w:lineRule="exact"/>
              <w:jc w:val="center"/>
              <w:rPr>
                <w:rFonts w:cs="Arial"/>
                <w:b/>
                <w:sz w:val="16"/>
                <w:szCs w:val="16"/>
              </w:rPr>
            </w:pPr>
            <w:r w:rsidRPr="000921D4">
              <w:rPr>
                <w:rFonts w:cs="Arial"/>
                <w:b/>
                <w:sz w:val="16"/>
                <w:szCs w:val="16"/>
              </w:rPr>
              <w:t>Tamaño medio</w:t>
            </w:r>
          </w:p>
        </w:tc>
      </w:tr>
      <w:tr w:rsidR="00FA7019" w:rsidRPr="00F8288A" w:rsidTr="00D122F5">
        <w:trPr>
          <w:jc w:val="center"/>
        </w:trPr>
        <w:tc>
          <w:tcPr>
            <w:tcW w:w="1177" w:type="pct"/>
            <w:tcBorders>
              <w:top w:val="single" w:sz="4" w:space="0" w:color="BFBFBF" w:themeColor="background1" w:themeShade="BF"/>
              <w:right w:val="single" w:sz="4" w:space="0" w:color="BFBFBF" w:themeColor="background1" w:themeShade="BF"/>
            </w:tcBorders>
            <w:hideMark/>
          </w:tcPr>
          <w:p w:rsidR="00FA7019" w:rsidRPr="00F8288A" w:rsidRDefault="00FA7019" w:rsidP="00BB313D">
            <w:pPr>
              <w:widowControl w:val="0"/>
              <w:spacing w:line="240" w:lineRule="exact"/>
              <w:rPr>
                <w:rFonts w:cs="Arial"/>
                <w:sz w:val="16"/>
                <w:szCs w:val="16"/>
              </w:rPr>
            </w:pPr>
            <w:r w:rsidRPr="00F8288A">
              <w:rPr>
                <w:rFonts w:cs="Arial"/>
                <w:sz w:val="16"/>
                <w:szCs w:val="16"/>
              </w:rPr>
              <w:t>Hasta 5 empleos</w:t>
            </w:r>
          </w:p>
        </w:tc>
        <w:tc>
          <w:tcPr>
            <w:tcW w:w="765" w:type="pct"/>
            <w:tcBorders>
              <w:top w:val="single" w:sz="4" w:space="0" w:color="BFBFBF" w:themeColor="background1" w:themeShade="BF"/>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1.509</w:t>
            </w:r>
          </w:p>
        </w:tc>
        <w:tc>
          <w:tcPr>
            <w:tcW w:w="765" w:type="pct"/>
            <w:tcBorders>
              <w:top w:val="single" w:sz="4" w:space="0" w:color="BFBFBF" w:themeColor="background1" w:themeShade="BF"/>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63,4</w:t>
            </w:r>
          </w:p>
        </w:tc>
        <w:tc>
          <w:tcPr>
            <w:tcW w:w="764" w:type="pct"/>
            <w:tcBorders>
              <w:top w:val="single" w:sz="4" w:space="0" w:color="BFBFBF" w:themeColor="background1" w:themeShade="BF"/>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4.208</w:t>
            </w:r>
          </w:p>
        </w:tc>
        <w:tc>
          <w:tcPr>
            <w:tcW w:w="764" w:type="pct"/>
            <w:tcBorders>
              <w:top w:val="single" w:sz="4" w:space="0" w:color="BFBFBF" w:themeColor="background1" w:themeShade="BF"/>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7,7</w:t>
            </w:r>
          </w:p>
        </w:tc>
        <w:tc>
          <w:tcPr>
            <w:tcW w:w="764" w:type="pct"/>
            <w:tcBorders>
              <w:top w:val="single" w:sz="4" w:space="0" w:color="BFBFBF" w:themeColor="background1" w:themeShade="BF"/>
              <w:left w:val="single" w:sz="4" w:space="0" w:color="BFBFBF" w:themeColor="background1" w:themeShade="BF"/>
            </w:tcBorders>
            <w:hideMark/>
          </w:tcPr>
          <w:p w:rsidR="00FA7019" w:rsidRPr="00FA7019" w:rsidRDefault="00FA7019" w:rsidP="00BB313D">
            <w:pPr>
              <w:widowControl w:val="0"/>
              <w:spacing w:line="240" w:lineRule="exact"/>
              <w:ind w:left="227" w:right="170" w:hanging="227"/>
              <w:jc w:val="right"/>
              <w:rPr>
                <w:rFonts w:eastAsia="Times New Roman" w:cs="Arial"/>
                <w:sz w:val="16"/>
                <w:szCs w:val="16"/>
                <w:lang w:eastAsia="es-ES"/>
              </w:rPr>
            </w:pPr>
            <w:r w:rsidRPr="00FA7019">
              <w:rPr>
                <w:rFonts w:eastAsia="Times New Roman" w:cs="Arial"/>
                <w:sz w:val="16"/>
                <w:szCs w:val="16"/>
                <w:lang w:eastAsia="es-ES"/>
              </w:rPr>
              <w:t>2,8</w:t>
            </w:r>
          </w:p>
        </w:tc>
      </w:tr>
      <w:tr w:rsidR="00FA7019" w:rsidRPr="00F8288A" w:rsidTr="00D122F5">
        <w:trPr>
          <w:jc w:val="center"/>
        </w:trPr>
        <w:tc>
          <w:tcPr>
            <w:tcW w:w="1177" w:type="pct"/>
            <w:tcBorders>
              <w:right w:val="single" w:sz="4" w:space="0" w:color="BFBFBF" w:themeColor="background1" w:themeShade="BF"/>
            </w:tcBorders>
            <w:hideMark/>
          </w:tcPr>
          <w:p w:rsidR="00FA7019" w:rsidRPr="00F8288A" w:rsidRDefault="00FA7019" w:rsidP="00BB313D">
            <w:pPr>
              <w:widowControl w:val="0"/>
              <w:spacing w:line="240" w:lineRule="exact"/>
              <w:rPr>
                <w:rFonts w:cs="Arial"/>
                <w:sz w:val="16"/>
                <w:szCs w:val="16"/>
              </w:rPr>
            </w:pPr>
            <w:r w:rsidRPr="00F8288A">
              <w:rPr>
                <w:rFonts w:cs="Arial"/>
                <w:sz w:val="16"/>
                <w:szCs w:val="16"/>
              </w:rPr>
              <w:t>De 6 a 15</w:t>
            </w:r>
          </w:p>
        </w:tc>
        <w:tc>
          <w:tcPr>
            <w:tcW w:w="765"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489</w:t>
            </w:r>
          </w:p>
        </w:tc>
        <w:tc>
          <w:tcPr>
            <w:tcW w:w="765"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20,5</w:t>
            </w:r>
          </w:p>
        </w:tc>
        <w:tc>
          <w:tcPr>
            <w:tcW w:w="764"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4.421</w:t>
            </w:r>
          </w:p>
        </w:tc>
        <w:tc>
          <w:tcPr>
            <w:tcW w:w="764"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8,1</w:t>
            </w:r>
          </w:p>
        </w:tc>
        <w:tc>
          <w:tcPr>
            <w:tcW w:w="764" w:type="pct"/>
            <w:tcBorders>
              <w:left w:val="single" w:sz="4" w:space="0" w:color="BFBFBF" w:themeColor="background1" w:themeShade="BF"/>
            </w:tcBorders>
            <w:hideMark/>
          </w:tcPr>
          <w:p w:rsidR="00FA7019" w:rsidRPr="00FA7019" w:rsidRDefault="00FA7019" w:rsidP="00BB313D">
            <w:pPr>
              <w:widowControl w:val="0"/>
              <w:spacing w:line="240" w:lineRule="exact"/>
              <w:ind w:left="227" w:right="170" w:hanging="227"/>
              <w:jc w:val="right"/>
              <w:rPr>
                <w:rFonts w:eastAsia="Times New Roman" w:cs="Arial"/>
                <w:sz w:val="16"/>
                <w:szCs w:val="16"/>
                <w:lang w:eastAsia="es-ES"/>
              </w:rPr>
            </w:pPr>
            <w:r w:rsidRPr="00FA7019">
              <w:rPr>
                <w:rFonts w:eastAsia="Times New Roman" w:cs="Arial"/>
                <w:sz w:val="16"/>
                <w:szCs w:val="16"/>
                <w:lang w:eastAsia="es-ES"/>
              </w:rPr>
              <w:t>9,0</w:t>
            </w:r>
          </w:p>
        </w:tc>
      </w:tr>
      <w:tr w:rsidR="00FA7019" w:rsidRPr="00F8288A" w:rsidTr="00D122F5">
        <w:trPr>
          <w:jc w:val="center"/>
        </w:trPr>
        <w:tc>
          <w:tcPr>
            <w:tcW w:w="1177" w:type="pct"/>
            <w:tcBorders>
              <w:right w:val="single" w:sz="4" w:space="0" w:color="BFBFBF" w:themeColor="background1" w:themeShade="BF"/>
            </w:tcBorders>
            <w:hideMark/>
          </w:tcPr>
          <w:p w:rsidR="00FA7019" w:rsidRPr="00F8288A" w:rsidRDefault="00FA7019" w:rsidP="00BB313D">
            <w:pPr>
              <w:widowControl w:val="0"/>
              <w:spacing w:line="240" w:lineRule="exact"/>
              <w:rPr>
                <w:rFonts w:cs="Arial"/>
                <w:sz w:val="16"/>
                <w:szCs w:val="16"/>
              </w:rPr>
            </w:pPr>
            <w:r w:rsidRPr="00F8288A">
              <w:rPr>
                <w:rFonts w:cs="Arial"/>
                <w:sz w:val="16"/>
                <w:szCs w:val="16"/>
              </w:rPr>
              <w:t>De 16 a 50</w:t>
            </w:r>
          </w:p>
        </w:tc>
        <w:tc>
          <w:tcPr>
            <w:tcW w:w="765"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216</w:t>
            </w:r>
          </w:p>
        </w:tc>
        <w:tc>
          <w:tcPr>
            <w:tcW w:w="765"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9,1</w:t>
            </w:r>
          </w:p>
        </w:tc>
        <w:tc>
          <w:tcPr>
            <w:tcW w:w="764"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5.929</w:t>
            </w:r>
          </w:p>
        </w:tc>
        <w:tc>
          <w:tcPr>
            <w:tcW w:w="764"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10,9</w:t>
            </w:r>
          </w:p>
        </w:tc>
        <w:tc>
          <w:tcPr>
            <w:tcW w:w="764" w:type="pct"/>
            <w:tcBorders>
              <w:left w:val="single" w:sz="4" w:space="0" w:color="BFBFBF" w:themeColor="background1" w:themeShade="BF"/>
            </w:tcBorders>
            <w:hideMark/>
          </w:tcPr>
          <w:p w:rsidR="00FA7019" w:rsidRPr="00FA7019" w:rsidRDefault="00FA7019" w:rsidP="00BB313D">
            <w:pPr>
              <w:widowControl w:val="0"/>
              <w:spacing w:line="240" w:lineRule="exact"/>
              <w:ind w:left="227" w:right="170" w:hanging="227"/>
              <w:jc w:val="right"/>
              <w:rPr>
                <w:rFonts w:eastAsia="Times New Roman" w:cs="Arial"/>
                <w:sz w:val="16"/>
                <w:szCs w:val="16"/>
                <w:lang w:eastAsia="es-ES"/>
              </w:rPr>
            </w:pPr>
            <w:r w:rsidRPr="00FA7019">
              <w:rPr>
                <w:rFonts w:eastAsia="Times New Roman" w:cs="Arial"/>
                <w:sz w:val="16"/>
                <w:szCs w:val="16"/>
                <w:lang w:eastAsia="es-ES"/>
              </w:rPr>
              <w:t>27,4</w:t>
            </w:r>
          </w:p>
        </w:tc>
      </w:tr>
      <w:tr w:rsidR="00FA7019" w:rsidRPr="00F8288A" w:rsidTr="00D122F5">
        <w:trPr>
          <w:jc w:val="center"/>
        </w:trPr>
        <w:tc>
          <w:tcPr>
            <w:tcW w:w="1177" w:type="pct"/>
            <w:tcBorders>
              <w:right w:val="single" w:sz="4" w:space="0" w:color="BFBFBF" w:themeColor="background1" w:themeShade="BF"/>
            </w:tcBorders>
            <w:hideMark/>
          </w:tcPr>
          <w:p w:rsidR="00FA7019" w:rsidRPr="00F8288A" w:rsidRDefault="00FA7019" w:rsidP="00BB313D">
            <w:pPr>
              <w:widowControl w:val="0"/>
              <w:spacing w:line="240" w:lineRule="exact"/>
              <w:rPr>
                <w:rFonts w:cs="Arial"/>
                <w:sz w:val="16"/>
                <w:szCs w:val="16"/>
              </w:rPr>
            </w:pPr>
            <w:r w:rsidRPr="00F8288A">
              <w:rPr>
                <w:rFonts w:cs="Arial"/>
                <w:sz w:val="16"/>
                <w:szCs w:val="16"/>
              </w:rPr>
              <w:t>De 51 a 100</w:t>
            </w:r>
          </w:p>
        </w:tc>
        <w:tc>
          <w:tcPr>
            <w:tcW w:w="765"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83</w:t>
            </w:r>
          </w:p>
        </w:tc>
        <w:tc>
          <w:tcPr>
            <w:tcW w:w="765"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3,5</w:t>
            </w:r>
          </w:p>
        </w:tc>
        <w:tc>
          <w:tcPr>
            <w:tcW w:w="764"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5.844</w:t>
            </w:r>
          </w:p>
        </w:tc>
        <w:tc>
          <w:tcPr>
            <w:tcW w:w="764"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10,7</w:t>
            </w:r>
          </w:p>
        </w:tc>
        <w:tc>
          <w:tcPr>
            <w:tcW w:w="764" w:type="pct"/>
            <w:tcBorders>
              <w:left w:val="single" w:sz="4" w:space="0" w:color="BFBFBF" w:themeColor="background1" w:themeShade="BF"/>
            </w:tcBorders>
            <w:hideMark/>
          </w:tcPr>
          <w:p w:rsidR="00FA7019" w:rsidRPr="00FA7019" w:rsidRDefault="00FA7019" w:rsidP="00BB313D">
            <w:pPr>
              <w:widowControl w:val="0"/>
              <w:spacing w:line="240" w:lineRule="exact"/>
              <w:ind w:left="227" w:right="170" w:hanging="227"/>
              <w:jc w:val="right"/>
              <w:rPr>
                <w:rFonts w:eastAsia="Times New Roman" w:cs="Arial"/>
                <w:sz w:val="16"/>
                <w:szCs w:val="16"/>
                <w:lang w:eastAsia="es-ES"/>
              </w:rPr>
            </w:pPr>
            <w:r w:rsidRPr="00FA7019">
              <w:rPr>
                <w:rFonts w:eastAsia="Times New Roman" w:cs="Arial"/>
                <w:sz w:val="16"/>
                <w:szCs w:val="16"/>
                <w:lang w:eastAsia="es-ES"/>
              </w:rPr>
              <w:t>70,4</w:t>
            </w:r>
          </w:p>
        </w:tc>
      </w:tr>
      <w:tr w:rsidR="00FA7019" w:rsidRPr="00F8288A" w:rsidTr="00D122F5">
        <w:trPr>
          <w:jc w:val="center"/>
        </w:trPr>
        <w:tc>
          <w:tcPr>
            <w:tcW w:w="1177" w:type="pct"/>
            <w:tcBorders>
              <w:right w:val="single" w:sz="4" w:space="0" w:color="BFBFBF" w:themeColor="background1" w:themeShade="BF"/>
            </w:tcBorders>
            <w:hideMark/>
          </w:tcPr>
          <w:p w:rsidR="00FA7019" w:rsidRPr="00F8288A" w:rsidRDefault="00FA7019" w:rsidP="00BB313D">
            <w:pPr>
              <w:widowControl w:val="0"/>
              <w:spacing w:line="240" w:lineRule="exact"/>
              <w:rPr>
                <w:rFonts w:cs="Arial"/>
                <w:sz w:val="16"/>
                <w:szCs w:val="16"/>
              </w:rPr>
            </w:pPr>
            <w:r w:rsidRPr="00F8288A">
              <w:rPr>
                <w:rFonts w:cs="Arial"/>
                <w:sz w:val="16"/>
                <w:szCs w:val="16"/>
              </w:rPr>
              <w:t>De 101 a 200</w:t>
            </w:r>
          </w:p>
        </w:tc>
        <w:tc>
          <w:tcPr>
            <w:tcW w:w="765"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46</w:t>
            </w:r>
          </w:p>
        </w:tc>
        <w:tc>
          <w:tcPr>
            <w:tcW w:w="765"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1,9</w:t>
            </w:r>
          </w:p>
        </w:tc>
        <w:tc>
          <w:tcPr>
            <w:tcW w:w="764"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6.227</w:t>
            </w:r>
          </w:p>
        </w:tc>
        <w:tc>
          <w:tcPr>
            <w:tcW w:w="764"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11,4</w:t>
            </w:r>
          </w:p>
        </w:tc>
        <w:tc>
          <w:tcPr>
            <w:tcW w:w="764" w:type="pct"/>
            <w:tcBorders>
              <w:left w:val="single" w:sz="4" w:space="0" w:color="BFBFBF" w:themeColor="background1" w:themeShade="BF"/>
            </w:tcBorders>
            <w:hideMark/>
          </w:tcPr>
          <w:p w:rsidR="00FA7019" w:rsidRPr="00FA7019" w:rsidRDefault="00FA7019" w:rsidP="00BB313D">
            <w:pPr>
              <w:widowControl w:val="0"/>
              <w:spacing w:line="240" w:lineRule="exact"/>
              <w:ind w:left="227" w:right="170" w:hanging="227"/>
              <w:jc w:val="right"/>
              <w:rPr>
                <w:rFonts w:eastAsia="Times New Roman" w:cs="Arial"/>
                <w:sz w:val="16"/>
                <w:szCs w:val="16"/>
                <w:lang w:eastAsia="es-ES"/>
              </w:rPr>
            </w:pPr>
            <w:r w:rsidRPr="00FA7019">
              <w:rPr>
                <w:rFonts w:eastAsia="Times New Roman" w:cs="Arial"/>
                <w:sz w:val="16"/>
                <w:szCs w:val="16"/>
                <w:lang w:eastAsia="es-ES"/>
              </w:rPr>
              <w:t>135,4</w:t>
            </w:r>
          </w:p>
        </w:tc>
      </w:tr>
      <w:tr w:rsidR="00FA7019" w:rsidRPr="00F8288A" w:rsidTr="00D122F5">
        <w:trPr>
          <w:jc w:val="center"/>
        </w:trPr>
        <w:tc>
          <w:tcPr>
            <w:tcW w:w="1177" w:type="pct"/>
            <w:tcBorders>
              <w:right w:val="single" w:sz="4" w:space="0" w:color="BFBFBF" w:themeColor="background1" w:themeShade="BF"/>
            </w:tcBorders>
            <w:hideMark/>
          </w:tcPr>
          <w:p w:rsidR="00FA7019" w:rsidRPr="00F8288A" w:rsidRDefault="00FA7019" w:rsidP="00BB313D">
            <w:pPr>
              <w:widowControl w:val="0"/>
              <w:spacing w:line="240" w:lineRule="exact"/>
              <w:rPr>
                <w:rFonts w:cs="Arial"/>
                <w:sz w:val="16"/>
                <w:szCs w:val="16"/>
              </w:rPr>
            </w:pPr>
            <w:r w:rsidRPr="00F8288A">
              <w:rPr>
                <w:rFonts w:cs="Arial"/>
                <w:sz w:val="16"/>
                <w:szCs w:val="16"/>
              </w:rPr>
              <w:t>De 201 a 500</w:t>
            </w:r>
          </w:p>
        </w:tc>
        <w:tc>
          <w:tcPr>
            <w:tcW w:w="765"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24</w:t>
            </w:r>
          </w:p>
        </w:tc>
        <w:tc>
          <w:tcPr>
            <w:tcW w:w="765"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1,0</w:t>
            </w:r>
          </w:p>
        </w:tc>
        <w:tc>
          <w:tcPr>
            <w:tcW w:w="764" w:type="pct"/>
            <w:tcBorders>
              <w:lef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7.345</w:t>
            </w:r>
          </w:p>
        </w:tc>
        <w:tc>
          <w:tcPr>
            <w:tcW w:w="764" w:type="pct"/>
            <w:tcBorders>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13,5</w:t>
            </w:r>
          </w:p>
        </w:tc>
        <w:tc>
          <w:tcPr>
            <w:tcW w:w="764" w:type="pct"/>
            <w:tcBorders>
              <w:left w:val="single" w:sz="4" w:space="0" w:color="BFBFBF" w:themeColor="background1" w:themeShade="BF"/>
            </w:tcBorders>
            <w:hideMark/>
          </w:tcPr>
          <w:p w:rsidR="00FA7019" w:rsidRPr="00FA7019" w:rsidRDefault="00FA7019" w:rsidP="00BB313D">
            <w:pPr>
              <w:widowControl w:val="0"/>
              <w:spacing w:line="240" w:lineRule="exact"/>
              <w:ind w:left="227" w:right="170" w:hanging="227"/>
              <w:jc w:val="right"/>
              <w:rPr>
                <w:rFonts w:eastAsia="Times New Roman" w:cs="Arial"/>
                <w:sz w:val="16"/>
                <w:szCs w:val="16"/>
                <w:lang w:eastAsia="es-ES"/>
              </w:rPr>
            </w:pPr>
            <w:r w:rsidRPr="00FA7019">
              <w:rPr>
                <w:rFonts w:eastAsia="Times New Roman" w:cs="Arial"/>
                <w:sz w:val="16"/>
                <w:szCs w:val="16"/>
                <w:lang w:eastAsia="es-ES"/>
              </w:rPr>
              <w:t>306,0</w:t>
            </w:r>
          </w:p>
        </w:tc>
      </w:tr>
      <w:tr w:rsidR="00FA7019" w:rsidRPr="00F8288A" w:rsidTr="00D122F5">
        <w:trPr>
          <w:jc w:val="center"/>
        </w:trPr>
        <w:tc>
          <w:tcPr>
            <w:tcW w:w="1177" w:type="pct"/>
            <w:tcBorders>
              <w:bottom w:val="single" w:sz="4" w:space="0" w:color="BFBFBF" w:themeColor="background1" w:themeShade="BF"/>
              <w:right w:val="single" w:sz="4" w:space="0" w:color="BFBFBF" w:themeColor="background1" w:themeShade="BF"/>
            </w:tcBorders>
            <w:hideMark/>
          </w:tcPr>
          <w:p w:rsidR="00FA7019" w:rsidRPr="00F8288A" w:rsidRDefault="00FA7019" w:rsidP="00BB313D">
            <w:pPr>
              <w:widowControl w:val="0"/>
              <w:spacing w:line="240" w:lineRule="exact"/>
              <w:rPr>
                <w:rFonts w:cs="Arial"/>
                <w:sz w:val="16"/>
                <w:szCs w:val="16"/>
              </w:rPr>
            </w:pPr>
            <w:r w:rsidRPr="00F8288A">
              <w:rPr>
                <w:rFonts w:cs="Arial"/>
                <w:sz w:val="16"/>
                <w:szCs w:val="16"/>
              </w:rPr>
              <w:t>Más de 500 empleos</w:t>
            </w:r>
          </w:p>
        </w:tc>
        <w:tc>
          <w:tcPr>
            <w:tcW w:w="765" w:type="pct"/>
            <w:tcBorders>
              <w:left w:val="single" w:sz="4" w:space="0" w:color="BFBFBF" w:themeColor="background1" w:themeShade="BF"/>
              <w:bottom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14</w:t>
            </w:r>
          </w:p>
        </w:tc>
        <w:tc>
          <w:tcPr>
            <w:tcW w:w="765" w:type="pct"/>
            <w:tcBorders>
              <w:bottom w:val="single" w:sz="4" w:space="0" w:color="BFBFBF" w:themeColor="background1" w:themeShade="BF"/>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0,6</w:t>
            </w:r>
          </w:p>
        </w:tc>
        <w:tc>
          <w:tcPr>
            <w:tcW w:w="764" w:type="pct"/>
            <w:tcBorders>
              <w:left w:val="single" w:sz="4" w:space="0" w:color="BFBFBF" w:themeColor="background1" w:themeShade="BF"/>
              <w:bottom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20.608</w:t>
            </w:r>
          </w:p>
        </w:tc>
        <w:tc>
          <w:tcPr>
            <w:tcW w:w="764" w:type="pct"/>
            <w:tcBorders>
              <w:bottom w:val="single" w:sz="4" w:space="0" w:color="BFBFBF" w:themeColor="background1" w:themeShade="BF"/>
              <w:right w:val="single" w:sz="4" w:space="0" w:color="BFBFBF" w:themeColor="background1" w:themeShade="BF"/>
            </w:tcBorders>
            <w:vAlign w:val="bottom"/>
            <w:hideMark/>
          </w:tcPr>
          <w:p w:rsidR="00FA7019" w:rsidRPr="00FA7019" w:rsidRDefault="00FA7019" w:rsidP="00BB313D">
            <w:pPr>
              <w:widowControl w:val="0"/>
              <w:spacing w:line="240" w:lineRule="exact"/>
              <w:ind w:right="284"/>
              <w:jc w:val="right"/>
              <w:rPr>
                <w:rFonts w:cs="Arial"/>
                <w:sz w:val="16"/>
                <w:szCs w:val="16"/>
              </w:rPr>
            </w:pPr>
            <w:r w:rsidRPr="00FA7019">
              <w:rPr>
                <w:rFonts w:cs="Arial"/>
                <w:sz w:val="16"/>
                <w:szCs w:val="16"/>
              </w:rPr>
              <w:t>37,8</w:t>
            </w:r>
          </w:p>
        </w:tc>
        <w:tc>
          <w:tcPr>
            <w:tcW w:w="764" w:type="pct"/>
            <w:tcBorders>
              <w:left w:val="single" w:sz="4" w:space="0" w:color="BFBFBF" w:themeColor="background1" w:themeShade="BF"/>
              <w:bottom w:val="single" w:sz="4" w:space="0" w:color="BFBFBF" w:themeColor="background1" w:themeShade="BF"/>
            </w:tcBorders>
            <w:hideMark/>
          </w:tcPr>
          <w:p w:rsidR="00FA7019" w:rsidRPr="00FA7019" w:rsidRDefault="00FA7019" w:rsidP="00BB313D">
            <w:pPr>
              <w:widowControl w:val="0"/>
              <w:spacing w:line="240" w:lineRule="exact"/>
              <w:ind w:left="227" w:right="170" w:hanging="227"/>
              <w:jc w:val="right"/>
              <w:rPr>
                <w:rFonts w:eastAsia="Times New Roman" w:cs="Arial"/>
                <w:sz w:val="16"/>
                <w:szCs w:val="16"/>
                <w:lang w:eastAsia="es-ES"/>
              </w:rPr>
            </w:pPr>
            <w:r w:rsidRPr="00FA7019">
              <w:rPr>
                <w:rFonts w:eastAsia="Times New Roman" w:cs="Arial"/>
                <w:sz w:val="16"/>
                <w:szCs w:val="16"/>
                <w:lang w:eastAsia="es-ES"/>
              </w:rPr>
              <w:t>1</w:t>
            </w:r>
            <w:r>
              <w:rPr>
                <w:rFonts w:eastAsia="Times New Roman" w:cs="Arial"/>
                <w:sz w:val="16"/>
                <w:szCs w:val="16"/>
                <w:lang w:eastAsia="es-ES"/>
              </w:rPr>
              <w:t>.</w:t>
            </w:r>
            <w:r w:rsidRPr="00FA7019">
              <w:rPr>
                <w:rFonts w:eastAsia="Times New Roman" w:cs="Arial"/>
                <w:sz w:val="16"/>
                <w:szCs w:val="16"/>
                <w:lang w:eastAsia="es-ES"/>
              </w:rPr>
              <w:t>472,0</w:t>
            </w:r>
          </w:p>
        </w:tc>
      </w:tr>
      <w:tr w:rsidR="00665097" w:rsidRPr="00F8288A" w:rsidTr="00D122F5">
        <w:trPr>
          <w:jc w:val="center"/>
        </w:trPr>
        <w:tc>
          <w:tcPr>
            <w:tcW w:w="117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F8288A" w:rsidRDefault="00665097" w:rsidP="00BB313D">
            <w:pPr>
              <w:widowControl w:val="0"/>
              <w:spacing w:line="240" w:lineRule="exact"/>
              <w:rPr>
                <w:rFonts w:cs="Arial"/>
                <w:b/>
                <w:sz w:val="16"/>
                <w:szCs w:val="16"/>
              </w:rPr>
            </w:pPr>
            <w:r w:rsidRPr="00F8288A">
              <w:rPr>
                <w:rFonts w:cs="Arial"/>
                <w:b/>
                <w:sz w:val="16"/>
                <w:szCs w:val="16"/>
              </w:rPr>
              <w:t>TOTAL</w:t>
            </w:r>
          </w:p>
        </w:tc>
        <w:tc>
          <w:tcPr>
            <w:tcW w:w="76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F8288A" w:rsidRDefault="00665097" w:rsidP="00BB313D">
            <w:pPr>
              <w:widowControl w:val="0"/>
              <w:spacing w:line="240" w:lineRule="exact"/>
              <w:ind w:right="284"/>
              <w:jc w:val="right"/>
              <w:rPr>
                <w:rFonts w:cs="Arial"/>
                <w:b/>
                <w:sz w:val="16"/>
                <w:szCs w:val="16"/>
              </w:rPr>
            </w:pPr>
            <w:r w:rsidRPr="00F8288A">
              <w:rPr>
                <w:rFonts w:cs="Arial"/>
                <w:b/>
                <w:sz w:val="16"/>
                <w:szCs w:val="16"/>
              </w:rPr>
              <w:t>2.</w:t>
            </w:r>
            <w:r w:rsidR="00FA7019">
              <w:rPr>
                <w:rFonts w:cs="Arial"/>
                <w:b/>
                <w:sz w:val="16"/>
                <w:szCs w:val="16"/>
              </w:rPr>
              <w:t>381</w:t>
            </w:r>
          </w:p>
        </w:tc>
        <w:tc>
          <w:tcPr>
            <w:tcW w:w="7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F8288A" w:rsidRDefault="00665097" w:rsidP="00BB313D">
            <w:pPr>
              <w:widowControl w:val="0"/>
              <w:spacing w:line="240" w:lineRule="exact"/>
              <w:ind w:right="284"/>
              <w:jc w:val="right"/>
              <w:rPr>
                <w:rFonts w:cs="Arial"/>
                <w:b/>
                <w:sz w:val="16"/>
                <w:szCs w:val="16"/>
              </w:rPr>
            </w:pPr>
            <w:r w:rsidRPr="00F8288A">
              <w:rPr>
                <w:rFonts w:cs="Arial"/>
                <w:b/>
                <w:sz w:val="16"/>
                <w:szCs w:val="16"/>
              </w:rPr>
              <w:t>100</w:t>
            </w:r>
            <w:r w:rsidR="00FA2C49">
              <w:rPr>
                <w:rFonts w:cs="Arial"/>
                <w:b/>
                <w:sz w:val="16"/>
                <w:szCs w:val="16"/>
              </w:rPr>
              <w:t>,0</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F8288A" w:rsidRDefault="00FA7019" w:rsidP="00BB313D">
            <w:pPr>
              <w:widowControl w:val="0"/>
              <w:spacing w:line="240" w:lineRule="exact"/>
              <w:ind w:right="284"/>
              <w:jc w:val="right"/>
              <w:rPr>
                <w:rFonts w:cs="Arial"/>
                <w:b/>
                <w:sz w:val="16"/>
                <w:szCs w:val="16"/>
              </w:rPr>
            </w:pPr>
            <w:r w:rsidRPr="00FA7019">
              <w:rPr>
                <w:rFonts w:cs="Arial"/>
                <w:b/>
                <w:sz w:val="16"/>
                <w:szCs w:val="16"/>
              </w:rPr>
              <w:t>54.582</w:t>
            </w:r>
          </w:p>
        </w:tc>
        <w:tc>
          <w:tcPr>
            <w:tcW w:w="76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F8288A" w:rsidRDefault="00665097" w:rsidP="00BB313D">
            <w:pPr>
              <w:widowControl w:val="0"/>
              <w:spacing w:line="240" w:lineRule="exact"/>
              <w:ind w:right="284"/>
              <w:jc w:val="right"/>
              <w:rPr>
                <w:rFonts w:cs="Arial"/>
                <w:b/>
                <w:sz w:val="16"/>
                <w:szCs w:val="16"/>
              </w:rPr>
            </w:pPr>
            <w:r w:rsidRPr="00F8288A">
              <w:rPr>
                <w:rFonts w:cs="Arial"/>
                <w:b/>
                <w:sz w:val="16"/>
                <w:szCs w:val="16"/>
              </w:rPr>
              <w:t>100</w:t>
            </w:r>
            <w:r w:rsidR="00FA2C49">
              <w:rPr>
                <w:rFonts w:cs="Arial"/>
                <w:b/>
                <w:sz w:val="16"/>
                <w:szCs w:val="16"/>
              </w:rPr>
              <w:t>,0</w:t>
            </w:r>
          </w:p>
        </w:tc>
        <w:tc>
          <w:tcPr>
            <w:tcW w:w="76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F8288A" w:rsidRDefault="00665097" w:rsidP="00BB313D">
            <w:pPr>
              <w:widowControl w:val="0"/>
              <w:spacing w:line="240" w:lineRule="exact"/>
              <w:ind w:right="141"/>
              <w:jc w:val="right"/>
              <w:rPr>
                <w:rFonts w:cs="Arial"/>
                <w:b/>
                <w:sz w:val="16"/>
                <w:szCs w:val="16"/>
              </w:rPr>
            </w:pPr>
            <w:r w:rsidRPr="00F8288A">
              <w:rPr>
                <w:rFonts w:cs="Arial"/>
                <w:b/>
                <w:sz w:val="16"/>
                <w:szCs w:val="16"/>
              </w:rPr>
              <w:t>2</w:t>
            </w:r>
            <w:r w:rsidR="00FA7019">
              <w:rPr>
                <w:rFonts w:cs="Arial"/>
                <w:b/>
                <w:sz w:val="16"/>
                <w:szCs w:val="16"/>
              </w:rPr>
              <w:t>2,9</w:t>
            </w:r>
          </w:p>
        </w:tc>
      </w:tr>
    </w:tbl>
    <w:p w:rsidR="00665097" w:rsidRDefault="00665097" w:rsidP="00BB313D">
      <w:pPr>
        <w:widowControl w:val="0"/>
      </w:pPr>
    </w:p>
    <w:p w:rsidR="00E70663" w:rsidRDefault="00E70663" w:rsidP="00BB313D">
      <w:pPr>
        <w:widowControl w:val="0"/>
      </w:pPr>
    </w:p>
    <w:p w:rsidR="00121B29" w:rsidRPr="00B438BB" w:rsidRDefault="009F1045" w:rsidP="00B438BB">
      <w:pPr>
        <w:widowControl w:val="0"/>
        <w:spacing w:line="240" w:lineRule="auto"/>
        <w:jc w:val="center"/>
        <w:rPr>
          <w:rFonts w:cs="Arial"/>
          <w:b/>
          <w:color w:val="1F497D" w:themeColor="text2"/>
          <w:sz w:val="18"/>
          <w:szCs w:val="18"/>
        </w:rPr>
      </w:pPr>
      <w:bookmarkStart w:id="27" w:name="_Toc391999577"/>
      <w:bookmarkStart w:id="28" w:name="_Toc45011946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B438BB">
        <w:rPr>
          <w:rFonts w:cs="Arial"/>
          <w:b/>
          <w:color w:val="1F497D" w:themeColor="text2"/>
          <w:sz w:val="18"/>
          <w:szCs w:val="18"/>
        </w:rPr>
        <w:t xml:space="preserve"> </w:t>
      </w:r>
      <w:r w:rsidR="00121B29" w:rsidRPr="00B438BB">
        <w:rPr>
          <w:rFonts w:cs="Arial"/>
          <w:b/>
          <w:color w:val="1F497D" w:themeColor="text2"/>
          <w:sz w:val="18"/>
          <w:szCs w:val="18"/>
        </w:rPr>
        <w:t>EVOLUCIÓN DEL NÚMERO DE EMPLEOS POR DIMENSIÓN DE LAS EMP</w:t>
      </w:r>
      <w:r w:rsidR="00772AF7" w:rsidRPr="00B438BB">
        <w:rPr>
          <w:rFonts w:cs="Arial"/>
          <w:b/>
          <w:color w:val="1F497D" w:themeColor="text2"/>
          <w:sz w:val="18"/>
          <w:szCs w:val="18"/>
        </w:rPr>
        <w:t>RESAS DE LA ECONOMÍA SOCIAL 2012</w:t>
      </w:r>
      <w:r w:rsidR="00121B29" w:rsidRPr="00B438BB">
        <w:rPr>
          <w:rFonts w:cs="Arial"/>
          <w:b/>
          <w:color w:val="1F497D" w:themeColor="text2"/>
          <w:sz w:val="18"/>
          <w:szCs w:val="18"/>
        </w:rPr>
        <w:t>-201</w:t>
      </w:r>
      <w:bookmarkEnd w:id="27"/>
      <w:r w:rsidR="00772AF7" w:rsidRPr="00B438BB">
        <w:rPr>
          <w:rFonts w:cs="Arial"/>
          <w:b/>
          <w:color w:val="1F497D" w:themeColor="text2"/>
          <w:sz w:val="18"/>
          <w:szCs w:val="18"/>
        </w:rPr>
        <w:t>4</w:t>
      </w:r>
      <w:bookmarkEnd w:id="28"/>
    </w:p>
    <w:tbl>
      <w:tblPr>
        <w:tblW w:w="9940" w:type="dxa"/>
        <w:jc w:val="center"/>
        <w:tblCellMar>
          <w:left w:w="0" w:type="dxa"/>
          <w:right w:w="0" w:type="dxa"/>
        </w:tblCellMar>
        <w:tblLook w:val="04A0" w:firstRow="1" w:lastRow="0" w:firstColumn="1" w:lastColumn="0" w:noHBand="0" w:noVBand="1"/>
      </w:tblPr>
      <w:tblGrid>
        <w:gridCol w:w="2245"/>
        <w:gridCol w:w="2565"/>
        <w:gridCol w:w="2565"/>
        <w:gridCol w:w="2565"/>
      </w:tblGrid>
      <w:tr w:rsidR="00E70663" w:rsidRPr="00E70663" w:rsidTr="00D122F5">
        <w:trPr>
          <w:jc w:val="center"/>
        </w:trPr>
        <w:tc>
          <w:tcPr>
            <w:tcW w:w="1129" w:type="pct"/>
            <w:tcBorders>
              <w:top w:val="single" w:sz="8" w:space="0" w:color="BFBFBF"/>
              <w:left w:val="nil"/>
              <w:bottom w:val="single" w:sz="8" w:space="0" w:color="BFBFBF"/>
              <w:right w:val="single" w:sz="8" w:space="0" w:color="BFBFBF"/>
            </w:tcBorders>
            <w:shd w:val="clear" w:color="auto" w:fill="DBE5F1"/>
            <w:vAlign w:val="center"/>
            <w:hideMark/>
          </w:tcPr>
          <w:p w:rsidR="00121B29" w:rsidRPr="00E70663" w:rsidRDefault="00121B29" w:rsidP="00BB313D">
            <w:pPr>
              <w:widowControl w:val="0"/>
              <w:spacing w:line="240" w:lineRule="exact"/>
              <w:ind w:left="227" w:hanging="227"/>
              <w:rPr>
                <w:rFonts w:eastAsia="Times New Roman" w:cs="Arial"/>
                <w:sz w:val="16"/>
                <w:szCs w:val="16"/>
                <w:lang w:val="es-ES_tradnl" w:eastAsia="es-ES"/>
              </w:rPr>
            </w:pPr>
          </w:p>
        </w:tc>
        <w:tc>
          <w:tcPr>
            <w:tcW w:w="1290" w:type="pct"/>
            <w:tcBorders>
              <w:top w:val="single" w:sz="8" w:space="0" w:color="BFBFBF"/>
              <w:left w:val="nil"/>
              <w:bottom w:val="single" w:sz="8" w:space="0" w:color="BFBFBF"/>
              <w:right w:val="single" w:sz="4" w:space="0" w:color="BFBFBF" w:themeColor="background1" w:themeShade="BF"/>
            </w:tcBorders>
            <w:shd w:val="clear" w:color="auto" w:fill="DBE5F1"/>
            <w:vAlign w:val="center"/>
            <w:hideMark/>
          </w:tcPr>
          <w:p w:rsidR="00121B29" w:rsidRPr="00E70663" w:rsidRDefault="00121B29" w:rsidP="00BB313D">
            <w:pPr>
              <w:widowControl w:val="0"/>
              <w:spacing w:line="240" w:lineRule="exact"/>
              <w:ind w:left="227" w:hanging="227"/>
              <w:jc w:val="center"/>
              <w:rPr>
                <w:rFonts w:eastAsia="Times New Roman" w:cs="Arial"/>
                <w:b/>
                <w:bCs/>
                <w:sz w:val="16"/>
                <w:szCs w:val="16"/>
                <w:lang w:eastAsia="es-ES"/>
              </w:rPr>
            </w:pPr>
            <w:r w:rsidRPr="00E70663">
              <w:rPr>
                <w:rFonts w:eastAsia="Times New Roman" w:cs="Arial"/>
                <w:b/>
                <w:bCs/>
                <w:sz w:val="16"/>
                <w:szCs w:val="16"/>
                <w:lang w:eastAsia="es-ES"/>
              </w:rPr>
              <w:t xml:space="preserve">Empleos </w:t>
            </w:r>
          </w:p>
          <w:p w:rsidR="00121B29" w:rsidRPr="00E70663" w:rsidRDefault="00121B29" w:rsidP="00BB313D">
            <w:pPr>
              <w:widowControl w:val="0"/>
              <w:spacing w:line="240" w:lineRule="exact"/>
              <w:ind w:left="227" w:hanging="227"/>
              <w:jc w:val="center"/>
              <w:rPr>
                <w:rFonts w:eastAsia="Times New Roman" w:cs="Arial"/>
                <w:sz w:val="16"/>
                <w:szCs w:val="16"/>
                <w:lang w:eastAsia="es-ES"/>
              </w:rPr>
            </w:pPr>
            <w:r w:rsidRPr="00E70663">
              <w:rPr>
                <w:rFonts w:eastAsia="Times New Roman" w:cs="Arial"/>
                <w:b/>
                <w:bCs/>
                <w:sz w:val="16"/>
                <w:szCs w:val="16"/>
                <w:lang w:eastAsia="es-ES"/>
              </w:rPr>
              <w:t>201</w:t>
            </w:r>
            <w:r w:rsidR="00772AF7">
              <w:rPr>
                <w:rFonts w:eastAsia="Times New Roman" w:cs="Arial"/>
                <w:b/>
                <w:bCs/>
                <w:sz w:val="16"/>
                <w:szCs w:val="16"/>
                <w:lang w:eastAsia="es-ES"/>
              </w:rPr>
              <w:t>2</w:t>
            </w:r>
          </w:p>
        </w:tc>
        <w:tc>
          <w:tcPr>
            <w:tcW w:w="1290" w:type="pct"/>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auto" w:fill="DBE5F1"/>
            <w:vAlign w:val="center"/>
            <w:hideMark/>
          </w:tcPr>
          <w:p w:rsidR="00121B29" w:rsidRPr="00E70663" w:rsidRDefault="00121B29" w:rsidP="00BB313D">
            <w:pPr>
              <w:widowControl w:val="0"/>
              <w:spacing w:line="240" w:lineRule="exact"/>
              <w:ind w:left="227" w:hanging="227"/>
              <w:jc w:val="center"/>
              <w:rPr>
                <w:rFonts w:eastAsia="Times New Roman" w:cs="Arial"/>
                <w:b/>
                <w:bCs/>
                <w:sz w:val="16"/>
                <w:szCs w:val="16"/>
                <w:lang w:eastAsia="es-ES"/>
              </w:rPr>
            </w:pPr>
            <w:r w:rsidRPr="00E70663">
              <w:rPr>
                <w:rFonts w:eastAsia="Times New Roman" w:cs="Arial"/>
                <w:b/>
                <w:bCs/>
                <w:sz w:val="16"/>
                <w:szCs w:val="16"/>
                <w:lang w:eastAsia="es-ES"/>
              </w:rPr>
              <w:t>Empleos</w:t>
            </w:r>
          </w:p>
          <w:p w:rsidR="00121B29" w:rsidRPr="00E70663" w:rsidRDefault="00121B29" w:rsidP="00BB313D">
            <w:pPr>
              <w:widowControl w:val="0"/>
              <w:spacing w:line="240" w:lineRule="exact"/>
              <w:ind w:left="227" w:hanging="227"/>
              <w:jc w:val="center"/>
              <w:rPr>
                <w:rFonts w:eastAsia="Times New Roman" w:cs="Arial"/>
                <w:sz w:val="16"/>
                <w:szCs w:val="16"/>
                <w:lang w:eastAsia="es-ES"/>
              </w:rPr>
            </w:pPr>
            <w:r w:rsidRPr="00E70663">
              <w:rPr>
                <w:rFonts w:eastAsia="Times New Roman" w:cs="Arial"/>
                <w:b/>
                <w:bCs/>
                <w:sz w:val="16"/>
                <w:szCs w:val="16"/>
                <w:lang w:eastAsia="es-ES"/>
              </w:rPr>
              <w:t>201</w:t>
            </w:r>
            <w:r w:rsidR="00772AF7">
              <w:rPr>
                <w:rFonts w:eastAsia="Times New Roman" w:cs="Arial"/>
                <w:b/>
                <w:bCs/>
                <w:sz w:val="16"/>
                <w:szCs w:val="16"/>
                <w:lang w:eastAsia="es-ES"/>
              </w:rPr>
              <w:t>4</w:t>
            </w:r>
          </w:p>
        </w:tc>
        <w:tc>
          <w:tcPr>
            <w:tcW w:w="1290" w:type="pct"/>
            <w:tcBorders>
              <w:top w:val="single" w:sz="8" w:space="0" w:color="BFBFBF"/>
              <w:left w:val="single" w:sz="4" w:space="0" w:color="BFBFBF" w:themeColor="background1" w:themeShade="BF"/>
              <w:bottom w:val="single" w:sz="8" w:space="0" w:color="BFBFBF"/>
            </w:tcBorders>
            <w:shd w:val="clear" w:color="auto" w:fill="DBE5F1"/>
            <w:vAlign w:val="center"/>
            <w:hideMark/>
          </w:tcPr>
          <w:p w:rsidR="00121B29" w:rsidRPr="00E70663" w:rsidRDefault="00121B29" w:rsidP="00BB313D">
            <w:pPr>
              <w:widowControl w:val="0"/>
              <w:spacing w:line="240" w:lineRule="exact"/>
              <w:ind w:left="227" w:hanging="227"/>
              <w:jc w:val="center"/>
              <w:rPr>
                <w:rFonts w:eastAsia="Times New Roman" w:cs="Arial"/>
                <w:b/>
                <w:bCs/>
                <w:sz w:val="16"/>
                <w:szCs w:val="16"/>
                <w:lang w:eastAsia="es-ES"/>
              </w:rPr>
            </w:pPr>
            <w:r w:rsidRPr="00E70663">
              <w:rPr>
                <w:rFonts w:eastAsia="Times New Roman" w:cs="Arial"/>
                <w:b/>
                <w:bCs/>
                <w:sz w:val="16"/>
                <w:szCs w:val="16"/>
                <w:lang w:eastAsia="es-ES"/>
              </w:rPr>
              <w:t xml:space="preserve">Evolución </w:t>
            </w:r>
          </w:p>
          <w:p w:rsidR="00121B29" w:rsidRPr="00E70663" w:rsidRDefault="00772AF7" w:rsidP="00BB313D">
            <w:pPr>
              <w:widowControl w:val="0"/>
              <w:spacing w:line="240" w:lineRule="exact"/>
              <w:ind w:left="227" w:hanging="227"/>
              <w:jc w:val="center"/>
              <w:rPr>
                <w:rFonts w:eastAsia="Times New Roman" w:cs="Arial"/>
                <w:sz w:val="16"/>
                <w:szCs w:val="16"/>
                <w:lang w:eastAsia="es-ES"/>
              </w:rPr>
            </w:pPr>
            <w:r>
              <w:rPr>
                <w:rFonts w:eastAsia="Times New Roman" w:cs="Arial"/>
                <w:b/>
                <w:bCs/>
                <w:sz w:val="16"/>
                <w:szCs w:val="16"/>
                <w:lang w:eastAsia="es-ES"/>
              </w:rPr>
              <w:t>2012</w:t>
            </w:r>
            <w:r w:rsidR="00121B29" w:rsidRPr="00E70663">
              <w:rPr>
                <w:rFonts w:eastAsia="Times New Roman" w:cs="Arial"/>
                <w:b/>
                <w:bCs/>
                <w:sz w:val="16"/>
                <w:szCs w:val="16"/>
                <w:lang w:eastAsia="es-ES"/>
              </w:rPr>
              <w:t xml:space="preserve"> - 201</w:t>
            </w:r>
            <w:r>
              <w:rPr>
                <w:rFonts w:eastAsia="Times New Roman" w:cs="Arial"/>
                <w:b/>
                <w:bCs/>
                <w:sz w:val="16"/>
                <w:szCs w:val="16"/>
                <w:lang w:eastAsia="es-ES"/>
              </w:rPr>
              <w:t>4</w:t>
            </w:r>
          </w:p>
        </w:tc>
      </w:tr>
      <w:tr w:rsidR="009464EA" w:rsidRPr="00E70663" w:rsidTr="00D122F5">
        <w:trPr>
          <w:jc w:val="center"/>
        </w:trPr>
        <w:tc>
          <w:tcPr>
            <w:tcW w:w="1129" w:type="pct"/>
            <w:tcBorders>
              <w:top w:val="nil"/>
              <w:left w:val="nil"/>
              <w:bottom w:val="nil"/>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sz w:val="16"/>
                <w:szCs w:val="16"/>
                <w:lang w:eastAsia="es-ES"/>
              </w:rPr>
              <w:t>Hasta 5 empleos</w:t>
            </w:r>
          </w:p>
        </w:tc>
        <w:tc>
          <w:tcPr>
            <w:tcW w:w="1290" w:type="pct"/>
            <w:tcBorders>
              <w:top w:val="nil"/>
              <w:left w:val="nil"/>
              <w:bottom w:val="nil"/>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sz w:val="16"/>
                <w:szCs w:val="16"/>
                <w:lang w:eastAsia="es-ES"/>
              </w:rPr>
              <w:t>3.960</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exact"/>
              <w:ind w:left="227" w:right="284" w:hanging="227"/>
              <w:jc w:val="right"/>
              <w:rPr>
                <w:rFonts w:eastAsia="Times New Roman" w:cs="Arial"/>
                <w:sz w:val="16"/>
                <w:szCs w:val="16"/>
                <w:lang w:eastAsia="es-ES"/>
              </w:rPr>
            </w:pPr>
            <w:r w:rsidRPr="00772AF7">
              <w:rPr>
                <w:rFonts w:eastAsia="Times New Roman" w:cs="Arial"/>
                <w:sz w:val="16"/>
                <w:szCs w:val="16"/>
                <w:lang w:eastAsia="es-ES"/>
              </w:rPr>
              <w:t>4.208</w:t>
            </w:r>
          </w:p>
        </w:tc>
        <w:tc>
          <w:tcPr>
            <w:tcW w:w="1290" w:type="pct"/>
            <w:tcBorders>
              <w:top w:val="nil"/>
              <w:left w:val="single" w:sz="4" w:space="0" w:color="BFBFBF" w:themeColor="background1" w:themeShade="BF"/>
              <w:bottom w:val="nil"/>
            </w:tcBorders>
            <w:shd w:val="clear" w:color="auto" w:fill="auto"/>
            <w:vAlign w:val="bottom"/>
            <w:hideMark/>
          </w:tcPr>
          <w:p w:rsidR="009464EA" w:rsidRPr="00772AF7" w:rsidRDefault="009464EA" w:rsidP="00BB313D">
            <w:pPr>
              <w:widowControl w:val="0"/>
              <w:spacing w:line="240" w:lineRule="auto"/>
              <w:ind w:right="284" w:firstLineChars="100" w:firstLine="160"/>
              <w:jc w:val="right"/>
              <w:rPr>
                <w:rFonts w:eastAsia="Times New Roman" w:cs="Arial"/>
                <w:color w:val="000000"/>
                <w:sz w:val="16"/>
                <w:szCs w:val="16"/>
                <w:lang w:eastAsia="es-ES"/>
              </w:rPr>
            </w:pPr>
            <w:r w:rsidRPr="00772AF7">
              <w:rPr>
                <w:rFonts w:eastAsia="Times New Roman" w:cs="Arial"/>
                <w:color w:val="000000"/>
                <w:sz w:val="16"/>
                <w:szCs w:val="16"/>
                <w:lang w:eastAsia="es-ES"/>
              </w:rPr>
              <w:t>6,3</w:t>
            </w:r>
          </w:p>
        </w:tc>
      </w:tr>
      <w:tr w:rsidR="009464EA" w:rsidRPr="00E70663" w:rsidTr="00D122F5">
        <w:trPr>
          <w:jc w:val="center"/>
        </w:trPr>
        <w:tc>
          <w:tcPr>
            <w:tcW w:w="1129" w:type="pct"/>
            <w:tcBorders>
              <w:top w:val="nil"/>
              <w:left w:val="nil"/>
              <w:bottom w:val="nil"/>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sz w:val="16"/>
                <w:szCs w:val="16"/>
                <w:lang w:eastAsia="es-ES"/>
              </w:rPr>
              <w:t>De 6 a 15</w:t>
            </w:r>
          </w:p>
        </w:tc>
        <w:tc>
          <w:tcPr>
            <w:tcW w:w="1290" w:type="pct"/>
            <w:tcBorders>
              <w:top w:val="nil"/>
              <w:left w:val="nil"/>
              <w:bottom w:val="nil"/>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sz w:val="16"/>
                <w:szCs w:val="16"/>
                <w:lang w:eastAsia="es-ES"/>
              </w:rPr>
              <w:t>4.472</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exact"/>
              <w:ind w:left="227" w:right="284" w:hanging="227"/>
              <w:jc w:val="right"/>
              <w:rPr>
                <w:rFonts w:eastAsia="Times New Roman" w:cs="Arial"/>
                <w:sz w:val="16"/>
                <w:szCs w:val="16"/>
                <w:lang w:eastAsia="es-ES"/>
              </w:rPr>
            </w:pPr>
            <w:r w:rsidRPr="00772AF7">
              <w:rPr>
                <w:rFonts w:eastAsia="Times New Roman" w:cs="Arial"/>
                <w:sz w:val="16"/>
                <w:szCs w:val="16"/>
                <w:lang w:eastAsia="es-ES"/>
              </w:rPr>
              <w:t>4.421</w:t>
            </w:r>
          </w:p>
        </w:tc>
        <w:tc>
          <w:tcPr>
            <w:tcW w:w="1290" w:type="pct"/>
            <w:tcBorders>
              <w:top w:val="nil"/>
              <w:left w:val="single" w:sz="4" w:space="0" w:color="BFBFBF" w:themeColor="background1" w:themeShade="BF"/>
              <w:bottom w:val="nil"/>
            </w:tcBorders>
            <w:shd w:val="clear" w:color="auto" w:fill="auto"/>
            <w:vAlign w:val="bottom"/>
            <w:hideMark/>
          </w:tcPr>
          <w:p w:rsidR="009464EA" w:rsidRPr="00772AF7" w:rsidRDefault="009464EA" w:rsidP="00BB313D">
            <w:pPr>
              <w:widowControl w:val="0"/>
              <w:spacing w:line="240" w:lineRule="auto"/>
              <w:ind w:right="284" w:firstLineChars="100" w:firstLine="160"/>
              <w:jc w:val="right"/>
              <w:rPr>
                <w:rFonts w:eastAsia="Times New Roman" w:cs="Arial"/>
                <w:color w:val="000000"/>
                <w:sz w:val="16"/>
                <w:szCs w:val="16"/>
                <w:lang w:eastAsia="es-ES"/>
              </w:rPr>
            </w:pPr>
            <w:r w:rsidRPr="00772AF7">
              <w:rPr>
                <w:rFonts w:eastAsia="Times New Roman" w:cs="Arial"/>
                <w:color w:val="000000"/>
                <w:sz w:val="16"/>
                <w:szCs w:val="16"/>
                <w:lang w:eastAsia="es-ES"/>
              </w:rPr>
              <w:t>-1,1</w:t>
            </w:r>
          </w:p>
        </w:tc>
      </w:tr>
      <w:tr w:rsidR="009464EA" w:rsidRPr="00E70663" w:rsidTr="00D122F5">
        <w:trPr>
          <w:jc w:val="center"/>
        </w:trPr>
        <w:tc>
          <w:tcPr>
            <w:tcW w:w="1129" w:type="pct"/>
            <w:tcBorders>
              <w:top w:val="nil"/>
              <w:left w:val="nil"/>
              <w:bottom w:val="nil"/>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sz w:val="16"/>
                <w:szCs w:val="16"/>
                <w:lang w:eastAsia="es-ES"/>
              </w:rPr>
              <w:t>De 16 a 50</w:t>
            </w:r>
          </w:p>
        </w:tc>
        <w:tc>
          <w:tcPr>
            <w:tcW w:w="1290" w:type="pct"/>
            <w:tcBorders>
              <w:top w:val="nil"/>
              <w:left w:val="nil"/>
              <w:bottom w:val="nil"/>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sz w:val="16"/>
                <w:szCs w:val="16"/>
                <w:lang w:eastAsia="es-ES"/>
              </w:rPr>
              <w:t>6.638</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exact"/>
              <w:ind w:left="227" w:right="284" w:hanging="227"/>
              <w:jc w:val="right"/>
              <w:rPr>
                <w:rFonts w:eastAsia="Times New Roman" w:cs="Arial"/>
                <w:sz w:val="16"/>
                <w:szCs w:val="16"/>
                <w:lang w:eastAsia="es-ES"/>
              </w:rPr>
            </w:pPr>
            <w:r w:rsidRPr="00772AF7">
              <w:rPr>
                <w:rFonts w:eastAsia="Times New Roman" w:cs="Arial"/>
                <w:sz w:val="16"/>
                <w:szCs w:val="16"/>
                <w:lang w:eastAsia="es-ES"/>
              </w:rPr>
              <w:t>5.929</w:t>
            </w:r>
          </w:p>
        </w:tc>
        <w:tc>
          <w:tcPr>
            <w:tcW w:w="1290" w:type="pct"/>
            <w:tcBorders>
              <w:top w:val="nil"/>
              <w:left w:val="single" w:sz="4" w:space="0" w:color="BFBFBF" w:themeColor="background1" w:themeShade="BF"/>
              <w:bottom w:val="nil"/>
            </w:tcBorders>
            <w:shd w:val="clear" w:color="auto" w:fill="auto"/>
            <w:vAlign w:val="bottom"/>
            <w:hideMark/>
          </w:tcPr>
          <w:p w:rsidR="009464EA" w:rsidRPr="00772AF7" w:rsidRDefault="009464EA" w:rsidP="00BB313D">
            <w:pPr>
              <w:widowControl w:val="0"/>
              <w:spacing w:line="240" w:lineRule="auto"/>
              <w:ind w:right="284" w:firstLineChars="100" w:firstLine="160"/>
              <w:jc w:val="right"/>
              <w:rPr>
                <w:rFonts w:eastAsia="Times New Roman" w:cs="Arial"/>
                <w:color w:val="000000"/>
                <w:sz w:val="16"/>
                <w:szCs w:val="16"/>
                <w:lang w:eastAsia="es-ES"/>
              </w:rPr>
            </w:pPr>
            <w:r w:rsidRPr="00772AF7">
              <w:rPr>
                <w:rFonts w:eastAsia="Times New Roman" w:cs="Arial"/>
                <w:color w:val="000000"/>
                <w:sz w:val="16"/>
                <w:szCs w:val="16"/>
                <w:lang w:eastAsia="es-ES"/>
              </w:rPr>
              <w:t>-10,7</w:t>
            </w:r>
          </w:p>
        </w:tc>
      </w:tr>
      <w:tr w:rsidR="009464EA" w:rsidRPr="00E70663" w:rsidTr="00D122F5">
        <w:trPr>
          <w:jc w:val="center"/>
        </w:trPr>
        <w:tc>
          <w:tcPr>
            <w:tcW w:w="1129" w:type="pct"/>
            <w:tcBorders>
              <w:top w:val="nil"/>
              <w:left w:val="nil"/>
              <w:bottom w:val="nil"/>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sz w:val="16"/>
                <w:szCs w:val="16"/>
                <w:lang w:eastAsia="es-ES"/>
              </w:rPr>
              <w:t>De 51 a 100</w:t>
            </w:r>
          </w:p>
        </w:tc>
        <w:tc>
          <w:tcPr>
            <w:tcW w:w="1290" w:type="pct"/>
            <w:tcBorders>
              <w:top w:val="nil"/>
              <w:left w:val="nil"/>
              <w:bottom w:val="nil"/>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sz w:val="16"/>
                <w:szCs w:val="16"/>
                <w:lang w:eastAsia="es-ES"/>
              </w:rPr>
              <w:t>6.117</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exact"/>
              <w:ind w:left="227" w:right="284" w:hanging="227"/>
              <w:jc w:val="right"/>
              <w:rPr>
                <w:rFonts w:eastAsia="Times New Roman" w:cs="Arial"/>
                <w:sz w:val="16"/>
                <w:szCs w:val="16"/>
                <w:lang w:eastAsia="es-ES"/>
              </w:rPr>
            </w:pPr>
            <w:r w:rsidRPr="00772AF7">
              <w:rPr>
                <w:rFonts w:eastAsia="Times New Roman" w:cs="Arial"/>
                <w:sz w:val="16"/>
                <w:szCs w:val="16"/>
                <w:lang w:eastAsia="es-ES"/>
              </w:rPr>
              <w:t>5.844</w:t>
            </w:r>
          </w:p>
        </w:tc>
        <w:tc>
          <w:tcPr>
            <w:tcW w:w="1290" w:type="pct"/>
            <w:tcBorders>
              <w:top w:val="nil"/>
              <w:left w:val="single" w:sz="4" w:space="0" w:color="BFBFBF" w:themeColor="background1" w:themeShade="BF"/>
              <w:bottom w:val="nil"/>
            </w:tcBorders>
            <w:shd w:val="clear" w:color="auto" w:fill="auto"/>
            <w:vAlign w:val="bottom"/>
            <w:hideMark/>
          </w:tcPr>
          <w:p w:rsidR="009464EA" w:rsidRPr="00772AF7" w:rsidRDefault="009464EA" w:rsidP="00BB313D">
            <w:pPr>
              <w:widowControl w:val="0"/>
              <w:spacing w:line="240" w:lineRule="auto"/>
              <w:ind w:right="284" w:firstLineChars="100" w:firstLine="160"/>
              <w:jc w:val="right"/>
              <w:rPr>
                <w:rFonts w:eastAsia="Times New Roman" w:cs="Arial"/>
                <w:color w:val="000000"/>
                <w:sz w:val="16"/>
                <w:szCs w:val="16"/>
                <w:lang w:eastAsia="es-ES"/>
              </w:rPr>
            </w:pPr>
            <w:r w:rsidRPr="00772AF7">
              <w:rPr>
                <w:rFonts w:eastAsia="Times New Roman" w:cs="Arial"/>
                <w:color w:val="000000"/>
                <w:sz w:val="16"/>
                <w:szCs w:val="16"/>
                <w:lang w:eastAsia="es-ES"/>
              </w:rPr>
              <w:t>-4,5</w:t>
            </w:r>
          </w:p>
        </w:tc>
      </w:tr>
      <w:tr w:rsidR="009464EA" w:rsidRPr="00E70663" w:rsidTr="00D122F5">
        <w:trPr>
          <w:jc w:val="center"/>
        </w:trPr>
        <w:tc>
          <w:tcPr>
            <w:tcW w:w="1129" w:type="pct"/>
            <w:tcBorders>
              <w:top w:val="nil"/>
              <w:left w:val="nil"/>
              <w:bottom w:val="nil"/>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sz w:val="16"/>
                <w:szCs w:val="16"/>
                <w:lang w:eastAsia="es-ES"/>
              </w:rPr>
              <w:t>De 101 a 200</w:t>
            </w:r>
          </w:p>
        </w:tc>
        <w:tc>
          <w:tcPr>
            <w:tcW w:w="1290" w:type="pct"/>
            <w:tcBorders>
              <w:top w:val="nil"/>
              <w:left w:val="nil"/>
              <w:bottom w:val="nil"/>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sz w:val="16"/>
                <w:szCs w:val="16"/>
                <w:lang w:eastAsia="es-ES"/>
              </w:rPr>
              <w:t>5.748</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exact"/>
              <w:ind w:left="227" w:right="284" w:hanging="227"/>
              <w:jc w:val="right"/>
              <w:rPr>
                <w:rFonts w:eastAsia="Times New Roman" w:cs="Arial"/>
                <w:sz w:val="16"/>
                <w:szCs w:val="16"/>
                <w:lang w:eastAsia="es-ES"/>
              </w:rPr>
            </w:pPr>
            <w:r w:rsidRPr="00772AF7">
              <w:rPr>
                <w:rFonts w:eastAsia="Times New Roman" w:cs="Arial"/>
                <w:sz w:val="16"/>
                <w:szCs w:val="16"/>
                <w:lang w:eastAsia="es-ES"/>
              </w:rPr>
              <w:t>6.227</w:t>
            </w:r>
          </w:p>
        </w:tc>
        <w:tc>
          <w:tcPr>
            <w:tcW w:w="1290" w:type="pct"/>
            <w:tcBorders>
              <w:top w:val="nil"/>
              <w:left w:val="single" w:sz="4" w:space="0" w:color="BFBFBF" w:themeColor="background1" w:themeShade="BF"/>
              <w:bottom w:val="nil"/>
            </w:tcBorders>
            <w:shd w:val="clear" w:color="auto" w:fill="auto"/>
            <w:vAlign w:val="bottom"/>
            <w:hideMark/>
          </w:tcPr>
          <w:p w:rsidR="009464EA" w:rsidRPr="00772AF7" w:rsidRDefault="009464EA" w:rsidP="00BB313D">
            <w:pPr>
              <w:widowControl w:val="0"/>
              <w:spacing w:line="240" w:lineRule="auto"/>
              <w:ind w:right="284" w:firstLineChars="100" w:firstLine="160"/>
              <w:jc w:val="right"/>
              <w:rPr>
                <w:rFonts w:eastAsia="Times New Roman" w:cs="Arial"/>
                <w:color w:val="000000"/>
                <w:sz w:val="16"/>
                <w:szCs w:val="16"/>
                <w:lang w:eastAsia="es-ES"/>
              </w:rPr>
            </w:pPr>
            <w:r w:rsidRPr="00772AF7">
              <w:rPr>
                <w:rFonts w:eastAsia="Times New Roman" w:cs="Arial"/>
                <w:color w:val="000000"/>
                <w:sz w:val="16"/>
                <w:szCs w:val="16"/>
                <w:lang w:eastAsia="es-ES"/>
              </w:rPr>
              <w:t>8,3</w:t>
            </w:r>
          </w:p>
        </w:tc>
      </w:tr>
      <w:tr w:rsidR="009464EA" w:rsidRPr="00E70663" w:rsidTr="00D122F5">
        <w:trPr>
          <w:jc w:val="center"/>
        </w:trPr>
        <w:tc>
          <w:tcPr>
            <w:tcW w:w="1129" w:type="pct"/>
            <w:tcBorders>
              <w:top w:val="nil"/>
              <w:left w:val="nil"/>
              <w:bottom w:val="nil"/>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sz w:val="16"/>
                <w:szCs w:val="16"/>
                <w:lang w:eastAsia="es-ES"/>
              </w:rPr>
              <w:t>De 201 a 500</w:t>
            </w:r>
          </w:p>
        </w:tc>
        <w:tc>
          <w:tcPr>
            <w:tcW w:w="1290" w:type="pct"/>
            <w:tcBorders>
              <w:top w:val="nil"/>
              <w:left w:val="nil"/>
              <w:bottom w:val="nil"/>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sz w:val="16"/>
                <w:szCs w:val="16"/>
                <w:lang w:eastAsia="es-ES"/>
              </w:rPr>
              <w:t>7.229</w:t>
            </w:r>
          </w:p>
        </w:tc>
        <w:tc>
          <w:tcPr>
            <w:tcW w:w="1290" w:type="pct"/>
            <w:tcBorders>
              <w:top w:val="nil"/>
              <w:left w:val="single" w:sz="4" w:space="0" w:color="BFBFBF" w:themeColor="background1" w:themeShade="BF"/>
              <w:bottom w:val="nil"/>
              <w:right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exact"/>
              <w:ind w:left="227" w:right="284" w:hanging="227"/>
              <w:jc w:val="right"/>
              <w:rPr>
                <w:rFonts w:eastAsia="Times New Roman" w:cs="Arial"/>
                <w:sz w:val="16"/>
                <w:szCs w:val="16"/>
                <w:lang w:eastAsia="es-ES"/>
              </w:rPr>
            </w:pPr>
            <w:r w:rsidRPr="00772AF7">
              <w:rPr>
                <w:rFonts w:eastAsia="Times New Roman" w:cs="Arial"/>
                <w:sz w:val="16"/>
                <w:szCs w:val="16"/>
                <w:lang w:eastAsia="es-ES"/>
              </w:rPr>
              <w:t>7.345</w:t>
            </w:r>
          </w:p>
        </w:tc>
        <w:tc>
          <w:tcPr>
            <w:tcW w:w="1290" w:type="pct"/>
            <w:tcBorders>
              <w:top w:val="nil"/>
              <w:left w:val="single" w:sz="4" w:space="0" w:color="BFBFBF" w:themeColor="background1" w:themeShade="BF"/>
              <w:bottom w:val="nil"/>
            </w:tcBorders>
            <w:shd w:val="clear" w:color="auto" w:fill="auto"/>
            <w:vAlign w:val="bottom"/>
            <w:hideMark/>
          </w:tcPr>
          <w:p w:rsidR="009464EA" w:rsidRPr="00772AF7" w:rsidRDefault="009464EA" w:rsidP="00BB313D">
            <w:pPr>
              <w:widowControl w:val="0"/>
              <w:spacing w:line="240" w:lineRule="auto"/>
              <w:ind w:right="284" w:firstLineChars="100" w:firstLine="160"/>
              <w:jc w:val="right"/>
              <w:rPr>
                <w:rFonts w:eastAsia="Times New Roman" w:cs="Arial"/>
                <w:color w:val="000000"/>
                <w:sz w:val="16"/>
                <w:szCs w:val="16"/>
                <w:lang w:eastAsia="es-ES"/>
              </w:rPr>
            </w:pPr>
            <w:r w:rsidRPr="00772AF7">
              <w:rPr>
                <w:rFonts w:eastAsia="Times New Roman" w:cs="Arial"/>
                <w:color w:val="000000"/>
                <w:sz w:val="16"/>
                <w:szCs w:val="16"/>
                <w:lang w:eastAsia="es-ES"/>
              </w:rPr>
              <w:t>1,6</w:t>
            </w:r>
          </w:p>
        </w:tc>
      </w:tr>
      <w:tr w:rsidR="009464EA" w:rsidRPr="00E70663" w:rsidTr="00D122F5">
        <w:trPr>
          <w:jc w:val="center"/>
        </w:trPr>
        <w:tc>
          <w:tcPr>
            <w:tcW w:w="1129" w:type="pct"/>
            <w:tcBorders>
              <w:top w:val="nil"/>
              <w:left w:val="nil"/>
              <w:bottom w:val="single" w:sz="8" w:space="0" w:color="BFBFBF"/>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sz w:val="16"/>
                <w:szCs w:val="16"/>
                <w:lang w:eastAsia="es-ES"/>
              </w:rPr>
              <w:t>Más de 500 empleos</w:t>
            </w:r>
          </w:p>
        </w:tc>
        <w:tc>
          <w:tcPr>
            <w:tcW w:w="1290" w:type="pct"/>
            <w:tcBorders>
              <w:top w:val="nil"/>
              <w:left w:val="nil"/>
              <w:bottom w:val="single" w:sz="8" w:space="0" w:color="BFBFBF"/>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sz w:val="16"/>
                <w:szCs w:val="16"/>
                <w:lang w:eastAsia="es-ES"/>
              </w:rPr>
              <w:t>21.646</w:t>
            </w:r>
          </w:p>
        </w:tc>
        <w:tc>
          <w:tcPr>
            <w:tcW w:w="129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exact"/>
              <w:ind w:left="227" w:right="284" w:hanging="227"/>
              <w:jc w:val="right"/>
              <w:rPr>
                <w:rFonts w:eastAsia="Times New Roman" w:cs="Arial"/>
                <w:sz w:val="16"/>
                <w:szCs w:val="16"/>
                <w:lang w:eastAsia="es-ES"/>
              </w:rPr>
            </w:pPr>
            <w:r w:rsidRPr="00772AF7">
              <w:rPr>
                <w:rFonts w:eastAsia="Times New Roman" w:cs="Arial"/>
                <w:sz w:val="16"/>
                <w:szCs w:val="16"/>
                <w:lang w:eastAsia="es-ES"/>
              </w:rPr>
              <w:t>20.608</w:t>
            </w:r>
          </w:p>
        </w:tc>
        <w:tc>
          <w:tcPr>
            <w:tcW w:w="1290" w:type="pct"/>
            <w:tcBorders>
              <w:top w:val="nil"/>
              <w:left w:val="single" w:sz="4" w:space="0" w:color="BFBFBF" w:themeColor="background1" w:themeShade="BF"/>
              <w:bottom w:val="single" w:sz="4" w:space="0" w:color="BFBFBF" w:themeColor="background1" w:themeShade="BF"/>
            </w:tcBorders>
            <w:shd w:val="clear" w:color="auto" w:fill="auto"/>
            <w:vAlign w:val="bottom"/>
            <w:hideMark/>
          </w:tcPr>
          <w:p w:rsidR="009464EA" w:rsidRPr="00772AF7" w:rsidRDefault="009464EA" w:rsidP="00BB313D">
            <w:pPr>
              <w:widowControl w:val="0"/>
              <w:spacing w:line="240" w:lineRule="auto"/>
              <w:ind w:right="284" w:firstLineChars="100" w:firstLine="160"/>
              <w:jc w:val="right"/>
              <w:rPr>
                <w:rFonts w:eastAsia="Times New Roman" w:cs="Arial"/>
                <w:color w:val="000000"/>
                <w:sz w:val="16"/>
                <w:szCs w:val="16"/>
                <w:lang w:eastAsia="es-ES"/>
              </w:rPr>
            </w:pPr>
            <w:r w:rsidRPr="00772AF7">
              <w:rPr>
                <w:rFonts w:eastAsia="Times New Roman" w:cs="Arial"/>
                <w:color w:val="000000"/>
                <w:sz w:val="16"/>
                <w:szCs w:val="16"/>
                <w:lang w:eastAsia="es-ES"/>
              </w:rPr>
              <w:t>-4,8</w:t>
            </w:r>
          </w:p>
        </w:tc>
      </w:tr>
      <w:tr w:rsidR="009464EA" w:rsidRPr="009464EA" w:rsidTr="00D122F5">
        <w:trPr>
          <w:jc w:val="center"/>
        </w:trPr>
        <w:tc>
          <w:tcPr>
            <w:tcW w:w="1129" w:type="pct"/>
            <w:tcBorders>
              <w:top w:val="nil"/>
              <w:left w:val="nil"/>
              <w:bottom w:val="single" w:sz="8" w:space="0" w:color="BFBFBF"/>
              <w:right w:val="single" w:sz="8" w:space="0" w:color="BFBFBF"/>
            </w:tcBorders>
            <w:shd w:val="clear" w:color="auto" w:fill="auto"/>
            <w:vAlign w:val="center"/>
            <w:hideMark/>
          </w:tcPr>
          <w:p w:rsidR="009464EA" w:rsidRPr="00E70663" w:rsidRDefault="009464EA" w:rsidP="00BB313D">
            <w:pPr>
              <w:widowControl w:val="0"/>
              <w:spacing w:line="240" w:lineRule="exact"/>
              <w:ind w:left="227" w:hanging="227"/>
              <w:rPr>
                <w:rFonts w:eastAsia="Times New Roman" w:cs="Arial"/>
                <w:sz w:val="16"/>
                <w:szCs w:val="16"/>
                <w:lang w:eastAsia="es-ES"/>
              </w:rPr>
            </w:pPr>
            <w:r w:rsidRPr="00E70663">
              <w:rPr>
                <w:rFonts w:eastAsia="Times New Roman" w:cs="Arial"/>
                <w:b/>
                <w:bCs/>
                <w:sz w:val="16"/>
                <w:szCs w:val="16"/>
                <w:lang w:eastAsia="es-ES"/>
              </w:rPr>
              <w:t>TOTAL</w:t>
            </w:r>
          </w:p>
        </w:tc>
        <w:tc>
          <w:tcPr>
            <w:tcW w:w="1290" w:type="pct"/>
            <w:tcBorders>
              <w:top w:val="nil"/>
              <w:left w:val="nil"/>
              <w:bottom w:val="single" w:sz="8" w:space="0" w:color="BFBFBF"/>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E70663">
              <w:rPr>
                <w:rFonts w:eastAsia="Times New Roman" w:cs="Arial"/>
                <w:b/>
                <w:bCs/>
                <w:sz w:val="16"/>
                <w:szCs w:val="16"/>
                <w:lang w:eastAsia="es-ES"/>
              </w:rPr>
              <w:t>55.809</w:t>
            </w:r>
          </w:p>
        </w:tc>
        <w:tc>
          <w:tcPr>
            <w:tcW w:w="129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center"/>
            <w:hideMark/>
          </w:tcPr>
          <w:p w:rsidR="009464EA" w:rsidRPr="00E70663" w:rsidRDefault="009464EA" w:rsidP="00BB313D">
            <w:pPr>
              <w:widowControl w:val="0"/>
              <w:spacing w:line="240" w:lineRule="exact"/>
              <w:ind w:left="227" w:right="284" w:hanging="227"/>
              <w:jc w:val="right"/>
              <w:rPr>
                <w:rFonts w:eastAsia="Times New Roman" w:cs="Arial"/>
                <w:sz w:val="16"/>
                <w:szCs w:val="16"/>
                <w:lang w:eastAsia="es-ES"/>
              </w:rPr>
            </w:pPr>
            <w:r w:rsidRPr="00FA7019">
              <w:rPr>
                <w:rFonts w:cs="Arial"/>
                <w:b/>
                <w:sz w:val="16"/>
                <w:szCs w:val="16"/>
              </w:rPr>
              <w:t>54.582</w:t>
            </w:r>
          </w:p>
        </w:tc>
        <w:tc>
          <w:tcPr>
            <w:tcW w:w="1290" w:type="pct"/>
            <w:tcBorders>
              <w:top w:val="single" w:sz="4" w:space="0" w:color="BFBFBF" w:themeColor="background1" w:themeShade="BF"/>
              <w:left w:val="single" w:sz="4" w:space="0" w:color="BFBFBF" w:themeColor="background1" w:themeShade="BF"/>
              <w:bottom w:val="single" w:sz="8" w:space="0" w:color="BFBFBF"/>
              <w:right w:val="nil"/>
            </w:tcBorders>
            <w:shd w:val="clear" w:color="auto" w:fill="auto"/>
            <w:vAlign w:val="bottom"/>
            <w:hideMark/>
          </w:tcPr>
          <w:p w:rsidR="009464EA" w:rsidRPr="009464EA" w:rsidRDefault="009464EA" w:rsidP="00BB313D">
            <w:pPr>
              <w:widowControl w:val="0"/>
              <w:spacing w:line="240" w:lineRule="auto"/>
              <w:ind w:right="284" w:firstLineChars="100" w:firstLine="161"/>
              <w:jc w:val="right"/>
              <w:rPr>
                <w:rFonts w:cs="Arial"/>
                <w:b/>
                <w:sz w:val="16"/>
                <w:szCs w:val="16"/>
              </w:rPr>
            </w:pPr>
            <w:r w:rsidRPr="009464EA">
              <w:rPr>
                <w:rFonts w:cs="Arial"/>
                <w:b/>
                <w:sz w:val="16"/>
                <w:szCs w:val="16"/>
              </w:rPr>
              <w:t>-2,2</w:t>
            </w:r>
          </w:p>
        </w:tc>
      </w:tr>
    </w:tbl>
    <w:p w:rsidR="005E0B67" w:rsidRPr="00E70663" w:rsidRDefault="005E0B67" w:rsidP="00BB313D">
      <w:pPr>
        <w:widowControl w:val="0"/>
      </w:pPr>
    </w:p>
    <w:p w:rsidR="003C6341" w:rsidRDefault="003C6341" w:rsidP="00BB313D">
      <w:pPr>
        <w:widowControl w:val="0"/>
        <w:spacing w:after="200" w:line="276" w:lineRule="auto"/>
        <w:jc w:val="left"/>
        <w:rPr>
          <w:rFonts w:cs="Arial"/>
          <w:b/>
          <w:color w:val="1F497D" w:themeColor="text2"/>
          <w:sz w:val="18"/>
          <w:szCs w:val="18"/>
        </w:rPr>
      </w:pPr>
      <w:r>
        <w:rPr>
          <w:rFonts w:cs="Arial"/>
          <w:b/>
          <w:color w:val="1F497D" w:themeColor="text2"/>
          <w:sz w:val="18"/>
          <w:szCs w:val="18"/>
        </w:rPr>
        <w:br w:type="page"/>
      </w:r>
    </w:p>
    <w:p w:rsidR="003C6341" w:rsidRPr="00B438BB" w:rsidRDefault="00DE1512" w:rsidP="00B438BB">
      <w:pPr>
        <w:widowControl w:val="0"/>
        <w:spacing w:line="240" w:lineRule="auto"/>
        <w:jc w:val="center"/>
        <w:rPr>
          <w:rFonts w:cs="Arial"/>
          <w:b/>
          <w:color w:val="1F497D" w:themeColor="text2"/>
          <w:sz w:val="18"/>
          <w:szCs w:val="18"/>
        </w:rPr>
      </w:pPr>
      <w:bookmarkStart w:id="29" w:name="_Toc391999578"/>
      <w:bookmarkStart w:id="30" w:name="_Toc450119461"/>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9F1045" w:rsidRPr="009F1045">
        <w:rPr>
          <w:rFonts w:cs="Arial"/>
          <w:b/>
          <w:color w:val="1F497D" w:themeColor="text2"/>
          <w:sz w:val="18"/>
          <w:szCs w:val="18"/>
        </w:rPr>
        <w:t xml:space="preserve"> </w:t>
      </w:r>
      <w:r w:rsidR="00A95E68" w:rsidRPr="00B438BB">
        <w:rPr>
          <w:rFonts w:cs="Arial"/>
          <w:b/>
          <w:color w:val="1F497D" w:themeColor="text2"/>
          <w:sz w:val="18"/>
          <w:szCs w:val="18"/>
        </w:rPr>
        <w:t xml:space="preserve"> </w:t>
      </w:r>
      <w:r w:rsidR="003C6341" w:rsidRPr="00B438BB">
        <w:rPr>
          <w:rFonts w:cs="Arial"/>
          <w:b/>
          <w:color w:val="1F497D" w:themeColor="text2"/>
          <w:sz w:val="18"/>
          <w:szCs w:val="18"/>
        </w:rPr>
        <w:t>EVOLUCIÓN DEL NÚMERO DE ESTABLECIMIENTOS COOPERATIVOS</w:t>
      </w:r>
      <w:bookmarkEnd w:id="29"/>
      <w:bookmarkEnd w:id="30"/>
      <w:r w:rsidR="003C6341" w:rsidRPr="00B438BB">
        <w:rPr>
          <w:rFonts w:cs="Arial"/>
          <w:b/>
          <w:color w:val="1F497D" w:themeColor="text2"/>
          <w:sz w:val="18"/>
          <w:szCs w:val="18"/>
        </w:rPr>
        <w:t xml:space="preserve"> </w:t>
      </w:r>
    </w:p>
    <w:p w:rsidR="003C6341" w:rsidRPr="00B438BB" w:rsidRDefault="00951362" w:rsidP="00B438BB">
      <w:pPr>
        <w:widowControl w:val="0"/>
        <w:spacing w:line="240" w:lineRule="auto"/>
        <w:jc w:val="center"/>
        <w:rPr>
          <w:rFonts w:cs="Arial"/>
          <w:b/>
          <w:color w:val="1F497D" w:themeColor="text2"/>
          <w:sz w:val="18"/>
          <w:szCs w:val="18"/>
        </w:rPr>
      </w:pPr>
      <w:r w:rsidRPr="00B438BB">
        <w:rPr>
          <w:rFonts w:cs="Arial"/>
          <w:b/>
          <w:color w:val="1F497D" w:themeColor="text2"/>
          <w:sz w:val="18"/>
          <w:szCs w:val="18"/>
        </w:rPr>
        <w:t>POR DIMENSIÓN 2012-2014</w:t>
      </w:r>
    </w:p>
    <w:tbl>
      <w:tblPr>
        <w:tblW w:w="9940" w:type="dxa"/>
        <w:jc w:val="center"/>
        <w:tblInd w:w="55" w:type="dxa"/>
        <w:tblCellMar>
          <w:left w:w="70" w:type="dxa"/>
          <w:right w:w="70" w:type="dxa"/>
        </w:tblCellMar>
        <w:tblLook w:val="04A0" w:firstRow="1" w:lastRow="0" w:firstColumn="1" w:lastColumn="0" w:noHBand="0" w:noVBand="1"/>
      </w:tblPr>
      <w:tblGrid>
        <w:gridCol w:w="4019"/>
        <w:gridCol w:w="2081"/>
        <w:gridCol w:w="1920"/>
        <w:gridCol w:w="1920"/>
      </w:tblGrid>
      <w:tr w:rsidR="00E70663" w:rsidRPr="00E70663" w:rsidTr="00D122F5">
        <w:trPr>
          <w:jc w:val="center"/>
        </w:trPr>
        <w:tc>
          <w:tcPr>
            <w:tcW w:w="3559" w:type="dxa"/>
            <w:vMerge w:val="restart"/>
            <w:tcBorders>
              <w:top w:val="single" w:sz="8" w:space="0" w:color="BFBFBF"/>
              <w:left w:val="nil"/>
              <w:bottom w:val="single" w:sz="8" w:space="0" w:color="BFBFBF"/>
              <w:right w:val="single" w:sz="8" w:space="0" w:color="BFBFBF"/>
            </w:tcBorders>
            <w:shd w:val="clear" w:color="000000" w:fill="DBE5F1"/>
            <w:vAlign w:val="bottom"/>
            <w:hideMark/>
          </w:tcPr>
          <w:p w:rsidR="003C6341" w:rsidRPr="00E70663" w:rsidRDefault="003C6341" w:rsidP="00BB313D">
            <w:pPr>
              <w:widowControl w:val="0"/>
              <w:spacing w:line="240" w:lineRule="exact"/>
              <w:jc w:val="left"/>
              <w:rPr>
                <w:rFonts w:ascii="Calibri" w:eastAsia="Times New Roman" w:hAnsi="Calibri" w:cs="Times New Roman"/>
                <w:sz w:val="22"/>
                <w:lang w:eastAsia="es-ES"/>
              </w:rPr>
            </w:pPr>
            <w:r w:rsidRPr="00E70663">
              <w:rPr>
                <w:rFonts w:ascii="Calibri" w:eastAsia="Times New Roman" w:hAnsi="Calibri" w:cs="Times New Roman"/>
                <w:sz w:val="22"/>
                <w:lang w:eastAsia="es-ES"/>
              </w:rPr>
              <w:t> </w:t>
            </w:r>
          </w:p>
        </w:tc>
        <w:tc>
          <w:tcPr>
            <w:tcW w:w="1843" w:type="dxa"/>
            <w:tcBorders>
              <w:top w:val="single" w:sz="8" w:space="0" w:color="BFBFBF"/>
              <w:left w:val="nil"/>
              <w:bottom w:val="nil"/>
              <w:right w:val="single" w:sz="8" w:space="0" w:color="BFBFBF"/>
            </w:tcBorders>
            <w:shd w:val="clear" w:color="000000" w:fill="DBE5F1"/>
            <w:vAlign w:val="bottom"/>
            <w:hideMark/>
          </w:tcPr>
          <w:p w:rsidR="003C6341" w:rsidRPr="00E70663" w:rsidRDefault="003C6341" w:rsidP="00BB313D">
            <w:pPr>
              <w:widowControl w:val="0"/>
              <w:spacing w:line="240" w:lineRule="exact"/>
              <w:jc w:val="center"/>
              <w:rPr>
                <w:rFonts w:eastAsia="Times New Roman" w:cs="Arial"/>
                <w:b/>
                <w:bCs/>
                <w:sz w:val="16"/>
                <w:szCs w:val="16"/>
                <w:lang w:eastAsia="es-ES"/>
              </w:rPr>
            </w:pPr>
            <w:r w:rsidRPr="00E70663">
              <w:rPr>
                <w:rFonts w:eastAsia="Times New Roman" w:cs="Arial"/>
                <w:b/>
                <w:bCs/>
                <w:sz w:val="16"/>
                <w:szCs w:val="16"/>
                <w:lang w:eastAsia="es-ES"/>
              </w:rPr>
              <w:t xml:space="preserve">Establecimientos </w:t>
            </w:r>
          </w:p>
        </w:tc>
        <w:tc>
          <w:tcPr>
            <w:tcW w:w="1701" w:type="dxa"/>
            <w:tcBorders>
              <w:top w:val="single" w:sz="8" w:space="0" w:color="BFBFBF"/>
              <w:left w:val="nil"/>
              <w:bottom w:val="nil"/>
              <w:right w:val="single" w:sz="8" w:space="0" w:color="BFBFBF"/>
            </w:tcBorders>
            <w:shd w:val="clear" w:color="000000" w:fill="DBE5F1"/>
            <w:vAlign w:val="bottom"/>
            <w:hideMark/>
          </w:tcPr>
          <w:p w:rsidR="003C6341" w:rsidRPr="00E70663" w:rsidRDefault="003C6341" w:rsidP="00BB313D">
            <w:pPr>
              <w:widowControl w:val="0"/>
              <w:spacing w:line="240" w:lineRule="exact"/>
              <w:jc w:val="center"/>
              <w:rPr>
                <w:rFonts w:eastAsia="Times New Roman" w:cs="Arial"/>
                <w:b/>
                <w:bCs/>
                <w:sz w:val="16"/>
                <w:szCs w:val="16"/>
                <w:lang w:eastAsia="es-ES"/>
              </w:rPr>
            </w:pPr>
            <w:r w:rsidRPr="00E70663">
              <w:rPr>
                <w:rFonts w:eastAsia="Times New Roman" w:cs="Arial"/>
                <w:b/>
                <w:bCs/>
                <w:sz w:val="16"/>
                <w:szCs w:val="16"/>
                <w:lang w:eastAsia="es-ES"/>
              </w:rPr>
              <w:t>Establecimientos</w:t>
            </w:r>
          </w:p>
        </w:tc>
        <w:tc>
          <w:tcPr>
            <w:tcW w:w="1701" w:type="dxa"/>
            <w:tcBorders>
              <w:top w:val="single" w:sz="8" w:space="0" w:color="BFBFBF"/>
              <w:left w:val="nil"/>
              <w:bottom w:val="nil"/>
              <w:right w:val="nil"/>
            </w:tcBorders>
            <w:shd w:val="clear" w:color="000000" w:fill="DBE5F1"/>
            <w:vAlign w:val="bottom"/>
            <w:hideMark/>
          </w:tcPr>
          <w:p w:rsidR="003C6341" w:rsidRPr="00E70663" w:rsidRDefault="003C6341" w:rsidP="00BB313D">
            <w:pPr>
              <w:widowControl w:val="0"/>
              <w:spacing w:line="240" w:lineRule="exact"/>
              <w:jc w:val="center"/>
              <w:rPr>
                <w:rFonts w:eastAsia="Times New Roman" w:cs="Arial"/>
                <w:b/>
                <w:bCs/>
                <w:sz w:val="16"/>
                <w:szCs w:val="16"/>
                <w:lang w:eastAsia="es-ES"/>
              </w:rPr>
            </w:pPr>
            <w:r w:rsidRPr="00E70663">
              <w:rPr>
                <w:rFonts w:eastAsia="Times New Roman" w:cs="Arial"/>
                <w:b/>
                <w:bCs/>
                <w:sz w:val="16"/>
                <w:szCs w:val="16"/>
                <w:lang w:eastAsia="es-ES"/>
              </w:rPr>
              <w:t xml:space="preserve">Evolución </w:t>
            </w:r>
          </w:p>
        </w:tc>
      </w:tr>
      <w:tr w:rsidR="00E70663" w:rsidRPr="00E70663" w:rsidTr="00D122F5">
        <w:trPr>
          <w:jc w:val="center"/>
        </w:trPr>
        <w:tc>
          <w:tcPr>
            <w:tcW w:w="3559" w:type="dxa"/>
            <w:vMerge/>
            <w:tcBorders>
              <w:top w:val="single" w:sz="8" w:space="0" w:color="BFBFBF"/>
              <w:left w:val="nil"/>
              <w:bottom w:val="single" w:sz="8" w:space="0" w:color="BFBFBF"/>
              <w:right w:val="single" w:sz="8" w:space="0" w:color="BFBFBF"/>
            </w:tcBorders>
            <w:vAlign w:val="center"/>
            <w:hideMark/>
          </w:tcPr>
          <w:p w:rsidR="003C6341" w:rsidRPr="00E70663" w:rsidRDefault="003C6341" w:rsidP="00BB313D">
            <w:pPr>
              <w:widowControl w:val="0"/>
              <w:spacing w:line="240" w:lineRule="exact"/>
              <w:jc w:val="left"/>
              <w:rPr>
                <w:rFonts w:ascii="Calibri" w:eastAsia="Times New Roman" w:hAnsi="Calibri" w:cs="Times New Roman"/>
                <w:sz w:val="22"/>
                <w:lang w:eastAsia="es-ES"/>
              </w:rPr>
            </w:pPr>
          </w:p>
        </w:tc>
        <w:tc>
          <w:tcPr>
            <w:tcW w:w="1843" w:type="dxa"/>
            <w:tcBorders>
              <w:top w:val="nil"/>
              <w:left w:val="nil"/>
              <w:bottom w:val="single" w:sz="8" w:space="0" w:color="BFBFBF"/>
              <w:right w:val="single" w:sz="8" w:space="0" w:color="BFBFBF"/>
            </w:tcBorders>
            <w:shd w:val="clear" w:color="000000" w:fill="DBE5F1"/>
            <w:vAlign w:val="bottom"/>
            <w:hideMark/>
          </w:tcPr>
          <w:p w:rsidR="003C6341" w:rsidRPr="00E70663" w:rsidRDefault="00951362" w:rsidP="00BB313D">
            <w:pPr>
              <w:widowControl w:val="0"/>
              <w:spacing w:line="240" w:lineRule="exact"/>
              <w:jc w:val="center"/>
              <w:rPr>
                <w:rFonts w:eastAsia="Times New Roman" w:cs="Arial"/>
                <w:b/>
                <w:bCs/>
                <w:sz w:val="16"/>
                <w:szCs w:val="16"/>
                <w:lang w:eastAsia="es-ES"/>
              </w:rPr>
            </w:pPr>
            <w:r>
              <w:rPr>
                <w:rFonts w:eastAsia="Times New Roman" w:cs="Arial"/>
                <w:b/>
                <w:bCs/>
                <w:sz w:val="16"/>
                <w:szCs w:val="16"/>
                <w:lang w:eastAsia="es-ES"/>
              </w:rPr>
              <w:t>2012</w:t>
            </w:r>
          </w:p>
        </w:tc>
        <w:tc>
          <w:tcPr>
            <w:tcW w:w="1701" w:type="dxa"/>
            <w:tcBorders>
              <w:top w:val="nil"/>
              <w:left w:val="nil"/>
              <w:bottom w:val="single" w:sz="8" w:space="0" w:color="BFBFBF"/>
              <w:right w:val="single" w:sz="8" w:space="0" w:color="BFBFBF"/>
            </w:tcBorders>
            <w:shd w:val="clear" w:color="000000" w:fill="DBE5F1"/>
            <w:vAlign w:val="bottom"/>
            <w:hideMark/>
          </w:tcPr>
          <w:p w:rsidR="003C6341" w:rsidRPr="00E70663" w:rsidRDefault="00951362" w:rsidP="00BB313D">
            <w:pPr>
              <w:widowControl w:val="0"/>
              <w:spacing w:line="240" w:lineRule="exact"/>
              <w:jc w:val="center"/>
              <w:rPr>
                <w:rFonts w:eastAsia="Times New Roman" w:cs="Arial"/>
                <w:b/>
                <w:bCs/>
                <w:sz w:val="16"/>
                <w:szCs w:val="16"/>
                <w:lang w:eastAsia="es-ES"/>
              </w:rPr>
            </w:pPr>
            <w:r>
              <w:rPr>
                <w:rFonts w:eastAsia="Times New Roman" w:cs="Arial"/>
                <w:b/>
                <w:bCs/>
                <w:sz w:val="16"/>
                <w:szCs w:val="16"/>
                <w:lang w:eastAsia="es-ES"/>
              </w:rPr>
              <w:t>2014</w:t>
            </w:r>
          </w:p>
        </w:tc>
        <w:tc>
          <w:tcPr>
            <w:tcW w:w="1701" w:type="dxa"/>
            <w:tcBorders>
              <w:top w:val="nil"/>
              <w:left w:val="nil"/>
              <w:bottom w:val="single" w:sz="8" w:space="0" w:color="BFBFBF"/>
              <w:right w:val="nil"/>
            </w:tcBorders>
            <w:shd w:val="clear" w:color="000000" w:fill="DBE5F1"/>
            <w:vAlign w:val="bottom"/>
            <w:hideMark/>
          </w:tcPr>
          <w:p w:rsidR="003C6341" w:rsidRPr="00E70663" w:rsidRDefault="00951362" w:rsidP="00BB313D">
            <w:pPr>
              <w:widowControl w:val="0"/>
              <w:spacing w:line="240" w:lineRule="exact"/>
              <w:jc w:val="center"/>
              <w:rPr>
                <w:rFonts w:eastAsia="Times New Roman" w:cs="Arial"/>
                <w:b/>
                <w:bCs/>
                <w:sz w:val="16"/>
                <w:szCs w:val="16"/>
                <w:lang w:eastAsia="es-ES"/>
              </w:rPr>
            </w:pPr>
            <w:r>
              <w:rPr>
                <w:rFonts w:eastAsia="Times New Roman" w:cs="Arial"/>
                <w:b/>
                <w:bCs/>
                <w:sz w:val="16"/>
                <w:szCs w:val="16"/>
                <w:lang w:eastAsia="es-ES"/>
              </w:rPr>
              <w:t>2012 - 2014</w:t>
            </w:r>
          </w:p>
        </w:tc>
      </w:tr>
      <w:tr w:rsidR="00867EA4" w:rsidRPr="00E70663" w:rsidTr="00D122F5">
        <w:trPr>
          <w:jc w:val="center"/>
        </w:trPr>
        <w:tc>
          <w:tcPr>
            <w:tcW w:w="3559"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sz w:val="16"/>
                <w:szCs w:val="16"/>
                <w:lang w:eastAsia="es-ES"/>
              </w:rPr>
            </w:pPr>
            <w:r w:rsidRPr="00E70663">
              <w:rPr>
                <w:rFonts w:eastAsia="Times New Roman" w:cs="Arial"/>
                <w:sz w:val="16"/>
                <w:szCs w:val="16"/>
                <w:lang w:eastAsia="es-ES"/>
              </w:rPr>
              <w:t>Hasta 5 empleos</w:t>
            </w:r>
          </w:p>
        </w:tc>
        <w:tc>
          <w:tcPr>
            <w:tcW w:w="1843"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900</w:t>
            </w:r>
          </w:p>
        </w:tc>
        <w:tc>
          <w:tcPr>
            <w:tcW w:w="1701" w:type="dxa"/>
            <w:tcBorders>
              <w:top w:val="nil"/>
              <w:left w:val="nil"/>
              <w:bottom w:val="nil"/>
              <w:right w:val="single" w:sz="8" w:space="0" w:color="BFBFBF"/>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943</w:t>
            </w:r>
          </w:p>
        </w:tc>
        <w:tc>
          <w:tcPr>
            <w:tcW w:w="1701" w:type="dxa"/>
            <w:tcBorders>
              <w:top w:val="nil"/>
              <w:left w:val="nil"/>
              <w:bottom w:val="nil"/>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4,8</w:t>
            </w:r>
          </w:p>
        </w:tc>
      </w:tr>
      <w:tr w:rsidR="00867EA4" w:rsidRPr="00E70663" w:rsidTr="00D122F5">
        <w:trPr>
          <w:jc w:val="center"/>
        </w:trPr>
        <w:tc>
          <w:tcPr>
            <w:tcW w:w="3559"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6 a 15</w:t>
            </w:r>
          </w:p>
        </w:tc>
        <w:tc>
          <w:tcPr>
            <w:tcW w:w="1843"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303</w:t>
            </w:r>
          </w:p>
        </w:tc>
        <w:tc>
          <w:tcPr>
            <w:tcW w:w="1701" w:type="dxa"/>
            <w:tcBorders>
              <w:top w:val="nil"/>
              <w:left w:val="nil"/>
              <w:bottom w:val="nil"/>
              <w:right w:val="single" w:sz="8" w:space="0" w:color="BFBFBF"/>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304</w:t>
            </w:r>
          </w:p>
        </w:tc>
        <w:tc>
          <w:tcPr>
            <w:tcW w:w="1701" w:type="dxa"/>
            <w:tcBorders>
              <w:top w:val="nil"/>
              <w:left w:val="nil"/>
              <w:bottom w:val="nil"/>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0,3</w:t>
            </w:r>
          </w:p>
        </w:tc>
      </w:tr>
      <w:tr w:rsidR="00867EA4" w:rsidRPr="00E70663" w:rsidTr="00D122F5">
        <w:trPr>
          <w:jc w:val="center"/>
        </w:trPr>
        <w:tc>
          <w:tcPr>
            <w:tcW w:w="3559"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16 a 50</w:t>
            </w:r>
          </w:p>
        </w:tc>
        <w:tc>
          <w:tcPr>
            <w:tcW w:w="1843"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181</w:t>
            </w:r>
          </w:p>
        </w:tc>
        <w:tc>
          <w:tcPr>
            <w:tcW w:w="1701" w:type="dxa"/>
            <w:tcBorders>
              <w:top w:val="nil"/>
              <w:left w:val="nil"/>
              <w:bottom w:val="nil"/>
              <w:right w:val="single" w:sz="8" w:space="0" w:color="BFBFBF"/>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167</w:t>
            </w:r>
          </w:p>
        </w:tc>
        <w:tc>
          <w:tcPr>
            <w:tcW w:w="1701" w:type="dxa"/>
            <w:tcBorders>
              <w:top w:val="nil"/>
              <w:left w:val="nil"/>
              <w:bottom w:val="nil"/>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-7,7</w:t>
            </w:r>
          </w:p>
        </w:tc>
      </w:tr>
      <w:tr w:rsidR="00867EA4" w:rsidRPr="00E70663" w:rsidTr="00D122F5">
        <w:trPr>
          <w:jc w:val="center"/>
        </w:trPr>
        <w:tc>
          <w:tcPr>
            <w:tcW w:w="3559"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51 a 100</w:t>
            </w:r>
          </w:p>
        </w:tc>
        <w:tc>
          <w:tcPr>
            <w:tcW w:w="1843"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94</w:t>
            </w:r>
          </w:p>
        </w:tc>
        <w:tc>
          <w:tcPr>
            <w:tcW w:w="1701" w:type="dxa"/>
            <w:tcBorders>
              <w:top w:val="nil"/>
              <w:left w:val="nil"/>
              <w:bottom w:val="nil"/>
              <w:right w:val="single" w:sz="8" w:space="0" w:color="BFBFBF"/>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101</w:t>
            </w:r>
          </w:p>
        </w:tc>
        <w:tc>
          <w:tcPr>
            <w:tcW w:w="1701" w:type="dxa"/>
            <w:tcBorders>
              <w:top w:val="nil"/>
              <w:left w:val="nil"/>
              <w:bottom w:val="nil"/>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7,4</w:t>
            </w:r>
          </w:p>
        </w:tc>
      </w:tr>
      <w:tr w:rsidR="00867EA4" w:rsidRPr="00E70663" w:rsidTr="00D122F5">
        <w:trPr>
          <w:jc w:val="center"/>
        </w:trPr>
        <w:tc>
          <w:tcPr>
            <w:tcW w:w="3559"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101 a 200</w:t>
            </w:r>
          </w:p>
        </w:tc>
        <w:tc>
          <w:tcPr>
            <w:tcW w:w="1843"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60</w:t>
            </w:r>
          </w:p>
        </w:tc>
        <w:tc>
          <w:tcPr>
            <w:tcW w:w="1701" w:type="dxa"/>
            <w:tcBorders>
              <w:top w:val="nil"/>
              <w:left w:val="nil"/>
              <w:bottom w:val="nil"/>
              <w:right w:val="single" w:sz="8" w:space="0" w:color="BFBFBF"/>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63</w:t>
            </w:r>
          </w:p>
        </w:tc>
        <w:tc>
          <w:tcPr>
            <w:tcW w:w="1701" w:type="dxa"/>
            <w:tcBorders>
              <w:top w:val="nil"/>
              <w:left w:val="nil"/>
              <w:bottom w:val="nil"/>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5,0</w:t>
            </w:r>
          </w:p>
        </w:tc>
      </w:tr>
      <w:tr w:rsidR="00867EA4" w:rsidRPr="00E70663" w:rsidTr="00D122F5">
        <w:trPr>
          <w:jc w:val="center"/>
        </w:trPr>
        <w:tc>
          <w:tcPr>
            <w:tcW w:w="3559"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sz w:val="16"/>
                <w:szCs w:val="16"/>
                <w:lang w:eastAsia="es-ES"/>
              </w:rPr>
            </w:pPr>
            <w:r w:rsidRPr="00E70663">
              <w:rPr>
                <w:rFonts w:eastAsia="Times New Roman" w:cs="Arial"/>
                <w:sz w:val="16"/>
                <w:szCs w:val="16"/>
                <w:lang w:eastAsia="es-ES"/>
              </w:rPr>
              <w:t>De 201 a 500</w:t>
            </w:r>
          </w:p>
        </w:tc>
        <w:tc>
          <w:tcPr>
            <w:tcW w:w="1843" w:type="dxa"/>
            <w:tcBorders>
              <w:top w:val="nil"/>
              <w:left w:val="nil"/>
              <w:bottom w:val="nil"/>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128</w:t>
            </w:r>
          </w:p>
        </w:tc>
        <w:tc>
          <w:tcPr>
            <w:tcW w:w="1701" w:type="dxa"/>
            <w:tcBorders>
              <w:top w:val="nil"/>
              <w:left w:val="nil"/>
              <w:bottom w:val="nil"/>
              <w:right w:val="single" w:sz="8" w:space="0" w:color="BFBFBF"/>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129</w:t>
            </w:r>
          </w:p>
        </w:tc>
        <w:tc>
          <w:tcPr>
            <w:tcW w:w="1701" w:type="dxa"/>
            <w:tcBorders>
              <w:top w:val="nil"/>
              <w:left w:val="nil"/>
              <w:bottom w:val="nil"/>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0,8</w:t>
            </w:r>
          </w:p>
        </w:tc>
      </w:tr>
      <w:tr w:rsidR="00867EA4" w:rsidRPr="00E70663" w:rsidTr="00D122F5">
        <w:trPr>
          <w:jc w:val="center"/>
        </w:trPr>
        <w:tc>
          <w:tcPr>
            <w:tcW w:w="3559" w:type="dxa"/>
            <w:tcBorders>
              <w:top w:val="nil"/>
              <w:left w:val="nil"/>
              <w:bottom w:val="single" w:sz="8" w:space="0" w:color="BFBFBF"/>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sz w:val="16"/>
                <w:szCs w:val="16"/>
                <w:lang w:eastAsia="es-ES"/>
              </w:rPr>
            </w:pPr>
            <w:r w:rsidRPr="00E70663">
              <w:rPr>
                <w:rFonts w:eastAsia="Times New Roman" w:cs="Arial"/>
                <w:sz w:val="16"/>
                <w:szCs w:val="16"/>
                <w:lang w:eastAsia="es-ES"/>
              </w:rPr>
              <w:t>Más de 500 empleos</w:t>
            </w:r>
          </w:p>
        </w:tc>
        <w:tc>
          <w:tcPr>
            <w:tcW w:w="1843" w:type="dxa"/>
            <w:tcBorders>
              <w:top w:val="nil"/>
              <w:left w:val="nil"/>
              <w:bottom w:val="single" w:sz="8" w:space="0" w:color="BFBFBF"/>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sz w:val="16"/>
                <w:szCs w:val="16"/>
                <w:lang w:eastAsia="es-ES"/>
              </w:rPr>
            </w:pPr>
            <w:r w:rsidRPr="00E70663">
              <w:rPr>
                <w:rFonts w:eastAsia="Times New Roman" w:cs="Arial"/>
                <w:sz w:val="16"/>
                <w:szCs w:val="16"/>
                <w:lang w:eastAsia="es-ES"/>
              </w:rPr>
              <w:t>528</w:t>
            </w:r>
          </w:p>
        </w:tc>
        <w:tc>
          <w:tcPr>
            <w:tcW w:w="1701" w:type="dxa"/>
            <w:tcBorders>
              <w:top w:val="nil"/>
              <w:left w:val="nil"/>
              <w:bottom w:val="single" w:sz="8" w:space="0" w:color="BFBFBF"/>
              <w:right w:val="single" w:sz="8" w:space="0" w:color="BFBFBF"/>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526</w:t>
            </w:r>
          </w:p>
        </w:tc>
        <w:tc>
          <w:tcPr>
            <w:tcW w:w="1701" w:type="dxa"/>
            <w:tcBorders>
              <w:top w:val="nil"/>
              <w:left w:val="nil"/>
              <w:bottom w:val="single" w:sz="8" w:space="0" w:color="BFBFBF"/>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sz w:val="16"/>
                <w:szCs w:val="16"/>
                <w:lang w:eastAsia="es-ES"/>
              </w:rPr>
              <w:t>-0,4</w:t>
            </w:r>
          </w:p>
        </w:tc>
      </w:tr>
      <w:tr w:rsidR="00867EA4" w:rsidRPr="00E70663" w:rsidTr="00D122F5">
        <w:trPr>
          <w:jc w:val="center"/>
        </w:trPr>
        <w:tc>
          <w:tcPr>
            <w:tcW w:w="3559" w:type="dxa"/>
            <w:tcBorders>
              <w:top w:val="nil"/>
              <w:left w:val="nil"/>
              <w:bottom w:val="single" w:sz="8" w:space="0" w:color="BFBFBF"/>
              <w:right w:val="single" w:sz="8" w:space="0" w:color="BFBFBF"/>
            </w:tcBorders>
            <w:shd w:val="clear" w:color="auto" w:fill="auto"/>
            <w:vAlign w:val="bottom"/>
            <w:hideMark/>
          </w:tcPr>
          <w:p w:rsidR="00867EA4" w:rsidRPr="00E70663" w:rsidRDefault="00867EA4" w:rsidP="00BB313D">
            <w:pPr>
              <w:widowControl w:val="0"/>
              <w:spacing w:line="240" w:lineRule="exact"/>
              <w:rPr>
                <w:rFonts w:eastAsia="Times New Roman" w:cs="Arial"/>
                <w:b/>
                <w:bCs/>
                <w:sz w:val="16"/>
                <w:szCs w:val="16"/>
                <w:lang w:eastAsia="es-ES"/>
              </w:rPr>
            </w:pPr>
            <w:r w:rsidRPr="00E70663">
              <w:rPr>
                <w:rFonts w:eastAsia="Times New Roman" w:cs="Arial"/>
                <w:b/>
                <w:bCs/>
                <w:sz w:val="16"/>
                <w:szCs w:val="16"/>
                <w:lang w:eastAsia="es-ES"/>
              </w:rPr>
              <w:t>TOTAL</w:t>
            </w:r>
          </w:p>
        </w:tc>
        <w:tc>
          <w:tcPr>
            <w:tcW w:w="1843" w:type="dxa"/>
            <w:tcBorders>
              <w:top w:val="nil"/>
              <w:left w:val="nil"/>
              <w:bottom w:val="single" w:sz="8" w:space="0" w:color="BFBFBF"/>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b/>
                <w:bCs/>
                <w:sz w:val="16"/>
                <w:szCs w:val="16"/>
                <w:lang w:eastAsia="es-ES"/>
              </w:rPr>
            </w:pPr>
            <w:r w:rsidRPr="00E70663">
              <w:rPr>
                <w:rFonts w:eastAsia="Times New Roman" w:cs="Arial"/>
                <w:b/>
                <w:bCs/>
                <w:sz w:val="16"/>
                <w:szCs w:val="16"/>
                <w:lang w:eastAsia="es-ES"/>
              </w:rPr>
              <w:t>2.194</w:t>
            </w:r>
          </w:p>
        </w:tc>
        <w:tc>
          <w:tcPr>
            <w:tcW w:w="1701" w:type="dxa"/>
            <w:tcBorders>
              <w:top w:val="nil"/>
              <w:left w:val="nil"/>
              <w:bottom w:val="single" w:sz="8" w:space="0" w:color="BFBFBF"/>
              <w:right w:val="single" w:sz="8" w:space="0" w:color="BFBFBF"/>
            </w:tcBorders>
            <w:shd w:val="clear" w:color="auto" w:fill="auto"/>
            <w:vAlign w:val="bottom"/>
            <w:hideMark/>
          </w:tcPr>
          <w:p w:rsidR="00867EA4" w:rsidRPr="00E70663" w:rsidRDefault="00867EA4" w:rsidP="00BB313D">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2.233</w:t>
            </w:r>
          </w:p>
        </w:tc>
        <w:tc>
          <w:tcPr>
            <w:tcW w:w="1701" w:type="dxa"/>
            <w:tcBorders>
              <w:top w:val="nil"/>
              <w:left w:val="nil"/>
              <w:bottom w:val="single" w:sz="8" w:space="0" w:color="BFBFBF"/>
              <w:right w:val="nil"/>
            </w:tcBorders>
            <w:shd w:val="clear" w:color="auto" w:fill="auto"/>
            <w:vAlign w:val="bottom"/>
            <w:hideMark/>
          </w:tcPr>
          <w:p w:rsidR="00867EA4" w:rsidRPr="00867EA4" w:rsidRDefault="00867EA4" w:rsidP="00BB313D">
            <w:pPr>
              <w:widowControl w:val="0"/>
              <w:spacing w:line="240" w:lineRule="exact"/>
              <w:ind w:right="170"/>
              <w:jc w:val="right"/>
              <w:rPr>
                <w:rFonts w:eastAsia="Times New Roman" w:cs="Arial"/>
                <w:sz w:val="16"/>
                <w:szCs w:val="16"/>
                <w:lang w:eastAsia="es-ES"/>
              </w:rPr>
            </w:pPr>
            <w:r w:rsidRPr="00867EA4">
              <w:rPr>
                <w:rFonts w:eastAsia="Times New Roman" w:cs="Arial"/>
                <w:b/>
                <w:bCs/>
                <w:sz w:val="16"/>
                <w:szCs w:val="16"/>
                <w:lang w:eastAsia="es-ES"/>
              </w:rPr>
              <w:t>1,8</w:t>
            </w:r>
          </w:p>
        </w:tc>
      </w:tr>
    </w:tbl>
    <w:p w:rsidR="00E70663" w:rsidRPr="00E70663" w:rsidRDefault="00E70663" w:rsidP="00BB313D">
      <w:pPr>
        <w:widowControl w:val="0"/>
      </w:pPr>
    </w:p>
    <w:p w:rsidR="00665097" w:rsidRPr="00F8288A" w:rsidRDefault="00DE1512" w:rsidP="00BB313D">
      <w:pPr>
        <w:widowControl w:val="0"/>
        <w:spacing w:line="240" w:lineRule="auto"/>
        <w:jc w:val="center"/>
        <w:rPr>
          <w:rFonts w:cs="Arial"/>
          <w:b/>
          <w:noProof/>
          <w:color w:val="1F497D" w:themeColor="text2"/>
          <w:sz w:val="18"/>
          <w:szCs w:val="18"/>
        </w:rPr>
      </w:pPr>
      <w:bookmarkStart w:id="31" w:name="_Toc391999579"/>
      <w:bookmarkStart w:id="32" w:name="_Toc450119462"/>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9F1045"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F8288A">
        <w:rPr>
          <w:rFonts w:cs="Arial"/>
          <w:b/>
          <w:noProof/>
          <w:color w:val="1F497D" w:themeColor="text2"/>
          <w:sz w:val="18"/>
          <w:szCs w:val="18"/>
        </w:rPr>
        <w:t>DIMENSION EN TÉRMINOS DE EMPLEO DE LOS ESTABLECIMIENTOS/EMPRESAS DE LA ECONOMIA SOCIAL Y LA ECONOMÍA DE LA CAE. 201</w:t>
      </w:r>
      <w:bookmarkEnd w:id="31"/>
      <w:r w:rsidR="001E5D2D">
        <w:rPr>
          <w:rFonts w:cs="Arial"/>
          <w:b/>
          <w:noProof/>
          <w:color w:val="1F497D" w:themeColor="text2"/>
          <w:sz w:val="18"/>
          <w:szCs w:val="18"/>
        </w:rPr>
        <w:t>4</w:t>
      </w:r>
      <w:bookmarkEnd w:id="32"/>
    </w:p>
    <w:tbl>
      <w:tblPr>
        <w:tblW w:w="9940" w:type="dxa"/>
        <w:jc w:val="center"/>
        <w:tblLook w:val="04A0" w:firstRow="1" w:lastRow="0" w:firstColumn="1" w:lastColumn="0" w:noHBand="0" w:noVBand="1"/>
      </w:tblPr>
      <w:tblGrid>
        <w:gridCol w:w="3536"/>
        <w:gridCol w:w="3177"/>
        <w:gridCol w:w="3227"/>
      </w:tblGrid>
      <w:tr w:rsidR="00665097" w:rsidRPr="00F8288A" w:rsidTr="00D122F5">
        <w:trPr>
          <w:jc w:val="center"/>
        </w:trPr>
        <w:tc>
          <w:tcPr>
            <w:tcW w:w="17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F8288A" w:rsidRDefault="00665097" w:rsidP="00BB313D">
            <w:pPr>
              <w:widowControl w:val="0"/>
              <w:spacing w:line="240" w:lineRule="exact"/>
              <w:jc w:val="center"/>
              <w:rPr>
                <w:rFonts w:cs="Arial"/>
                <w:b/>
                <w:snapToGrid w:val="0"/>
                <w:sz w:val="16"/>
                <w:szCs w:val="16"/>
              </w:rPr>
            </w:pPr>
          </w:p>
        </w:tc>
        <w:tc>
          <w:tcPr>
            <w:tcW w:w="15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F8288A" w:rsidRDefault="00665097" w:rsidP="00BB313D">
            <w:pPr>
              <w:widowControl w:val="0"/>
              <w:spacing w:line="240" w:lineRule="exact"/>
              <w:jc w:val="center"/>
              <w:rPr>
                <w:rFonts w:cs="Arial"/>
                <w:b/>
                <w:snapToGrid w:val="0"/>
                <w:sz w:val="16"/>
                <w:szCs w:val="16"/>
              </w:rPr>
            </w:pPr>
            <w:r w:rsidRPr="00F8288A">
              <w:rPr>
                <w:rFonts w:cs="Arial"/>
                <w:b/>
                <w:snapToGrid w:val="0"/>
                <w:sz w:val="16"/>
                <w:szCs w:val="16"/>
              </w:rPr>
              <w:t>Tamaño medio establecimiento</w:t>
            </w:r>
          </w:p>
        </w:tc>
        <w:tc>
          <w:tcPr>
            <w:tcW w:w="16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F8288A" w:rsidRDefault="00665097" w:rsidP="00BB313D">
            <w:pPr>
              <w:widowControl w:val="0"/>
              <w:spacing w:line="240" w:lineRule="exact"/>
              <w:jc w:val="center"/>
              <w:rPr>
                <w:rFonts w:cs="Arial"/>
                <w:b/>
                <w:snapToGrid w:val="0"/>
                <w:sz w:val="16"/>
                <w:szCs w:val="16"/>
              </w:rPr>
            </w:pPr>
            <w:r w:rsidRPr="00F8288A">
              <w:rPr>
                <w:rFonts w:cs="Arial"/>
                <w:b/>
                <w:snapToGrid w:val="0"/>
                <w:sz w:val="16"/>
                <w:szCs w:val="16"/>
              </w:rPr>
              <w:t>Tamaño medio empresa</w:t>
            </w:r>
          </w:p>
        </w:tc>
      </w:tr>
      <w:tr w:rsidR="00665097" w:rsidRPr="00F8288A" w:rsidTr="00D122F5">
        <w:trPr>
          <w:jc w:val="center"/>
        </w:trPr>
        <w:tc>
          <w:tcPr>
            <w:tcW w:w="1779" w:type="pct"/>
            <w:tcBorders>
              <w:top w:val="single" w:sz="4" w:space="0" w:color="BFBFBF" w:themeColor="background1" w:themeShade="BF"/>
              <w:right w:val="single" w:sz="4" w:space="0" w:color="BFBFBF" w:themeColor="background1" w:themeShade="BF"/>
            </w:tcBorders>
          </w:tcPr>
          <w:p w:rsidR="00665097" w:rsidRPr="00F8288A" w:rsidRDefault="00665097" w:rsidP="00BB313D">
            <w:pPr>
              <w:widowControl w:val="0"/>
              <w:spacing w:line="240" w:lineRule="exact"/>
              <w:rPr>
                <w:rFonts w:cs="Arial"/>
                <w:snapToGrid w:val="0"/>
                <w:sz w:val="16"/>
                <w:szCs w:val="16"/>
              </w:rPr>
            </w:pPr>
            <w:r w:rsidRPr="00F8288A">
              <w:rPr>
                <w:rFonts w:cs="Arial"/>
                <w:snapToGrid w:val="0"/>
                <w:sz w:val="16"/>
                <w:szCs w:val="16"/>
              </w:rPr>
              <w:t>Economía Social 201</w:t>
            </w:r>
            <w:r w:rsidR="001E5D2D">
              <w:rPr>
                <w:rFonts w:cs="Arial"/>
                <w:snapToGrid w:val="0"/>
                <w:sz w:val="16"/>
                <w:szCs w:val="16"/>
              </w:rPr>
              <w:t>4</w:t>
            </w:r>
          </w:p>
        </w:tc>
        <w:tc>
          <w:tcPr>
            <w:tcW w:w="15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F8288A" w:rsidRDefault="001E5D2D" w:rsidP="00BB313D">
            <w:pPr>
              <w:widowControl w:val="0"/>
              <w:spacing w:line="240" w:lineRule="exact"/>
              <w:ind w:right="284"/>
              <w:jc w:val="center"/>
              <w:rPr>
                <w:rFonts w:cs="Arial"/>
                <w:snapToGrid w:val="0"/>
                <w:sz w:val="16"/>
                <w:szCs w:val="16"/>
              </w:rPr>
            </w:pPr>
            <w:r>
              <w:rPr>
                <w:rFonts w:cs="Arial"/>
                <w:sz w:val="16"/>
                <w:szCs w:val="16"/>
              </w:rPr>
              <w:t>17,5</w:t>
            </w:r>
          </w:p>
        </w:tc>
        <w:tc>
          <w:tcPr>
            <w:tcW w:w="1623" w:type="pct"/>
            <w:tcBorders>
              <w:top w:val="single" w:sz="4" w:space="0" w:color="BFBFBF" w:themeColor="background1" w:themeShade="BF"/>
              <w:left w:val="single" w:sz="4" w:space="0" w:color="BFBFBF" w:themeColor="background1" w:themeShade="BF"/>
            </w:tcBorders>
          </w:tcPr>
          <w:p w:rsidR="00665097" w:rsidRPr="00F8288A" w:rsidRDefault="001E5D2D" w:rsidP="00BB313D">
            <w:pPr>
              <w:widowControl w:val="0"/>
              <w:spacing w:line="240" w:lineRule="exact"/>
              <w:ind w:right="284"/>
              <w:jc w:val="center"/>
              <w:rPr>
                <w:rFonts w:cs="Arial"/>
                <w:snapToGrid w:val="0"/>
                <w:sz w:val="16"/>
                <w:szCs w:val="16"/>
              </w:rPr>
            </w:pPr>
            <w:r>
              <w:rPr>
                <w:rFonts w:cs="Arial"/>
                <w:snapToGrid w:val="0"/>
                <w:sz w:val="16"/>
                <w:szCs w:val="16"/>
              </w:rPr>
              <w:t>22,9</w:t>
            </w:r>
          </w:p>
        </w:tc>
      </w:tr>
      <w:tr w:rsidR="00665097" w:rsidRPr="00F8288A" w:rsidTr="00D122F5">
        <w:trPr>
          <w:jc w:val="center"/>
        </w:trPr>
        <w:tc>
          <w:tcPr>
            <w:tcW w:w="1779" w:type="pct"/>
            <w:tcBorders>
              <w:bottom w:val="single" w:sz="4" w:space="0" w:color="BFBFBF" w:themeColor="background1" w:themeShade="BF"/>
              <w:right w:val="single" w:sz="4" w:space="0" w:color="BFBFBF" w:themeColor="background1" w:themeShade="BF"/>
            </w:tcBorders>
          </w:tcPr>
          <w:p w:rsidR="00665097" w:rsidRPr="00F8288A" w:rsidRDefault="00665097" w:rsidP="00BB313D">
            <w:pPr>
              <w:widowControl w:val="0"/>
              <w:spacing w:line="240" w:lineRule="exact"/>
              <w:rPr>
                <w:rFonts w:cs="Arial"/>
                <w:snapToGrid w:val="0"/>
                <w:sz w:val="16"/>
                <w:szCs w:val="16"/>
              </w:rPr>
            </w:pPr>
            <w:r w:rsidRPr="00F8288A">
              <w:rPr>
                <w:rFonts w:cs="Arial"/>
                <w:snapToGrid w:val="0"/>
                <w:sz w:val="16"/>
                <w:szCs w:val="16"/>
              </w:rPr>
              <w:t>Economía CAE 201</w:t>
            </w:r>
            <w:r w:rsidR="0087373F">
              <w:rPr>
                <w:rFonts w:cs="Arial"/>
                <w:snapToGrid w:val="0"/>
                <w:sz w:val="16"/>
                <w:szCs w:val="16"/>
              </w:rPr>
              <w:t>4</w:t>
            </w:r>
          </w:p>
        </w:tc>
        <w:tc>
          <w:tcPr>
            <w:tcW w:w="15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F8288A" w:rsidRDefault="0087373F" w:rsidP="00BB313D">
            <w:pPr>
              <w:widowControl w:val="0"/>
              <w:spacing w:line="240" w:lineRule="exact"/>
              <w:ind w:right="284"/>
              <w:jc w:val="center"/>
              <w:rPr>
                <w:rFonts w:cs="Arial"/>
                <w:snapToGrid w:val="0"/>
                <w:sz w:val="16"/>
                <w:szCs w:val="16"/>
              </w:rPr>
            </w:pPr>
            <w:r>
              <w:rPr>
                <w:rFonts w:cs="Arial"/>
                <w:snapToGrid w:val="0"/>
                <w:sz w:val="16"/>
                <w:szCs w:val="16"/>
              </w:rPr>
              <w:t>4,8</w:t>
            </w:r>
          </w:p>
        </w:tc>
        <w:tc>
          <w:tcPr>
            <w:tcW w:w="1623" w:type="pct"/>
            <w:tcBorders>
              <w:left w:val="single" w:sz="4" w:space="0" w:color="BFBFBF" w:themeColor="background1" w:themeShade="BF"/>
              <w:bottom w:val="single" w:sz="4" w:space="0" w:color="BFBFBF" w:themeColor="background1" w:themeShade="BF"/>
            </w:tcBorders>
          </w:tcPr>
          <w:p w:rsidR="00665097" w:rsidRPr="00F8288A" w:rsidRDefault="00EB12D3" w:rsidP="00BB313D">
            <w:pPr>
              <w:widowControl w:val="0"/>
              <w:spacing w:line="240" w:lineRule="exact"/>
              <w:ind w:right="284"/>
              <w:jc w:val="center"/>
              <w:rPr>
                <w:rFonts w:cs="Arial"/>
                <w:snapToGrid w:val="0"/>
                <w:sz w:val="16"/>
                <w:szCs w:val="16"/>
              </w:rPr>
            </w:pPr>
            <w:r>
              <w:rPr>
                <w:rFonts w:cs="Arial"/>
                <w:snapToGrid w:val="0"/>
                <w:sz w:val="16"/>
                <w:szCs w:val="16"/>
              </w:rPr>
              <w:t>5,3</w:t>
            </w:r>
          </w:p>
        </w:tc>
      </w:tr>
    </w:tbl>
    <w:p w:rsidR="00665097" w:rsidRPr="00D81D96" w:rsidRDefault="00665097" w:rsidP="00BB313D">
      <w:pPr>
        <w:widowControl w:val="0"/>
        <w:rPr>
          <w:rFonts w:cs="Arial"/>
          <w:i/>
          <w:sz w:val="16"/>
          <w:szCs w:val="16"/>
        </w:rPr>
      </w:pPr>
      <w:r>
        <w:rPr>
          <w:rFonts w:cs="Arial"/>
          <w:i/>
          <w:sz w:val="16"/>
          <w:szCs w:val="16"/>
        </w:rPr>
        <w:t>Nota: Los datos de la CAE proceden del</w:t>
      </w:r>
      <w:r w:rsidRPr="00D81D96">
        <w:rPr>
          <w:rFonts w:cs="Arial"/>
          <w:i/>
          <w:sz w:val="16"/>
          <w:szCs w:val="16"/>
        </w:rPr>
        <w:t xml:space="preserve"> Direc</w:t>
      </w:r>
      <w:r>
        <w:rPr>
          <w:rFonts w:cs="Arial"/>
          <w:i/>
          <w:sz w:val="16"/>
          <w:szCs w:val="16"/>
        </w:rPr>
        <w:t>torio de Act</w:t>
      </w:r>
      <w:r w:rsidR="001E5D2D">
        <w:rPr>
          <w:rFonts w:cs="Arial"/>
          <w:i/>
          <w:sz w:val="16"/>
          <w:szCs w:val="16"/>
        </w:rPr>
        <w:t xml:space="preserve">ividades Económicas. </w:t>
      </w:r>
      <w:proofErr w:type="spellStart"/>
      <w:r w:rsidR="001E5D2D">
        <w:rPr>
          <w:rFonts w:cs="Arial"/>
          <w:i/>
          <w:sz w:val="16"/>
          <w:szCs w:val="16"/>
        </w:rPr>
        <w:t>Eustat</w:t>
      </w:r>
      <w:proofErr w:type="spellEnd"/>
      <w:r w:rsidR="001E5D2D">
        <w:rPr>
          <w:rFonts w:cs="Arial"/>
          <w:i/>
          <w:sz w:val="16"/>
          <w:szCs w:val="16"/>
        </w:rPr>
        <w:t xml:space="preserve"> 2014</w:t>
      </w:r>
    </w:p>
    <w:p w:rsidR="006901F5" w:rsidRDefault="006901F5" w:rsidP="00BB313D">
      <w:pPr>
        <w:widowControl w:val="0"/>
      </w:pPr>
    </w:p>
    <w:p w:rsidR="00DB6D48" w:rsidRDefault="00DB6D48" w:rsidP="00BB313D">
      <w:pPr>
        <w:widowControl w:val="0"/>
      </w:pPr>
    </w:p>
    <w:p w:rsidR="00665097" w:rsidRPr="00033E92" w:rsidRDefault="00665097" w:rsidP="00BB313D">
      <w:pPr>
        <w:pStyle w:val="Ttulo1"/>
        <w:keepNext w:val="0"/>
        <w:ind w:left="708" w:hanging="708"/>
        <w:rPr>
          <w:color w:val="1F497D" w:themeColor="text2"/>
          <w:sz w:val="22"/>
          <w:szCs w:val="22"/>
        </w:rPr>
      </w:pPr>
      <w:bookmarkStart w:id="33" w:name="_Toc391999506"/>
      <w:bookmarkStart w:id="34" w:name="_Toc450118899"/>
      <w:r w:rsidRPr="00033E92">
        <w:rPr>
          <w:color w:val="1F497D" w:themeColor="text2"/>
          <w:sz w:val="22"/>
          <w:szCs w:val="22"/>
        </w:rPr>
        <w:t>1.1.-</w:t>
      </w:r>
      <w:r w:rsidRPr="00033E92">
        <w:rPr>
          <w:color w:val="1F497D" w:themeColor="text2"/>
          <w:sz w:val="22"/>
          <w:szCs w:val="22"/>
        </w:rPr>
        <w:tab/>
        <w:t>EMPLEO SECTORIAL DE LA ECONOMÍA SOCIAL</w:t>
      </w:r>
      <w:bookmarkEnd w:id="33"/>
      <w:bookmarkEnd w:id="34"/>
    </w:p>
    <w:p w:rsidR="00DD3D18" w:rsidRDefault="00DD3D18" w:rsidP="00BB313D">
      <w:pPr>
        <w:widowControl w:val="0"/>
        <w:jc w:val="center"/>
        <w:rPr>
          <w:rFonts w:cs="Arial"/>
          <w:b/>
          <w:noProof/>
          <w:color w:val="1F497D" w:themeColor="text2"/>
          <w:sz w:val="18"/>
          <w:szCs w:val="18"/>
        </w:rPr>
      </w:pPr>
    </w:p>
    <w:p w:rsidR="00E70663" w:rsidRDefault="00E70663" w:rsidP="00BB313D">
      <w:pPr>
        <w:widowControl w:val="0"/>
        <w:jc w:val="center"/>
        <w:rPr>
          <w:rFonts w:cs="Arial"/>
          <w:b/>
          <w:noProof/>
          <w:color w:val="1F497D" w:themeColor="text2"/>
          <w:sz w:val="18"/>
          <w:szCs w:val="18"/>
        </w:rPr>
      </w:pPr>
    </w:p>
    <w:p w:rsidR="00665097" w:rsidRDefault="00DE1512" w:rsidP="00BB313D">
      <w:pPr>
        <w:widowControl w:val="0"/>
        <w:spacing w:line="240" w:lineRule="auto"/>
        <w:jc w:val="center"/>
        <w:rPr>
          <w:rFonts w:cs="Arial"/>
          <w:b/>
          <w:noProof/>
          <w:color w:val="1F497D" w:themeColor="text2"/>
          <w:sz w:val="18"/>
          <w:szCs w:val="18"/>
        </w:rPr>
      </w:pPr>
      <w:bookmarkStart w:id="35" w:name="_Toc391999650"/>
      <w:bookmarkStart w:id="36" w:name="_Toc450119991"/>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D96911">
        <w:rPr>
          <w:rFonts w:cs="Arial"/>
          <w:b/>
          <w:noProof/>
          <w:color w:val="1F497D" w:themeColor="text2"/>
          <w:sz w:val="18"/>
          <w:szCs w:val="18"/>
        </w:rPr>
        <w:t>EVOLUCIÓN DEL EMPLEO INDUSTRIAL Y TERCIARIO DE LA ECONOMÍA SOCIAL</w:t>
      </w:r>
      <w:r w:rsidR="00F84D94">
        <w:rPr>
          <w:rFonts w:cs="Arial"/>
          <w:b/>
          <w:noProof/>
          <w:color w:val="1F497D" w:themeColor="text2"/>
          <w:sz w:val="18"/>
          <w:szCs w:val="18"/>
        </w:rPr>
        <w:t xml:space="preserve"> </w:t>
      </w:r>
      <w:r w:rsidR="00665097" w:rsidRPr="00D96911">
        <w:rPr>
          <w:rFonts w:cs="Arial"/>
          <w:b/>
          <w:noProof/>
          <w:color w:val="1F497D" w:themeColor="text2"/>
          <w:sz w:val="18"/>
          <w:szCs w:val="18"/>
        </w:rPr>
        <w:t>(Tasas de</w:t>
      </w:r>
      <w:r w:rsidR="00EB12D3">
        <w:rPr>
          <w:rFonts w:cs="Arial"/>
          <w:b/>
          <w:noProof/>
          <w:color w:val="1F497D" w:themeColor="text2"/>
          <w:sz w:val="18"/>
          <w:szCs w:val="18"/>
        </w:rPr>
        <w:t xml:space="preserve"> crecimiento en los bienios 2010-2012 y 2012-2014</w:t>
      </w:r>
      <w:r w:rsidR="00665097" w:rsidRPr="00D96911">
        <w:rPr>
          <w:rFonts w:cs="Arial"/>
          <w:b/>
          <w:noProof/>
          <w:color w:val="1F497D" w:themeColor="text2"/>
          <w:sz w:val="18"/>
          <w:szCs w:val="18"/>
        </w:rPr>
        <w:t>)</w:t>
      </w:r>
      <w:bookmarkEnd w:id="35"/>
      <w:bookmarkEnd w:id="36"/>
    </w:p>
    <w:p w:rsidR="00665097" w:rsidRDefault="00E70663" w:rsidP="00BB313D">
      <w:pPr>
        <w:widowControl w:val="0"/>
        <w:jc w:val="center"/>
        <w:rPr>
          <w:rFonts w:cs="Arial"/>
          <w:b/>
          <w:noProof/>
          <w:color w:val="1F497D" w:themeColor="text2"/>
          <w:sz w:val="18"/>
          <w:szCs w:val="18"/>
        </w:rPr>
      </w:pPr>
      <w:r>
        <w:rPr>
          <w:rFonts w:cs="Arial"/>
          <w:b/>
          <w:noProof/>
          <w:color w:val="1F497D" w:themeColor="text2"/>
          <w:sz w:val="18"/>
          <w:szCs w:val="18"/>
          <w:lang w:eastAsia="es-ES"/>
        </w:rPr>
        <w:drawing>
          <wp:anchor distT="121920" distB="30480" distL="333756" distR="166497" simplePos="0" relativeHeight="251726848" behindDoc="0" locked="0" layoutInCell="1" allowOverlap="1">
            <wp:simplePos x="0" y="0"/>
            <wp:positionH relativeFrom="column">
              <wp:posOffset>-129539</wp:posOffset>
            </wp:positionH>
            <wp:positionV relativeFrom="paragraph">
              <wp:posOffset>73660</wp:posOffset>
            </wp:positionV>
            <wp:extent cx="5734050" cy="2867025"/>
            <wp:effectExtent l="0" t="0" r="0" b="0"/>
            <wp:wrapNone/>
            <wp:docPr id="61"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i/>
          <w:sz w:val="16"/>
          <w:szCs w:val="16"/>
        </w:rPr>
      </w:pPr>
    </w:p>
    <w:p w:rsidR="00665097" w:rsidRPr="0089428C" w:rsidRDefault="00665097" w:rsidP="00BB313D">
      <w:pPr>
        <w:widowControl w:val="0"/>
        <w:jc w:val="center"/>
        <w:rPr>
          <w:rFonts w:cs="Arial"/>
          <w:i/>
          <w:sz w:val="16"/>
          <w:szCs w:val="16"/>
        </w:rPr>
      </w:pPr>
    </w:p>
    <w:p w:rsidR="00E70663" w:rsidRDefault="00E70663" w:rsidP="00BB313D">
      <w:pPr>
        <w:widowControl w:val="0"/>
      </w:pPr>
      <w:bookmarkStart w:id="37" w:name="_Toc391999580"/>
    </w:p>
    <w:p w:rsidR="00E70663" w:rsidRDefault="00E70663" w:rsidP="00BB313D">
      <w:pPr>
        <w:widowControl w:val="0"/>
      </w:pPr>
    </w:p>
    <w:p w:rsidR="00665097" w:rsidRPr="009262B3" w:rsidRDefault="00DE1512" w:rsidP="00BB313D">
      <w:pPr>
        <w:widowControl w:val="0"/>
        <w:spacing w:line="240" w:lineRule="auto"/>
        <w:jc w:val="center"/>
        <w:rPr>
          <w:rFonts w:cs="Arial"/>
          <w:b/>
          <w:color w:val="1F497D" w:themeColor="text2"/>
          <w:sz w:val="18"/>
          <w:szCs w:val="18"/>
        </w:rPr>
      </w:pPr>
      <w:bookmarkStart w:id="38" w:name="_Toc450119463"/>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9262B3">
        <w:rPr>
          <w:rFonts w:cs="Arial"/>
          <w:b/>
          <w:color w:val="1F497D" w:themeColor="text2"/>
          <w:sz w:val="18"/>
          <w:szCs w:val="18"/>
        </w:rPr>
        <w:t>DISTRIBUCIÓN SECTORIAL DEL EMPL</w:t>
      </w:r>
      <w:r w:rsidR="000F1E35">
        <w:rPr>
          <w:rFonts w:cs="Arial"/>
          <w:b/>
          <w:color w:val="1F497D" w:themeColor="text2"/>
          <w:sz w:val="18"/>
          <w:szCs w:val="18"/>
        </w:rPr>
        <w:t>EO DE LA ECONOMÍA SOCIAL EN 2012 y 2014</w:t>
      </w:r>
      <w:r w:rsidR="00665097" w:rsidRPr="009262B3">
        <w:rPr>
          <w:rFonts w:cs="Arial"/>
          <w:b/>
          <w:color w:val="1F497D" w:themeColor="text2"/>
          <w:sz w:val="18"/>
          <w:szCs w:val="18"/>
        </w:rPr>
        <w:t xml:space="preserve"> </w:t>
      </w:r>
      <w:r w:rsidR="00665097" w:rsidRPr="009262B3">
        <w:rPr>
          <w:rFonts w:cs="Arial"/>
          <w:b/>
          <w:noProof/>
          <w:color w:val="1F497D" w:themeColor="text2"/>
          <w:sz w:val="18"/>
          <w:szCs w:val="18"/>
        </w:rPr>
        <w:t>(</w:t>
      </w:r>
      <w:r w:rsidR="007D763B">
        <w:rPr>
          <w:rFonts w:cs="Arial"/>
          <w:b/>
          <w:noProof/>
          <w:color w:val="1F497D" w:themeColor="text2"/>
          <w:sz w:val="18"/>
          <w:szCs w:val="18"/>
        </w:rPr>
        <w:t>cifras absolutas y % verticales</w:t>
      </w:r>
      <w:r w:rsidR="00665097" w:rsidRPr="009262B3">
        <w:rPr>
          <w:rFonts w:cs="Arial"/>
          <w:b/>
          <w:noProof/>
          <w:color w:val="1F497D" w:themeColor="text2"/>
          <w:sz w:val="18"/>
          <w:szCs w:val="18"/>
        </w:rPr>
        <w:t>)</w:t>
      </w:r>
      <w:bookmarkEnd w:id="37"/>
      <w:bookmarkEnd w:id="38"/>
    </w:p>
    <w:tbl>
      <w:tblPr>
        <w:tblW w:w="9940" w:type="dxa"/>
        <w:jc w:val="center"/>
        <w:tblLook w:val="04A0" w:firstRow="1" w:lastRow="0" w:firstColumn="1" w:lastColumn="0" w:noHBand="0" w:noVBand="1"/>
      </w:tblPr>
      <w:tblGrid>
        <w:gridCol w:w="2956"/>
        <w:gridCol w:w="1875"/>
        <w:gridCol w:w="22"/>
        <w:gridCol w:w="1777"/>
        <w:gridCol w:w="1785"/>
        <w:gridCol w:w="1525"/>
      </w:tblGrid>
      <w:tr w:rsidR="00665097" w:rsidRPr="008F2765" w:rsidTr="00D122F5">
        <w:trPr>
          <w:jc w:val="center"/>
        </w:trPr>
        <w:tc>
          <w:tcPr>
            <w:tcW w:w="1487"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8F2765" w:rsidRDefault="00665097" w:rsidP="00BB313D">
            <w:pPr>
              <w:widowControl w:val="0"/>
              <w:spacing w:line="240" w:lineRule="exact"/>
              <w:rPr>
                <w:rFonts w:cs="Arial"/>
                <w:b/>
                <w:sz w:val="16"/>
                <w:szCs w:val="16"/>
              </w:rPr>
            </w:pPr>
          </w:p>
        </w:tc>
        <w:tc>
          <w:tcPr>
            <w:tcW w:w="184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8F2765" w:rsidRDefault="008B46F2" w:rsidP="00BB313D">
            <w:pPr>
              <w:widowControl w:val="0"/>
              <w:spacing w:line="240" w:lineRule="exact"/>
              <w:jc w:val="center"/>
              <w:rPr>
                <w:rFonts w:cs="Arial"/>
                <w:b/>
                <w:bCs/>
                <w:sz w:val="16"/>
                <w:szCs w:val="16"/>
              </w:rPr>
            </w:pPr>
            <w:r>
              <w:rPr>
                <w:rFonts w:cs="Arial"/>
                <w:b/>
                <w:bCs/>
                <w:sz w:val="16"/>
                <w:szCs w:val="16"/>
              </w:rPr>
              <w:t>2012</w:t>
            </w:r>
          </w:p>
        </w:tc>
        <w:tc>
          <w:tcPr>
            <w:tcW w:w="16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8F2765" w:rsidRDefault="008B46F2" w:rsidP="00BB313D">
            <w:pPr>
              <w:widowControl w:val="0"/>
              <w:spacing w:line="240" w:lineRule="exact"/>
              <w:jc w:val="center"/>
              <w:rPr>
                <w:rFonts w:cs="Arial"/>
                <w:b/>
                <w:bCs/>
                <w:sz w:val="16"/>
                <w:szCs w:val="16"/>
              </w:rPr>
            </w:pPr>
            <w:r>
              <w:rPr>
                <w:rFonts w:cs="Arial"/>
                <w:b/>
                <w:bCs/>
                <w:sz w:val="16"/>
                <w:szCs w:val="16"/>
              </w:rPr>
              <w:t>2014</w:t>
            </w:r>
          </w:p>
        </w:tc>
      </w:tr>
      <w:tr w:rsidR="00665097" w:rsidRPr="008F2765" w:rsidTr="00D122F5">
        <w:trPr>
          <w:jc w:val="center"/>
        </w:trPr>
        <w:tc>
          <w:tcPr>
            <w:tcW w:w="1487"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8F2765" w:rsidRDefault="00665097" w:rsidP="00BB313D">
            <w:pPr>
              <w:widowControl w:val="0"/>
              <w:spacing w:line="240" w:lineRule="exact"/>
              <w:rPr>
                <w:rFonts w:cs="Arial"/>
                <w:b/>
                <w:sz w:val="16"/>
                <w:szCs w:val="16"/>
              </w:rPr>
            </w:pPr>
          </w:p>
        </w:tc>
        <w:tc>
          <w:tcPr>
            <w:tcW w:w="95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8F2765" w:rsidRDefault="007D763B"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8F2765" w:rsidRDefault="00153402" w:rsidP="00BB313D">
            <w:pPr>
              <w:widowControl w:val="0"/>
              <w:spacing w:line="240" w:lineRule="exact"/>
              <w:jc w:val="center"/>
              <w:rPr>
                <w:rFonts w:cs="Arial"/>
                <w:b/>
                <w:bCs/>
                <w:sz w:val="16"/>
                <w:szCs w:val="16"/>
              </w:rPr>
            </w:pPr>
            <w:r>
              <w:rPr>
                <w:rFonts w:cs="Arial"/>
                <w:b/>
                <w:bCs/>
                <w:sz w:val="16"/>
                <w:szCs w:val="16"/>
              </w:rPr>
              <w:t>% ver.</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8F2765" w:rsidRDefault="007D763B"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767"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8F2765" w:rsidRDefault="00153402" w:rsidP="00BB313D">
            <w:pPr>
              <w:widowControl w:val="0"/>
              <w:spacing w:line="240" w:lineRule="exact"/>
              <w:jc w:val="center"/>
              <w:rPr>
                <w:rFonts w:cs="Arial"/>
                <w:b/>
                <w:bCs/>
                <w:sz w:val="16"/>
                <w:szCs w:val="16"/>
              </w:rPr>
            </w:pPr>
            <w:r>
              <w:rPr>
                <w:rFonts w:cs="Arial"/>
                <w:b/>
                <w:bCs/>
                <w:sz w:val="16"/>
                <w:szCs w:val="16"/>
              </w:rPr>
              <w:t>% ver.</w:t>
            </w:r>
          </w:p>
        </w:tc>
      </w:tr>
      <w:tr w:rsidR="000F1E35" w:rsidRPr="00D96911" w:rsidTr="00D122F5">
        <w:trPr>
          <w:jc w:val="center"/>
        </w:trPr>
        <w:tc>
          <w:tcPr>
            <w:tcW w:w="1487" w:type="pct"/>
            <w:tcBorders>
              <w:top w:val="single" w:sz="4" w:space="0" w:color="BFBFBF" w:themeColor="background1" w:themeShade="BF"/>
              <w:right w:val="single" w:sz="4" w:space="0" w:color="BFBFBF" w:themeColor="background1" w:themeShade="BF"/>
            </w:tcBorders>
            <w:hideMark/>
          </w:tcPr>
          <w:p w:rsidR="000F1E35" w:rsidRPr="00D96911" w:rsidRDefault="000F1E35" w:rsidP="00BB313D">
            <w:pPr>
              <w:widowControl w:val="0"/>
              <w:spacing w:line="240" w:lineRule="exact"/>
              <w:rPr>
                <w:rFonts w:cs="Arial"/>
                <w:sz w:val="16"/>
                <w:szCs w:val="16"/>
              </w:rPr>
            </w:pPr>
            <w:r w:rsidRPr="00D96911">
              <w:rPr>
                <w:rFonts w:cs="Arial"/>
                <w:sz w:val="16"/>
                <w:szCs w:val="16"/>
              </w:rPr>
              <w:t xml:space="preserve">Primario </w:t>
            </w:r>
          </w:p>
        </w:tc>
        <w:tc>
          <w:tcPr>
            <w:tcW w:w="943" w:type="pct"/>
            <w:tcBorders>
              <w:top w:val="single" w:sz="4" w:space="0" w:color="BFBFBF" w:themeColor="background1" w:themeShade="BF"/>
              <w:left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117</w:t>
            </w:r>
          </w:p>
        </w:tc>
        <w:tc>
          <w:tcPr>
            <w:tcW w:w="905" w:type="pct"/>
            <w:gridSpan w:val="2"/>
            <w:tcBorders>
              <w:top w:val="single" w:sz="4" w:space="0" w:color="BFBFBF" w:themeColor="background1" w:themeShade="BF"/>
              <w:right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0,2</w:t>
            </w:r>
          </w:p>
        </w:tc>
        <w:tc>
          <w:tcPr>
            <w:tcW w:w="898" w:type="pct"/>
            <w:tcBorders>
              <w:top w:val="single" w:sz="4" w:space="0" w:color="BFBFBF" w:themeColor="background1" w:themeShade="BF"/>
              <w:left w:val="single" w:sz="4" w:space="0" w:color="BFBFBF" w:themeColor="background1" w:themeShade="BF"/>
            </w:tcBorders>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171</w:t>
            </w:r>
          </w:p>
        </w:tc>
        <w:tc>
          <w:tcPr>
            <w:tcW w:w="767" w:type="pct"/>
            <w:tcBorders>
              <w:top w:val="single" w:sz="4" w:space="0" w:color="BFBFBF" w:themeColor="background1" w:themeShade="BF"/>
            </w:tcBorders>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0,3</w:t>
            </w:r>
          </w:p>
        </w:tc>
      </w:tr>
      <w:tr w:rsidR="000F1E35" w:rsidRPr="00D96911" w:rsidTr="00D122F5">
        <w:trPr>
          <w:jc w:val="center"/>
        </w:trPr>
        <w:tc>
          <w:tcPr>
            <w:tcW w:w="1487" w:type="pct"/>
            <w:tcBorders>
              <w:right w:val="single" w:sz="4" w:space="0" w:color="BFBFBF" w:themeColor="background1" w:themeShade="BF"/>
            </w:tcBorders>
            <w:hideMark/>
          </w:tcPr>
          <w:p w:rsidR="000F1E35" w:rsidRPr="00D96911" w:rsidRDefault="000F1E35" w:rsidP="00BB313D">
            <w:pPr>
              <w:widowControl w:val="0"/>
              <w:spacing w:line="240" w:lineRule="exact"/>
              <w:rPr>
                <w:rFonts w:cs="Arial"/>
                <w:sz w:val="16"/>
                <w:szCs w:val="16"/>
              </w:rPr>
            </w:pPr>
            <w:r w:rsidRPr="00D96911">
              <w:rPr>
                <w:rFonts w:cs="Arial"/>
                <w:sz w:val="16"/>
                <w:szCs w:val="16"/>
              </w:rPr>
              <w:t>Industria</w:t>
            </w:r>
          </w:p>
        </w:tc>
        <w:tc>
          <w:tcPr>
            <w:tcW w:w="943" w:type="pct"/>
            <w:tcBorders>
              <w:left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25.727</w:t>
            </w:r>
          </w:p>
        </w:tc>
        <w:tc>
          <w:tcPr>
            <w:tcW w:w="905" w:type="pct"/>
            <w:gridSpan w:val="2"/>
            <w:tcBorders>
              <w:right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46,1</w:t>
            </w:r>
          </w:p>
        </w:tc>
        <w:tc>
          <w:tcPr>
            <w:tcW w:w="898" w:type="pct"/>
            <w:tcBorders>
              <w:left w:val="single" w:sz="4" w:space="0" w:color="BFBFBF" w:themeColor="background1" w:themeShade="BF"/>
            </w:tcBorders>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23.807</w:t>
            </w:r>
          </w:p>
        </w:tc>
        <w:tc>
          <w:tcPr>
            <w:tcW w:w="767" w:type="pct"/>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43,6</w:t>
            </w:r>
          </w:p>
        </w:tc>
      </w:tr>
      <w:tr w:rsidR="000F1E35" w:rsidRPr="00D96911" w:rsidTr="00D122F5">
        <w:trPr>
          <w:jc w:val="center"/>
        </w:trPr>
        <w:tc>
          <w:tcPr>
            <w:tcW w:w="1487" w:type="pct"/>
            <w:tcBorders>
              <w:right w:val="single" w:sz="4" w:space="0" w:color="BFBFBF" w:themeColor="background1" w:themeShade="BF"/>
            </w:tcBorders>
            <w:hideMark/>
          </w:tcPr>
          <w:p w:rsidR="000F1E35" w:rsidRPr="00D96911" w:rsidRDefault="000F1E35" w:rsidP="00BB313D">
            <w:pPr>
              <w:widowControl w:val="0"/>
              <w:spacing w:line="240" w:lineRule="exact"/>
              <w:rPr>
                <w:rFonts w:cs="Arial"/>
                <w:sz w:val="16"/>
                <w:szCs w:val="16"/>
              </w:rPr>
            </w:pPr>
            <w:r w:rsidRPr="00D96911">
              <w:rPr>
                <w:rFonts w:cs="Arial"/>
                <w:sz w:val="16"/>
                <w:szCs w:val="16"/>
              </w:rPr>
              <w:t>Construcción</w:t>
            </w:r>
          </w:p>
        </w:tc>
        <w:tc>
          <w:tcPr>
            <w:tcW w:w="943" w:type="pct"/>
            <w:tcBorders>
              <w:left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2.000</w:t>
            </w:r>
          </w:p>
        </w:tc>
        <w:tc>
          <w:tcPr>
            <w:tcW w:w="905" w:type="pct"/>
            <w:gridSpan w:val="2"/>
            <w:tcBorders>
              <w:right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3,6</w:t>
            </w:r>
          </w:p>
        </w:tc>
        <w:tc>
          <w:tcPr>
            <w:tcW w:w="898" w:type="pct"/>
            <w:tcBorders>
              <w:left w:val="single" w:sz="4" w:space="0" w:color="BFBFBF" w:themeColor="background1" w:themeShade="BF"/>
            </w:tcBorders>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1.599</w:t>
            </w:r>
          </w:p>
        </w:tc>
        <w:tc>
          <w:tcPr>
            <w:tcW w:w="767" w:type="pct"/>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2,9</w:t>
            </w:r>
          </w:p>
        </w:tc>
      </w:tr>
      <w:tr w:rsidR="000F1E35" w:rsidRPr="00D96911" w:rsidTr="00D122F5">
        <w:trPr>
          <w:jc w:val="center"/>
        </w:trPr>
        <w:tc>
          <w:tcPr>
            <w:tcW w:w="1487" w:type="pct"/>
            <w:tcBorders>
              <w:bottom w:val="single" w:sz="4" w:space="0" w:color="BFBFBF" w:themeColor="background1" w:themeShade="BF"/>
              <w:right w:val="single" w:sz="4" w:space="0" w:color="BFBFBF" w:themeColor="background1" w:themeShade="BF"/>
            </w:tcBorders>
            <w:hideMark/>
          </w:tcPr>
          <w:p w:rsidR="000F1E35" w:rsidRPr="00D96911" w:rsidRDefault="000F1E35" w:rsidP="00BB313D">
            <w:pPr>
              <w:widowControl w:val="0"/>
              <w:spacing w:line="240" w:lineRule="exact"/>
              <w:rPr>
                <w:rFonts w:cs="Arial"/>
                <w:sz w:val="16"/>
                <w:szCs w:val="16"/>
              </w:rPr>
            </w:pPr>
            <w:r w:rsidRPr="00D96911">
              <w:rPr>
                <w:rFonts w:cs="Arial"/>
                <w:sz w:val="16"/>
                <w:szCs w:val="16"/>
              </w:rPr>
              <w:t>Servicios</w:t>
            </w:r>
          </w:p>
        </w:tc>
        <w:tc>
          <w:tcPr>
            <w:tcW w:w="943" w:type="pct"/>
            <w:tcBorders>
              <w:left w:val="single" w:sz="4" w:space="0" w:color="BFBFBF" w:themeColor="background1" w:themeShade="BF"/>
              <w:bottom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27.966</w:t>
            </w:r>
          </w:p>
        </w:tc>
        <w:tc>
          <w:tcPr>
            <w:tcW w:w="905" w:type="pct"/>
            <w:gridSpan w:val="2"/>
            <w:tcBorders>
              <w:bottom w:val="single" w:sz="4" w:space="0" w:color="BFBFBF" w:themeColor="background1" w:themeShade="BF"/>
              <w:right w:val="single" w:sz="4" w:space="0" w:color="BFBFBF" w:themeColor="background1" w:themeShade="BF"/>
            </w:tcBorders>
            <w:hideMark/>
          </w:tcPr>
          <w:p w:rsidR="000F1E35" w:rsidRPr="00D96911" w:rsidRDefault="000F1E35" w:rsidP="00BB313D">
            <w:pPr>
              <w:widowControl w:val="0"/>
              <w:spacing w:line="240" w:lineRule="exact"/>
              <w:ind w:right="170"/>
              <w:jc w:val="right"/>
              <w:rPr>
                <w:rFonts w:cs="Arial"/>
                <w:sz w:val="16"/>
                <w:szCs w:val="16"/>
              </w:rPr>
            </w:pPr>
            <w:r w:rsidRPr="00D96911">
              <w:rPr>
                <w:rFonts w:cs="Arial"/>
                <w:sz w:val="16"/>
                <w:szCs w:val="16"/>
              </w:rPr>
              <w:t>50,1</w:t>
            </w:r>
          </w:p>
        </w:tc>
        <w:tc>
          <w:tcPr>
            <w:tcW w:w="898" w:type="pct"/>
            <w:tcBorders>
              <w:left w:val="single" w:sz="4" w:space="0" w:color="BFBFBF" w:themeColor="background1" w:themeShade="BF"/>
              <w:bottom w:val="single" w:sz="4" w:space="0" w:color="BFBFBF" w:themeColor="background1" w:themeShade="BF"/>
            </w:tcBorders>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29.005</w:t>
            </w:r>
          </w:p>
        </w:tc>
        <w:tc>
          <w:tcPr>
            <w:tcW w:w="767" w:type="pct"/>
            <w:tcBorders>
              <w:bottom w:val="single" w:sz="4" w:space="0" w:color="BFBFBF" w:themeColor="background1" w:themeShade="BF"/>
            </w:tcBorders>
            <w:vAlign w:val="bottom"/>
            <w:hideMark/>
          </w:tcPr>
          <w:p w:rsidR="000F1E35" w:rsidRPr="000F1E35" w:rsidRDefault="000F1E35" w:rsidP="00BB313D">
            <w:pPr>
              <w:widowControl w:val="0"/>
              <w:spacing w:line="240" w:lineRule="exact"/>
              <w:ind w:right="170"/>
              <w:jc w:val="right"/>
              <w:rPr>
                <w:rFonts w:cs="Arial"/>
                <w:sz w:val="16"/>
                <w:szCs w:val="16"/>
              </w:rPr>
            </w:pPr>
            <w:r w:rsidRPr="000F1E35">
              <w:rPr>
                <w:rFonts w:cs="Arial"/>
                <w:sz w:val="16"/>
                <w:szCs w:val="16"/>
              </w:rPr>
              <w:t>53,1</w:t>
            </w:r>
          </w:p>
        </w:tc>
      </w:tr>
      <w:tr w:rsidR="008B46F2" w:rsidRPr="00D96911" w:rsidTr="00D122F5">
        <w:trPr>
          <w:jc w:val="center"/>
        </w:trPr>
        <w:tc>
          <w:tcPr>
            <w:tcW w:w="148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8B46F2" w:rsidRPr="00D96911" w:rsidRDefault="008B46F2" w:rsidP="00BB313D">
            <w:pPr>
              <w:widowControl w:val="0"/>
              <w:spacing w:line="240" w:lineRule="exact"/>
              <w:rPr>
                <w:rFonts w:cs="Arial"/>
                <w:b/>
                <w:bCs/>
                <w:sz w:val="16"/>
                <w:szCs w:val="16"/>
              </w:rPr>
            </w:pPr>
            <w:r w:rsidRPr="00D96911">
              <w:rPr>
                <w:rFonts w:cs="Arial"/>
                <w:b/>
                <w:bCs/>
                <w:sz w:val="16"/>
                <w:szCs w:val="16"/>
              </w:rPr>
              <w:t>TOTAL</w:t>
            </w:r>
          </w:p>
        </w:tc>
        <w:tc>
          <w:tcPr>
            <w:tcW w:w="943"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8B46F2" w:rsidRPr="00D96911" w:rsidRDefault="008B46F2" w:rsidP="00BB313D">
            <w:pPr>
              <w:widowControl w:val="0"/>
              <w:spacing w:line="240" w:lineRule="exact"/>
              <w:ind w:right="170"/>
              <w:jc w:val="right"/>
              <w:rPr>
                <w:rFonts w:cs="Arial"/>
                <w:b/>
                <w:bCs/>
                <w:sz w:val="16"/>
                <w:szCs w:val="16"/>
              </w:rPr>
            </w:pPr>
            <w:r w:rsidRPr="00D96911">
              <w:rPr>
                <w:rFonts w:cs="Arial"/>
                <w:b/>
                <w:bCs/>
                <w:sz w:val="16"/>
                <w:szCs w:val="16"/>
              </w:rPr>
              <w:t>55.809</w:t>
            </w:r>
          </w:p>
        </w:tc>
        <w:tc>
          <w:tcPr>
            <w:tcW w:w="905"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8B46F2" w:rsidRPr="00D96911" w:rsidRDefault="008B46F2" w:rsidP="00BB313D">
            <w:pPr>
              <w:widowControl w:val="0"/>
              <w:spacing w:line="240" w:lineRule="exact"/>
              <w:ind w:right="170"/>
              <w:jc w:val="right"/>
              <w:rPr>
                <w:rFonts w:cs="Arial"/>
                <w:b/>
                <w:bCs/>
                <w:sz w:val="16"/>
                <w:szCs w:val="16"/>
              </w:rPr>
            </w:pPr>
            <w:r w:rsidRPr="00D96911">
              <w:rPr>
                <w:rFonts w:cs="Arial"/>
                <w:b/>
                <w:bCs/>
                <w:sz w:val="16"/>
                <w:szCs w:val="16"/>
              </w:rPr>
              <w:t>100</w:t>
            </w:r>
            <w:r w:rsidR="007F441F">
              <w:rPr>
                <w:rFonts w:cs="Arial"/>
                <w:b/>
                <w:bCs/>
                <w:sz w:val="16"/>
                <w:szCs w:val="16"/>
              </w:rPr>
              <w:t>,0</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8B46F2" w:rsidRPr="00D96911" w:rsidRDefault="000F1E35" w:rsidP="00BB313D">
            <w:pPr>
              <w:widowControl w:val="0"/>
              <w:spacing w:line="240" w:lineRule="exact"/>
              <w:ind w:right="170"/>
              <w:jc w:val="right"/>
              <w:rPr>
                <w:rFonts w:cs="Arial"/>
                <w:b/>
                <w:bCs/>
                <w:sz w:val="16"/>
                <w:szCs w:val="16"/>
              </w:rPr>
            </w:pPr>
            <w:r w:rsidRPr="000F1E35">
              <w:rPr>
                <w:rFonts w:cs="Arial"/>
                <w:b/>
                <w:bCs/>
                <w:sz w:val="16"/>
                <w:szCs w:val="16"/>
              </w:rPr>
              <w:t>54.582</w:t>
            </w:r>
          </w:p>
        </w:tc>
        <w:tc>
          <w:tcPr>
            <w:tcW w:w="767" w:type="pct"/>
            <w:tcBorders>
              <w:top w:val="single" w:sz="4" w:space="0" w:color="BFBFBF" w:themeColor="background1" w:themeShade="BF"/>
              <w:bottom w:val="single" w:sz="4" w:space="0" w:color="BFBFBF" w:themeColor="background1" w:themeShade="BF"/>
            </w:tcBorders>
            <w:hideMark/>
          </w:tcPr>
          <w:p w:rsidR="008B46F2" w:rsidRPr="00D96911" w:rsidRDefault="008B46F2" w:rsidP="00BB313D">
            <w:pPr>
              <w:widowControl w:val="0"/>
              <w:spacing w:line="240" w:lineRule="exact"/>
              <w:ind w:right="170"/>
              <w:jc w:val="right"/>
              <w:rPr>
                <w:rFonts w:cs="Arial"/>
                <w:b/>
                <w:bCs/>
                <w:sz w:val="16"/>
                <w:szCs w:val="16"/>
              </w:rPr>
            </w:pPr>
            <w:r w:rsidRPr="00D96911">
              <w:rPr>
                <w:rFonts w:cs="Arial"/>
                <w:b/>
                <w:bCs/>
                <w:sz w:val="16"/>
                <w:szCs w:val="16"/>
              </w:rPr>
              <w:t>100</w:t>
            </w:r>
            <w:r w:rsidR="007F441F">
              <w:rPr>
                <w:rFonts w:cs="Arial"/>
                <w:b/>
                <w:bCs/>
                <w:sz w:val="16"/>
                <w:szCs w:val="16"/>
              </w:rPr>
              <w:t>,0</w:t>
            </w:r>
          </w:p>
        </w:tc>
      </w:tr>
    </w:tbl>
    <w:p w:rsidR="00665097" w:rsidRDefault="00665097" w:rsidP="00BB313D">
      <w:pPr>
        <w:widowControl w:val="0"/>
        <w:rPr>
          <w:rFonts w:cs="Arial"/>
        </w:rPr>
      </w:pPr>
    </w:p>
    <w:p w:rsidR="001C63DE" w:rsidRDefault="001C63DE" w:rsidP="00BB313D">
      <w:pPr>
        <w:widowControl w:val="0"/>
        <w:rPr>
          <w:rFonts w:cs="Arial"/>
        </w:rPr>
      </w:pPr>
    </w:p>
    <w:p w:rsidR="00665097" w:rsidRDefault="00DE1512" w:rsidP="00BB313D">
      <w:pPr>
        <w:widowControl w:val="0"/>
        <w:spacing w:line="240" w:lineRule="auto"/>
        <w:jc w:val="center"/>
        <w:rPr>
          <w:rFonts w:cs="Arial"/>
          <w:b/>
          <w:noProof/>
          <w:color w:val="1F497D" w:themeColor="text2"/>
          <w:sz w:val="18"/>
          <w:szCs w:val="18"/>
        </w:rPr>
      </w:pPr>
      <w:bookmarkStart w:id="39" w:name="_Toc391999651"/>
      <w:bookmarkStart w:id="40" w:name="_Toc450119992"/>
      <w:r w:rsidRPr="009F1045">
        <w:rPr>
          <w:rFonts w:cs="Arial"/>
          <w:b/>
          <w:color w:val="1F497D" w:themeColor="text2"/>
          <w:sz w:val="18"/>
          <w:szCs w:val="18"/>
        </w:rPr>
        <w:lastRenderedPageBreak/>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9262B3">
        <w:rPr>
          <w:rFonts w:cs="Arial"/>
          <w:b/>
          <w:noProof/>
          <w:color w:val="1F497D" w:themeColor="text2"/>
          <w:sz w:val="18"/>
          <w:szCs w:val="18"/>
        </w:rPr>
        <w:t xml:space="preserve">COMPARATIVA DE LA DISTRIBUCIÓN SECTORIAL DEL EMPLEO EN EL TOTAL DE LA ECONOMÍA DE LA </w:t>
      </w:r>
      <w:r w:rsidR="00B67E26">
        <w:rPr>
          <w:rFonts w:cs="Arial"/>
          <w:b/>
          <w:noProof/>
          <w:color w:val="1F497D" w:themeColor="text2"/>
          <w:sz w:val="18"/>
          <w:szCs w:val="18"/>
        </w:rPr>
        <w:t>CAE Y EN LA ECONOMÍA SOCIAL 2014</w:t>
      </w:r>
      <w:r w:rsidR="00665097" w:rsidRPr="009262B3">
        <w:rPr>
          <w:rFonts w:cs="Arial"/>
          <w:b/>
          <w:noProof/>
          <w:color w:val="1F497D" w:themeColor="text2"/>
          <w:sz w:val="18"/>
          <w:szCs w:val="18"/>
        </w:rPr>
        <w:t xml:space="preserve"> (%v sobre el total de empleo en cada ámbito)</w:t>
      </w:r>
      <w:bookmarkEnd w:id="39"/>
      <w:bookmarkEnd w:id="40"/>
    </w:p>
    <w:p w:rsidR="00665097" w:rsidRDefault="00665097" w:rsidP="00BB313D">
      <w:pPr>
        <w:widowControl w:val="0"/>
        <w:jc w:val="center"/>
        <w:rPr>
          <w:rFonts w:cs="Arial"/>
          <w:b/>
          <w:noProof/>
          <w:color w:val="1F497D" w:themeColor="text2"/>
          <w:sz w:val="18"/>
          <w:szCs w:val="18"/>
        </w:rPr>
      </w:pPr>
      <w:r>
        <w:rPr>
          <w:rFonts w:cs="Arial"/>
          <w:b/>
          <w:noProof/>
          <w:color w:val="1F497D" w:themeColor="text2"/>
          <w:sz w:val="18"/>
          <w:szCs w:val="18"/>
          <w:lang w:eastAsia="es-ES"/>
        </w:rPr>
        <w:drawing>
          <wp:anchor distT="0" distB="0" distL="114300" distR="114300" simplePos="0" relativeHeight="251727872" behindDoc="0" locked="0" layoutInCell="1" allowOverlap="1">
            <wp:simplePos x="0" y="0"/>
            <wp:positionH relativeFrom="column">
              <wp:posOffset>137436</wp:posOffset>
            </wp:positionH>
            <wp:positionV relativeFrom="paragraph">
              <wp:posOffset>58144</wp:posOffset>
            </wp:positionV>
            <wp:extent cx="5390984" cy="1828800"/>
            <wp:effectExtent l="0" t="0" r="0" b="0"/>
            <wp:wrapNone/>
            <wp:docPr id="62"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pStyle w:val="Piedepgina"/>
        <w:widowControl w:val="0"/>
        <w:tabs>
          <w:tab w:val="clear" w:pos="4252"/>
          <w:tab w:val="clear" w:pos="8504"/>
          <w:tab w:val="left" w:pos="1276"/>
        </w:tabs>
        <w:ind w:left="1276" w:hanging="425"/>
        <w:rPr>
          <w:rFonts w:cs="Arial"/>
          <w:i/>
          <w:sz w:val="16"/>
          <w:szCs w:val="16"/>
        </w:rPr>
      </w:pPr>
    </w:p>
    <w:p w:rsidR="00665097" w:rsidRPr="00662291" w:rsidRDefault="00DD3D18" w:rsidP="00BB313D">
      <w:pPr>
        <w:pStyle w:val="Piedepgina"/>
        <w:widowControl w:val="0"/>
        <w:tabs>
          <w:tab w:val="clear" w:pos="4252"/>
          <w:tab w:val="clear" w:pos="8504"/>
          <w:tab w:val="left" w:pos="1276"/>
        </w:tabs>
        <w:ind w:left="1276" w:hanging="425"/>
        <w:rPr>
          <w:rFonts w:ascii="Tahoma" w:hAnsi="Tahoma" w:cs="Tahoma"/>
          <w:snapToGrid w:val="0"/>
          <w:lang w:val="es-ES_tradnl"/>
        </w:rPr>
      </w:pPr>
      <w:r>
        <w:rPr>
          <w:rFonts w:cs="Arial"/>
          <w:i/>
          <w:sz w:val="16"/>
          <w:szCs w:val="16"/>
        </w:rPr>
        <w:t xml:space="preserve">Nota: </w:t>
      </w:r>
      <w:r w:rsidR="00665097" w:rsidRPr="00662291">
        <w:rPr>
          <w:rFonts w:cs="Arial"/>
          <w:i/>
          <w:sz w:val="16"/>
          <w:szCs w:val="16"/>
        </w:rPr>
        <w:t>Los datos de comparación proceden de la Encuesta de Población en Relación con la Actividad PRA</w:t>
      </w:r>
      <w:r w:rsidR="00771D56">
        <w:rPr>
          <w:rFonts w:cs="Arial"/>
          <w:i/>
          <w:sz w:val="16"/>
          <w:szCs w:val="16"/>
        </w:rPr>
        <w:t xml:space="preserve"> </w:t>
      </w:r>
      <w:proofErr w:type="spellStart"/>
      <w:r w:rsidR="00771D56">
        <w:rPr>
          <w:rFonts w:cs="Arial"/>
          <w:i/>
          <w:sz w:val="16"/>
          <w:szCs w:val="16"/>
        </w:rPr>
        <w:t>Eustat</w:t>
      </w:r>
      <w:proofErr w:type="spellEnd"/>
      <w:r w:rsidR="00771D56">
        <w:rPr>
          <w:rFonts w:cs="Arial"/>
          <w:i/>
          <w:sz w:val="16"/>
          <w:szCs w:val="16"/>
        </w:rPr>
        <w:t xml:space="preserve"> 2014</w:t>
      </w:r>
      <w:r w:rsidR="00665097">
        <w:rPr>
          <w:rFonts w:cs="Arial"/>
          <w:i/>
          <w:sz w:val="16"/>
          <w:szCs w:val="16"/>
        </w:rPr>
        <w:t>.</w:t>
      </w:r>
      <w:r w:rsidR="00665097" w:rsidRPr="00662291">
        <w:rPr>
          <w:rFonts w:cs="Arial"/>
          <w:i/>
          <w:sz w:val="16"/>
          <w:szCs w:val="16"/>
        </w:rPr>
        <w:t xml:space="preserve"> Promedio de ocupación anual</w:t>
      </w:r>
    </w:p>
    <w:p w:rsidR="00665097" w:rsidRDefault="00665097" w:rsidP="00BB313D">
      <w:pPr>
        <w:widowControl w:val="0"/>
      </w:pPr>
    </w:p>
    <w:p w:rsidR="00665097" w:rsidRDefault="00665097" w:rsidP="00BB313D">
      <w:pPr>
        <w:widowControl w:val="0"/>
        <w:rPr>
          <w:b/>
          <w:color w:val="1F497D" w:themeColor="text2"/>
          <w:sz w:val="18"/>
          <w:szCs w:val="18"/>
        </w:rPr>
      </w:pPr>
    </w:p>
    <w:p w:rsidR="00665097" w:rsidRPr="003B5717" w:rsidRDefault="00DE1512" w:rsidP="00BB313D">
      <w:pPr>
        <w:widowControl w:val="0"/>
        <w:spacing w:line="240" w:lineRule="auto"/>
        <w:jc w:val="center"/>
        <w:rPr>
          <w:rFonts w:cs="Arial"/>
          <w:b/>
          <w:color w:val="1F497D" w:themeColor="text2"/>
          <w:sz w:val="18"/>
          <w:szCs w:val="18"/>
        </w:rPr>
      </w:pPr>
      <w:bookmarkStart w:id="41" w:name="_Toc391999652"/>
      <w:bookmarkStart w:id="42" w:name="_Toc450119993"/>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3B5717">
        <w:rPr>
          <w:rFonts w:cs="Arial"/>
          <w:b/>
          <w:color w:val="1F497D" w:themeColor="text2"/>
          <w:sz w:val="18"/>
          <w:szCs w:val="18"/>
        </w:rPr>
        <w:t xml:space="preserve">IMPORTANCIA RELATIVA DE LA ECONOMÍA SOCIAL EN LA ECONOMÍA DE LA CAE </w:t>
      </w:r>
      <w:r w:rsidR="00B42B3B">
        <w:rPr>
          <w:rFonts w:cs="Arial"/>
          <w:b/>
          <w:color w:val="1F497D" w:themeColor="text2"/>
          <w:sz w:val="18"/>
          <w:szCs w:val="18"/>
        </w:rPr>
        <w:t>(Peso relativo del empleo). 2010</w:t>
      </w:r>
      <w:r w:rsidR="00665097" w:rsidRPr="003B5717">
        <w:rPr>
          <w:rFonts w:cs="Arial"/>
          <w:b/>
          <w:color w:val="1F497D" w:themeColor="text2"/>
          <w:sz w:val="18"/>
          <w:szCs w:val="18"/>
        </w:rPr>
        <w:t>-201</w:t>
      </w:r>
      <w:bookmarkEnd w:id="41"/>
      <w:r w:rsidR="00B42B3B">
        <w:rPr>
          <w:rFonts w:cs="Arial"/>
          <w:b/>
          <w:color w:val="1F497D" w:themeColor="text2"/>
          <w:sz w:val="18"/>
          <w:szCs w:val="18"/>
        </w:rPr>
        <w:t>4</w:t>
      </w:r>
      <w:bookmarkEnd w:id="42"/>
    </w:p>
    <w:p w:rsidR="00665097" w:rsidRDefault="00665097" w:rsidP="00BB313D">
      <w:pPr>
        <w:widowControl w:val="0"/>
        <w:rPr>
          <w:b/>
          <w:highlight w:val="yellow"/>
        </w:rPr>
      </w:pPr>
    </w:p>
    <w:p w:rsidR="00665097" w:rsidRDefault="00665097" w:rsidP="00BB313D">
      <w:pPr>
        <w:widowControl w:val="0"/>
        <w:rPr>
          <w:b/>
          <w:highlight w:val="yellow"/>
        </w:rPr>
      </w:pPr>
    </w:p>
    <w:p w:rsidR="00665097" w:rsidRDefault="00665097" w:rsidP="00BB313D">
      <w:pPr>
        <w:widowControl w:val="0"/>
        <w:rPr>
          <w:b/>
          <w:highlight w:val="yellow"/>
        </w:rPr>
      </w:pPr>
      <w:r w:rsidRPr="006E4576">
        <w:rPr>
          <w:b/>
          <w:noProof/>
          <w:lang w:eastAsia="es-ES"/>
        </w:rPr>
        <w:drawing>
          <wp:anchor distT="0" distB="0" distL="114300" distR="114300" simplePos="0" relativeHeight="251752448" behindDoc="0" locked="0" layoutInCell="1" allowOverlap="1">
            <wp:simplePos x="0" y="0"/>
            <wp:positionH relativeFrom="column">
              <wp:posOffset>24765</wp:posOffset>
            </wp:positionH>
            <wp:positionV relativeFrom="paragraph">
              <wp:posOffset>-263525</wp:posOffset>
            </wp:positionV>
            <wp:extent cx="5362575" cy="1828800"/>
            <wp:effectExtent l="0" t="0" r="0" b="0"/>
            <wp:wrapNone/>
            <wp:docPr id="63"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665097" w:rsidRDefault="00665097" w:rsidP="00BB313D">
      <w:pPr>
        <w:widowControl w:val="0"/>
        <w:rPr>
          <w:highlight w:val="yellow"/>
        </w:rPr>
      </w:pPr>
    </w:p>
    <w:p w:rsidR="00665097" w:rsidRDefault="00665097" w:rsidP="00BB313D">
      <w:pPr>
        <w:widowControl w:val="0"/>
        <w:rPr>
          <w:highlight w:val="yellow"/>
        </w:rPr>
      </w:pPr>
    </w:p>
    <w:p w:rsidR="00665097" w:rsidRDefault="00665097" w:rsidP="00BB313D">
      <w:pPr>
        <w:widowControl w:val="0"/>
        <w:rPr>
          <w:highlight w:val="yellow"/>
        </w:rPr>
      </w:pPr>
    </w:p>
    <w:p w:rsidR="00665097" w:rsidRDefault="00665097" w:rsidP="00BB313D">
      <w:pPr>
        <w:widowControl w:val="0"/>
        <w:rPr>
          <w:highlight w:val="yellow"/>
        </w:rPr>
      </w:pPr>
    </w:p>
    <w:p w:rsidR="00665097" w:rsidRDefault="00665097" w:rsidP="00BB313D">
      <w:pPr>
        <w:widowControl w:val="0"/>
        <w:rPr>
          <w:highlight w:val="yellow"/>
        </w:rPr>
      </w:pPr>
    </w:p>
    <w:p w:rsidR="00665097" w:rsidRDefault="00665097" w:rsidP="00BB313D">
      <w:pPr>
        <w:widowControl w:val="0"/>
        <w:rPr>
          <w:highlight w:val="yellow"/>
        </w:rPr>
      </w:pPr>
    </w:p>
    <w:p w:rsidR="00665097" w:rsidRPr="008E49F0" w:rsidRDefault="00665097" w:rsidP="00BB313D">
      <w:pPr>
        <w:pStyle w:val="Piedepgina"/>
        <w:widowControl w:val="0"/>
        <w:tabs>
          <w:tab w:val="clear" w:pos="4252"/>
          <w:tab w:val="clear" w:pos="8504"/>
          <w:tab w:val="left" w:pos="1276"/>
        </w:tabs>
        <w:ind w:left="1276" w:hanging="425"/>
        <w:rPr>
          <w:rFonts w:ascii="Tahoma" w:hAnsi="Tahoma" w:cs="Tahoma"/>
          <w:snapToGrid w:val="0"/>
          <w:lang w:val="es-ES_tradnl"/>
        </w:rPr>
      </w:pPr>
      <w:r w:rsidRPr="008E49F0">
        <w:rPr>
          <w:rFonts w:cs="Arial"/>
          <w:i/>
          <w:sz w:val="16"/>
          <w:szCs w:val="16"/>
        </w:rPr>
        <w:t xml:space="preserve">Nota: Los datos de </w:t>
      </w:r>
      <w:r>
        <w:rPr>
          <w:rFonts w:cs="Arial"/>
          <w:i/>
          <w:sz w:val="16"/>
          <w:szCs w:val="16"/>
        </w:rPr>
        <w:t xml:space="preserve">comparación proceden de la </w:t>
      </w:r>
      <w:r w:rsidRPr="008E49F0">
        <w:rPr>
          <w:rFonts w:cs="Arial"/>
          <w:i/>
          <w:sz w:val="16"/>
          <w:szCs w:val="16"/>
        </w:rPr>
        <w:t xml:space="preserve">Encuesta de Población en Relación con la Actividad PRA </w:t>
      </w:r>
      <w:proofErr w:type="spellStart"/>
      <w:r w:rsidRPr="008E49F0">
        <w:rPr>
          <w:rFonts w:cs="Arial"/>
          <w:i/>
          <w:sz w:val="16"/>
          <w:szCs w:val="16"/>
        </w:rPr>
        <w:t>Eustat</w:t>
      </w:r>
      <w:proofErr w:type="spellEnd"/>
      <w:r>
        <w:rPr>
          <w:rFonts w:cs="Arial"/>
          <w:i/>
          <w:sz w:val="16"/>
          <w:szCs w:val="16"/>
        </w:rPr>
        <w:t>. Promedio de ocupación anual</w:t>
      </w:r>
    </w:p>
    <w:p w:rsidR="00D10020" w:rsidRDefault="00D10020" w:rsidP="00BB313D">
      <w:pPr>
        <w:widowControl w:val="0"/>
        <w:rPr>
          <w:color w:val="1F497D" w:themeColor="text2"/>
          <w:sz w:val="18"/>
          <w:szCs w:val="18"/>
          <w:lang w:val="es-ES_tradnl"/>
        </w:rPr>
      </w:pPr>
    </w:p>
    <w:p w:rsidR="00D43F20" w:rsidRPr="00D43F20" w:rsidRDefault="00D43F20" w:rsidP="00BB313D">
      <w:pPr>
        <w:widowControl w:val="0"/>
        <w:rPr>
          <w:color w:val="1F497D" w:themeColor="text2"/>
          <w:sz w:val="18"/>
          <w:szCs w:val="18"/>
          <w:lang w:val="es-ES_tradnl"/>
        </w:rPr>
      </w:pPr>
    </w:p>
    <w:p w:rsidR="00DD3D18" w:rsidRDefault="00DD3D18" w:rsidP="00BB313D">
      <w:pPr>
        <w:widowControl w:val="0"/>
        <w:rPr>
          <w:color w:val="1F497D" w:themeColor="text2"/>
          <w:sz w:val="18"/>
          <w:szCs w:val="18"/>
        </w:rPr>
      </w:pPr>
    </w:p>
    <w:p w:rsidR="00D06470" w:rsidRDefault="00D06470" w:rsidP="00BB313D">
      <w:pPr>
        <w:widowControl w:val="0"/>
        <w:spacing w:after="200" w:line="276" w:lineRule="auto"/>
        <w:jc w:val="left"/>
        <w:rPr>
          <w:rFonts w:cs="Arial"/>
          <w:b/>
          <w:color w:val="1F497D" w:themeColor="text2"/>
          <w:sz w:val="18"/>
          <w:szCs w:val="18"/>
        </w:rPr>
      </w:pPr>
      <w:bookmarkStart w:id="43" w:name="_Toc391999581"/>
      <w:r>
        <w:rPr>
          <w:rFonts w:cs="Arial"/>
          <w:b/>
          <w:color w:val="1F497D" w:themeColor="text2"/>
          <w:sz w:val="18"/>
          <w:szCs w:val="18"/>
        </w:rPr>
        <w:br w:type="page"/>
      </w:r>
    </w:p>
    <w:p w:rsidR="00665097" w:rsidRPr="003B5717" w:rsidRDefault="00DE1512" w:rsidP="00BB313D">
      <w:pPr>
        <w:widowControl w:val="0"/>
        <w:spacing w:line="240" w:lineRule="auto"/>
        <w:jc w:val="center"/>
        <w:rPr>
          <w:rFonts w:cs="Arial"/>
          <w:b/>
          <w:color w:val="1F497D" w:themeColor="text2"/>
          <w:sz w:val="18"/>
          <w:szCs w:val="18"/>
        </w:rPr>
      </w:pPr>
      <w:bookmarkStart w:id="44" w:name="_Toc450119464"/>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9</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665097" w:rsidRPr="003B5717">
        <w:rPr>
          <w:rFonts w:cs="Arial"/>
          <w:b/>
          <w:color w:val="1F497D" w:themeColor="text2"/>
          <w:sz w:val="18"/>
          <w:szCs w:val="18"/>
        </w:rPr>
        <w:t>EVOLUCIÓN DE LA ESTRUCTURA DEL EMPLEO DE LA ECONOMÍA SO</w:t>
      </w:r>
      <w:r w:rsidR="00B42B3B">
        <w:rPr>
          <w:rFonts w:cs="Arial"/>
          <w:b/>
          <w:color w:val="1F497D" w:themeColor="text2"/>
          <w:sz w:val="18"/>
          <w:szCs w:val="18"/>
        </w:rPr>
        <w:t>CIAL POR RAMAS DE ACTIVIDAD 2012 – 2014</w:t>
      </w:r>
      <w:r w:rsidR="00665097" w:rsidRPr="003B5717">
        <w:rPr>
          <w:rFonts w:cs="Arial"/>
          <w:b/>
          <w:color w:val="1F497D" w:themeColor="text2"/>
          <w:sz w:val="18"/>
          <w:szCs w:val="18"/>
        </w:rPr>
        <w:t xml:space="preserve"> (</w:t>
      </w:r>
      <w:r w:rsidR="00861162">
        <w:rPr>
          <w:rFonts w:cs="Arial"/>
          <w:b/>
          <w:color w:val="1F497D" w:themeColor="text2"/>
          <w:sz w:val="18"/>
          <w:szCs w:val="18"/>
        </w:rPr>
        <w:t>cifras absolutas y % verticales</w:t>
      </w:r>
      <w:r w:rsidR="00665097" w:rsidRPr="003B5717">
        <w:rPr>
          <w:rFonts w:cs="Arial"/>
          <w:b/>
          <w:color w:val="1F497D" w:themeColor="text2"/>
          <w:sz w:val="18"/>
          <w:szCs w:val="18"/>
        </w:rPr>
        <w:t>)</w:t>
      </w:r>
      <w:bookmarkEnd w:id="43"/>
      <w:bookmarkEnd w:id="44"/>
    </w:p>
    <w:tbl>
      <w:tblPr>
        <w:tblW w:w="9940" w:type="dxa"/>
        <w:jc w:val="center"/>
        <w:tblBorders>
          <w:top w:val="single" w:sz="4" w:space="0" w:color="BFBFBF" w:themeColor="background1" w:themeShade="BF"/>
          <w:bottom w:val="single" w:sz="4" w:space="0" w:color="BFBFBF" w:themeColor="background1" w:themeShade="BF"/>
        </w:tblBorders>
        <w:tblLayout w:type="fixed"/>
        <w:tblLook w:val="04A0" w:firstRow="1" w:lastRow="0" w:firstColumn="1" w:lastColumn="0" w:noHBand="0" w:noVBand="1"/>
      </w:tblPr>
      <w:tblGrid>
        <w:gridCol w:w="4726"/>
        <w:gridCol w:w="1522"/>
        <w:gridCol w:w="1522"/>
        <w:gridCol w:w="1085"/>
        <w:gridCol w:w="1085"/>
      </w:tblGrid>
      <w:tr w:rsidR="00665097" w:rsidRPr="003B5717" w:rsidTr="00D122F5">
        <w:trPr>
          <w:jc w:val="center"/>
        </w:trPr>
        <w:tc>
          <w:tcPr>
            <w:tcW w:w="5087" w:type="dxa"/>
            <w:tcBorders>
              <w:top w:val="single" w:sz="4" w:space="0" w:color="BFBFBF" w:themeColor="background1" w:themeShade="BF"/>
              <w:right w:val="single" w:sz="4" w:space="0" w:color="BFBFBF" w:themeColor="background1" w:themeShade="BF"/>
            </w:tcBorders>
            <w:shd w:val="clear" w:color="auto" w:fill="DBE5F1" w:themeFill="accent1" w:themeFillTint="33"/>
            <w:noWrap/>
            <w:hideMark/>
          </w:tcPr>
          <w:p w:rsidR="00665097" w:rsidRPr="003B5717" w:rsidRDefault="00665097" w:rsidP="003B7637">
            <w:pPr>
              <w:widowControl w:val="0"/>
              <w:spacing w:line="240" w:lineRule="exact"/>
              <w:rPr>
                <w:rFonts w:cs="Arial"/>
                <w:sz w:val="16"/>
                <w:szCs w:val="16"/>
              </w:rPr>
            </w:pPr>
          </w:p>
        </w:tc>
        <w:tc>
          <w:tcPr>
            <w:tcW w:w="32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hideMark/>
          </w:tcPr>
          <w:p w:rsidR="00665097" w:rsidRPr="003B5717" w:rsidRDefault="00665097" w:rsidP="003B7637">
            <w:pPr>
              <w:widowControl w:val="0"/>
              <w:spacing w:line="240" w:lineRule="exact"/>
              <w:jc w:val="center"/>
              <w:rPr>
                <w:rFonts w:cs="Arial"/>
                <w:b/>
                <w:bCs/>
                <w:sz w:val="16"/>
                <w:szCs w:val="16"/>
              </w:rPr>
            </w:pPr>
            <w:r w:rsidRPr="003B5717">
              <w:rPr>
                <w:rFonts w:cs="Arial"/>
                <w:b/>
                <w:bCs/>
                <w:snapToGrid w:val="0"/>
                <w:sz w:val="16"/>
                <w:szCs w:val="16"/>
              </w:rPr>
              <w:t>RAMAS DE ACTIVIDAD DE LA ECONOMÍA SOCIAL 201</w:t>
            </w:r>
            <w:r w:rsidR="00B42B3B">
              <w:rPr>
                <w:rFonts w:cs="Arial"/>
                <w:b/>
                <w:bCs/>
                <w:snapToGrid w:val="0"/>
                <w:sz w:val="16"/>
                <w:szCs w:val="16"/>
              </w:rPr>
              <w:t>2</w:t>
            </w:r>
          </w:p>
        </w:tc>
        <w:tc>
          <w:tcPr>
            <w:tcW w:w="23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hideMark/>
          </w:tcPr>
          <w:p w:rsidR="00665097" w:rsidRPr="003B5717" w:rsidRDefault="00665097" w:rsidP="003B7637">
            <w:pPr>
              <w:widowControl w:val="0"/>
              <w:spacing w:line="240" w:lineRule="exact"/>
              <w:jc w:val="center"/>
              <w:rPr>
                <w:rFonts w:cs="Arial"/>
                <w:b/>
                <w:bCs/>
                <w:sz w:val="16"/>
                <w:szCs w:val="16"/>
              </w:rPr>
            </w:pPr>
            <w:r w:rsidRPr="003B5717">
              <w:rPr>
                <w:rFonts w:cs="Arial"/>
                <w:b/>
                <w:bCs/>
                <w:snapToGrid w:val="0"/>
                <w:sz w:val="16"/>
                <w:szCs w:val="16"/>
              </w:rPr>
              <w:t>RAMAS DE ACTIVIDAD DE LA ECONOMÍA SOCIAL 201</w:t>
            </w:r>
            <w:r w:rsidR="00B42B3B">
              <w:rPr>
                <w:rFonts w:cs="Arial"/>
                <w:b/>
                <w:bCs/>
                <w:snapToGrid w:val="0"/>
                <w:sz w:val="16"/>
                <w:szCs w:val="16"/>
              </w:rPr>
              <w:t>4</w:t>
            </w:r>
          </w:p>
        </w:tc>
      </w:tr>
      <w:tr w:rsidR="00665097" w:rsidRPr="003B5717" w:rsidTr="00D122F5">
        <w:trPr>
          <w:jc w:val="center"/>
        </w:trPr>
        <w:tc>
          <w:tcPr>
            <w:tcW w:w="5087" w:type="dxa"/>
            <w:tcBorders>
              <w:bottom w:val="single" w:sz="4" w:space="0" w:color="BFBFBF" w:themeColor="background1" w:themeShade="BF"/>
              <w:right w:val="single" w:sz="4" w:space="0" w:color="BFBFBF" w:themeColor="background1" w:themeShade="BF"/>
            </w:tcBorders>
            <w:shd w:val="clear" w:color="auto" w:fill="DBE5F1" w:themeFill="accent1" w:themeFillTint="33"/>
            <w:noWrap/>
            <w:hideMark/>
          </w:tcPr>
          <w:p w:rsidR="00665097" w:rsidRPr="003B5717" w:rsidRDefault="00665097" w:rsidP="003B7637">
            <w:pPr>
              <w:widowControl w:val="0"/>
              <w:spacing w:line="240" w:lineRule="exact"/>
              <w:rPr>
                <w:rFonts w:cs="Arial"/>
                <w:b/>
                <w:bCs/>
                <w:sz w:val="16"/>
                <w:szCs w:val="16"/>
              </w:rPr>
            </w:pPr>
          </w:p>
        </w:tc>
        <w:tc>
          <w:tcPr>
            <w:tcW w:w="162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hideMark/>
          </w:tcPr>
          <w:p w:rsidR="00665097" w:rsidRPr="003B5717" w:rsidRDefault="007D763B" w:rsidP="003B7637">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162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hideMark/>
          </w:tcPr>
          <w:p w:rsidR="00665097" w:rsidRPr="003B5717" w:rsidRDefault="00665097" w:rsidP="003B7637">
            <w:pPr>
              <w:widowControl w:val="0"/>
              <w:spacing w:line="240" w:lineRule="exact"/>
              <w:jc w:val="center"/>
              <w:rPr>
                <w:rFonts w:cs="Arial"/>
                <w:b/>
                <w:bCs/>
                <w:sz w:val="16"/>
                <w:szCs w:val="16"/>
              </w:rPr>
            </w:pPr>
            <w:r w:rsidRPr="003B5717">
              <w:rPr>
                <w:rFonts w:cs="Arial"/>
                <w:b/>
                <w:bCs/>
                <w:sz w:val="16"/>
                <w:szCs w:val="16"/>
              </w:rPr>
              <w:t>% v</w:t>
            </w:r>
            <w:r w:rsidR="008C6D36">
              <w:rPr>
                <w:rFonts w:cs="Arial"/>
                <w:b/>
                <w:bCs/>
                <w:sz w:val="16"/>
                <w:szCs w:val="16"/>
              </w:rPr>
              <w:t>er</w:t>
            </w:r>
            <w:r w:rsidRPr="003B5717">
              <w:rPr>
                <w:rFonts w:cs="Arial"/>
                <w:b/>
                <w:bCs/>
                <w:sz w:val="16"/>
                <w:szCs w:val="16"/>
              </w:rPr>
              <w:t>.</w:t>
            </w:r>
          </w:p>
        </w:tc>
        <w:tc>
          <w:tcPr>
            <w:tcW w:w="115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hideMark/>
          </w:tcPr>
          <w:p w:rsidR="00665097" w:rsidRPr="003B5717" w:rsidRDefault="007D763B" w:rsidP="003B7637">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1153" w:type="dxa"/>
            <w:tcBorders>
              <w:top w:val="single" w:sz="4" w:space="0" w:color="BFBFBF" w:themeColor="background1" w:themeShade="BF"/>
              <w:bottom w:val="single" w:sz="4" w:space="0" w:color="BFBFBF" w:themeColor="background1" w:themeShade="BF"/>
            </w:tcBorders>
            <w:shd w:val="clear" w:color="auto" w:fill="DBE5F1" w:themeFill="accent1" w:themeFillTint="33"/>
            <w:noWrap/>
            <w:hideMark/>
          </w:tcPr>
          <w:p w:rsidR="00665097" w:rsidRPr="003B5717" w:rsidRDefault="00665097" w:rsidP="003B7637">
            <w:pPr>
              <w:widowControl w:val="0"/>
              <w:spacing w:line="240" w:lineRule="exact"/>
              <w:jc w:val="center"/>
              <w:rPr>
                <w:rFonts w:cs="Arial"/>
                <w:b/>
                <w:bCs/>
                <w:sz w:val="16"/>
                <w:szCs w:val="16"/>
              </w:rPr>
            </w:pPr>
            <w:r w:rsidRPr="003B5717">
              <w:rPr>
                <w:rFonts w:cs="Arial"/>
                <w:b/>
                <w:bCs/>
                <w:sz w:val="16"/>
                <w:szCs w:val="16"/>
              </w:rPr>
              <w:t>% v</w:t>
            </w:r>
            <w:r w:rsidR="008C6D36">
              <w:rPr>
                <w:rFonts w:cs="Arial"/>
                <w:b/>
                <w:bCs/>
                <w:sz w:val="16"/>
                <w:szCs w:val="16"/>
              </w:rPr>
              <w:t>er</w:t>
            </w:r>
            <w:r w:rsidRPr="003B5717">
              <w:rPr>
                <w:rFonts w:cs="Arial"/>
                <w:b/>
                <w:bCs/>
                <w:sz w:val="16"/>
                <w:szCs w:val="16"/>
              </w:rPr>
              <w:t>.</w:t>
            </w:r>
          </w:p>
        </w:tc>
      </w:tr>
      <w:tr w:rsidR="00214B4A" w:rsidRPr="003B5717" w:rsidTr="00D122F5">
        <w:trPr>
          <w:jc w:val="center"/>
        </w:trPr>
        <w:tc>
          <w:tcPr>
            <w:tcW w:w="5087" w:type="dxa"/>
            <w:tcBorders>
              <w:top w:val="single" w:sz="4" w:space="0" w:color="BFBFBF" w:themeColor="background1" w:themeShade="BF"/>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Sector primario</w:t>
            </w:r>
          </w:p>
        </w:tc>
        <w:tc>
          <w:tcPr>
            <w:tcW w:w="1625" w:type="dxa"/>
            <w:tcBorders>
              <w:top w:val="single" w:sz="4" w:space="0" w:color="BFBFBF" w:themeColor="background1" w:themeShade="BF"/>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117</w:t>
            </w:r>
          </w:p>
        </w:tc>
        <w:tc>
          <w:tcPr>
            <w:tcW w:w="1625" w:type="dxa"/>
            <w:tcBorders>
              <w:top w:val="single" w:sz="4" w:space="0" w:color="BFBFBF" w:themeColor="background1" w:themeShade="BF"/>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0,2</w:t>
            </w:r>
          </w:p>
        </w:tc>
        <w:tc>
          <w:tcPr>
            <w:tcW w:w="1153" w:type="dxa"/>
            <w:tcBorders>
              <w:top w:val="single" w:sz="4" w:space="0" w:color="BFBFBF" w:themeColor="background1" w:themeShade="BF"/>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171</w:t>
            </w:r>
          </w:p>
        </w:tc>
        <w:tc>
          <w:tcPr>
            <w:tcW w:w="1153" w:type="dxa"/>
            <w:tcBorders>
              <w:top w:val="single" w:sz="4" w:space="0" w:color="BFBFBF" w:themeColor="background1" w:themeShade="BF"/>
            </w:tcBorders>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0,3</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Industrias extractivas</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207</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0,4</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178</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0,3</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Industria manufacturera</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25.520</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45,7</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23.629</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43,3</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Industria de la alimentación, bebidas y tabaco</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545</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1,0</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612</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1,1</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Industria textil y de la confección</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32</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0,1</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35</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0,1</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Industria de la madera y del corcho</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266</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0,5</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310</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0,6</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w:t>
            </w:r>
            <w:r>
              <w:rPr>
                <w:rFonts w:ascii="Arial" w:hAnsi="Arial" w:cs="Arial"/>
                <w:sz w:val="16"/>
                <w:szCs w:val="16"/>
              </w:rPr>
              <w:t>ia del papel; edición, artes grá</w:t>
            </w:r>
            <w:r w:rsidRPr="003B5717">
              <w:rPr>
                <w:rFonts w:ascii="Arial" w:hAnsi="Arial" w:cs="Arial"/>
                <w:sz w:val="16"/>
                <w:szCs w:val="16"/>
              </w:rPr>
              <w:t>ficas y reproducción de soportes grabados</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573</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1,0</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488</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0,9</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Industria básica</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2.184</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3,9</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2.278</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4,2</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Metalurgia y fabricación de productos metálicos</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9.525</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17,1</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9.393</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17,2</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Industria de la construcción de maquinaria y equipo mecánico</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7.406</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13,3</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7.640</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14,0</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Industria de material y equipo eléctrico, electrónico y óptico</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4.072</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7,3</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2.130</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3,9</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4114B8">
            <w:pPr>
              <w:pStyle w:val="Prrafodelista"/>
              <w:widowControl w:val="0"/>
              <w:numPr>
                <w:ilvl w:val="0"/>
                <w:numId w:val="4"/>
              </w:numPr>
              <w:spacing w:after="0" w:line="240" w:lineRule="exact"/>
              <w:ind w:left="426" w:hanging="284"/>
              <w:jc w:val="left"/>
              <w:rPr>
                <w:rFonts w:ascii="Arial" w:hAnsi="Arial" w:cs="Arial"/>
                <w:sz w:val="16"/>
                <w:szCs w:val="16"/>
              </w:rPr>
            </w:pPr>
            <w:r w:rsidRPr="003B5717">
              <w:rPr>
                <w:rFonts w:ascii="Arial" w:hAnsi="Arial" w:cs="Arial"/>
                <w:sz w:val="16"/>
                <w:szCs w:val="16"/>
              </w:rPr>
              <w:t>Industrias manufactureras  diversas</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917</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1,6</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743</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1,4</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Construcción</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2.000</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3,6</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1.599</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2,9</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Comercio; reparación de vehículos de motor, motocicletas y ciclomotores y artículos personales de uso y domestico</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9.088</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16,3</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9.508</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17,4</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Hostelería</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2.015</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3,6</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2.018</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3,7</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Transporte, almacenamiento y comunicaciones</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1.063</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1,9</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1.175</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2,2</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Intermediación financiera</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1.918</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3,4</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1.992</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3,6</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Actividades inmobiliarias y de alquiler; servicios empresariales</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3.351</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6,0</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3.421</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6,3</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Educación</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7.018</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12,6</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7.291</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13,4</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Actividades sanitarias y veterinarias, servicio social</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1.698</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3,0</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1.933</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3,5</w:t>
            </w:r>
          </w:p>
        </w:tc>
      </w:tr>
      <w:tr w:rsidR="00214B4A" w:rsidRPr="003B5717" w:rsidTr="00D122F5">
        <w:trPr>
          <w:jc w:val="center"/>
        </w:trPr>
        <w:tc>
          <w:tcPr>
            <w:tcW w:w="5087" w:type="dxa"/>
            <w:tcBorders>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Otras actividades sociales y de servicios prestados a la comunidad; servicios personales</w:t>
            </w:r>
          </w:p>
        </w:tc>
        <w:tc>
          <w:tcPr>
            <w:tcW w:w="1625" w:type="dxa"/>
            <w:tcBorders>
              <w:lef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440</w:t>
            </w:r>
          </w:p>
        </w:tc>
        <w:tc>
          <w:tcPr>
            <w:tcW w:w="1625" w:type="dxa"/>
            <w:tcBorders>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0,8</w:t>
            </w:r>
          </w:p>
        </w:tc>
        <w:tc>
          <w:tcPr>
            <w:tcW w:w="1153" w:type="dxa"/>
            <w:tcBorders>
              <w:left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662</w:t>
            </w:r>
          </w:p>
        </w:tc>
        <w:tc>
          <w:tcPr>
            <w:tcW w:w="1153" w:type="dxa"/>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1,2</w:t>
            </w:r>
          </w:p>
        </w:tc>
      </w:tr>
      <w:tr w:rsidR="00214B4A" w:rsidRPr="003B5717" w:rsidTr="00D122F5">
        <w:trPr>
          <w:jc w:val="center"/>
        </w:trPr>
        <w:tc>
          <w:tcPr>
            <w:tcW w:w="5087" w:type="dxa"/>
            <w:tcBorders>
              <w:bottom w:val="single" w:sz="4" w:space="0" w:color="BFBFBF" w:themeColor="background1" w:themeShade="BF"/>
              <w:right w:val="single" w:sz="4" w:space="0" w:color="BFBFBF" w:themeColor="background1" w:themeShade="BF"/>
            </w:tcBorders>
            <w:noWrap/>
            <w:hideMark/>
          </w:tcPr>
          <w:p w:rsidR="00214B4A" w:rsidRPr="003B5717" w:rsidRDefault="00214B4A" w:rsidP="003B7637">
            <w:pPr>
              <w:widowControl w:val="0"/>
              <w:spacing w:line="240" w:lineRule="exact"/>
              <w:rPr>
                <w:rFonts w:cs="Arial"/>
                <w:sz w:val="16"/>
                <w:szCs w:val="16"/>
              </w:rPr>
            </w:pPr>
            <w:r w:rsidRPr="003B5717">
              <w:rPr>
                <w:rFonts w:cs="Arial"/>
                <w:sz w:val="16"/>
                <w:szCs w:val="16"/>
              </w:rPr>
              <w:t>Otro comercio al por mayor</w:t>
            </w:r>
          </w:p>
        </w:tc>
        <w:tc>
          <w:tcPr>
            <w:tcW w:w="1625" w:type="dxa"/>
            <w:tcBorders>
              <w:left w:val="single" w:sz="4" w:space="0" w:color="BFBFBF" w:themeColor="background1" w:themeShade="BF"/>
              <w:bottom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1.375</w:t>
            </w:r>
          </w:p>
        </w:tc>
        <w:tc>
          <w:tcPr>
            <w:tcW w:w="1625" w:type="dxa"/>
            <w:tcBorders>
              <w:bottom w:val="single" w:sz="4" w:space="0" w:color="BFBFBF" w:themeColor="background1" w:themeShade="BF"/>
              <w:right w:val="single" w:sz="4" w:space="0" w:color="BFBFBF" w:themeColor="background1" w:themeShade="BF"/>
            </w:tcBorders>
            <w:noWrap/>
            <w:vAlign w:val="center"/>
            <w:hideMark/>
          </w:tcPr>
          <w:p w:rsidR="00214B4A" w:rsidRPr="003B5717" w:rsidRDefault="00214B4A" w:rsidP="003B7637">
            <w:pPr>
              <w:widowControl w:val="0"/>
              <w:spacing w:line="240" w:lineRule="exact"/>
              <w:ind w:right="284"/>
              <w:jc w:val="right"/>
              <w:rPr>
                <w:rFonts w:cs="Arial"/>
                <w:sz w:val="16"/>
                <w:szCs w:val="16"/>
              </w:rPr>
            </w:pPr>
            <w:r w:rsidRPr="003B5717">
              <w:rPr>
                <w:rFonts w:cs="Arial"/>
                <w:sz w:val="16"/>
                <w:szCs w:val="16"/>
              </w:rPr>
              <w:t>2,5</w:t>
            </w:r>
          </w:p>
        </w:tc>
        <w:tc>
          <w:tcPr>
            <w:tcW w:w="1153" w:type="dxa"/>
            <w:tcBorders>
              <w:left w:val="single" w:sz="4" w:space="0" w:color="BFBFBF" w:themeColor="background1" w:themeShade="BF"/>
              <w:bottom w:val="single" w:sz="4" w:space="0" w:color="BFBFBF" w:themeColor="background1" w:themeShade="BF"/>
            </w:tcBorders>
            <w:noWrap/>
            <w:vAlign w:val="center"/>
            <w:hideMark/>
          </w:tcPr>
          <w:p w:rsidR="00214B4A" w:rsidRPr="003C14D6" w:rsidRDefault="00214B4A" w:rsidP="003B7637">
            <w:pPr>
              <w:widowControl w:val="0"/>
              <w:spacing w:line="240" w:lineRule="exact"/>
              <w:ind w:right="284"/>
              <w:jc w:val="right"/>
              <w:rPr>
                <w:rFonts w:cs="Arial"/>
                <w:sz w:val="16"/>
                <w:szCs w:val="16"/>
              </w:rPr>
            </w:pPr>
            <w:r w:rsidRPr="003C14D6">
              <w:rPr>
                <w:rFonts w:cs="Arial"/>
                <w:sz w:val="16"/>
                <w:szCs w:val="16"/>
              </w:rPr>
              <w:t>1.005</w:t>
            </w:r>
          </w:p>
        </w:tc>
        <w:tc>
          <w:tcPr>
            <w:tcW w:w="1153" w:type="dxa"/>
            <w:tcBorders>
              <w:bottom w:val="single" w:sz="4" w:space="0" w:color="BFBFBF" w:themeColor="background1" w:themeShade="BF"/>
            </w:tcBorders>
            <w:noWrap/>
            <w:vAlign w:val="center"/>
            <w:hideMark/>
          </w:tcPr>
          <w:p w:rsidR="00214B4A" w:rsidRDefault="00214B4A" w:rsidP="003B7637">
            <w:pPr>
              <w:widowControl w:val="0"/>
              <w:spacing w:line="240" w:lineRule="exact"/>
              <w:ind w:right="284"/>
              <w:jc w:val="right"/>
              <w:rPr>
                <w:rFonts w:cs="Arial"/>
                <w:color w:val="000000"/>
                <w:sz w:val="16"/>
                <w:szCs w:val="16"/>
              </w:rPr>
            </w:pPr>
            <w:r>
              <w:rPr>
                <w:rFonts w:cs="Arial"/>
                <w:color w:val="000000"/>
                <w:sz w:val="16"/>
                <w:szCs w:val="16"/>
              </w:rPr>
              <w:t>1,8</w:t>
            </w:r>
          </w:p>
        </w:tc>
      </w:tr>
      <w:tr w:rsidR="003C14D6" w:rsidRPr="003B5717" w:rsidTr="00D122F5">
        <w:trPr>
          <w:jc w:val="center"/>
        </w:trPr>
        <w:tc>
          <w:tcPr>
            <w:tcW w:w="5087"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3C14D6" w:rsidRPr="003B5717" w:rsidRDefault="003C14D6" w:rsidP="003B7637">
            <w:pPr>
              <w:widowControl w:val="0"/>
              <w:spacing w:line="240" w:lineRule="exact"/>
              <w:rPr>
                <w:rFonts w:cs="Arial"/>
                <w:b/>
                <w:bCs/>
                <w:sz w:val="16"/>
                <w:szCs w:val="16"/>
              </w:rPr>
            </w:pPr>
            <w:r w:rsidRPr="003B5717">
              <w:rPr>
                <w:rFonts w:cs="Arial"/>
                <w:b/>
                <w:bCs/>
                <w:sz w:val="16"/>
                <w:szCs w:val="16"/>
              </w:rPr>
              <w:t>TOTAL</w:t>
            </w:r>
          </w:p>
        </w:tc>
        <w:tc>
          <w:tcPr>
            <w:tcW w:w="1625"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rsidR="003C14D6" w:rsidRPr="003B5717" w:rsidRDefault="003C14D6" w:rsidP="003B7637">
            <w:pPr>
              <w:widowControl w:val="0"/>
              <w:spacing w:line="240" w:lineRule="exact"/>
              <w:ind w:right="284"/>
              <w:jc w:val="right"/>
              <w:rPr>
                <w:rFonts w:cs="Arial"/>
                <w:b/>
                <w:bCs/>
                <w:sz w:val="16"/>
                <w:szCs w:val="16"/>
              </w:rPr>
            </w:pPr>
            <w:r w:rsidRPr="003B5717">
              <w:rPr>
                <w:rFonts w:cs="Arial"/>
                <w:b/>
                <w:bCs/>
                <w:sz w:val="16"/>
                <w:szCs w:val="16"/>
              </w:rPr>
              <w:t>55.809</w:t>
            </w:r>
          </w:p>
        </w:tc>
        <w:tc>
          <w:tcPr>
            <w:tcW w:w="16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rsidR="003C14D6" w:rsidRPr="003B5717" w:rsidRDefault="003C14D6" w:rsidP="003B7637">
            <w:pPr>
              <w:widowControl w:val="0"/>
              <w:spacing w:line="240" w:lineRule="exact"/>
              <w:ind w:right="284"/>
              <w:jc w:val="right"/>
              <w:rPr>
                <w:rFonts w:cs="Arial"/>
                <w:b/>
                <w:bCs/>
                <w:sz w:val="16"/>
                <w:szCs w:val="16"/>
              </w:rPr>
            </w:pPr>
            <w:r w:rsidRPr="003B5717">
              <w:rPr>
                <w:rFonts w:cs="Arial"/>
                <w:b/>
                <w:bCs/>
                <w:sz w:val="16"/>
                <w:szCs w:val="16"/>
              </w:rPr>
              <w:t>100</w:t>
            </w:r>
            <w:r w:rsidR="007F441F">
              <w:rPr>
                <w:rFonts w:cs="Arial"/>
                <w:b/>
                <w:bCs/>
                <w:sz w:val="16"/>
                <w:szCs w:val="16"/>
              </w:rPr>
              <w:t>,0</w:t>
            </w:r>
          </w:p>
        </w:tc>
        <w:tc>
          <w:tcPr>
            <w:tcW w:w="1153"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rsidR="003C14D6" w:rsidRPr="003B5717" w:rsidRDefault="003C14D6" w:rsidP="003B7637">
            <w:pPr>
              <w:widowControl w:val="0"/>
              <w:spacing w:line="240" w:lineRule="exact"/>
              <w:ind w:right="284"/>
              <w:jc w:val="right"/>
              <w:rPr>
                <w:rFonts w:cs="Arial"/>
                <w:b/>
                <w:bCs/>
                <w:sz w:val="16"/>
                <w:szCs w:val="16"/>
              </w:rPr>
            </w:pPr>
            <w:r w:rsidRPr="000F1E35">
              <w:rPr>
                <w:rFonts w:cs="Arial"/>
                <w:b/>
                <w:bCs/>
                <w:sz w:val="16"/>
                <w:szCs w:val="16"/>
              </w:rPr>
              <w:t>54.582</w:t>
            </w:r>
          </w:p>
        </w:tc>
        <w:tc>
          <w:tcPr>
            <w:tcW w:w="1153" w:type="dxa"/>
            <w:tcBorders>
              <w:top w:val="single" w:sz="4" w:space="0" w:color="BFBFBF" w:themeColor="background1" w:themeShade="BF"/>
              <w:bottom w:val="single" w:sz="4" w:space="0" w:color="BFBFBF" w:themeColor="background1" w:themeShade="BF"/>
            </w:tcBorders>
            <w:noWrap/>
            <w:vAlign w:val="center"/>
            <w:hideMark/>
          </w:tcPr>
          <w:p w:rsidR="003C14D6" w:rsidRPr="003B5717" w:rsidRDefault="003C14D6" w:rsidP="003B7637">
            <w:pPr>
              <w:widowControl w:val="0"/>
              <w:spacing w:line="240" w:lineRule="exact"/>
              <w:ind w:right="284"/>
              <w:jc w:val="right"/>
              <w:rPr>
                <w:rFonts w:cs="Arial"/>
                <w:b/>
                <w:bCs/>
                <w:sz w:val="16"/>
                <w:szCs w:val="16"/>
              </w:rPr>
            </w:pPr>
            <w:r w:rsidRPr="003B5717">
              <w:rPr>
                <w:rFonts w:cs="Arial"/>
                <w:b/>
                <w:bCs/>
                <w:sz w:val="16"/>
                <w:szCs w:val="16"/>
              </w:rPr>
              <w:t>100</w:t>
            </w:r>
            <w:r w:rsidR="007F441F">
              <w:rPr>
                <w:rFonts w:cs="Arial"/>
                <w:b/>
                <w:bCs/>
                <w:sz w:val="16"/>
                <w:szCs w:val="16"/>
              </w:rPr>
              <w:t>,0</w:t>
            </w:r>
          </w:p>
        </w:tc>
      </w:tr>
    </w:tbl>
    <w:p w:rsidR="00665097" w:rsidRDefault="00665097" w:rsidP="00BB313D">
      <w:pPr>
        <w:widowControl w:val="0"/>
        <w:ind w:left="709" w:hanging="709"/>
        <w:rPr>
          <w:rFonts w:cs="Arial"/>
          <w:b/>
          <w:color w:val="1F497D" w:themeColor="text2"/>
        </w:rPr>
      </w:pPr>
    </w:p>
    <w:p w:rsidR="00665097" w:rsidRDefault="00665097" w:rsidP="00BB313D">
      <w:pPr>
        <w:widowControl w:val="0"/>
        <w:rPr>
          <w:rFonts w:cs="Arial"/>
          <w:b/>
          <w:color w:val="1F497D" w:themeColor="text2"/>
        </w:rPr>
      </w:pPr>
    </w:p>
    <w:p w:rsidR="00665097" w:rsidRPr="00033E92" w:rsidRDefault="00665097" w:rsidP="00BB313D">
      <w:pPr>
        <w:pStyle w:val="Ttulo1"/>
        <w:keepNext w:val="0"/>
        <w:ind w:left="708" w:hanging="708"/>
        <w:rPr>
          <w:color w:val="1F497D" w:themeColor="text2"/>
          <w:sz w:val="22"/>
          <w:szCs w:val="22"/>
        </w:rPr>
      </w:pPr>
      <w:bookmarkStart w:id="45" w:name="_Toc391999507"/>
      <w:bookmarkStart w:id="46" w:name="_Toc450118900"/>
      <w:r w:rsidRPr="00033E92">
        <w:rPr>
          <w:color w:val="1F497D" w:themeColor="text2"/>
          <w:sz w:val="22"/>
          <w:szCs w:val="22"/>
        </w:rPr>
        <w:t>1.2.-</w:t>
      </w:r>
      <w:r w:rsidRPr="00033E92">
        <w:rPr>
          <w:color w:val="1F497D" w:themeColor="text2"/>
          <w:sz w:val="22"/>
          <w:szCs w:val="22"/>
        </w:rPr>
        <w:tab/>
        <w:t>PRINCIPALES RASGOS DEL EMPLEO DE LA ECONOMÍA SOCIAL</w:t>
      </w:r>
      <w:bookmarkEnd w:id="45"/>
      <w:bookmarkEnd w:id="46"/>
    </w:p>
    <w:p w:rsidR="00665097" w:rsidRPr="004F011F" w:rsidRDefault="00665097" w:rsidP="00BB313D">
      <w:pPr>
        <w:widowControl w:val="0"/>
        <w:rPr>
          <w:rFonts w:cs="Arial"/>
          <w:b/>
          <w:color w:val="1F497D" w:themeColor="text2"/>
          <w:sz w:val="22"/>
        </w:rPr>
      </w:pPr>
    </w:p>
    <w:p w:rsidR="00665097" w:rsidRPr="007F1968" w:rsidRDefault="00665097" w:rsidP="00BB313D">
      <w:pPr>
        <w:pStyle w:val="Ttulo1"/>
        <w:keepNext w:val="0"/>
        <w:ind w:left="708" w:hanging="708"/>
        <w:rPr>
          <w:color w:val="1F497D" w:themeColor="text2"/>
          <w:sz w:val="22"/>
          <w:szCs w:val="22"/>
        </w:rPr>
      </w:pPr>
      <w:bookmarkStart w:id="47" w:name="_Toc391565478"/>
      <w:bookmarkStart w:id="48" w:name="_Toc391999508"/>
      <w:bookmarkStart w:id="49" w:name="_Toc450118901"/>
      <w:r w:rsidRPr="007F1968">
        <w:rPr>
          <w:color w:val="1F497D" w:themeColor="text2"/>
          <w:sz w:val="22"/>
          <w:szCs w:val="22"/>
        </w:rPr>
        <w:t>1.2.1.- El Género y la Edad</w:t>
      </w:r>
      <w:bookmarkEnd w:id="47"/>
      <w:bookmarkEnd w:id="48"/>
      <w:bookmarkEnd w:id="49"/>
    </w:p>
    <w:p w:rsidR="00D43F20" w:rsidRDefault="00D43F20" w:rsidP="00BB313D">
      <w:pPr>
        <w:widowControl w:val="0"/>
      </w:pPr>
    </w:p>
    <w:p w:rsidR="000E4425" w:rsidRPr="004F011F" w:rsidRDefault="000E4425" w:rsidP="00BB313D">
      <w:pPr>
        <w:widowControl w:val="0"/>
      </w:pPr>
    </w:p>
    <w:p w:rsidR="00665097" w:rsidRPr="003B5717" w:rsidRDefault="00DE1512" w:rsidP="00BB313D">
      <w:pPr>
        <w:widowControl w:val="0"/>
        <w:spacing w:line="240" w:lineRule="auto"/>
        <w:jc w:val="center"/>
        <w:rPr>
          <w:rFonts w:cs="Arial"/>
          <w:b/>
          <w:color w:val="1F497D" w:themeColor="text2"/>
          <w:sz w:val="18"/>
          <w:szCs w:val="18"/>
        </w:rPr>
      </w:pPr>
      <w:bookmarkStart w:id="50" w:name="_Toc391999582"/>
      <w:bookmarkStart w:id="51" w:name="_Toc450119465"/>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10</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3B5717">
        <w:rPr>
          <w:rFonts w:cs="Arial"/>
          <w:b/>
          <w:color w:val="1F497D" w:themeColor="text2"/>
          <w:sz w:val="18"/>
          <w:szCs w:val="18"/>
        </w:rPr>
        <w:t>DISTRIBUCIÓN POR SECTO</w:t>
      </w:r>
      <w:r w:rsidR="00A30D50">
        <w:rPr>
          <w:rFonts w:cs="Arial"/>
          <w:b/>
          <w:color w:val="1F497D" w:themeColor="text2"/>
          <w:sz w:val="18"/>
          <w:szCs w:val="18"/>
        </w:rPr>
        <w:t>R DE ACTIVIDAD SEGÚN GÉNERO 2014</w:t>
      </w:r>
      <w:r w:rsidR="00665097" w:rsidRPr="003B5717">
        <w:rPr>
          <w:rFonts w:cs="Arial"/>
          <w:b/>
          <w:color w:val="1F497D" w:themeColor="text2"/>
          <w:sz w:val="18"/>
          <w:szCs w:val="18"/>
        </w:rPr>
        <w:t xml:space="preserve"> EN LA ECONOMÍA SOCIAL (%</w:t>
      </w:r>
      <w:r w:rsidR="0035503D">
        <w:rPr>
          <w:rFonts w:cs="Arial"/>
          <w:b/>
          <w:color w:val="1F497D" w:themeColor="text2"/>
          <w:sz w:val="18"/>
          <w:szCs w:val="18"/>
        </w:rPr>
        <w:t xml:space="preserve"> verticales</w:t>
      </w:r>
      <w:r w:rsidR="00665097" w:rsidRPr="003B5717">
        <w:rPr>
          <w:rFonts w:cs="Arial"/>
          <w:b/>
          <w:color w:val="1F497D" w:themeColor="text2"/>
          <w:sz w:val="18"/>
          <w:szCs w:val="18"/>
        </w:rPr>
        <w:t>)</w:t>
      </w:r>
      <w:bookmarkEnd w:id="50"/>
      <w:bookmarkEnd w:id="51"/>
    </w:p>
    <w:tbl>
      <w:tblPr>
        <w:tblW w:w="9940" w:type="dxa"/>
        <w:jc w:val="center"/>
        <w:tblLook w:val="04A0" w:firstRow="1" w:lastRow="0" w:firstColumn="1" w:lastColumn="0" w:noHBand="0" w:noVBand="1"/>
      </w:tblPr>
      <w:tblGrid>
        <w:gridCol w:w="1418"/>
        <w:gridCol w:w="1704"/>
        <w:gridCol w:w="1704"/>
        <w:gridCol w:w="1704"/>
        <w:gridCol w:w="1867"/>
        <w:gridCol w:w="1543"/>
      </w:tblGrid>
      <w:tr w:rsidR="00665097" w:rsidRPr="003B5717" w:rsidTr="00D122F5">
        <w:trPr>
          <w:jc w:val="center"/>
        </w:trPr>
        <w:tc>
          <w:tcPr>
            <w:tcW w:w="71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sz w:val="16"/>
                <w:szCs w:val="16"/>
              </w:rPr>
            </w:pPr>
            <w:r w:rsidRPr="003B5717">
              <w:rPr>
                <w:rFonts w:cs="Arial"/>
                <w:sz w:val="16"/>
                <w:szCs w:val="16"/>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TOTAL</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Primario</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Construcción</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Servicios</w:t>
            </w:r>
          </w:p>
        </w:tc>
      </w:tr>
      <w:tr w:rsidR="00665097" w:rsidRPr="003B5717" w:rsidTr="00D122F5">
        <w:trPr>
          <w:jc w:val="center"/>
        </w:trPr>
        <w:tc>
          <w:tcPr>
            <w:tcW w:w="714" w:type="pct"/>
            <w:tcBorders>
              <w:top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rPr>
                <w:rFonts w:cs="Arial"/>
                <w:sz w:val="16"/>
                <w:szCs w:val="16"/>
              </w:rPr>
            </w:pPr>
            <w:r w:rsidRPr="003B5717">
              <w:rPr>
                <w:rFonts w:cs="Arial"/>
                <w:sz w:val="16"/>
                <w:szCs w:val="16"/>
              </w:rPr>
              <w:t>Hombres</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ind w:right="151"/>
              <w:jc w:val="right"/>
              <w:rPr>
                <w:rFonts w:cs="Arial"/>
                <w:bCs/>
                <w:sz w:val="16"/>
                <w:szCs w:val="16"/>
              </w:rPr>
            </w:pPr>
            <w:r w:rsidRPr="003B5717">
              <w:rPr>
                <w:rFonts w:cs="Arial"/>
                <w:bCs/>
                <w:sz w:val="16"/>
                <w:szCs w:val="16"/>
              </w:rPr>
              <w:t>5</w:t>
            </w:r>
            <w:r w:rsidR="008A70E6">
              <w:rPr>
                <w:rFonts w:cs="Arial"/>
                <w:bCs/>
                <w:sz w:val="16"/>
                <w:szCs w:val="16"/>
              </w:rPr>
              <w:t>6,1</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3B5717" w:rsidRDefault="00A30D50" w:rsidP="00BB313D">
            <w:pPr>
              <w:widowControl w:val="0"/>
              <w:spacing w:line="240" w:lineRule="exact"/>
              <w:ind w:right="151"/>
              <w:jc w:val="right"/>
              <w:rPr>
                <w:rFonts w:cs="Arial"/>
                <w:sz w:val="16"/>
                <w:szCs w:val="16"/>
              </w:rPr>
            </w:pPr>
            <w:r>
              <w:rPr>
                <w:rFonts w:cs="Arial"/>
                <w:sz w:val="16"/>
                <w:szCs w:val="16"/>
              </w:rPr>
              <w:t>77,8</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3B5717" w:rsidRDefault="00A30D50" w:rsidP="00BB313D">
            <w:pPr>
              <w:widowControl w:val="0"/>
              <w:spacing w:line="240" w:lineRule="exact"/>
              <w:ind w:right="151"/>
              <w:jc w:val="right"/>
              <w:rPr>
                <w:rFonts w:cs="Arial"/>
                <w:sz w:val="16"/>
                <w:szCs w:val="16"/>
              </w:rPr>
            </w:pPr>
            <w:r>
              <w:rPr>
                <w:rFonts w:cs="Arial"/>
                <w:sz w:val="16"/>
                <w:szCs w:val="16"/>
              </w:rPr>
              <w:t>79,6</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ind w:right="151"/>
              <w:jc w:val="right"/>
              <w:rPr>
                <w:rFonts w:cs="Arial"/>
                <w:sz w:val="16"/>
                <w:szCs w:val="16"/>
              </w:rPr>
            </w:pPr>
            <w:r w:rsidRPr="003B5717">
              <w:rPr>
                <w:rFonts w:cs="Arial"/>
                <w:sz w:val="16"/>
                <w:szCs w:val="16"/>
              </w:rPr>
              <w:t>90,</w:t>
            </w:r>
            <w:r w:rsidR="00A30D50">
              <w:rPr>
                <w:rFonts w:cs="Arial"/>
                <w:sz w:val="16"/>
                <w:szCs w:val="16"/>
              </w:rPr>
              <w:t>4</w:t>
            </w:r>
          </w:p>
        </w:tc>
        <w:tc>
          <w:tcPr>
            <w:tcW w:w="776" w:type="pct"/>
            <w:tcBorders>
              <w:top w:val="single" w:sz="4" w:space="0" w:color="BFBFBF" w:themeColor="background1" w:themeShade="BF"/>
              <w:left w:val="single" w:sz="4" w:space="0" w:color="BFBFBF" w:themeColor="background1" w:themeShade="BF"/>
            </w:tcBorders>
          </w:tcPr>
          <w:p w:rsidR="00665097" w:rsidRPr="003B5717" w:rsidRDefault="00A30D50" w:rsidP="00BB313D">
            <w:pPr>
              <w:widowControl w:val="0"/>
              <w:spacing w:line="240" w:lineRule="exact"/>
              <w:ind w:right="151"/>
              <w:jc w:val="right"/>
              <w:rPr>
                <w:rFonts w:cs="Arial"/>
                <w:sz w:val="16"/>
                <w:szCs w:val="16"/>
              </w:rPr>
            </w:pPr>
            <w:r>
              <w:rPr>
                <w:rFonts w:cs="Arial"/>
                <w:sz w:val="16"/>
                <w:szCs w:val="16"/>
              </w:rPr>
              <w:t>34,8</w:t>
            </w:r>
          </w:p>
        </w:tc>
      </w:tr>
      <w:tr w:rsidR="00665097" w:rsidRPr="003B5717" w:rsidTr="00D122F5">
        <w:trPr>
          <w:jc w:val="center"/>
        </w:trPr>
        <w:tc>
          <w:tcPr>
            <w:tcW w:w="714" w:type="pct"/>
            <w:tcBorders>
              <w:bottom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rPr>
                <w:rFonts w:cs="Arial"/>
                <w:sz w:val="16"/>
                <w:szCs w:val="16"/>
              </w:rPr>
            </w:pPr>
            <w:r w:rsidRPr="003B5717">
              <w:rPr>
                <w:rFonts w:cs="Arial"/>
                <w:sz w:val="16"/>
                <w:szCs w:val="16"/>
              </w:rPr>
              <w:t>Mujeres</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ind w:right="151"/>
              <w:jc w:val="right"/>
              <w:rPr>
                <w:rFonts w:cs="Arial"/>
                <w:bCs/>
                <w:sz w:val="16"/>
                <w:szCs w:val="16"/>
              </w:rPr>
            </w:pPr>
            <w:r w:rsidRPr="003B5717">
              <w:rPr>
                <w:rFonts w:cs="Arial"/>
                <w:bCs/>
                <w:sz w:val="16"/>
                <w:szCs w:val="16"/>
              </w:rPr>
              <w:t>43,</w:t>
            </w:r>
            <w:r w:rsidR="008A70E6">
              <w:rPr>
                <w:rFonts w:cs="Arial"/>
                <w:bCs/>
                <w:sz w:val="16"/>
                <w:szCs w:val="16"/>
              </w:rPr>
              <w:t>9</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ind w:right="151"/>
              <w:jc w:val="right"/>
              <w:rPr>
                <w:rFonts w:cs="Arial"/>
                <w:sz w:val="16"/>
                <w:szCs w:val="16"/>
              </w:rPr>
            </w:pPr>
            <w:r w:rsidRPr="003B5717">
              <w:rPr>
                <w:rFonts w:cs="Arial"/>
                <w:sz w:val="16"/>
                <w:szCs w:val="16"/>
              </w:rPr>
              <w:t>2</w:t>
            </w:r>
            <w:r w:rsidR="00A30D50">
              <w:rPr>
                <w:rFonts w:cs="Arial"/>
                <w:sz w:val="16"/>
                <w:szCs w:val="16"/>
              </w:rPr>
              <w:t>2,2</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ind w:right="151"/>
              <w:jc w:val="right"/>
              <w:rPr>
                <w:rFonts w:cs="Arial"/>
                <w:sz w:val="16"/>
                <w:szCs w:val="16"/>
              </w:rPr>
            </w:pPr>
            <w:r w:rsidRPr="003B5717">
              <w:rPr>
                <w:rFonts w:cs="Arial"/>
                <w:sz w:val="16"/>
                <w:szCs w:val="16"/>
              </w:rPr>
              <w:t>2</w:t>
            </w:r>
            <w:r w:rsidR="00A30D50">
              <w:rPr>
                <w:rFonts w:cs="Arial"/>
                <w:sz w:val="16"/>
                <w:szCs w:val="16"/>
              </w:rPr>
              <w:t>0,4</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B5717" w:rsidRDefault="00A30D50" w:rsidP="00BB313D">
            <w:pPr>
              <w:widowControl w:val="0"/>
              <w:spacing w:line="240" w:lineRule="exact"/>
              <w:ind w:right="151"/>
              <w:jc w:val="right"/>
              <w:rPr>
                <w:rFonts w:cs="Arial"/>
                <w:sz w:val="16"/>
                <w:szCs w:val="16"/>
              </w:rPr>
            </w:pPr>
            <w:r>
              <w:rPr>
                <w:rFonts w:cs="Arial"/>
                <w:sz w:val="16"/>
                <w:szCs w:val="16"/>
              </w:rPr>
              <w:t>9,6</w:t>
            </w:r>
          </w:p>
        </w:tc>
        <w:tc>
          <w:tcPr>
            <w:tcW w:w="776" w:type="pct"/>
            <w:tcBorders>
              <w:left w:val="single" w:sz="4" w:space="0" w:color="BFBFBF" w:themeColor="background1" w:themeShade="BF"/>
              <w:bottom w:val="single" w:sz="4" w:space="0" w:color="BFBFBF" w:themeColor="background1" w:themeShade="BF"/>
            </w:tcBorders>
          </w:tcPr>
          <w:p w:rsidR="00665097" w:rsidRPr="003B5717" w:rsidRDefault="00665097" w:rsidP="00BB313D">
            <w:pPr>
              <w:widowControl w:val="0"/>
              <w:spacing w:line="240" w:lineRule="exact"/>
              <w:ind w:right="151"/>
              <w:jc w:val="right"/>
              <w:rPr>
                <w:rFonts w:cs="Arial"/>
                <w:sz w:val="16"/>
                <w:szCs w:val="16"/>
              </w:rPr>
            </w:pPr>
            <w:r w:rsidRPr="003B5717">
              <w:rPr>
                <w:rFonts w:cs="Arial"/>
                <w:sz w:val="16"/>
                <w:szCs w:val="16"/>
              </w:rPr>
              <w:t>65,</w:t>
            </w:r>
            <w:r w:rsidR="00A30D50">
              <w:rPr>
                <w:rFonts w:cs="Arial"/>
                <w:sz w:val="16"/>
                <w:szCs w:val="16"/>
              </w:rPr>
              <w:t>2</w:t>
            </w:r>
          </w:p>
        </w:tc>
      </w:tr>
    </w:tbl>
    <w:p w:rsidR="00D43F20" w:rsidRDefault="00D43F20" w:rsidP="00BB313D">
      <w:pPr>
        <w:widowControl w:val="0"/>
        <w:rPr>
          <w:rFonts w:ascii="Tahoma" w:hAnsi="Tahoma" w:cs="Arial"/>
          <w:highlight w:val="red"/>
        </w:rPr>
      </w:pPr>
    </w:p>
    <w:p w:rsidR="00665097" w:rsidRDefault="00DE1512" w:rsidP="00BB313D">
      <w:pPr>
        <w:widowControl w:val="0"/>
        <w:spacing w:line="240" w:lineRule="auto"/>
        <w:jc w:val="center"/>
        <w:rPr>
          <w:rFonts w:cs="Arial"/>
          <w:b/>
          <w:color w:val="1F497D" w:themeColor="text2"/>
          <w:sz w:val="18"/>
          <w:szCs w:val="18"/>
        </w:rPr>
      </w:pPr>
      <w:bookmarkStart w:id="52" w:name="_Toc391999583"/>
      <w:bookmarkStart w:id="53" w:name="_Toc45011946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3B5717">
        <w:rPr>
          <w:rFonts w:cs="Arial"/>
          <w:b/>
          <w:color w:val="1F497D" w:themeColor="text2"/>
          <w:sz w:val="18"/>
          <w:szCs w:val="18"/>
        </w:rPr>
        <w:t>DISTRIBUCIÓN POR SECTO</w:t>
      </w:r>
      <w:r w:rsidR="00EA207E">
        <w:rPr>
          <w:rFonts w:cs="Arial"/>
          <w:b/>
          <w:color w:val="1F497D" w:themeColor="text2"/>
          <w:sz w:val="18"/>
          <w:szCs w:val="18"/>
        </w:rPr>
        <w:t>R DE ACTIVIDAD SEGÚN GÉNERO 2014</w:t>
      </w:r>
      <w:r w:rsidR="00665097" w:rsidRPr="003B5717">
        <w:rPr>
          <w:rFonts w:cs="Arial"/>
          <w:b/>
          <w:color w:val="1F497D" w:themeColor="text2"/>
          <w:sz w:val="18"/>
          <w:szCs w:val="18"/>
        </w:rPr>
        <w:t xml:space="preserve"> EN LA ECONOMÍA DE LA CAE (%</w:t>
      </w:r>
      <w:r w:rsidR="0035503D">
        <w:rPr>
          <w:rFonts w:cs="Arial"/>
          <w:b/>
          <w:color w:val="1F497D" w:themeColor="text2"/>
          <w:sz w:val="18"/>
          <w:szCs w:val="18"/>
        </w:rPr>
        <w:t xml:space="preserve"> </w:t>
      </w:r>
      <w:r w:rsidR="00665097" w:rsidRPr="003B5717">
        <w:rPr>
          <w:rFonts w:cs="Arial"/>
          <w:b/>
          <w:color w:val="1F497D" w:themeColor="text2"/>
          <w:sz w:val="18"/>
          <w:szCs w:val="18"/>
        </w:rPr>
        <w:t>v</w:t>
      </w:r>
      <w:r w:rsidR="0035503D">
        <w:rPr>
          <w:rFonts w:cs="Arial"/>
          <w:b/>
          <w:color w:val="1F497D" w:themeColor="text2"/>
          <w:sz w:val="18"/>
          <w:szCs w:val="18"/>
        </w:rPr>
        <w:t>erticales</w:t>
      </w:r>
      <w:r w:rsidR="00665097" w:rsidRPr="003B5717">
        <w:rPr>
          <w:rFonts w:cs="Arial"/>
          <w:b/>
          <w:color w:val="1F497D" w:themeColor="text2"/>
          <w:sz w:val="18"/>
          <w:szCs w:val="18"/>
        </w:rPr>
        <w:t>)</w:t>
      </w:r>
      <w:bookmarkEnd w:id="52"/>
      <w:bookmarkEnd w:id="53"/>
    </w:p>
    <w:tbl>
      <w:tblPr>
        <w:tblW w:w="9940" w:type="dxa"/>
        <w:jc w:val="center"/>
        <w:tblLook w:val="04A0" w:firstRow="1" w:lastRow="0" w:firstColumn="1" w:lastColumn="0" w:noHBand="0" w:noVBand="1"/>
      </w:tblPr>
      <w:tblGrid>
        <w:gridCol w:w="1418"/>
        <w:gridCol w:w="1704"/>
        <w:gridCol w:w="1704"/>
        <w:gridCol w:w="1704"/>
        <w:gridCol w:w="1867"/>
        <w:gridCol w:w="1543"/>
      </w:tblGrid>
      <w:tr w:rsidR="00665097" w:rsidRPr="003B5717" w:rsidTr="00D122F5">
        <w:trPr>
          <w:jc w:val="center"/>
        </w:trPr>
        <w:tc>
          <w:tcPr>
            <w:tcW w:w="71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sz w:val="16"/>
                <w:szCs w:val="16"/>
              </w:rPr>
            </w:pPr>
            <w:r w:rsidRPr="003B5717">
              <w:rPr>
                <w:rFonts w:cs="Arial"/>
                <w:sz w:val="16"/>
                <w:szCs w:val="16"/>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TOTAL</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Primario</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Construcción</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Servicios</w:t>
            </w:r>
          </w:p>
        </w:tc>
      </w:tr>
      <w:tr w:rsidR="00665097" w:rsidRPr="003B5717" w:rsidTr="00D122F5">
        <w:trPr>
          <w:jc w:val="center"/>
        </w:trPr>
        <w:tc>
          <w:tcPr>
            <w:tcW w:w="714" w:type="pct"/>
            <w:tcBorders>
              <w:top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rPr>
                <w:rFonts w:cs="Arial"/>
                <w:sz w:val="16"/>
                <w:szCs w:val="16"/>
              </w:rPr>
            </w:pPr>
            <w:r w:rsidRPr="003B5717">
              <w:rPr>
                <w:rFonts w:cs="Arial"/>
                <w:sz w:val="16"/>
                <w:szCs w:val="16"/>
              </w:rPr>
              <w:t>Hombres</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F532EA" w:rsidRDefault="00665097" w:rsidP="00BB313D">
            <w:pPr>
              <w:widowControl w:val="0"/>
              <w:spacing w:line="240" w:lineRule="exact"/>
              <w:ind w:right="151"/>
              <w:jc w:val="right"/>
              <w:rPr>
                <w:rFonts w:cs="Arial"/>
                <w:bCs/>
                <w:sz w:val="16"/>
                <w:szCs w:val="16"/>
              </w:rPr>
            </w:pPr>
            <w:r w:rsidRPr="00F532EA">
              <w:rPr>
                <w:rFonts w:cs="Arial"/>
                <w:bCs/>
                <w:sz w:val="16"/>
                <w:szCs w:val="16"/>
              </w:rPr>
              <w:t>53,</w:t>
            </w:r>
            <w:r w:rsidR="00A30D50">
              <w:rPr>
                <w:rFonts w:cs="Arial"/>
                <w:bCs/>
                <w:sz w:val="16"/>
                <w:szCs w:val="16"/>
              </w:rPr>
              <w:t>1</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F532EA" w:rsidRDefault="00A30D50" w:rsidP="00BB313D">
            <w:pPr>
              <w:widowControl w:val="0"/>
              <w:spacing w:line="240" w:lineRule="exact"/>
              <w:ind w:right="151"/>
              <w:jc w:val="right"/>
              <w:rPr>
                <w:rFonts w:cs="Arial"/>
                <w:bCs/>
                <w:sz w:val="16"/>
                <w:szCs w:val="16"/>
              </w:rPr>
            </w:pPr>
            <w:r>
              <w:rPr>
                <w:rFonts w:cs="Arial"/>
                <w:bCs/>
                <w:sz w:val="16"/>
                <w:szCs w:val="16"/>
              </w:rPr>
              <w:t>72,2</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F532EA" w:rsidRDefault="0080239E" w:rsidP="00BB313D">
            <w:pPr>
              <w:widowControl w:val="0"/>
              <w:spacing w:line="240" w:lineRule="exact"/>
              <w:ind w:right="151"/>
              <w:jc w:val="right"/>
              <w:rPr>
                <w:rFonts w:cs="Arial"/>
                <w:bCs/>
                <w:sz w:val="16"/>
                <w:szCs w:val="16"/>
              </w:rPr>
            </w:pPr>
            <w:r>
              <w:rPr>
                <w:rFonts w:cs="Arial"/>
                <w:bCs/>
                <w:sz w:val="16"/>
                <w:szCs w:val="16"/>
              </w:rPr>
              <w:t>80,6</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F532EA" w:rsidRDefault="00665097" w:rsidP="00BB313D">
            <w:pPr>
              <w:widowControl w:val="0"/>
              <w:spacing w:line="240" w:lineRule="exact"/>
              <w:ind w:right="151"/>
              <w:jc w:val="right"/>
              <w:rPr>
                <w:rFonts w:cs="Arial"/>
                <w:bCs/>
                <w:sz w:val="16"/>
                <w:szCs w:val="16"/>
              </w:rPr>
            </w:pPr>
            <w:r w:rsidRPr="00F532EA">
              <w:rPr>
                <w:rFonts w:cs="Arial"/>
                <w:bCs/>
                <w:sz w:val="16"/>
                <w:szCs w:val="16"/>
              </w:rPr>
              <w:t>8</w:t>
            </w:r>
            <w:r w:rsidR="0080239E">
              <w:rPr>
                <w:rFonts w:cs="Arial"/>
                <w:bCs/>
                <w:sz w:val="16"/>
                <w:szCs w:val="16"/>
              </w:rPr>
              <w:t>8,7</w:t>
            </w:r>
          </w:p>
        </w:tc>
        <w:tc>
          <w:tcPr>
            <w:tcW w:w="776" w:type="pct"/>
            <w:tcBorders>
              <w:top w:val="single" w:sz="4" w:space="0" w:color="BFBFBF" w:themeColor="background1" w:themeShade="BF"/>
              <w:left w:val="single" w:sz="4" w:space="0" w:color="BFBFBF" w:themeColor="background1" w:themeShade="BF"/>
            </w:tcBorders>
            <w:vAlign w:val="bottom"/>
          </w:tcPr>
          <w:p w:rsidR="00665097" w:rsidRPr="00F532EA" w:rsidRDefault="00665097" w:rsidP="00BB313D">
            <w:pPr>
              <w:widowControl w:val="0"/>
              <w:spacing w:line="240" w:lineRule="exact"/>
              <w:ind w:right="151"/>
              <w:jc w:val="right"/>
              <w:rPr>
                <w:rFonts w:cs="Arial"/>
                <w:bCs/>
                <w:sz w:val="16"/>
                <w:szCs w:val="16"/>
              </w:rPr>
            </w:pPr>
            <w:r w:rsidRPr="00F532EA">
              <w:rPr>
                <w:rFonts w:cs="Arial"/>
                <w:bCs/>
                <w:sz w:val="16"/>
                <w:szCs w:val="16"/>
              </w:rPr>
              <w:t>41,8</w:t>
            </w:r>
          </w:p>
        </w:tc>
      </w:tr>
      <w:tr w:rsidR="00665097" w:rsidRPr="003B5717" w:rsidTr="00D122F5">
        <w:trPr>
          <w:jc w:val="center"/>
        </w:trPr>
        <w:tc>
          <w:tcPr>
            <w:tcW w:w="714" w:type="pct"/>
            <w:tcBorders>
              <w:bottom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rPr>
                <w:rFonts w:cs="Arial"/>
                <w:sz w:val="16"/>
                <w:szCs w:val="16"/>
              </w:rPr>
            </w:pPr>
            <w:r w:rsidRPr="003B5717">
              <w:rPr>
                <w:rFonts w:cs="Arial"/>
                <w:sz w:val="16"/>
                <w:szCs w:val="16"/>
              </w:rPr>
              <w:t>Mujeres</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F532EA" w:rsidRDefault="00665097" w:rsidP="00BB313D">
            <w:pPr>
              <w:widowControl w:val="0"/>
              <w:spacing w:line="240" w:lineRule="exact"/>
              <w:ind w:right="151"/>
              <w:jc w:val="right"/>
              <w:rPr>
                <w:rFonts w:cs="Arial"/>
                <w:bCs/>
                <w:sz w:val="16"/>
                <w:szCs w:val="16"/>
              </w:rPr>
            </w:pPr>
            <w:r w:rsidRPr="00F532EA">
              <w:rPr>
                <w:rFonts w:cs="Arial"/>
                <w:bCs/>
                <w:sz w:val="16"/>
                <w:szCs w:val="16"/>
              </w:rPr>
              <w:t>46,</w:t>
            </w:r>
            <w:r w:rsidR="00A30D50">
              <w:rPr>
                <w:rFonts w:cs="Arial"/>
                <w:bCs/>
                <w:sz w:val="16"/>
                <w:szCs w:val="16"/>
              </w:rPr>
              <w:t>9</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F532EA" w:rsidRDefault="00A30D50" w:rsidP="00BB313D">
            <w:pPr>
              <w:widowControl w:val="0"/>
              <w:spacing w:line="240" w:lineRule="exact"/>
              <w:ind w:right="151"/>
              <w:jc w:val="right"/>
              <w:rPr>
                <w:rFonts w:cs="Arial"/>
                <w:bCs/>
                <w:sz w:val="16"/>
                <w:szCs w:val="16"/>
              </w:rPr>
            </w:pPr>
            <w:r>
              <w:rPr>
                <w:rFonts w:cs="Arial"/>
                <w:bCs/>
                <w:sz w:val="16"/>
                <w:szCs w:val="16"/>
              </w:rPr>
              <w:t>27,7</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F532EA" w:rsidRDefault="0080239E" w:rsidP="00BB313D">
            <w:pPr>
              <w:widowControl w:val="0"/>
              <w:spacing w:line="240" w:lineRule="exact"/>
              <w:ind w:right="151"/>
              <w:jc w:val="right"/>
              <w:rPr>
                <w:rFonts w:cs="Arial"/>
                <w:bCs/>
                <w:sz w:val="16"/>
                <w:szCs w:val="16"/>
              </w:rPr>
            </w:pPr>
            <w:r>
              <w:rPr>
                <w:rFonts w:cs="Arial"/>
                <w:bCs/>
                <w:sz w:val="16"/>
                <w:szCs w:val="16"/>
              </w:rPr>
              <w:t>19,4</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F532EA" w:rsidRDefault="0080239E" w:rsidP="00BB313D">
            <w:pPr>
              <w:widowControl w:val="0"/>
              <w:spacing w:line="240" w:lineRule="exact"/>
              <w:ind w:right="151"/>
              <w:jc w:val="right"/>
              <w:rPr>
                <w:rFonts w:cs="Arial"/>
                <w:bCs/>
                <w:sz w:val="16"/>
                <w:szCs w:val="16"/>
              </w:rPr>
            </w:pPr>
            <w:r>
              <w:rPr>
                <w:rFonts w:cs="Arial"/>
                <w:bCs/>
                <w:sz w:val="16"/>
                <w:szCs w:val="16"/>
              </w:rPr>
              <w:t>11,3</w:t>
            </w:r>
          </w:p>
        </w:tc>
        <w:tc>
          <w:tcPr>
            <w:tcW w:w="776" w:type="pct"/>
            <w:tcBorders>
              <w:left w:val="single" w:sz="4" w:space="0" w:color="BFBFBF" w:themeColor="background1" w:themeShade="BF"/>
              <w:bottom w:val="single" w:sz="4" w:space="0" w:color="BFBFBF" w:themeColor="background1" w:themeShade="BF"/>
            </w:tcBorders>
            <w:vAlign w:val="bottom"/>
          </w:tcPr>
          <w:p w:rsidR="00665097" w:rsidRPr="00F532EA" w:rsidRDefault="00665097" w:rsidP="00BB313D">
            <w:pPr>
              <w:widowControl w:val="0"/>
              <w:spacing w:line="240" w:lineRule="exact"/>
              <w:ind w:right="151"/>
              <w:jc w:val="right"/>
              <w:rPr>
                <w:rFonts w:cs="Arial"/>
                <w:bCs/>
                <w:sz w:val="16"/>
                <w:szCs w:val="16"/>
              </w:rPr>
            </w:pPr>
            <w:r w:rsidRPr="00F532EA">
              <w:rPr>
                <w:rFonts w:cs="Arial"/>
                <w:bCs/>
                <w:sz w:val="16"/>
                <w:szCs w:val="16"/>
              </w:rPr>
              <w:t>58,2</w:t>
            </w:r>
          </w:p>
        </w:tc>
      </w:tr>
    </w:tbl>
    <w:p w:rsidR="00665097" w:rsidRPr="00655A14" w:rsidRDefault="00665097" w:rsidP="00BB313D">
      <w:pPr>
        <w:pStyle w:val="Ttulo6"/>
        <w:keepNext w:val="0"/>
        <w:widowControl w:val="0"/>
        <w:jc w:val="center"/>
        <w:rPr>
          <w:rFonts w:ascii="Arial" w:hAnsi="Arial" w:cs="Arial"/>
          <w:b w:val="0"/>
          <w:i/>
          <w:sz w:val="16"/>
        </w:rPr>
      </w:pPr>
      <w:r w:rsidRPr="00655A14">
        <w:rPr>
          <w:rFonts w:ascii="Arial" w:hAnsi="Arial" w:cs="Arial"/>
          <w:b w:val="0"/>
          <w:i/>
          <w:sz w:val="16"/>
        </w:rPr>
        <w:t xml:space="preserve">Fuente: </w:t>
      </w:r>
      <w:r>
        <w:rPr>
          <w:rFonts w:ascii="Arial" w:hAnsi="Arial" w:cs="Arial"/>
          <w:b w:val="0"/>
          <w:i/>
          <w:sz w:val="16"/>
        </w:rPr>
        <w:t xml:space="preserve">Elaboración propia a partir del </w:t>
      </w:r>
      <w:r w:rsidRPr="00655A14">
        <w:rPr>
          <w:rFonts w:ascii="Arial" w:hAnsi="Arial" w:cs="Arial"/>
          <w:b w:val="0"/>
          <w:i/>
          <w:sz w:val="16"/>
        </w:rPr>
        <w:t>INE E</w:t>
      </w:r>
      <w:r>
        <w:rPr>
          <w:rFonts w:ascii="Arial" w:hAnsi="Arial" w:cs="Arial"/>
          <w:b w:val="0"/>
          <w:i/>
          <w:sz w:val="16"/>
        </w:rPr>
        <w:t xml:space="preserve">ncuesta de Población </w:t>
      </w:r>
      <w:r w:rsidR="00A30D50">
        <w:rPr>
          <w:rFonts w:ascii="Arial" w:hAnsi="Arial" w:cs="Arial"/>
          <w:b w:val="0"/>
          <w:i/>
          <w:sz w:val="16"/>
        </w:rPr>
        <w:t>Activa 2014</w:t>
      </w:r>
    </w:p>
    <w:p w:rsidR="00D122F5" w:rsidRDefault="00D122F5">
      <w:pPr>
        <w:spacing w:after="200" w:line="276" w:lineRule="auto"/>
        <w:jc w:val="left"/>
        <w:rPr>
          <w:rFonts w:cs="Arial"/>
          <w:b/>
          <w:color w:val="1F497D" w:themeColor="text2"/>
          <w:sz w:val="18"/>
          <w:szCs w:val="18"/>
        </w:rPr>
      </w:pPr>
      <w:bookmarkStart w:id="54" w:name="_Toc391999584"/>
      <w:r>
        <w:rPr>
          <w:rFonts w:cs="Arial"/>
          <w:b/>
          <w:color w:val="1F497D" w:themeColor="text2"/>
          <w:sz w:val="18"/>
          <w:szCs w:val="18"/>
        </w:rPr>
        <w:br w:type="page"/>
      </w:r>
    </w:p>
    <w:p w:rsidR="00665097" w:rsidRPr="003B5717" w:rsidRDefault="00DE1512" w:rsidP="00BB313D">
      <w:pPr>
        <w:widowControl w:val="0"/>
        <w:spacing w:line="240" w:lineRule="auto"/>
        <w:jc w:val="center"/>
        <w:rPr>
          <w:rFonts w:cs="Arial"/>
          <w:b/>
          <w:color w:val="1F497D" w:themeColor="text2"/>
          <w:sz w:val="18"/>
          <w:szCs w:val="18"/>
        </w:rPr>
      </w:pPr>
      <w:bookmarkStart w:id="55" w:name="_Toc450119467"/>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3B5717">
        <w:rPr>
          <w:rFonts w:cs="Arial"/>
          <w:b/>
          <w:color w:val="1F497D" w:themeColor="text2"/>
          <w:sz w:val="18"/>
          <w:szCs w:val="18"/>
        </w:rPr>
        <w:t xml:space="preserve">DISTRIBUCIÓN POR </w:t>
      </w:r>
      <w:r w:rsidR="008A70E6">
        <w:rPr>
          <w:rFonts w:cs="Arial"/>
          <w:b/>
          <w:color w:val="1F497D" w:themeColor="text2"/>
          <w:sz w:val="18"/>
          <w:szCs w:val="18"/>
        </w:rPr>
        <w:t>FORMA JURÍDICA SEGÚN GÉNERO 2014</w:t>
      </w:r>
      <w:r w:rsidR="00665097" w:rsidRPr="003B5717">
        <w:rPr>
          <w:rFonts w:cs="Arial"/>
          <w:b/>
          <w:color w:val="1F497D" w:themeColor="text2"/>
          <w:sz w:val="18"/>
          <w:szCs w:val="18"/>
        </w:rPr>
        <w:t xml:space="preserve"> (%</w:t>
      </w:r>
      <w:r w:rsidR="0035503D">
        <w:rPr>
          <w:rFonts w:cs="Arial"/>
          <w:b/>
          <w:color w:val="1F497D" w:themeColor="text2"/>
          <w:sz w:val="18"/>
          <w:szCs w:val="18"/>
        </w:rPr>
        <w:t xml:space="preserve"> </w:t>
      </w:r>
      <w:r w:rsidR="00665097" w:rsidRPr="003B5717">
        <w:rPr>
          <w:rFonts w:cs="Arial"/>
          <w:b/>
          <w:color w:val="1F497D" w:themeColor="text2"/>
          <w:sz w:val="18"/>
          <w:szCs w:val="18"/>
        </w:rPr>
        <w:t>v</w:t>
      </w:r>
      <w:r w:rsidR="0035503D">
        <w:rPr>
          <w:rFonts w:cs="Arial"/>
          <w:b/>
          <w:color w:val="1F497D" w:themeColor="text2"/>
          <w:sz w:val="18"/>
          <w:szCs w:val="18"/>
        </w:rPr>
        <w:t>erticales</w:t>
      </w:r>
      <w:r w:rsidR="00665097" w:rsidRPr="003B5717">
        <w:rPr>
          <w:rFonts w:cs="Arial"/>
          <w:b/>
          <w:color w:val="1F497D" w:themeColor="text2"/>
          <w:sz w:val="18"/>
          <w:szCs w:val="18"/>
        </w:rPr>
        <w:t>)</w:t>
      </w:r>
      <w:bookmarkEnd w:id="54"/>
      <w:bookmarkEnd w:id="55"/>
    </w:p>
    <w:tbl>
      <w:tblPr>
        <w:tblW w:w="9940" w:type="dxa"/>
        <w:jc w:val="center"/>
        <w:tblLook w:val="04A0" w:firstRow="1" w:lastRow="0" w:firstColumn="1" w:lastColumn="0" w:noHBand="0" w:noVBand="1"/>
      </w:tblPr>
      <w:tblGrid>
        <w:gridCol w:w="1902"/>
        <w:gridCol w:w="2010"/>
        <w:gridCol w:w="2235"/>
        <w:gridCol w:w="1785"/>
        <w:gridCol w:w="2008"/>
      </w:tblGrid>
      <w:tr w:rsidR="00665097" w:rsidRPr="00F532EA" w:rsidTr="00D122F5">
        <w:trPr>
          <w:jc w:val="center"/>
        </w:trPr>
        <w:tc>
          <w:tcPr>
            <w:tcW w:w="9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F532EA" w:rsidRDefault="00665097" w:rsidP="00BB313D">
            <w:pPr>
              <w:widowControl w:val="0"/>
              <w:spacing w:line="240" w:lineRule="exact"/>
              <w:jc w:val="center"/>
              <w:rPr>
                <w:rFonts w:cs="Arial"/>
                <w:b/>
                <w:bCs/>
                <w:sz w:val="16"/>
                <w:szCs w:val="16"/>
              </w:rPr>
            </w:pPr>
            <w:r w:rsidRPr="00F532EA">
              <w:rPr>
                <w:rFonts w:cs="Arial"/>
                <w:b/>
                <w:bCs/>
                <w:sz w:val="16"/>
                <w:szCs w:val="16"/>
              </w:rPr>
              <w:t> </w:t>
            </w:r>
          </w:p>
        </w:tc>
        <w:tc>
          <w:tcPr>
            <w:tcW w:w="10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F532EA" w:rsidRDefault="00665097" w:rsidP="00BB313D">
            <w:pPr>
              <w:widowControl w:val="0"/>
              <w:spacing w:line="240" w:lineRule="exact"/>
              <w:jc w:val="center"/>
              <w:rPr>
                <w:rFonts w:cs="Arial"/>
                <w:b/>
                <w:bCs/>
                <w:sz w:val="16"/>
                <w:szCs w:val="16"/>
              </w:rPr>
            </w:pPr>
            <w:r w:rsidRPr="00F532EA">
              <w:rPr>
                <w:rFonts w:cs="Arial"/>
                <w:b/>
                <w:bCs/>
                <w:sz w:val="16"/>
                <w:szCs w:val="16"/>
              </w:rPr>
              <w:t>TOTAL</w:t>
            </w:r>
          </w:p>
        </w:tc>
        <w:tc>
          <w:tcPr>
            <w:tcW w:w="11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F532EA" w:rsidRDefault="00665097" w:rsidP="00BB313D">
            <w:pPr>
              <w:widowControl w:val="0"/>
              <w:spacing w:line="240" w:lineRule="exact"/>
              <w:jc w:val="center"/>
              <w:rPr>
                <w:rFonts w:cs="Arial"/>
                <w:b/>
                <w:bCs/>
                <w:sz w:val="16"/>
                <w:szCs w:val="16"/>
              </w:rPr>
            </w:pPr>
            <w:r w:rsidRPr="00F532EA">
              <w:rPr>
                <w:rFonts w:cs="Arial"/>
                <w:b/>
                <w:bCs/>
                <w:sz w:val="16"/>
                <w:szCs w:val="16"/>
              </w:rPr>
              <w:t>Cooperativas</w:t>
            </w:r>
          </w:p>
        </w:tc>
        <w:tc>
          <w:tcPr>
            <w:tcW w:w="8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F532EA" w:rsidRDefault="00665097" w:rsidP="00BB313D">
            <w:pPr>
              <w:widowControl w:val="0"/>
              <w:spacing w:line="240" w:lineRule="exact"/>
              <w:jc w:val="center"/>
              <w:rPr>
                <w:rFonts w:cs="Arial"/>
                <w:b/>
                <w:bCs/>
                <w:sz w:val="16"/>
                <w:szCs w:val="16"/>
              </w:rPr>
            </w:pPr>
            <w:r w:rsidRPr="00F532EA">
              <w:rPr>
                <w:rFonts w:cs="Arial"/>
                <w:b/>
                <w:bCs/>
                <w:sz w:val="16"/>
                <w:szCs w:val="16"/>
              </w:rPr>
              <w:t>S.A.L.es</w:t>
            </w:r>
          </w:p>
        </w:tc>
        <w:tc>
          <w:tcPr>
            <w:tcW w:w="101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F532EA" w:rsidRDefault="00665097" w:rsidP="00BB313D">
            <w:pPr>
              <w:widowControl w:val="0"/>
              <w:spacing w:line="240" w:lineRule="exact"/>
              <w:jc w:val="center"/>
              <w:rPr>
                <w:rFonts w:cs="Arial"/>
                <w:b/>
                <w:bCs/>
                <w:sz w:val="16"/>
                <w:szCs w:val="16"/>
              </w:rPr>
            </w:pPr>
            <w:r w:rsidRPr="00F532EA">
              <w:rPr>
                <w:rFonts w:cs="Arial"/>
                <w:b/>
                <w:bCs/>
                <w:sz w:val="16"/>
                <w:szCs w:val="16"/>
              </w:rPr>
              <w:t>S.L.L.es</w:t>
            </w:r>
          </w:p>
        </w:tc>
      </w:tr>
      <w:tr w:rsidR="00665097" w:rsidRPr="00F532EA" w:rsidTr="00D122F5">
        <w:trPr>
          <w:jc w:val="center"/>
        </w:trPr>
        <w:tc>
          <w:tcPr>
            <w:tcW w:w="957" w:type="pct"/>
            <w:tcBorders>
              <w:top w:val="single" w:sz="4" w:space="0" w:color="BFBFBF" w:themeColor="background1" w:themeShade="BF"/>
              <w:right w:val="single" w:sz="4" w:space="0" w:color="BFBFBF" w:themeColor="background1" w:themeShade="BF"/>
            </w:tcBorders>
          </w:tcPr>
          <w:p w:rsidR="00665097" w:rsidRPr="00F532EA" w:rsidRDefault="00665097" w:rsidP="00BB313D">
            <w:pPr>
              <w:widowControl w:val="0"/>
              <w:spacing w:line="240" w:lineRule="exact"/>
              <w:rPr>
                <w:rFonts w:cs="Arial"/>
                <w:sz w:val="16"/>
                <w:szCs w:val="16"/>
              </w:rPr>
            </w:pPr>
            <w:r w:rsidRPr="00F532EA">
              <w:rPr>
                <w:rFonts w:cs="Arial"/>
                <w:sz w:val="16"/>
                <w:szCs w:val="16"/>
              </w:rPr>
              <w:t>Hombres</w:t>
            </w:r>
          </w:p>
        </w:tc>
        <w:tc>
          <w:tcPr>
            <w:tcW w:w="101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F532EA" w:rsidRDefault="00665097" w:rsidP="00BB313D">
            <w:pPr>
              <w:widowControl w:val="0"/>
              <w:spacing w:line="240" w:lineRule="exact"/>
              <w:ind w:right="177"/>
              <w:jc w:val="right"/>
              <w:rPr>
                <w:rFonts w:cs="Arial"/>
                <w:bCs/>
                <w:sz w:val="16"/>
                <w:szCs w:val="16"/>
              </w:rPr>
            </w:pPr>
            <w:r w:rsidRPr="00F532EA">
              <w:rPr>
                <w:rFonts w:cs="Arial"/>
                <w:bCs/>
                <w:sz w:val="16"/>
                <w:szCs w:val="16"/>
              </w:rPr>
              <w:t>5</w:t>
            </w:r>
            <w:r w:rsidR="008A70E6">
              <w:rPr>
                <w:rFonts w:cs="Arial"/>
                <w:bCs/>
                <w:sz w:val="16"/>
                <w:szCs w:val="16"/>
              </w:rPr>
              <w:t>6,1</w:t>
            </w:r>
          </w:p>
        </w:tc>
        <w:tc>
          <w:tcPr>
            <w:tcW w:w="1124"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F532EA" w:rsidRDefault="00D72372" w:rsidP="00BB313D">
            <w:pPr>
              <w:widowControl w:val="0"/>
              <w:spacing w:line="240" w:lineRule="exact"/>
              <w:ind w:right="177"/>
              <w:jc w:val="right"/>
              <w:rPr>
                <w:rFonts w:cs="Arial"/>
                <w:bCs/>
                <w:sz w:val="16"/>
                <w:szCs w:val="16"/>
              </w:rPr>
            </w:pPr>
            <w:r>
              <w:rPr>
                <w:rFonts w:cs="Arial"/>
                <w:bCs/>
                <w:sz w:val="16"/>
                <w:szCs w:val="16"/>
              </w:rPr>
              <w:t>52,9</w:t>
            </w:r>
          </w:p>
        </w:tc>
        <w:tc>
          <w:tcPr>
            <w:tcW w:w="89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F532EA" w:rsidRDefault="00D72372" w:rsidP="00BB313D">
            <w:pPr>
              <w:widowControl w:val="0"/>
              <w:spacing w:line="240" w:lineRule="exact"/>
              <w:ind w:right="177"/>
              <w:jc w:val="right"/>
              <w:rPr>
                <w:rFonts w:cs="Arial"/>
                <w:bCs/>
                <w:sz w:val="16"/>
                <w:szCs w:val="16"/>
              </w:rPr>
            </w:pPr>
            <w:r>
              <w:rPr>
                <w:rFonts w:cs="Arial"/>
                <w:bCs/>
                <w:sz w:val="16"/>
                <w:szCs w:val="16"/>
              </w:rPr>
              <w:t>81,8</w:t>
            </w:r>
          </w:p>
        </w:tc>
        <w:tc>
          <w:tcPr>
            <w:tcW w:w="1011" w:type="pct"/>
            <w:tcBorders>
              <w:top w:val="single" w:sz="4" w:space="0" w:color="BFBFBF" w:themeColor="background1" w:themeShade="BF"/>
              <w:left w:val="single" w:sz="4" w:space="0" w:color="BFBFBF" w:themeColor="background1" w:themeShade="BF"/>
            </w:tcBorders>
          </w:tcPr>
          <w:p w:rsidR="00665097" w:rsidRPr="00F532EA" w:rsidRDefault="00D72372" w:rsidP="00BB313D">
            <w:pPr>
              <w:widowControl w:val="0"/>
              <w:spacing w:line="240" w:lineRule="exact"/>
              <w:ind w:right="177"/>
              <w:jc w:val="right"/>
              <w:rPr>
                <w:rFonts w:cs="Arial"/>
                <w:bCs/>
                <w:sz w:val="16"/>
                <w:szCs w:val="16"/>
              </w:rPr>
            </w:pPr>
            <w:r>
              <w:rPr>
                <w:rFonts w:cs="Arial"/>
                <w:bCs/>
                <w:sz w:val="16"/>
                <w:szCs w:val="16"/>
              </w:rPr>
              <w:t>73,4</w:t>
            </w:r>
          </w:p>
        </w:tc>
      </w:tr>
      <w:tr w:rsidR="00665097" w:rsidRPr="00F532EA" w:rsidTr="00D122F5">
        <w:trPr>
          <w:jc w:val="center"/>
        </w:trPr>
        <w:tc>
          <w:tcPr>
            <w:tcW w:w="957" w:type="pct"/>
            <w:tcBorders>
              <w:bottom w:val="single" w:sz="4" w:space="0" w:color="BFBFBF" w:themeColor="background1" w:themeShade="BF"/>
              <w:right w:val="single" w:sz="4" w:space="0" w:color="BFBFBF" w:themeColor="background1" w:themeShade="BF"/>
            </w:tcBorders>
          </w:tcPr>
          <w:p w:rsidR="00665097" w:rsidRPr="00F532EA" w:rsidRDefault="00665097" w:rsidP="00BB313D">
            <w:pPr>
              <w:widowControl w:val="0"/>
              <w:spacing w:line="240" w:lineRule="exact"/>
              <w:rPr>
                <w:rFonts w:cs="Arial"/>
                <w:sz w:val="16"/>
                <w:szCs w:val="16"/>
              </w:rPr>
            </w:pPr>
            <w:r w:rsidRPr="00F532EA">
              <w:rPr>
                <w:rFonts w:cs="Arial"/>
                <w:sz w:val="16"/>
                <w:szCs w:val="16"/>
                <w:lang w:val="es-ES_tradnl"/>
              </w:rPr>
              <w:t>Mujeres</w:t>
            </w:r>
          </w:p>
        </w:tc>
        <w:tc>
          <w:tcPr>
            <w:tcW w:w="101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F532EA" w:rsidRDefault="008A70E6" w:rsidP="00BB313D">
            <w:pPr>
              <w:widowControl w:val="0"/>
              <w:spacing w:line="240" w:lineRule="exact"/>
              <w:ind w:right="177"/>
              <w:jc w:val="right"/>
              <w:rPr>
                <w:rFonts w:cs="Arial"/>
                <w:bCs/>
                <w:sz w:val="16"/>
                <w:szCs w:val="16"/>
              </w:rPr>
            </w:pPr>
            <w:r>
              <w:rPr>
                <w:rFonts w:cs="Arial"/>
                <w:bCs/>
                <w:sz w:val="16"/>
                <w:szCs w:val="16"/>
              </w:rPr>
              <w:t>43,9</w:t>
            </w:r>
          </w:p>
        </w:tc>
        <w:tc>
          <w:tcPr>
            <w:tcW w:w="112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F532EA" w:rsidRDefault="00D72372" w:rsidP="00BB313D">
            <w:pPr>
              <w:widowControl w:val="0"/>
              <w:spacing w:line="240" w:lineRule="exact"/>
              <w:ind w:right="177"/>
              <w:jc w:val="right"/>
              <w:rPr>
                <w:rFonts w:cs="Arial"/>
                <w:bCs/>
                <w:sz w:val="16"/>
                <w:szCs w:val="16"/>
              </w:rPr>
            </w:pPr>
            <w:r>
              <w:rPr>
                <w:rFonts w:cs="Arial"/>
                <w:bCs/>
                <w:sz w:val="16"/>
                <w:szCs w:val="16"/>
              </w:rPr>
              <w:t>47,1</w:t>
            </w:r>
          </w:p>
        </w:tc>
        <w:tc>
          <w:tcPr>
            <w:tcW w:w="8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F532EA" w:rsidRDefault="00D72372" w:rsidP="00BB313D">
            <w:pPr>
              <w:widowControl w:val="0"/>
              <w:spacing w:line="240" w:lineRule="exact"/>
              <w:ind w:right="177"/>
              <w:jc w:val="right"/>
              <w:rPr>
                <w:rFonts w:cs="Arial"/>
                <w:bCs/>
                <w:sz w:val="16"/>
                <w:szCs w:val="16"/>
              </w:rPr>
            </w:pPr>
            <w:r>
              <w:rPr>
                <w:rFonts w:cs="Arial"/>
                <w:bCs/>
                <w:sz w:val="16"/>
                <w:szCs w:val="16"/>
              </w:rPr>
              <w:t>18,2</w:t>
            </w:r>
          </w:p>
        </w:tc>
        <w:tc>
          <w:tcPr>
            <w:tcW w:w="1011" w:type="pct"/>
            <w:tcBorders>
              <w:left w:val="single" w:sz="4" w:space="0" w:color="BFBFBF" w:themeColor="background1" w:themeShade="BF"/>
              <w:bottom w:val="single" w:sz="4" w:space="0" w:color="BFBFBF" w:themeColor="background1" w:themeShade="BF"/>
            </w:tcBorders>
          </w:tcPr>
          <w:p w:rsidR="00665097" w:rsidRPr="00F532EA" w:rsidRDefault="00D72372" w:rsidP="00BB313D">
            <w:pPr>
              <w:widowControl w:val="0"/>
              <w:spacing w:line="240" w:lineRule="exact"/>
              <w:ind w:right="177"/>
              <w:jc w:val="right"/>
              <w:rPr>
                <w:rFonts w:cs="Arial"/>
                <w:bCs/>
                <w:sz w:val="16"/>
                <w:szCs w:val="16"/>
              </w:rPr>
            </w:pPr>
            <w:r>
              <w:rPr>
                <w:rFonts w:cs="Arial"/>
                <w:bCs/>
                <w:sz w:val="16"/>
                <w:szCs w:val="16"/>
              </w:rPr>
              <w:t>26,6</w:t>
            </w:r>
          </w:p>
        </w:tc>
      </w:tr>
    </w:tbl>
    <w:p w:rsidR="00665097" w:rsidRDefault="00665097" w:rsidP="00BB313D">
      <w:pPr>
        <w:widowControl w:val="0"/>
      </w:pPr>
    </w:p>
    <w:p w:rsidR="00D72372" w:rsidRDefault="00D72372"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56" w:name="_Toc391999585"/>
      <w:bookmarkStart w:id="57" w:name="_Toc450119468"/>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665097" w:rsidRPr="003B5717">
        <w:rPr>
          <w:rFonts w:cs="Arial"/>
          <w:b/>
          <w:color w:val="1F497D" w:themeColor="text2"/>
          <w:sz w:val="18"/>
          <w:szCs w:val="18"/>
        </w:rPr>
        <w:t>DISTRIBUCIÓN POR SECTOR DE ACTIVIDAD Y SEGÚN GÉNERO</w:t>
      </w:r>
      <w:r w:rsidR="00D72372">
        <w:rPr>
          <w:rFonts w:cs="Arial"/>
          <w:b/>
          <w:color w:val="1F497D" w:themeColor="text2"/>
          <w:sz w:val="18"/>
          <w:szCs w:val="18"/>
        </w:rPr>
        <w:t xml:space="preserve"> 2014</w:t>
      </w:r>
      <w:r w:rsidR="00665097" w:rsidRPr="003B5717">
        <w:rPr>
          <w:rFonts w:cs="Arial"/>
          <w:b/>
          <w:color w:val="1F497D" w:themeColor="text2"/>
          <w:sz w:val="18"/>
          <w:szCs w:val="18"/>
        </w:rPr>
        <w:t xml:space="preserve"> EN LA ECONOMÍA SOCIAL EN CONSEJOS RECTORES Y DE ADMINISTRACIÓN (%</w:t>
      </w:r>
      <w:r w:rsidR="0035503D">
        <w:rPr>
          <w:rFonts w:cs="Arial"/>
          <w:b/>
          <w:color w:val="1F497D" w:themeColor="text2"/>
          <w:sz w:val="18"/>
          <w:szCs w:val="18"/>
        </w:rPr>
        <w:t xml:space="preserve"> </w:t>
      </w:r>
      <w:r w:rsidR="00665097" w:rsidRPr="003B5717">
        <w:rPr>
          <w:rFonts w:cs="Arial"/>
          <w:b/>
          <w:color w:val="1F497D" w:themeColor="text2"/>
          <w:sz w:val="18"/>
          <w:szCs w:val="18"/>
        </w:rPr>
        <w:t>v</w:t>
      </w:r>
      <w:r w:rsidR="0035503D">
        <w:rPr>
          <w:rFonts w:cs="Arial"/>
          <w:b/>
          <w:color w:val="1F497D" w:themeColor="text2"/>
          <w:sz w:val="18"/>
          <w:szCs w:val="18"/>
        </w:rPr>
        <w:t>erticales</w:t>
      </w:r>
      <w:r w:rsidR="00665097" w:rsidRPr="003B5717">
        <w:rPr>
          <w:rFonts w:cs="Arial"/>
          <w:b/>
          <w:color w:val="1F497D" w:themeColor="text2"/>
          <w:sz w:val="18"/>
          <w:szCs w:val="18"/>
        </w:rPr>
        <w:t>)</w:t>
      </w:r>
      <w:bookmarkEnd w:id="56"/>
      <w:bookmarkEnd w:id="57"/>
    </w:p>
    <w:tbl>
      <w:tblPr>
        <w:tblW w:w="9940" w:type="dxa"/>
        <w:jc w:val="center"/>
        <w:tblLook w:val="04A0" w:firstRow="1" w:lastRow="0" w:firstColumn="1" w:lastColumn="0" w:noHBand="0" w:noVBand="1"/>
      </w:tblPr>
      <w:tblGrid>
        <w:gridCol w:w="1418"/>
        <w:gridCol w:w="1704"/>
        <w:gridCol w:w="1704"/>
        <w:gridCol w:w="1704"/>
        <w:gridCol w:w="1867"/>
        <w:gridCol w:w="1543"/>
      </w:tblGrid>
      <w:tr w:rsidR="00665097" w:rsidRPr="003B5717" w:rsidTr="00D122F5">
        <w:trPr>
          <w:jc w:val="center"/>
        </w:trPr>
        <w:tc>
          <w:tcPr>
            <w:tcW w:w="71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sz w:val="16"/>
                <w:szCs w:val="16"/>
              </w:rPr>
            </w:pPr>
            <w:r w:rsidRPr="003B5717">
              <w:rPr>
                <w:rFonts w:cs="Arial"/>
                <w:sz w:val="16"/>
                <w:szCs w:val="16"/>
              </w:rPr>
              <w:t> </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TOTAL</w:t>
            </w:r>
            <w:r>
              <w:rPr>
                <w:rFonts w:cs="Arial"/>
                <w:b/>
                <w:bCs/>
                <w:sz w:val="16"/>
                <w:szCs w:val="16"/>
              </w:rPr>
              <w:t xml:space="preserve"> Consejo</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Primario</w:t>
            </w:r>
          </w:p>
        </w:tc>
        <w:tc>
          <w:tcPr>
            <w:tcW w:w="8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Industria</w:t>
            </w:r>
          </w:p>
        </w:tc>
        <w:tc>
          <w:tcPr>
            <w:tcW w:w="9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Construcción</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3B5717" w:rsidRDefault="00665097" w:rsidP="00BB313D">
            <w:pPr>
              <w:widowControl w:val="0"/>
              <w:spacing w:line="240" w:lineRule="exact"/>
              <w:jc w:val="center"/>
              <w:rPr>
                <w:rFonts w:cs="Arial"/>
                <w:b/>
                <w:bCs/>
                <w:sz w:val="16"/>
                <w:szCs w:val="16"/>
              </w:rPr>
            </w:pPr>
            <w:r w:rsidRPr="003B5717">
              <w:rPr>
                <w:rFonts w:cs="Arial"/>
                <w:b/>
                <w:bCs/>
                <w:sz w:val="16"/>
                <w:szCs w:val="16"/>
              </w:rPr>
              <w:t>Servicios</w:t>
            </w:r>
          </w:p>
        </w:tc>
      </w:tr>
      <w:tr w:rsidR="00665097" w:rsidRPr="003B5717" w:rsidTr="00D122F5">
        <w:trPr>
          <w:jc w:val="center"/>
        </w:trPr>
        <w:tc>
          <w:tcPr>
            <w:tcW w:w="714" w:type="pct"/>
            <w:tcBorders>
              <w:top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rPr>
                <w:rFonts w:cs="Arial"/>
                <w:sz w:val="16"/>
                <w:szCs w:val="16"/>
              </w:rPr>
            </w:pPr>
            <w:r w:rsidRPr="003B5717">
              <w:rPr>
                <w:rFonts w:cs="Arial"/>
                <w:sz w:val="16"/>
                <w:szCs w:val="16"/>
              </w:rPr>
              <w:t>Hombres</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56082A" w:rsidRDefault="00665097" w:rsidP="00BB313D">
            <w:pPr>
              <w:widowControl w:val="0"/>
              <w:spacing w:line="240" w:lineRule="exact"/>
              <w:ind w:right="151"/>
              <w:jc w:val="right"/>
              <w:rPr>
                <w:rFonts w:cs="Arial"/>
                <w:sz w:val="16"/>
                <w:szCs w:val="16"/>
              </w:rPr>
            </w:pPr>
            <w:r>
              <w:rPr>
                <w:rFonts w:cs="Arial"/>
                <w:sz w:val="16"/>
                <w:szCs w:val="16"/>
              </w:rPr>
              <w:t>7</w:t>
            </w:r>
            <w:r w:rsidR="00010ABE">
              <w:rPr>
                <w:rFonts w:cs="Arial"/>
                <w:sz w:val="16"/>
                <w:szCs w:val="16"/>
              </w:rPr>
              <w:t>2,4</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56082A" w:rsidRDefault="00665097" w:rsidP="00BB313D">
            <w:pPr>
              <w:widowControl w:val="0"/>
              <w:spacing w:line="240" w:lineRule="exact"/>
              <w:ind w:right="151"/>
              <w:jc w:val="right"/>
              <w:rPr>
                <w:rFonts w:cs="Arial"/>
                <w:sz w:val="16"/>
                <w:szCs w:val="16"/>
              </w:rPr>
            </w:pPr>
            <w:r>
              <w:rPr>
                <w:rFonts w:cs="Arial"/>
                <w:sz w:val="16"/>
                <w:szCs w:val="16"/>
              </w:rPr>
              <w:t>8</w:t>
            </w:r>
            <w:r w:rsidR="00010ABE">
              <w:rPr>
                <w:rFonts w:cs="Arial"/>
                <w:sz w:val="16"/>
                <w:szCs w:val="16"/>
              </w:rPr>
              <w:t>1,6</w:t>
            </w:r>
          </w:p>
        </w:tc>
        <w:tc>
          <w:tcPr>
            <w:tcW w:w="857"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56082A" w:rsidRDefault="00010ABE" w:rsidP="00BB313D">
            <w:pPr>
              <w:widowControl w:val="0"/>
              <w:spacing w:line="240" w:lineRule="exact"/>
              <w:ind w:right="151"/>
              <w:jc w:val="right"/>
              <w:rPr>
                <w:rFonts w:cs="Arial"/>
                <w:sz w:val="16"/>
                <w:szCs w:val="16"/>
              </w:rPr>
            </w:pPr>
            <w:r>
              <w:rPr>
                <w:rFonts w:cs="Arial"/>
                <w:sz w:val="16"/>
                <w:szCs w:val="16"/>
              </w:rPr>
              <w:t>82,7</w:t>
            </w:r>
          </w:p>
        </w:tc>
        <w:tc>
          <w:tcPr>
            <w:tcW w:w="93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665097" w:rsidRPr="0056082A" w:rsidRDefault="00665097" w:rsidP="00BB313D">
            <w:pPr>
              <w:widowControl w:val="0"/>
              <w:spacing w:line="240" w:lineRule="exact"/>
              <w:ind w:right="151"/>
              <w:jc w:val="right"/>
              <w:rPr>
                <w:rFonts w:cs="Arial"/>
                <w:sz w:val="16"/>
                <w:szCs w:val="16"/>
              </w:rPr>
            </w:pPr>
            <w:r>
              <w:rPr>
                <w:rFonts w:cs="Arial"/>
                <w:sz w:val="16"/>
                <w:szCs w:val="16"/>
              </w:rPr>
              <w:t>92,</w:t>
            </w:r>
            <w:r w:rsidR="00010ABE">
              <w:rPr>
                <w:rFonts w:cs="Arial"/>
                <w:sz w:val="16"/>
                <w:szCs w:val="16"/>
              </w:rPr>
              <w:t>3</w:t>
            </w:r>
          </w:p>
        </w:tc>
        <w:tc>
          <w:tcPr>
            <w:tcW w:w="776" w:type="pct"/>
            <w:tcBorders>
              <w:top w:val="single" w:sz="4" w:space="0" w:color="BFBFBF" w:themeColor="background1" w:themeShade="BF"/>
              <w:left w:val="single" w:sz="4" w:space="0" w:color="BFBFBF" w:themeColor="background1" w:themeShade="BF"/>
            </w:tcBorders>
            <w:vAlign w:val="bottom"/>
          </w:tcPr>
          <w:p w:rsidR="00665097" w:rsidRPr="0056082A" w:rsidRDefault="00665097" w:rsidP="00BB313D">
            <w:pPr>
              <w:widowControl w:val="0"/>
              <w:spacing w:line="240" w:lineRule="exact"/>
              <w:ind w:right="151"/>
              <w:jc w:val="right"/>
              <w:rPr>
                <w:rFonts w:cs="Arial"/>
                <w:sz w:val="16"/>
                <w:szCs w:val="16"/>
              </w:rPr>
            </w:pPr>
            <w:r>
              <w:rPr>
                <w:rFonts w:cs="Arial"/>
                <w:sz w:val="16"/>
                <w:szCs w:val="16"/>
              </w:rPr>
              <w:t>63,</w:t>
            </w:r>
            <w:r w:rsidR="00010ABE">
              <w:rPr>
                <w:rFonts w:cs="Arial"/>
                <w:sz w:val="16"/>
                <w:szCs w:val="16"/>
              </w:rPr>
              <w:t>0</w:t>
            </w:r>
          </w:p>
        </w:tc>
      </w:tr>
      <w:tr w:rsidR="00665097" w:rsidRPr="003B5717" w:rsidTr="00D122F5">
        <w:trPr>
          <w:jc w:val="center"/>
        </w:trPr>
        <w:tc>
          <w:tcPr>
            <w:tcW w:w="714" w:type="pct"/>
            <w:tcBorders>
              <w:bottom w:val="single" w:sz="4" w:space="0" w:color="BFBFBF" w:themeColor="background1" w:themeShade="BF"/>
              <w:right w:val="single" w:sz="4" w:space="0" w:color="BFBFBF" w:themeColor="background1" w:themeShade="BF"/>
            </w:tcBorders>
          </w:tcPr>
          <w:p w:rsidR="00665097" w:rsidRPr="003B5717" w:rsidRDefault="00665097" w:rsidP="00BB313D">
            <w:pPr>
              <w:widowControl w:val="0"/>
              <w:spacing w:line="240" w:lineRule="exact"/>
              <w:rPr>
                <w:rFonts w:cs="Arial"/>
                <w:sz w:val="16"/>
                <w:szCs w:val="16"/>
              </w:rPr>
            </w:pPr>
            <w:r w:rsidRPr="003B5717">
              <w:rPr>
                <w:rFonts w:cs="Arial"/>
                <w:sz w:val="16"/>
                <w:szCs w:val="16"/>
              </w:rPr>
              <w:t>Mujeres</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56082A" w:rsidRDefault="00665097" w:rsidP="00BB313D">
            <w:pPr>
              <w:widowControl w:val="0"/>
              <w:spacing w:line="240" w:lineRule="exact"/>
              <w:ind w:right="151"/>
              <w:jc w:val="right"/>
              <w:rPr>
                <w:rFonts w:cs="Arial"/>
                <w:sz w:val="16"/>
                <w:szCs w:val="16"/>
              </w:rPr>
            </w:pPr>
            <w:r>
              <w:rPr>
                <w:rFonts w:cs="Arial"/>
                <w:sz w:val="16"/>
                <w:szCs w:val="16"/>
              </w:rPr>
              <w:t>2</w:t>
            </w:r>
            <w:r w:rsidR="00010ABE">
              <w:rPr>
                <w:rFonts w:cs="Arial"/>
                <w:sz w:val="16"/>
                <w:szCs w:val="16"/>
              </w:rPr>
              <w:t>7,6</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56082A" w:rsidRDefault="00665097" w:rsidP="00BB313D">
            <w:pPr>
              <w:widowControl w:val="0"/>
              <w:spacing w:line="240" w:lineRule="exact"/>
              <w:ind w:right="151"/>
              <w:jc w:val="right"/>
              <w:rPr>
                <w:rFonts w:cs="Arial"/>
                <w:sz w:val="16"/>
                <w:szCs w:val="16"/>
              </w:rPr>
            </w:pPr>
            <w:r>
              <w:rPr>
                <w:rFonts w:cs="Arial"/>
                <w:sz w:val="16"/>
                <w:szCs w:val="16"/>
              </w:rPr>
              <w:t>1</w:t>
            </w:r>
            <w:r w:rsidR="00010ABE">
              <w:rPr>
                <w:rFonts w:cs="Arial"/>
                <w:sz w:val="16"/>
                <w:szCs w:val="16"/>
              </w:rPr>
              <w:t>8,4</w:t>
            </w:r>
          </w:p>
        </w:tc>
        <w:tc>
          <w:tcPr>
            <w:tcW w:w="857"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56082A" w:rsidRDefault="00010ABE" w:rsidP="00BB313D">
            <w:pPr>
              <w:widowControl w:val="0"/>
              <w:spacing w:line="240" w:lineRule="exact"/>
              <w:ind w:right="151"/>
              <w:jc w:val="right"/>
              <w:rPr>
                <w:rFonts w:cs="Arial"/>
                <w:sz w:val="16"/>
                <w:szCs w:val="16"/>
              </w:rPr>
            </w:pPr>
            <w:r>
              <w:rPr>
                <w:rFonts w:cs="Arial"/>
                <w:sz w:val="16"/>
                <w:szCs w:val="16"/>
              </w:rPr>
              <w:t>17,3</w:t>
            </w:r>
          </w:p>
        </w:tc>
        <w:tc>
          <w:tcPr>
            <w:tcW w:w="9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56082A" w:rsidRDefault="00665097" w:rsidP="00BB313D">
            <w:pPr>
              <w:widowControl w:val="0"/>
              <w:spacing w:line="240" w:lineRule="exact"/>
              <w:ind w:right="151"/>
              <w:jc w:val="right"/>
              <w:rPr>
                <w:rFonts w:cs="Arial"/>
                <w:sz w:val="16"/>
                <w:szCs w:val="16"/>
              </w:rPr>
            </w:pPr>
            <w:r>
              <w:rPr>
                <w:rFonts w:cs="Arial"/>
                <w:sz w:val="16"/>
                <w:szCs w:val="16"/>
              </w:rPr>
              <w:t>7,</w:t>
            </w:r>
            <w:r w:rsidR="00010ABE">
              <w:rPr>
                <w:rFonts w:cs="Arial"/>
                <w:sz w:val="16"/>
                <w:szCs w:val="16"/>
              </w:rPr>
              <w:t>7</w:t>
            </w:r>
          </w:p>
        </w:tc>
        <w:tc>
          <w:tcPr>
            <w:tcW w:w="776" w:type="pct"/>
            <w:tcBorders>
              <w:left w:val="single" w:sz="4" w:space="0" w:color="BFBFBF" w:themeColor="background1" w:themeShade="BF"/>
              <w:bottom w:val="single" w:sz="4" w:space="0" w:color="BFBFBF" w:themeColor="background1" w:themeShade="BF"/>
            </w:tcBorders>
            <w:vAlign w:val="bottom"/>
          </w:tcPr>
          <w:p w:rsidR="00665097" w:rsidRPr="00E24BB2" w:rsidRDefault="00665097" w:rsidP="00BB313D">
            <w:pPr>
              <w:widowControl w:val="0"/>
              <w:spacing w:line="240" w:lineRule="exact"/>
              <w:ind w:right="151"/>
              <w:jc w:val="right"/>
              <w:rPr>
                <w:rFonts w:cs="Arial"/>
                <w:sz w:val="16"/>
                <w:szCs w:val="16"/>
              </w:rPr>
            </w:pPr>
            <w:r>
              <w:rPr>
                <w:rFonts w:cs="Arial"/>
                <w:sz w:val="16"/>
                <w:szCs w:val="16"/>
              </w:rPr>
              <w:t>3</w:t>
            </w:r>
            <w:r w:rsidR="00010ABE">
              <w:rPr>
                <w:rFonts w:cs="Arial"/>
                <w:sz w:val="16"/>
                <w:szCs w:val="16"/>
              </w:rPr>
              <w:t>7,0</w:t>
            </w:r>
          </w:p>
        </w:tc>
      </w:tr>
    </w:tbl>
    <w:p w:rsidR="00665097" w:rsidRDefault="00665097" w:rsidP="00BB313D">
      <w:pPr>
        <w:widowControl w:val="0"/>
      </w:pPr>
    </w:p>
    <w:p w:rsidR="00665097" w:rsidRPr="003B5717" w:rsidRDefault="00DE1512" w:rsidP="00BB313D">
      <w:pPr>
        <w:pStyle w:val="Textoindependiente2"/>
        <w:widowControl w:val="0"/>
        <w:spacing w:after="0" w:line="240" w:lineRule="auto"/>
        <w:jc w:val="center"/>
        <w:rPr>
          <w:rFonts w:cs="Arial"/>
          <w:b/>
          <w:color w:val="1F497D" w:themeColor="text2"/>
          <w:sz w:val="18"/>
          <w:szCs w:val="18"/>
        </w:rPr>
      </w:pPr>
      <w:bookmarkStart w:id="58" w:name="_Toc391999586"/>
      <w:bookmarkStart w:id="59" w:name="_Toc450119469"/>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3B5717">
        <w:rPr>
          <w:rFonts w:cs="Arial"/>
          <w:b/>
          <w:color w:val="1F497D" w:themeColor="text2"/>
          <w:sz w:val="18"/>
          <w:szCs w:val="18"/>
        </w:rPr>
        <w:t>DISTRIBUCIÓN SECTORIAL DEL EMPLEO POR EDADES (%</w:t>
      </w:r>
      <w:r w:rsidR="0035503D">
        <w:rPr>
          <w:rFonts w:cs="Arial"/>
          <w:b/>
          <w:color w:val="1F497D" w:themeColor="text2"/>
          <w:sz w:val="18"/>
          <w:szCs w:val="18"/>
        </w:rPr>
        <w:t xml:space="preserve"> </w:t>
      </w:r>
      <w:r w:rsidR="00665097" w:rsidRPr="003B5717">
        <w:rPr>
          <w:rFonts w:cs="Arial"/>
          <w:b/>
          <w:color w:val="1F497D" w:themeColor="text2"/>
          <w:sz w:val="18"/>
          <w:szCs w:val="18"/>
        </w:rPr>
        <w:t>h</w:t>
      </w:r>
      <w:r w:rsidR="0035503D">
        <w:rPr>
          <w:rFonts w:cs="Arial"/>
          <w:b/>
          <w:color w:val="1F497D" w:themeColor="text2"/>
          <w:sz w:val="18"/>
          <w:szCs w:val="18"/>
        </w:rPr>
        <w:t>orizontales</w:t>
      </w:r>
      <w:r w:rsidR="00665097" w:rsidRPr="003B5717">
        <w:rPr>
          <w:rFonts w:cs="Arial"/>
          <w:b/>
          <w:color w:val="1F497D" w:themeColor="text2"/>
          <w:sz w:val="18"/>
          <w:szCs w:val="18"/>
        </w:rPr>
        <w:t>) 201</w:t>
      </w:r>
      <w:bookmarkEnd w:id="58"/>
      <w:r w:rsidR="006B0A35">
        <w:rPr>
          <w:rFonts w:cs="Arial"/>
          <w:b/>
          <w:color w:val="1F497D" w:themeColor="text2"/>
          <w:sz w:val="18"/>
          <w:szCs w:val="18"/>
        </w:rPr>
        <w:t>4</w:t>
      </w:r>
      <w:bookmarkEnd w:id="59"/>
    </w:p>
    <w:tbl>
      <w:tblPr>
        <w:tblW w:w="9940" w:type="dxa"/>
        <w:jc w:val="center"/>
        <w:tblLook w:val="04A0" w:firstRow="1" w:lastRow="0" w:firstColumn="1" w:lastColumn="0" w:noHBand="0" w:noVBand="1"/>
      </w:tblPr>
      <w:tblGrid>
        <w:gridCol w:w="2058"/>
        <w:gridCol w:w="1972"/>
        <w:gridCol w:w="1970"/>
        <w:gridCol w:w="1970"/>
        <w:gridCol w:w="1970"/>
      </w:tblGrid>
      <w:tr w:rsidR="00665097" w:rsidRPr="003B7637" w:rsidTr="00D122F5">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7637" w:rsidRDefault="00665097" w:rsidP="003B7637">
            <w:pPr>
              <w:widowControl w:val="0"/>
              <w:spacing w:line="240" w:lineRule="exact"/>
              <w:jc w:val="center"/>
              <w:rPr>
                <w:rFonts w:cs="Arial"/>
                <w:b/>
                <w:bCs/>
                <w:sz w:val="16"/>
                <w:szCs w:val="16"/>
              </w:rPr>
            </w:pP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7637" w:rsidRDefault="00665097" w:rsidP="003B7637">
            <w:pPr>
              <w:widowControl w:val="0"/>
              <w:spacing w:line="240" w:lineRule="exact"/>
              <w:jc w:val="center"/>
              <w:rPr>
                <w:rFonts w:cs="Arial"/>
                <w:b/>
                <w:bCs/>
                <w:sz w:val="16"/>
                <w:szCs w:val="16"/>
              </w:rPr>
            </w:pPr>
            <w:r w:rsidRPr="003B7637">
              <w:rPr>
                <w:rFonts w:cs="Arial"/>
                <w:b/>
                <w:bCs/>
                <w:sz w:val="16"/>
                <w:szCs w:val="16"/>
                <w:lang w:val="es-ES_tradnl"/>
              </w:rPr>
              <w:t>TOTAL</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7637" w:rsidRDefault="00665097" w:rsidP="003B7637">
            <w:pPr>
              <w:widowControl w:val="0"/>
              <w:spacing w:line="240" w:lineRule="exact"/>
              <w:jc w:val="center"/>
              <w:rPr>
                <w:rFonts w:cs="Arial"/>
                <w:b/>
                <w:bCs/>
                <w:sz w:val="16"/>
                <w:szCs w:val="16"/>
              </w:rPr>
            </w:pPr>
            <w:r w:rsidRPr="003B7637">
              <w:rPr>
                <w:rFonts w:cs="Arial"/>
                <w:b/>
                <w:bCs/>
                <w:sz w:val="16"/>
                <w:szCs w:val="16"/>
                <w:lang w:val="es-ES_tradnl"/>
              </w:rPr>
              <w:t>Menos de 30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B7637" w:rsidRDefault="00665097" w:rsidP="003B7637">
            <w:pPr>
              <w:widowControl w:val="0"/>
              <w:spacing w:line="240" w:lineRule="exact"/>
              <w:jc w:val="center"/>
              <w:rPr>
                <w:rFonts w:cs="Arial"/>
                <w:b/>
                <w:bCs/>
                <w:sz w:val="16"/>
                <w:szCs w:val="16"/>
              </w:rPr>
            </w:pPr>
            <w:r w:rsidRPr="003B7637">
              <w:rPr>
                <w:rFonts w:cs="Arial"/>
                <w:b/>
                <w:bCs/>
                <w:sz w:val="16"/>
                <w:szCs w:val="16"/>
                <w:lang w:val="es-ES_tradnl"/>
              </w:rPr>
              <w:t>De 30 a 45</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3B7637" w:rsidRDefault="00665097" w:rsidP="003B7637">
            <w:pPr>
              <w:widowControl w:val="0"/>
              <w:spacing w:line="240" w:lineRule="exact"/>
              <w:jc w:val="center"/>
              <w:rPr>
                <w:rFonts w:cs="Arial"/>
                <w:b/>
                <w:bCs/>
                <w:sz w:val="16"/>
                <w:szCs w:val="16"/>
              </w:rPr>
            </w:pPr>
            <w:r w:rsidRPr="003B7637">
              <w:rPr>
                <w:rFonts w:cs="Arial"/>
                <w:b/>
                <w:bCs/>
                <w:sz w:val="16"/>
                <w:szCs w:val="16"/>
                <w:lang w:val="es-ES_tradnl"/>
              </w:rPr>
              <w:t>Más de 45</w:t>
            </w:r>
          </w:p>
        </w:tc>
      </w:tr>
      <w:tr w:rsidR="007B2FF2" w:rsidRPr="003B7637" w:rsidTr="00D122F5">
        <w:trPr>
          <w:jc w:val="center"/>
        </w:trPr>
        <w:tc>
          <w:tcPr>
            <w:tcW w:w="1035" w:type="pct"/>
            <w:tcBorders>
              <w:top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rPr>
                <w:rFonts w:cs="Arial"/>
                <w:sz w:val="16"/>
                <w:szCs w:val="16"/>
              </w:rPr>
            </w:pPr>
            <w:r w:rsidRPr="003B7637">
              <w:rPr>
                <w:rFonts w:cs="Arial"/>
                <w:sz w:val="16"/>
                <w:szCs w:val="16"/>
                <w:lang w:val="es-ES_tradnl"/>
              </w:rPr>
              <w:t>Primario</w:t>
            </w:r>
          </w:p>
        </w:tc>
        <w:tc>
          <w:tcPr>
            <w:tcW w:w="992"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ind w:right="284"/>
              <w:jc w:val="right"/>
              <w:rPr>
                <w:rFonts w:cs="Arial"/>
                <w:sz w:val="16"/>
                <w:szCs w:val="16"/>
              </w:rPr>
            </w:pPr>
            <w:r w:rsidRPr="003B7637">
              <w:rPr>
                <w:rFonts w:cs="Arial"/>
                <w:sz w:val="16"/>
                <w:szCs w:val="16"/>
                <w:lang w:val="es-ES_tradnl"/>
              </w:rPr>
              <w:t>100</w:t>
            </w:r>
            <w:r w:rsidR="007F441F">
              <w:rPr>
                <w:rFonts w:cs="Arial"/>
                <w:sz w:val="16"/>
                <w:szCs w:val="16"/>
                <w:lang w:val="es-ES_tradnl"/>
              </w:rPr>
              <w:t>,0</w:t>
            </w:r>
          </w:p>
        </w:tc>
        <w:tc>
          <w:tcPr>
            <w:tcW w:w="99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9,4</w:t>
            </w:r>
          </w:p>
        </w:tc>
        <w:tc>
          <w:tcPr>
            <w:tcW w:w="99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46,2</w:t>
            </w:r>
          </w:p>
        </w:tc>
        <w:tc>
          <w:tcPr>
            <w:tcW w:w="991" w:type="pct"/>
            <w:tcBorders>
              <w:top w:val="single" w:sz="4" w:space="0" w:color="BFBFBF" w:themeColor="background1" w:themeShade="BF"/>
              <w:lef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eastAsia="Times New Roman" w:cs="Arial"/>
                <w:color w:val="000000"/>
                <w:sz w:val="16"/>
                <w:szCs w:val="16"/>
                <w:lang w:eastAsia="es-ES"/>
              </w:rPr>
            </w:pPr>
            <w:r w:rsidRPr="003B7637">
              <w:rPr>
                <w:rFonts w:eastAsia="Times New Roman" w:cs="Arial"/>
                <w:color w:val="000000"/>
                <w:sz w:val="16"/>
                <w:szCs w:val="16"/>
                <w:lang w:eastAsia="es-ES"/>
              </w:rPr>
              <w:t>44,4</w:t>
            </w:r>
          </w:p>
        </w:tc>
      </w:tr>
      <w:tr w:rsidR="007B2FF2" w:rsidRPr="003B7637" w:rsidTr="00D122F5">
        <w:trPr>
          <w:jc w:val="center"/>
        </w:trPr>
        <w:tc>
          <w:tcPr>
            <w:tcW w:w="1035" w:type="pct"/>
            <w:tcBorders>
              <w:right w:val="single" w:sz="4" w:space="0" w:color="BFBFBF" w:themeColor="background1" w:themeShade="BF"/>
            </w:tcBorders>
          </w:tcPr>
          <w:p w:rsidR="007B2FF2" w:rsidRPr="003B7637" w:rsidRDefault="007B2FF2" w:rsidP="003B7637">
            <w:pPr>
              <w:widowControl w:val="0"/>
              <w:spacing w:line="240" w:lineRule="exact"/>
              <w:rPr>
                <w:rFonts w:cs="Arial"/>
                <w:sz w:val="16"/>
                <w:szCs w:val="16"/>
              </w:rPr>
            </w:pPr>
            <w:r w:rsidRPr="003B7637">
              <w:rPr>
                <w:rFonts w:cs="Arial"/>
                <w:sz w:val="16"/>
                <w:szCs w:val="16"/>
                <w:lang w:val="es-ES_tradnl"/>
              </w:rPr>
              <w:t>Industria</w:t>
            </w:r>
          </w:p>
        </w:tc>
        <w:tc>
          <w:tcPr>
            <w:tcW w:w="992" w:type="pct"/>
            <w:tcBorders>
              <w:left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ind w:right="284"/>
              <w:jc w:val="right"/>
              <w:rPr>
                <w:rFonts w:cs="Arial"/>
                <w:sz w:val="16"/>
                <w:szCs w:val="16"/>
              </w:rPr>
            </w:pPr>
            <w:r w:rsidRPr="003B7637">
              <w:rPr>
                <w:rFonts w:cs="Arial"/>
                <w:sz w:val="16"/>
                <w:szCs w:val="16"/>
                <w:lang w:val="es-ES_tradnl"/>
              </w:rPr>
              <w:t>100</w:t>
            </w:r>
            <w:r w:rsidR="007F441F">
              <w:rPr>
                <w:rFonts w:cs="Arial"/>
                <w:sz w:val="16"/>
                <w:szCs w:val="16"/>
                <w:lang w:val="es-ES_tradnl"/>
              </w:rPr>
              <w:t>,0</w:t>
            </w:r>
          </w:p>
        </w:tc>
        <w:tc>
          <w:tcPr>
            <w:tcW w:w="991" w:type="pct"/>
            <w:tcBorders>
              <w:left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11,2</w:t>
            </w:r>
          </w:p>
        </w:tc>
        <w:tc>
          <w:tcPr>
            <w:tcW w:w="991" w:type="pct"/>
            <w:tcBorders>
              <w:left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52,5</w:t>
            </w:r>
          </w:p>
        </w:tc>
        <w:tc>
          <w:tcPr>
            <w:tcW w:w="991" w:type="pct"/>
            <w:tcBorders>
              <w:lef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eastAsia="Times New Roman" w:cs="Arial"/>
                <w:color w:val="000000"/>
                <w:sz w:val="16"/>
                <w:szCs w:val="16"/>
                <w:lang w:eastAsia="es-ES"/>
              </w:rPr>
            </w:pPr>
            <w:r w:rsidRPr="003B7637">
              <w:rPr>
                <w:rFonts w:eastAsia="Times New Roman" w:cs="Arial"/>
                <w:color w:val="000000"/>
                <w:sz w:val="16"/>
                <w:szCs w:val="16"/>
                <w:lang w:eastAsia="es-ES"/>
              </w:rPr>
              <w:t>36,3</w:t>
            </w:r>
          </w:p>
        </w:tc>
      </w:tr>
      <w:tr w:rsidR="007B2FF2" w:rsidRPr="003B7637" w:rsidTr="00D122F5">
        <w:trPr>
          <w:jc w:val="center"/>
        </w:trPr>
        <w:tc>
          <w:tcPr>
            <w:tcW w:w="1035" w:type="pct"/>
            <w:tcBorders>
              <w:right w:val="single" w:sz="4" w:space="0" w:color="BFBFBF" w:themeColor="background1" w:themeShade="BF"/>
            </w:tcBorders>
          </w:tcPr>
          <w:p w:rsidR="007B2FF2" w:rsidRPr="003B7637" w:rsidRDefault="007B2FF2" w:rsidP="003B7637">
            <w:pPr>
              <w:widowControl w:val="0"/>
              <w:spacing w:line="240" w:lineRule="exact"/>
              <w:rPr>
                <w:rFonts w:cs="Arial"/>
                <w:sz w:val="16"/>
                <w:szCs w:val="16"/>
              </w:rPr>
            </w:pPr>
            <w:r w:rsidRPr="003B7637">
              <w:rPr>
                <w:rFonts w:cs="Arial"/>
                <w:sz w:val="16"/>
                <w:szCs w:val="16"/>
                <w:lang w:val="es-ES_tradnl"/>
              </w:rPr>
              <w:t>Construcción</w:t>
            </w:r>
          </w:p>
        </w:tc>
        <w:tc>
          <w:tcPr>
            <w:tcW w:w="992" w:type="pct"/>
            <w:tcBorders>
              <w:left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ind w:right="284"/>
              <w:jc w:val="right"/>
              <w:rPr>
                <w:rFonts w:cs="Arial"/>
                <w:sz w:val="16"/>
                <w:szCs w:val="16"/>
              </w:rPr>
            </w:pPr>
            <w:r w:rsidRPr="003B7637">
              <w:rPr>
                <w:rFonts w:cs="Arial"/>
                <w:sz w:val="16"/>
                <w:szCs w:val="16"/>
                <w:lang w:val="es-ES_tradnl"/>
              </w:rPr>
              <w:t>100</w:t>
            </w:r>
            <w:r w:rsidR="007F441F">
              <w:rPr>
                <w:rFonts w:cs="Arial"/>
                <w:sz w:val="16"/>
                <w:szCs w:val="16"/>
                <w:lang w:val="es-ES_tradnl"/>
              </w:rPr>
              <w:t>,0</w:t>
            </w:r>
          </w:p>
        </w:tc>
        <w:tc>
          <w:tcPr>
            <w:tcW w:w="991" w:type="pct"/>
            <w:tcBorders>
              <w:left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9,2</w:t>
            </w:r>
          </w:p>
        </w:tc>
        <w:tc>
          <w:tcPr>
            <w:tcW w:w="991" w:type="pct"/>
            <w:tcBorders>
              <w:left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50,0</w:t>
            </w:r>
          </w:p>
        </w:tc>
        <w:tc>
          <w:tcPr>
            <w:tcW w:w="991" w:type="pct"/>
            <w:tcBorders>
              <w:lef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eastAsia="Times New Roman" w:cs="Arial"/>
                <w:color w:val="000000"/>
                <w:sz w:val="16"/>
                <w:szCs w:val="16"/>
                <w:lang w:eastAsia="es-ES"/>
              </w:rPr>
            </w:pPr>
            <w:r w:rsidRPr="003B7637">
              <w:rPr>
                <w:rFonts w:eastAsia="Times New Roman" w:cs="Arial"/>
                <w:color w:val="000000"/>
                <w:sz w:val="16"/>
                <w:szCs w:val="16"/>
                <w:lang w:eastAsia="es-ES"/>
              </w:rPr>
              <w:t>40,8</w:t>
            </w:r>
          </w:p>
        </w:tc>
      </w:tr>
      <w:tr w:rsidR="007B2FF2" w:rsidRPr="003B7637" w:rsidTr="00D122F5">
        <w:trPr>
          <w:jc w:val="center"/>
        </w:trPr>
        <w:tc>
          <w:tcPr>
            <w:tcW w:w="1035" w:type="pct"/>
            <w:tcBorders>
              <w:bottom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rPr>
                <w:rFonts w:cs="Arial"/>
                <w:sz w:val="16"/>
                <w:szCs w:val="16"/>
              </w:rPr>
            </w:pPr>
            <w:r w:rsidRPr="003B7637">
              <w:rPr>
                <w:rFonts w:cs="Arial"/>
                <w:sz w:val="16"/>
                <w:szCs w:val="16"/>
                <w:lang w:val="es-ES_tradnl"/>
              </w:rPr>
              <w:t>Servicios</w:t>
            </w:r>
          </w:p>
        </w:tc>
        <w:tc>
          <w:tcPr>
            <w:tcW w:w="99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ind w:right="284"/>
              <w:jc w:val="right"/>
              <w:rPr>
                <w:rFonts w:cs="Arial"/>
                <w:sz w:val="16"/>
                <w:szCs w:val="16"/>
              </w:rPr>
            </w:pPr>
            <w:r w:rsidRPr="003B7637">
              <w:rPr>
                <w:rFonts w:cs="Arial"/>
                <w:sz w:val="16"/>
                <w:szCs w:val="16"/>
                <w:lang w:val="es-ES_tradnl"/>
              </w:rPr>
              <w:t>100</w:t>
            </w:r>
            <w:r w:rsidR="007F441F">
              <w:rPr>
                <w:rFonts w:cs="Arial"/>
                <w:sz w:val="16"/>
                <w:szCs w:val="16"/>
                <w:lang w:val="es-ES_tradnl"/>
              </w:rPr>
              <w:t>,0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12,5</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sz w:val="16"/>
                <w:szCs w:val="16"/>
                <w:lang w:val="es-ES_tradnl"/>
              </w:rPr>
            </w:pPr>
            <w:r w:rsidRPr="003B7637">
              <w:rPr>
                <w:rFonts w:cs="Arial"/>
                <w:sz w:val="16"/>
                <w:szCs w:val="16"/>
                <w:lang w:val="es-ES_tradnl"/>
              </w:rPr>
              <w:t>50,5</w:t>
            </w:r>
          </w:p>
        </w:tc>
        <w:tc>
          <w:tcPr>
            <w:tcW w:w="991" w:type="pct"/>
            <w:tcBorders>
              <w:left w:val="single" w:sz="4" w:space="0" w:color="BFBFBF" w:themeColor="background1" w:themeShade="BF"/>
              <w:bottom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eastAsia="Times New Roman" w:cs="Arial"/>
                <w:color w:val="000000"/>
                <w:sz w:val="16"/>
                <w:szCs w:val="16"/>
                <w:lang w:eastAsia="es-ES"/>
              </w:rPr>
            </w:pPr>
            <w:r w:rsidRPr="003B7637">
              <w:rPr>
                <w:rFonts w:eastAsia="Times New Roman" w:cs="Arial"/>
                <w:color w:val="000000"/>
                <w:sz w:val="16"/>
                <w:szCs w:val="16"/>
                <w:lang w:eastAsia="es-ES"/>
              </w:rPr>
              <w:t>37,0</w:t>
            </w:r>
          </w:p>
        </w:tc>
      </w:tr>
      <w:tr w:rsidR="007B2FF2" w:rsidRPr="003B7637" w:rsidTr="00D122F5">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rPr>
                <w:rFonts w:cs="Arial"/>
                <w:b/>
                <w:bCs/>
                <w:sz w:val="16"/>
                <w:szCs w:val="16"/>
              </w:rPr>
            </w:pPr>
            <w:r w:rsidRPr="003B7637">
              <w:rPr>
                <w:rFonts w:cs="Arial"/>
                <w:b/>
                <w:bCs/>
                <w:sz w:val="16"/>
                <w:szCs w:val="16"/>
                <w:lang w:val="es-ES_tradnl"/>
              </w:rPr>
              <w:t>TOTAL</w:t>
            </w: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2FF2" w:rsidRPr="003B7637" w:rsidRDefault="007B2FF2" w:rsidP="003B7637">
            <w:pPr>
              <w:widowControl w:val="0"/>
              <w:spacing w:line="240" w:lineRule="exact"/>
              <w:ind w:right="284"/>
              <w:jc w:val="right"/>
              <w:rPr>
                <w:rFonts w:cs="Arial"/>
                <w:b/>
                <w:bCs/>
                <w:sz w:val="16"/>
                <w:szCs w:val="16"/>
              </w:rPr>
            </w:pPr>
            <w:r w:rsidRPr="003B7637">
              <w:rPr>
                <w:rFonts w:cs="Arial"/>
                <w:b/>
                <w:bCs/>
                <w:sz w:val="16"/>
                <w:szCs w:val="16"/>
                <w:lang w:val="es-ES_tradnl"/>
              </w:rPr>
              <w:t>100</w:t>
            </w:r>
            <w:r w:rsidR="007F441F">
              <w:rPr>
                <w:rFonts w:cs="Arial"/>
                <w:b/>
                <w:bCs/>
                <w:sz w:val="16"/>
                <w:szCs w:val="16"/>
                <w:lang w:val="es-ES_tradnl"/>
              </w:rPr>
              <w:t>,0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b/>
                <w:bCs/>
                <w:sz w:val="16"/>
                <w:szCs w:val="16"/>
              </w:rPr>
            </w:pPr>
            <w:r w:rsidRPr="003B7637">
              <w:rPr>
                <w:rFonts w:cs="Arial"/>
                <w:b/>
                <w:bCs/>
                <w:sz w:val="16"/>
                <w:szCs w:val="16"/>
              </w:rPr>
              <w:t>11,8</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b/>
                <w:bCs/>
                <w:sz w:val="16"/>
                <w:szCs w:val="16"/>
              </w:rPr>
            </w:pPr>
            <w:r w:rsidRPr="003B7637">
              <w:rPr>
                <w:rFonts w:cs="Arial"/>
                <w:b/>
                <w:bCs/>
                <w:sz w:val="16"/>
                <w:szCs w:val="16"/>
              </w:rPr>
              <w:t>51,3</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7B2FF2" w:rsidRPr="003B7637" w:rsidRDefault="007B2FF2" w:rsidP="003B7637">
            <w:pPr>
              <w:widowControl w:val="0"/>
              <w:spacing w:line="240" w:lineRule="exact"/>
              <w:ind w:right="284"/>
              <w:jc w:val="right"/>
              <w:rPr>
                <w:rFonts w:cs="Arial"/>
                <w:b/>
                <w:bCs/>
                <w:sz w:val="16"/>
                <w:szCs w:val="16"/>
              </w:rPr>
            </w:pPr>
            <w:r w:rsidRPr="003B7637">
              <w:rPr>
                <w:rFonts w:cs="Arial"/>
                <w:b/>
                <w:bCs/>
                <w:sz w:val="16"/>
                <w:szCs w:val="16"/>
              </w:rPr>
              <w:t>36,8</w:t>
            </w:r>
          </w:p>
        </w:tc>
      </w:tr>
    </w:tbl>
    <w:p w:rsidR="00D43F20" w:rsidRDefault="00D43F20" w:rsidP="00BB313D">
      <w:pPr>
        <w:widowControl w:val="0"/>
      </w:pPr>
    </w:p>
    <w:p w:rsidR="006B0A35" w:rsidRDefault="006B0A35"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60" w:name="_Toc391999587"/>
      <w:bookmarkStart w:id="61" w:name="_Toc45011947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2F215F">
        <w:rPr>
          <w:rFonts w:cs="Arial"/>
          <w:b/>
          <w:color w:val="1F497D" w:themeColor="text2"/>
          <w:sz w:val="18"/>
          <w:szCs w:val="18"/>
        </w:rPr>
        <w:t>DISTRIBUCIÓN DEL EMPLEO POR EDADES SEGÚN FORMA JURÍDICA (% h</w:t>
      </w:r>
      <w:r w:rsidR="0035503D">
        <w:rPr>
          <w:rFonts w:cs="Arial"/>
          <w:b/>
          <w:color w:val="1F497D" w:themeColor="text2"/>
          <w:sz w:val="18"/>
          <w:szCs w:val="18"/>
        </w:rPr>
        <w:t>orizontales</w:t>
      </w:r>
      <w:r w:rsidR="00665097" w:rsidRPr="002F215F">
        <w:rPr>
          <w:rFonts w:cs="Arial"/>
          <w:b/>
          <w:color w:val="1F497D" w:themeColor="text2"/>
          <w:sz w:val="18"/>
          <w:szCs w:val="18"/>
        </w:rPr>
        <w:t>). 201</w:t>
      </w:r>
      <w:bookmarkEnd w:id="60"/>
      <w:r w:rsidR="007B2FF2">
        <w:rPr>
          <w:rFonts w:cs="Arial"/>
          <w:b/>
          <w:color w:val="1F497D" w:themeColor="text2"/>
          <w:sz w:val="18"/>
          <w:szCs w:val="18"/>
        </w:rPr>
        <w:t>4</w:t>
      </w:r>
      <w:bookmarkEnd w:id="61"/>
    </w:p>
    <w:tbl>
      <w:tblPr>
        <w:tblW w:w="9940" w:type="dxa"/>
        <w:jc w:val="center"/>
        <w:tblLook w:val="04A0" w:firstRow="1" w:lastRow="0" w:firstColumn="1" w:lastColumn="0" w:noHBand="0" w:noVBand="1"/>
      </w:tblPr>
      <w:tblGrid>
        <w:gridCol w:w="2058"/>
        <w:gridCol w:w="1972"/>
        <w:gridCol w:w="1970"/>
        <w:gridCol w:w="1970"/>
        <w:gridCol w:w="1970"/>
      </w:tblGrid>
      <w:tr w:rsidR="00665097" w:rsidRPr="002F215F" w:rsidTr="00D122F5">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TOTAL</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Menos de 30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De 30 a 45</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Más de 45</w:t>
            </w:r>
          </w:p>
        </w:tc>
      </w:tr>
      <w:tr w:rsidR="00F30F7C" w:rsidRPr="002F215F" w:rsidTr="00D122F5">
        <w:trPr>
          <w:jc w:val="center"/>
        </w:trPr>
        <w:tc>
          <w:tcPr>
            <w:tcW w:w="1035" w:type="pct"/>
            <w:tcBorders>
              <w:right w:val="single" w:sz="4" w:space="0" w:color="BFBFBF" w:themeColor="background1" w:themeShade="BF"/>
            </w:tcBorders>
            <w:vAlign w:val="bottom"/>
          </w:tcPr>
          <w:p w:rsidR="00F30F7C" w:rsidRPr="00EF4841" w:rsidRDefault="00F30F7C" w:rsidP="001E5608">
            <w:pPr>
              <w:widowControl w:val="0"/>
              <w:spacing w:line="240" w:lineRule="exact"/>
              <w:rPr>
                <w:rFonts w:cs="Arial"/>
                <w:sz w:val="16"/>
                <w:szCs w:val="16"/>
                <w:lang w:val="en-GB"/>
              </w:rPr>
            </w:pPr>
            <w:r w:rsidRPr="00EF4841">
              <w:rPr>
                <w:rFonts w:cs="Arial"/>
                <w:sz w:val="16"/>
                <w:szCs w:val="16"/>
                <w:lang w:val="en-GB"/>
              </w:rPr>
              <w:t>S.COOP</w:t>
            </w:r>
          </w:p>
        </w:tc>
        <w:tc>
          <w:tcPr>
            <w:tcW w:w="992" w:type="pct"/>
            <w:tcBorders>
              <w:left w:val="single" w:sz="4" w:space="0" w:color="BFBFBF" w:themeColor="background1" w:themeShade="BF"/>
              <w:right w:val="single" w:sz="4" w:space="0" w:color="BFBFBF" w:themeColor="background1" w:themeShade="BF"/>
            </w:tcBorders>
            <w:vAlign w:val="bottom"/>
          </w:tcPr>
          <w:p w:rsidR="00F30F7C" w:rsidRPr="00EF4841" w:rsidRDefault="00F30F7C" w:rsidP="00BB313D">
            <w:pPr>
              <w:widowControl w:val="0"/>
              <w:spacing w:line="240" w:lineRule="exact"/>
              <w:ind w:right="284"/>
              <w:jc w:val="right"/>
              <w:rPr>
                <w:rFonts w:cs="Arial"/>
                <w:sz w:val="16"/>
                <w:szCs w:val="16"/>
                <w:lang w:val="en-GB"/>
              </w:rPr>
            </w:pPr>
            <w:r w:rsidRPr="00EF4841">
              <w:rPr>
                <w:rFonts w:cs="Arial"/>
                <w:sz w:val="16"/>
                <w:szCs w:val="16"/>
                <w:lang w:val="en-GB"/>
              </w:rPr>
              <w:t>100</w:t>
            </w:r>
            <w:r w:rsidR="007F441F">
              <w:rPr>
                <w:rFonts w:cs="Arial"/>
                <w:sz w:val="16"/>
                <w:szCs w:val="16"/>
                <w:lang w:val="en-GB"/>
              </w:rPr>
              <w:t>,0</w:t>
            </w:r>
          </w:p>
        </w:tc>
        <w:tc>
          <w:tcPr>
            <w:tcW w:w="991" w:type="pct"/>
            <w:tcBorders>
              <w:left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12,2</w:t>
            </w:r>
          </w:p>
        </w:tc>
        <w:tc>
          <w:tcPr>
            <w:tcW w:w="991" w:type="pct"/>
            <w:tcBorders>
              <w:left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52,0</w:t>
            </w:r>
          </w:p>
        </w:tc>
        <w:tc>
          <w:tcPr>
            <w:tcW w:w="991" w:type="pct"/>
            <w:tcBorders>
              <w:lef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35,8</w:t>
            </w:r>
          </w:p>
        </w:tc>
      </w:tr>
      <w:tr w:rsidR="00F30F7C" w:rsidRPr="002F215F" w:rsidTr="00D122F5">
        <w:trPr>
          <w:jc w:val="center"/>
        </w:trPr>
        <w:tc>
          <w:tcPr>
            <w:tcW w:w="1035" w:type="pct"/>
            <w:tcBorders>
              <w:right w:val="single" w:sz="4" w:space="0" w:color="BFBFBF" w:themeColor="background1" w:themeShade="BF"/>
            </w:tcBorders>
            <w:vAlign w:val="bottom"/>
          </w:tcPr>
          <w:p w:rsidR="00F30F7C" w:rsidRPr="00EF4841" w:rsidRDefault="00F30F7C" w:rsidP="00BB313D">
            <w:pPr>
              <w:widowControl w:val="0"/>
              <w:spacing w:line="240" w:lineRule="exact"/>
              <w:rPr>
                <w:rFonts w:cs="Arial"/>
                <w:sz w:val="16"/>
                <w:szCs w:val="16"/>
                <w:lang w:val="en-GB"/>
              </w:rPr>
            </w:pPr>
            <w:proofErr w:type="spellStart"/>
            <w:r w:rsidRPr="00EF4841">
              <w:rPr>
                <w:rFonts w:cs="Arial"/>
                <w:sz w:val="16"/>
                <w:szCs w:val="16"/>
                <w:lang w:val="en-GB"/>
              </w:rPr>
              <w:t>S.A.Les</w:t>
            </w:r>
            <w:proofErr w:type="spellEnd"/>
          </w:p>
        </w:tc>
        <w:tc>
          <w:tcPr>
            <w:tcW w:w="992" w:type="pct"/>
            <w:tcBorders>
              <w:left w:val="single" w:sz="4" w:space="0" w:color="BFBFBF" w:themeColor="background1" w:themeShade="BF"/>
              <w:right w:val="single" w:sz="4" w:space="0" w:color="BFBFBF" w:themeColor="background1" w:themeShade="BF"/>
            </w:tcBorders>
            <w:vAlign w:val="bottom"/>
          </w:tcPr>
          <w:p w:rsidR="00F30F7C" w:rsidRPr="00EF4841" w:rsidRDefault="00F30F7C" w:rsidP="00BB313D">
            <w:pPr>
              <w:widowControl w:val="0"/>
              <w:spacing w:line="240" w:lineRule="exact"/>
              <w:ind w:right="284"/>
              <w:jc w:val="right"/>
              <w:rPr>
                <w:rFonts w:cs="Arial"/>
                <w:sz w:val="16"/>
                <w:szCs w:val="16"/>
              </w:rPr>
            </w:pPr>
            <w:r w:rsidRPr="00EF4841">
              <w:rPr>
                <w:rFonts w:cs="Arial"/>
                <w:sz w:val="16"/>
                <w:szCs w:val="16"/>
                <w:lang w:val="es-ES_tradnl"/>
              </w:rPr>
              <w:t>100</w:t>
            </w:r>
            <w:r w:rsidR="007F441F">
              <w:rPr>
                <w:rFonts w:cs="Arial"/>
                <w:sz w:val="16"/>
                <w:szCs w:val="16"/>
                <w:lang w:val="es-ES_tradnl"/>
              </w:rPr>
              <w:t>,0</w:t>
            </w:r>
          </w:p>
        </w:tc>
        <w:tc>
          <w:tcPr>
            <w:tcW w:w="991" w:type="pct"/>
            <w:tcBorders>
              <w:left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8,8</w:t>
            </w:r>
          </w:p>
        </w:tc>
        <w:tc>
          <w:tcPr>
            <w:tcW w:w="991" w:type="pct"/>
            <w:tcBorders>
              <w:left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45,3</w:t>
            </w:r>
          </w:p>
        </w:tc>
        <w:tc>
          <w:tcPr>
            <w:tcW w:w="991" w:type="pct"/>
            <w:tcBorders>
              <w:lef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45,9</w:t>
            </w:r>
          </w:p>
        </w:tc>
      </w:tr>
      <w:tr w:rsidR="00F30F7C" w:rsidRPr="002F215F" w:rsidTr="00D122F5">
        <w:trPr>
          <w:jc w:val="center"/>
        </w:trPr>
        <w:tc>
          <w:tcPr>
            <w:tcW w:w="1035" w:type="pct"/>
            <w:tcBorders>
              <w:bottom w:val="single" w:sz="4" w:space="0" w:color="BFBFBF" w:themeColor="background1" w:themeShade="BF"/>
              <w:right w:val="single" w:sz="4" w:space="0" w:color="BFBFBF" w:themeColor="background1" w:themeShade="BF"/>
            </w:tcBorders>
            <w:vAlign w:val="bottom"/>
          </w:tcPr>
          <w:p w:rsidR="00F30F7C" w:rsidRPr="00EF4841" w:rsidRDefault="00F30F7C" w:rsidP="00BB313D">
            <w:pPr>
              <w:widowControl w:val="0"/>
              <w:spacing w:line="240" w:lineRule="exact"/>
              <w:rPr>
                <w:rFonts w:cs="Arial"/>
                <w:sz w:val="16"/>
                <w:szCs w:val="16"/>
              </w:rPr>
            </w:pPr>
            <w:proofErr w:type="spellStart"/>
            <w:r w:rsidRPr="00EF4841">
              <w:rPr>
                <w:rFonts w:cs="Arial"/>
                <w:sz w:val="16"/>
                <w:szCs w:val="16"/>
                <w:lang w:val="es-ES_tradnl"/>
              </w:rPr>
              <w:t>S.L.Les</w:t>
            </w:r>
            <w:proofErr w:type="spellEnd"/>
          </w:p>
        </w:tc>
        <w:tc>
          <w:tcPr>
            <w:tcW w:w="99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F30F7C" w:rsidRPr="00EF4841" w:rsidRDefault="00F30F7C" w:rsidP="00BB313D">
            <w:pPr>
              <w:widowControl w:val="0"/>
              <w:spacing w:line="240" w:lineRule="exact"/>
              <w:ind w:right="284"/>
              <w:jc w:val="right"/>
              <w:rPr>
                <w:rFonts w:cs="Arial"/>
                <w:sz w:val="16"/>
                <w:szCs w:val="16"/>
              </w:rPr>
            </w:pPr>
            <w:r w:rsidRPr="00EF4841">
              <w:rPr>
                <w:rFonts w:cs="Arial"/>
                <w:sz w:val="16"/>
                <w:szCs w:val="16"/>
                <w:lang w:val="es-ES_tradnl"/>
              </w:rPr>
              <w:t>100</w:t>
            </w:r>
            <w:r w:rsidR="007F441F">
              <w:rPr>
                <w:rFonts w:cs="Arial"/>
                <w:sz w:val="16"/>
                <w:szCs w:val="16"/>
                <w:lang w:val="es-ES_tradnl"/>
              </w:rPr>
              <w:t>,0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10,0</w:t>
            </w:r>
          </w:p>
        </w:tc>
        <w:tc>
          <w:tcPr>
            <w:tcW w:w="99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48,1</w:t>
            </w:r>
          </w:p>
        </w:tc>
        <w:tc>
          <w:tcPr>
            <w:tcW w:w="991" w:type="pct"/>
            <w:tcBorders>
              <w:left w:val="single" w:sz="4" w:space="0" w:color="BFBFBF" w:themeColor="background1" w:themeShade="BF"/>
              <w:bottom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sz w:val="16"/>
                <w:szCs w:val="16"/>
                <w:lang w:val="es-ES_tradnl"/>
              </w:rPr>
            </w:pPr>
            <w:r w:rsidRPr="00F30F7C">
              <w:rPr>
                <w:rFonts w:cs="Arial"/>
                <w:sz w:val="16"/>
                <w:szCs w:val="16"/>
                <w:lang w:val="es-ES_tradnl"/>
              </w:rPr>
              <w:t>41,8</w:t>
            </w:r>
          </w:p>
        </w:tc>
      </w:tr>
      <w:tr w:rsidR="00F30F7C" w:rsidRPr="002F215F" w:rsidTr="00D122F5">
        <w:trPr>
          <w:jc w:val="center"/>
        </w:trPr>
        <w:tc>
          <w:tcPr>
            <w:tcW w:w="103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F30F7C" w:rsidRPr="00EF4841" w:rsidRDefault="00F30F7C" w:rsidP="00BB313D">
            <w:pPr>
              <w:widowControl w:val="0"/>
              <w:spacing w:line="240" w:lineRule="exact"/>
              <w:rPr>
                <w:rFonts w:cs="Arial"/>
                <w:b/>
                <w:bCs/>
                <w:sz w:val="16"/>
                <w:szCs w:val="16"/>
              </w:rPr>
            </w:pPr>
            <w:r w:rsidRPr="00EF4841">
              <w:rPr>
                <w:rFonts w:cs="Arial"/>
                <w:b/>
                <w:bCs/>
                <w:sz w:val="16"/>
                <w:szCs w:val="16"/>
                <w:lang w:val="es-ES_tradnl"/>
              </w:rPr>
              <w:t>TOTAL</w:t>
            </w:r>
          </w:p>
        </w:tc>
        <w:tc>
          <w:tcPr>
            <w:tcW w:w="9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F30F7C" w:rsidRPr="00EF4841" w:rsidRDefault="00F30F7C" w:rsidP="00BB313D">
            <w:pPr>
              <w:widowControl w:val="0"/>
              <w:spacing w:line="240" w:lineRule="exact"/>
              <w:ind w:right="284"/>
              <w:jc w:val="right"/>
              <w:rPr>
                <w:rFonts w:cs="Arial"/>
                <w:b/>
                <w:bCs/>
                <w:sz w:val="16"/>
                <w:szCs w:val="16"/>
              </w:rPr>
            </w:pPr>
            <w:r w:rsidRPr="00EF4841">
              <w:rPr>
                <w:rFonts w:cs="Arial"/>
                <w:b/>
                <w:bCs/>
                <w:sz w:val="16"/>
                <w:szCs w:val="16"/>
                <w:lang w:val="es-ES_tradnl"/>
              </w:rPr>
              <w:t>100</w:t>
            </w:r>
            <w:r w:rsidR="007F441F">
              <w:rPr>
                <w:rFonts w:cs="Arial"/>
                <w:b/>
                <w:bCs/>
                <w:sz w:val="16"/>
                <w:szCs w:val="16"/>
                <w:lang w:val="es-ES_tradnl"/>
              </w:rPr>
              <w:t>,0</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b/>
                <w:bCs/>
                <w:sz w:val="16"/>
                <w:szCs w:val="16"/>
              </w:rPr>
            </w:pPr>
            <w:r>
              <w:rPr>
                <w:rFonts w:cs="Arial"/>
                <w:b/>
                <w:bCs/>
                <w:sz w:val="16"/>
                <w:szCs w:val="16"/>
              </w:rPr>
              <w:t>11,8</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b/>
                <w:bCs/>
                <w:sz w:val="16"/>
                <w:szCs w:val="16"/>
              </w:rPr>
            </w:pPr>
            <w:r>
              <w:rPr>
                <w:rFonts w:cs="Arial"/>
                <w:b/>
                <w:bCs/>
                <w:sz w:val="16"/>
                <w:szCs w:val="16"/>
              </w:rPr>
              <w:t>51,3</w:t>
            </w:r>
          </w:p>
        </w:tc>
        <w:tc>
          <w:tcPr>
            <w:tcW w:w="9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F30F7C" w:rsidRPr="00F30F7C" w:rsidRDefault="00F30F7C" w:rsidP="00BB313D">
            <w:pPr>
              <w:widowControl w:val="0"/>
              <w:spacing w:line="240" w:lineRule="exact"/>
              <w:ind w:right="284"/>
              <w:jc w:val="right"/>
              <w:rPr>
                <w:rFonts w:cs="Arial"/>
                <w:b/>
                <w:bCs/>
                <w:sz w:val="16"/>
                <w:szCs w:val="16"/>
              </w:rPr>
            </w:pPr>
            <w:r>
              <w:rPr>
                <w:rFonts w:cs="Arial"/>
                <w:b/>
                <w:bCs/>
                <w:sz w:val="16"/>
                <w:szCs w:val="16"/>
              </w:rPr>
              <w:t>36,8</w:t>
            </w:r>
          </w:p>
        </w:tc>
      </w:tr>
    </w:tbl>
    <w:p w:rsidR="00D06470" w:rsidRDefault="00D06470" w:rsidP="00BB313D">
      <w:pPr>
        <w:widowControl w:val="0"/>
        <w:spacing w:line="240" w:lineRule="auto"/>
        <w:rPr>
          <w:rFonts w:cs="Arial"/>
          <w:lang w:val="es-ES_tradnl"/>
        </w:rPr>
      </w:pPr>
    </w:p>
    <w:p w:rsidR="00665097" w:rsidRPr="002C06B9" w:rsidRDefault="00665097" w:rsidP="00BB313D">
      <w:pPr>
        <w:widowControl w:val="0"/>
        <w:spacing w:line="240" w:lineRule="auto"/>
        <w:rPr>
          <w:rFonts w:cs="Arial"/>
        </w:rPr>
      </w:pPr>
    </w:p>
    <w:p w:rsidR="00665097" w:rsidRPr="007F1968" w:rsidRDefault="00665097" w:rsidP="00BB313D">
      <w:pPr>
        <w:pStyle w:val="Ttulo1"/>
        <w:keepNext w:val="0"/>
        <w:ind w:left="708" w:hanging="708"/>
        <w:rPr>
          <w:color w:val="1F497D" w:themeColor="text2"/>
          <w:sz w:val="22"/>
          <w:szCs w:val="22"/>
        </w:rPr>
      </w:pPr>
      <w:bookmarkStart w:id="62" w:name="_Toc391565479"/>
      <w:bookmarkStart w:id="63" w:name="_Toc391999509"/>
      <w:bookmarkStart w:id="64" w:name="_Toc450118902"/>
      <w:r w:rsidRPr="003D51AE">
        <w:rPr>
          <w:color w:val="1F497D" w:themeColor="text2"/>
          <w:sz w:val="22"/>
          <w:szCs w:val="22"/>
        </w:rPr>
        <w:t>1.2.2.- Tipo de Relación Contractual</w:t>
      </w:r>
      <w:bookmarkEnd w:id="62"/>
      <w:bookmarkEnd w:id="63"/>
      <w:bookmarkEnd w:id="64"/>
    </w:p>
    <w:p w:rsidR="00665097" w:rsidRDefault="00665097" w:rsidP="00BB313D">
      <w:pPr>
        <w:widowControl w:val="0"/>
        <w:rPr>
          <w:highlight w:val="yellow"/>
        </w:rPr>
      </w:pPr>
    </w:p>
    <w:p w:rsidR="001E7377" w:rsidRPr="002F215F" w:rsidRDefault="001E7377" w:rsidP="00BB313D">
      <w:pPr>
        <w:pStyle w:val="ARIALNARROW"/>
        <w:widowControl w:val="0"/>
        <w:rPr>
          <w:sz w:val="18"/>
          <w:szCs w:val="18"/>
          <w:highlight w:val="yellow"/>
        </w:rPr>
      </w:pPr>
    </w:p>
    <w:p w:rsidR="00665097" w:rsidRPr="005176E4" w:rsidRDefault="00DE1512" w:rsidP="00BB313D">
      <w:pPr>
        <w:pStyle w:val="Textoindependiente2"/>
        <w:widowControl w:val="0"/>
        <w:spacing w:line="240" w:lineRule="auto"/>
        <w:jc w:val="center"/>
        <w:rPr>
          <w:rFonts w:cs="Arial"/>
          <w:b/>
          <w:color w:val="1F497D" w:themeColor="text2"/>
          <w:sz w:val="18"/>
          <w:szCs w:val="18"/>
        </w:rPr>
      </w:pPr>
      <w:bookmarkStart w:id="65" w:name="_Toc391999588"/>
      <w:bookmarkStart w:id="66" w:name="_Toc450119471"/>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16</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5176E4">
        <w:rPr>
          <w:rFonts w:cs="Arial"/>
          <w:b/>
          <w:color w:val="1F497D" w:themeColor="text2"/>
          <w:sz w:val="18"/>
          <w:szCs w:val="18"/>
        </w:rPr>
        <w:t>DISTRIBUCIÓN DEL EMPLEO SEGÚN RELACIÓN CONTRACTUAL POR FORMA JU</w:t>
      </w:r>
      <w:r w:rsidR="009540B6">
        <w:rPr>
          <w:rFonts w:cs="Arial"/>
          <w:b/>
          <w:color w:val="1F497D" w:themeColor="text2"/>
          <w:sz w:val="18"/>
          <w:szCs w:val="18"/>
        </w:rPr>
        <w:t>RÍDICA DEL ESTABLECIMIENTO. 2014</w:t>
      </w:r>
      <w:r w:rsidR="00665097" w:rsidRPr="005176E4">
        <w:rPr>
          <w:rFonts w:cs="Arial"/>
          <w:b/>
          <w:color w:val="1F497D" w:themeColor="text2"/>
          <w:sz w:val="18"/>
          <w:szCs w:val="18"/>
        </w:rPr>
        <w:t xml:space="preserve"> (%</w:t>
      </w:r>
      <w:r w:rsidR="00A95E68">
        <w:rPr>
          <w:rFonts w:cs="Arial"/>
          <w:b/>
          <w:color w:val="1F497D" w:themeColor="text2"/>
          <w:sz w:val="18"/>
          <w:szCs w:val="18"/>
        </w:rPr>
        <w:t xml:space="preserve"> </w:t>
      </w:r>
      <w:r w:rsidR="00665097" w:rsidRPr="005176E4">
        <w:rPr>
          <w:rFonts w:cs="Arial"/>
          <w:b/>
          <w:color w:val="1F497D" w:themeColor="text2"/>
          <w:sz w:val="18"/>
          <w:szCs w:val="18"/>
        </w:rPr>
        <w:t>h</w:t>
      </w:r>
      <w:r w:rsidR="00A95E68">
        <w:rPr>
          <w:rFonts w:cs="Arial"/>
          <w:b/>
          <w:color w:val="1F497D" w:themeColor="text2"/>
          <w:sz w:val="18"/>
          <w:szCs w:val="18"/>
        </w:rPr>
        <w:t>orizontales</w:t>
      </w:r>
      <w:r w:rsidR="00665097" w:rsidRPr="005176E4">
        <w:rPr>
          <w:rFonts w:cs="Arial"/>
          <w:b/>
          <w:color w:val="1F497D" w:themeColor="text2"/>
          <w:sz w:val="18"/>
          <w:szCs w:val="18"/>
        </w:rPr>
        <w:t>)</w:t>
      </w:r>
      <w:bookmarkEnd w:id="65"/>
      <w:bookmarkEnd w:id="66"/>
    </w:p>
    <w:tbl>
      <w:tblPr>
        <w:tblW w:w="9940" w:type="dxa"/>
        <w:jc w:val="center"/>
        <w:tblLook w:val="04A0" w:firstRow="1" w:lastRow="0" w:firstColumn="1" w:lastColumn="0" w:noHBand="0" w:noVBand="1"/>
      </w:tblPr>
      <w:tblGrid>
        <w:gridCol w:w="1582"/>
        <w:gridCol w:w="1672"/>
        <w:gridCol w:w="1672"/>
        <w:gridCol w:w="1672"/>
        <w:gridCol w:w="1672"/>
        <w:gridCol w:w="1670"/>
      </w:tblGrid>
      <w:tr w:rsidR="00665097" w:rsidRPr="002F215F" w:rsidTr="00D122F5">
        <w:trPr>
          <w:jc w:val="center"/>
        </w:trPr>
        <w:tc>
          <w:tcPr>
            <w:tcW w:w="79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rPr>
                <w:rFonts w:cs="Arial"/>
                <w:bCs/>
                <w:sz w:val="16"/>
                <w:szCs w:val="16"/>
              </w:rPr>
            </w:pPr>
            <w:r w:rsidRPr="002F215F">
              <w:rPr>
                <w:rFonts w:cs="Arial"/>
                <w:bCs/>
                <w:sz w:val="16"/>
                <w:szCs w:val="16"/>
                <w:lang w:val="es-ES_tradnl"/>
              </w:rPr>
              <w:t> </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TOTAL</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Socios</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Asalariados</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Fijos</w:t>
            </w:r>
          </w:p>
        </w:tc>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Eventuales</w:t>
            </w:r>
          </w:p>
        </w:tc>
      </w:tr>
      <w:tr w:rsidR="00B434E6" w:rsidRPr="002F215F" w:rsidTr="00D122F5">
        <w:trPr>
          <w:jc w:val="center"/>
        </w:trPr>
        <w:tc>
          <w:tcPr>
            <w:tcW w:w="796" w:type="pct"/>
            <w:tcBorders>
              <w:top w:val="single" w:sz="4" w:space="0" w:color="BFBFBF" w:themeColor="background1" w:themeShade="BF"/>
              <w:right w:val="single" w:sz="4" w:space="0" w:color="BFBFBF" w:themeColor="background1" w:themeShade="BF"/>
            </w:tcBorders>
          </w:tcPr>
          <w:p w:rsidR="00B434E6" w:rsidRPr="002F215F" w:rsidRDefault="00B434E6" w:rsidP="001E5608">
            <w:pPr>
              <w:widowControl w:val="0"/>
              <w:spacing w:line="240" w:lineRule="exact"/>
              <w:rPr>
                <w:rFonts w:cs="Arial"/>
                <w:sz w:val="16"/>
                <w:szCs w:val="16"/>
                <w:lang w:val="en-GB"/>
              </w:rPr>
            </w:pPr>
            <w:r w:rsidRPr="002F215F">
              <w:rPr>
                <w:rFonts w:cs="Arial"/>
                <w:sz w:val="16"/>
                <w:szCs w:val="16"/>
                <w:lang w:val="en-GB"/>
              </w:rPr>
              <w:t>S.COOP</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B434E6" w:rsidRPr="002F215F" w:rsidRDefault="00B434E6" w:rsidP="00BB313D">
            <w:pPr>
              <w:widowControl w:val="0"/>
              <w:spacing w:line="240" w:lineRule="exact"/>
              <w:ind w:right="170"/>
              <w:jc w:val="right"/>
              <w:rPr>
                <w:rFonts w:cs="Arial"/>
                <w:sz w:val="16"/>
                <w:szCs w:val="16"/>
                <w:lang w:val="en-GB"/>
              </w:rPr>
            </w:pPr>
            <w:r w:rsidRPr="002F215F">
              <w:rPr>
                <w:rFonts w:cs="Arial"/>
                <w:sz w:val="16"/>
                <w:szCs w:val="16"/>
                <w:lang w:val="en-GB"/>
              </w:rPr>
              <w:t>100</w:t>
            </w:r>
            <w:r w:rsidR="007F441F">
              <w:rPr>
                <w:rFonts w:cs="Arial"/>
                <w:sz w:val="16"/>
                <w:szCs w:val="16"/>
                <w:lang w:val="en-GB"/>
              </w:rPr>
              <w:t>,0</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B434E6" w:rsidRPr="003D51AE" w:rsidRDefault="00B434E6" w:rsidP="00BB313D">
            <w:pPr>
              <w:widowControl w:val="0"/>
              <w:spacing w:line="240" w:lineRule="exact"/>
              <w:ind w:right="170"/>
              <w:jc w:val="right"/>
              <w:rPr>
                <w:rFonts w:cs="Arial"/>
                <w:sz w:val="16"/>
                <w:szCs w:val="16"/>
              </w:rPr>
            </w:pPr>
            <w:r w:rsidRPr="003D51AE">
              <w:rPr>
                <w:rFonts w:cs="Arial"/>
                <w:sz w:val="16"/>
                <w:szCs w:val="16"/>
              </w:rPr>
              <w:t>67,8</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B434E6" w:rsidRPr="002F215F" w:rsidRDefault="009540B6" w:rsidP="00BB313D">
            <w:pPr>
              <w:widowControl w:val="0"/>
              <w:spacing w:line="240" w:lineRule="exact"/>
              <w:ind w:right="170"/>
              <w:jc w:val="right"/>
              <w:rPr>
                <w:rFonts w:cs="Arial"/>
                <w:sz w:val="16"/>
                <w:szCs w:val="16"/>
              </w:rPr>
            </w:pPr>
            <w:r>
              <w:rPr>
                <w:rFonts w:cs="Arial"/>
                <w:sz w:val="16"/>
                <w:szCs w:val="16"/>
              </w:rPr>
              <w:t>32,2</w:t>
            </w:r>
          </w:p>
        </w:tc>
        <w:tc>
          <w:tcPr>
            <w:tcW w:w="84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B434E6" w:rsidRPr="00CA12A6" w:rsidRDefault="00B434E6" w:rsidP="00BB313D">
            <w:pPr>
              <w:widowControl w:val="0"/>
              <w:spacing w:line="240" w:lineRule="exact"/>
              <w:ind w:right="170"/>
              <w:jc w:val="right"/>
              <w:rPr>
                <w:rFonts w:cs="Arial"/>
                <w:sz w:val="16"/>
                <w:szCs w:val="16"/>
              </w:rPr>
            </w:pPr>
            <w:r w:rsidRPr="00CA12A6">
              <w:rPr>
                <w:rFonts w:cs="Arial"/>
                <w:sz w:val="16"/>
                <w:szCs w:val="16"/>
              </w:rPr>
              <w:t>14,7</w:t>
            </w:r>
          </w:p>
        </w:tc>
        <w:tc>
          <w:tcPr>
            <w:tcW w:w="840" w:type="pct"/>
            <w:tcBorders>
              <w:top w:val="single" w:sz="4" w:space="0" w:color="BFBFBF" w:themeColor="background1" w:themeShade="BF"/>
              <w:left w:val="single" w:sz="4" w:space="0" w:color="BFBFBF" w:themeColor="background1" w:themeShade="BF"/>
            </w:tcBorders>
            <w:vAlign w:val="bottom"/>
          </w:tcPr>
          <w:p w:rsidR="00B434E6" w:rsidRPr="009540B6" w:rsidRDefault="009540B6" w:rsidP="00BB313D">
            <w:pPr>
              <w:widowControl w:val="0"/>
              <w:spacing w:line="240" w:lineRule="exact"/>
              <w:ind w:right="170"/>
              <w:jc w:val="right"/>
              <w:rPr>
                <w:rFonts w:cs="Arial"/>
                <w:sz w:val="16"/>
                <w:szCs w:val="16"/>
              </w:rPr>
            </w:pPr>
            <w:r>
              <w:rPr>
                <w:rFonts w:cs="Arial"/>
                <w:sz w:val="16"/>
                <w:szCs w:val="16"/>
              </w:rPr>
              <w:t>17,5</w:t>
            </w:r>
          </w:p>
        </w:tc>
      </w:tr>
      <w:tr w:rsidR="00B434E6" w:rsidRPr="002F215F" w:rsidTr="00D122F5">
        <w:trPr>
          <w:jc w:val="center"/>
        </w:trPr>
        <w:tc>
          <w:tcPr>
            <w:tcW w:w="796" w:type="pct"/>
            <w:tcBorders>
              <w:right w:val="single" w:sz="4" w:space="0" w:color="BFBFBF" w:themeColor="background1" w:themeShade="BF"/>
            </w:tcBorders>
          </w:tcPr>
          <w:p w:rsidR="00B434E6" w:rsidRPr="002F215F" w:rsidRDefault="00B434E6" w:rsidP="00BB313D">
            <w:pPr>
              <w:widowControl w:val="0"/>
              <w:spacing w:line="240" w:lineRule="exact"/>
              <w:rPr>
                <w:rFonts w:cs="Arial"/>
                <w:sz w:val="16"/>
                <w:szCs w:val="16"/>
                <w:lang w:val="en-GB"/>
              </w:rPr>
            </w:pPr>
            <w:proofErr w:type="spellStart"/>
            <w:r w:rsidRPr="002F215F">
              <w:rPr>
                <w:rFonts w:cs="Arial"/>
                <w:sz w:val="16"/>
                <w:szCs w:val="16"/>
                <w:lang w:val="en-GB"/>
              </w:rPr>
              <w:t>S.A.Les</w:t>
            </w:r>
            <w:proofErr w:type="spellEnd"/>
          </w:p>
        </w:tc>
        <w:tc>
          <w:tcPr>
            <w:tcW w:w="841" w:type="pct"/>
            <w:tcBorders>
              <w:left w:val="single" w:sz="4" w:space="0" w:color="BFBFBF" w:themeColor="background1" w:themeShade="BF"/>
              <w:right w:val="single" w:sz="4" w:space="0" w:color="BFBFBF" w:themeColor="background1" w:themeShade="BF"/>
            </w:tcBorders>
          </w:tcPr>
          <w:p w:rsidR="00B434E6" w:rsidRPr="002F215F" w:rsidRDefault="00B434E6" w:rsidP="00BB313D">
            <w:pPr>
              <w:widowControl w:val="0"/>
              <w:spacing w:line="240" w:lineRule="exact"/>
              <w:ind w:right="170"/>
              <w:jc w:val="right"/>
              <w:rPr>
                <w:rFonts w:cs="Arial"/>
                <w:sz w:val="16"/>
                <w:szCs w:val="16"/>
              </w:rPr>
            </w:pPr>
            <w:r w:rsidRPr="002F215F">
              <w:rPr>
                <w:rFonts w:cs="Arial"/>
                <w:sz w:val="16"/>
                <w:szCs w:val="16"/>
              </w:rPr>
              <w:t>100</w:t>
            </w:r>
            <w:r w:rsidR="007F441F">
              <w:rPr>
                <w:rFonts w:cs="Arial"/>
                <w:sz w:val="16"/>
                <w:szCs w:val="16"/>
              </w:rPr>
              <w:t>,0</w:t>
            </w:r>
          </w:p>
        </w:tc>
        <w:tc>
          <w:tcPr>
            <w:tcW w:w="841" w:type="pct"/>
            <w:tcBorders>
              <w:left w:val="single" w:sz="4" w:space="0" w:color="BFBFBF" w:themeColor="background1" w:themeShade="BF"/>
              <w:right w:val="single" w:sz="4" w:space="0" w:color="BFBFBF" w:themeColor="background1" w:themeShade="BF"/>
            </w:tcBorders>
            <w:vAlign w:val="bottom"/>
          </w:tcPr>
          <w:p w:rsidR="00B434E6" w:rsidRPr="003D51AE" w:rsidRDefault="00B434E6" w:rsidP="00BB313D">
            <w:pPr>
              <w:widowControl w:val="0"/>
              <w:spacing w:line="240" w:lineRule="exact"/>
              <w:ind w:right="170"/>
              <w:jc w:val="right"/>
              <w:rPr>
                <w:rFonts w:cs="Arial"/>
                <w:sz w:val="16"/>
                <w:szCs w:val="16"/>
              </w:rPr>
            </w:pPr>
            <w:r w:rsidRPr="003D51AE">
              <w:rPr>
                <w:rFonts w:cs="Arial"/>
                <w:sz w:val="16"/>
                <w:szCs w:val="16"/>
              </w:rPr>
              <w:t>53,9</w:t>
            </w:r>
          </w:p>
        </w:tc>
        <w:tc>
          <w:tcPr>
            <w:tcW w:w="841" w:type="pct"/>
            <w:tcBorders>
              <w:left w:val="single" w:sz="4" w:space="0" w:color="BFBFBF" w:themeColor="background1" w:themeShade="BF"/>
              <w:right w:val="single" w:sz="4" w:space="0" w:color="BFBFBF" w:themeColor="background1" w:themeShade="BF"/>
            </w:tcBorders>
          </w:tcPr>
          <w:p w:rsidR="00B434E6" w:rsidRPr="002F215F" w:rsidRDefault="009540B6" w:rsidP="00BB313D">
            <w:pPr>
              <w:widowControl w:val="0"/>
              <w:spacing w:line="240" w:lineRule="exact"/>
              <w:ind w:right="170"/>
              <w:jc w:val="right"/>
              <w:rPr>
                <w:rFonts w:cs="Arial"/>
                <w:sz w:val="16"/>
                <w:szCs w:val="16"/>
              </w:rPr>
            </w:pPr>
            <w:r>
              <w:rPr>
                <w:rFonts w:cs="Arial"/>
                <w:sz w:val="16"/>
                <w:szCs w:val="16"/>
              </w:rPr>
              <w:t>46,1</w:t>
            </w:r>
          </w:p>
        </w:tc>
        <w:tc>
          <w:tcPr>
            <w:tcW w:w="841" w:type="pct"/>
            <w:tcBorders>
              <w:left w:val="single" w:sz="4" w:space="0" w:color="BFBFBF" w:themeColor="background1" w:themeShade="BF"/>
              <w:right w:val="single" w:sz="4" w:space="0" w:color="BFBFBF" w:themeColor="background1" w:themeShade="BF"/>
            </w:tcBorders>
            <w:vAlign w:val="bottom"/>
          </w:tcPr>
          <w:p w:rsidR="00B434E6" w:rsidRPr="00CA12A6" w:rsidRDefault="00B434E6" w:rsidP="00BB313D">
            <w:pPr>
              <w:widowControl w:val="0"/>
              <w:spacing w:line="240" w:lineRule="exact"/>
              <w:ind w:right="170"/>
              <w:jc w:val="right"/>
              <w:rPr>
                <w:rFonts w:cs="Arial"/>
                <w:sz w:val="16"/>
                <w:szCs w:val="16"/>
              </w:rPr>
            </w:pPr>
            <w:r w:rsidRPr="00CA12A6">
              <w:rPr>
                <w:rFonts w:cs="Arial"/>
                <w:sz w:val="16"/>
                <w:szCs w:val="16"/>
              </w:rPr>
              <w:t>32,0</w:t>
            </w:r>
          </w:p>
        </w:tc>
        <w:tc>
          <w:tcPr>
            <w:tcW w:w="840" w:type="pct"/>
            <w:tcBorders>
              <w:left w:val="single" w:sz="4" w:space="0" w:color="BFBFBF" w:themeColor="background1" w:themeShade="BF"/>
            </w:tcBorders>
            <w:vAlign w:val="bottom"/>
          </w:tcPr>
          <w:p w:rsidR="00B434E6" w:rsidRPr="009540B6" w:rsidRDefault="00B434E6" w:rsidP="00BB313D">
            <w:pPr>
              <w:widowControl w:val="0"/>
              <w:spacing w:line="240" w:lineRule="exact"/>
              <w:ind w:right="170"/>
              <w:jc w:val="right"/>
              <w:rPr>
                <w:rFonts w:cs="Arial"/>
                <w:sz w:val="16"/>
                <w:szCs w:val="16"/>
              </w:rPr>
            </w:pPr>
            <w:r w:rsidRPr="009540B6">
              <w:rPr>
                <w:rFonts w:cs="Arial"/>
                <w:sz w:val="16"/>
                <w:szCs w:val="16"/>
              </w:rPr>
              <w:t>14,1</w:t>
            </w:r>
          </w:p>
        </w:tc>
      </w:tr>
      <w:tr w:rsidR="00B434E6" w:rsidRPr="002F215F" w:rsidTr="00D122F5">
        <w:trPr>
          <w:jc w:val="center"/>
        </w:trPr>
        <w:tc>
          <w:tcPr>
            <w:tcW w:w="796" w:type="pct"/>
            <w:tcBorders>
              <w:bottom w:val="single" w:sz="4" w:space="0" w:color="BFBFBF" w:themeColor="background1" w:themeShade="BF"/>
              <w:right w:val="single" w:sz="4" w:space="0" w:color="BFBFBF" w:themeColor="background1" w:themeShade="BF"/>
            </w:tcBorders>
          </w:tcPr>
          <w:p w:rsidR="00B434E6" w:rsidRPr="002F215F" w:rsidRDefault="00B434E6" w:rsidP="00BB313D">
            <w:pPr>
              <w:widowControl w:val="0"/>
              <w:spacing w:line="240" w:lineRule="exact"/>
              <w:rPr>
                <w:rFonts w:cs="Arial"/>
                <w:sz w:val="16"/>
                <w:szCs w:val="16"/>
              </w:rPr>
            </w:pPr>
            <w:proofErr w:type="spellStart"/>
            <w:r w:rsidRPr="002F215F">
              <w:rPr>
                <w:rFonts w:cs="Arial"/>
                <w:sz w:val="16"/>
                <w:szCs w:val="16"/>
                <w:lang w:val="es-ES_tradnl"/>
              </w:rPr>
              <w:t>S.L.Les</w:t>
            </w:r>
            <w:proofErr w:type="spellEnd"/>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2F215F" w:rsidRDefault="00B434E6" w:rsidP="00BB313D">
            <w:pPr>
              <w:widowControl w:val="0"/>
              <w:spacing w:line="240" w:lineRule="exact"/>
              <w:ind w:right="170"/>
              <w:jc w:val="right"/>
              <w:rPr>
                <w:rFonts w:cs="Arial"/>
                <w:sz w:val="16"/>
                <w:szCs w:val="16"/>
              </w:rPr>
            </w:pPr>
            <w:r w:rsidRPr="002F215F">
              <w:rPr>
                <w:rFonts w:cs="Arial"/>
                <w:sz w:val="16"/>
                <w:szCs w:val="16"/>
              </w:rPr>
              <w:t>100</w:t>
            </w:r>
            <w:r w:rsidR="007F441F">
              <w:rPr>
                <w:rFonts w:cs="Arial"/>
                <w:sz w:val="16"/>
                <w:szCs w:val="16"/>
              </w:rPr>
              <w:t>,0</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434E6" w:rsidRPr="003D51AE" w:rsidRDefault="00B434E6" w:rsidP="00BB313D">
            <w:pPr>
              <w:widowControl w:val="0"/>
              <w:spacing w:line="240" w:lineRule="exact"/>
              <w:ind w:right="170"/>
              <w:jc w:val="right"/>
              <w:rPr>
                <w:rFonts w:cs="Arial"/>
                <w:sz w:val="16"/>
                <w:szCs w:val="16"/>
              </w:rPr>
            </w:pPr>
            <w:r w:rsidRPr="003D51AE">
              <w:rPr>
                <w:rFonts w:cs="Arial"/>
                <w:sz w:val="16"/>
                <w:szCs w:val="16"/>
              </w:rPr>
              <w:t>64,6</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2F215F" w:rsidRDefault="009540B6" w:rsidP="00BB313D">
            <w:pPr>
              <w:widowControl w:val="0"/>
              <w:spacing w:line="240" w:lineRule="exact"/>
              <w:ind w:right="170"/>
              <w:jc w:val="right"/>
              <w:rPr>
                <w:rFonts w:cs="Arial"/>
                <w:sz w:val="16"/>
                <w:szCs w:val="16"/>
              </w:rPr>
            </w:pPr>
            <w:r>
              <w:rPr>
                <w:rFonts w:cs="Arial"/>
                <w:sz w:val="16"/>
                <w:szCs w:val="16"/>
              </w:rPr>
              <w:t>35,4</w:t>
            </w:r>
          </w:p>
        </w:tc>
        <w:tc>
          <w:tcPr>
            <w:tcW w:w="841"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434E6" w:rsidRPr="00CA12A6" w:rsidRDefault="009540B6" w:rsidP="00BB313D">
            <w:pPr>
              <w:widowControl w:val="0"/>
              <w:spacing w:line="240" w:lineRule="exact"/>
              <w:ind w:right="170"/>
              <w:jc w:val="right"/>
              <w:rPr>
                <w:rFonts w:cs="Arial"/>
                <w:sz w:val="16"/>
                <w:szCs w:val="16"/>
              </w:rPr>
            </w:pPr>
            <w:r>
              <w:rPr>
                <w:rFonts w:cs="Arial"/>
                <w:sz w:val="16"/>
                <w:szCs w:val="16"/>
              </w:rPr>
              <w:t>23,3</w:t>
            </w:r>
          </w:p>
        </w:tc>
        <w:tc>
          <w:tcPr>
            <w:tcW w:w="840" w:type="pct"/>
            <w:tcBorders>
              <w:left w:val="single" w:sz="4" w:space="0" w:color="BFBFBF" w:themeColor="background1" w:themeShade="BF"/>
              <w:bottom w:val="single" w:sz="4" w:space="0" w:color="BFBFBF" w:themeColor="background1" w:themeShade="BF"/>
            </w:tcBorders>
            <w:vAlign w:val="bottom"/>
          </w:tcPr>
          <w:p w:rsidR="00B434E6" w:rsidRPr="009540B6" w:rsidRDefault="00B434E6" w:rsidP="00BB313D">
            <w:pPr>
              <w:widowControl w:val="0"/>
              <w:spacing w:line="240" w:lineRule="exact"/>
              <w:ind w:right="170"/>
              <w:jc w:val="right"/>
              <w:rPr>
                <w:rFonts w:cs="Arial"/>
                <w:sz w:val="16"/>
                <w:szCs w:val="16"/>
              </w:rPr>
            </w:pPr>
            <w:r w:rsidRPr="009540B6">
              <w:rPr>
                <w:rFonts w:cs="Arial"/>
                <w:sz w:val="16"/>
                <w:szCs w:val="16"/>
              </w:rPr>
              <w:t>12,1</w:t>
            </w:r>
          </w:p>
        </w:tc>
      </w:tr>
      <w:tr w:rsidR="00B434E6" w:rsidRPr="002F215F" w:rsidTr="00D122F5">
        <w:trPr>
          <w:jc w:val="center"/>
        </w:trPr>
        <w:tc>
          <w:tcPr>
            <w:tcW w:w="796"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2F215F" w:rsidRDefault="00B434E6" w:rsidP="00BB313D">
            <w:pPr>
              <w:widowControl w:val="0"/>
              <w:spacing w:line="240" w:lineRule="exact"/>
              <w:rPr>
                <w:rFonts w:cs="Arial"/>
                <w:b/>
                <w:bCs/>
                <w:sz w:val="16"/>
                <w:szCs w:val="16"/>
              </w:rPr>
            </w:pPr>
            <w:r w:rsidRPr="002F215F">
              <w:rPr>
                <w:rFonts w:cs="Arial"/>
                <w:b/>
                <w:bCs/>
                <w:sz w:val="16"/>
                <w:szCs w:val="16"/>
                <w:lang w:val="es-ES_tradnl"/>
              </w:rPr>
              <w:t>TOTAL</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2F215F" w:rsidRDefault="00B434E6" w:rsidP="00BB313D">
            <w:pPr>
              <w:widowControl w:val="0"/>
              <w:spacing w:line="240" w:lineRule="exact"/>
              <w:ind w:right="170"/>
              <w:jc w:val="right"/>
              <w:rPr>
                <w:rFonts w:cs="Arial"/>
                <w:b/>
                <w:bCs/>
                <w:sz w:val="16"/>
                <w:szCs w:val="16"/>
              </w:rPr>
            </w:pPr>
            <w:r w:rsidRPr="002F215F">
              <w:rPr>
                <w:rFonts w:cs="Arial"/>
                <w:b/>
                <w:bCs/>
                <w:sz w:val="16"/>
                <w:szCs w:val="16"/>
                <w:lang w:val="es-ES_tradnl"/>
              </w:rPr>
              <w:t>100</w:t>
            </w:r>
            <w:r w:rsidR="007F441F">
              <w:rPr>
                <w:rFonts w:cs="Arial"/>
                <w:b/>
                <w:bCs/>
                <w:sz w:val="16"/>
                <w:szCs w:val="16"/>
                <w:lang w:val="es-ES_tradnl"/>
              </w:rPr>
              <w:t>,0</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434E6" w:rsidRDefault="00B434E6" w:rsidP="00BB313D">
            <w:pPr>
              <w:widowControl w:val="0"/>
              <w:spacing w:line="240" w:lineRule="exact"/>
              <w:ind w:right="170"/>
              <w:jc w:val="right"/>
              <w:rPr>
                <w:rFonts w:ascii="Calibri" w:hAnsi="Calibri"/>
                <w:color w:val="000000"/>
                <w:sz w:val="18"/>
                <w:szCs w:val="18"/>
              </w:rPr>
            </w:pPr>
            <w:r w:rsidRPr="003D51AE">
              <w:rPr>
                <w:rFonts w:cs="Arial"/>
                <w:b/>
                <w:bCs/>
                <w:sz w:val="16"/>
                <w:szCs w:val="16"/>
              </w:rPr>
              <w:t>66,7</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434E6" w:rsidRPr="002F215F" w:rsidRDefault="009540B6" w:rsidP="00BB313D">
            <w:pPr>
              <w:widowControl w:val="0"/>
              <w:spacing w:line="240" w:lineRule="exact"/>
              <w:ind w:right="170"/>
              <w:jc w:val="right"/>
              <w:rPr>
                <w:rFonts w:cs="Arial"/>
                <w:b/>
                <w:bCs/>
                <w:sz w:val="16"/>
                <w:szCs w:val="16"/>
              </w:rPr>
            </w:pPr>
            <w:r>
              <w:rPr>
                <w:rFonts w:cs="Arial"/>
                <w:b/>
                <w:bCs/>
                <w:sz w:val="16"/>
                <w:szCs w:val="16"/>
              </w:rPr>
              <w:t>33,3</w:t>
            </w:r>
          </w:p>
        </w:tc>
        <w:tc>
          <w:tcPr>
            <w:tcW w:w="8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434E6" w:rsidRPr="00CA12A6" w:rsidRDefault="00B434E6" w:rsidP="00BB313D">
            <w:pPr>
              <w:widowControl w:val="0"/>
              <w:spacing w:line="240" w:lineRule="exact"/>
              <w:ind w:right="170"/>
              <w:jc w:val="right"/>
              <w:rPr>
                <w:rFonts w:cs="Arial"/>
                <w:b/>
                <w:sz w:val="16"/>
                <w:szCs w:val="16"/>
              </w:rPr>
            </w:pPr>
            <w:r w:rsidRPr="00CA12A6">
              <w:rPr>
                <w:rFonts w:cs="Arial"/>
                <w:b/>
                <w:sz w:val="16"/>
                <w:szCs w:val="16"/>
              </w:rPr>
              <w:t>16,4</w:t>
            </w:r>
          </w:p>
        </w:tc>
        <w:tc>
          <w:tcPr>
            <w:tcW w:w="84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B434E6" w:rsidRDefault="00B434E6" w:rsidP="00BB313D">
            <w:pPr>
              <w:widowControl w:val="0"/>
              <w:spacing w:line="240" w:lineRule="exact"/>
              <w:ind w:right="170"/>
              <w:jc w:val="right"/>
              <w:rPr>
                <w:rFonts w:ascii="Calibri" w:hAnsi="Calibri"/>
                <w:color w:val="000000"/>
                <w:sz w:val="18"/>
                <w:szCs w:val="18"/>
              </w:rPr>
            </w:pPr>
            <w:r w:rsidRPr="009540B6">
              <w:rPr>
                <w:rFonts w:cs="Arial"/>
                <w:b/>
                <w:sz w:val="16"/>
                <w:szCs w:val="16"/>
              </w:rPr>
              <w:t>16,9</w:t>
            </w:r>
          </w:p>
        </w:tc>
      </w:tr>
    </w:tbl>
    <w:p w:rsidR="00665097" w:rsidRDefault="00665097" w:rsidP="00BB313D">
      <w:pPr>
        <w:pStyle w:val="ARIALNARROW"/>
        <w:widowControl w:val="0"/>
      </w:pPr>
    </w:p>
    <w:p w:rsidR="00D06470" w:rsidRDefault="00D06470" w:rsidP="00BB313D">
      <w:pPr>
        <w:widowControl w:val="0"/>
        <w:spacing w:after="200" w:line="276" w:lineRule="auto"/>
        <w:jc w:val="left"/>
        <w:rPr>
          <w:rFonts w:cs="Arial"/>
          <w:b/>
          <w:color w:val="00B050"/>
          <w:sz w:val="18"/>
          <w:szCs w:val="18"/>
        </w:rPr>
      </w:pPr>
      <w:bookmarkStart w:id="67" w:name="_Toc391999589"/>
      <w:r>
        <w:rPr>
          <w:rFonts w:cs="Arial"/>
          <w:b/>
          <w:color w:val="00B050"/>
          <w:sz w:val="18"/>
          <w:szCs w:val="18"/>
        </w:rPr>
        <w:br w:type="page"/>
      </w:r>
    </w:p>
    <w:p w:rsidR="00A95E68" w:rsidRPr="001C63DE" w:rsidRDefault="00DE1512" w:rsidP="00BB313D">
      <w:pPr>
        <w:widowControl w:val="0"/>
        <w:spacing w:line="240" w:lineRule="auto"/>
        <w:ind w:left="227" w:hanging="227"/>
        <w:jc w:val="center"/>
        <w:rPr>
          <w:rFonts w:ascii="Times New Roman" w:eastAsia="Times New Roman" w:hAnsi="Times New Roman" w:cs="Times New Roman"/>
          <w:color w:val="1F497D" w:themeColor="text2"/>
          <w:sz w:val="24"/>
          <w:szCs w:val="24"/>
          <w:lang w:val="es-ES_tradnl" w:eastAsia="es-ES"/>
        </w:rPr>
      </w:pPr>
      <w:bookmarkStart w:id="68" w:name="_Toc450119472"/>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17</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1C63DE">
        <w:rPr>
          <w:rFonts w:cs="Arial"/>
          <w:b/>
          <w:color w:val="1F497D" w:themeColor="text2"/>
          <w:sz w:val="18"/>
          <w:szCs w:val="18"/>
        </w:rPr>
        <w:t xml:space="preserve"> </w:t>
      </w:r>
      <w:r w:rsidR="00A95E68" w:rsidRPr="001C63DE">
        <w:rPr>
          <w:rFonts w:cs="Arial"/>
          <w:b/>
          <w:noProof/>
          <w:color w:val="1F497D" w:themeColor="text2"/>
          <w:sz w:val="18"/>
          <w:szCs w:val="18"/>
          <w:lang w:val="es-ES_tradnl"/>
        </w:rPr>
        <w:t>DISTRIBUCIÓN DEL EMPLEO POR FORMA JURÍDICA Y TIPO DE RELACIÓN CONTRACTUAL EN</w:t>
      </w:r>
      <w:r w:rsidR="00A95E68" w:rsidRPr="001C63DE">
        <w:rPr>
          <w:rFonts w:cs="Arial"/>
          <w:b/>
          <w:noProof/>
          <w:color w:val="1F497D" w:themeColor="text2"/>
          <w:sz w:val="18"/>
          <w:szCs w:val="18"/>
        </w:rPr>
        <w:t xml:space="preserve"> LA ECONOMÍA SOCIAL DE LA CAE </w:t>
      </w:r>
      <w:r w:rsidR="00012991">
        <w:rPr>
          <w:rFonts w:cs="Arial"/>
          <w:b/>
          <w:noProof/>
          <w:color w:val="1F497D" w:themeColor="text2"/>
          <w:sz w:val="18"/>
          <w:szCs w:val="18"/>
        </w:rPr>
        <w:t>2008 – 2014</w:t>
      </w:r>
      <w:r w:rsidR="00A95E68" w:rsidRPr="001C63DE">
        <w:rPr>
          <w:rFonts w:cs="Arial"/>
          <w:b/>
          <w:noProof/>
          <w:color w:val="1F497D" w:themeColor="text2"/>
          <w:sz w:val="18"/>
          <w:szCs w:val="18"/>
        </w:rPr>
        <w:t xml:space="preserve"> (</w:t>
      </w:r>
      <w:r w:rsidR="00F80093" w:rsidRPr="001C63DE">
        <w:rPr>
          <w:rFonts w:cs="Arial"/>
          <w:b/>
          <w:noProof/>
          <w:color w:val="1F497D" w:themeColor="text2"/>
          <w:sz w:val="18"/>
          <w:szCs w:val="18"/>
        </w:rPr>
        <w:t>cifras</w:t>
      </w:r>
      <w:r w:rsidR="00A95E68" w:rsidRPr="001C63DE">
        <w:rPr>
          <w:rFonts w:cs="Arial"/>
          <w:b/>
          <w:noProof/>
          <w:color w:val="1F497D" w:themeColor="text2"/>
          <w:sz w:val="18"/>
          <w:szCs w:val="18"/>
        </w:rPr>
        <w:t xml:space="preserve"> ab</w:t>
      </w:r>
      <w:r w:rsidR="00F80093" w:rsidRPr="001C63DE">
        <w:rPr>
          <w:rFonts w:cs="Arial"/>
          <w:b/>
          <w:noProof/>
          <w:color w:val="1F497D" w:themeColor="text2"/>
          <w:sz w:val="18"/>
          <w:szCs w:val="18"/>
        </w:rPr>
        <w:t>solutos</w:t>
      </w:r>
      <w:r w:rsidR="00A95E68" w:rsidRPr="001C63DE">
        <w:rPr>
          <w:rFonts w:cs="Arial"/>
          <w:b/>
          <w:noProof/>
          <w:color w:val="1F497D" w:themeColor="text2"/>
          <w:sz w:val="18"/>
          <w:szCs w:val="18"/>
        </w:rPr>
        <w:t>)</w:t>
      </w:r>
      <w:bookmarkEnd w:id="67"/>
      <w:bookmarkEnd w:id="68"/>
    </w:p>
    <w:tbl>
      <w:tblPr>
        <w:tblW w:w="9940" w:type="dxa"/>
        <w:jc w:val="center"/>
        <w:tblCellMar>
          <w:left w:w="70" w:type="dxa"/>
          <w:right w:w="70" w:type="dxa"/>
        </w:tblCellMar>
        <w:tblLook w:val="04A0" w:firstRow="1" w:lastRow="0" w:firstColumn="1" w:lastColumn="0" w:noHBand="0" w:noVBand="1"/>
      </w:tblPr>
      <w:tblGrid>
        <w:gridCol w:w="1988"/>
        <w:gridCol w:w="1988"/>
        <w:gridCol w:w="1988"/>
        <w:gridCol w:w="1988"/>
        <w:gridCol w:w="1988"/>
      </w:tblGrid>
      <w:tr w:rsidR="00A95E68" w:rsidRPr="001C63DE" w:rsidTr="00D122F5">
        <w:trPr>
          <w:jc w:val="center"/>
        </w:trPr>
        <w:tc>
          <w:tcPr>
            <w:tcW w:w="10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A95E68" w:rsidRPr="001C63DE" w:rsidRDefault="00A95E68" w:rsidP="00BB313D">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A95E68" w:rsidRPr="001C63DE" w:rsidRDefault="00A95E68" w:rsidP="00BB313D">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Socios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A95E68" w:rsidRPr="001C63DE" w:rsidRDefault="00A95E68" w:rsidP="00BB313D">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Asalariados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rsidR="00A95E68" w:rsidRPr="001C63DE" w:rsidRDefault="00A95E68" w:rsidP="00BB313D">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Fijos</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rsidR="00A95E68" w:rsidRPr="001C63DE" w:rsidRDefault="00A95E68" w:rsidP="00BB313D">
            <w:pPr>
              <w:widowControl w:val="0"/>
              <w:spacing w:line="240" w:lineRule="exact"/>
              <w:jc w:val="center"/>
              <w:rPr>
                <w:rFonts w:eastAsia="Times New Roman" w:cs="Arial"/>
                <w:b/>
                <w:bCs/>
                <w:sz w:val="16"/>
                <w:szCs w:val="16"/>
                <w:lang w:eastAsia="es-ES"/>
              </w:rPr>
            </w:pPr>
            <w:r w:rsidRPr="001C63DE">
              <w:rPr>
                <w:rFonts w:eastAsia="Times New Roman" w:cs="Arial"/>
                <w:b/>
                <w:bCs/>
                <w:sz w:val="16"/>
                <w:szCs w:val="16"/>
                <w:lang w:eastAsia="es-ES"/>
              </w:rPr>
              <w:t>Eventuales</w:t>
            </w:r>
          </w:p>
        </w:tc>
      </w:tr>
      <w:tr w:rsidR="00A95E68" w:rsidRPr="001C63DE"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A95E68" w:rsidRPr="001C63DE" w:rsidRDefault="00A95E68" w:rsidP="00BB313D">
            <w:pPr>
              <w:widowControl w:val="0"/>
              <w:spacing w:line="240" w:lineRule="exact"/>
              <w:rPr>
                <w:rFonts w:eastAsia="Times New Roman" w:cs="Arial"/>
                <w:b/>
                <w:bCs/>
                <w:sz w:val="16"/>
                <w:szCs w:val="16"/>
                <w:lang w:eastAsia="es-ES"/>
              </w:rPr>
            </w:pPr>
            <w:r w:rsidRPr="001C63DE">
              <w:rPr>
                <w:rFonts w:eastAsia="Times New Roman" w:cs="Arial"/>
                <w:b/>
                <w:bCs/>
                <w:sz w:val="16"/>
                <w:szCs w:val="16"/>
                <w:lang w:eastAsia="es-ES"/>
              </w:rPr>
              <w:t>S.</w:t>
            </w:r>
            <w:r w:rsidR="001E5608">
              <w:rPr>
                <w:rFonts w:eastAsia="Times New Roman" w:cs="Arial"/>
                <w:b/>
                <w:bCs/>
                <w:sz w:val="16"/>
                <w:szCs w:val="16"/>
                <w:lang w:eastAsia="es-ES"/>
              </w:rPr>
              <w:t xml:space="preserve"> </w:t>
            </w:r>
            <w:r w:rsidRPr="001C63DE">
              <w:rPr>
                <w:rFonts w:eastAsia="Times New Roman" w:cs="Arial"/>
                <w:b/>
                <w:bCs/>
                <w:sz w:val="16"/>
                <w:szCs w:val="16"/>
                <w:lang w:eastAsia="es-ES"/>
              </w:rPr>
              <w:t>COOP</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A95E68" w:rsidRPr="001C63DE" w:rsidRDefault="00A95E68" w:rsidP="00BB313D">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A95E68" w:rsidRPr="001C63DE" w:rsidRDefault="00A95E68" w:rsidP="00BB313D">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A95E68" w:rsidRPr="001C63DE" w:rsidRDefault="00A95E68" w:rsidP="00BB313D">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A95E68" w:rsidRPr="001C63DE" w:rsidRDefault="00A95E68" w:rsidP="00BB313D">
            <w:pPr>
              <w:widowControl w:val="0"/>
              <w:spacing w:line="240" w:lineRule="exact"/>
              <w:jc w:val="lef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34.710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15.649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D741B8" w:rsidRDefault="00012991"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6.534</w:t>
            </w:r>
          </w:p>
        </w:tc>
        <w:tc>
          <w:tcPr>
            <w:tcW w:w="1000" w:type="pct"/>
            <w:tcBorders>
              <w:left w:val="single" w:sz="4" w:space="0" w:color="BFBFBF" w:themeColor="background1" w:themeShade="BF"/>
            </w:tcBorders>
            <w:shd w:val="clear" w:color="auto" w:fill="auto"/>
            <w:vAlign w:val="bottom"/>
            <w:hideMark/>
          </w:tcPr>
          <w:p w:rsidR="00012991" w:rsidRPr="00D741B8" w:rsidRDefault="00012991"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9.115</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33.895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14.197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D741B8" w:rsidRDefault="00012991"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8.256</w:t>
            </w:r>
          </w:p>
        </w:tc>
        <w:tc>
          <w:tcPr>
            <w:tcW w:w="1000" w:type="pct"/>
            <w:tcBorders>
              <w:left w:val="single" w:sz="4" w:space="0" w:color="BFBFBF" w:themeColor="background1" w:themeShade="BF"/>
            </w:tcBorders>
            <w:shd w:val="clear" w:color="auto" w:fill="auto"/>
            <w:vAlign w:val="bottom"/>
            <w:hideMark/>
          </w:tcPr>
          <w:p w:rsidR="00012991" w:rsidRPr="00D741B8" w:rsidRDefault="00012991"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5.941</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34.241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13.703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D741B8" w:rsidRDefault="00012991"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6.251</w:t>
            </w:r>
          </w:p>
        </w:tc>
        <w:tc>
          <w:tcPr>
            <w:tcW w:w="1000" w:type="pct"/>
            <w:tcBorders>
              <w:left w:val="single" w:sz="4" w:space="0" w:color="BFBFBF" w:themeColor="background1" w:themeShade="BF"/>
            </w:tcBorders>
            <w:shd w:val="clear" w:color="auto" w:fill="auto"/>
            <w:vAlign w:val="bottom"/>
            <w:hideMark/>
          </w:tcPr>
          <w:p w:rsidR="00012991" w:rsidRPr="00D741B8" w:rsidRDefault="00012991"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7.451</w:t>
            </w:r>
          </w:p>
        </w:tc>
      </w:tr>
      <w:tr w:rsidR="00012991" w:rsidRPr="001C63DE"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D741B8"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32.071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D741B8" w:rsidP="00BB313D">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15.251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D741B8" w:rsidRDefault="00D741B8"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6.965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D741B8" w:rsidRDefault="00D741B8" w:rsidP="00BB313D">
            <w:pPr>
              <w:widowControl w:val="0"/>
              <w:spacing w:line="240" w:lineRule="exact"/>
              <w:ind w:right="170"/>
              <w:jc w:val="right"/>
              <w:rPr>
                <w:rFonts w:eastAsia="Times New Roman" w:cs="Arial"/>
                <w:bCs/>
                <w:sz w:val="16"/>
                <w:szCs w:val="16"/>
                <w:lang w:eastAsia="es-ES"/>
              </w:rPr>
            </w:pPr>
            <w:r w:rsidRPr="00D741B8">
              <w:rPr>
                <w:rFonts w:eastAsia="Times New Roman" w:cs="Arial"/>
                <w:bCs/>
                <w:sz w:val="16"/>
                <w:szCs w:val="16"/>
                <w:lang w:eastAsia="es-ES"/>
              </w:rPr>
              <w:t>8.286</w:t>
            </w:r>
          </w:p>
        </w:tc>
      </w:tr>
      <w:tr w:rsidR="00012991" w:rsidRPr="001C63DE"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b/>
                <w:bCs/>
                <w:sz w:val="16"/>
                <w:szCs w:val="16"/>
                <w:lang w:eastAsia="es-ES"/>
              </w:rPr>
            </w:pPr>
            <w:proofErr w:type="spellStart"/>
            <w:r w:rsidRPr="001C63DE">
              <w:rPr>
                <w:rFonts w:eastAsia="Times New Roman" w:cs="Arial"/>
                <w:b/>
                <w:bCs/>
                <w:sz w:val="16"/>
                <w:szCs w:val="16"/>
                <w:lang w:eastAsia="es-ES"/>
              </w:rPr>
              <w:t>S.Les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7.159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5.098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3.364</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1.734</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5.471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6.353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3.985</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2.368</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5.001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2.865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1.767</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1.098</w:t>
            </w:r>
          </w:p>
        </w:tc>
      </w:tr>
      <w:tr w:rsidR="00012991" w:rsidRPr="001C63DE"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BF260D" w:rsidP="00BB313D">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4.351</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BF260D" w:rsidP="00BB313D">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2.908</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BF260D" w:rsidP="00BB313D">
            <w:pPr>
              <w:widowControl w:val="0"/>
              <w:spacing w:line="240" w:lineRule="exact"/>
              <w:ind w:right="170"/>
              <w:jc w:val="right"/>
              <w:rPr>
                <w:rFonts w:eastAsia="Times New Roman" w:cs="Arial"/>
                <w:sz w:val="16"/>
                <w:szCs w:val="16"/>
                <w:lang w:eastAsia="es-ES"/>
              </w:rPr>
            </w:pPr>
            <w:r>
              <w:rPr>
                <w:rFonts w:eastAsia="Times New Roman" w:cs="Arial"/>
                <w:sz w:val="16"/>
                <w:szCs w:val="16"/>
                <w:lang w:eastAsia="es-ES"/>
              </w:rPr>
              <w:t>1.965</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1C63DE" w:rsidRDefault="00BF260D" w:rsidP="00BB313D">
            <w:pPr>
              <w:widowControl w:val="0"/>
              <w:spacing w:line="240" w:lineRule="exact"/>
              <w:ind w:right="170"/>
              <w:jc w:val="right"/>
              <w:rPr>
                <w:rFonts w:eastAsia="Times New Roman" w:cs="Arial"/>
                <w:sz w:val="16"/>
                <w:szCs w:val="16"/>
                <w:lang w:eastAsia="es-ES"/>
              </w:rPr>
            </w:pPr>
            <w:r>
              <w:rPr>
                <w:rFonts w:eastAsia="Times New Roman" w:cs="Arial"/>
                <w:sz w:val="16"/>
                <w:szCs w:val="16"/>
                <w:lang w:eastAsia="es-ES"/>
              </w:rPr>
              <w:t>943</w:t>
            </w:r>
          </w:p>
        </w:tc>
      </w:tr>
      <w:tr w:rsidR="00012991" w:rsidRPr="001C63DE"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b/>
                <w:bCs/>
                <w:sz w:val="16"/>
                <w:szCs w:val="16"/>
                <w:lang w:eastAsia="es-ES"/>
              </w:rPr>
            </w:pPr>
            <w:proofErr w:type="spellStart"/>
            <w:r w:rsidRPr="001C63DE">
              <w:rPr>
                <w:rFonts w:eastAsia="Times New Roman" w:cs="Arial"/>
                <w:b/>
                <w:bCs/>
                <w:sz w:val="16"/>
                <w:szCs w:val="16"/>
                <w:lang w:eastAsia="es-ES"/>
              </w:rPr>
              <w:t>S.A.Les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4.441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3.010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2.288</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722</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2.592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4.828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3.060</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1.768</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2.387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1.638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1.096</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542</w:t>
            </w:r>
          </w:p>
        </w:tc>
      </w:tr>
      <w:tr w:rsidR="00012991" w:rsidRPr="001C63DE"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5C5966" w:rsidP="00BB313D">
            <w:pPr>
              <w:widowControl w:val="0"/>
              <w:spacing w:line="240" w:lineRule="exact"/>
              <w:ind w:right="170"/>
              <w:jc w:val="right"/>
              <w:rPr>
                <w:rFonts w:eastAsia="Times New Roman" w:cs="Arial"/>
                <w:bCs/>
                <w:sz w:val="16"/>
                <w:szCs w:val="16"/>
                <w:lang w:eastAsia="es-ES"/>
              </w:rPr>
            </w:pPr>
            <w:r w:rsidRPr="005C5966">
              <w:rPr>
                <w:rFonts w:eastAsia="Times New Roman" w:cs="Arial"/>
                <w:bCs/>
                <w:sz w:val="16"/>
                <w:szCs w:val="16"/>
                <w:lang w:eastAsia="es-ES"/>
              </w:rPr>
              <w:t>1.712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5C5966" w:rsidP="00BB313D">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1.465</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5C5966" w:rsidRDefault="005C5966" w:rsidP="00BB313D">
            <w:pPr>
              <w:widowControl w:val="0"/>
              <w:spacing w:line="240" w:lineRule="exact"/>
              <w:ind w:right="170"/>
              <w:jc w:val="right"/>
              <w:rPr>
                <w:rFonts w:eastAsia="Times New Roman" w:cs="Arial"/>
                <w:sz w:val="16"/>
                <w:szCs w:val="16"/>
                <w:lang w:eastAsia="es-ES"/>
              </w:rPr>
            </w:pPr>
            <w:r w:rsidRPr="005C5966">
              <w:rPr>
                <w:rFonts w:eastAsia="Times New Roman" w:cs="Arial"/>
                <w:sz w:val="16"/>
                <w:szCs w:val="16"/>
                <w:lang w:eastAsia="es-ES"/>
              </w:rPr>
              <w:t>1.016</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5C5966" w:rsidRDefault="005C5966" w:rsidP="00BB313D">
            <w:pPr>
              <w:widowControl w:val="0"/>
              <w:spacing w:line="240" w:lineRule="exact"/>
              <w:ind w:right="170"/>
              <w:jc w:val="right"/>
              <w:rPr>
                <w:rFonts w:eastAsia="Times New Roman" w:cs="Arial"/>
                <w:sz w:val="16"/>
                <w:szCs w:val="16"/>
                <w:lang w:eastAsia="es-ES"/>
              </w:rPr>
            </w:pPr>
            <w:r w:rsidRPr="005C5966">
              <w:rPr>
                <w:rFonts w:eastAsia="Times New Roman" w:cs="Arial"/>
                <w:sz w:val="16"/>
                <w:szCs w:val="16"/>
                <w:lang w:eastAsia="es-ES"/>
              </w:rPr>
              <w:t>449</w:t>
            </w:r>
          </w:p>
        </w:tc>
      </w:tr>
      <w:tr w:rsidR="00012991" w:rsidRPr="001C63DE"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b/>
                <w:bCs/>
                <w:sz w:val="16"/>
                <w:szCs w:val="16"/>
                <w:lang w:eastAsia="es-ES"/>
              </w:rPr>
            </w:pPr>
            <w:proofErr w:type="spellStart"/>
            <w:r w:rsidRPr="001C63DE">
              <w:rPr>
                <w:rFonts w:eastAsia="Times New Roman" w:cs="Arial"/>
                <w:b/>
                <w:bCs/>
                <w:sz w:val="16"/>
                <w:szCs w:val="16"/>
                <w:lang w:eastAsia="es-ES"/>
              </w:rPr>
              <w:t>S.L.Les</w:t>
            </w:r>
            <w:proofErr w:type="spellEnd"/>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ascii="Calibri" w:eastAsia="Times New Roman" w:hAnsi="Calibri" w:cs="Times New Roman"/>
                <w:sz w:val="22"/>
                <w:lang w:eastAsia="es-ES"/>
              </w:rPr>
            </w:pPr>
            <w:r w:rsidRPr="001C63DE">
              <w:rPr>
                <w:rFonts w:ascii="Calibri" w:eastAsia="Times New Roman" w:hAnsi="Calibri" w:cs="Times New Roman"/>
                <w:sz w:val="22"/>
                <w:lang w:eastAsia="es-ES"/>
              </w:rPr>
              <w:t> </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2.718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2.088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BF260D" w:rsidRDefault="00012991" w:rsidP="00BB313D">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1.076</w:t>
            </w:r>
          </w:p>
        </w:tc>
        <w:tc>
          <w:tcPr>
            <w:tcW w:w="1000" w:type="pct"/>
            <w:tcBorders>
              <w:left w:val="single" w:sz="4" w:space="0" w:color="BFBFBF" w:themeColor="background1" w:themeShade="BF"/>
            </w:tcBorders>
            <w:shd w:val="clear" w:color="auto" w:fill="auto"/>
            <w:vAlign w:val="bottom"/>
            <w:hideMark/>
          </w:tcPr>
          <w:p w:rsidR="00012991" w:rsidRPr="00BF260D" w:rsidRDefault="00012991" w:rsidP="00BB313D">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1.012</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2.879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1.525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BF260D" w:rsidRDefault="00012991" w:rsidP="00BB313D">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925</w:t>
            </w:r>
          </w:p>
        </w:tc>
        <w:tc>
          <w:tcPr>
            <w:tcW w:w="1000" w:type="pct"/>
            <w:tcBorders>
              <w:left w:val="single" w:sz="4" w:space="0" w:color="BFBFBF" w:themeColor="background1" w:themeShade="BF"/>
            </w:tcBorders>
            <w:shd w:val="clear" w:color="auto" w:fill="auto"/>
            <w:vAlign w:val="bottom"/>
            <w:hideMark/>
          </w:tcPr>
          <w:p w:rsidR="00012991" w:rsidRPr="00BF260D" w:rsidRDefault="00012991" w:rsidP="00BB313D">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600</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2.614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Cs/>
                <w:sz w:val="16"/>
                <w:szCs w:val="16"/>
                <w:lang w:eastAsia="es-ES"/>
              </w:rPr>
            </w:pPr>
            <w:r w:rsidRPr="001C63DE">
              <w:rPr>
                <w:rFonts w:eastAsia="Times New Roman" w:cs="Arial"/>
                <w:bCs/>
                <w:sz w:val="16"/>
                <w:szCs w:val="16"/>
                <w:lang w:eastAsia="es-ES"/>
              </w:rPr>
              <w:t>1.227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BF260D" w:rsidRDefault="00012991" w:rsidP="00BB313D">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671</w:t>
            </w:r>
          </w:p>
        </w:tc>
        <w:tc>
          <w:tcPr>
            <w:tcW w:w="1000" w:type="pct"/>
            <w:tcBorders>
              <w:left w:val="single" w:sz="4" w:space="0" w:color="BFBFBF" w:themeColor="background1" w:themeShade="BF"/>
            </w:tcBorders>
            <w:shd w:val="clear" w:color="auto" w:fill="auto"/>
            <w:vAlign w:val="bottom"/>
            <w:hideMark/>
          </w:tcPr>
          <w:p w:rsidR="00012991" w:rsidRPr="00BF260D" w:rsidRDefault="00012991" w:rsidP="00BB313D">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556</w:t>
            </w:r>
          </w:p>
        </w:tc>
      </w:tr>
      <w:tr w:rsidR="00012991" w:rsidRPr="001C63DE"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5C5966" w:rsidP="00BB313D">
            <w:pPr>
              <w:widowControl w:val="0"/>
              <w:spacing w:line="240" w:lineRule="exact"/>
              <w:ind w:right="170"/>
              <w:jc w:val="right"/>
              <w:rPr>
                <w:rFonts w:eastAsia="Times New Roman" w:cs="Arial"/>
                <w:bCs/>
                <w:sz w:val="16"/>
                <w:szCs w:val="16"/>
                <w:lang w:eastAsia="es-ES"/>
              </w:rPr>
            </w:pPr>
            <w:r w:rsidRPr="005C5966">
              <w:rPr>
                <w:rFonts w:eastAsia="Times New Roman" w:cs="Arial"/>
                <w:bCs/>
                <w:sz w:val="16"/>
                <w:szCs w:val="16"/>
                <w:lang w:eastAsia="es-ES"/>
              </w:rPr>
              <w:t>2.639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BF260D" w:rsidP="00BB313D">
            <w:pPr>
              <w:widowControl w:val="0"/>
              <w:spacing w:line="240" w:lineRule="exact"/>
              <w:ind w:right="170"/>
              <w:jc w:val="right"/>
              <w:rPr>
                <w:rFonts w:eastAsia="Times New Roman" w:cs="Arial"/>
                <w:bCs/>
                <w:sz w:val="16"/>
                <w:szCs w:val="16"/>
                <w:lang w:eastAsia="es-ES"/>
              </w:rPr>
            </w:pPr>
            <w:r>
              <w:rPr>
                <w:rFonts w:eastAsia="Times New Roman" w:cs="Arial"/>
                <w:bCs/>
                <w:sz w:val="16"/>
                <w:szCs w:val="16"/>
                <w:lang w:eastAsia="es-ES"/>
              </w:rPr>
              <w:t>1.443</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BF260D" w:rsidRDefault="005C5966" w:rsidP="00BB313D">
            <w:pPr>
              <w:widowControl w:val="0"/>
              <w:spacing w:line="240" w:lineRule="exact"/>
              <w:ind w:right="170"/>
              <w:jc w:val="right"/>
              <w:rPr>
                <w:rFonts w:eastAsia="Times New Roman" w:cs="Arial"/>
                <w:bCs/>
                <w:sz w:val="16"/>
                <w:szCs w:val="16"/>
                <w:lang w:eastAsia="es-ES"/>
              </w:rPr>
            </w:pPr>
            <w:r w:rsidRPr="00BF260D">
              <w:rPr>
                <w:rFonts w:eastAsia="Times New Roman" w:cs="Arial"/>
                <w:bCs/>
                <w:sz w:val="16"/>
                <w:szCs w:val="16"/>
                <w:lang w:eastAsia="es-ES"/>
              </w:rPr>
              <w:t>949</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BF260D" w:rsidRDefault="00BF260D" w:rsidP="00BB313D">
            <w:pPr>
              <w:widowControl w:val="0"/>
              <w:spacing w:line="240" w:lineRule="exact"/>
              <w:ind w:right="170"/>
              <w:jc w:val="right"/>
              <w:rPr>
                <w:rFonts w:eastAsia="Times New Roman" w:cs="Arial"/>
                <w:sz w:val="16"/>
                <w:szCs w:val="16"/>
                <w:lang w:eastAsia="es-ES"/>
              </w:rPr>
            </w:pPr>
            <w:r w:rsidRPr="00BF260D">
              <w:rPr>
                <w:rFonts w:eastAsia="Times New Roman" w:cs="Arial"/>
                <w:sz w:val="16"/>
                <w:szCs w:val="16"/>
                <w:lang w:eastAsia="es-ES"/>
              </w:rPr>
              <w:t>494</w:t>
            </w:r>
          </w:p>
        </w:tc>
      </w:tr>
      <w:tr w:rsidR="00012991" w:rsidRPr="001C63DE" w:rsidTr="00D122F5">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b/>
                <w:bCs/>
                <w:sz w:val="16"/>
                <w:szCs w:val="16"/>
                <w:lang w:eastAsia="es-ES"/>
              </w:rPr>
            </w:pPr>
            <w:r w:rsidRPr="001C63DE">
              <w:rPr>
                <w:rFonts w:eastAsia="Times New Roman" w:cs="Arial"/>
                <w:b/>
                <w:bCs/>
                <w:sz w:val="16"/>
                <w:szCs w:val="16"/>
                <w:lang w:eastAsia="es-ES"/>
              </w:rPr>
              <w:t>TOTAL</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sz w:val="16"/>
                <w:szCs w:val="16"/>
                <w:lang w:eastAsia="es-ES"/>
              </w:rPr>
            </w:pPr>
            <w:r w:rsidRPr="001C63DE">
              <w:rPr>
                <w:rFonts w:eastAsia="Times New Roman" w:cs="Arial"/>
                <w:sz w:val="16"/>
                <w:szCs w:val="16"/>
                <w:lang w:eastAsia="es-ES"/>
              </w:rPr>
              <w:t> </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41.869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20.747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9.898</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10.849</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39.366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20.550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12.241</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8.309</w:t>
            </w:r>
          </w:p>
        </w:tc>
      </w:tr>
      <w:tr w:rsidR="00012991" w:rsidRPr="001C63DE" w:rsidTr="00D122F5">
        <w:trPr>
          <w:jc w:val="center"/>
        </w:trPr>
        <w:tc>
          <w:tcPr>
            <w:tcW w:w="1000" w:type="pct"/>
            <w:tcBorders>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sidRPr="001C63DE">
              <w:rPr>
                <w:rFonts w:eastAsia="Times New Roman" w:cs="Arial"/>
                <w:sz w:val="16"/>
                <w:szCs w:val="16"/>
                <w:lang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39.242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16.568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8.018</w:t>
            </w:r>
          </w:p>
        </w:tc>
        <w:tc>
          <w:tcPr>
            <w:tcW w:w="1000" w:type="pct"/>
            <w:tcBorders>
              <w:lef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ind w:right="170"/>
              <w:jc w:val="right"/>
              <w:rPr>
                <w:rFonts w:eastAsia="Times New Roman" w:cs="Arial"/>
                <w:b/>
                <w:bCs/>
                <w:sz w:val="16"/>
                <w:szCs w:val="16"/>
                <w:lang w:eastAsia="es-ES"/>
              </w:rPr>
            </w:pPr>
            <w:r w:rsidRPr="001C63DE">
              <w:rPr>
                <w:rFonts w:eastAsia="Times New Roman" w:cs="Arial"/>
                <w:b/>
                <w:bCs/>
                <w:sz w:val="16"/>
                <w:szCs w:val="16"/>
                <w:lang w:eastAsia="es-ES"/>
              </w:rPr>
              <w:t>8.549</w:t>
            </w:r>
          </w:p>
        </w:tc>
      </w:tr>
      <w:tr w:rsidR="00012991" w:rsidRPr="001C63DE" w:rsidTr="00D122F5">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012991" w:rsidP="00BB313D">
            <w:pPr>
              <w:widowControl w:val="0"/>
              <w:spacing w:line="240" w:lineRule="exact"/>
              <w:rPr>
                <w:rFonts w:eastAsia="Times New Roman" w:cs="Arial"/>
                <w:sz w:val="16"/>
                <w:szCs w:val="16"/>
                <w:lang w:eastAsia="es-ES"/>
              </w:rPr>
            </w:pPr>
            <w:r>
              <w:rPr>
                <w:rFonts w:eastAsia="Times New Roman" w:cs="Arial"/>
                <w:sz w:val="16"/>
                <w:szCs w:val="16"/>
                <w:lang w:eastAsia="es-ES"/>
              </w:rPr>
              <w:t>2014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760C43" w:rsidP="00BB313D">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36.422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7000F9" w:rsidP="00BB313D">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18.159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rsidR="00012991" w:rsidRPr="001C63DE" w:rsidRDefault="007000F9" w:rsidP="00BB313D">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8.930</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rsidR="00012991" w:rsidRPr="001C63DE" w:rsidRDefault="007000F9" w:rsidP="00BB313D">
            <w:pPr>
              <w:widowControl w:val="0"/>
              <w:spacing w:line="240" w:lineRule="exact"/>
              <w:ind w:right="170"/>
              <w:jc w:val="right"/>
              <w:rPr>
                <w:rFonts w:eastAsia="Times New Roman" w:cs="Arial"/>
                <w:b/>
                <w:bCs/>
                <w:sz w:val="16"/>
                <w:szCs w:val="16"/>
                <w:lang w:eastAsia="es-ES"/>
              </w:rPr>
            </w:pPr>
            <w:r>
              <w:rPr>
                <w:rFonts w:eastAsia="Times New Roman" w:cs="Arial"/>
                <w:b/>
                <w:bCs/>
                <w:sz w:val="16"/>
                <w:szCs w:val="16"/>
                <w:lang w:eastAsia="es-ES"/>
              </w:rPr>
              <w:t>9.229</w:t>
            </w:r>
          </w:p>
        </w:tc>
      </w:tr>
    </w:tbl>
    <w:p w:rsidR="00A95E68" w:rsidRDefault="00A95E68" w:rsidP="00BB313D">
      <w:pPr>
        <w:widowControl w:val="0"/>
        <w:ind w:left="227" w:hanging="227"/>
        <w:rPr>
          <w:rFonts w:cs="Arial"/>
          <w:lang w:val="es-ES_tradnl" w:eastAsia="es-ES"/>
        </w:rPr>
      </w:pPr>
    </w:p>
    <w:p w:rsidR="001C63DE" w:rsidRPr="001C63DE" w:rsidRDefault="001C63DE" w:rsidP="00BB313D">
      <w:pPr>
        <w:widowControl w:val="0"/>
        <w:ind w:left="227" w:hanging="227"/>
        <w:rPr>
          <w:rFonts w:cs="Arial"/>
          <w:lang w:val="es-ES_tradnl" w:eastAsia="es-ES"/>
        </w:rPr>
      </w:pPr>
    </w:p>
    <w:p w:rsidR="00665097" w:rsidRPr="00B85B93" w:rsidRDefault="00665097" w:rsidP="00BB313D">
      <w:pPr>
        <w:pStyle w:val="ARIALNARROW"/>
        <w:widowControl w:val="0"/>
        <w:rPr>
          <w:sz w:val="2"/>
          <w:szCs w:val="2"/>
        </w:rPr>
      </w:pPr>
    </w:p>
    <w:p w:rsidR="00665097" w:rsidRPr="00B0626B" w:rsidRDefault="00DE1512" w:rsidP="00BB313D">
      <w:pPr>
        <w:widowControl w:val="0"/>
        <w:spacing w:line="240" w:lineRule="auto"/>
        <w:jc w:val="center"/>
        <w:rPr>
          <w:rFonts w:cs="Arial"/>
          <w:b/>
          <w:color w:val="1F497D" w:themeColor="text2"/>
          <w:sz w:val="18"/>
          <w:szCs w:val="18"/>
          <w:lang w:val="es-ES_tradnl"/>
        </w:rPr>
      </w:pPr>
      <w:bookmarkStart w:id="69" w:name="_Toc391999590"/>
      <w:bookmarkStart w:id="70" w:name="_Toc450119473"/>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B0626B">
        <w:rPr>
          <w:rFonts w:cs="Arial"/>
          <w:b/>
          <w:color w:val="1F497D" w:themeColor="text2"/>
          <w:sz w:val="18"/>
          <w:szCs w:val="18"/>
          <w:lang w:val="es-ES_tradnl"/>
        </w:rPr>
        <w:t>DISTRIBUCÓN DEL EMPLEO POR FORMA JURÍDICA Y TIPO DE RELACIÓN CONTRACTUAL EN LA ECONOMÍA SOCIAL DE LA CAE</w:t>
      </w:r>
      <w:bookmarkEnd w:id="69"/>
      <w:bookmarkEnd w:id="70"/>
    </w:p>
    <w:tbl>
      <w:tblPr>
        <w:tblW w:w="9940" w:type="dxa"/>
        <w:jc w:val="center"/>
        <w:tblCellMar>
          <w:left w:w="0" w:type="dxa"/>
          <w:right w:w="0" w:type="dxa"/>
        </w:tblCellMar>
        <w:tblLook w:val="04A0" w:firstRow="1" w:lastRow="0" w:firstColumn="1" w:lastColumn="0" w:noHBand="0" w:noVBand="1"/>
      </w:tblPr>
      <w:tblGrid>
        <w:gridCol w:w="2028"/>
        <w:gridCol w:w="1978"/>
        <w:gridCol w:w="1978"/>
        <w:gridCol w:w="1978"/>
        <w:gridCol w:w="1978"/>
      </w:tblGrid>
      <w:tr w:rsidR="00665097" w:rsidRPr="00C3179C" w:rsidTr="00D122F5">
        <w:trPr>
          <w:jc w:val="center"/>
        </w:trPr>
        <w:tc>
          <w:tcPr>
            <w:tcW w:w="1020" w:type="pct"/>
            <w:tcBorders>
              <w:top w:val="single" w:sz="8" w:space="0" w:color="BFBFBF"/>
              <w:left w:val="nil"/>
              <w:bottom w:val="single" w:sz="8" w:space="0" w:color="BFBFBF"/>
              <w:right w:val="single" w:sz="8" w:space="0" w:color="BFBFBF"/>
            </w:tcBorders>
            <w:shd w:val="clear" w:color="auto" w:fill="DBE5F1"/>
            <w:vAlign w:val="center"/>
            <w:hideMark/>
          </w:tcPr>
          <w:p w:rsidR="00665097" w:rsidRPr="00C3179C" w:rsidRDefault="00665097" w:rsidP="00BB313D">
            <w:pPr>
              <w:widowControl w:val="0"/>
              <w:spacing w:line="240" w:lineRule="exact"/>
              <w:rPr>
                <w:rFonts w:ascii="Times New Roman" w:hAnsi="Times New Roman"/>
                <w:sz w:val="16"/>
                <w:szCs w:val="16"/>
              </w:rPr>
            </w:pP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665097" w:rsidRPr="00C3179C" w:rsidRDefault="00665097" w:rsidP="00BB313D">
            <w:pPr>
              <w:widowControl w:val="0"/>
              <w:spacing w:line="240" w:lineRule="exact"/>
              <w:jc w:val="center"/>
              <w:rPr>
                <w:rFonts w:ascii="Times New Roman" w:hAnsi="Times New Roman"/>
                <w:sz w:val="16"/>
                <w:szCs w:val="16"/>
              </w:rPr>
            </w:pPr>
            <w:r w:rsidRPr="00C3179C">
              <w:rPr>
                <w:rFonts w:cs="Arial"/>
                <w:b/>
                <w:bCs/>
                <w:sz w:val="16"/>
                <w:szCs w:val="16"/>
                <w:lang w:val="es-ES_tradnl"/>
              </w:rPr>
              <w:t>Socios</w:t>
            </w: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665097" w:rsidRPr="00C3179C" w:rsidRDefault="00665097" w:rsidP="00BB313D">
            <w:pPr>
              <w:widowControl w:val="0"/>
              <w:spacing w:line="240" w:lineRule="exact"/>
              <w:jc w:val="center"/>
              <w:rPr>
                <w:rFonts w:ascii="Times New Roman" w:hAnsi="Times New Roman"/>
                <w:sz w:val="16"/>
                <w:szCs w:val="16"/>
              </w:rPr>
            </w:pPr>
            <w:r w:rsidRPr="00C3179C">
              <w:rPr>
                <w:rFonts w:cs="Arial"/>
                <w:b/>
                <w:bCs/>
                <w:sz w:val="16"/>
                <w:szCs w:val="16"/>
                <w:lang w:val="es-ES_tradnl"/>
              </w:rPr>
              <w:t>Asalariados</w:t>
            </w:r>
          </w:p>
        </w:tc>
        <w:tc>
          <w:tcPr>
            <w:tcW w:w="995" w:type="pct"/>
            <w:tcBorders>
              <w:top w:val="single" w:sz="8" w:space="0" w:color="BFBFBF"/>
              <w:left w:val="nil"/>
              <w:bottom w:val="single" w:sz="8" w:space="0" w:color="BFBFBF"/>
              <w:right w:val="single" w:sz="8" w:space="0" w:color="BFBFBF"/>
            </w:tcBorders>
            <w:shd w:val="clear" w:color="auto" w:fill="DBE5F1"/>
            <w:vAlign w:val="center"/>
            <w:hideMark/>
          </w:tcPr>
          <w:p w:rsidR="00665097" w:rsidRPr="00C3179C" w:rsidRDefault="00665097" w:rsidP="00BB313D">
            <w:pPr>
              <w:widowControl w:val="0"/>
              <w:spacing w:line="240" w:lineRule="exact"/>
              <w:jc w:val="center"/>
              <w:rPr>
                <w:rFonts w:ascii="Times New Roman" w:hAnsi="Times New Roman"/>
                <w:sz w:val="16"/>
                <w:szCs w:val="16"/>
              </w:rPr>
            </w:pPr>
            <w:r w:rsidRPr="00C3179C">
              <w:rPr>
                <w:rFonts w:cs="Arial"/>
                <w:b/>
                <w:bCs/>
                <w:sz w:val="16"/>
                <w:szCs w:val="16"/>
                <w:lang w:val="es-ES_tradnl"/>
              </w:rPr>
              <w:t>Fijos</w:t>
            </w:r>
          </w:p>
        </w:tc>
        <w:tc>
          <w:tcPr>
            <w:tcW w:w="995" w:type="pct"/>
            <w:tcBorders>
              <w:top w:val="single" w:sz="8" w:space="0" w:color="BFBFBF"/>
              <w:left w:val="nil"/>
              <w:bottom w:val="single" w:sz="8" w:space="0" w:color="BFBFBF"/>
            </w:tcBorders>
            <w:shd w:val="clear" w:color="auto" w:fill="DBE5F1"/>
            <w:vAlign w:val="center"/>
            <w:hideMark/>
          </w:tcPr>
          <w:p w:rsidR="00665097" w:rsidRPr="00C3179C" w:rsidRDefault="00665097" w:rsidP="00BB313D">
            <w:pPr>
              <w:widowControl w:val="0"/>
              <w:spacing w:line="240" w:lineRule="exact"/>
              <w:jc w:val="center"/>
              <w:rPr>
                <w:rFonts w:ascii="Times New Roman" w:hAnsi="Times New Roman"/>
                <w:sz w:val="16"/>
                <w:szCs w:val="16"/>
              </w:rPr>
            </w:pPr>
            <w:r w:rsidRPr="00C3179C">
              <w:rPr>
                <w:rFonts w:cs="Arial"/>
                <w:b/>
                <w:bCs/>
                <w:sz w:val="16"/>
                <w:szCs w:val="16"/>
                <w:lang w:val="es-ES_tradnl"/>
              </w:rPr>
              <w:t>Eventuales</w:t>
            </w:r>
          </w:p>
        </w:tc>
      </w:tr>
      <w:tr w:rsidR="00665097" w:rsidRPr="00C3179C" w:rsidTr="00D122F5">
        <w:trPr>
          <w:jc w:val="center"/>
        </w:trPr>
        <w:tc>
          <w:tcPr>
            <w:tcW w:w="1020" w:type="pct"/>
            <w:tcBorders>
              <w:top w:val="nil"/>
              <w:left w:val="nil"/>
              <w:bottom w:val="nil"/>
              <w:right w:val="single" w:sz="8" w:space="0" w:color="BFBFBF"/>
            </w:tcBorders>
            <w:shd w:val="clear" w:color="auto" w:fill="auto"/>
            <w:vAlign w:val="center"/>
            <w:hideMark/>
          </w:tcPr>
          <w:p w:rsidR="00665097" w:rsidRPr="00C3179C" w:rsidRDefault="00665097" w:rsidP="00BB313D">
            <w:pPr>
              <w:widowControl w:val="0"/>
              <w:spacing w:line="240" w:lineRule="exact"/>
              <w:ind w:left="157"/>
              <w:rPr>
                <w:rFonts w:ascii="Times New Roman" w:hAnsi="Times New Roman"/>
                <w:sz w:val="16"/>
                <w:szCs w:val="16"/>
              </w:rPr>
            </w:pPr>
            <w:r w:rsidRPr="00C3179C">
              <w:rPr>
                <w:rFonts w:cs="Arial"/>
                <w:sz w:val="16"/>
                <w:szCs w:val="16"/>
                <w:lang w:val="en-GB"/>
              </w:rPr>
              <w:t>S.COOP</w:t>
            </w:r>
          </w:p>
        </w:tc>
        <w:tc>
          <w:tcPr>
            <w:tcW w:w="995" w:type="pct"/>
            <w:tcBorders>
              <w:top w:val="nil"/>
              <w:left w:val="nil"/>
              <w:bottom w:val="nil"/>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D741B8">
              <w:rPr>
                <w:rFonts w:eastAsia="Times New Roman" w:cs="Arial"/>
                <w:bCs/>
                <w:sz w:val="16"/>
                <w:szCs w:val="16"/>
                <w:lang w:eastAsia="es-ES"/>
              </w:rPr>
              <w:t>32.071</w:t>
            </w:r>
          </w:p>
        </w:tc>
        <w:tc>
          <w:tcPr>
            <w:tcW w:w="995" w:type="pct"/>
            <w:tcBorders>
              <w:top w:val="nil"/>
              <w:left w:val="nil"/>
              <w:bottom w:val="nil"/>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Pr>
                <w:rFonts w:eastAsia="Times New Roman" w:cs="Arial"/>
                <w:bCs/>
                <w:sz w:val="16"/>
                <w:szCs w:val="16"/>
                <w:lang w:eastAsia="es-ES"/>
              </w:rPr>
              <w:t>15.251</w:t>
            </w:r>
          </w:p>
        </w:tc>
        <w:tc>
          <w:tcPr>
            <w:tcW w:w="995" w:type="pct"/>
            <w:tcBorders>
              <w:top w:val="nil"/>
              <w:left w:val="nil"/>
              <w:bottom w:val="nil"/>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D741B8">
              <w:rPr>
                <w:rFonts w:eastAsia="Times New Roman" w:cs="Arial"/>
                <w:bCs/>
                <w:sz w:val="16"/>
                <w:szCs w:val="16"/>
                <w:lang w:eastAsia="es-ES"/>
              </w:rPr>
              <w:t>6.965</w:t>
            </w:r>
          </w:p>
        </w:tc>
        <w:tc>
          <w:tcPr>
            <w:tcW w:w="995" w:type="pct"/>
            <w:tcBorders>
              <w:top w:val="nil"/>
              <w:left w:val="nil"/>
              <w:bottom w:val="nil"/>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D741B8">
              <w:rPr>
                <w:rFonts w:eastAsia="Times New Roman" w:cs="Arial"/>
                <w:bCs/>
                <w:sz w:val="16"/>
                <w:szCs w:val="16"/>
                <w:lang w:eastAsia="es-ES"/>
              </w:rPr>
              <w:t>8.286</w:t>
            </w:r>
          </w:p>
        </w:tc>
      </w:tr>
      <w:tr w:rsidR="00665097" w:rsidRPr="00C3179C" w:rsidTr="00D122F5">
        <w:trPr>
          <w:jc w:val="center"/>
        </w:trPr>
        <w:tc>
          <w:tcPr>
            <w:tcW w:w="1020" w:type="pct"/>
            <w:tcBorders>
              <w:top w:val="nil"/>
              <w:left w:val="nil"/>
              <w:bottom w:val="nil"/>
              <w:right w:val="single" w:sz="8" w:space="0" w:color="BFBFBF"/>
            </w:tcBorders>
            <w:shd w:val="clear" w:color="auto" w:fill="auto"/>
            <w:vAlign w:val="center"/>
            <w:hideMark/>
          </w:tcPr>
          <w:p w:rsidR="00665097" w:rsidRPr="00C3179C" w:rsidRDefault="00665097" w:rsidP="00BB313D">
            <w:pPr>
              <w:widowControl w:val="0"/>
              <w:spacing w:line="240" w:lineRule="exact"/>
              <w:ind w:left="157"/>
              <w:rPr>
                <w:rFonts w:ascii="Times New Roman" w:hAnsi="Times New Roman"/>
                <w:sz w:val="16"/>
                <w:szCs w:val="16"/>
              </w:rPr>
            </w:pPr>
            <w:proofErr w:type="spellStart"/>
            <w:r w:rsidRPr="00C3179C">
              <w:rPr>
                <w:rFonts w:cs="Arial"/>
                <w:sz w:val="16"/>
                <w:szCs w:val="16"/>
                <w:lang w:val="en-GB"/>
              </w:rPr>
              <w:t>S.A.Les</w:t>
            </w:r>
            <w:proofErr w:type="spellEnd"/>
          </w:p>
        </w:tc>
        <w:tc>
          <w:tcPr>
            <w:tcW w:w="995" w:type="pct"/>
            <w:tcBorders>
              <w:top w:val="nil"/>
              <w:left w:val="nil"/>
              <w:bottom w:val="nil"/>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5C5966">
              <w:rPr>
                <w:rFonts w:eastAsia="Times New Roman" w:cs="Arial"/>
                <w:bCs/>
                <w:sz w:val="16"/>
                <w:szCs w:val="16"/>
                <w:lang w:eastAsia="es-ES"/>
              </w:rPr>
              <w:t>1.712</w:t>
            </w:r>
          </w:p>
        </w:tc>
        <w:tc>
          <w:tcPr>
            <w:tcW w:w="995" w:type="pct"/>
            <w:tcBorders>
              <w:top w:val="nil"/>
              <w:left w:val="nil"/>
              <w:bottom w:val="nil"/>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Pr>
                <w:rFonts w:eastAsia="Times New Roman" w:cs="Arial"/>
                <w:bCs/>
                <w:sz w:val="16"/>
                <w:szCs w:val="16"/>
                <w:lang w:eastAsia="es-ES"/>
              </w:rPr>
              <w:t>1.465</w:t>
            </w:r>
          </w:p>
        </w:tc>
        <w:tc>
          <w:tcPr>
            <w:tcW w:w="995" w:type="pct"/>
            <w:tcBorders>
              <w:top w:val="nil"/>
              <w:left w:val="nil"/>
              <w:bottom w:val="nil"/>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5C5966">
              <w:rPr>
                <w:rFonts w:eastAsia="Times New Roman" w:cs="Arial"/>
                <w:sz w:val="16"/>
                <w:szCs w:val="16"/>
                <w:lang w:eastAsia="es-ES"/>
              </w:rPr>
              <w:t>1.016</w:t>
            </w:r>
          </w:p>
        </w:tc>
        <w:tc>
          <w:tcPr>
            <w:tcW w:w="995" w:type="pct"/>
            <w:tcBorders>
              <w:top w:val="nil"/>
              <w:left w:val="nil"/>
              <w:bottom w:val="nil"/>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5C5966">
              <w:rPr>
                <w:rFonts w:eastAsia="Times New Roman" w:cs="Arial"/>
                <w:sz w:val="16"/>
                <w:szCs w:val="16"/>
                <w:lang w:eastAsia="es-ES"/>
              </w:rPr>
              <w:t>449</w:t>
            </w:r>
          </w:p>
        </w:tc>
      </w:tr>
      <w:tr w:rsidR="00665097" w:rsidRPr="00C3179C" w:rsidTr="00D122F5">
        <w:trPr>
          <w:jc w:val="center"/>
        </w:trPr>
        <w:tc>
          <w:tcPr>
            <w:tcW w:w="1020" w:type="pct"/>
            <w:tcBorders>
              <w:top w:val="nil"/>
              <w:left w:val="nil"/>
              <w:bottom w:val="single" w:sz="8" w:space="0" w:color="BFBFBF"/>
              <w:right w:val="single" w:sz="8" w:space="0" w:color="BFBFBF"/>
            </w:tcBorders>
            <w:shd w:val="clear" w:color="auto" w:fill="auto"/>
            <w:vAlign w:val="center"/>
            <w:hideMark/>
          </w:tcPr>
          <w:p w:rsidR="00665097" w:rsidRPr="00C3179C" w:rsidRDefault="00665097" w:rsidP="00BB313D">
            <w:pPr>
              <w:widowControl w:val="0"/>
              <w:spacing w:line="240" w:lineRule="exact"/>
              <w:ind w:left="157"/>
              <w:rPr>
                <w:rFonts w:ascii="Times New Roman" w:hAnsi="Times New Roman"/>
                <w:sz w:val="16"/>
                <w:szCs w:val="16"/>
              </w:rPr>
            </w:pPr>
            <w:proofErr w:type="spellStart"/>
            <w:r w:rsidRPr="00C3179C">
              <w:rPr>
                <w:rFonts w:cs="Arial"/>
                <w:sz w:val="16"/>
                <w:szCs w:val="16"/>
                <w:lang w:val="es-ES_tradnl"/>
              </w:rPr>
              <w:t>S.L.Les</w:t>
            </w:r>
            <w:proofErr w:type="spellEnd"/>
          </w:p>
        </w:tc>
        <w:tc>
          <w:tcPr>
            <w:tcW w:w="995" w:type="pct"/>
            <w:tcBorders>
              <w:top w:val="nil"/>
              <w:left w:val="nil"/>
              <w:bottom w:val="single" w:sz="8" w:space="0" w:color="BFBFBF"/>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5C5966">
              <w:rPr>
                <w:rFonts w:eastAsia="Times New Roman" w:cs="Arial"/>
                <w:bCs/>
                <w:sz w:val="16"/>
                <w:szCs w:val="16"/>
                <w:lang w:eastAsia="es-ES"/>
              </w:rPr>
              <w:t>2.639</w:t>
            </w:r>
          </w:p>
        </w:tc>
        <w:tc>
          <w:tcPr>
            <w:tcW w:w="995" w:type="pct"/>
            <w:tcBorders>
              <w:top w:val="nil"/>
              <w:left w:val="nil"/>
              <w:bottom w:val="single" w:sz="8" w:space="0" w:color="BFBFBF"/>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Pr>
                <w:rFonts w:eastAsia="Times New Roman" w:cs="Arial"/>
                <w:bCs/>
                <w:sz w:val="16"/>
                <w:szCs w:val="16"/>
                <w:lang w:eastAsia="es-ES"/>
              </w:rPr>
              <w:t>1.443</w:t>
            </w:r>
          </w:p>
        </w:tc>
        <w:tc>
          <w:tcPr>
            <w:tcW w:w="995" w:type="pct"/>
            <w:tcBorders>
              <w:top w:val="nil"/>
              <w:left w:val="nil"/>
              <w:bottom w:val="single" w:sz="8" w:space="0" w:color="BFBFBF"/>
              <w:right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BF260D">
              <w:rPr>
                <w:rFonts w:eastAsia="Times New Roman" w:cs="Arial"/>
                <w:bCs/>
                <w:sz w:val="16"/>
                <w:szCs w:val="16"/>
                <w:lang w:eastAsia="es-ES"/>
              </w:rPr>
              <w:t>949</w:t>
            </w:r>
          </w:p>
        </w:tc>
        <w:tc>
          <w:tcPr>
            <w:tcW w:w="995" w:type="pct"/>
            <w:tcBorders>
              <w:top w:val="nil"/>
              <w:left w:val="nil"/>
              <w:bottom w:val="single" w:sz="8" w:space="0" w:color="BFBFBF"/>
            </w:tcBorders>
            <w:shd w:val="clear" w:color="auto" w:fill="auto"/>
            <w:vAlign w:val="center"/>
            <w:hideMark/>
          </w:tcPr>
          <w:p w:rsidR="00665097" w:rsidRPr="00C3179C" w:rsidRDefault="007000F9" w:rsidP="00BB313D">
            <w:pPr>
              <w:widowControl w:val="0"/>
              <w:spacing w:line="240" w:lineRule="exact"/>
              <w:ind w:right="170"/>
              <w:jc w:val="right"/>
              <w:rPr>
                <w:rFonts w:ascii="Times New Roman" w:hAnsi="Times New Roman"/>
                <w:sz w:val="16"/>
                <w:szCs w:val="16"/>
              </w:rPr>
            </w:pPr>
            <w:r w:rsidRPr="00BF260D">
              <w:rPr>
                <w:rFonts w:eastAsia="Times New Roman" w:cs="Arial"/>
                <w:sz w:val="16"/>
                <w:szCs w:val="16"/>
                <w:lang w:eastAsia="es-ES"/>
              </w:rPr>
              <w:t>494</w:t>
            </w:r>
          </w:p>
        </w:tc>
      </w:tr>
    </w:tbl>
    <w:p w:rsidR="00665097" w:rsidRDefault="00665097" w:rsidP="00BB313D">
      <w:pPr>
        <w:widowControl w:val="0"/>
        <w:rPr>
          <w:snapToGrid w:val="0"/>
          <w:lang w:val="es-ES_tradnl"/>
        </w:rPr>
      </w:pPr>
    </w:p>
    <w:p w:rsidR="001E7377" w:rsidRDefault="001E7377" w:rsidP="00BB313D">
      <w:pPr>
        <w:widowControl w:val="0"/>
        <w:rPr>
          <w:snapToGrid w:val="0"/>
          <w:lang w:val="es-ES_tradnl"/>
        </w:rPr>
      </w:pPr>
    </w:p>
    <w:p w:rsidR="00665097" w:rsidRPr="00A95E68" w:rsidRDefault="00DE1512" w:rsidP="00BB313D">
      <w:pPr>
        <w:pStyle w:val="Piedepgina"/>
        <w:widowControl w:val="0"/>
        <w:tabs>
          <w:tab w:val="clear" w:pos="4252"/>
          <w:tab w:val="clear" w:pos="8504"/>
        </w:tabs>
        <w:jc w:val="center"/>
        <w:rPr>
          <w:rFonts w:cs="Arial"/>
          <w:snapToGrid w:val="0"/>
          <w:color w:val="1F497D" w:themeColor="text2"/>
          <w:sz w:val="18"/>
          <w:szCs w:val="18"/>
          <w:lang w:val="es-ES_tradnl"/>
        </w:rPr>
      </w:pPr>
      <w:bookmarkStart w:id="71" w:name="_Toc391999653"/>
      <w:bookmarkStart w:id="72" w:name="_Toc450119994"/>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5176E4">
        <w:rPr>
          <w:rFonts w:cs="Arial"/>
          <w:b/>
          <w:snapToGrid w:val="0"/>
          <w:color w:val="1F497D" w:themeColor="text2"/>
          <w:sz w:val="18"/>
          <w:szCs w:val="18"/>
          <w:lang w:val="es-ES_tradnl"/>
        </w:rPr>
        <w:t>PESO RELATIVO DEL COLECTIVO SOCIETARIO (Porcentaje sobre el empleo total). 1996-</w:t>
      </w:r>
      <w:r w:rsidR="00665097" w:rsidRPr="007000F9">
        <w:rPr>
          <w:rFonts w:cs="Arial"/>
          <w:b/>
          <w:snapToGrid w:val="0"/>
          <w:color w:val="1F497D" w:themeColor="text2"/>
          <w:sz w:val="18"/>
          <w:szCs w:val="18"/>
          <w:lang w:val="es-ES_tradnl"/>
        </w:rPr>
        <w:t>201</w:t>
      </w:r>
      <w:bookmarkEnd w:id="71"/>
      <w:r w:rsidR="007000F9">
        <w:rPr>
          <w:rFonts w:cs="Arial"/>
          <w:b/>
          <w:snapToGrid w:val="0"/>
          <w:color w:val="1F497D" w:themeColor="text2"/>
          <w:sz w:val="18"/>
          <w:szCs w:val="18"/>
          <w:lang w:val="es-ES_tradnl"/>
        </w:rPr>
        <w:t>4</w:t>
      </w:r>
      <w:bookmarkEnd w:id="72"/>
    </w:p>
    <w:p w:rsidR="00665097" w:rsidRPr="00665ED6" w:rsidRDefault="00665097" w:rsidP="00BB313D">
      <w:pPr>
        <w:widowControl w:val="0"/>
        <w:rPr>
          <w:rFonts w:ascii="Tahoma" w:hAnsi="Tahoma" w:cs="Arial"/>
          <w:b/>
          <w:i/>
          <w:sz w:val="16"/>
          <w:szCs w:val="16"/>
          <w:highlight w:val="red"/>
        </w:rPr>
      </w:pPr>
      <w:r>
        <w:rPr>
          <w:rFonts w:ascii="Tahoma" w:hAnsi="Tahoma" w:cs="Arial"/>
          <w:b/>
          <w:i/>
          <w:noProof/>
          <w:sz w:val="16"/>
          <w:szCs w:val="16"/>
          <w:lang w:eastAsia="es-ES"/>
        </w:rPr>
        <w:drawing>
          <wp:anchor distT="0" distB="0" distL="114300" distR="114300" simplePos="0" relativeHeight="251720704" behindDoc="0" locked="0" layoutInCell="1" allowOverlap="1">
            <wp:simplePos x="0" y="0"/>
            <wp:positionH relativeFrom="column">
              <wp:posOffset>-365760</wp:posOffset>
            </wp:positionH>
            <wp:positionV relativeFrom="paragraph">
              <wp:posOffset>32385</wp:posOffset>
            </wp:positionV>
            <wp:extent cx="6257925" cy="2257425"/>
            <wp:effectExtent l="0" t="0" r="0" b="0"/>
            <wp:wrapNone/>
            <wp:docPr id="64" name="Objeto 4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665097" w:rsidRPr="00665ED6" w:rsidRDefault="00665097" w:rsidP="00BB313D">
      <w:pPr>
        <w:widowControl w:val="0"/>
        <w:rPr>
          <w:rFonts w:ascii="Tahoma" w:hAnsi="Tahoma" w:cs="Arial"/>
          <w:b/>
          <w:i/>
          <w:sz w:val="16"/>
          <w:szCs w:val="16"/>
          <w:highlight w:val="red"/>
        </w:rPr>
      </w:pPr>
    </w:p>
    <w:p w:rsidR="00665097" w:rsidRPr="00665ED6" w:rsidRDefault="00665097" w:rsidP="00BB313D">
      <w:pPr>
        <w:widowControl w:val="0"/>
        <w:rPr>
          <w:rFonts w:ascii="Tahoma" w:hAnsi="Tahoma" w:cs="Arial"/>
          <w:b/>
          <w:i/>
          <w:sz w:val="16"/>
          <w:szCs w:val="16"/>
          <w:highlight w:val="red"/>
        </w:rPr>
      </w:pPr>
    </w:p>
    <w:p w:rsidR="00665097" w:rsidRPr="00665ED6" w:rsidRDefault="00665097" w:rsidP="00BB313D">
      <w:pPr>
        <w:widowControl w:val="0"/>
        <w:rPr>
          <w:rFonts w:ascii="Tahoma" w:hAnsi="Tahoma" w:cs="Arial"/>
          <w:b/>
          <w:i/>
          <w:sz w:val="16"/>
          <w:szCs w:val="16"/>
          <w:highlight w:val="red"/>
        </w:rPr>
      </w:pPr>
    </w:p>
    <w:p w:rsidR="00665097" w:rsidRPr="00665ED6" w:rsidRDefault="00665097" w:rsidP="00BB313D">
      <w:pPr>
        <w:widowControl w:val="0"/>
        <w:rPr>
          <w:rFonts w:ascii="Tahoma" w:hAnsi="Tahoma" w:cs="Arial"/>
          <w:b/>
          <w:i/>
          <w:sz w:val="16"/>
          <w:szCs w:val="16"/>
          <w:highlight w:val="red"/>
        </w:rPr>
      </w:pPr>
    </w:p>
    <w:p w:rsidR="00665097" w:rsidRPr="00665ED6" w:rsidRDefault="00665097" w:rsidP="00BB313D">
      <w:pPr>
        <w:widowControl w:val="0"/>
        <w:rPr>
          <w:rFonts w:ascii="Tahoma" w:hAnsi="Tahoma" w:cs="Arial"/>
          <w:b/>
          <w:i/>
          <w:sz w:val="16"/>
          <w:szCs w:val="16"/>
          <w:highlight w:val="red"/>
        </w:rPr>
      </w:pPr>
    </w:p>
    <w:p w:rsidR="00665097" w:rsidRDefault="00665097" w:rsidP="00BB313D">
      <w:pPr>
        <w:widowControl w:val="0"/>
        <w:rPr>
          <w:rFonts w:ascii="Tahoma" w:hAnsi="Tahoma" w:cs="Arial"/>
          <w:b/>
          <w:i/>
          <w:sz w:val="16"/>
          <w:szCs w:val="16"/>
          <w:highlight w:val="red"/>
        </w:rPr>
      </w:pPr>
    </w:p>
    <w:p w:rsidR="00665097" w:rsidRDefault="00665097" w:rsidP="00BB313D">
      <w:pPr>
        <w:widowControl w:val="0"/>
        <w:rPr>
          <w:rFonts w:ascii="Tahoma" w:hAnsi="Tahoma" w:cs="Arial"/>
          <w:b/>
          <w:i/>
          <w:sz w:val="16"/>
          <w:szCs w:val="16"/>
          <w:highlight w:val="red"/>
        </w:rPr>
      </w:pPr>
    </w:p>
    <w:p w:rsidR="00665097" w:rsidRPr="00665ED6" w:rsidRDefault="00665097" w:rsidP="00BB313D">
      <w:pPr>
        <w:widowControl w:val="0"/>
        <w:rPr>
          <w:rFonts w:ascii="Tahoma" w:hAnsi="Tahoma" w:cs="Arial"/>
          <w:b/>
          <w:i/>
          <w:sz w:val="16"/>
          <w:szCs w:val="16"/>
          <w:highlight w:val="red"/>
        </w:rPr>
      </w:pPr>
    </w:p>
    <w:p w:rsidR="00665097" w:rsidRPr="00665ED6" w:rsidRDefault="00665097" w:rsidP="00BB313D">
      <w:pPr>
        <w:pStyle w:val="Ttulo5"/>
        <w:keepNext w:val="0"/>
        <w:spacing w:line="312" w:lineRule="auto"/>
        <w:ind w:left="0"/>
        <w:rPr>
          <w:rFonts w:ascii="Tahoma" w:hAnsi="Tahoma" w:cs="Arial"/>
          <w:i/>
          <w:sz w:val="16"/>
          <w:szCs w:val="16"/>
          <w:highlight w:val="red"/>
          <w:lang w:val="es-ES_tradnl"/>
        </w:rPr>
      </w:pPr>
    </w:p>
    <w:p w:rsidR="00665097" w:rsidRDefault="00665097" w:rsidP="00BB313D">
      <w:pPr>
        <w:widowControl w:val="0"/>
        <w:rPr>
          <w:rFonts w:cs="Arial"/>
        </w:rPr>
      </w:pPr>
    </w:p>
    <w:p w:rsidR="00665097" w:rsidRDefault="00665097" w:rsidP="00BB313D">
      <w:pPr>
        <w:widowControl w:val="0"/>
        <w:rPr>
          <w:rFonts w:cs="Arial"/>
        </w:rPr>
      </w:pPr>
    </w:p>
    <w:p w:rsidR="00A33F7A" w:rsidRDefault="00A33F7A">
      <w:pPr>
        <w:spacing w:after="200" w:line="276" w:lineRule="auto"/>
        <w:jc w:val="left"/>
        <w:rPr>
          <w:rFonts w:cs="Arial"/>
          <w:b/>
          <w:color w:val="1F497D" w:themeColor="text2"/>
          <w:sz w:val="18"/>
          <w:szCs w:val="18"/>
        </w:rPr>
      </w:pPr>
      <w:r>
        <w:rPr>
          <w:rFonts w:cs="Arial"/>
          <w:b/>
          <w:color w:val="1F497D" w:themeColor="text2"/>
          <w:sz w:val="18"/>
          <w:szCs w:val="18"/>
        </w:rPr>
        <w:br w:type="page"/>
      </w:r>
    </w:p>
    <w:p w:rsidR="00665097" w:rsidRPr="005176E4" w:rsidRDefault="00DE1512" w:rsidP="00BB313D">
      <w:pPr>
        <w:pStyle w:val="Textoindependiente2"/>
        <w:widowControl w:val="0"/>
        <w:spacing w:line="240" w:lineRule="auto"/>
        <w:jc w:val="center"/>
        <w:rPr>
          <w:rFonts w:cs="Arial"/>
          <w:b/>
          <w:color w:val="1F497D" w:themeColor="text2"/>
          <w:sz w:val="18"/>
          <w:szCs w:val="18"/>
        </w:rPr>
      </w:pPr>
      <w:bookmarkStart w:id="73" w:name="_Toc391999591"/>
      <w:bookmarkStart w:id="74" w:name="_Toc450119474"/>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19</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5176E4">
        <w:rPr>
          <w:rFonts w:cs="Arial"/>
          <w:b/>
          <w:color w:val="1F497D" w:themeColor="text2"/>
          <w:sz w:val="18"/>
          <w:szCs w:val="18"/>
        </w:rPr>
        <w:t>DISTRIBUCIÓN DEL EMPLEO SEGÚN RELACIÓN CONTRACTUAL POR SECTOR DE ACT</w:t>
      </w:r>
      <w:r w:rsidR="00D05C2E">
        <w:rPr>
          <w:rFonts w:cs="Arial"/>
          <w:b/>
          <w:color w:val="1F497D" w:themeColor="text2"/>
          <w:sz w:val="18"/>
          <w:szCs w:val="18"/>
        </w:rPr>
        <w:t>IVIDAD DEL ESTABLECIMIENTO. 2014</w:t>
      </w:r>
      <w:r w:rsidR="00665097" w:rsidRPr="005176E4">
        <w:rPr>
          <w:rFonts w:cs="Arial"/>
          <w:b/>
          <w:color w:val="1F497D" w:themeColor="text2"/>
          <w:sz w:val="18"/>
          <w:szCs w:val="18"/>
        </w:rPr>
        <w:t xml:space="preserve"> (%</w:t>
      </w:r>
      <w:r w:rsidR="00476C04">
        <w:rPr>
          <w:rFonts w:cs="Arial"/>
          <w:b/>
          <w:color w:val="1F497D" w:themeColor="text2"/>
          <w:sz w:val="18"/>
          <w:szCs w:val="18"/>
        </w:rPr>
        <w:t xml:space="preserve"> </w:t>
      </w:r>
      <w:r w:rsidR="00665097" w:rsidRPr="005176E4">
        <w:rPr>
          <w:rFonts w:cs="Arial"/>
          <w:b/>
          <w:color w:val="1F497D" w:themeColor="text2"/>
          <w:sz w:val="18"/>
          <w:szCs w:val="18"/>
        </w:rPr>
        <w:t>h</w:t>
      </w:r>
      <w:r w:rsidR="0035503D">
        <w:rPr>
          <w:rFonts w:cs="Arial"/>
          <w:b/>
          <w:color w:val="1F497D" w:themeColor="text2"/>
          <w:sz w:val="18"/>
          <w:szCs w:val="18"/>
        </w:rPr>
        <w:t>orizontales</w:t>
      </w:r>
      <w:r w:rsidR="00665097" w:rsidRPr="005176E4">
        <w:rPr>
          <w:rFonts w:cs="Arial"/>
          <w:b/>
          <w:color w:val="1F497D" w:themeColor="text2"/>
          <w:sz w:val="18"/>
          <w:szCs w:val="18"/>
        </w:rPr>
        <w:t>)</w:t>
      </w:r>
      <w:bookmarkEnd w:id="73"/>
      <w:bookmarkEnd w:id="74"/>
    </w:p>
    <w:tbl>
      <w:tblPr>
        <w:tblW w:w="9940" w:type="dxa"/>
        <w:jc w:val="center"/>
        <w:tblLook w:val="04A0" w:firstRow="1" w:lastRow="0" w:firstColumn="1" w:lastColumn="0" w:noHBand="0" w:noVBand="1"/>
      </w:tblPr>
      <w:tblGrid>
        <w:gridCol w:w="1844"/>
        <w:gridCol w:w="1622"/>
        <w:gridCol w:w="1622"/>
        <w:gridCol w:w="1614"/>
        <w:gridCol w:w="1622"/>
        <w:gridCol w:w="1616"/>
      </w:tblGrid>
      <w:tr w:rsidR="00665097" w:rsidRPr="002F215F" w:rsidTr="00D122F5">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rPr>
                <w:rFonts w:cs="Arial"/>
                <w:bCs/>
                <w:sz w:val="16"/>
                <w:szCs w:val="16"/>
              </w:rPr>
            </w:pPr>
            <w:r w:rsidRPr="002F215F">
              <w:rPr>
                <w:rFonts w:cs="Arial"/>
                <w:bCs/>
                <w:sz w:val="16"/>
                <w:szCs w:val="16"/>
                <w:lang w:val="es-ES_tradnl"/>
              </w:rPr>
              <w:t> </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TOTAL</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Socios</w:t>
            </w:r>
          </w:p>
        </w:tc>
        <w:tc>
          <w:tcPr>
            <w:tcW w:w="8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Asalariados</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Fijos</w:t>
            </w:r>
          </w:p>
        </w:tc>
        <w:tc>
          <w:tcPr>
            <w:tcW w:w="81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F215F" w:rsidRDefault="00665097" w:rsidP="00BB313D">
            <w:pPr>
              <w:widowControl w:val="0"/>
              <w:spacing w:line="240" w:lineRule="exact"/>
              <w:jc w:val="center"/>
              <w:rPr>
                <w:rFonts w:cs="Arial"/>
                <w:b/>
                <w:bCs/>
                <w:sz w:val="16"/>
                <w:szCs w:val="16"/>
              </w:rPr>
            </w:pPr>
            <w:r w:rsidRPr="002F215F">
              <w:rPr>
                <w:rFonts w:cs="Arial"/>
                <w:b/>
                <w:bCs/>
                <w:sz w:val="16"/>
                <w:szCs w:val="16"/>
                <w:lang w:val="es-ES_tradnl"/>
              </w:rPr>
              <w:t>Eventuales</w:t>
            </w:r>
          </w:p>
        </w:tc>
      </w:tr>
      <w:tr w:rsidR="00C21DBC" w:rsidRPr="002F215F" w:rsidTr="00D122F5">
        <w:trPr>
          <w:jc w:val="center"/>
        </w:trPr>
        <w:tc>
          <w:tcPr>
            <w:tcW w:w="927" w:type="pct"/>
            <w:tcBorders>
              <w:top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rPr>
                <w:rFonts w:cs="Arial"/>
                <w:sz w:val="16"/>
                <w:szCs w:val="16"/>
              </w:rPr>
            </w:pPr>
            <w:r w:rsidRPr="0023076A">
              <w:rPr>
                <w:rFonts w:cs="Arial"/>
                <w:sz w:val="16"/>
                <w:szCs w:val="16"/>
                <w:lang w:val="es-ES_tradnl"/>
              </w:rPr>
              <w:t>Primario</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ind w:right="170"/>
              <w:jc w:val="right"/>
              <w:rPr>
                <w:rFonts w:cs="Arial"/>
                <w:sz w:val="16"/>
                <w:szCs w:val="16"/>
              </w:rPr>
            </w:pPr>
            <w:r w:rsidRPr="0023076A">
              <w:rPr>
                <w:rFonts w:cs="Arial"/>
                <w:sz w:val="16"/>
                <w:szCs w:val="16"/>
                <w:lang w:val="es-ES_tradnl"/>
              </w:rPr>
              <w:t>100</w:t>
            </w:r>
            <w:r w:rsidR="007F441F">
              <w:rPr>
                <w:rFonts w:cs="Arial"/>
                <w:sz w:val="16"/>
                <w:szCs w:val="16"/>
                <w:lang w:val="es-ES_tradnl"/>
              </w:rPr>
              <w:t>,0</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C21DBC" w:rsidRPr="001F264B" w:rsidRDefault="00D05C2E" w:rsidP="00BB313D">
            <w:pPr>
              <w:widowControl w:val="0"/>
              <w:spacing w:line="240" w:lineRule="exact"/>
              <w:ind w:right="170"/>
              <w:jc w:val="right"/>
              <w:rPr>
                <w:rFonts w:cs="Arial"/>
                <w:sz w:val="16"/>
                <w:szCs w:val="16"/>
              </w:rPr>
            </w:pPr>
            <w:r>
              <w:rPr>
                <w:rFonts w:cs="Arial"/>
                <w:sz w:val="16"/>
                <w:szCs w:val="16"/>
              </w:rPr>
              <w:t>48,8</w:t>
            </w:r>
          </w:p>
        </w:tc>
        <w:tc>
          <w:tcPr>
            <w:tcW w:w="81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C21DBC" w:rsidRPr="0023076A" w:rsidRDefault="00382524" w:rsidP="00BB313D">
            <w:pPr>
              <w:widowControl w:val="0"/>
              <w:spacing w:line="240" w:lineRule="exact"/>
              <w:ind w:right="170"/>
              <w:jc w:val="right"/>
              <w:rPr>
                <w:rFonts w:cs="Arial"/>
                <w:sz w:val="16"/>
                <w:szCs w:val="16"/>
              </w:rPr>
            </w:pPr>
            <w:r>
              <w:rPr>
                <w:rFonts w:cs="Arial"/>
                <w:sz w:val="16"/>
                <w:szCs w:val="16"/>
              </w:rPr>
              <w:t>51,</w:t>
            </w:r>
            <w:r w:rsidR="00D05C2E">
              <w:rPr>
                <w:rFonts w:cs="Arial"/>
                <w:sz w:val="16"/>
                <w:szCs w:val="16"/>
              </w:rPr>
              <w:t>2</w:t>
            </w:r>
          </w:p>
        </w:tc>
        <w:tc>
          <w:tcPr>
            <w:tcW w:w="81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18,1</w:t>
            </w:r>
          </w:p>
        </w:tc>
        <w:tc>
          <w:tcPr>
            <w:tcW w:w="814" w:type="pct"/>
            <w:tcBorders>
              <w:top w:val="single" w:sz="4" w:space="0" w:color="BFBFBF" w:themeColor="background1" w:themeShade="BF"/>
              <w:left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33,</w:t>
            </w:r>
            <w:r w:rsidR="00D05C2E">
              <w:rPr>
                <w:rFonts w:cs="Arial"/>
                <w:sz w:val="16"/>
                <w:szCs w:val="16"/>
              </w:rPr>
              <w:t>1</w:t>
            </w:r>
          </w:p>
        </w:tc>
      </w:tr>
      <w:tr w:rsidR="00C21DBC" w:rsidRPr="002F215F" w:rsidTr="00D122F5">
        <w:trPr>
          <w:jc w:val="center"/>
        </w:trPr>
        <w:tc>
          <w:tcPr>
            <w:tcW w:w="927" w:type="pct"/>
            <w:tcBorders>
              <w:right w:val="single" w:sz="4" w:space="0" w:color="BFBFBF" w:themeColor="background1" w:themeShade="BF"/>
            </w:tcBorders>
            <w:vAlign w:val="bottom"/>
          </w:tcPr>
          <w:p w:rsidR="00C21DBC" w:rsidRPr="0023076A" w:rsidRDefault="00C21DBC" w:rsidP="00BB313D">
            <w:pPr>
              <w:widowControl w:val="0"/>
              <w:spacing w:line="240" w:lineRule="exact"/>
              <w:rPr>
                <w:rFonts w:cs="Arial"/>
                <w:sz w:val="16"/>
                <w:szCs w:val="16"/>
              </w:rPr>
            </w:pPr>
            <w:r w:rsidRPr="0023076A">
              <w:rPr>
                <w:rFonts w:cs="Arial"/>
                <w:sz w:val="16"/>
                <w:szCs w:val="16"/>
                <w:lang w:val="es-ES_tradnl"/>
              </w:rPr>
              <w:t>Industria</w:t>
            </w:r>
          </w:p>
        </w:tc>
        <w:tc>
          <w:tcPr>
            <w:tcW w:w="816" w:type="pct"/>
            <w:tcBorders>
              <w:left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ind w:right="170"/>
              <w:jc w:val="right"/>
              <w:rPr>
                <w:rFonts w:cs="Arial"/>
                <w:sz w:val="16"/>
                <w:szCs w:val="16"/>
              </w:rPr>
            </w:pPr>
            <w:r w:rsidRPr="0023076A">
              <w:rPr>
                <w:rFonts w:cs="Arial"/>
                <w:sz w:val="16"/>
                <w:szCs w:val="16"/>
                <w:lang w:val="es-ES_tradnl"/>
              </w:rPr>
              <w:t>100</w:t>
            </w:r>
            <w:r w:rsidR="007F441F">
              <w:rPr>
                <w:rFonts w:cs="Arial"/>
                <w:sz w:val="16"/>
                <w:szCs w:val="16"/>
                <w:lang w:val="es-ES_tradnl"/>
              </w:rPr>
              <w:t>,0</w:t>
            </w:r>
          </w:p>
        </w:tc>
        <w:tc>
          <w:tcPr>
            <w:tcW w:w="816" w:type="pct"/>
            <w:tcBorders>
              <w:left w:val="single" w:sz="4" w:space="0" w:color="BFBFBF" w:themeColor="background1" w:themeShade="BF"/>
              <w:right w:val="single" w:sz="4" w:space="0" w:color="BFBFBF" w:themeColor="background1" w:themeShade="BF"/>
            </w:tcBorders>
            <w:vAlign w:val="bottom"/>
          </w:tcPr>
          <w:p w:rsidR="00C21DBC" w:rsidRPr="001F264B" w:rsidRDefault="00C21DBC" w:rsidP="00BB313D">
            <w:pPr>
              <w:widowControl w:val="0"/>
              <w:spacing w:line="240" w:lineRule="exact"/>
              <w:ind w:right="170"/>
              <w:jc w:val="right"/>
              <w:rPr>
                <w:rFonts w:cs="Arial"/>
                <w:sz w:val="16"/>
                <w:szCs w:val="16"/>
              </w:rPr>
            </w:pPr>
            <w:r w:rsidRPr="001F264B">
              <w:rPr>
                <w:rFonts w:cs="Arial"/>
                <w:sz w:val="16"/>
                <w:szCs w:val="16"/>
              </w:rPr>
              <w:t>73,</w:t>
            </w:r>
            <w:r>
              <w:rPr>
                <w:rFonts w:cs="Arial"/>
                <w:sz w:val="16"/>
                <w:szCs w:val="16"/>
              </w:rPr>
              <w:t>1</w:t>
            </w:r>
          </w:p>
        </w:tc>
        <w:tc>
          <w:tcPr>
            <w:tcW w:w="812" w:type="pct"/>
            <w:tcBorders>
              <w:left w:val="single" w:sz="4" w:space="0" w:color="BFBFBF" w:themeColor="background1" w:themeShade="BF"/>
              <w:right w:val="single" w:sz="4" w:space="0" w:color="BFBFBF" w:themeColor="background1" w:themeShade="BF"/>
            </w:tcBorders>
            <w:vAlign w:val="bottom"/>
          </w:tcPr>
          <w:p w:rsidR="00C21DBC" w:rsidRPr="0023076A" w:rsidRDefault="00D05C2E" w:rsidP="00BB313D">
            <w:pPr>
              <w:widowControl w:val="0"/>
              <w:spacing w:line="240" w:lineRule="exact"/>
              <w:ind w:right="170"/>
              <w:jc w:val="right"/>
              <w:rPr>
                <w:rFonts w:cs="Arial"/>
                <w:sz w:val="16"/>
                <w:szCs w:val="16"/>
              </w:rPr>
            </w:pPr>
            <w:r>
              <w:rPr>
                <w:rFonts w:cs="Arial"/>
                <w:sz w:val="16"/>
                <w:szCs w:val="16"/>
              </w:rPr>
              <w:t>26,9</w:t>
            </w:r>
          </w:p>
        </w:tc>
        <w:tc>
          <w:tcPr>
            <w:tcW w:w="816" w:type="pct"/>
            <w:tcBorders>
              <w:left w:val="single" w:sz="4" w:space="0" w:color="BFBFBF" w:themeColor="background1" w:themeShade="BF"/>
              <w:right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13,9</w:t>
            </w:r>
          </w:p>
        </w:tc>
        <w:tc>
          <w:tcPr>
            <w:tcW w:w="814" w:type="pct"/>
            <w:tcBorders>
              <w:left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13,0</w:t>
            </w:r>
          </w:p>
        </w:tc>
      </w:tr>
      <w:tr w:rsidR="00C21DBC" w:rsidRPr="002F215F" w:rsidTr="00D122F5">
        <w:trPr>
          <w:jc w:val="center"/>
        </w:trPr>
        <w:tc>
          <w:tcPr>
            <w:tcW w:w="927" w:type="pct"/>
            <w:tcBorders>
              <w:right w:val="single" w:sz="4" w:space="0" w:color="BFBFBF" w:themeColor="background1" w:themeShade="BF"/>
            </w:tcBorders>
            <w:vAlign w:val="bottom"/>
          </w:tcPr>
          <w:p w:rsidR="00C21DBC" w:rsidRPr="0023076A" w:rsidRDefault="00C21DBC" w:rsidP="00BB313D">
            <w:pPr>
              <w:widowControl w:val="0"/>
              <w:spacing w:line="240" w:lineRule="exact"/>
              <w:rPr>
                <w:rFonts w:cs="Arial"/>
                <w:sz w:val="16"/>
                <w:szCs w:val="16"/>
              </w:rPr>
            </w:pPr>
            <w:r w:rsidRPr="0023076A">
              <w:rPr>
                <w:rFonts w:cs="Arial"/>
                <w:sz w:val="16"/>
                <w:szCs w:val="16"/>
                <w:lang w:val="es-ES_tradnl"/>
              </w:rPr>
              <w:t>Construcción</w:t>
            </w:r>
          </w:p>
        </w:tc>
        <w:tc>
          <w:tcPr>
            <w:tcW w:w="816" w:type="pct"/>
            <w:tcBorders>
              <w:left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ind w:right="170"/>
              <w:jc w:val="right"/>
              <w:rPr>
                <w:rFonts w:cs="Arial"/>
                <w:sz w:val="16"/>
                <w:szCs w:val="16"/>
              </w:rPr>
            </w:pPr>
            <w:r w:rsidRPr="0023076A">
              <w:rPr>
                <w:rFonts w:cs="Arial"/>
                <w:sz w:val="16"/>
                <w:szCs w:val="16"/>
                <w:lang w:val="es-ES_tradnl"/>
              </w:rPr>
              <w:t>100</w:t>
            </w:r>
            <w:r w:rsidR="007F441F">
              <w:rPr>
                <w:rFonts w:cs="Arial"/>
                <w:sz w:val="16"/>
                <w:szCs w:val="16"/>
                <w:lang w:val="es-ES_tradnl"/>
              </w:rPr>
              <w:t>,0</w:t>
            </w:r>
          </w:p>
        </w:tc>
        <w:tc>
          <w:tcPr>
            <w:tcW w:w="816" w:type="pct"/>
            <w:tcBorders>
              <w:left w:val="single" w:sz="4" w:space="0" w:color="BFBFBF" w:themeColor="background1" w:themeShade="BF"/>
              <w:right w:val="single" w:sz="4" w:space="0" w:color="BFBFBF" w:themeColor="background1" w:themeShade="BF"/>
            </w:tcBorders>
            <w:vAlign w:val="bottom"/>
          </w:tcPr>
          <w:p w:rsidR="00C21DBC" w:rsidRPr="001F264B" w:rsidRDefault="00C21DBC" w:rsidP="00BB313D">
            <w:pPr>
              <w:widowControl w:val="0"/>
              <w:spacing w:line="240" w:lineRule="exact"/>
              <w:ind w:right="170"/>
              <w:jc w:val="right"/>
              <w:rPr>
                <w:rFonts w:cs="Arial"/>
                <w:sz w:val="16"/>
                <w:szCs w:val="16"/>
              </w:rPr>
            </w:pPr>
            <w:r w:rsidRPr="001F264B">
              <w:rPr>
                <w:rFonts w:cs="Arial"/>
                <w:sz w:val="16"/>
                <w:szCs w:val="16"/>
              </w:rPr>
              <w:t>72,</w:t>
            </w:r>
            <w:r>
              <w:rPr>
                <w:rFonts w:cs="Arial"/>
                <w:sz w:val="16"/>
                <w:szCs w:val="16"/>
              </w:rPr>
              <w:t>6</w:t>
            </w:r>
          </w:p>
        </w:tc>
        <w:tc>
          <w:tcPr>
            <w:tcW w:w="812" w:type="pct"/>
            <w:tcBorders>
              <w:left w:val="single" w:sz="4" w:space="0" w:color="BFBFBF" w:themeColor="background1" w:themeShade="BF"/>
              <w:right w:val="single" w:sz="4" w:space="0" w:color="BFBFBF" w:themeColor="background1" w:themeShade="BF"/>
            </w:tcBorders>
            <w:vAlign w:val="bottom"/>
          </w:tcPr>
          <w:p w:rsidR="00C21DBC" w:rsidRPr="0023076A" w:rsidRDefault="00D05C2E" w:rsidP="00BB313D">
            <w:pPr>
              <w:widowControl w:val="0"/>
              <w:spacing w:line="240" w:lineRule="exact"/>
              <w:ind w:right="170"/>
              <w:jc w:val="right"/>
              <w:rPr>
                <w:rFonts w:cs="Arial"/>
                <w:sz w:val="16"/>
                <w:szCs w:val="16"/>
              </w:rPr>
            </w:pPr>
            <w:r>
              <w:rPr>
                <w:rFonts w:cs="Arial"/>
                <w:sz w:val="16"/>
                <w:szCs w:val="16"/>
              </w:rPr>
              <w:t>27,4</w:t>
            </w:r>
          </w:p>
        </w:tc>
        <w:tc>
          <w:tcPr>
            <w:tcW w:w="816" w:type="pct"/>
            <w:tcBorders>
              <w:left w:val="single" w:sz="4" w:space="0" w:color="BFBFBF" w:themeColor="background1" w:themeShade="BF"/>
              <w:right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11,9</w:t>
            </w:r>
          </w:p>
        </w:tc>
        <w:tc>
          <w:tcPr>
            <w:tcW w:w="814" w:type="pct"/>
            <w:tcBorders>
              <w:left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15,5</w:t>
            </w:r>
          </w:p>
        </w:tc>
      </w:tr>
      <w:tr w:rsidR="00C21DBC" w:rsidRPr="002F215F" w:rsidTr="00D122F5">
        <w:trPr>
          <w:jc w:val="center"/>
        </w:trPr>
        <w:tc>
          <w:tcPr>
            <w:tcW w:w="927" w:type="pct"/>
            <w:tcBorders>
              <w:bottom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rPr>
                <w:rFonts w:cs="Arial"/>
                <w:sz w:val="16"/>
                <w:szCs w:val="16"/>
              </w:rPr>
            </w:pPr>
            <w:r w:rsidRPr="0023076A">
              <w:rPr>
                <w:rFonts w:cs="Arial"/>
                <w:sz w:val="16"/>
                <w:szCs w:val="16"/>
                <w:lang w:val="es-ES_tradnl"/>
              </w:rPr>
              <w:t>Servicios</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ind w:right="170"/>
              <w:jc w:val="right"/>
              <w:rPr>
                <w:rFonts w:cs="Arial"/>
                <w:sz w:val="16"/>
                <w:szCs w:val="16"/>
              </w:rPr>
            </w:pPr>
            <w:r w:rsidRPr="0023076A">
              <w:rPr>
                <w:rFonts w:cs="Arial"/>
                <w:sz w:val="16"/>
                <w:szCs w:val="16"/>
                <w:lang w:val="es-ES_tradnl"/>
              </w:rPr>
              <w:t>100</w:t>
            </w:r>
            <w:r w:rsidR="007F441F">
              <w:rPr>
                <w:rFonts w:cs="Arial"/>
                <w:sz w:val="16"/>
                <w:szCs w:val="16"/>
                <w:lang w:val="es-ES_tradnl"/>
              </w:rPr>
              <w:t>,0</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1F264B" w:rsidRDefault="00C21DBC" w:rsidP="00BB313D">
            <w:pPr>
              <w:widowControl w:val="0"/>
              <w:spacing w:line="240" w:lineRule="exact"/>
              <w:ind w:right="170"/>
              <w:jc w:val="right"/>
              <w:rPr>
                <w:rFonts w:cs="Arial"/>
                <w:sz w:val="16"/>
                <w:szCs w:val="16"/>
              </w:rPr>
            </w:pPr>
            <w:r w:rsidRPr="001F264B">
              <w:rPr>
                <w:rFonts w:cs="Arial"/>
                <w:sz w:val="16"/>
                <w:szCs w:val="16"/>
              </w:rPr>
              <w:t>61,3</w:t>
            </w:r>
          </w:p>
        </w:tc>
        <w:tc>
          <w:tcPr>
            <w:tcW w:w="81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23076A" w:rsidRDefault="00382524" w:rsidP="00BB313D">
            <w:pPr>
              <w:widowControl w:val="0"/>
              <w:spacing w:line="240" w:lineRule="exact"/>
              <w:ind w:right="170"/>
              <w:jc w:val="right"/>
              <w:rPr>
                <w:rFonts w:cs="Arial"/>
                <w:sz w:val="16"/>
                <w:szCs w:val="16"/>
              </w:rPr>
            </w:pPr>
            <w:r>
              <w:rPr>
                <w:rFonts w:cs="Arial"/>
                <w:sz w:val="16"/>
                <w:szCs w:val="16"/>
              </w:rPr>
              <w:t>38,7</w:t>
            </w:r>
          </w:p>
        </w:tc>
        <w:tc>
          <w:tcPr>
            <w:tcW w:w="816"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18,6</w:t>
            </w:r>
          </w:p>
        </w:tc>
        <w:tc>
          <w:tcPr>
            <w:tcW w:w="814" w:type="pct"/>
            <w:tcBorders>
              <w:left w:val="single" w:sz="4" w:space="0" w:color="BFBFBF" w:themeColor="background1" w:themeShade="BF"/>
              <w:bottom w:val="single" w:sz="4" w:space="0" w:color="BFBFBF" w:themeColor="background1" w:themeShade="BF"/>
            </w:tcBorders>
            <w:vAlign w:val="bottom"/>
          </w:tcPr>
          <w:p w:rsidR="00C21DBC" w:rsidRPr="00C21DBC" w:rsidRDefault="00C21DBC" w:rsidP="00BB313D">
            <w:pPr>
              <w:widowControl w:val="0"/>
              <w:spacing w:line="240" w:lineRule="exact"/>
              <w:ind w:right="170"/>
              <w:jc w:val="right"/>
              <w:rPr>
                <w:rFonts w:cs="Arial"/>
                <w:sz w:val="16"/>
                <w:szCs w:val="16"/>
              </w:rPr>
            </w:pPr>
            <w:r w:rsidRPr="00C21DBC">
              <w:rPr>
                <w:rFonts w:cs="Arial"/>
                <w:sz w:val="16"/>
                <w:szCs w:val="16"/>
              </w:rPr>
              <w:t>20,1</w:t>
            </w:r>
          </w:p>
        </w:tc>
      </w:tr>
      <w:tr w:rsidR="00C21DBC" w:rsidRPr="002F215F" w:rsidTr="00D122F5">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rPr>
                <w:rFonts w:cs="Arial"/>
                <w:b/>
                <w:bCs/>
                <w:sz w:val="16"/>
                <w:szCs w:val="16"/>
              </w:rPr>
            </w:pPr>
            <w:r w:rsidRPr="0023076A">
              <w:rPr>
                <w:rFonts w:cs="Arial"/>
                <w:b/>
                <w:bCs/>
                <w:sz w:val="16"/>
                <w:szCs w:val="16"/>
                <w:lang w:val="es-ES_tradnl"/>
              </w:rPr>
              <w:t>TOTAL</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23076A" w:rsidRDefault="00C21DBC" w:rsidP="00BB313D">
            <w:pPr>
              <w:widowControl w:val="0"/>
              <w:spacing w:line="240" w:lineRule="exact"/>
              <w:ind w:right="170"/>
              <w:jc w:val="right"/>
              <w:rPr>
                <w:rFonts w:cs="Arial"/>
                <w:b/>
                <w:bCs/>
                <w:sz w:val="16"/>
                <w:szCs w:val="16"/>
              </w:rPr>
            </w:pPr>
            <w:r w:rsidRPr="0023076A">
              <w:rPr>
                <w:rFonts w:cs="Arial"/>
                <w:b/>
                <w:bCs/>
                <w:sz w:val="16"/>
                <w:szCs w:val="16"/>
                <w:lang w:val="es-ES_tradnl"/>
              </w:rPr>
              <w:t>100</w:t>
            </w:r>
            <w:r w:rsidR="007F441F">
              <w:rPr>
                <w:rFonts w:cs="Arial"/>
                <w:b/>
                <w:bCs/>
                <w:sz w:val="16"/>
                <w:szCs w:val="16"/>
                <w:lang w:val="es-ES_tradnl"/>
              </w:rPr>
              <w:t>,0</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1F264B" w:rsidRDefault="00C21DBC" w:rsidP="00BB313D">
            <w:pPr>
              <w:widowControl w:val="0"/>
              <w:spacing w:line="240" w:lineRule="exact"/>
              <w:ind w:right="170"/>
              <w:jc w:val="right"/>
              <w:rPr>
                <w:rFonts w:cs="Arial"/>
                <w:sz w:val="16"/>
                <w:szCs w:val="16"/>
              </w:rPr>
            </w:pPr>
            <w:r w:rsidRPr="001F264B">
              <w:rPr>
                <w:rFonts w:cs="Arial"/>
                <w:b/>
                <w:bCs/>
                <w:sz w:val="16"/>
                <w:szCs w:val="16"/>
              </w:rPr>
              <w:t>66,7</w:t>
            </w:r>
          </w:p>
        </w:tc>
        <w:tc>
          <w:tcPr>
            <w:tcW w:w="8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EF4841" w:rsidRDefault="00382524" w:rsidP="00BB313D">
            <w:pPr>
              <w:widowControl w:val="0"/>
              <w:spacing w:line="240" w:lineRule="exact"/>
              <w:ind w:right="170"/>
              <w:jc w:val="right"/>
              <w:rPr>
                <w:rFonts w:cs="Arial"/>
                <w:b/>
                <w:bCs/>
                <w:sz w:val="16"/>
                <w:szCs w:val="16"/>
              </w:rPr>
            </w:pPr>
            <w:r>
              <w:rPr>
                <w:rFonts w:cs="Arial"/>
                <w:b/>
                <w:bCs/>
                <w:sz w:val="16"/>
                <w:szCs w:val="16"/>
              </w:rPr>
              <w:t>33,3</w:t>
            </w:r>
          </w:p>
        </w:tc>
        <w:tc>
          <w:tcPr>
            <w:tcW w:w="8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C21DBC" w:rsidRPr="00382524" w:rsidRDefault="00C21DBC" w:rsidP="00BB313D">
            <w:pPr>
              <w:widowControl w:val="0"/>
              <w:spacing w:line="240" w:lineRule="exact"/>
              <w:ind w:right="170"/>
              <w:jc w:val="right"/>
              <w:rPr>
                <w:rFonts w:cs="Arial"/>
                <w:b/>
                <w:bCs/>
                <w:sz w:val="16"/>
                <w:szCs w:val="16"/>
              </w:rPr>
            </w:pPr>
            <w:r w:rsidRPr="00382524">
              <w:rPr>
                <w:rFonts w:cs="Arial"/>
                <w:b/>
                <w:bCs/>
                <w:sz w:val="16"/>
                <w:szCs w:val="16"/>
              </w:rPr>
              <w:t>16,4</w:t>
            </w:r>
          </w:p>
        </w:tc>
        <w:tc>
          <w:tcPr>
            <w:tcW w:w="81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C21DBC" w:rsidRPr="00382524" w:rsidRDefault="00C21DBC" w:rsidP="00BB313D">
            <w:pPr>
              <w:widowControl w:val="0"/>
              <w:spacing w:line="240" w:lineRule="exact"/>
              <w:ind w:right="170"/>
              <w:jc w:val="right"/>
              <w:rPr>
                <w:rFonts w:cs="Arial"/>
                <w:b/>
                <w:bCs/>
                <w:sz w:val="16"/>
                <w:szCs w:val="16"/>
              </w:rPr>
            </w:pPr>
            <w:r w:rsidRPr="00382524">
              <w:rPr>
                <w:rFonts w:cs="Arial"/>
                <w:b/>
                <w:bCs/>
                <w:sz w:val="16"/>
                <w:szCs w:val="16"/>
              </w:rPr>
              <w:t>16,9</w:t>
            </w:r>
          </w:p>
        </w:tc>
      </w:tr>
    </w:tbl>
    <w:p w:rsidR="00476C04" w:rsidRPr="001C63DE" w:rsidRDefault="00476C04" w:rsidP="00BB313D">
      <w:pPr>
        <w:widowControl w:val="0"/>
        <w:rPr>
          <w:sz w:val="18"/>
          <w:szCs w:val="18"/>
        </w:rPr>
      </w:pPr>
    </w:p>
    <w:p w:rsidR="007F1968" w:rsidRPr="001C63DE" w:rsidRDefault="007F1968" w:rsidP="00BB313D">
      <w:pPr>
        <w:widowControl w:val="0"/>
        <w:rPr>
          <w:sz w:val="18"/>
          <w:szCs w:val="18"/>
        </w:rPr>
      </w:pPr>
    </w:p>
    <w:p w:rsidR="00665097" w:rsidRPr="007F1968" w:rsidRDefault="00665097" w:rsidP="00BB313D">
      <w:pPr>
        <w:pStyle w:val="Ttulo1"/>
        <w:keepNext w:val="0"/>
        <w:ind w:left="708" w:hanging="708"/>
        <w:rPr>
          <w:color w:val="1F497D" w:themeColor="text2"/>
          <w:sz w:val="22"/>
          <w:szCs w:val="22"/>
        </w:rPr>
      </w:pPr>
      <w:bookmarkStart w:id="75" w:name="_Toc391999510"/>
      <w:bookmarkStart w:id="76" w:name="_Toc450118903"/>
      <w:r w:rsidRPr="007F1968">
        <w:rPr>
          <w:color w:val="1F497D" w:themeColor="text2"/>
          <w:sz w:val="22"/>
          <w:szCs w:val="22"/>
        </w:rPr>
        <w:t xml:space="preserve">1.3.- </w:t>
      </w:r>
      <w:r w:rsidRPr="007F1968">
        <w:rPr>
          <w:color w:val="1F497D" w:themeColor="text2"/>
          <w:sz w:val="22"/>
          <w:szCs w:val="22"/>
        </w:rPr>
        <w:tab/>
        <w:t>EL VAB GENERADO POR LA ECONOMÍA SOCIAL Y LA PRODUCTIVIDAD APARENTE</w:t>
      </w:r>
      <w:bookmarkEnd w:id="75"/>
      <w:bookmarkEnd w:id="76"/>
    </w:p>
    <w:p w:rsidR="00665097" w:rsidRPr="007F1968" w:rsidRDefault="00665097" w:rsidP="00BB313D">
      <w:pPr>
        <w:widowControl w:val="0"/>
        <w:spacing w:line="240" w:lineRule="auto"/>
        <w:rPr>
          <w:rFonts w:cs="Arial"/>
          <w:color w:val="1F497D" w:themeColor="text2"/>
        </w:rPr>
      </w:pPr>
    </w:p>
    <w:p w:rsidR="00665097" w:rsidRPr="007F1968" w:rsidRDefault="00665097" w:rsidP="00BB313D">
      <w:pPr>
        <w:pStyle w:val="Ttulo1"/>
        <w:keepNext w:val="0"/>
        <w:ind w:left="708" w:hanging="708"/>
        <w:rPr>
          <w:color w:val="1F497D" w:themeColor="text2"/>
          <w:sz w:val="22"/>
          <w:szCs w:val="22"/>
        </w:rPr>
      </w:pPr>
      <w:bookmarkStart w:id="77" w:name="_Toc391565481"/>
      <w:bookmarkStart w:id="78" w:name="_Toc391999511"/>
      <w:bookmarkStart w:id="79" w:name="_Toc450118904"/>
      <w:r w:rsidRPr="007F1968">
        <w:rPr>
          <w:color w:val="1F497D" w:themeColor="text2"/>
          <w:sz w:val="22"/>
          <w:szCs w:val="22"/>
        </w:rPr>
        <w:t>1.3.1.- La Di</w:t>
      </w:r>
      <w:r w:rsidR="00C9661E">
        <w:rPr>
          <w:color w:val="1F497D" w:themeColor="text2"/>
          <w:sz w:val="22"/>
          <w:szCs w:val="22"/>
        </w:rPr>
        <w:t>námica del VAB en el Bienio 2012</w:t>
      </w:r>
      <w:r w:rsidRPr="007F1968">
        <w:rPr>
          <w:color w:val="1F497D" w:themeColor="text2"/>
          <w:sz w:val="22"/>
          <w:szCs w:val="22"/>
        </w:rPr>
        <w:t>-201</w:t>
      </w:r>
      <w:bookmarkEnd w:id="77"/>
      <w:bookmarkEnd w:id="78"/>
      <w:r w:rsidR="00C9661E">
        <w:rPr>
          <w:color w:val="1F497D" w:themeColor="text2"/>
          <w:sz w:val="22"/>
          <w:szCs w:val="22"/>
        </w:rPr>
        <w:t>4</w:t>
      </w:r>
      <w:bookmarkEnd w:id="79"/>
    </w:p>
    <w:p w:rsidR="00581A31" w:rsidRPr="00367DEF" w:rsidRDefault="00581A31" w:rsidP="00BB313D">
      <w:pPr>
        <w:widowControl w:val="0"/>
      </w:pPr>
    </w:p>
    <w:p w:rsidR="00665097" w:rsidRPr="00367DEF" w:rsidRDefault="00DE1512" w:rsidP="00BB313D">
      <w:pPr>
        <w:widowControl w:val="0"/>
        <w:spacing w:line="240" w:lineRule="auto"/>
        <w:jc w:val="center"/>
        <w:rPr>
          <w:rFonts w:cs="Arial"/>
          <w:b/>
          <w:color w:val="1F497D" w:themeColor="text2"/>
          <w:sz w:val="18"/>
          <w:szCs w:val="18"/>
        </w:rPr>
      </w:pPr>
      <w:bookmarkStart w:id="80" w:name="_Toc391999592"/>
      <w:bookmarkStart w:id="81" w:name="_Toc450119475"/>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20</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665097" w:rsidRPr="00367DEF">
        <w:rPr>
          <w:rFonts w:cs="Arial"/>
          <w:b/>
          <w:color w:val="1F497D" w:themeColor="text2"/>
          <w:sz w:val="18"/>
          <w:szCs w:val="18"/>
        </w:rPr>
        <w:t>INCREMENTO SECT</w:t>
      </w:r>
      <w:r w:rsidR="00C9661E">
        <w:rPr>
          <w:rFonts w:cs="Arial"/>
          <w:b/>
          <w:color w:val="1F497D" w:themeColor="text2"/>
          <w:sz w:val="18"/>
          <w:szCs w:val="18"/>
        </w:rPr>
        <w:t>ORIAL DEL VAB EN EL PERIODO 2012-2014</w:t>
      </w:r>
      <w:r w:rsidR="00665097" w:rsidRPr="00367DEF">
        <w:rPr>
          <w:rFonts w:cs="Arial"/>
          <w:b/>
          <w:color w:val="1F497D" w:themeColor="text2"/>
          <w:sz w:val="18"/>
          <w:szCs w:val="18"/>
        </w:rPr>
        <w:t xml:space="preserve"> (Precios corrientes</w:t>
      </w:r>
      <w:r w:rsidR="00665097">
        <w:rPr>
          <w:rFonts w:cs="Arial"/>
          <w:b/>
          <w:color w:val="1F497D" w:themeColor="text2"/>
          <w:sz w:val="18"/>
          <w:szCs w:val="18"/>
        </w:rPr>
        <w:t xml:space="preserve"> y %</w:t>
      </w:r>
      <w:r w:rsidR="00665097" w:rsidRPr="00367DEF">
        <w:rPr>
          <w:rFonts w:cs="Arial"/>
          <w:b/>
          <w:color w:val="1F497D" w:themeColor="text2"/>
          <w:sz w:val="18"/>
          <w:szCs w:val="18"/>
        </w:rPr>
        <w:t>)</w:t>
      </w:r>
      <w:bookmarkEnd w:id="80"/>
      <w:bookmarkEnd w:id="81"/>
    </w:p>
    <w:tbl>
      <w:tblPr>
        <w:tblW w:w="9940" w:type="dxa"/>
        <w:jc w:val="center"/>
        <w:tblLook w:val="04A0" w:firstRow="1" w:lastRow="0" w:firstColumn="1" w:lastColumn="0" w:noHBand="0" w:noVBand="1"/>
      </w:tblPr>
      <w:tblGrid>
        <w:gridCol w:w="6177"/>
        <w:gridCol w:w="3763"/>
      </w:tblGrid>
      <w:tr w:rsidR="00665097" w:rsidRPr="006209F1" w:rsidTr="00D122F5">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6209F1" w:rsidRDefault="00665097" w:rsidP="00BB313D">
            <w:pPr>
              <w:widowControl w:val="0"/>
              <w:spacing w:line="240" w:lineRule="exact"/>
              <w:jc w:val="center"/>
              <w:rPr>
                <w:b/>
                <w:sz w:val="16"/>
                <w:szCs w:val="16"/>
              </w:rPr>
            </w:pPr>
            <w:bookmarkStart w:id="82" w:name="_Toc391565482"/>
            <w:r w:rsidRPr="006209F1">
              <w:rPr>
                <w:b/>
                <w:sz w:val="16"/>
                <w:szCs w:val="16"/>
              </w:rPr>
              <w:t>Sectores</w:t>
            </w:r>
            <w:bookmarkEnd w:id="82"/>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6209F1" w:rsidRDefault="00665097" w:rsidP="00BB313D">
            <w:pPr>
              <w:widowControl w:val="0"/>
              <w:spacing w:line="240" w:lineRule="exact"/>
              <w:jc w:val="center"/>
              <w:rPr>
                <w:b/>
                <w:sz w:val="16"/>
                <w:szCs w:val="16"/>
              </w:rPr>
            </w:pPr>
            <w:bookmarkStart w:id="83" w:name="_Toc391565483"/>
            <w:r w:rsidRPr="006209F1">
              <w:rPr>
                <w:b/>
                <w:sz w:val="16"/>
                <w:szCs w:val="16"/>
              </w:rPr>
              <w:t>Tasa de Crecimiento</w:t>
            </w:r>
            <w:bookmarkEnd w:id="83"/>
          </w:p>
        </w:tc>
      </w:tr>
      <w:tr w:rsidR="006556F5" w:rsidRPr="00367DEF" w:rsidTr="00D122F5">
        <w:trPr>
          <w:jc w:val="center"/>
        </w:trPr>
        <w:tc>
          <w:tcPr>
            <w:tcW w:w="3107" w:type="pct"/>
            <w:tcBorders>
              <w:top w:val="single" w:sz="4" w:space="0" w:color="BFBFBF" w:themeColor="background1" w:themeShade="BF"/>
              <w:right w:val="single" w:sz="4" w:space="0" w:color="BFBFBF" w:themeColor="background1" w:themeShade="BF"/>
            </w:tcBorders>
          </w:tcPr>
          <w:p w:rsidR="006556F5" w:rsidRPr="00367DEF" w:rsidRDefault="006556F5" w:rsidP="00BB313D">
            <w:pPr>
              <w:widowControl w:val="0"/>
              <w:spacing w:line="220" w:lineRule="exact"/>
              <w:rPr>
                <w:rFonts w:cs="Arial"/>
                <w:sz w:val="16"/>
                <w:szCs w:val="16"/>
              </w:rPr>
            </w:pPr>
            <w:r w:rsidRPr="00367DEF">
              <w:rPr>
                <w:rFonts w:cs="Arial"/>
                <w:sz w:val="16"/>
                <w:szCs w:val="16"/>
              </w:rPr>
              <w:t>Primario</w:t>
            </w:r>
          </w:p>
        </w:tc>
        <w:tc>
          <w:tcPr>
            <w:tcW w:w="1893" w:type="pct"/>
            <w:tcBorders>
              <w:top w:val="single" w:sz="4" w:space="0" w:color="BFBFBF" w:themeColor="background1" w:themeShade="BF"/>
              <w:left w:val="single" w:sz="4" w:space="0" w:color="BFBFBF" w:themeColor="background1" w:themeShade="BF"/>
            </w:tcBorders>
            <w:vAlign w:val="bottom"/>
          </w:tcPr>
          <w:p w:rsidR="006556F5" w:rsidRPr="006556F5" w:rsidRDefault="006556F5" w:rsidP="00BB313D">
            <w:pPr>
              <w:widowControl w:val="0"/>
              <w:spacing w:line="220" w:lineRule="exact"/>
              <w:ind w:right="170"/>
              <w:jc w:val="center"/>
              <w:rPr>
                <w:rFonts w:cs="Arial"/>
                <w:sz w:val="16"/>
                <w:szCs w:val="16"/>
              </w:rPr>
            </w:pPr>
            <w:r w:rsidRPr="006556F5">
              <w:rPr>
                <w:rFonts w:cs="Arial"/>
                <w:sz w:val="16"/>
                <w:szCs w:val="16"/>
              </w:rPr>
              <w:t>140,4%</w:t>
            </w:r>
          </w:p>
        </w:tc>
      </w:tr>
      <w:tr w:rsidR="006556F5" w:rsidRPr="00367DEF" w:rsidTr="00D122F5">
        <w:trPr>
          <w:trHeight w:val="130"/>
          <w:jc w:val="center"/>
        </w:trPr>
        <w:tc>
          <w:tcPr>
            <w:tcW w:w="3107" w:type="pct"/>
            <w:tcBorders>
              <w:right w:val="single" w:sz="4" w:space="0" w:color="BFBFBF" w:themeColor="background1" w:themeShade="BF"/>
            </w:tcBorders>
          </w:tcPr>
          <w:p w:rsidR="006556F5" w:rsidRPr="00367DEF" w:rsidRDefault="006556F5" w:rsidP="00BB313D">
            <w:pPr>
              <w:widowControl w:val="0"/>
              <w:spacing w:line="220" w:lineRule="exact"/>
              <w:rPr>
                <w:rFonts w:cs="Arial"/>
                <w:sz w:val="16"/>
                <w:szCs w:val="16"/>
              </w:rPr>
            </w:pPr>
            <w:r w:rsidRPr="00367DEF">
              <w:rPr>
                <w:rFonts w:cs="Arial"/>
                <w:sz w:val="16"/>
                <w:szCs w:val="16"/>
              </w:rPr>
              <w:t>Industria</w:t>
            </w:r>
          </w:p>
        </w:tc>
        <w:tc>
          <w:tcPr>
            <w:tcW w:w="1893" w:type="pct"/>
            <w:tcBorders>
              <w:left w:val="single" w:sz="4" w:space="0" w:color="BFBFBF" w:themeColor="background1" w:themeShade="BF"/>
            </w:tcBorders>
            <w:vAlign w:val="bottom"/>
          </w:tcPr>
          <w:p w:rsidR="006556F5" w:rsidRPr="006556F5" w:rsidRDefault="006556F5" w:rsidP="00BB313D">
            <w:pPr>
              <w:widowControl w:val="0"/>
              <w:spacing w:line="220" w:lineRule="exact"/>
              <w:ind w:right="170"/>
              <w:jc w:val="center"/>
              <w:rPr>
                <w:rFonts w:cs="Arial"/>
                <w:sz w:val="16"/>
                <w:szCs w:val="16"/>
              </w:rPr>
            </w:pPr>
            <w:r w:rsidRPr="006556F5">
              <w:rPr>
                <w:rFonts w:cs="Arial"/>
                <w:sz w:val="16"/>
                <w:szCs w:val="16"/>
              </w:rPr>
              <w:t>-2,1%</w:t>
            </w:r>
          </w:p>
        </w:tc>
      </w:tr>
      <w:tr w:rsidR="006556F5" w:rsidRPr="00367DEF" w:rsidTr="00D122F5">
        <w:trPr>
          <w:jc w:val="center"/>
        </w:trPr>
        <w:tc>
          <w:tcPr>
            <w:tcW w:w="3107" w:type="pct"/>
            <w:tcBorders>
              <w:right w:val="single" w:sz="4" w:space="0" w:color="BFBFBF" w:themeColor="background1" w:themeShade="BF"/>
            </w:tcBorders>
          </w:tcPr>
          <w:p w:rsidR="006556F5" w:rsidRPr="00367DEF" w:rsidRDefault="006556F5" w:rsidP="00BB313D">
            <w:pPr>
              <w:widowControl w:val="0"/>
              <w:spacing w:line="220" w:lineRule="exact"/>
              <w:rPr>
                <w:rFonts w:cs="Arial"/>
                <w:sz w:val="16"/>
                <w:szCs w:val="16"/>
              </w:rPr>
            </w:pPr>
            <w:r w:rsidRPr="00367DEF">
              <w:rPr>
                <w:rFonts w:cs="Arial"/>
                <w:sz w:val="16"/>
                <w:szCs w:val="16"/>
              </w:rPr>
              <w:t>Construcción</w:t>
            </w:r>
          </w:p>
        </w:tc>
        <w:tc>
          <w:tcPr>
            <w:tcW w:w="1893" w:type="pct"/>
            <w:tcBorders>
              <w:left w:val="single" w:sz="4" w:space="0" w:color="BFBFBF" w:themeColor="background1" w:themeShade="BF"/>
            </w:tcBorders>
            <w:vAlign w:val="bottom"/>
          </w:tcPr>
          <w:p w:rsidR="006556F5" w:rsidRPr="006556F5" w:rsidRDefault="006556F5" w:rsidP="00BB313D">
            <w:pPr>
              <w:widowControl w:val="0"/>
              <w:spacing w:line="220" w:lineRule="exact"/>
              <w:ind w:right="170"/>
              <w:jc w:val="center"/>
              <w:rPr>
                <w:rFonts w:cs="Arial"/>
                <w:sz w:val="16"/>
                <w:szCs w:val="16"/>
              </w:rPr>
            </w:pPr>
            <w:r w:rsidRPr="006556F5">
              <w:rPr>
                <w:rFonts w:cs="Arial"/>
                <w:sz w:val="16"/>
                <w:szCs w:val="16"/>
              </w:rPr>
              <w:t>-14,7%</w:t>
            </w:r>
          </w:p>
        </w:tc>
      </w:tr>
      <w:tr w:rsidR="006556F5" w:rsidRPr="00367DEF" w:rsidTr="00D122F5">
        <w:trPr>
          <w:jc w:val="center"/>
        </w:trPr>
        <w:tc>
          <w:tcPr>
            <w:tcW w:w="3107" w:type="pct"/>
            <w:tcBorders>
              <w:bottom w:val="single" w:sz="4" w:space="0" w:color="BFBFBF" w:themeColor="background1" w:themeShade="BF"/>
              <w:right w:val="single" w:sz="4" w:space="0" w:color="BFBFBF" w:themeColor="background1" w:themeShade="BF"/>
            </w:tcBorders>
          </w:tcPr>
          <w:p w:rsidR="006556F5" w:rsidRPr="00FC7325" w:rsidRDefault="006556F5" w:rsidP="00BB313D">
            <w:pPr>
              <w:widowControl w:val="0"/>
              <w:spacing w:line="220" w:lineRule="exact"/>
              <w:rPr>
                <w:rFonts w:cs="Arial"/>
                <w:sz w:val="16"/>
                <w:szCs w:val="16"/>
              </w:rPr>
            </w:pPr>
            <w:r w:rsidRPr="00FC7325">
              <w:rPr>
                <w:rFonts w:cs="Arial"/>
                <w:sz w:val="16"/>
                <w:szCs w:val="16"/>
              </w:rPr>
              <w:t>Servicios</w:t>
            </w:r>
          </w:p>
        </w:tc>
        <w:tc>
          <w:tcPr>
            <w:tcW w:w="1893" w:type="pct"/>
            <w:tcBorders>
              <w:left w:val="single" w:sz="4" w:space="0" w:color="BFBFBF" w:themeColor="background1" w:themeShade="BF"/>
              <w:bottom w:val="single" w:sz="4" w:space="0" w:color="BFBFBF" w:themeColor="background1" w:themeShade="BF"/>
            </w:tcBorders>
            <w:vAlign w:val="bottom"/>
          </w:tcPr>
          <w:p w:rsidR="006556F5" w:rsidRPr="006556F5" w:rsidRDefault="006556F5" w:rsidP="00BB313D">
            <w:pPr>
              <w:widowControl w:val="0"/>
              <w:spacing w:line="220" w:lineRule="exact"/>
              <w:ind w:right="170"/>
              <w:jc w:val="center"/>
              <w:rPr>
                <w:rFonts w:cs="Arial"/>
                <w:sz w:val="16"/>
                <w:szCs w:val="16"/>
              </w:rPr>
            </w:pPr>
            <w:r w:rsidRPr="006556F5">
              <w:rPr>
                <w:rFonts w:cs="Arial"/>
                <w:sz w:val="16"/>
                <w:szCs w:val="16"/>
              </w:rPr>
              <w:t>0,6%</w:t>
            </w:r>
          </w:p>
        </w:tc>
      </w:tr>
      <w:tr w:rsidR="00665097" w:rsidRPr="006209F1" w:rsidTr="00D122F5">
        <w:trPr>
          <w:jc w:val="center"/>
        </w:trPr>
        <w:tc>
          <w:tcPr>
            <w:tcW w:w="310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6209F1" w:rsidRDefault="00665097" w:rsidP="00BB313D">
            <w:pPr>
              <w:widowControl w:val="0"/>
              <w:spacing w:line="240" w:lineRule="exact"/>
              <w:rPr>
                <w:b/>
                <w:sz w:val="16"/>
                <w:szCs w:val="16"/>
              </w:rPr>
            </w:pPr>
            <w:bookmarkStart w:id="84" w:name="_Toc391565484"/>
            <w:r w:rsidRPr="006209F1">
              <w:rPr>
                <w:b/>
                <w:sz w:val="16"/>
                <w:szCs w:val="16"/>
              </w:rPr>
              <w:t>TOTAL</w:t>
            </w:r>
            <w:bookmarkEnd w:id="84"/>
          </w:p>
        </w:tc>
        <w:tc>
          <w:tcPr>
            <w:tcW w:w="189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65097" w:rsidRPr="006209F1" w:rsidRDefault="006556F5" w:rsidP="00BB313D">
            <w:pPr>
              <w:widowControl w:val="0"/>
              <w:spacing w:line="240" w:lineRule="exact"/>
              <w:ind w:right="170"/>
              <w:jc w:val="center"/>
              <w:rPr>
                <w:b/>
                <w:sz w:val="16"/>
                <w:szCs w:val="16"/>
              </w:rPr>
            </w:pPr>
            <w:r>
              <w:rPr>
                <w:b/>
                <w:sz w:val="16"/>
                <w:szCs w:val="16"/>
              </w:rPr>
              <w:t>-1,1</w:t>
            </w:r>
            <w:r w:rsidR="00665097" w:rsidRPr="006209F1">
              <w:rPr>
                <w:b/>
                <w:sz w:val="16"/>
                <w:szCs w:val="16"/>
              </w:rPr>
              <w:t>%</w:t>
            </w:r>
          </w:p>
        </w:tc>
      </w:tr>
    </w:tbl>
    <w:p w:rsidR="006556F5" w:rsidRPr="001C63DE" w:rsidRDefault="006556F5" w:rsidP="00BB313D">
      <w:pPr>
        <w:widowControl w:val="0"/>
        <w:rPr>
          <w:sz w:val="18"/>
          <w:szCs w:val="18"/>
        </w:rPr>
      </w:pPr>
    </w:p>
    <w:p w:rsidR="00665097" w:rsidRPr="00367DEF" w:rsidRDefault="00DE1512" w:rsidP="00BB313D">
      <w:pPr>
        <w:widowControl w:val="0"/>
        <w:spacing w:line="240" w:lineRule="auto"/>
        <w:jc w:val="center"/>
        <w:rPr>
          <w:rFonts w:cs="Arial"/>
          <w:b/>
          <w:color w:val="1F497D" w:themeColor="text2"/>
          <w:sz w:val="18"/>
          <w:szCs w:val="18"/>
        </w:rPr>
      </w:pPr>
      <w:bookmarkStart w:id="85" w:name="_Toc391999593"/>
      <w:bookmarkStart w:id="86" w:name="_Toc45011947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367DEF">
        <w:rPr>
          <w:rFonts w:cs="Arial"/>
          <w:b/>
          <w:color w:val="1F497D" w:themeColor="text2"/>
          <w:sz w:val="18"/>
          <w:szCs w:val="18"/>
        </w:rPr>
        <w:t>DISTRIBUCIÓN SECTORIAL DEL VALOR AÑADIDO BRUTO (VAB) GENERADO POR LA ECONOMÍA SOC</w:t>
      </w:r>
      <w:r w:rsidR="00C9661E">
        <w:rPr>
          <w:rFonts w:cs="Arial"/>
          <w:b/>
          <w:color w:val="1F497D" w:themeColor="text2"/>
          <w:sz w:val="18"/>
          <w:szCs w:val="18"/>
        </w:rPr>
        <w:t>IAL. REFERENCIA COMPARATIVA 2012 y 2014</w:t>
      </w:r>
      <w:r w:rsidR="00665097" w:rsidRPr="00367DEF">
        <w:rPr>
          <w:rFonts w:cs="Arial"/>
          <w:b/>
          <w:color w:val="1F497D" w:themeColor="text2"/>
          <w:sz w:val="18"/>
          <w:szCs w:val="18"/>
        </w:rPr>
        <w:t>. (</w:t>
      </w:r>
      <w:proofErr w:type="spellStart"/>
      <w:r w:rsidR="00665097" w:rsidRPr="00367DEF">
        <w:rPr>
          <w:rFonts w:cs="Arial"/>
          <w:b/>
          <w:color w:val="1F497D" w:themeColor="text2"/>
          <w:sz w:val="18"/>
          <w:szCs w:val="18"/>
        </w:rPr>
        <w:t>c.a.</w:t>
      </w:r>
      <w:proofErr w:type="spellEnd"/>
      <w:r w:rsidR="00665097" w:rsidRPr="00367DEF">
        <w:rPr>
          <w:rFonts w:cs="Arial"/>
          <w:b/>
          <w:color w:val="1F497D" w:themeColor="text2"/>
          <w:sz w:val="18"/>
          <w:szCs w:val="18"/>
        </w:rPr>
        <w:t xml:space="preserve"> miles de Euros, % v</w:t>
      </w:r>
      <w:r w:rsidR="007D763B">
        <w:rPr>
          <w:rFonts w:cs="Arial"/>
          <w:b/>
          <w:color w:val="1F497D" w:themeColor="text2"/>
          <w:sz w:val="18"/>
          <w:szCs w:val="18"/>
        </w:rPr>
        <w:t>er</w:t>
      </w:r>
      <w:r w:rsidR="00665097" w:rsidRPr="00367DEF">
        <w:rPr>
          <w:rFonts w:cs="Arial"/>
          <w:b/>
          <w:color w:val="1F497D" w:themeColor="text2"/>
          <w:sz w:val="18"/>
          <w:szCs w:val="18"/>
        </w:rPr>
        <w:t>.) (Precios Corrientes)</w:t>
      </w:r>
      <w:bookmarkEnd w:id="85"/>
      <w:bookmarkEnd w:id="86"/>
    </w:p>
    <w:tbl>
      <w:tblPr>
        <w:tblW w:w="9940" w:type="dxa"/>
        <w:jc w:val="center"/>
        <w:tblCellMar>
          <w:left w:w="70" w:type="dxa"/>
          <w:right w:w="70" w:type="dxa"/>
        </w:tblCellMar>
        <w:tblLook w:val="04A0" w:firstRow="1" w:lastRow="0" w:firstColumn="1" w:lastColumn="0" w:noHBand="0" w:noVBand="1"/>
      </w:tblPr>
      <w:tblGrid>
        <w:gridCol w:w="2333"/>
        <w:gridCol w:w="1968"/>
        <w:gridCol w:w="1821"/>
        <w:gridCol w:w="2077"/>
        <w:gridCol w:w="1741"/>
      </w:tblGrid>
      <w:tr w:rsidR="00665097" w:rsidRPr="00FC7325" w:rsidTr="00D122F5">
        <w:trPr>
          <w:jc w:val="center"/>
        </w:trPr>
        <w:tc>
          <w:tcPr>
            <w:tcW w:w="1173" w:type="pct"/>
            <w:tcBorders>
              <w:top w:val="single" w:sz="8" w:space="0" w:color="BFBFBF"/>
              <w:left w:val="nil"/>
              <w:bottom w:val="nil"/>
              <w:right w:val="single" w:sz="8" w:space="0" w:color="BFBFBF"/>
            </w:tcBorders>
            <w:shd w:val="clear" w:color="000000" w:fill="DBE5F1"/>
            <w:hideMark/>
          </w:tcPr>
          <w:p w:rsidR="00665097" w:rsidRPr="00FC7325" w:rsidRDefault="00665097" w:rsidP="00BB313D">
            <w:pPr>
              <w:widowControl w:val="0"/>
              <w:spacing w:line="240" w:lineRule="exact"/>
              <w:rPr>
                <w:rFonts w:ascii="Calibri" w:hAnsi="Calibri"/>
                <w:color w:val="000000"/>
              </w:rPr>
            </w:pPr>
            <w:r w:rsidRPr="00FC7325">
              <w:rPr>
                <w:rFonts w:ascii="Calibri" w:hAnsi="Calibri"/>
                <w:color w:val="000000"/>
              </w:rPr>
              <w:t> </w:t>
            </w:r>
          </w:p>
        </w:tc>
        <w:tc>
          <w:tcPr>
            <w:tcW w:w="1906" w:type="pct"/>
            <w:gridSpan w:val="2"/>
            <w:tcBorders>
              <w:top w:val="single" w:sz="8" w:space="0" w:color="BFBFBF"/>
              <w:left w:val="nil"/>
              <w:bottom w:val="single" w:sz="8" w:space="0" w:color="BFBFBF"/>
              <w:right w:val="single" w:sz="8" w:space="0" w:color="BFBFBF"/>
            </w:tcBorders>
            <w:shd w:val="clear" w:color="000000" w:fill="DBE5F1"/>
            <w:hideMark/>
          </w:tcPr>
          <w:p w:rsidR="00665097" w:rsidRPr="00FC7325" w:rsidRDefault="00C9661E" w:rsidP="00BB313D">
            <w:pPr>
              <w:widowControl w:val="0"/>
              <w:spacing w:line="240" w:lineRule="exact"/>
              <w:jc w:val="center"/>
              <w:rPr>
                <w:rFonts w:cs="Arial"/>
                <w:b/>
                <w:bCs/>
                <w:color w:val="000000"/>
                <w:sz w:val="16"/>
                <w:szCs w:val="16"/>
              </w:rPr>
            </w:pPr>
            <w:r>
              <w:rPr>
                <w:rFonts w:cs="Arial"/>
                <w:b/>
                <w:bCs/>
                <w:color w:val="000000"/>
                <w:sz w:val="16"/>
                <w:szCs w:val="16"/>
              </w:rPr>
              <w:t>2012</w:t>
            </w:r>
          </w:p>
        </w:tc>
        <w:tc>
          <w:tcPr>
            <w:tcW w:w="1921" w:type="pct"/>
            <w:gridSpan w:val="2"/>
            <w:tcBorders>
              <w:top w:val="single" w:sz="8" w:space="0" w:color="BFBFBF"/>
              <w:left w:val="nil"/>
              <w:bottom w:val="single" w:sz="8" w:space="0" w:color="BFBFBF"/>
            </w:tcBorders>
            <w:shd w:val="clear" w:color="000000" w:fill="DBE5F1"/>
            <w:hideMark/>
          </w:tcPr>
          <w:p w:rsidR="00665097" w:rsidRPr="00FC7325" w:rsidRDefault="00C9661E" w:rsidP="00BB313D">
            <w:pPr>
              <w:widowControl w:val="0"/>
              <w:spacing w:line="240" w:lineRule="exact"/>
              <w:jc w:val="center"/>
              <w:rPr>
                <w:rFonts w:cs="Arial"/>
                <w:b/>
                <w:bCs/>
                <w:color w:val="000000"/>
                <w:sz w:val="16"/>
                <w:szCs w:val="16"/>
              </w:rPr>
            </w:pPr>
            <w:r>
              <w:rPr>
                <w:rFonts w:cs="Arial"/>
                <w:b/>
                <w:bCs/>
                <w:color w:val="000000"/>
                <w:sz w:val="16"/>
                <w:szCs w:val="16"/>
              </w:rPr>
              <w:t>2014</w:t>
            </w:r>
          </w:p>
        </w:tc>
      </w:tr>
      <w:tr w:rsidR="00665097" w:rsidRPr="00FC7325" w:rsidTr="00D122F5">
        <w:trPr>
          <w:jc w:val="center"/>
        </w:trPr>
        <w:tc>
          <w:tcPr>
            <w:tcW w:w="1173" w:type="pct"/>
            <w:tcBorders>
              <w:top w:val="nil"/>
              <w:left w:val="nil"/>
              <w:bottom w:val="single" w:sz="8" w:space="0" w:color="BFBFBF"/>
              <w:right w:val="single" w:sz="8" w:space="0" w:color="BFBFBF"/>
            </w:tcBorders>
            <w:shd w:val="clear" w:color="000000" w:fill="DBE5F1"/>
            <w:hideMark/>
          </w:tcPr>
          <w:p w:rsidR="00665097" w:rsidRPr="00FC7325" w:rsidRDefault="00665097" w:rsidP="00BB313D">
            <w:pPr>
              <w:widowControl w:val="0"/>
              <w:spacing w:line="240" w:lineRule="exact"/>
              <w:rPr>
                <w:rFonts w:ascii="Calibri" w:hAnsi="Calibri"/>
                <w:color w:val="000000"/>
              </w:rPr>
            </w:pPr>
            <w:r w:rsidRPr="00FC7325">
              <w:rPr>
                <w:rFonts w:ascii="Calibri" w:hAnsi="Calibri"/>
                <w:color w:val="000000"/>
              </w:rPr>
              <w:t> </w:t>
            </w:r>
          </w:p>
        </w:tc>
        <w:tc>
          <w:tcPr>
            <w:tcW w:w="990" w:type="pct"/>
            <w:tcBorders>
              <w:top w:val="nil"/>
              <w:left w:val="nil"/>
              <w:bottom w:val="single" w:sz="8" w:space="0" w:color="BFBFBF"/>
              <w:right w:val="nil"/>
            </w:tcBorders>
            <w:shd w:val="clear" w:color="000000" w:fill="DBE5F1"/>
            <w:hideMark/>
          </w:tcPr>
          <w:p w:rsidR="00665097" w:rsidRPr="00FC7325" w:rsidRDefault="007D763B" w:rsidP="00BB313D">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916" w:type="pct"/>
            <w:tcBorders>
              <w:top w:val="nil"/>
              <w:left w:val="nil"/>
              <w:bottom w:val="single" w:sz="8" w:space="0" w:color="BFBFBF"/>
              <w:right w:val="single" w:sz="8" w:space="0" w:color="BFBFBF"/>
            </w:tcBorders>
            <w:shd w:val="clear" w:color="000000" w:fill="DBE5F1"/>
            <w:hideMark/>
          </w:tcPr>
          <w:p w:rsidR="00665097" w:rsidRPr="00FC7325"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c>
          <w:tcPr>
            <w:tcW w:w="1045" w:type="pct"/>
            <w:tcBorders>
              <w:top w:val="nil"/>
              <w:left w:val="nil"/>
              <w:bottom w:val="single" w:sz="8" w:space="0" w:color="BFBFBF"/>
              <w:right w:val="nil"/>
            </w:tcBorders>
            <w:shd w:val="clear" w:color="000000" w:fill="DBE5F1"/>
            <w:hideMark/>
          </w:tcPr>
          <w:p w:rsidR="00665097" w:rsidRPr="00FC7325" w:rsidRDefault="007D763B" w:rsidP="00BB313D">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876" w:type="pct"/>
            <w:tcBorders>
              <w:top w:val="nil"/>
              <w:left w:val="nil"/>
              <w:bottom w:val="single" w:sz="8" w:space="0" w:color="BFBFBF"/>
            </w:tcBorders>
            <w:shd w:val="clear" w:color="000000" w:fill="DBE5F1"/>
            <w:hideMark/>
          </w:tcPr>
          <w:p w:rsidR="00665097" w:rsidRPr="00FC7325"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r>
      <w:tr w:rsidR="00C9661E" w:rsidRPr="00FC7325" w:rsidTr="00D122F5">
        <w:trPr>
          <w:jc w:val="center"/>
        </w:trPr>
        <w:tc>
          <w:tcPr>
            <w:tcW w:w="1173" w:type="pct"/>
            <w:tcBorders>
              <w:top w:val="nil"/>
              <w:left w:val="nil"/>
              <w:bottom w:val="nil"/>
              <w:right w:val="single" w:sz="8" w:space="0" w:color="BFBFBF"/>
            </w:tcBorders>
            <w:shd w:val="clear" w:color="auto" w:fill="auto"/>
            <w:hideMark/>
          </w:tcPr>
          <w:p w:rsidR="00C9661E" w:rsidRPr="00FC7325" w:rsidRDefault="00C9661E" w:rsidP="00BB313D">
            <w:pPr>
              <w:widowControl w:val="0"/>
              <w:spacing w:line="240" w:lineRule="exact"/>
              <w:rPr>
                <w:rFonts w:cs="Arial"/>
                <w:color w:val="000000"/>
                <w:sz w:val="16"/>
                <w:szCs w:val="16"/>
              </w:rPr>
            </w:pPr>
            <w:r w:rsidRPr="00FC7325">
              <w:rPr>
                <w:rFonts w:cs="Arial"/>
                <w:color w:val="000000"/>
                <w:sz w:val="16"/>
                <w:szCs w:val="16"/>
                <w:lang w:val="es-ES_tradnl"/>
              </w:rPr>
              <w:t xml:space="preserve">Primario </w:t>
            </w:r>
          </w:p>
        </w:tc>
        <w:tc>
          <w:tcPr>
            <w:tcW w:w="990" w:type="pct"/>
            <w:tcBorders>
              <w:top w:val="nil"/>
              <w:left w:val="nil"/>
              <w:bottom w:val="nil"/>
              <w:right w:val="nil"/>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sidRPr="00FC7325">
              <w:rPr>
                <w:rFonts w:cs="Arial"/>
                <w:color w:val="000000"/>
                <w:sz w:val="16"/>
                <w:szCs w:val="16"/>
              </w:rPr>
              <w:t>1.558</w:t>
            </w:r>
          </w:p>
        </w:tc>
        <w:tc>
          <w:tcPr>
            <w:tcW w:w="916" w:type="pct"/>
            <w:tcBorders>
              <w:top w:val="nil"/>
              <w:left w:val="nil"/>
              <w:bottom w:val="nil"/>
              <w:right w:val="single" w:sz="8" w:space="0" w:color="BFBFBF"/>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sidRPr="00FC7325">
              <w:rPr>
                <w:rFonts w:cs="Arial"/>
                <w:color w:val="000000"/>
                <w:sz w:val="16"/>
                <w:szCs w:val="16"/>
              </w:rPr>
              <w:t>0,1</w:t>
            </w:r>
          </w:p>
        </w:tc>
        <w:tc>
          <w:tcPr>
            <w:tcW w:w="1045" w:type="pct"/>
            <w:tcBorders>
              <w:top w:val="nil"/>
              <w:left w:val="nil"/>
              <w:bottom w:val="nil"/>
              <w:right w:val="nil"/>
            </w:tcBorders>
            <w:shd w:val="clear" w:color="auto" w:fill="auto"/>
            <w:vAlign w:val="bottom"/>
            <w:hideMark/>
          </w:tcPr>
          <w:p w:rsidR="00C9661E" w:rsidRPr="00315167" w:rsidRDefault="00C9661E" w:rsidP="00BB313D">
            <w:pPr>
              <w:widowControl w:val="0"/>
              <w:spacing w:line="240" w:lineRule="exact"/>
              <w:ind w:right="170"/>
              <w:jc w:val="right"/>
              <w:rPr>
                <w:rFonts w:cs="Arial"/>
                <w:color w:val="000000"/>
                <w:sz w:val="16"/>
                <w:szCs w:val="16"/>
              </w:rPr>
            </w:pPr>
            <w:r w:rsidRPr="00315167">
              <w:rPr>
                <w:rFonts w:cs="Arial"/>
                <w:color w:val="000000"/>
                <w:sz w:val="16"/>
                <w:szCs w:val="16"/>
              </w:rPr>
              <w:t>3.746</w:t>
            </w:r>
          </w:p>
        </w:tc>
        <w:tc>
          <w:tcPr>
            <w:tcW w:w="876" w:type="pct"/>
            <w:tcBorders>
              <w:top w:val="nil"/>
              <w:left w:val="nil"/>
              <w:bottom w:val="nil"/>
            </w:tcBorders>
            <w:shd w:val="clear" w:color="auto" w:fill="auto"/>
            <w:vAlign w:val="bottom"/>
            <w:hideMark/>
          </w:tcPr>
          <w:p w:rsidR="00C9661E" w:rsidRPr="00C9661E" w:rsidRDefault="00C9661E" w:rsidP="00BB313D">
            <w:pPr>
              <w:widowControl w:val="0"/>
              <w:spacing w:line="240" w:lineRule="exact"/>
              <w:ind w:right="170"/>
              <w:jc w:val="right"/>
              <w:rPr>
                <w:rFonts w:cs="Arial"/>
                <w:color w:val="000000"/>
                <w:sz w:val="16"/>
                <w:szCs w:val="16"/>
              </w:rPr>
            </w:pPr>
            <w:r>
              <w:rPr>
                <w:rFonts w:cs="Arial"/>
                <w:color w:val="000000"/>
                <w:sz w:val="16"/>
                <w:szCs w:val="16"/>
              </w:rPr>
              <w:t>0,1</w:t>
            </w:r>
          </w:p>
        </w:tc>
      </w:tr>
      <w:tr w:rsidR="00C9661E" w:rsidRPr="00FC7325" w:rsidTr="00D122F5">
        <w:trPr>
          <w:jc w:val="center"/>
        </w:trPr>
        <w:tc>
          <w:tcPr>
            <w:tcW w:w="1173" w:type="pct"/>
            <w:tcBorders>
              <w:top w:val="nil"/>
              <w:left w:val="nil"/>
              <w:bottom w:val="nil"/>
              <w:right w:val="single" w:sz="8" w:space="0" w:color="BFBFBF"/>
            </w:tcBorders>
            <w:shd w:val="clear" w:color="auto" w:fill="auto"/>
            <w:hideMark/>
          </w:tcPr>
          <w:p w:rsidR="00C9661E" w:rsidRPr="00FC7325" w:rsidRDefault="00C9661E" w:rsidP="00BB313D">
            <w:pPr>
              <w:widowControl w:val="0"/>
              <w:spacing w:line="240" w:lineRule="exact"/>
              <w:rPr>
                <w:rFonts w:cs="Arial"/>
                <w:color w:val="000000"/>
                <w:sz w:val="16"/>
                <w:szCs w:val="16"/>
              </w:rPr>
            </w:pPr>
            <w:r w:rsidRPr="00FC7325">
              <w:rPr>
                <w:rFonts w:cs="Arial"/>
                <w:color w:val="000000"/>
                <w:sz w:val="16"/>
                <w:szCs w:val="16"/>
                <w:lang w:val="es-ES_tradnl"/>
              </w:rPr>
              <w:t>Industria</w:t>
            </w:r>
          </w:p>
        </w:tc>
        <w:tc>
          <w:tcPr>
            <w:tcW w:w="990" w:type="pct"/>
            <w:tcBorders>
              <w:top w:val="nil"/>
              <w:left w:val="nil"/>
              <w:bottom w:val="nil"/>
              <w:right w:val="nil"/>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sidRPr="00FC7325">
              <w:rPr>
                <w:rFonts w:cs="Arial"/>
                <w:color w:val="000000"/>
                <w:sz w:val="16"/>
                <w:szCs w:val="16"/>
              </w:rPr>
              <w:t>1.363.525</w:t>
            </w:r>
          </w:p>
        </w:tc>
        <w:tc>
          <w:tcPr>
            <w:tcW w:w="916" w:type="pct"/>
            <w:tcBorders>
              <w:top w:val="nil"/>
              <w:left w:val="nil"/>
              <w:bottom w:val="nil"/>
              <w:right w:val="single" w:sz="8" w:space="0" w:color="BFBFBF"/>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sidRPr="00FC7325">
              <w:rPr>
                <w:rFonts w:cs="Arial"/>
                <w:color w:val="000000"/>
                <w:sz w:val="16"/>
                <w:szCs w:val="16"/>
              </w:rPr>
              <w:t>51,6</w:t>
            </w:r>
          </w:p>
        </w:tc>
        <w:tc>
          <w:tcPr>
            <w:tcW w:w="1045" w:type="pct"/>
            <w:tcBorders>
              <w:top w:val="nil"/>
              <w:left w:val="nil"/>
              <w:bottom w:val="nil"/>
              <w:right w:val="nil"/>
            </w:tcBorders>
            <w:shd w:val="clear" w:color="auto" w:fill="auto"/>
            <w:vAlign w:val="bottom"/>
            <w:hideMark/>
          </w:tcPr>
          <w:p w:rsidR="00C9661E" w:rsidRPr="00315167" w:rsidRDefault="00C9661E" w:rsidP="00BB313D">
            <w:pPr>
              <w:widowControl w:val="0"/>
              <w:spacing w:line="240" w:lineRule="exact"/>
              <w:ind w:right="170"/>
              <w:jc w:val="right"/>
              <w:rPr>
                <w:rFonts w:cs="Arial"/>
                <w:color w:val="000000"/>
                <w:sz w:val="16"/>
                <w:szCs w:val="16"/>
              </w:rPr>
            </w:pPr>
            <w:r w:rsidRPr="00315167">
              <w:rPr>
                <w:rFonts w:cs="Arial"/>
                <w:color w:val="000000"/>
                <w:sz w:val="16"/>
                <w:szCs w:val="16"/>
              </w:rPr>
              <w:t>1.334.36</w:t>
            </w:r>
            <w:r>
              <w:rPr>
                <w:rFonts w:cs="Arial"/>
                <w:color w:val="000000"/>
                <w:sz w:val="16"/>
                <w:szCs w:val="16"/>
              </w:rPr>
              <w:t>4</w:t>
            </w:r>
          </w:p>
        </w:tc>
        <w:tc>
          <w:tcPr>
            <w:tcW w:w="876" w:type="pct"/>
            <w:tcBorders>
              <w:top w:val="nil"/>
              <w:left w:val="nil"/>
              <w:bottom w:val="nil"/>
            </w:tcBorders>
            <w:shd w:val="clear" w:color="auto" w:fill="auto"/>
            <w:vAlign w:val="bottom"/>
            <w:hideMark/>
          </w:tcPr>
          <w:p w:rsidR="00C9661E" w:rsidRPr="00C9661E" w:rsidRDefault="00C9661E" w:rsidP="00BB313D">
            <w:pPr>
              <w:widowControl w:val="0"/>
              <w:spacing w:line="240" w:lineRule="exact"/>
              <w:ind w:right="170"/>
              <w:jc w:val="right"/>
              <w:rPr>
                <w:rFonts w:cs="Arial"/>
                <w:color w:val="000000"/>
                <w:sz w:val="16"/>
                <w:szCs w:val="16"/>
              </w:rPr>
            </w:pPr>
            <w:r>
              <w:rPr>
                <w:rFonts w:cs="Arial"/>
                <w:color w:val="000000"/>
                <w:sz w:val="16"/>
                <w:szCs w:val="16"/>
              </w:rPr>
              <w:t>51,0</w:t>
            </w:r>
          </w:p>
        </w:tc>
      </w:tr>
      <w:tr w:rsidR="00C9661E" w:rsidRPr="00FC7325" w:rsidTr="00D122F5">
        <w:trPr>
          <w:jc w:val="center"/>
        </w:trPr>
        <w:tc>
          <w:tcPr>
            <w:tcW w:w="1173" w:type="pct"/>
            <w:tcBorders>
              <w:top w:val="nil"/>
              <w:left w:val="nil"/>
              <w:bottom w:val="nil"/>
              <w:right w:val="single" w:sz="8" w:space="0" w:color="BFBFBF"/>
            </w:tcBorders>
            <w:shd w:val="clear" w:color="auto" w:fill="auto"/>
            <w:hideMark/>
          </w:tcPr>
          <w:p w:rsidR="00C9661E" w:rsidRPr="00FC7325" w:rsidRDefault="00C9661E" w:rsidP="00BB313D">
            <w:pPr>
              <w:widowControl w:val="0"/>
              <w:spacing w:line="240" w:lineRule="exact"/>
              <w:rPr>
                <w:rFonts w:cs="Arial"/>
                <w:color w:val="000000"/>
                <w:sz w:val="16"/>
                <w:szCs w:val="16"/>
              </w:rPr>
            </w:pPr>
            <w:r w:rsidRPr="00FC7325">
              <w:rPr>
                <w:rFonts w:cs="Arial"/>
                <w:color w:val="000000"/>
                <w:sz w:val="16"/>
                <w:szCs w:val="16"/>
                <w:lang w:val="es-ES_tradnl"/>
              </w:rPr>
              <w:t>Construcción</w:t>
            </w:r>
          </w:p>
        </w:tc>
        <w:tc>
          <w:tcPr>
            <w:tcW w:w="990" w:type="pct"/>
            <w:tcBorders>
              <w:top w:val="nil"/>
              <w:left w:val="nil"/>
              <w:bottom w:val="nil"/>
              <w:right w:val="nil"/>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sidRPr="00FC7325">
              <w:rPr>
                <w:rFonts w:cs="Arial"/>
                <w:color w:val="000000"/>
                <w:sz w:val="16"/>
                <w:szCs w:val="16"/>
              </w:rPr>
              <w:t>58.440</w:t>
            </w:r>
          </w:p>
        </w:tc>
        <w:tc>
          <w:tcPr>
            <w:tcW w:w="916" w:type="pct"/>
            <w:tcBorders>
              <w:top w:val="nil"/>
              <w:left w:val="nil"/>
              <w:bottom w:val="nil"/>
              <w:right w:val="single" w:sz="8" w:space="0" w:color="BFBFBF"/>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sidRPr="00FC7325">
              <w:rPr>
                <w:rFonts w:cs="Arial"/>
                <w:color w:val="000000"/>
                <w:sz w:val="16"/>
                <w:szCs w:val="16"/>
              </w:rPr>
              <w:t>2,2</w:t>
            </w:r>
          </w:p>
        </w:tc>
        <w:tc>
          <w:tcPr>
            <w:tcW w:w="1045" w:type="pct"/>
            <w:tcBorders>
              <w:top w:val="nil"/>
              <w:left w:val="nil"/>
              <w:bottom w:val="nil"/>
              <w:right w:val="nil"/>
            </w:tcBorders>
            <w:shd w:val="clear" w:color="auto" w:fill="auto"/>
            <w:vAlign w:val="bottom"/>
            <w:hideMark/>
          </w:tcPr>
          <w:p w:rsidR="00C9661E" w:rsidRPr="00315167" w:rsidRDefault="00C9661E" w:rsidP="00BB313D">
            <w:pPr>
              <w:widowControl w:val="0"/>
              <w:spacing w:line="240" w:lineRule="exact"/>
              <w:ind w:right="170"/>
              <w:jc w:val="right"/>
              <w:rPr>
                <w:rFonts w:cs="Arial"/>
                <w:color w:val="000000"/>
                <w:sz w:val="16"/>
                <w:szCs w:val="16"/>
              </w:rPr>
            </w:pPr>
            <w:r w:rsidRPr="00315167">
              <w:rPr>
                <w:rFonts w:cs="Arial"/>
                <w:color w:val="000000"/>
                <w:sz w:val="16"/>
                <w:szCs w:val="16"/>
              </w:rPr>
              <w:t>49.86</w:t>
            </w:r>
            <w:r>
              <w:rPr>
                <w:rFonts w:cs="Arial"/>
                <w:color w:val="000000"/>
                <w:sz w:val="16"/>
                <w:szCs w:val="16"/>
              </w:rPr>
              <w:t>4</w:t>
            </w:r>
          </w:p>
        </w:tc>
        <w:tc>
          <w:tcPr>
            <w:tcW w:w="876" w:type="pct"/>
            <w:tcBorders>
              <w:top w:val="nil"/>
              <w:left w:val="nil"/>
              <w:bottom w:val="nil"/>
            </w:tcBorders>
            <w:shd w:val="clear" w:color="auto" w:fill="auto"/>
            <w:vAlign w:val="bottom"/>
            <w:hideMark/>
          </w:tcPr>
          <w:p w:rsidR="00C9661E" w:rsidRPr="00C9661E" w:rsidRDefault="00C9661E" w:rsidP="00BB313D">
            <w:pPr>
              <w:widowControl w:val="0"/>
              <w:spacing w:line="240" w:lineRule="exact"/>
              <w:ind w:right="170"/>
              <w:jc w:val="right"/>
              <w:rPr>
                <w:rFonts w:cs="Arial"/>
                <w:color w:val="000000"/>
                <w:sz w:val="16"/>
                <w:szCs w:val="16"/>
              </w:rPr>
            </w:pPr>
            <w:r>
              <w:rPr>
                <w:rFonts w:cs="Arial"/>
                <w:color w:val="000000"/>
                <w:sz w:val="16"/>
                <w:szCs w:val="16"/>
              </w:rPr>
              <w:t>1,9</w:t>
            </w:r>
          </w:p>
        </w:tc>
      </w:tr>
      <w:tr w:rsidR="00C9661E" w:rsidRPr="00FC7325" w:rsidTr="00D122F5">
        <w:trPr>
          <w:jc w:val="center"/>
        </w:trPr>
        <w:tc>
          <w:tcPr>
            <w:tcW w:w="1173" w:type="pct"/>
            <w:tcBorders>
              <w:top w:val="nil"/>
              <w:left w:val="nil"/>
              <w:bottom w:val="single" w:sz="8" w:space="0" w:color="BFBFBF"/>
              <w:right w:val="single" w:sz="8" w:space="0" w:color="BFBFBF"/>
            </w:tcBorders>
            <w:shd w:val="clear" w:color="auto" w:fill="auto"/>
            <w:hideMark/>
          </w:tcPr>
          <w:p w:rsidR="00C9661E" w:rsidRPr="00FC7325" w:rsidRDefault="00C9661E" w:rsidP="00BB313D">
            <w:pPr>
              <w:widowControl w:val="0"/>
              <w:spacing w:line="240" w:lineRule="exact"/>
              <w:rPr>
                <w:rFonts w:cs="Arial"/>
                <w:color w:val="000000"/>
                <w:sz w:val="16"/>
                <w:szCs w:val="16"/>
              </w:rPr>
            </w:pPr>
            <w:r w:rsidRPr="00FC7325">
              <w:rPr>
                <w:rFonts w:cs="Arial"/>
                <w:color w:val="000000"/>
                <w:sz w:val="16"/>
                <w:szCs w:val="16"/>
                <w:lang w:val="es-ES_tradnl"/>
              </w:rPr>
              <w:t>Servicios</w:t>
            </w:r>
          </w:p>
        </w:tc>
        <w:tc>
          <w:tcPr>
            <w:tcW w:w="990" w:type="pct"/>
            <w:tcBorders>
              <w:top w:val="nil"/>
              <w:left w:val="nil"/>
              <w:bottom w:val="single" w:sz="8" w:space="0" w:color="BFBFBF"/>
              <w:right w:val="nil"/>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sidRPr="00FC7325">
              <w:rPr>
                <w:rFonts w:cs="Arial"/>
                <w:color w:val="000000"/>
                <w:sz w:val="16"/>
                <w:szCs w:val="16"/>
              </w:rPr>
              <w:t>1.219.851</w:t>
            </w:r>
          </w:p>
        </w:tc>
        <w:tc>
          <w:tcPr>
            <w:tcW w:w="916" w:type="pct"/>
            <w:tcBorders>
              <w:top w:val="nil"/>
              <w:left w:val="nil"/>
              <w:bottom w:val="single" w:sz="8" w:space="0" w:color="BFBFBF"/>
              <w:right w:val="single" w:sz="8" w:space="0" w:color="BFBFBF"/>
            </w:tcBorders>
            <w:shd w:val="clear" w:color="auto" w:fill="auto"/>
            <w:hideMark/>
          </w:tcPr>
          <w:p w:rsidR="00C9661E" w:rsidRPr="00FC7325" w:rsidRDefault="00C9661E" w:rsidP="00BB313D">
            <w:pPr>
              <w:widowControl w:val="0"/>
              <w:spacing w:line="240" w:lineRule="exact"/>
              <w:ind w:right="170"/>
              <w:jc w:val="right"/>
              <w:rPr>
                <w:rFonts w:cs="Arial"/>
                <w:color w:val="000000"/>
                <w:sz w:val="16"/>
                <w:szCs w:val="16"/>
              </w:rPr>
            </w:pPr>
            <w:r>
              <w:rPr>
                <w:rFonts w:cs="Arial"/>
                <w:color w:val="000000"/>
                <w:sz w:val="16"/>
                <w:szCs w:val="16"/>
              </w:rPr>
              <w:t>46,1</w:t>
            </w:r>
          </w:p>
        </w:tc>
        <w:tc>
          <w:tcPr>
            <w:tcW w:w="1045" w:type="pct"/>
            <w:tcBorders>
              <w:top w:val="nil"/>
              <w:left w:val="nil"/>
              <w:bottom w:val="single" w:sz="8" w:space="0" w:color="BFBFBF"/>
              <w:right w:val="nil"/>
            </w:tcBorders>
            <w:shd w:val="clear" w:color="auto" w:fill="auto"/>
            <w:vAlign w:val="bottom"/>
            <w:hideMark/>
          </w:tcPr>
          <w:p w:rsidR="00C9661E" w:rsidRPr="00315167" w:rsidRDefault="00C9661E" w:rsidP="00BB313D">
            <w:pPr>
              <w:widowControl w:val="0"/>
              <w:spacing w:line="240" w:lineRule="exact"/>
              <w:ind w:right="170"/>
              <w:jc w:val="right"/>
              <w:rPr>
                <w:rFonts w:cs="Arial"/>
                <w:color w:val="000000"/>
                <w:sz w:val="16"/>
                <w:szCs w:val="16"/>
              </w:rPr>
            </w:pPr>
            <w:r w:rsidRPr="00315167">
              <w:rPr>
                <w:rFonts w:cs="Arial"/>
                <w:color w:val="000000"/>
                <w:sz w:val="16"/>
                <w:szCs w:val="16"/>
              </w:rPr>
              <w:t>1.227.15</w:t>
            </w:r>
            <w:r>
              <w:rPr>
                <w:rFonts w:cs="Arial"/>
                <w:color w:val="000000"/>
                <w:sz w:val="16"/>
                <w:szCs w:val="16"/>
              </w:rPr>
              <w:t>5</w:t>
            </w:r>
          </w:p>
        </w:tc>
        <w:tc>
          <w:tcPr>
            <w:tcW w:w="876" w:type="pct"/>
            <w:tcBorders>
              <w:top w:val="nil"/>
              <w:left w:val="nil"/>
              <w:bottom w:val="single" w:sz="8" w:space="0" w:color="BFBFBF"/>
            </w:tcBorders>
            <w:shd w:val="clear" w:color="auto" w:fill="auto"/>
            <w:vAlign w:val="bottom"/>
            <w:hideMark/>
          </w:tcPr>
          <w:p w:rsidR="00C9661E" w:rsidRPr="00C9661E" w:rsidRDefault="00C9661E" w:rsidP="00BB313D">
            <w:pPr>
              <w:widowControl w:val="0"/>
              <w:spacing w:line="240" w:lineRule="exact"/>
              <w:ind w:right="170"/>
              <w:jc w:val="right"/>
              <w:rPr>
                <w:rFonts w:cs="Arial"/>
                <w:color w:val="000000"/>
                <w:sz w:val="16"/>
                <w:szCs w:val="16"/>
              </w:rPr>
            </w:pPr>
            <w:r>
              <w:rPr>
                <w:rFonts w:cs="Arial"/>
                <w:color w:val="000000"/>
                <w:sz w:val="16"/>
                <w:szCs w:val="16"/>
              </w:rPr>
              <w:t>46,9</w:t>
            </w:r>
          </w:p>
        </w:tc>
      </w:tr>
      <w:tr w:rsidR="00315167" w:rsidRPr="00FC7325" w:rsidTr="00D122F5">
        <w:trPr>
          <w:jc w:val="center"/>
        </w:trPr>
        <w:tc>
          <w:tcPr>
            <w:tcW w:w="1173" w:type="pct"/>
            <w:tcBorders>
              <w:top w:val="nil"/>
              <w:left w:val="nil"/>
              <w:bottom w:val="single" w:sz="8" w:space="0" w:color="BFBFBF"/>
              <w:right w:val="single" w:sz="8" w:space="0" w:color="BFBFBF"/>
            </w:tcBorders>
            <w:shd w:val="clear" w:color="auto" w:fill="auto"/>
            <w:hideMark/>
          </w:tcPr>
          <w:p w:rsidR="00315167" w:rsidRPr="00FC7325" w:rsidRDefault="00315167" w:rsidP="00BB313D">
            <w:pPr>
              <w:widowControl w:val="0"/>
              <w:spacing w:line="240" w:lineRule="exact"/>
              <w:rPr>
                <w:rFonts w:cs="Arial"/>
                <w:b/>
                <w:bCs/>
                <w:color w:val="000000"/>
                <w:sz w:val="16"/>
                <w:szCs w:val="16"/>
              </w:rPr>
            </w:pPr>
            <w:r w:rsidRPr="00FC7325">
              <w:rPr>
                <w:rFonts w:cs="Arial"/>
                <w:b/>
                <w:bCs/>
                <w:color w:val="000000"/>
                <w:sz w:val="16"/>
                <w:szCs w:val="16"/>
                <w:lang w:val="es-ES_tradnl"/>
              </w:rPr>
              <w:t>TOTAL</w:t>
            </w:r>
          </w:p>
        </w:tc>
        <w:tc>
          <w:tcPr>
            <w:tcW w:w="990" w:type="pct"/>
            <w:tcBorders>
              <w:top w:val="nil"/>
              <w:left w:val="nil"/>
              <w:bottom w:val="single" w:sz="8" w:space="0" w:color="BFBFBF"/>
              <w:right w:val="nil"/>
            </w:tcBorders>
            <w:shd w:val="clear" w:color="auto" w:fill="auto"/>
            <w:hideMark/>
          </w:tcPr>
          <w:p w:rsidR="00315167" w:rsidRPr="00FC7325" w:rsidRDefault="00315167" w:rsidP="00BB313D">
            <w:pPr>
              <w:widowControl w:val="0"/>
              <w:spacing w:line="240" w:lineRule="exact"/>
              <w:ind w:right="170"/>
              <w:jc w:val="right"/>
              <w:rPr>
                <w:rFonts w:cs="Arial"/>
                <w:b/>
                <w:bCs/>
                <w:color w:val="000000"/>
                <w:sz w:val="16"/>
                <w:szCs w:val="16"/>
              </w:rPr>
            </w:pPr>
            <w:r w:rsidRPr="00FC7325">
              <w:rPr>
                <w:rFonts w:cs="Arial"/>
                <w:b/>
                <w:bCs/>
                <w:color w:val="000000"/>
                <w:sz w:val="16"/>
                <w:szCs w:val="16"/>
              </w:rPr>
              <w:t>2.643.375</w:t>
            </w:r>
          </w:p>
        </w:tc>
        <w:tc>
          <w:tcPr>
            <w:tcW w:w="916" w:type="pct"/>
            <w:tcBorders>
              <w:top w:val="nil"/>
              <w:left w:val="nil"/>
              <w:bottom w:val="single" w:sz="8" w:space="0" w:color="BFBFBF"/>
              <w:right w:val="single" w:sz="8" w:space="0" w:color="BFBFBF"/>
            </w:tcBorders>
            <w:shd w:val="clear" w:color="auto" w:fill="auto"/>
            <w:hideMark/>
          </w:tcPr>
          <w:p w:rsidR="00315167" w:rsidRPr="00FC7325" w:rsidRDefault="00315167" w:rsidP="00BB313D">
            <w:pPr>
              <w:widowControl w:val="0"/>
              <w:spacing w:line="240" w:lineRule="exact"/>
              <w:ind w:right="170"/>
              <w:jc w:val="right"/>
              <w:rPr>
                <w:rFonts w:cs="Arial"/>
                <w:b/>
                <w:bCs/>
                <w:color w:val="000000"/>
                <w:sz w:val="16"/>
                <w:szCs w:val="16"/>
              </w:rPr>
            </w:pPr>
            <w:r w:rsidRPr="00FC7325">
              <w:rPr>
                <w:rFonts w:cs="Arial"/>
                <w:b/>
                <w:bCs/>
                <w:color w:val="000000"/>
                <w:sz w:val="16"/>
                <w:szCs w:val="16"/>
              </w:rPr>
              <w:t>100</w:t>
            </w:r>
            <w:r w:rsidR="007F441F">
              <w:rPr>
                <w:rFonts w:cs="Arial"/>
                <w:b/>
                <w:bCs/>
                <w:color w:val="000000"/>
                <w:sz w:val="16"/>
                <w:szCs w:val="16"/>
              </w:rPr>
              <w:t>,0</w:t>
            </w:r>
          </w:p>
        </w:tc>
        <w:tc>
          <w:tcPr>
            <w:tcW w:w="1045" w:type="pct"/>
            <w:tcBorders>
              <w:top w:val="nil"/>
              <w:left w:val="nil"/>
              <w:bottom w:val="single" w:sz="8" w:space="0" w:color="BFBFBF"/>
              <w:right w:val="nil"/>
            </w:tcBorders>
            <w:shd w:val="clear" w:color="auto" w:fill="auto"/>
            <w:hideMark/>
          </w:tcPr>
          <w:p w:rsidR="00315167" w:rsidRPr="00C9661E" w:rsidRDefault="00C9661E" w:rsidP="00BB313D">
            <w:pPr>
              <w:widowControl w:val="0"/>
              <w:spacing w:line="240" w:lineRule="exact"/>
              <w:ind w:right="170"/>
              <w:jc w:val="right"/>
              <w:rPr>
                <w:rFonts w:cs="Arial"/>
                <w:b/>
                <w:bCs/>
                <w:color w:val="000000"/>
                <w:sz w:val="16"/>
                <w:szCs w:val="16"/>
              </w:rPr>
            </w:pPr>
            <w:r w:rsidRPr="00C9661E">
              <w:rPr>
                <w:rFonts w:cs="Arial"/>
                <w:b/>
                <w:bCs/>
                <w:color w:val="000000"/>
                <w:sz w:val="16"/>
                <w:szCs w:val="16"/>
              </w:rPr>
              <w:t>2.615.128</w:t>
            </w:r>
          </w:p>
        </w:tc>
        <w:tc>
          <w:tcPr>
            <w:tcW w:w="876" w:type="pct"/>
            <w:tcBorders>
              <w:top w:val="nil"/>
              <w:left w:val="nil"/>
              <w:bottom w:val="single" w:sz="8" w:space="0" w:color="BFBFBF"/>
            </w:tcBorders>
            <w:shd w:val="clear" w:color="auto" w:fill="auto"/>
            <w:hideMark/>
          </w:tcPr>
          <w:p w:rsidR="00315167" w:rsidRPr="00FC7325" w:rsidRDefault="00315167" w:rsidP="00BB313D">
            <w:pPr>
              <w:widowControl w:val="0"/>
              <w:spacing w:line="240" w:lineRule="exact"/>
              <w:ind w:right="170"/>
              <w:jc w:val="right"/>
              <w:rPr>
                <w:rFonts w:cs="Arial"/>
                <w:b/>
                <w:bCs/>
                <w:color w:val="000000"/>
                <w:sz w:val="16"/>
                <w:szCs w:val="16"/>
              </w:rPr>
            </w:pPr>
            <w:r w:rsidRPr="00FC7325">
              <w:rPr>
                <w:rFonts w:cs="Arial"/>
                <w:b/>
                <w:bCs/>
                <w:color w:val="000000"/>
                <w:sz w:val="16"/>
                <w:szCs w:val="16"/>
              </w:rPr>
              <w:t>100</w:t>
            </w:r>
            <w:r w:rsidR="007F441F">
              <w:rPr>
                <w:rFonts w:cs="Arial"/>
                <w:b/>
                <w:bCs/>
                <w:color w:val="000000"/>
                <w:sz w:val="16"/>
                <w:szCs w:val="16"/>
              </w:rPr>
              <w:t>,0</w:t>
            </w:r>
          </w:p>
        </w:tc>
      </w:tr>
    </w:tbl>
    <w:p w:rsidR="001C63DE" w:rsidRPr="001C63DE" w:rsidRDefault="001C63DE" w:rsidP="00BB313D">
      <w:pPr>
        <w:widowControl w:val="0"/>
        <w:rPr>
          <w:sz w:val="18"/>
          <w:szCs w:val="18"/>
        </w:rPr>
      </w:pPr>
    </w:p>
    <w:p w:rsidR="00665097" w:rsidRDefault="00DE1512" w:rsidP="00BB313D">
      <w:pPr>
        <w:widowControl w:val="0"/>
        <w:spacing w:line="240" w:lineRule="auto"/>
        <w:jc w:val="center"/>
        <w:rPr>
          <w:rFonts w:cs="Arial"/>
          <w:b/>
          <w:color w:val="1F497D" w:themeColor="text2"/>
          <w:sz w:val="18"/>
          <w:szCs w:val="18"/>
        </w:rPr>
      </w:pPr>
      <w:bookmarkStart w:id="87" w:name="_Toc391999594"/>
      <w:bookmarkStart w:id="88" w:name="_Toc450119477"/>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367DEF">
        <w:rPr>
          <w:rFonts w:cs="Arial"/>
          <w:b/>
          <w:color w:val="1F497D" w:themeColor="text2"/>
          <w:sz w:val="18"/>
          <w:szCs w:val="18"/>
        </w:rPr>
        <w:t>PARTICIPACIÓN DE LA ECONOMÍA SOCIAL EN EL PRODUCTO INTERIOR BRUTO SECTOR</w:t>
      </w:r>
      <w:r w:rsidR="00EB3600">
        <w:rPr>
          <w:rFonts w:cs="Arial"/>
          <w:b/>
          <w:color w:val="1F497D" w:themeColor="text2"/>
          <w:sz w:val="18"/>
          <w:szCs w:val="18"/>
        </w:rPr>
        <w:t>IAL. REFERENCIA COMPARATIVA 2012</w:t>
      </w:r>
      <w:r w:rsidR="00665097" w:rsidRPr="00367DEF">
        <w:rPr>
          <w:rFonts w:cs="Arial"/>
          <w:b/>
          <w:color w:val="1F497D" w:themeColor="text2"/>
          <w:sz w:val="18"/>
          <w:szCs w:val="18"/>
        </w:rPr>
        <w:t>-201</w:t>
      </w:r>
      <w:bookmarkEnd w:id="87"/>
      <w:r w:rsidR="00EB3600">
        <w:rPr>
          <w:rFonts w:cs="Arial"/>
          <w:b/>
          <w:color w:val="1F497D" w:themeColor="text2"/>
          <w:sz w:val="18"/>
          <w:szCs w:val="18"/>
        </w:rPr>
        <w:t>4</w:t>
      </w:r>
      <w:bookmarkEnd w:id="88"/>
    </w:p>
    <w:tbl>
      <w:tblPr>
        <w:tblW w:w="9940" w:type="dxa"/>
        <w:jc w:val="center"/>
        <w:tblLook w:val="04A0" w:firstRow="1" w:lastRow="0" w:firstColumn="1" w:lastColumn="0" w:noHBand="0" w:noVBand="1"/>
      </w:tblPr>
      <w:tblGrid>
        <w:gridCol w:w="4622"/>
        <w:gridCol w:w="2660"/>
        <w:gridCol w:w="2658"/>
      </w:tblGrid>
      <w:tr w:rsidR="00EB3600" w:rsidRPr="00CB1584" w:rsidTr="00D122F5">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EB3600" w:rsidRPr="00CB1584" w:rsidRDefault="00EB3600" w:rsidP="00BB313D">
            <w:pPr>
              <w:widowControl w:val="0"/>
              <w:spacing w:line="240" w:lineRule="exact"/>
              <w:rPr>
                <w:rFonts w:cs="Arial"/>
                <w:b/>
                <w:sz w:val="16"/>
                <w:szCs w:val="16"/>
              </w:rPr>
            </w:pP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EB3600" w:rsidRPr="00CB1584" w:rsidRDefault="00EB3600" w:rsidP="00BB313D">
            <w:pPr>
              <w:widowControl w:val="0"/>
              <w:spacing w:line="240" w:lineRule="exact"/>
              <w:jc w:val="center"/>
              <w:rPr>
                <w:rFonts w:cs="Arial"/>
                <w:b/>
                <w:sz w:val="16"/>
                <w:szCs w:val="16"/>
              </w:rPr>
            </w:pPr>
            <w:r w:rsidRPr="00CB1584">
              <w:rPr>
                <w:rFonts w:cs="Arial"/>
                <w:b/>
                <w:sz w:val="16"/>
                <w:szCs w:val="16"/>
              </w:rPr>
              <w:t>2012</w:t>
            </w:r>
          </w:p>
        </w:tc>
        <w:tc>
          <w:tcPr>
            <w:tcW w:w="133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EB3600" w:rsidRPr="00CB1584" w:rsidRDefault="00EB3600" w:rsidP="00BB313D">
            <w:pPr>
              <w:widowControl w:val="0"/>
              <w:spacing w:line="240" w:lineRule="exact"/>
              <w:jc w:val="center"/>
              <w:rPr>
                <w:rFonts w:cs="Arial"/>
                <w:b/>
                <w:sz w:val="16"/>
                <w:szCs w:val="16"/>
              </w:rPr>
            </w:pPr>
            <w:r>
              <w:rPr>
                <w:rFonts w:cs="Arial"/>
                <w:b/>
                <w:sz w:val="16"/>
                <w:szCs w:val="16"/>
              </w:rPr>
              <w:t>2014</w:t>
            </w:r>
          </w:p>
        </w:tc>
      </w:tr>
      <w:tr w:rsidR="00EB3600" w:rsidRPr="00CB1584" w:rsidTr="00D122F5">
        <w:trPr>
          <w:jc w:val="center"/>
        </w:trPr>
        <w:tc>
          <w:tcPr>
            <w:tcW w:w="2325" w:type="pct"/>
            <w:tcBorders>
              <w:top w:val="single" w:sz="4" w:space="0" w:color="BFBFBF" w:themeColor="background1" w:themeShade="BF"/>
              <w:right w:val="single" w:sz="4" w:space="0" w:color="BFBFBF" w:themeColor="background1" w:themeShade="BF"/>
            </w:tcBorders>
          </w:tcPr>
          <w:p w:rsidR="00EB3600" w:rsidRPr="00CB1584" w:rsidRDefault="00EB3600" w:rsidP="00BB313D">
            <w:pPr>
              <w:widowControl w:val="0"/>
              <w:spacing w:line="240" w:lineRule="exact"/>
              <w:rPr>
                <w:rFonts w:cs="Arial"/>
                <w:sz w:val="16"/>
                <w:szCs w:val="16"/>
              </w:rPr>
            </w:pPr>
            <w:r w:rsidRPr="00CB1584">
              <w:rPr>
                <w:rFonts w:cs="Arial"/>
                <w:sz w:val="16"/>
                <w:szCs w:val="16"/>
              </w:rPr>
              <w:t>Industria</w:t>
            </w:r>
          </w:p>
        </w:tc>
        <w:tc>
          <w:tcPr>
            <w:tcW w:w="1338" w:type="pct"/>
            <w:tcBorders>
              <w:top w:val="single" w:sz="4" w:space="0" w:color="BFBFBF" w:themeColor="background1" w:themeShade="BF"/>
              <w:right w:val="single" w:sz="4" w:space="0" w:color="BFBFBF" w:themeColor="background1" w:themeShade="BF"/>
            </w:tcBorders>
          </w:tcPr>
          <w:p w:rsidR="00EB3600" w:rsidRPr="00CB1584" w:rsidRDefault="00EB3600" w:rsidP="00BB313D">
            <w:pPr>
              <w:widowControl w:val="0"/>
              <w:spacing w:line="240" w:lineRule="exact"/>
              <w:ind w:right="284"/>
              <w:jc w:val="right"/>
              <w:rPr>
                <w:rFonts w:cs="Arial"/>
                <w:sz w:val="16"/>
                <w:szCs w:val="16"/>
              </w:rPr>
            </w:pPr>
            <w:r w:rsidRPr="00CB1584">
              <w:rPr>
                <w:rFonts w:cs="Arial"/>
                <w:sz w:val="16"/>
                <w:szCs w:val="16"/>
              </w:rPr>
              <w:t>9,9</w:t>
            </w:r>
          </w:p>
        </w:tc>
        <w:tc>
          <w:tcPr>
            <w:tcW w:w="1338" w:type="pct"/>
            <w:tcBorders>
              <w:top w:val="single" w:sz="4" w:space="0" w:color="BFBFBF" w:themeColor="background1" w:themeShade="BF"/>
              <w:left w:val="single" w:sz="4" w:space="0" w:color="BFBFBF" w:themeColor="background1" w:themeShade="BF"/>
            </w:tcBorders>
          </w:tcPr>
          <w:p w:rsidR="00EB3600" w:rsidRPr="00CB1584" w:rsidRDefault="00D15DD2" w:rsidP="00BB313D">
            <w:pPr>
              <w:widowControl w:val="0"/>
              <w:tabs>
                <w:tab w:val="left" w:pos="751"/>
              </w:tabs>
              <w:spacing w:line="240" w:lineRule="exact"/>
              <w:ind w:right="284"/>
              <w:jc w:val="right"/>
              <w:rPr>
                <w:rFonts w:cs="Arial"/>
                <w:sz w:val="16"/>
                <w:szCs w:val="16"/>
              </w:rPr>
            </w:pPr>
            <w:r>
              <w:rPr>
                <w:rFonts w:cs="Arial"/>
                <w:sz w:val="16"/>
                <w:szCs w:val="16"/>
              </w:rPr>
              <w:t>9,3</w:t>
            </w:r>
          </w:p>
        </w:tc>
      </w:tr>
      <w:tr w:rsidR="00EB3600" w:rsidRPr="00CB1584" w:rsidTr="00D122F5">
        <w:trPr>
          <w:jc w:val="center"/>
        </w:trPr>
        <w:tc>
          <w:tcPr>
            <w:tcW w:w="2325" w:type="pct"/>
            <w:tcBorders>
              <w:right w:val="single" w:sz="4" w:space="0" w:color="BFBFBF" w:themeColor="background1" w:themeShade="BF"/>
            </w:tcBorders>
          </w:tcPr>
          <w:p w:rsidR="00EB3600" w:rsidRPr="00CB1584" w:rsidRDefault="00EB3600" w:rsidP="00BB313D">
            <w:pPr>
              <w:widowControl w:val="0"/>
              <w:spacing w:line="240" w:lineRule="exact"/>
              <w:rPr>
                <w:rFonts w:cs="Arial"/>
                <w:sz w:val="16"/>
                <w:szCs w:val="16"/>
              </w:rPr>
            </w:pPr>
            <w:r w:rsidRPr="00CB1584">
              <w:rPr>
                <w:rFonts w:cs="Arial"/>
                <w:sz w:val="16"/>
                <w:szCs w:val="16"/>
              </w:rPr>
              <w:t>Construcción</w:t>
            </w:r>
          </w:p>
        </w:tc>
        <w:tc>
          <w:tcPr>
            <w:tcW w:w="1338" w:type="pct"/>
            <w:tcBorders>
              <w:right w:val="single" w:sz="4" w:space="0" w:color="BFBFBF" w:themeColor="background1" w:themeShade="BF"/>
            </w:tcBorders>
          </w:tcPr>
          <w:p w:rsidR="00EB3600" w:rsidRPr="00572562" w:rsidRDefault="00EB3600" w:rsidP="00BB313D">
            <w:pPr>
              <w:widowControl w:val="0"/>
              <w:spacing w:line="240" w:lineRule="exact"/>
              <w:ind w:right="284"/>
              <w:jc w:val="right"/>
              <w:rPr>
                <w:rFonts w:cs="Arial"/>
                <w:sz w:val="16"/>
                <w:szCs w:val="16"/>
              </w:rPr>
            </w:pPr>
            <w:r w:rsidRPr="00572562">
              <w:rPr>
                <w:rFonts w:cs="Arial"/>
                <w:sz w:val="16"/>
                <w:szCs w:val="16"/>
              </w:rPr>
              <w:t>1,4</w:t>
            </w:r>
          </w:p>
        </w:tc>
        <w:tc>
          <w:tcPr>
            <w:tcW w:w="1338" w:type="pct"/>
            <w:tcBorders>
              <w:left w:val="single" w:sz="4" w:space="0" w:color="BFBFBF" w:themeColor="background1" w:themeShade="BF"/>
            </w:tcBorders>
          </w:tcPr>
          <w:p w:rsidR="00EB3600" w:rsidRPr="00572562" w:rsidRDefault="00D15DD2" w:rsidP="00BB313D">
            <w:pPr>
              <w:widowControl w:val="0"/>
              <w:tabs>
                <w:tab w:val="left" w:pos="751"/>
              </w:tabs>
              <w:spacing w:line="240" w:lineRule="exact"/>
              <w:ind w:right="284"/>
              <w:jc w:val="right"/>
              <w:rPr>
                <w:rFonts w:cs="Arial"/>
                <w:sz w:val="16"/>
                <w:szCs w:val="16"/>
              </w:rPr>
            </w:pPr>
            <w:r>
              <w:rPr>
                <w:rFonts w:cs="Arial"/>
                <w:sz w:val="16"/>
                <w:szCs w:val="16"/>
              </w:rPr>
              <w:t>1,3</w:t>
            </w:r>
          </w:p>
        </w:tc>
      </w:tr>
      <w:tr w:rsidR="00EB3600" w:rsidRPr="00CB1584" w:rsidTr="00D122F5">
        <w:trPr>
          <w:jc w:val="center"/>
        </w:trPr>
        <w:tc>
          <w:tcPr>
            <w:tcW w:w="2325" w:type="pct"/>
            <w:tcBorders>
              <w:bottom w:val="single" w:sz="4" w:space="0" w:color="BFBFBF" w:themeColor="background1" w:themeShade="BF"/>
              <w:right w:val="single" w:sz="4" w:space="0" w:color="BFBFBF" w:themeColor="background1" w:themeShade="BF"/>
            </w:tcBorders>
          </w:tcPr>
          <w:p w:rsidR="00EB3600" w:rsidRPr="00CB1584" w:rsidRDefault="00EB3600" w:rsidP="00BB313D">
            <w:pPr>
              <w:widowControl w:val="0"/>
              <w:spacing w:line="240" w:lineRule="exact"/>
              <w:rPr>
                <w:rFonts w:cs="Arial"/>
                <w:sz w:val="16"/>
                <w:szCs w:val="16"/>
              </w:rPr>
            </w:pPr>
            <w:r w:rsidRPr="00CB1584">
              <w:rPr>
                <w:rFonts w:cs="Arial"/>
                <w:sz w:val="16"/>
                <w:szCs w:val="16"/>
              </w:rPr>
              <w:t>Servicios</w:t>
            </w:r>
          </w:p>
        </w:tc>
        <w:tc>
          <w:tcPr>
            <w:tcW w:w="1338" w:type="pct"/>
            <w:tcBorders>
              <w:bottom w:val="single" w:sz="4" w:space="0" w:color="BFBFBF" w:themeColor="background1" w:themeShade="BF"/>
              <w:right w:val="single" w:sz="4" w:space="0" w:color="BFBFBF" w:themeColor="background1" w:themeShade="BF"/>
            </w:tcBorders>
          </w:tcPr>
          <w:p w:rsidR="00EB3600" w:rsidRPr="00572562" w:rsidRDefault="00EB3600" w:rsidP="00BB313D">
            <w:pPr>
              <w:widowControl w:val="0"/>
              <w:spacing w:line="240" w:lineRule="exact"/>
              <w:ind w:right="284"/>
              <w:jc w:val="right"/>
              <w:rPr>
                <w:rFonts w:cs="Arial"/>
                <w:sz w:val="16"/>
                <w:szCs w:val="16"/>
              </w:rPr>
            </w:pPr>
            <w:r w:rsidRPr="00572562">
              <w:rPr>
                <w:rFonts w:cs="Arial"/>
                <w:sz w:val="16"/>
                <w:szCs w:val="16"/>
              </w:rPr>
              <w:t>3,0</w:t>
            </w:r>
          </w:p>
        </w:tc>
        <w:tc>
          <w:tcPr>
            <w:tcW w:w="1338" w:type="pct"/>
            <w:tcBorders>
              <w:left w:val="single" w:sz="4" w:space="0" w:color="BFBFBF" w:themeColor="background1" w:themeShade="BF"/>
              <w:bottom w:val="single" w:sz="4" w:space="0" w:color="BFBFBF" w:themeColor="background1" w:themeShade="BF"/>
            </w:tcBorders>
          </w:tcPr>
          <w:p w:rsidR="00EB3600" w:rsidRPr="00572562" w:rsidRDefault="0018270F" w:rsidP="00BB313D">
            <w:pPr>
              <w:widowControl w:val="0"/>
              <w:tabs>
                <w:tab w:val="left" w:pos="751"/>
              </w:tabs>
              <w:spacing w:line="240" w:lineRule="exact"/>
              <w:ind w:right="284"/>
              <w:jc w:val="right"/>
              <w:rPr>
                <w:rFonts w:cs="Arial"/>
                <w:sz w:val="16"/>
                <w:szCs w:val="16"/>
              </w:rPr>
            </w:pPr>
            <w:r>
              <w:rPr>
                <w:rFonts w:cs="Arial"/>
                <w:sz w:val="16"/>
                <w:szCs w:val="16"/>
              </w:rPr>
              <w:t>2,9</w:t>
            </w:r>
          </w:p>
        </w:tc>
      </w:tr>
      <w:tr w:rsidR="00EB3600" w:rsidRPr="00CB1584" w:rsidTr="00D122F5">
        <w:trPr>
          <w:jc w:val="center"/>
        </w:trPr>
        <w:tc>
          <w:tcPr>
            <w:tcW w:w="2325"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EB3600" w:rsidRPr="00CB1584" w:rsidRDefault="00EB3600" w:rsidP="00BB313D">
            <w:pPr>
              <w:widowControl w:val="0"/>
              <w:spacing w:line="240" w:lineRule="exact"/>
              <w:rPr>
                <w:rFonts w:cs="Arial"/>
                <w:b/>
                <w:sz w:val="16"/>
                <w:szCs w:val="16"/>
              </w:rPr>
            </w:pPr>
            <w:r w:rsidRPr="00CB1584">
              <w:rPr>
                <w:rFonts w:cs="Arial"/>
                <w:b/>
                <w:sz w:val="16"/>
                <w:szCs w:val="16"/>
              </w:rPr>
              <w:t>TOTAL</w:t>
            </w:r>
          </w:p>
        </w:tc>
        <w:tc>
          <w:tcPr>
            <w:tcW w:w="133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EB3600" w:rsidRPr="00572562" w:rsidRDefault="00EB3600" w:rsidP="00BB313D">
            <w:pPr>
              <w:widowControl w:val="0"/>
              <w:spacing w:line="240" w:lineRule="exact"/>
              <w:ind w:right="284"/>
              <w:jc w:val="right"/>
              <w:rPr>
                <w:rFonts w:cs="Arial"/>
                <w:b/>
                <w:sz w:val="16"/>
                <w:szCs w:val="16"/>
              </w:rPr>
            </w:pPr>
            <w:r w:rsidRPr="00572562">
              <w:rPr>
                <w:rFonts w:cs="Arial"/>
                <w:b/>
                <w:sz w:val="16"/>
                <w:szCs w:val="16"/>
              </w:rPr>
              <w:t>4,5</w:t>
            </w:r>
          </w:p>
        </w:tc>
        <w:tc>
          <w:tcPr>
            <w:tcW w:w="1338"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EB3600" w:rsidRPr="00572562" w:rsidRDefault="00F47436" w:rsidP="00BB313D">
            <w:pPr>
              <w:widowControl w:val="0"/>
              <w:tabs>
                <w:tab w:val="left" w:pos="751"/>
              </w:tabs>
              <w:spacing w:line="240" w:lineRule="exact"/>
              <w:ind w:right="284"/>
              <w:jc w:val="right"/>
              <w:rPr>
                <w:rFonts w:cs="Arial"/>
                <w:b/>
                <w:sz w:val="16"/>
                <w:szCs w:val="16"/>
              </w:rPr>
            </w:pPr>
            <w:r>
              <w:rPr>
                <w:rFonts w:cs="Arial"/>
                <w:b/>
                <w:sz w:val="16"/>
                <w:szCs w:val="16"/>
              </w:rPr>
              <w:t>4,3</w:t>
            </w:r>
          </w:p>
        </w:tc>
      </w:tr>
    </w:tbl>
    <w:p w:rsidR="00665097" w:rsidRPr="00013D42" w:rsidRDefault="00665097" w:rsidP="00BB313D">
      <w:pPr>
        <w:widowControl w:val="0"/>
        <w:jc w:val="center"/>
        <w:rPr>
          <w:rFonts w:cs="Arial"/>
          <w:i/>
          <w:color w:val="000000"/>
          <w:sz w:val="16"/>
          <w:szCs w:val="16"/>
        </w:rPr>
      </w:pPr>
      <w:r w:rsidRPr="00013D42">
        <w:rPr>
          <w:rFonts w:cs="Arial"/>
          <w:i/>
          <w:color w:val="000000"/>
          <w:sz w:val="16"/>
          <w:szCs w:val="16"/>
        </w:rPr>
        <w:t>Fuente para la comparación</w:t>
      </w:r>
      <w:r w:rsidR="00EB3600">
        <w:rPr>
          <w:rFonts w:cs="Arial"/>
          <w:i/>
          <w:color w:val="000000"/>
          <w:sz w:val="16"/>
          <w:szCs w:val="16"/>
        </w:rPr>
        <w:t>: Cuentas Económicas 2014</w:t>
      </w:r>
      <w:r w:rsidRPr="00013D42">
        <w:rPr>
          <w:rFonts w:cs="Arial"/>
          <w:i/>
          <w:color w:val="000000"/>
          <w:sz w:val="16"/>
          <w:szCs w:val="16"/>
        </w:rPr>
        <w:t xml:space="preserve"> </w:t>
      </w:r>
      <w:proofErr w:type="spellStart"/>
      <w:r w:rsidRPr="00013D42">
        <w:rPr>
          <w:rFonts w:cs="Arial"/>
          <w:i/>
          <w:color w:val="000000"/>
          <w:sz w:val="16"/>
          <w:szCs w:val="16"/>
        </w:rPr>
        <w:t>Eustat</w:t>
      </w:r>
      <w:proofErr w:type="spellEnd"/>
    </w:p>
    <w:p w:rsidR="00581A31" w:rsidRPr="001C63DE" w:rsidRDefault="00581A31" w:rsidP="00BB313D">
      <w:pPr>
        <w:widowControl w:val="0"/>
        <w:rPr>
          <w:sz w:val="18"/>
          <w:szCs w:val="18"/>
        </w:rPr>
      </w:pPr>
    </w:p>
    <w:p w:rsidR="001C63DE" w:rsidRPr="001C63DE" w:rsidRDefault="001C63DE" w:rsidP="00BB313D">
      <w:pPr>
        <w:widowControl w:val="0"/>
        <w:rPr>
          <w:sz w:val="18"/>
          <w:szCs w:val="18"/>
        </w:rPr>
      </w:pPr>
    </w:p>
    <w:p w:rsidR="00665097" w:rsidRPr="00367DEF" w:rsidRDefault="00DE1512" w:rsidP="00BB313D">
      <w:pPr>
        <w:widowControl w:val="0"/>
        <w:spacing w:line="240" w:lineRule="auto"/>
        <w:jc w:val="center"/>
        <w:rPr>
          <w:rFonts w:cs="Arial"/>
          <w:b/>
          <w:color w:val="1F497D" w:themeColor="text2"/>
          <w:sz w:val="18"/>
          <w:szCs w:val="18"/>
        </w:rPr>
      </w:pPr>
      <w:bookmarkStart w:id="89" w:name="_Toc391999595"/>
      <w:bookmarkStart w:id="90" w:name="_Toc450119478"/>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367DEF">
        <w:rPr>
          <w:rFonts w:cs="Arial"/>
          <w:b/>
          <w:color w:val="1F497D" w:themeColor="text2"/>
          <w:sz w:val="18"/>
          <w:szCs w:val="18"/>
        </w:rPr>
        <w:t>ECONOMÍA DE LA CAE: PRODUCTO INTERIOR BRUTO Y SUS COMPONENTES POR AÑO EN LA CAE. OFERTA Y DEMANDA. PRECIOS CORRIENTES. TASAS DE</w:t>
      </w:r>
      <w:r w:rsidR="00695FB9">
        <w:rPr>
          <w:rFonts w:cs="Arial"/>
          <w:b/>
          <w:color w:val="1F497D" w:themeColor="text2"/>
          <w:sz w:val="18"/>
          <w:szCs w:val="18"/>
        </w:rPr>
        <w:t xml:space="preserve"> VARIACIÓN INTERANUALES (%) 2012-2014</w:t>
      </w:r>
      <w:r w:rsidR="00665097" w:rsidRPr="00367DEF">
        <w:rPr>
          <w:rFonts w:cs="Arial"/>
          <w:b/>
          <w:color w:val="1F497D" w:themeColor="text2"/>
          <w:sz w:val="18"/>
          <w:szCs w:val="18"/>
        </w:rPr>
        <w:t>(a)</w:t>
      </w:r>
      <w:bookmarkEnd w:id="89"/>
      <w:bookmarkEnd w:id="90"/>
    </w:p>
    <w:tbl>
      <w:tblPr>
        <w:tblW w:w="9940" w:type="dxa"/>
        <w:jc w:val="center"/>
        <w:tblLook w:val="04A0" w:firstRow="1" w:lastRow="0" w:firstColumn="1" w:lastColumn="0" w:noHBand="0" w:noVBand="1"/>
      </w:tblPr>
      <w:tblGrid>
        <w:gridCol w:w="6002"/>
        <w:gridCol w:w="3938"/>
      </w:tblGrid>
      <w:tr w:rsidR="00665097" w:rsidRPr="006209F1" w:rsidTr="00D122F5">
        <w:trPr>
          <w:jc w:val="center"/>
        </w:trPr>
        <w:tc>
          <w:tcPr>
            <w:tcW w:w="301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6209F1" w:rsidRDefault="00665097" w:rsidP="00BB313D">
            <w:pPr>
              <w:widowControl w:val="0"/>
              <w:spacing w:line="240" w:lineRule="exact"/>
              <w:jc w:val="center"/>
              <w:rPr>
                <w:b/>
                <w:sz w:val="16"/>
                <w:szCs w:val="16"/>
              </w:rPr>
            </w:pPr>
          </w:p>
        </w:tc>
        <w:tc>
          <w:tcPr>
            <w:tcW w:w="198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6209F1" w:rsidRDefault="00695FB9" w:rsidP="00BB313D">
            <w:pPr>
              <w:widowControl w:val="0"/>
              <w:spacing w:line="240" w:lineRule="exact"/>
              <w:jc w:val="center"/>
              <w:rPr>
                <w:b/>
                <w:sz w:val="16"/>
                <w:szCs w:val="16"/>
              </w:rPr>
            </w:pPr>
            <w:bookmarkStart w:id="91" w:name="_Toc391565485"/>
            <w:r>
              <w:rPr>
                <w:b/>
                <w:sz w:val="16"/>
                <w:szCs w:val="16"/>
              </w:rPr>
              <w:t>2012</w:t>
            </w:r>
            <w:r w:rsidR="00665097" w:rsidRPr="006209F1">
              <w:rPr>
                <w:b/>
                <w:sz w:val="16"/>
                <w:szCs w:val="16"/>
              </w:rPr>
              <w:t>/201</w:t>
            </w:r>
            <w:bookmarkEnd w:id="91"/>
            <w:r>
              <w:rPr>
                <w:b/>
                <w:sz w:val="16"/>
                <w:szCs w:val="16"/>
              </w:rPr>
              <w:t>4</w:t>
            </w:r>
          </w:p>
        </w:tc>
      </w:tr>
      <w:tr w:rsidR="00665097" w:rsidRPr="00367DEF" w:rsidTr="00D122F5">
        <w:trPr>
          <w:jc w:val="center"/>
        </w:trPr>
        <w:tc>
          <w:tcPr>
            <w:tcW w:w="3019" w:type="pct"/>
            <w:tcBorders>
              <w:top w:val="single" w:sz="4" w:space="0" w:color="BFBFBF" w:themeColor="background1" w:themeShade="BF"/>
              <w:right w:val="single" w:sz="4" w:space="0" w:color="BFBFBF" w:themeColor="background1" w:themeShade="BF"/>
            </w:tcBorders>
          </w:tcPr>
          <w:p w:rsidR="00665097" w:rsidRPr="00367DEF" w:rsidRDefault="00665097" w:rsidP="00BB313D">
            <w:pPr>
              <w:widowControl w:val="0"/>
              <w:spacing w:line="220" w:lineRule="exact"/>
              <w:rPr>
                <w:rFonts w:cs="Arial"/>
                <w:sz w:val="16"/>
                <w:szCs w:val="16"/>
              </w:rPr>
            </w:pPr>
            <w:r>
              <w:rPr>
                <w:rFonts w:cs="Arial"/>
                <w:sz w:val="16"/>
                <w:szCs w:val="16"/>
              </w:rPr>
              <w:t>Agricultura</w:t>
            </w:r>
          </w:p>
        </w:tc>
        <w:tc>
          <w:tcPr>
            <w:tcW w:w="1981" w:type="pct"/>
            <w:tcBorders>
              <w:top w:val="single" w:sz="4" w:space="0" w:color="BFBFBF" w:themeColor="background1" w:themeShade="BF"/>
              <w:left w:val="single" w:sz="4" w:space="0" w:color="BFBFBF" w:themeColor="background1" w:themeShade="BF"/>
            </w:tcBorders>
            <w:vAlign w:val="bottom"/>
          </w:tcPr>
          <w:p w:rsidR="00665097" w:rsidRPr="00B75AB1" w:rsidRDefault="00695FB9" w:rsidP="00BB313D">
            <w:pPr>
              <w:widowControl w:val="0"/>
              <w:spacing w:line="220" w:lineRule="exact"/>
              <w:ind w:right="170"/>
              <w:jc w:val="center"/>
              <w:rPr>
                <w:rFonts w:cs="Arial"/>
                <w:sz w:val="16"/>
                <w:szCs w:val="16"/>
              </w:rPr>
            </w:pPr>
            <w:r>
              <w:rPr>
                <w:rFonts w:cs="Arial"/>
                <w:sz w:val="16"/>
                <w:szCs w:val="16"/>
              </w:rPr>
              <w:t>-9,3</w:t>
            </w:r>
          </w:p>
        </w:tc>
      </w:tr>
      <w:tr w:rsidR="00665097" w:rsidRPr="00367DEF" w:rsidTr="00D122F5">
        <w:trPr>
          <w:trHeight w:val="130"/>
          <w:jc w:val="center"/>
        </w:trPr>
        <w:tc>
          <w:tcPr>
            <w:tcW w:w="3019" w:type="pct"/>
            <w:tcBorders>
              <w:right w:val="single" w:sz="4" w:space="0" w:color="BFBFBF" w:themeColor="background1" w:themeShade="BF"/>
            </w:tcBorders>
          </w:tcPr>
          <w:p w:rsidR="00665097" w:rsidRPr="00367DEF" w:rsidRDefault="00665097" w:rsidP="00BB313D">
            <w:pPr>
              <w:widowControl w:val="0"/>
              <w:spacing w:line="220" w:lineRule="exact"/>
              <w:rPr>
                <w:rFonts w:cs="Arial"/>
                <w:sz w:val="16"/>
                <w:szCs w:val="16"/>
              </w:rPr>
            </w:pPr>
            <w:r w:rsidRPr="00367DEF">
              <w:rPr>
                <w:rFonts w:cs="Arial"/>
                <w:sz w:val="16"/>
                <w:szCs w:val="16"/>
              </w:rPr>
              <w:t>Industria</w:t>
            </w:r>
          </w:p>
        </w:tc>
        <w:tc>
          <w:tcPr>
            <w:tcW w:w="1981" w:type="pct"/>
            <w:tcBorders>
              <w:left w:val="single" w:sz="4" w:space="0" w:color="BFBFBF" w:themeColor="background1" w:themeShade="BF"/>
            </w:tcBorders>
            <w:vAlign w:val="bottom"/>
          </w:tcPr>
          <w:p w:rsidR="00665097" w:rsidRPr="00B75AB1" w:rsidRDefault="00665097" w:rsidP="00BB313D">
            <w:pPr>
              <w:widowControl w:val="0"/>
              <w:spacing w:line="220" w:lineRule="exact"/>
              <w:ind w:right="170"/>
              <w:jc w:val="center"/>
              <w:rPr>
                <w:rFonts w:cs="Arial"/>
                <w:sz w:val="16"/>
                <w:szCs w:val="16"/>
              </w:rPr>
            </w:pPr>
            <w:r>
              <w:rPr>
                <w:rFonts w:cs="Arial"/>
                <w:sz w:val="16"/>
                <w:szCs w:val="16"/>
              </w:rPr>
              <w:t>-</w:t>
            </w:r>
            <w:r w:rsidR="00695FB9">
              <w:rPr>
                <w:rFonts w:cs="Arial"/>
                <w:sz w:val="16"/>
                <w:szCs w:val="16"/>
              </w:rPr>
              <w:t>2,5</w:t>
            </w:r>
          </w:p>
        </w:tc>
      </w:tr>
      <w:tr w:rsidR="00665097" w:rsidRPr="00367DEF" w:rsidTr="00D122F5">
        <w:trPr>
          <w:jc w:val="center"/>
        </w:trPr>
        <w:tc>
          <w:tcPr>
            <w:tcW w:w="3019" w:type="pct"/>
            <w:tcBorders>
              <w:right w:val="single" w:sz="4" w:space="0" w:color="BFBFBF" w:themeColor="background1" w:themeShade="BF"/>
            </w:tcBorders>
          </w:tcPr>
          <w:p w:rsidR="00665097" w:rsidRPr="00367DEF" w:rsidRDefault="00665097" w:rsidP="00BB313D">
            <w:pPr>
              <w:widowControl w:val="0"/>
              <w:spacing w:line="220" w:lineRule="exact"/>
              <w:rPr>
                <w:rFonts w:cs="Arial"/>
                <w:sz w:val="16"/>
                <w:szCs w:val="16"/>
              </w:rPr>
            </w:pPr>
            <w:r w:rsidRPr="00367DEF">
              <w:rPr>
                <w:rFonts w:cs="Arial"/>
                <w:sz w:val="16"/>
                <w:szCs w:val="16"/>
              </w:rPr>
              <w:t>Construcción</w:t>
            </w:r>
          </w:p>
        </w:tc>
        <w:tc>
          <w:tcPr>
            <w:tcW w:w="1981" w:type="pct"/>
            <w:tcBorders>
              <w:left w:val="single" w:sz="4" w:space="0" w:color="BFBFBF" w:themeColor="background1" w:themeShade="BF"/>
            </w:tcBorders>
            <w:vAlign w:val="bottom"/>
          </w:tcPr>
          <w:p w:rsidR="00665097" w:rsidRPr="00B75AB1" w:rsidRDefault="00665097" w:rsidP="00BB313D">
            <w:pPr>
              <w:widowControl w:val="0"/>
              <w:spacing w:line="220" w:lineRule="exact"/>
              <w:ind w:right="170"/>
              <w:jc w:val="center"/>
              <w:rPr>
                <w:rFonts w:cs="Arial"/>
                <w:sz w:val="16"/>
                <w:szCs w:val="16"/>
              </w:rPr>
            </w:pPr>
            <w:r w:rsidRPr="00B75AB1">
              <w:rPr>
                <w:rFonts w:cs="Arial"/>
                <w:sz w:val="16"/>
                <w:szCs w:val="16"/>
              </w:rPr>
              <w:t>-</w:t>
            </w:r>
            <w:r w:rsidR="00695FB9">
              <w:rPr>
                <w:rFonts w:cs="Arial"/>
                <w:sz w:val="16"/>
                <w:szCs w:val="16"/>
              </w:rPr>
              <w:t>11,4</w:t>
            </w:r>
          </w:p>
        </w:tc>
      </w:tr>
      <w:tr w:rsidR="00665097" w:rsidRPr="00367DEF" w:rsidTr="00D122F5">
        <w:trPr>
          <w:jc w:val="center"/>
        </w:trPr>
        <w:tc>
          <w:tcPr>
            <w:tcW w:w="3019" w:type="pct"/>
            <w:tcBorders>
              <w:bottom w:val="single" w:sz="4" w:space="0" w:color="BFBFBF" w:themeColor="background1" w:themeShade="BF"/>
              <w:right w:val="single" w:sz="4" w:space="0" w:color="BFBFBF" w:themeColor="background1" w:themeShade="BF"/>
            </w:tcBorders>
          </w:tcPr>
          <w:p w:rsidR="00665097" w:rsidRPr="00367DEF" w:rsidRDefault="00665097" w:rsidP="00BB313D">
            <w:pPr>
              <w:widowControl w:val="0"/>
              <w:spacing w:line="220" w:lineRule="exact"/>
              <w:rPr>
                <w:rFonts w:cs="Arial"/>
                <w:sz w:val="16"/>
                <w:szCs w:val="16"/>
              </w:rPr>
            </w:pPr>
            <w:r w:rsidRPr="00367DEF">
              <w:rPr>
                <w:rFonts w:cs="Arial"/>
                <w:sz w:val="16"/>
                <w:szCs w:val="16"/>
              </w:rPr>
              <w:t>Servicios</w:t>
            </w:r>
          </w:p>
        </w:tc>
        <w:tc>
          <w:tcPr>
            <w:tcW w:w="1981" w:type="pct"/>
            <w:tcBorders>
              <w:left w:val="single" w:sz="4" w:space="0" w:color="BFBFBF" w:themeColor="background1" w:themeShade="BF"/>
              <w:bottom w:val="single" w:sz="4" w:space="0" w:color="BFBFBF" w:themeColor="background1" w:themeShade="BF"/>
            </w:tcBorders>
            <w:vAlign w:val="bottom"/>
          </w:tcPr>
          <w:p w:rsidR="00665097" w:rsidRPr="00B75AB1" w:rsidRDefault="00695FB9" w:rsidP="00BB313D">
            <w:pPr>
              <w:widowControl w:val="0"/>
              <w:spacing w:line="220" w:lineRule="exact"/>
              <w:ind w:right="170"/>
              <w:jc w:val="center"/>
              <w:rPr>
                <w:rFonts w:cs="Arial"/>
                <w:sz w:val="16"/>
                <w:szCs w:val="16"/>
              </w:rPr>
            </w:pPr>
            <w:r>
              <w:rPr>
                <w:rFonts w:cs="Arial"/>
                <w:sz w:val="16"/>
                <w:szCs w:val="16"/>
              </w:rPr>
              <w:t>1,0</w:t>
            </w:r>
          </w:p>
        </w:tc>
      </w:tr>
      <w:tr w:rsidR="00665097" w:rsidRPr="006209F1" w:rsidTr="00D122F5">
        <w:trPr>
          <w:jc w:val="center"/>
        </w:trPr>
        <w:tc>
          <w:tcPr>
            <w:tcW w:w="301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6209F1" w:rsidRDefault="00665097" w:rsidP="00BB313D">
            <w:pPr>
              <w:widowControl w:val="0"/>
              <w:spacing w:line="240" w:lineRule="exact"/>
              <w:rPr>
                <w:b/>
                <w:sz w:val="16"/>
                <w:szCs w:val="16"/>
              </w:rPr>
            </w:pPr>
            <w:bookmarkStart w:id="92" w:name="_Toc391565486"/>
            <w:r w:rsidRPr="006209F1">
              <w:rPr>
                <w:b/>
                <w:sz w:val="16"/>
                <w:szCs w:val="16"/>
              </w:rPr>
              <w:t>VAB a precios básicos</w:t>
            </w:r>
            <w:bookmarkEnd w:id="92"/>
          </w:p>
        </w:tc>
        <w:tc>
          <w:tcPr>
            <w:tcW w:w="198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665097" w:rsidRPr="006209F1" w:rsidRDefault="00695FB9" w:rsidP="00BB313D">
            <w:pPr>
              <w:widowControl w:val="0"/>
              <w:spacing w:line="240" w:lineRule="exact"/>
              <w:ind w:right="170"/>
              <w:jc w:val="center"/>
              <w:rPr>
                <w:b/>
                <w:sz w:val="16"/>
                <w:szCs w:val="16"/>
              </w:rPr>
            </w:pPr>
            <w:r>
              <w:rPr>
                <w:b/>
                <w:sz w:val="16"/>
                <w:szCs w:val="16"/>
              </w:rPr>
              <w:t>-0,8</w:t>
            </w:r>
          </w:p>
        </w:tc>
      </w:tr>
    </w:tbl>
    <w:p w:rsidR="00665097" w:rsidRPr="00B75AB1" w:rsidRDefault="00665097" w:rsidP="00BB313D">
      <w:pPr>
        <w:widowControl w:val="0"/>
        <w:jc w:val="center"/>
        <w:rPr>
          <w:rFonts w:cs="Arial"/>
          <w:i/>
          <w:sz w:val="16"/>
          <w:szCs w:val="16"/>
        </w:rPr>
      </w:pPr>
      <w:r w:rsidRPr="00B75AB1">
        <w:rPr>
          <w:rFonts w:cs="Arial"/>
          <w:i/>
          <w:sz w:val="16"/>
          <w:szCs w:val="16"/>
        </w:rPr>
        <w:t>Fuente para la comparación: Elaboración propia a partir de EUSTAT 20</w:t>
      </w:r>
      <w:r w:rsidR="00695FB9">
        <w:rPr>
          <w:rFonts w:cs="Arial"/>
          <w:i/>
          <w:sz w:val="16"/>
          <w:szCs w:val="16"/>
        </w:rPr>
        <w:t>14</w:t>
      </w:r>
    </w:p>
    <w:p w:rsidR="00581A31" w:rsidRPr="001C63DE" w:rsidRDefault="00581A31" w:rsidP="00BB313D">
      <w:pPr>
        <w:widowControl w:val="0"/>
        <w:rPr>
          <w:sz w:val="2"/>
          <w:szCs w:val="2"/>
        </w:rPr>
      </w:pPr>
      <w:bookmarkStart w:id="93" w:name="_Toc391565487"/>
    </w:p>
    <w:p w:rsidR="00695FB9" w:rsidRDefault="00695FB9" w:rsidP="00BB313D">
      <w:pPr>
        <w:pStyle w:val="Ttulo1"/>
        <w:keepNext w:val="0"/>
        <w:ind w:left="708" w:hanging="708"/>
        <w:rPr>
          <w:color w:val="1F497D" w:themeColor="text2"/>
          <w:sz w:val="22"/>
          <w:szCs w:val="22"/>
        </w:rPr>
      </w:pPr>
      <w:bookmarkStart w:id="94" w:name="_Toc391999512"/>
    </w:p>
    <w:p w:rsidR="00BB313D" w:rsidRDefault="00BB313D">
      <w:pPr>
        <w:spacing w:after="200" w:line="276" w:lineRule="auto"/>
        <w:jc w:val="left"/>
        <w:rPr>
          <w:rFonts w:eastAsia="Times New Roman" w:cs="Times New Roman"/>
          <w:b/>
          <w:snapToGrid w:val="0"/>
          <w:color w:val="1F497D" w:themeColor="text2"/>
          <w:sz w:val="22"/>
          <w:lang w:eastAsia="es-ES"/>
        </w:rPr>
      </w:pPr>
      <w:r>
        <w:rPr>
          <w:color w:val="1F497D" w:themeColor="text2"/>
          <w:sz w:val="22"/>
        </w:rPr>
        <w:br w:type="page"/>
      </w:r>
    </w:p>
    <w:p w:rsidR="00665097" w:rsidRPr="007F1968" w:rsidRDefault="00665097" w:rsidP="00BB313D">
      <w:pPr>
        <w:pStyle w:val="Ttulo1"/>
        <w:keepNext w:val="0"/>
        <w:ind w:left="708" w:hanging="708"/>
        <w:rPr>
          <w:color w:val="1F497D" w:themeColor="text2"/>
          <w:sz w:val="22"/>
          <w:szCs w:val="22"/>
        </w:rPr>
      </w:pPr>
      <w:bookmarkStart w:id="95" w:name="_Toc450118905"/>
      <w:r w:rsidRPr="007F1968">
        <w:rPr>
          <w:color w:val="1F497D" w:themeColor="text2"/>
          <w:sz w:val="22"/>
          <w:szCs w:val="22"/>
        </w:rPr>
        <w:lastRenderedPageBreak/>
        <w:t>1.3.2.- La Evolución de la Producti</w:t>
      </w:r>
      <w:r w:rsidR="00656507">
        <w:rPr>
          <w:color w:val="1F497D" w:themeColor="text2"/>
          <w:sz w:val="22"/>
          <w:szCs w:val="22"/>
        </w:rPr>
        <w:t>vidad aparente en el Bienio 2012</w:t>
      </w:r>
      <w:r w:rsidRPr="007F1968">
        <w:rPr>
          <w:color w:val="1F497D" w:themeColor="text2"/>
          <w:sz w:val="22"/>
          <w:szCs w:val="22"/>
        </w:rPr>
        <w:t>-201</w:t>
      </w:r>
      <w:bookmarkEnd w:id="93"/>
      <w:bookmarkEnd w:id="94"/>
      <w:r w:rsidR="00656507">
        <w:rPr>
          <w:color w:val="1F497D" w:themeColor="text2"/>
          <w:sz w:val="22"/>
          <w:szCs w:val="22"/>
        </w:rPr>
        <w:t>4</w:t>
      </w:r>
      <w:bookmarkEnd w:id="95"/>
    </w:p>
    <w:p w:rsidR="00AC5A66" w:rsidRPr="004F011F" w:rsidRDefault="00AC5A66" w:rsidP="00BB313D">
      <w:pPr>
        <w:widowControl w:val="0"/>
        <w:spacing w:line="240" w:lineRule="auto"/>
        <w:ind w:left="851" w:hanging="851"/>
        <w:rPr>
          <w:rFonts w:cs="Arial"/>
          <w:b/>
          <w:color w:val="1F497D" w:themeColor="text2"/>
          <w:sz w:val="22"/>
          <w:highlight w:val="red"/>
        </w:rPr>
      </w:pPr>
    </w:p>
    <w:p w:rsidR="00665097" w:rsidRPr="00EB6E90" w:rsidRDefault="00665097" w:rsidP="00BB313D">
      <w:pPr>
        <w:widowControl w:val="0"/>
        <w:spacing w:line="240" w:lineRule="auto"/>
        <w:ind w:left="360"/>
        <w:rPr>
          <w:rFonts w:cs="Arial"/>
          <w:color w:val="1F497D" w:themeColor="text2"/>
          <w:sz w:val="2"/>
          <w:szCs w:val="2"/>
        </w:rPr>
      </w:pPr>
    </w:p>
    <w:p w:rsidR="00665097" w:rsidRDefault="00DE1512" w:rsidP="00BB313D">
      <w:pPr>
        <w:widowControl w:val="0"/>
        <w:spacing w:line="240" w:lineRule="auto"/>
        <w:jc w:val="center"/>
        <w:rPr>
          <w:rFonts w:cs="Arial"/>
          <w:b/>
          <w:color w:val="1F497D" w:themeColor="text2"/>
          <w:sz w:val="18"/>
          <w:szCs w:val="18"/>
        </w:rPr>
      </w:pPr>
      <w:bookmarkStart w:id="96" w:name="_Toc391999596"/>
      <w:bookmarkStart w:id="97" w:name="_Toc450119479"/>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EB6E90">
        <w:rPr>
          <w:rFonts w:cs="Arial"/>
          <w:b/>
          <w:color w:val="1F497D" w:themeColor="text2"/>
          <w:sz w:val="18"/>
          <w:szCs w:val="18"/>
        </w:rPr>
        <w:t>EVOLUCIÓN DE LA PRODUCTIVIDAD APARENTE SECTORIAL DE LA EC</w:t>
      </w:r>
      <w:r w:rsidR="00656507">
        <w:rPr>
          <w:rFonts w:cs="Arial"/>
          <w:b/>
          <w:color w:val="1F497D" w:themeColor="text2"/>
          <w:sz w:val="18"/>
          <w:szCs w:val="18"/>
        </w:rPr>
        <w:t>ONOMÍA SOCIAL EN EL PERIODO 2012-2014</w:t>
      </w:r>
      <w:r w:rsidR="00665097" w:rsidRPr="00EB6E90">
        <w:rPr>
          <w:rFonts w:cs="Arial"/>
          <w:b/>
          <w:color w:val="1F497D" w:themeColor="text2"/>
          <w:sz w:val="18"/>
          <w:szCs w:val="18"/>
        </w:rPr>
        <w:t>. (VAB Euros/Empleado. Precios Corrientes)</w:t>
      </w:r>
      <w:bookmarkEnd w:id="96"/>
      <w:bookmarkEnd w:id="97"/>
    </w:p>
    <w:tbl>
      <w:tblPr>
        <w:tblW w:w="9940" w:type="dxa"/>
        <w:jc w:val="center"/>
        <w:tblLook w:val="04A0" w:firstRow="1" w:lastRow="0" w:firstColumn="1" w:lastColumn="0" w:noHBand="0" w:noVBand="1"/>
      </w:tblPr>
      <w:tblGrid>
        <w:gridCol w:w="3772"/>
        <w:gridCol w:w="3085"/>
        <w:gridCol w:w="3083"/>
      </w:tblGrid>
      <w:tr w:rsidR="00863611" w:rsidRPr="006209F1" w:rsidTr="00D122F5">
        <w:trPr>
          <w:jc w:val="center"/>
        </w:trPr>
        <w:tc>
          <w:tcPr>
            <w:tcW w:w="189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863611" w:rsidRPr="006209F1" w:rsidRDefault="00863611" w:rsidP="00BB313D">
            <w:pPr>
              <w:widowControl w:val="0"/>
              <w:spacing w:line="240" w:lineRule="exact"/>
              <w:rPr>
                <w:b/>
                <w:sz w:val="16"/>
                <w:szCs w:val="16"/>
              </w:rPr>
            </w:pPr>
          </w:p>
        </w:tc>
        <w:tc>
          <w:tcPr>
            <w:tcW w:w="155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863611" w:rsidRPr="006209F1" w:rsidRDefault="00863611" w:rsidP="00BB313D">
            <w:pPr>
              <w:widowControl w:val="0"/>
              <w:spacing w:line="240" w:lineRule="exact"/>
              <w:jc w:val="center"/>
              <w:rPr>
                <w:b/>
                <w:sz w:val="16"/>
                <w:szCs w:val="16"/>
              </w:rPr>
            </w:pPr>
            <w:r w:rsidRPr="006209F1">
              <w:rPr>
                <w:b/>
                <w:sz w:val="16"/>
                <w:szCs w:val="16"/>
              </w:rPr>
              <w:t>2012</w:t>
            </w:r>
          </w:p>
        </w:tc>
        <w:tc>
          <w:tcPr>
            <w:tcW w:w="15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863611" w:rsidRPr="006209F1" w:rsidRDefault="00863611" w:rsidP="00BB313D">
            <w:pPr>
              <w:widowControl w:val="0"/>
              <w:spacing w:line="240" w:lineRule="exact"/>
              <w:jc w:val="center"/>
              <w:rPr>
                <w:b/>
                <w:sz w:val="16"/>
                <w:szCs w:val="16"/>
              </w:rPr>
            </w:pPr>
            <w:bookmarkStart w:id="98" w:name="_Toc391565488"/>
            <w:r w:rsidRPr="006209F1">
              <w:rPr>
                <w:b/>
                <w:sz w:val="16"/>
                <w:szCs w:val="16"/>
              </w:rPr>
              <w:t>201</w:t>
            </w:r>
            <w:bookmarkEnd w:id="98"/>
            <w:r w:rsidR="00656507">
              <w:rPr>
                <w:b/>
                <w:sz w:val="16"/>
                <w:szCs w:val="16"/>
              </w:rPr>
              <w:t>4</w:t>
            </w:r>
          </w:p>
        </w:tc>
      </w:tr>
      <w:tr w:rsidR="00EC6DAF" w:rsidRPr="00367DEF" w:rsidTr="00D122F5">
        <w:trPr>
          <w:trHeight w:val="130"/>
          <w:jc w:val="center"/>
        </w:trPr>
        <w:tc>
          <w:tcPr>
            <w:tcW w:w="1897" w:type="pct"/>
            <w:tcBorders>
              <w:right w:val="single" w:sz="4" w:space="0" w:color="BFBFBF" w:themeColor="background1" w:themeShade="BF"/>
            </w:tcBorders>
          </w:tcPr>
          <w:p w:rsidR="00EC6DAF" w:rsidRPr="00367DEF" w:rsidRDefault="00EC6DAF" w:rsidP="00BB313D">
            <w:pPr>
              <w:widowControl w:val="0"/>
              <w:spacing w:line="220" w:lineRule="exact"/>
              <w:rPr>
                <w:rFonts w:cs="Arial"/>
                <w:sz w:val="16"/>
                <w:szCs w:val="16"/>
              </w:rPr>
            </w:pPr>
            <w:r w:rsidRPr="00367DEF">
              <w:rPr>
                <w:rFonts w:cs="Arial"/>
                <w:sz w:val="16"/>
                <w:szCs w:val="16"/>
              </w:rPr>
              <w:t>Industria</w:t>
            </w:r>
          </w:p>
        </w:tc>
        <w:tc>
          <w:tcPr>
            <w:tcW w:w="1552" w:type="pct"/>
            <w:tcBorders>
              <w:right w:val="single" w:sz="4" w:space="0" w:color="BFBFBF" w:themeColor="background1" w:themeShade="BF"/>
            </w:tcBorders>
            <w:vAlign w:val="bottom"/>
          </w:tcPr>
          <w:p w:rsidR="00EC6DAF" w:rsidRPr="00CF464F" w:rsidRDefault="00EC6DAF" w:rsidP="00BB313D">
            <w:pPr>
              <w:widowControl w:val="0"/>
              <w:spacing w:line="220" w:lineRule="exact"/>
              <w:ind w:right="170"/>
              <w:jc w:val="right"/>
              <w:rPr>
                <w:rFonts w:cs="Arial"/>
                <w:sz w:val="16"/>
                <w:szCs w:val="16"/>
              </w:rPr>
            </w:pPr>
            <w:r w:rsidRPr="00CF464F">
              <w:rPr>
                <w:rFonts w:cs="Arial"/>
                <w:sz w:val="16"/>
                <w:szCs w:val="16"/>
              </w:rPr>
              <w:t>53.001</w:t>
            </w:r>
          </w:p>
        </w:tc>
        <w:tc>
          <w:tcPr>
            <w:tcW w:w="1551" w:type="pct"/>
            <w:tcBorders>
              <w:left w:val="single" w:sz="4" w:space="0" w:color="BFBFBF" w:themeColor="background1" w:themeShade="BF"/>
            </w:tcBorders>
            <w:vAlign w:val="bottom"/>
          </w:tcPr>
          <w:p w:rsidR="00EC6DAF" w:rsidRPr="00EC6DAF" w:rsidRDefault="00EC6DAF" w:rsidP="00BB313D">
            <w:pPr>
              <w:widowControl w:val="0"/>
              <w:spacing w:line="220" w:lineRule="exact"/>
              <w:ind w:right="170"/>
              <w:jc w:val="right"/>
              <w:rPr>
                <w:rFonts w:cs="Arial"/>
                <w:sz w:val="16"/>
                <w:szCs w:val="16"/>
              </w:rPr>
            </w:pPr>
            <w:r w:rsidRPr="00EC6DAF">
              <w:rPr>
                <w:rFonts w:cs="Arial"/>
                <w:sz w:val="16"/>
                <w:szCs w:val="16"/>
              </w:rPr>
              <w:t>56.049</w:t>
            </w:r>
          </w:p>
        </w:tc>
      </w:tr>
      <w:tr w:rsidR="00EC6DAF" w:rsidRPr="00367DEF" w:rsidTr="00D122F5">
        <w:trPr>
          <w:jc w:val="center"/>
        </w:trPr>
        <w:tc>
          <w:tcPr>
            <w:tcW w:w="1897" w:type="pct"/>
            <w:tcBorders>
              <w:right w:val="single" w:sz="4" w:space="0" w:color="BFBFBF" w:themeColor="background1" w:themeShade="BF"/>
            </w:tcBorders>
          </w:tcPr>
          <w:p w:rsidR="00EC6DAF" w:rsidRPr="00367DEF" w:rsidRDefault="00EC6DAF" w:rsidP="00BB313D">
            <w:pPr>
              <w:widowControl w:val="0"/>
              <w:spacing w:line="220" w:lineRule="exact"/>
              <w:rPr>
                <w:rFonts w:cs="Arial"/>
                <w:sz w:val="16"/>
                <w:szCs w:val="16"/>
              </w:rPr>
            </w:pPr>
            <w:r w:rsidRPr="00367DEF">
              <w:rPr>
                <w:rFonts w:cs="Arial"/>
                <w:sz w:val="16"/>
                <w:szCs w:val="16"/>
              </w:rPr>
              <w:t>Construcción</w:t>
            </w:r>
          </w:p>
        </w:tc>
        <w:tc>
          <w:tcPr>
            <w:tcW w:w="1552" w:type="pct"/>
            <w:tcBorders>
              <w:right w:val="single" w:sz="4" w:space="0" w:color="BFBFBF" w:themeColor="background1" w:themeShade="BF"/>
            </w:tcBorders>
            <w:vAlign w:val="bottom"/>
          </w:tcPr>
          <w:p w:rsidR="00EC6DAF" w:rsidRPr="00CF464F" w:rsidRDefault="00EC6DAF" w:rsidP="00BB313D">
            <w:pPr>
              <w:widowControl w:val="0"/>
              <w:spacing w:line="220" w:lineRule="exact"/>
              <w:ind w:right="170"/>
              <w:jc w:val="right"/>
              <w:rPr>
                <w:rFonts w:cs="Arial"/>
                <w:sz w:val="16"/>
                <w:szCs w:val="16"/>
              </w:rPr>
            </w:pPr>
            <w:r w:rsidRPr="00CF464F">
              <w:rPr>
                <w:rFonts w:cs="Arial"/>
                <w:sz w:val="16"/>
                <w:szCs w:val="16"/>
              </w:rPr>
              <w:t>29.220</w:t>
            </w:r>
          </w:p>
        </w:tc>
        <w:tc>
          <w:tcPr>
            <w:tcW w:w="1551" w:type="pct"/>
            <w:tcBorders>
              <w:left w:val="single" w:sz="4" w:space="0" w:color="BFBFBF" w:themeColor="background1" w:themeShade="BF"/>
            </w:tcBorders>
            <w:vAlign w:val="bottom"/>
          </w:tcPr>
          <w:p w:rsidR="00EC6DAF" w:rsidRPr="00EC6DAF" w:rsidRDefault="00EC6DAF" w:rsidP="00BB313D">
            <w:pPr>
              <w:widowControl w:val="0"/>
              <w:spacing w:line="220" w:lineRule="exact"/>
              <w:ind w:right="170"/>
              <w:jc w:val="right"/>
              <w:rPr>
                <w:rFonts w:cs="Arial"/>
                <w:sz w:val="16"/>
                <w:szCs w:val="16"/>
              </w:rPr>
            </w:pPr>
            <w:r w:rsidRPr="00EC6DAF">
              <w:rPr>
                <w:rFonts w:cs="Arial"/>
                <w:sz w:val="16"/>
                <w:szCs w:val="16"/>
              </w:rPr>
              <w:t>31.184</w:t>
            </w:r>
          </w:p>
        </w:tc>
      </w:tr>
      <w:tr w:rsidR="00EC6DAF" w:rsidRPr="00367DEF" w:rsidTr="00D122F5">
        <w:trPr>
          <w:jc w:val="center"/>
        </w:trPr>
        <w:tc>
          <w:tcPr>
            <w:tcW w:w="1897" w:type="pct"/>
            <w:tcBorders>
              <w:bottom w:val="single" w:sz="4" w:space="0" w:color="BFBFBF" w:themeColor="background1" w:themeShade="BF"/>
              <w:right w:val="single" w:sz="4" w:space="0" w:color="BFBFBF" w:themeColor="background1" w:themeShade="BF"/>
            </w:tcBorders>
          </w:tcPr>
          <w:p w:rsidR="00EC6DAF" w:rsidRPr="00367DEF" w:rsidRDefault="00EC6DAF" w:rsidP="00BB313D">
            <w:pPr>
              <w:widowControl w:val="0"/>
              <w:spacing w:line="220" w:lineRule="exact"/>
              <w:rPr>
                <w:rFonts w:cs="Arial"/>
                <w:sz w:val="16"/>
                <w:szCs w:val="16"/>
              </w:rPr>
            </w:pPr>
            <w:r w:rsidRPr="00367DEF">
              <w:rPr>
                <w:rFonts w:cs="Arial"/>
                <w:sz w:val="16"/>
                <w:szCs w:val="16"/>
              </w:rPr>
              <w:t>Servicios</w:t>
            </w:r>
          </w:p>
        </w:tc>
        <w:tc>
          <w:tcPr>
            <w:tcW w:w="1552" w:type="pct"/>
            <w:tcBorders>
              <w:bottom w:val="single" w:sz="4" w:space="0" w:color="BFBFBF" w:themeColor="background1" w:themeShade="BF"/>
              <w:right w:val="single" w:sz="4" w:space="0" w:color="BFBFBF" w:themeColor="background1" w:themeShade="BF"/>
            </w:tcBorders>
            <w:vAlign w:val="bottom"/>
          </w:tcPr>
          <w:p w:rsidR="00EC6DAF" w:rsidRPr="00CF464F" w:rsidRDefault="00EC6DAF" w:rsidP="00BB313D">
            <w:pPr>
              <w:widowControl w:val="0"/>
              <w:spacing w:line="220" w:lineRule="exact"/>
              <w:ind w:right="170"/>
              <w:jc w:val="right"/>
              <w:rPr>
                <w:rFonts w:cs="Arial"/>
                <w:sz w:val="16"/>
                <w:szCs w:val="16"/>
              </w:rPr>
            </w:pPr>
            <w:r>
              <w:rPr>
                <w:rFonts w:cs="Arial"/>
                <w:sz w:val="16"/>
                <w:szCs w:val="16"/>
              </w:rPr>
              <w:t>43.620</w:t>
            </w:r>
          </w:p>
        </w:tc>
        <w:tc>
          <w:tcPr>
            <w:tcW w:w="1551" w:type="pct"/>
            <w:tcBorders>
              <w:left w:val="single" w:sz="4" w:space="0" w:color="BFBFBF" w:themeColor="background1" w:themeShade="BF"/>
              <w:bottom w:val="single" w:sz="4" w:space="0" w:color="BFBFBF" w:themeColor="background1" w:themeShade="BF"/>
            </w:tcBorders>
            <w:vAlign w:val="bottom"/>
          </w:tcPr>
          <w:p w:rsidR="00EC6DAF" w:rsidRPr="00EC6DAF" w:rsidRDefault="00EC6DAF" w:rsidP="00BB313D">
            <w:pPr>
              <w:widowControl w:val="0"/>
              <w:spacing w:line="220" w:lineRule="exact"/>
              <w:ind w:right="170"/>
              <w:jc w:val="right"/>
              <w:rPr>
                <w:rFonts w:cs="Arial"/>
                <w:sz w:val="16"/>
                <w:szCs w:val="16"/>
              </w:rPr>
            </w:pPr>
            <w:r w:rsidRPr="00EC6DAF">
              <w:rPr>
                <w:rFonts w:cs="Arial"/>
                <w:sz w:val="16"/>
                <w:szCs w:val="16"/>
              </w:rPr>
              <w:t>42.308</w:t>
            </w:r>
          </w:p>
        </w:tc>
      </w:tr>
      <w:tr w:rsidR="00EC6DAF" w:rsidRPr="006209F1" w:rsidTr="00D122F5">
        <w:trPr>
          <w:jc w:val="center"/>
        </w:trPr>
        <w:tc>
          <w:tcPr>
            <w:tcW w:w="189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EC6DAF" w:rsidRPr="006209F1" w:rsidRDefault="00EC6DAF" w:rsidP="00BB313D">
            <w:pPr>
              <w:widowControl w:val="0"/>
              <w:spacing w:line="240" w:lineRule="exact"/>
              <w:rPr>
                <w:b/>
                <w:sz w:val="16"/>
                <w:szCs w:val="16"/>
              </w:rPr>
            </w:pPr>
            <w:bookmarkStart w:id="99" w:name="_Toc391565490"/>
            <w:r w:rsidRPr="006209F1">
              <w:rPr>
                <w:b/>
                <w:sz w:val="16"/>
                <w:szCs w:val="16"/>
              </w:rPr>
              <w:t>TOTAL</w:t>
            </w:r>
            <w:bookmarkEnd w:id="99"/>
          </w:p>
        </w:tc>
        <w:tc>
          <w:tcPr>
            <w:tcW w:w="155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EC6DAF" w:rsidRPr="006209F1" w:rsidRDefault="00EC6DAF" w:rsidP="00BB313D">
            <w:pPr>
              <w:widowControl w:val="0"/>
              <w:spacing w:line="240" w:lineRule="exact"/>
              <w:ind w:right="170"/>
              <w:jc w:val="right"/>
              <w:rPr>
                <w:b/>
                <w:sz w:val="16"/>
                <w:szCs w:val="16"/>
              </w:rPr>
            </w:pPr>
            <w:r w:rsidRPr="006209F1">
              <w:rPr>
                <w:b/>
                <w:sz w:val="16"/>
                <w:szCs w:val="16"/>
              </w:rPr>
              <w:t>47.364</w:t>
            </w:r>
          </w:p>
        </w:tc>
        <w:tc>
          <w:tcPr>
            <w:tcW w:w="155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EC6DAF" w:rsidRPr="00EC6DAF" w:rsidRDefault="00EC6DAF" w:rsidP="00BB313D">
            <w:pPr>
              <w:widowControl w:val="0"/>
              <w:spacing w:line="240" w:lineRule="exact"/>
              <w:ind w:right="170"/>
              <w:jc w:val="right"/>
              <w:rPr>
                <w:rFonts w:ascii="Calibri" w:eastAsia="Times New Roman" w:hAnsi="Calibri" w:cs="Times New Roman"/>
                <w:b/>
                <w:bCs/>
                <w:color w:val="000000"/>
                <w:sz w:val="18"/>
                <w:szCs w:val="18"/>
                <w:lang w:eastAsia="es-ES"/>
              </w:rPr>
            </w:pPr>
            <w:r w:rsidRPr="00EC6DAF">
              <w:rPr>
                <w:b/>
                <w:sz w:val="16"/>
                <w:szCs w:val="16"/>
              </w:rPr>
              <w:t>47.912</w:t>
            </w:r>
          </w:p>
        </w:tc>
      </w:tr>
    </w:tbl>
    <w:p w:rsidR="00665097" w:rsidRDefault="00665097" w:rsidP="00BB313D">
      <w:pPr>
        <w:widowControl w:val="0"/>
      </w:pPr>
    </w:p>
    <w:p w:rsidR="00665097" w:rsidRPr="007F1968" w:rsidRDefault="00665097" w:rsidP="00BB313D">
      <w:pPr>
        <w:pStyle w:val="Ttulo1"/>
        <w:keepNext w:val="0"/>
        <w:ind w:left="708" w:hanging="708"/>
        <w:rPr>
          <w:color w:val="1F497D" w:themeColor="text2"/>
          <w:sz w:val="22"/>
          <w:szCs w:val="22"/>
        </w:rPr>
      </w:pPr>
      <w:bookmarkStart w:id="100" w:name="_Toc391999513"/>
      <w:bookmarkStart w:id="101" w:name="_Toc450118906"/>
      <w:r w:rsidRPr="007F1968">
        <w:rPr>
          <w:color w:val="1F497D" w:themeColor="text2"/>
          <w:sz w:val="22"/>
          <w:szCs w:val="22"/>
        </w:rPr>
        <w:t>1.4.-</w:t>
      </w:r>
      <w:r w:rsidRPr="007F1968">
        <w:rPr>
          <w:color w:val="1F497D" w:themeColor="text2"/>
          <w:sz w:val="22"/>
          <w:szCs w:val="22"/>
        </w:rPr>
        <w:tab/>
        <w:t>LAS CUENTAS DE RESULTADOS DE LA ECONOMÍA SOCIAL</w:t>
      </w:r>
      <w:bookmarkEnd w:id="100"/>
      <w:bookmarkEnd w:id="101"/>
    </w:p>
    <w:p w:rsidR="00665097" w:rsidRDefault="00665097" w:rsidP="00BB313D">
      <w:pPr>
        <w:widowControl w:val="0"/>
        <w:rPr>
          <w:highlight w:val="red"/>
        </w:rPr>
      </w:pPr>
    </w:p>
    <w:p w:rsidR="00581A31" w:rsidRPr="00EB6E90" w:rsidRDefault="00581A31" w:rsidP="00BB313D">
      <w:pPr>
        <w:widowControl w:val="0"/>
        <w:rPr>
          <w:highlight w:val="red"/>
        </w:rPr>
      </w:pPr>
    </w:p>
    <w:p w:rsidR="00665097" w:rsidRPr="00EB6E90" w:rsidRDefault="00665097" w:rsidP="00BB313D">
      <w:pPr>
        <w:widowControl w:val="0"/>
        <w:spacing w:line="240" w:lineRule="auto"/>
        <w:rPr>
          <w:rFonts w:cs="Arial"/>
          <w:color w:val="1F497D" w:themeColor="text2"/>
          <w:sz w:val="2"/>
          <w:szCs w:val="2"/>
        </w:rPr>
      </w:pPr>
    </w:p>
    <w:p w:rsidR="00665097" w:rsidRPr="00EB6E90" w:rsidRDefault="00DE1512" w:rsidP="00BB313D">
      <w:pPr>
        <w:widowControl w:val="0"/>
        <w:spacing w:line="240" w:lineRule="auto"/>
        <w:jc w:val="center"/>
        <w:rPr>
          <w:rFonts w:cs="Arial"/>
          <w:b/>
          <w:color w:val="1F497D" w:themeColor="text2"/>
          <w:sz w:val="18"/>
          <w:szCs w:val="18"/>
        </w:rPr>
      </w:pPr>
      <w:bookmarkStart w:id="102" w:name="_Toc391999654"/>
      <w:bookmarkStart w:id="103" w:name="_Toc450119995"/>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EB6E90">
        <w:rPr>
          <w:rFonts w:cs="Arial"/>
          <w:b/>
          <w:color w:val="1F497D" w:themeColor="text2"/>
          <w:sz w:val="18"/>
          <w:szCs w:val="18"/>
        </w:rPr>
        <w:t>EVOLUCIÓN DE LOS RESULTADOS EC</w:t>
      </w:r>
      <w:r w:rsidR="00665097">
        <w:rPr>
          <w:rFonts w:cs="Arial"/>
          <w:b/>
          <w:color w:val="1F497D" w:themeColor="text2"/>
          <w:sz w:val="18"/>
          <w:szCs w:val="18"/>
        </w:rPr>
        <w:t>ONÓMICOS (BENEFICIOS) Y DEL CAS</w:t>
      </w:r>
      <w:r w:rsidR="00665097" w:rsidRPr="00EB6E90">
        <w:rPr>
          <w:rFonts w:cs="Arial"/>
          <w:b/>
          <w:color w:val="1F497D" w:themeColor="text2"/>
          <w:sz w:val="18"/>
          <w:szCs w:val="18"/>
        </w:rPr>
        <w:t>H FLOW DE LA ECONOMÍA SOCIAL</w:t>
      </w:r>
      <w:r w:rsidR="00665097">
        <w:rPr>
          <w:rFonts w:cs="Arial"/>
          <w:b/>
          <w:color w:val="1F497D" w:themeColor="text2"/>
          <w:sz w:val="18"/>
          <w:szCs w:val="18"/>
        </w:rPr>
        <w:t xml:space="preserve"> 2002</w:t>
      </w:r>
      <w:r w:rsidR="00EC6DAF">
        <w:rPr>
          <w:rFonts w:cs="Arial"/>
          <w:b/>
          <w:color w:val="1F497D" w:themeColor="text2"/>
          <w:sz w:val="18"/>
          <w:szCs w:val="18"/>
        </w:rPr>
        <w:t xml:space="preserve">-2014 </w:t>
      </w:r>
      <w:r w:rsidR="00665097" w:rsidRPr="00EB6E90">
        <w:rPr>
          <w:rFonts w:cs="Arial"/>
          <w:b/>
          <w:color w:val="1F497D" w:themeColor="text2"/>
          <w:sz w:val="18"/>
          <w:szCs w:val="18"/>
        </w:rPr>
        <w:t>(</w:t>
      </w:r>
      <w:r w:rsidR="007D763B">
        <w:rPr>
          <w:rFonts w:cs="Arial"/>
          <w:b/>
          <w:color w:val="1F497D" w:themeColor="text2"/>
          <w:sz w:val="18"/>
          <w:szCs w:val="18"/>
        </w:rPr>
        <w:t xml:space="preserve">cifras absolutas </w:t>
      </w:r>
      <w:r w:rsidR="00665097" w:rsidRPr="00EB6E90">
        <w:rPr>
          <w:rFonts w:cs="Arial"/>
          <w:b/>
          <w:color w:val="1F497D" w:themeColor="text2"/>
          <w:sz w:val="18"/>
          <w:szCs w:val="18"/>
        </w:rPr>
        <w:t>en miles</w:t>
      </w:r>
      <w:r w:rsidR="007D763B">
        <w:rPr>
          <w:rFonts w:cs="Arial"/>
          <w:b/>
          <w:color w:val="1F497D" w:themeColor="text2"/>
          <w:sz w:val="18"/>
          <w:szCs w:val="18"/>
        </w:rPr>
        <w:t xml:space="preserve"> de euros</w:t>
      </w:r>
      <w:r w:rsidR="00665097" w:rsidRPr="00EB6E90">
        <w:rPr>
          <w:rFonts w:cs="Arial"/>
          <w:b/>
          <w:color w:val="1F497D" w:themeColor="text2"/>
          <w:sz w:val="18"/>
          <w:szCs w:val="18"/>
        </w:rPr>
        <w:t>)</w:t>
      </w:r>
      <w:bookmarkEnd w:id="102"/>
      <w:bookmarkEnd w:id="103"/>
    </w:p>
    <w:p w:rsidR="00665097" w:rsidRDefault="0005244B" w:rsidP="00BB313D">
      <w:pPr>
        <w:widowControl w:val="0"/>
        <w:jc w:val="center"/>
        <w:rPr>
          <w:rFonts w:cs="Arial"/>
          <w:b/>
          <w:color w:val="000080"/>
          <w:sz w:val="16"/>
          <w:szCs w:val="16"/>
        </w:rPr>
      </w:pPr>
      <w:r>
        <w:rPr>
          <w:rFonts w:cs="Arial"/>
          <w:b/>
          <w:noProof/>
          <w:color w:val="000080"/>
          <w:sz w:val="16"/>
          <w:szCs w:val="16"/>
          <w:lang w:eastAsia="es-ES"/>
        </w:rPr>
        <w:drawing>
          <wp:anchor distT="103632" distB="78613" distL="547116" distR="556260" simplePos="0" relativeHeight="251787264" behindDoc="0" locked="0" layoutInCell="1" allowOverlap="1">
            <wp:simplePos x="0" y="0"/>
            <wp:positionH relativeFrom="column">
              <wp:posOffset>-405987</wp:posOffset>
            </wp:positionH>
            <wp:positionV relativeFrom="paragraph">
              <wp:posOffset>92267</wp:posOffset>
            </wp:positionV>
            <wp:extent cx="5911703" cy="1733107"/>
            <wp:effectExtent l="0" t="0" r="0" b="0"/>
            <wp:wrapNone/>
            <wp:docPr id="25"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665097" w:rsidRDefault="00665097" w:rsidP="00BB313D">
      <w:pPr>
        <w:widowControl w:val="0"/>
        <w:jc w:val="center"/>
        <w:rPr>
          <w:rFonts w:cs="Arial"/>
          <w:b/>
          <w:color w:val="000080"/>
          <w:sz w:val="16"/>
          <w:szCs w:val="16"/>
        </w:rPr>
      </w:pPr>
    </w:p>
    <w:p w:rsidR="00665097" w:rsidRDefault="00665097" w:rsidP="00BB313D">
      <w:pPr>
        <w:widowControl w:val="0"/>
        <w:jc w:val="center"/>
        <w:rPr>
          <w:rFonts w:cs="Arial"/>
          <w:b/>
          <w:color w:val="000080"/>
          <w:sz w:val="16"/>
          <w:szCs w:val="16"/>
        </w:rPr>
      </w:pPr>
    </w:p>
    <w:p w:rsidR="00665097" w:rsidRDefault="00665097" w:rsidP="00BB313D">
      <w:pPr>
        <w:widowControl w:val="0"/>
        <w:jc w:val="center"/>
        <w:rPr>
          <w:rFonts w:cs="Arial"/>
          <w:b/>
          <w:color w:val="000080"/>
          <w:sz w:val="16"/>
          <w:szCs w:val="16"/>
        </w:rPr>
      </w:pPr>
    </w:p>
    <w:p w:rsidR="00665097" w:rsidRDefault="00665097" w:rsidP="00BB313D">
      <w:pPr>
        <w:widowControl w:val="0"/>
        <w:jc w:val="center"/>
        <w:rPr>
          <w:rFonts w:cs="Arial"/>
          <w:b/>
          <w:color w:val="000080"/>
          <w:sz w:val="16"/>
          <w:szCs w:val="16"/>
        </w:rPr>
      </w:pPr>
    </w:p>
    <w:p w:rsidR="00665097" w:rsidRDefault="00665097" w:rsidP="00BB313D">
      <w:pPr>
        <w:widowControl w:val="0"/>
        <w:jc w:val="center"/>
        <w:rPr>
          <w:rFonts w:cs="Arial"/>
          <w:b/>
          <w:color w:val="000080"/>
          <w:sz w:val="16"/>
          <w:szCs w:val="16"/>
        </w:rPr>
      </w:pPr>
    </w:p>
    <w:p w:rsidR="00665097" w:rsidRPr="00562971" w:rsidRDefault="00665097" w:rsidP="00BB313D">
      <w:pPr>
        <w:widowControl w:val="0"/>
        <w:jc w:val="center"/>
        <w:rPr>
          <w:rFonts w:cs="Arial"/>
          <w:b/>
          <w:color w:val="000080"/>
          <w:sz w:val="16"/>
          <w:szCs w:val="16"/>
        </w:rPr>
      </w:pPr>
    </w:p>
    <w:p w:rsidR="00665097" w:rsidRPr="00562971" w:rsidRDefault="00665097" w:rsidP="00BB313D">
      <w:pPr>
        <w:widowControl w:val="0"/>
        <w:ind w:firstLine="709"/>
        <w:jc w:val="center"/>
        <w:rPr>
          <w:rFonts w:ascii="Tahoma" w:hAnsi="Tahoma" w:cs="Arial"/>
          <w:b/>
          <w:i/>
          <w:sz w:val="16"/>
          <w:szCs w:val="16"/>
        </w:rPr>
      </w:pPr>
    </w:p>
    <w:p w:rsidR="00665097" w:rsidRDefault="00665097" w:rsidP="00BB313D">
      <w:pPr>
        <w:widowControl w:val="0"/>
        <w:ind w:firstLine="709"/>
        <w:jc w:val="center"/>
        <w:rPr>
          <w:rFonts w:ascii="Tahoma" w:hAnsi="Tahoma" w:cs="Arial"/>
          <w:b/>
          <w:i/>
          <w:sz w:val="16"/>
          <w:szCs w:val="16"/>
        </w:rPr>
      </w:pPr>
    </w:p>
    <w:p w:rsidR="00665097" w:rsidRDefault="00665097" w:rsidP="00BB313D">
      <w:pPr>
        <w:widowControl w:val="0"/>
      </w:pPr>
    </w:p>
    <w:p w:rsidR="00665097" w:rsidRDefault="00665097" w:rsidP="00BB313D">
      <w:pPr>
        <w:widowControl w:val="0"/>
      </w:pPr>
    </w:p>
    <w:p w:rsidR="00665097" w:rsidRPr="00EB6E90" w:rsidRDefault="00DE1512" w:rsidP="00BB313D">
      <w:pPr>
        <w:widowControl w:val="0"/>
        <w:spacing w:line="240" w:lineRule="auto"/>
        <w:jc w:val="center"/>
        <w:rPr>
          <w:rFonts w:cs="Arial"/>
          <w:b/>
          <w:color w:val="1F497D" w:themeColor="text2"/>
          <w:sz w:val="18"/>
          <w:szCs w:val="18"/>
        </w:rPr>
      </w:pPr>
      <w:bookmarkStart w:id="104" w:name="_Toc391999597"/>
      <w:bookmarkStart w:id="105" w:name="_Toc45011948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EB6E90">
        <w:rPr>
          <w:rFonts w:cs="Arial"/>
          <w:b/>
          <w:color w:val="1F497D" w:themeColor="text2"/>
          <w:sz w:val="18"/>
          <w:szCs w:val="18"/>
        </w:rPr>
        <w:t>DISTRIBUCIÓN DEL BENEFICIO Y CASH F</w:t>
      </w:r>
      <w:r w:rsidR="00675F70">
        <w:rPr>
          <w:rFonts w:cs="Arial"/>
          <w:b/>
          <w:color w:val="1F497D" w:themeColor="text2"/>
          <w:sz w:val="18"/>
          <w:szCs w:val="18"/>
        </w:rPr>
        <w:t>LOW POR SECTOR DE ACTIVIDAD 2014</w:t>
      </w:r>
      <w:r w:rsidR="00665097" w:rsidRPr="00EB6E90">
        <w:rPr>
          <w:rFonts w:cs="Arial"/>
          <w:b/>
          <w:color w:val="1F497D" w:themeColor="text2"/>
          <w:sz w:val="18"/>
          <w:szCs w:val="18"/>
        </w:rPr>
        <w:t xml:space="preserve"> (%</w:t>
      </w:r>
      <w:r w:rsidR="00476C04">
        <w:rPr>
          <w:rFonts w:cs="Arial"/>
          <w:b/>
          <w:color w:val="1F497D" w:themeColor="text2"/>
          <w:sz w:val="18"/>
          <w:szCs w:val="18"/>
        </w:rPr>
        <w:t xml:space="preserve"> </w:t>
      </w:r>
      <w:r w:rsidR="00665097" w:rsidRPr="00EB6E90">
        <w:rPr>
          <w:rFonts w:cs="Arial"/>
          <w:b/>
          <w:color w:val="1F497D" w:themeColor="text2"/>
          <w:sz w:val="18"/>
          <w:szCs w:val="18"/>
        </w:rPr>
        <w:t>v</w:t>
      </w:r>
      <w:r w:rsidR="00476C04">
        <w:rPr>
          <w:rFonts w:cs="Arial"/>
          <w:b/>
          <w:color w:val="1F497D" w:themeColor="text2"/>
          <w:sz w:val="18"/>
          <w:szCs w:val="18"/>
        </w:rPr>
        <w:t>erticales</w:t>
      </w:r>
      <w:r w:rsidR="00665097" w:rsidRPr="00EB6E90">
        <w:rPr>
          <w:rFonts w:cs="Arial"/>
          <w:b/>
          <w:color w:val="1F497D" w:themeColor="text2"/>
          <w:sz w:val="18"/>
          <w:szCs w:val="18"/>
        </w:rPr>
        <w:t>)</w:t>
      </w:r>
      <w:bookmarkEnd w:id="104"/>
      <w:bookmarkEnd w:id="105"/>
    </w:p>
    <w:tbl>
      <w:tblPr>
        <w:tblW w:w="9940" w:type="dxa"/>
        <w:jc w:val="center"/>
        <w:tblCellMar>
          <w:left w:w="70" w:type="dxa"/>
          <w:right w:w="70" w:type="dxa"/>
        </w:tblCellMar>
        <w:tblLook w:val="04A0" w:firstRow="1" w:lastRow="0" w:firstColumn="1" w:lastColumn="0" w:noHBand="0" w:noVBand="1"/>
      </w:tblPr>
      <w:tblGrid>
        <w:gridCol w:w="3817"/>
        <w:gridCol w:w="3302"/>
        <w:gridCol w:w="2821"/>
      </w:tblGrid>
      <w:tr w:rsidR="00665097" w:rsidRPr="0048134B" w:rsidTr="00D122F5">
        <w:trPr>
          <w:jc w:val="center"/>
        </w:trPr>
        <w:tc>
          <w:tcPr>
            <w:tcW w:w="1920" w:type="pct"/>
            <w:tcBorders>
              <w:top w:val="single" w:sz="8" w:space="0" w:color="BFBFBF"/>
              <w:left w:val="nil"/>
              <w:bottom w:val="single" w:sz="8" w:space="0" w:color="BFBFBF"/>
              <w:right w:val="single" w:sz="8" w:space="0" w:color="BFBFBF"/>
            </w:tcBorders>
            <w:shd w:val="clear" w:color="000000" w:fill="DBE5F1"/>
            <w:vAlign w:val="bottom"/>
            <w:hideMark/>
          </w:tcPr>
          <w:p w:rsidR="00665097" w:rsidRPr="0048134B" w:rsidRDefault="00665097" w:rsidP="00BB313D">
            <w:pPr>
              <w:widowControl w:val="0"/>
              <w:spacing w:line="240" w:lineRule="exact"/>
              <w:jc w:val="center"/>
              <w:rPr>
                <w:rFonts w:cs="Arial"/>
                <w:b/>
                <w:bCs/>
                <w:color w:val="000000"/>
                <w:sz w:val="16"/>
                <w:szCs w:val="16"/>
              </w:rPr>
            </w:pPr>
            <w:r w:rsidRPr="0048134B">
              <w:rPr>
                <w:rFonts w:cs="Arial"/>
                <w:b/>
                <w:bCs/>
                <w:color w:val="000000"/>
                <w:sz w:val="16"/>
                <w:szCs w:val="16"/>
              </w:rPr>
              <w:t> </w:t>
            </w:r>
          </w:p>
        </w:tc>
        <w:tc>
          <w:tcPr>
            <w:tcW w:w="1661" w:type="pct"/>
            <w:tcBorders>
              <w:top w:val="single" w:sz="8" w:space="0" w:color="BFBFBF"/>
              <w:left w:val="nil"/>
              <w:bottom w:val="single" w:sz="8" w:space="0" w:color="BFBFBF"/>
              <w:right w:val="nil"/>
            </w:tcBorders>
            <w:shd w:val="clear" w:color="000000" w:fill="DBE5F1"/>
            <w:vAlign w:val="bottom"/>
            <w:hideMark/>
          </w:tcPr>
          <w:p w:rsidR="00665097" w:rsidRPr="0048134B" w:rsidRDefault="00665097" w:rsidP="00BB313D">
            <w:pPr>
              <w:widowControl w:val="0"/>
              <w:spacing w:line="240" w:lineRule="exact"/>
              <w:jc w:val="center"/>
              <w:rPr>
                <w:rFonts w:cs="Arial"/>
                <w:b/>
                <w:bCs/>
                <w:color w:val="000000"/>
                <w:sz w:val="16"/>
                <w:szCs w:val="16"/>
              </w:rPr>
            </w:pPr>
            <w:r w:rsidRPr="0048134B">
              <w:rPr>
                <w:rFonts w:cs="Arial"/>
                <w:b/>
                <w:bCs/>
                <w:color w:val="000000"/>
                <w:sz w:val="16"/>
                <w:szCs w:val="16"/>
              </w:rPr>
              <w:t>Resultados</w:t>
            </w:r>
          </w:p>
        </w:tc>
        <w:tc>
          <w:tcPr>
            <w:tcW w:w="1419" w:type="pct"/>
            <w:tcBorders>
              <w:top w:val="single" w:sz="8" w:space="0" w:color="BFBFBF"/>
              <w:left w:val="single" w:sz="8" w:space="0" w:color="BFBFBF"/>
              <w:bottom w:val="single" w:sz="8" w:space="0" w:color="BFBFBF"/>
              <w:right w:val="nil"/>
            </w:tcBorders>
            <w:shd w:val="clear" w:color="000000" w:fill="DBE5F1"/>
            <w:vAlign w:val="bottom"/>
            <w:hideMark/>
          </w:tcPr>
          <w:p w:rsidR="00665097" w:rsidRPr="0048134B" w:rsidRDefault="00665097" w:rsidP="00BB313D">
            <w:pPr>
              <w:widowControl w:val="0"/>
              <w:spacing w:line="240" w:lineRule="exact"/>
              <w:jc w:val="center"/>
              <w:rPr>
                <w:rFonts w:cs="Arial"/>
                <w:b/>
                <w:bCs/>
                <w:color w:val="000000"/>
                <w:sz w:val="16"/>
                <w:szCs w:val="16"/>
              </w:rPr>
            </w:pPr>
            <w:r w:rsidRPr="0048134B">
              <w:rPr>
                <w:rFonts w:cs="Arial"/>
                <w:b/>
                <w:bCs/>
                <w:color w:val="000000"/>
                <w:sz w:val="16"/>
                <w:szCs w:val="16"/>
              </w:rPr>
              <w:t>Cash-Flow</w:t>
            </w:r>
          </w:p>
        </w:tc>
      </w:tr>
      <w:tr w:rsidR="00665097" w:rsidRPr="0048134B" w:rsidTr="00D122F5">
        <w:trPr>
          <w:jc w:val="center"/>
        </w:trPr>
        <w:tc>
          <w:tcPr>
            <w:tcW w:w="1920" w:type="pct"/>
            <w:tcBorders>
              <w:top w:val="nil"/>
              <w:left w:val="nil"/>
              <w:bottom w:val="nil"/>
              <w:right w:val="single" w:sz="8" w:space="0" w:color="BFBFBF"/>
            </w:tcBorders>
            <w:shd w:val="clear" w:color="auto" w:fill="auto"/>
            <w:hideMark/>
          </w:tcPr>
          <w:p w:rsidR="00665097" w:rsidRPr="0048134B" w:rsidRDefault="00665097" w:rsidP="00BB313D">
            <w:pPr>
              <w:widowControl w:val="0"/>
              <w:spacing w:line="240" w:lineRule="exact"/>
              <w:rPr>
                <w:rFonts w:cs="Arial"/>
                <w:color w:val="000000"/>
                <w:sz w:val="16"/>
                <w:szCs w:val="16"/>
              </w:rPr>
            </w:pPr>
            <w:r w:rsidRPr="0048134B">
              <w:rPr>
                <w:rFonts w:cs="Arial"/>
                <w:color w:val="000000"/>
                <w:sz w:val="16"/>
                <w:szCs w:val="16"/>
              </w:rPr>
              <w:t>Primario</w:t>
            </w:r>
          </w:p>
        </w:tc>
        <w:tc>
          <w:tcPr>
            <w:tcW w:w="1661" w:type="pct"/>
            <w:tcBorders>
              <w:top w:val="nil"/>
              <w:left w:val="nil"/>
              <w:bottom w:val="nil"/>
              <w:right w:val="nil"/>
            </w:tcBorders>
            <w:shd w:val="clear" w:color="auto" w:fill="auto"/>
            <w:hideMark/>
          </w:tcPr>
          <w:p w:rsidR="00665097" w:rsidRPr="0048134B" w:rsidRDefault="00675F70" w:rsidP="00BB313D">
            <w:pPr>
              <w:widowControl w:val="0"/>
              <w:spacing w:line="240" w:lineRule="exact"/>
              <w:ind w:right="170"/>
              <w:jc w:val="right"/>
              <w:rPr>
                <w:rFonts w:cs="Arial"/>
                <w:color w:val="000000"/>
                <w:sz w:val="16"/>
                <w:szCs w:val="16"/>
              </w:rPr>
            </w:pPr>
            <w:r>
              <w:rPr>
                <w:rFonts w:cs="Arial"/>
                <w:color w:val="000000"/>
                <w:sz w:val="16"/>
                <w:szCs w:val="16"/>
              </w:rPr>
              <w:t>0,2</w:t>
            </w:r>
          </w:p>
        </w:tc>
        <w:tc>
          <w:tcPr>
            <w:tcW w:w="1419" w:type="pct"/>
            <w:tcBorders>
              <w:top w:val="nil"/>
              <w:left w:val="single" w:sz="8" w:space="0" w:color="BFBFBF"/>
              <w:bottom w:val="nil"/>
              <w:right w:val="nil"/>
            </w:tcBorders>
            <w:shd w:val="clear" w:color="auto" w:fill="auto"/>
            <w:hideMark/>
          </w:tcPr>
          <w:p w:rsidR="00665097" w:rsidRPr="0048134B" w:rsidRDefault="009A78BB" w:rsidP="00BB313D">
            <w:pPr>
              <w:widowControl w:val="0"/>
              <w:spacing w:line="240" w:lineRule="exact"/>
              <w:ind w:right="170"/>
              <w:jc w:val="right"/>
              <w:rPr>
                <w:rFonts w:cs="Arial"/>
                <w:color w:val="000000"/>
                <w:sz w:val="16"/>
                <w:szCs w:val="16"/>
              </w:rPr>
            </w:pPr>
            <w:r>
              <w:rPr>
                <w:rFonts w:cs="Arial"/>
                <w:color w:val="000000"/>
                <w:sz w:val="16"/>
                <w:szCs w:val="16"/>
              </w:rPr>
              <w:t>0,2</w:t>
            </w:r>
          </w:p>
        </w:tc>
      </w:tr>
      <w:tr w:rsidR="00665097" w:rsidRPr="0048134B" w:rsidTr="00D122F5">
        <w:trPr>
          <w:jc w:val="center"/>
        </w:trPr>
        <w:tc>
          <w:tcPr>
            <w:tcW w:w="1920" w:type="pct"/>
            <w:tcBorders>
              <w:top w:val="nil"/>
              <w:left w:val="nil"/>
              <w:bottom w:val="nil"/>
              <w:right w:val="single" w:sz="8" w:space="0" w:color="BFBFBF"/>
            </w:tcBorders>
            <w:shd w:val="clear" w:color="auto" w:fill="auto"/>
            <w:hideMark/>
          </w:tcPr>
          <w:p w:rsidR="00665097" w:rsidRPr="0048134B" w:rsidRDefault="00665097" w:rsidP="00BB313D">
            <w:pPr>
              <w:widowControl w:val="0"/>
              <w:spacing w:line="240" w:lineRule="exact"/>
              <w:rPr>
                <w:rFonts w:cs="Arial"/>
                <w:color w:val="000000"/>
                <w:sz w:val="16"/>
                <w:szCs w:val="16"/>
              </w:rPr>
            </w:pPr>
            <w:r w:rsidRPr="0048134B">
              <w:rPr>
                <w:rFonts w:cs="Arial"/>
                <w:color w:val="000000"/>
                <w:sz w:val="16"/>
                <w:szCs w:val="16"/>
              </w:rPr>
              <w:t>Industria</w:t>
            </w:r>
          </w:p>
        </w:tc>
        <w:tc>
          <w:tcPr>
            <w:tcW w:w="1661" w:type="pct"/>
            <w:tcBorders>
              <w:top w:val="nil"/>
              <w:left w:val="nil"/>
              <w:bottom w:val="nil"/>
              <w:right w:val="nil"/>
            </w:tcBorders>
            <w:shd w:val="clear" w:color="auto" w:fill="auto"/>
            <w:hideMark/>
          </w:tcPr>
          <w:p w:rsidR="00665097" w:rsidRPr="0048134B" w:rsidRDefault="00665097" w:rsidP="00BB313D">
            <w:pPr>
              <w:widowControl w:val="0"/>
              <w:spacing w:line="240" w:lineRule="exact"/>
              <w:ind w:right="170"/>
              <w:jc w:val="right"/>
              <w:rPr>
                <w:rFonts w:cs="Arial"/>
                <w:color w:val="000000"/>
                <w:sz w:val="16"/>
                <w:szCs w:val="16"/>
              </w:rPr>
            </w:pPr>
            <w:r w:rsidRPr="0048134B">
              <w:rPr>
                <w:rFonts w:cs="Arial"/>
                <w:color w:val="000000"/>
                <w:sz w:val="16"/>
                <w:szCs w:val="16"/>
              </w:rPr>
              <w:t>10</w:t>
            </w:r>
            <w:r w:rsidR="00675F70">
              <w:rPr>
                <w:rFonts w:cs="Arial"/>
                <w:color w:val="000000"/>
                <w:sz w:val="16"/>
                <w:szCs w:val="16"/>
              </w:rPr>
              <w:t>8,3</w:t>
            </w:r>
          </w:p>
        </w:tc>
        <w:tc>
          <w:tcPr>
            <w:tcW w:w="1419" w:type="pct"/>
            <w:tcBorders>
              <w:top w:val="nil"/>
              <w:left w:val="single" w:sz="8" w:space="0" w:color="BFBFBF"/>
              <w:bottom w:val="nil"/>
              <w:right w:val="nil"/>
            </w:tcBorders>
            <w:shd w:val="clear" w:color="auto" w:fill="auto"/>
            <w:hideMark/>
          </w:tcPr>
          <w:p w:rsidR="00665097" w:rsidRPr="0048134B" w:rsidRDefault="009A78BB" w:rsidP="00BB313D">
            <w:pPr>
              <w:widowControl w:val="0"/>
              <w:spacing w:line="240" w:lineRule="exact"/>
              <w:ind w:right="170"/>
              <w:jc w:val="right"/>
              <w:rPr>
                <w:rFonts w:cs="Arial"/>
                <w:color w:val="000000"/>
                <w:sz w:val="16"/>
                <w:szCs w:val="16"/>
              </w:rPr>
            </w:pPr>
            <w:r>
              <w:rPr>
                <w:rFonts w:cs="Arial"/>
                <w:color w:val="000000"/>
                <w:sz w:val="16"/>
                <w:szCs w:val="16"/>
              </w:rPr>
              <w:t>44,5</w:t>
            </w:r>
          </w:p>
        </w:tc>
      </w:tr>
      <w:tr w:rsidR="00665097" w:rsidRPr="0048134B" w:rsidTr="00D122F5">
        <w:trPr>
          <w:jc w:val="center"/>
        </w:trPr>
        <w:tc>
          <w:tcPr>
            <w:tcW w:w="1920" w:type="pct"/>
            <w:tcBorders>
              <w:top w:val="nil"/>
              <w:left w:val="nil"/>
              <w:bottom w:val="nil"/>
              <w:right w:val="single" w:sz="8" w:space="0" w:color="BFBFBF"/>
            </w:tcBorders>
            <w:shd w:val="clear" w:color="auto" w:fill="auto"/>
            <w:hideMark/>
          </w:tcPr>
          <w:p w:rsidR="00665097" w:rsidRPr="0048134B" w:rsidRDefault="00665097" w:rsidP="00BB313D">
            <w:pPr>
              <w:widowControl w:val="0"/>
              <w:spacing w:line="240" w:lineRule="exact"/>
              <w:rPr>
                <w:rFonts w:cs="Arial"/>
                <w:color w:val="000000"/>
                <w:sz w:val="16"/>
                <w:szCs w:val="16"/>
              </w:rPr>
            </w:pPr>
            <w:r w:rsidRPr="0048134B">
              <w:rPr>
                <w:rFonts w:cs="Arial"/>
                <w:color w:val="000000"/>
                <w:sz w:val="16"/>
                <w:szCs w:val="16"/>
              </w:rPr>
              <w:t>Construcción</w:t>
            </w:r>
          </w:p>
        </w:tc>
        <w:tc>
          <w:tcPr>
            <w:tcW w:w="1661" w:type="pct"/>
            <w:tcBorders>
              <w:top w:val="nil"/>
              <w:left w:val="nil"/>
              <w:bottom w:val="nil"/>
              <w:right w:val="nil"/>
            </w:tcBorders>
            <w:shd w:val="clear" w:color="auto" w:fill="auto"/>
            <w:hideMark/>
          </w:tcPr>
          <w:p w:rsidR="00665097" w:rsidRPr="0048134B" w:rsidRDefault="00665097" w:rsidP="00BB313D">
            <w:pPr>
              <w:widowControl w:val="0"/>
              <w:spacing w:line="240" w:lineRule="exact"/>
              <w:ind w:right="170"/>
              <w:jc w:val="right"/>
              <w:rPr>
                <w:rFonts w:cs="Arial"/>
                <w:color w:val="000000"/>
                <w:sz w:val="16"/>
                <w:szCs w:val="16"/>
              </w:rPr>
            </w:pPr>
            <w:r w:rsidRPr="0048134B">
              <w:rPr>
                <w:rFonts w:cs="Arial"/>
                <w:color w:val="000000"/>
                <w:sz w:val="16"/>
                <w:szCs w:val="16"/>
              </w:rPr>
              <w:t>-</w:t>
            </w:r>
            <w:r w:rsidR="00675F70">
              <w:rPr>
                <w:rFonts w:cs="Arial"/>
                <w:color w:val="000000"/>
                <w:sz w:val="16"/>
                <w:szCs w:val="16"/>
              </w:rPr>
              <w:t>0,1</w:t>
            </w:r>
          </w:p>
        </w:tc>
        <w:tc>
          <w:tcPr>
            <w:tcW w:w="1419" w:type="pct"/>
            <w:tcBorders>
              <w:top w:val="nil"/>
              <w:left w:val="single" w:sz="8" w:space="0" w:color="BFBFBF"/>
              <w:bottom w:val="nil"/>
              <w:right w:val="nil"/>
            </w:tcBorders>
            <w:shd w:val="clear" w:color="auto" w:fill="auto"/>
            <w:hideMark/>
          </w:tcPr>
          <w:p w:rsidR="00665097" w:rsidRPr="0048134B" w:rsidRDefault="009A78BB" w:rsidP="00BB313D">
            <w:pPr>
              <w:widowControl w:val="0"/>
              <w:spacing w:line="240" w:lineRule="exact"/>
              <w:ind w:right="170"/>
              <w:jc w:val="right"/>
              <w:rPr>
                <w:rFonts w:cs="Arial"/>
                <w:color w:val="000000"/>
                <w:sz w:val="16"/>
                <w:szCs w:val="16"/>
              </w:rPr>
            </w:pPr>
            <w:r>
              <w:rPr>
                <w:rFonts w:cs="Arial"/>
                <w:color w:val="000000"/>
                <w:sz w:val="16"/>
                <w:szCs w:val="16"/>
              </w:rPr>
              <w:t>0,3</w:t>
            </w:r>
          </w:p>
        </w:tc>
      </w:tr>
      <w:tr w:rsidR="00665097" w:rsidRPr="0048134B" w:rsidTr="00D122F5">
        <w:trPr>
          <w:jc w:val="center"/>
        </w:trPr>
        <w:tc>
          <w:tcPr>
            <w:tcW w:w="1920" w:type="pct"/>
            <w:tcBorders>
              <w:top w:val="nil"/>
              <w:left w:val="nil"/>
              <w:bottom w:val="single" w:sz="8" w:space="0" w:color="BFBFBF"/>
              <w:right w:val="single" w:sz="8" w:space="0" w:color="BFBFBF"/>
            </w:tcBorders>
            <w:shd w:val="clear" w:color="auto" w:fill="auto"/>
            <w:hideMark/>
          </w:tcPr>
          <w:p w:rsidR="00665097" w:rsidRPr="0048134B" w:rsidRDefault="00665097" w:rsidP="00BB313D">
            <w:pPr>
              <w:widowControl w:val="0"/>
              <w:spacing w:line="240" w:lineRule="exact"/>
              <w:rPr>
                <w:rFonts w:cs="Arial"/>
                <w:color w:val="000000"/>
                <w:sz w:val="16"/>
                <w:szCs w:val="16"/>
              </w:rPr>
            </w:pPr>
            <w:r w:rsidRPr="0048134B">
              <w:rPr>
                <w:rFonts w:cs="Arial"/>
                <w:color w:val="000000"/>
                <w:sz w:val="16"/>
                <w:szCs w:val="16"/>
              </w:rPr>
              <w:t>Servicios</w:t>
            </w:r>
          </w:p>
        </w:tc>
        <w:tc>
          <w:tcPr>
            <w:tcW w:w="1661" w:type="pct"/>
            <w:tcBorders>
              <w:top w:val="nil"/>
              <w:left w:val="nil"/>
              <w:bottom w:val="single" w:sz="8" w:space="0" w:color="BFBFBF"/>
              <w:right w:val="nil"/>
            </w:tcBorders>
            <w:shd w:val="clear" w:color="auto" w:fill="auto"/>
            <w:hideMark/>
          </w:tcPr>
          <w:p w:rsidR="00665097" w:rsidRPr="0048134B" w:rsidRDefault="00675F70" w:rsidP="00BB313D">
            <w:pPr>
              <w:widowControl w:val="0"/>
              <w:spacing w:line="240" w:lineRule="exact"/>
              <w:ind w:right="170"/>
              <w:jc w:val="right"/>
              <w:rPr>
                <w:rFonts w:cs="Arial"/>
                <w:color w:val="000000"/>
                <w:sz w:val="16"/>
                <w:szCs w:val="16"/>
              </w:rPr>
            </w:pPr>
            <w:r>
              <w:rPr>
                <w:rFonts w:cs="Arial"/>
                <w:color w:val="000000"/>
                <w:sz w:val="16"/>
                <w:szCs w:val="16"/>
              </w:rPr>
              <w:t>-8</w:t>
            </w:r>
            <w:r w:rsidR="00665097" w:rsidRPr="0048134B">
              <w:rPr>
                <w:rFonts w:cs="Arial"/>
                <w:color w:val="000000"/>
                <w:sz w:val="16"/>
                <w:szCs w:val="16"/>
              </w:rPr>
              <w:t>,5</w:t>
            </w:r>
          </w:p>
        </w:tc>
        <w:tc>
          <w:tcPr>
            <w:tcW w:w="1419" w:type="pct"/>
            <w:tcBorders>
              <w:top w:val="nil"/>
              <w:left w:val="single" w:sz="8" w:space="0" w:color="BFBFBF"/>
              <w:bottom w:val="single" w:sz="8" w:space="0" w:color="BFBFBF"/>
              <w:right w:val="nil"/>
            </w:tcBorders>
            <w:shd w:val="clear" w:color="auto" w:fill="auto"/>
            <w:hideMark/>
          </w:tcPr>
          <w:p w:rsidR="00665097" w:rsidRPr="0048134B" w:rsidRDefault="009A78BB" w:rsidP="00BB313D">
            <w:pPr>
              <w:widowControl w:val="0"/>
              <w:spacing w:line="240" w:lineRule="exact"/>
              <w:ind w:right="170"/>
              <w:jc w:val="right"/>
              <w:rPr>
                <w:rFonts w:cs="Arial"/>
                <w:color w:val="000000"/>
                <w:sz w:val="16"/>
                <w:szCs w:val="16"/>
              </w:rPr>
            </w:pPr>
            <w:r>
              <w:rPr>
                <w:rFonts w:cs="Arial"/>
                <w:color w:val="000000"/>
                <w:sz w:val="16"/>
                <w:szCs w:val="16"/>
              </w:rPr>
              <w:t>55,0</w:t>
            </w:r>
          </w:p>
        </w:tc>
      </w:tr>
      <w:tr w:rsidR="00665097" w:rsidRPr="0048134B" w:rsidTr="00D122F5">
        <w:trPr>
          <w:jc w:val="center"/>
        </w:trPr>
        <w:tc>
          <w:tcPr>
            <w:tcW w:w="1920" w:type="pct"/>
            <w:tcBorders>
              <w:top w:val="nil"/>
              <w:left w:val="nil"/>
              <w:bottom w:val="single" w:sz="8" w:space="0" w:color="BFBFBF"/>
              <w:right w:val="single" w:sz="8" w:space="0" w:color="BFBFBF"/>
            </w:tcBorders>
            <w:shd w:val="clear" w:color="auto" w:fill="auto"/>
            <w:hideMark/>
          </w:tcPr>
          <w:p w:rsidR="00665097" w:rsidRPr="0048134B" w:rsidRDefault="00665097" w:rsidP="00BB313D">
            <w:pPr>
              <w:widowControl w:val="0"/>
              <w:spacing w:line="240" w:lineRule="exact"/>
              <w:rPr>
                <w:rFonts w:cs="Arial"/>
                <w:b/>
                <w:bCs/>
                <w:color w:val="000000"/>
                <w:sz w:val="16"/>
                <w:szCs w:val="16"/>
              </w:rPr>
            </w:pPr>
            <w:r w:rsidRPr="0048134B">
              <w:rPr>
                <w:rFonts w:cs="Arial"/>
                <w:b/>
                <w:bCs/>
                <w:color w:val="000000"/>
                <w:sz w:val="16"/>
                <w:szCs w:val="16"/>
                <w:lang w:val="es-ES_tradnl"/>
              </w:rPr>
              <w:t>TOTAL</w:t>
            </w:r>
          </w:p>
        </w:tc>
        <w:tc>
          <w:tcPr>
            <w:tcW w:w="1661" w:type="pct"/>
            <w:tcBorders>
              <w:top w:val="nil"/>
              <w:left w:val="nil"/>
              <w:bottom w:val="single" w:sz="8" w:space="0" w:color="BFBFBF"/>
              <w:right w:val="nil"/>
            </w:tcBorders>
            <w:shd w:val="clear" w:color="auto" w:fill="auto"/>
            <w:hideMark/>
          </w:tcPr>
          <w:p w:rsidR="00665097" w:rsidRPr="0048134B" w:rsidRDefault="00665097" w:rsidP="00BB313D">
            <w:pPr>
              <w:widowControl w:val="0"/>
              <w:spacing w:line="240" w:lineRule="exact"/>
              <w:ind w:right="170"/>
              <w:jc w:val="right"/>
              <w:rPr>
                <w:rFonts w:cs="Arial"/>
                <w:b/>
                <w:bCs/>
                <w:color w:val="000000"/>
                <w:sz w:val="16"/>
                <w:szCs w:val="16"/>
              </w:rPr>
            </w:pPr>
            <w:r w:rsidRPr="0048134B">
              <w:rPr>
                <w:rFonts w:cs="Arial"/>
                <w:b/>
                <w:bCs/>
                <w:color w:val="000000"/>
                <w:sz w:val="16"/>
                <w:szCs w:val="16"/>
              </w:rPr>
              <w:t>100</w:t>
            </w:r>
            <w:r w:rsidR="007F441F">
              <w:rPr>
                <w:rFonts w:cs="Arial"/>
                <w:b/>
                <w:bCs/>
                <w:color w:val="000000"/>
                <w:sz w:val="16"/>
                <w:szCs w:val="16"/>
              </w:rPr>
              <w:t>,0</w:t>
            </w:r>
          </w:p>
        </w:tc>
        <w:tc>
          <w:tcPr>
            <w:tcW w:w="1419" w:type="pct"/>
            <w:tcBorders>
              <w:top w:val="nil"/>
              <w:left w:val="single" w:sz="8" w:space="0" w:color="BFBFBF"/>
              <w:bottom w:val="single" w:sz="8" w:space="0" w:color="BFBFBF"/>
              <w:right w:val="nil"/>
            </w:tcBorders>
            <w:shd w:val="clear" w:color="auto" w:fill="auto"/>
            <w:hideMark/>
          </w:tcPr>
          <w:p w:rsidR="00665097" w:rsidRPr="0048134B" w:rsidRDefault="00665097" w:rsidP="00BB313D">
            <w:pPr>
              <w:widowControl w:val="0"/>
              <w:spacing w:line="240" w:lineRule="exact"/>
              <w:ind w:right="170"/>
              <w:jc w:val="right"/>
              <w:rPr>
                <w:rFonts w:cs="Arial"/>
                <w:b/>
                <w:bCs/>
                <w:color w:val="000000"/>
                <w:sz w:val="16"/>
                <w:szCs w:val="16"/>
              </w:rPr>
            </w:pPr>
            <w:r w:rsidRPr="0048134B">
              <w:rPr>
                <w:rFonts w:cs="Arial"/>
                <w:b/>
                <w:bCs/>
                <w:color w:val="000000"/>
                <w:sz w:val="16"/>
                <w:szCs w:val="16"/>
              </w:rPr>
              <w:t>100</w:t>
            </w:r>
            <w:r w:rsidR="007F441F">
              <w:rPr>
                <w:rFonts w:cs="Arial"/>
                <w:b/>
                <w:bCs/>
                <w:color w:val="000000"/>
                <w:sz w:val="16"/>
                <w:szCs w:val="16"/>
              </w:rPr>
              <w:t>,0</w:t>
            </w:r>
          </w:p>
        </w:tc>
      </w:tr>
    </w:tbl>
    <w:p w:rsidR="00665097" w:rsidRDefault="00665097" w:rsidP="00BB313D">
      <w:pPr>
        <w:widowControl w:val="0"/>
      </w:pPr>
    </w:p>
    <w:p w:rsidR="00B438BB" w:rsidRDefault="00B438BB">
      <w:pPr>
        <w:spacing w:after="200" w:line="276" w:lineRule="auto"/>
        <w:jc w:val="left"/>
        <w:rPr>
          <w:rFonts w:cs="Arial"/>
          <w:b/>
          <w:color w:val="1F497D" w:themeColor="text2"/>
          <w:sz w:val="18"/>
          <w:szCs w:val="18"/>
        </w:rPr>
      </w:pPr>
      <w:bookmarkStart w:id="106" w:name="_Toc391999598"/>
      <w:r>
        <w:rPr>
          <w:rFonts w:cs="Arial"/>
          <w:b/>
          <w:color w:val="1F497D" w:themeColor="text2"/>
          <w:sz w:val="18"/>
          <w:szCs w:val="18"/>
        </w:rPr>
        <w:br w:type="page"/>
      </w:r>
    </w:p>
    <w:p w:rsidR="00665097" w:rsidRPr="00EB6E90" w:rsidRDefault="00DE1512" w:rsidP="00BB313D">
      <w:pPr>
        <w:widowControl w:val="0"/>
        <w:spacing w:line="240" w:lineRule="auto"/>
        <w:jc w:val="center"/>
        <w:rPr>
          <w:rFonts w:cs="Arial"/>
          <w:b/>
          <w:color w:val="1F497D" w:themeColor="text2"/>
          <w:sz w:val="18"/>
          <w:szCs w:val="18"/>
        </w:rPr>
      </w:pPr>
      <w:bookmarkStart w:id="107" w:name="_Toc450119481"/>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26</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EB6E90">
        <w:rPr>
          <w:rFonts w:cs="Arial"/>
          <w:b/>
          <w:color w:val="1F497D" w:themeColor="text2"/>
          <w:sz w:val="18"/>
          <w:szCs w:val="18"/>
        </w:rPr>
        <w:t>CUENTAS DE INGRESOS Y G</w:t>
      </w:r>
      <w:r w:rsidR="00144DBB">
        <w:rPr>
          <w:rFonts w:cs="Arial"/>
          <w:b/>
          <w:color w:val="1F497D" w:themeColor="text2"/>
          <w:sz w:val="18"/>
          <w:szCs w:val="18"/>
        </w:rPr>
        <w:t>ASTOS DE LA ECONOMÍA SOCIAL 2012-2014</w:t>
      </w:r>
      <w:r w:rsidR="00665097" w:rsidRPr="00EB6E90">
        <w:rPr>
          <w:rFonts w:cs="Arial"/>
          <w:b/>
          <w:color w:val="1F497D" w:themeColor="text2"/>
          <w:sz w:val="18"/>
          <w:szCs w:val="18"/>
        </w:rPr>
        <w:t xml:space="preserve"> (</w:t>
      </w:r>
      <w:r w:rsidR="00476C04">
        <w:rPr>
          <w:rFonts w:cs="Arial"/>
          <w:b/>
          <w:color w:val="1F497D" w:themeColor="text2"/>
          <w:sz w:val="18"/>
          <w:szCs w:val="18"/>
        </w:rPr>
        <w:t>c</w:t>
      </w:r>
      <w:r w:rsidR="007D763B">
        <w:rPr>
          <w:rFonts w:cs="Arial"/>
          <w:b/>
          <w:color w:val="1F497D" w:themeColor="text2"/>
          <w:sz w:val="18"/>
          <w:szCs w:val="18"/>
        </w:rPr>
        <w:t xml:space="preserve">ifras absolutas, % verticales y </w:t>
      </w:r>
      <w:r w:rsidR="00665097" w:rsidRPr="00EB6E90">
        <w:rPr>
          <w:rFonts w:cs="Arial"/>
          <w:b/>
          <w:color w:val="1F497D" w:themeColor="text2"/>
          <w:sz w:val="18"/>
          <w:szCs w:val="18"/>
        </w:rPr>
        <w:t>evolución)</w:t>
      </w:r>
      <w:bookmarkEnd w:id="106"/>
      <w:bookmarkEnd w:id="107"/>
    </w:p>
    <w:tbl>
      <w:tblPr>
        <w:tblW w:w="9940" w:type="dxa"/>
        <w:jc w:val="center"/>
        <w:tblCellMar>
          <w:left w:w="70" w:type="dxa"/>
          <w:right w:w="70" w:type="dxa"/>
        </w:tblCellMar>
        <w:tblLook w:val="04A0" w:firstRow="1" w:lastRow="0" w:firstColumn="1" w:lastColumn="0" w:noHBand="0" w:noVBand="1"/>
      </w:tblPr>
      <w:tblGrid>
        <w:gridCol w:w="737"/>
        <w:gridCol w:w="5959"/>
        <w:gridCol w:w="1164"/>
        <w:gridCol w:w="1056"/>
        <w:gridCol w:w="1024"/>
      </w:tblGrid>
      <w:tr w:rsidR="00144DBB" w:rsidRPr="00144DBB" w:rsidTr="00A33F7A">
        <w:trPr>
          <w:jc w:val="center"/>
        </w:trPr>
        <w:tc>
          <w:tcPr>
            <w:tcW w:w="6277" w:type="dxa"/>
            <w:gridSpan w:val="2"/>
            <w:vMerge w:val="restart"/>
            <w:tcBorders>
              <w:top w:val="single" w:sz="8" w:space="0" w:color="BFBFBF"/>
              <w:left w:val="nil"/>
              <w:bottom w:val="single" w:sz="8" w:space="0" w:color="BFBFBF"/>
              <w:right w:val="single" w:sz="8" w:space="0" w:color="BFBFBF"/>
            </w:tcBorders>
            <w:shd w:val="clear" w:color="000000" w:fill="DBE5F1"/>
            <w:noWrap/>
            <w:vAlign w:val="bottom"/>
            <w:hideMark/>
          </w:tcPr>
          <w:p w:rsidR="00144DBB" w:rsidRPr="00144DBB" w:rsidRDefault="00144DBB" w:rsidP="00996F20">
            <w:pPr>
              <w:widowControl w:val="0"/>
              <w:spacing w:line="240" w:lineRule="exact"/>
              <w:jc w:val="left"/>
              <w:rPr>
                <w:rFonts w:ascii="Calibri" w:eastAsia="Times New Roman" w:hAnsi="Calibri" w:cs="Times New Roman"/>
                <w:color w:val="000000"/>
                <w:sz w:val="22"/>
                <w:lang w:eastAsia="es-ES"/>
              </w:rPr>
            </w:pPr>
            <w:r w:rsidRPr="00144DBB">
              <w:rPr>
                <w:rFonts w:ascii="Calibri" w:eastAsia="Times New Roman" w:hAnsi="Calibri" w:cs="Times New Roman"/>
                <w:color w:val="000000"/>
                <w:sz w:val="22"/>
                <w:lang w:eastAsia="es-ES"/>
              </w:rPr>
              <w:t> </w:t>
            </w:r>
          </w:p>
        </w:tc>
        <w:tc>
          <w:tcPr>
            <w:tcW w:w="1109" w:type="dxa"/>
            <w:vMerge w:val="restart"/>
            <w:tcBorders>
              <w:top w:val="single" w:sz="8" w:space="0" w:color="BFBFBF"/>
              <w:left w:val="single" w:sz="8" w:space="0" w:color="BFBFBF"/>
              <w:bottom w:val="single" w:sz="8" w:space="0" w:color="BFBFBF"/>
              <w:right w:val="single" w:sz="8" w:space="0" w:color="BFBFBF"/>
            </w:tcBorders>
            <w:shd w:val="clear" w:color="000000" w:fill="DBE5F1"/>
            <w:noWrap/>
            <w:vAlign w:val="center"/>
            <w:hideMark/>
          </w:tcPr>
          <w:p w:rsidR="00144DBB" w:rsidRPr="00144DBB" w:rsidRDefault="00144DBB" w:rsidP="00A33F7A">
            <w:pPr>
              <w:widowControl w:val="0"/>
              <w:spacing w:line="240" w:lineRule="exact"/>
              <w:jc w:val="center"/>
              <w:rPr>
                <w:rFonts w:eastAsia="Times New Roman" w:cs="Arial"/>
                <w:b/>
                <w:bCs/>
                <w:color w:val="000000"/>
                <w:sz w:val="16"/>
                <w:szCs w:val="16"/>
                <w:lang w:eastAsia="es-ES"/>
              </w:rPr>
            </w:pPr>
            <w:proofErr w:type="spellStart"/>
            <w:r w:rsidRPr="00144DBB">
              <w:rPr>
                <w:rFonts w:eastAsia="Times New Roman" w:cs="Arial"/>
                <w:b/>
                <w:bCs/>
                <w:color w:val="000000"/>
                <w:sz w:val="16"/>
                <w:szCs w:val="16"/>
                <w:lang w:eastAsia="es-ES"/>
              </w:rPr>
              <w:t>Abs</w:t>
            </w:r>
            <w:proofErr w:type="spellEnd"/>
            <w:r w:rsidRPr="00144DBB">
              <w:rPr>
                <w:rFonts w:eastAsia="Times New Roman" w:cs="Arial"/>
                <w:b/>
                <w:bCs/>
                <w:color w:val="000000"/>
                <w:sz w:val="16"/>
                <w:szCs w:val="16"/>
                <w:lang w:eastAsia="es-ES"/>
              </w:rPr>
              <w:t>.</w:t>
            </w:r>
          </w:p>
        </w:tc>
        <w:tc>
          <w:tcPr>
            <w:tcW w:w="1056" w:type="dxa"/>
            <w:vMerge w:val="restart"/>
            <w:tcBorders>
              <w:top w:val="single" w:sz="8" w:space="0" w:color="BFBFBF"/>
              <w:left w:val="single" w:sz="8" w:space="0" w:color="BFBFBF"/>
              <w:bottom w:val="single" w:sz="8" w:space="0" w:color="BFBFBF"/>
              <w:right w:val="single" w:sz="8" w:space="0" w:color="BFBFBF"/>
            </w:tcBorders>
            <w:shd w:val="clear" w:color="000000" w:fill="DBE5F1"/>
            <w:noWrap/>
            <w:vAlign w:val="center"/>
            <w:hideMark/>
          </w:tcPr>
          <w:p w:rsidR="00144DBB" w:rsidRPr="00144DBB" w:rsidRDefault="00144DBB" w:rsidP="00A33F7A">
            <w:pPr>
              <w:widowControl w:val="0"/>
              <w:spacing w:line="240" w:lineRule="exact"/>
              <w:jc w:val="center"/>
              <w:rPr>
                <w:rFonts w:eastAsia="Times New Roman" w:cs="Arial"/>
                <w:b/>
                <w:bCs/>
                <w:color w:val="000000"/>
                <w:sz w:val="16"/>
                <w:szCs w:val="16"/>
                <w:lang w:eastAsia="es-ES"/>
              </w:rPr>
            </w:pPr>
            <w:r w:rsidRPr="00144DBB">
              <w:rPr>
                <w:rFonts w:eastAsia="Times New Roman" w:cs="Arial"/>
                <w:b/>
                <w:bCs/>
                <w:color w:val="000000"/>
                <w:sz w:val="16"/>
                <w:szCs w:val="16"/>
                <w:lang w:eastAsia="es-ES"/>
              </w:rPr>
              <w:t>% ver.</w:t>
            </w:r>
          </w:p>
        </w:tc>
        <w:tc>
          <w:tcPr>
            <w:tcW w:w="1024" w:type="dxa"/>
            <w:tcBorders>
              <w:top w:val="single" w:sz="8" w:space="0" w:color="BFBFBF"/>
              <w:left w:val="nil"/>
              <w:bottom w:val="nil"/>
              <w:right w:val="nil"/>
            </w:tcBorders>
            <w:shd w:val="clear" w:color="000000" w:fill="DBE5F1"/>
            <w:noWrap/>
            <w:vAlign w:val="center"/>
            <w:hideMark/>
          </w:tcPr>
          <w:p w:rsidR="00144DBB" w:rsidRPr="00144DBB" w:rsidRDefault="00144DBB" w:rsidP="00A33F7A">
            <w:pPr>
              <w:widowControl w:val="0"/>
              <w:spacing w:line="240" w:lineRule="exact"/>
              <w:jc w:val="center"/>
              <w:rPr>
                <w:rFonts w:eastAsia="Times New Roman" w:cs="Arial"/>
                <w:b/>
                <w:bCs/>
                <w:color w:val="000000"/>
                <w:sz w:val="16"/>
                <w:szCs w:val="16"/>
                <w:lang w:eastAsia="es-ES"/>
              </w:rPr>
            </w:pPr>
            <w:r w:rsidRPr="00144DBB">
              <w:rPr>
                <w:rFonts w:eastAsia="Times New Roman" w:cs="Arial"/>
                <w:b/>
                <w:bCs/>
                <w:color w:val="000000"/>
                <w:sz w:val="16"/>
                <w:szCs w:val="16"/>
                <w:lang w:eastAsia="es-ES"/>
              </w:rPr>
              <w:t>Evolución</w:t>
            </w:r>
          </w:p>
        </w:tc>
      </w:tr>
      <w:tr w:rsidR="00144DBB" w:rsidRPr="00144DBB" w:rsidTr="00A33F7A">
        <w:trPr>
          <w:jc w:val="center"/>
        </w:trPr>
        <w:tc>
          <w:tcPr>
            <w:tcW w:w="6277" w:type="dxa"/>
            <w:gridSpan w:val="2"/>
            <w:vMerge/>
            <w:tcBorders>
              <w:top w:val="single" w:sz="8" w:space="0" w:color="BFBFBF"/>
              <w:left w:val="nil"/>
              <w:bottom w:val="single" w:sz="8" w:space="0" w:color="BFBFBF"/>
              <w:right w:val="single" w:sz="8" w:space="0" w:color="BFBFBF"/>
            </w:tcBorders>
            <w:vAlign w:val="center"/>
            <w:hideMark/>
          </w:tcPr>
          <w:p w:rsidR="00144DBB" w:rsidRPr="00144DBB" w:rsidRDefault="00144DBB" w:rsidP="00996F20">
            <w:pPr>
              <w:widowControl w:val="0"/>
              <w:spacing w:line="240" w:lineRule="exact"/>
              <w:jc w:val="left"/>
              <w:rPr>
                <w:rFonts w:ascii="Calibri" w:eastAsia="Times New Roman" w:hAnsi="Calibri" w:cs="Times New Roman"/>
                <w:color w:val="000000"/>
                <w:sz w:val="22"/>
                <w:lang w:eastAsia="es-ES"/>
              </w:rPr>
            </w:pPr>
          </w:p>
        </w:tc>
        <w:tc>
          <w:tcPr>
            <w:tcW w:w="1109" w:type="dxa"/>
            <w:vMerge/>
            <w:tcBorders>
              <w:top w:val="single" w:sz="8" w:space="0" w:color="BFBFBF"/>
              <w:left w:val="single" w:sz="8" w:space="0" w:color="BFBFBF"/>
              <w:bottom w:val="single" w:sz="8" w:space="0" w:color="BFBFBF"/>
              <w:right w:val="single" w:sz="8" w:space="0" w:color="BFBFBF"/>
            </w:tcBorders>
            <w:vAlign w:val="center"/>
            <w:hideMark/>
          </w:tcPr>
          <w:p w:rsidR="00144DBB" w:rsidRPr="00144DBB" w:rsidRDefault="00144DBB" w:rsidP="00A33F7A">
            <w:pPr>
              <w:widowControl w:val="0"/>
              <w:spacing w:line="240" w:lineRule="exact"/>
              <w:jc w:val="center"/>
              <w:rPr>
                <w:rFonts w:eastAsia="Times New Roman" w:cs="Arial"/>
                <w:b/>
                <w:bCs/>
                <w:color w:val="000000"/>
                <w:sz w:val="16"/>
                <w:szCs w:val="16"/>
                <w:lang w:eastAsia="es-ES"/>
              </w:rPr>
            </w:pPr>
          </w:p>
        </w:tc>
        <w:tc>
          <w:tcPr>
            <w:tcW w:w="1056" w:type="dxa"/>
            <w:vMerge/>
            <w:tcBorders>
              <w:top w:val="single" w:sz="8" w:space="0" w:color="BFBFBF"/>
              <w:left w:val="single" w:sz="8" w:space="0" w:color="BFBFBF"/>
              <w:bottom w:val="single" w:sz="8" w:space="0" w:color="BFBFBF"/>
              <w:right w:val="single" w:sz="8" w:space="0" w:color="BFBFBF"/>
            </w:tcBorders>
            <w:vAlign w:val="center"/>
            <w:hideMark/>
          </w:tcPr>
          <w:p w:rsidR="00144DBB" w:rsidRPr="00144DBB" w:rsidRDefault="00144DBB" w:rsidP="00A33F7A">
            <w:pPr>
              <w:widowControl w:val="0"/>
              <w:spacing w:line="240" w:lineRule="exact"/>
              <w:jc w:val="center"/>
              <w:rPr>
                <w:rFonts w:eastAsia="Times New Roman" w:cs="Arial"/>
                <w:b/>
                <w:bCs/>
                <w:color w:val="000000"/>
                <w:sz w:val="16"/>
                <w:szCs w:val="16"/>
                <w:lang w:eastAsia="es-ES"/>
              </w:rPr>
            </w:pPr>
          </w:p>
        </w:tc>
        <w:tc>
          <w:tcPr>
            <w:tcW w:w="1024" w:type="dxa"/>
            <w:tcBorders>
              <w:top w:val="nil"/>
              <w:left w:val="nil"/>
              <w:bottom w:val="single" w:sz="8" w:space="0" w:color="BFBFBF"/>
              <w:right w:val="nil"/>
            </w:tcBorders>
            <w:shd w:val="clear" w:color="000000" w:fill="DBE5F1"/>
            <w:noWrap/>
            <w:vAlign w:val="center"/>
            <w:hideMark/>
          </w:tcPr>
          <w:p w:rsidR="00144DBB" w:rsidRPr="00144DBB" w:rsidRDefault="00144DBB" w:rsidP="00A33F7A">
            <w:pPr>
              <w:widowControl w:val="0"/>
              <w:spacing w:line="240" w:lineRule="exact"/>
              <w:jc w:val="center"/>
              <w:rPr>
                <w:rFonts w:eastAsia="Times New Roman" w:cs="Arial"/>
                <w:b/>
                <w:bCs/>
                <w:color w:val="000000"/>
                <w:sz w:val="16"/>
                <w:szCs w:val="16"/>
                <w:lang w:eastAsia="es-ES"/>
              </w:rPr>
            </w:pPr>
            <w:r w:rsidRPr="00144DBB">
              <w:rPr>
                <w:rFonts w:eastAsia="Times New Roman" w:cs="Arial"/>
                <w:b/>
                <w:bCs/>
                <w:color w:val="000000"/>
                <w:sz w:val="16"/>
                <w:szCs w:val="16"/>
                <w:lang w:eastAsia="es-ES"/>
              </w:rPr>
              <w:t>2012-2014</w:t>
            </w:r>
          </w:p>
        </w:tc>
      </w:tr>
      <w:tr w:rsidR="00144DBB" w:rsidRPr="00144DBB" w:rsidTr="00D122F5">
        <w:trPr>
          <w:jc w:val="center"/>
        </w:trPr>
        <w:tc>
          <w:tcPr>
            <w:tcW w:w="6277" w:type="dxa"/>
            <w:gridSpan w:val="2"/>
            <w:tcBorders>
              <w:top w:val="single" w:sz="8" w:space="0" w:color="BFBFBF"/>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b/>
                <w:bCs/>
                <w:color w:val="000000"/>
                <w:sz w:val="16"/>
                <w:szCs w:val="16"/>
                <w:lang w:eastAsia="es-ES"/>
              </w:rPr>
            </w:pPr>
            <w:r w:rsidRPr="00144DBB">
              <w:rPr>
                <w:rFonts w:eastAsia="Times New Roman" w:cs="Arial"/>
                <w:b/>
                <w:bCs/>
                <w:color w:val="000000"/>
                <w:sz w:val="16"/>
                <w:szCs w:val="16"/>
                <w:lang w:eastAsia="es-ES"/>
              </w:rPr>
              <w:t>INGRESOS</w:t>
            </w:r>
          </w:p>
        </w:tc>
        <w:tc>
          <w:tcPr>
            <w:tcW w:w="110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ascii="Times New Roman" w:eastAsia="Times New Roman" w:hAnsi="Times New Roman" w:cs="Times New Roman"/>
                <w:color w:val="000000"/>
                <w:szCs w:val="20"/>
                <w:lang w:eastAsia="es-ES"/>
              </w:rPr>
            </w:pPr>
            <w:r w:rsidRPr="00144DBB">
              <w:rPr>
                <w:rFonts w:ascii="Times New Roman" w:eastAsia="Times New Roman" w:hAnsi="Times New Roman" w:cs="Times New Roman"/>
                <w:color w:val="000000"/>
                <w:szCs w:val="20"/>
                <w:lang w:eastAsia="es-ES"/>
              </w:rPr>
              <w:t> </w:t>
            </w:r>
          </w:p>
        </w:tc>
        <w:tc>
          <w:tcPr>
            <w:tcW w:w="1056"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ascii="Times New Roman" w:eastAsia="Times New Roman" w:hAnsi="Times New Roman" w:cs="Times New Roman"/>
                <w:color w:val="000000"/>
                <w:szCs w:val="20"/>
                <w:lang w:eastAsia="es-ES"/>
              </w:rPr>
            </w:pPr>
            <w:r w:rsidRPr="00144DBB">
              <w:rPr>
                <w:rFonts w:ascii="Times New Roman" w:eastAsia="Times New Roman" w:hAnsi="Times New Roman" w:cs="Times New Roman"/>
                <w:color w:val="000000"/>
                <w:szCs w:val="20"/>
                <w:lang w:eastAsia="es-ES"/>
              </w:rPr>
              <w:t> </w:t>
            </w:r>
          </w:p>
        </w:tc>
        <w:tc>
          <w:tcPr>
            <w:tcW w:w="1024" w:type="dxa"/>
            <w:tcBorders>
              <w:top w:val="nil"/>
              <w:left w:val="nil"/>
              <w:bottom w:val="nil"/>
              <w:right w:val="nil"/>
            </w:tcBorders>
            <w:shd w:val="clear" w:color="auto" w:fill="auto"/>
            <w:noWrap/>
            <w:hideMark/>
          </w:tcPr>
          <w:p w:rsidR="00144DBB" w:rsidRPr="00144DBB" w:rsidRDefault="00144DBB" w:rsidP="00996F20">
            <w:pPr>
              <w:widowControl w:val="0"/>
              <w:spacing w:line="240" w:lineRule="exact"/>
              <w:jc w:val="left"/>
              <w:rPr>
                <w:rFonts w:ascii="Times New Roman" w:eastAsia="Times New Roman" w:hAnsi="Times New Roman" w:cs="Times New Roman"/>
                <w:color w:val="000000"/>
                <w:szCs w:val="20"/>
                <w:lang w:eastAsia="es-ES"/>
              </w:rPr>
            </w:pP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70</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Ventas Netas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7.690.772.395</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86,98</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-7,1</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71</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Variación de Existencias de Obras y Productos Terminados y en Curso de Fabricación</w:t>
            </w:r>
          </w:p>
        </w:tc>
        <w:tc>
          <w:tcPr>
            <w:tcW w:w="1109" w:type="dxa"/>
            <w:tcBorders>
              <w:top w:val="nil"/>
              <w:left w:val="nil"/>
              <w:bottom w:val="nil"/>
              <w:right w:val="single" w:sz="8" w:space="0" w:color="BFBFBF"/>
            </w:tcBorders>
            <w:shd w:val="clear" w:color="auto" w:fill="auto"/>
            <w:noWrap/>
            <w:vAlign w:val="center"/>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-10.097.863</w:t>
            </w:r>
          </w:p>
        </w:tc>
        <w:tc>
          <w:tcPr>
            <w:tcW w:w="1056" w:type="dxa"/>
            <w:tcBorders>
              <w:top w:val="nil"/>
              <w:left w:val="nil"/>
              <w:bottom w:val="nil"/>
              <w:right w:val="single" w:sz="8" w:space="0" w:color="BFBFBF"/>
            </w:tcBorders>
            <w:shd w:val="clear" w:color="auto" w:fill="auto"/>
            <w:noWrap/>
            <w:vAlign w:val="center"/>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-0,11</w:t>
            </w:r>
          </w:p>
        </w:tc>
        <w:tc>
          <w:tcPr>
            <w:tcW w:w="1024" w:type="dxa"/>
            <w:tcBorders>
              <w:top w:val="nil"/>
              <w:left w:val="nil"/>
              <w:bottom w:val="nil"/>
              <w:right w:val="nil"/>
            </w:tcBorders>
            <w:shd w:val="clear" w:color="auto" w:fill="auto"/>
            <w:noWrap/>
            <w:vAlign w:val="center"/>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-137,9</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73</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Trabajos realizados para la Empresa</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12.251.445</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0,14</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-49,9</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74</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Subvenciones Corrientes a la Explotación</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320.259.811</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3,62</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-4,9</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75</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Otros Ingresos Accesorios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532.752.376</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6,03</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-23,6</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76</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Ingresos Financieros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133.130.431</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1,51</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-25,2</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77</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Beneficios procedentes del Inmovilizado e Ingresos Excepcionales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32.766.783</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0,37</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-65,3</w:t>
            </w:r>
          </w:p>
        </w:tc>
      </w:tr>
      <w:tr w:rsidR="00144DBB" w:rsidRPr="00144DBB" w:rsidTr="00D122F5">
        <w:trPr>
          <w:jc w:val="center"/>
        </w:trPr>
        <w:tc>
          <w:tcPr>
            <w:tcW w:w="0" w:type="auto"/>
            <w:tcBorders>
              <w:top w:val="nil"/>
              <w:left w:val="nil"/>
              <w:bottom w:val="single" w:sz="8" w:space="0" w:color="BFBFBF"/>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79</w:t>
            </w:r>
          </w:p>
        </w:tc>
        <w:tc>
          <w:tcPr>
            <w:tcW w:w="5959" w:type="dxa"/>
            <w:tcBorders>
              <w:top w:val="nil"/>
              <w:left w:val="nil"/>
              <w:bottom w:val="single" w:sz="8" w:space="0" w:color="BFBFBF"/>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Excesos y Aplicaciones de Provisiones</w:t>
            </w:r>
          </w:p>
        </w:tc>
        <w:tc>
          <w:tcPr>
            <w:tcW w:w="1109" w:type="dxa"/>
            <w:tcBorders>
              <w:top w:val="nil"/>
              <w:left w:val="nil"/>
              <w:bottom w:val="single" w:sz="8" w:space="0" w:color="BFBFBF"/>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130.019.843</w:t>
            </w:r>
          </w:p>
        </w:tc>
        <w:tc>
          <w:tcPr>
            <w:tcW w:w="1056" w:type="dxa"/>
            <w:tcBorders>
              <w:top w:val="nil"/>
              <w:left w:val="nil"/>
              <w:bottom w:val="single" w:sz="8" w:space="0" w:color="BFBFBF"/>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1,47</w:t>
            </w:r>
          </w:p>
        </w:tc>
        <w:tc>
          <w:tcPr>
            <w:tcW w:w="1024" w:type="dxa"/>
            <w:tcBorders>
              <w:top w:val="nil"/>
              <w:left w:val="nil"/>
              <w:bottom w:val="single" w:sz="8" w:space="0" w:color="BFBFBF"/>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3,3</w:t>
            </w:r>
          </w:p>
        </w:tc>
      </w:tr>
      <w:tr w:rsidR="00144DBB" w:rsidRPr="00144DBB" w:rsidTr="00D122F5">
        <w:trPr>
          <w:jc w:val="center"/>
        </w:trPr>
        <w:tc>
          <w:tcPr>
            <w:tcW w:w="0" w:type="auto"/>
            <w:tcBorders>
              <w:top w:val="nil"/>
              <w:left w:val="nil"/>
              <w:bottom w:val="single" w:sz="8" w:space="0" w:color="BFBFBF"/>
              <w:right w:val="nil"/>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 </w:t>
            </w:r>
          </w:p>
        </w:tc>
        <w:tc>
          <w:tcPr>
            <w:tcW w:w="5959" w:type="dxa"/>
            <w:tcBorders>
              <w:top w:val="nil"/>
              <w:left w:val="nil"/>
              <w:bottom w:val="single" w:sz="8" w:space="0" w:color="BFBFBF"/>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b/>
                <w:bCs/>
                <w:color w:val="000000"/>
                <w:sz w:val="16"/>
                <w:szCs w:val="16"/>
                <w:lang w:eastAsia="es-ES"/>
              </w:rPr>
            </w:pPr>
            <w:r w:rsidRPr="00144DBB">
              <w:rPr>
                <w:rFonts w:eastAsia="Times New Roman" w:cs="Arial"/>
                <w:b/>
                <w:bCs/>
                <w:color w:val="000000"/>
                <w:sz w:val="16"/>
                <w:szCs w:val="16"/>
                <w:lang w:eastAsia="es-ES"/>
              </w:rPr>
              <w:t>TOTAL INGRESOS</w:t>
            </w:r>
          </w:p>
        </w:tc>
        <w:tc>
          <w:tcPr>
            <w:tcW w:w="1109" w:type="dxa"/>
            <w:tcBorders>
              <w:top w:val="nil"/>
              <w:left w:val="nil"/>
              <w:bottom w:val="single" w:sz="8" w:space="0" w:color="BFBFBF"/>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b/>
                <w:bCs/>
                <w:color w:val="000000"/>
                <w:sz w:val="16"/>
                <w:szCs w:val="16"/>
                <w:lang w:eastAsia="es-ES"/>
              </w:rPr>
            </w:pPr>
            <w:r w:rsidRPr="00144DBB">
              <w:rPr>
                <w:rFonts w:eastAsia="Times New Roman" w:cs="Arial"/>
                <w:b/>
                <w:bCs/>
                <w:color w:val="000000"/>
                <w:sz w:val="16"/>
                <w:szCs w:val="16"/>
                <w:lang w:eastAsia="es-ES"/>
              </w:rPr>
              <w:t>8.841.855.221</w:t>
            </w:r>
          </w:p>
        </w:tc>
        <w:tc>
          <w:tcPr>
            <w:tcW w:w="1056" w:type="dxa"/>
            <w:tcBorders>
              <w:top w:val="nil"/>
              <w:left w:val="nil"/>
              <w:bottom w:val="single" w:sz="8" w:space="0" w:color="BFBFBF"/>
              <w:right w:val="single" w:sz="8" w:space="0" w:color="BFBFBF"/>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b/>
                <w:bCs/>
                <w:color w:val="000000"/>
                <w:sz w:val="16"/>
                <w:szCs w:val="16"/>
                <w:lang w:eastAsia="es-ES"/>
              </w:rPr>
            </w:pPr>
            <w:r w:rsidRPr="00144DBB">
              <w:rPr>
                <w:rFonts w:eastAsia="Times New Roman" w:cs="Arial"/>
                <w:b/>
                <w:bCs/>
                <w:color w:val="000000"/>
                <w:sz w:val="16"/>
                <w:szCs w:val="16"/>
                <w:lang w:eastAsia="es-ES"/>
              </w:rPr>
              <w:t>100</w:t>
            </w:r>
            <w:r w:rsidR="007F441F">
              <w:rPr>
                <w:rFonts w:eastAsia="Times New Roman" w:cs="Arial"/>
                <w:b/>
                <w:bCs/>
                <w:color w:val="000000"/>
                <w:sz w:val="16"/>
                <w:szCs w:val="16"/>
                <w:lang w:eastAsia="es-ES"/>
              </w:rPr>
              <w:t>,00</w:t>
            </w:r>
          </w:p>
        </w:tc>
        <w:tc>
          <w:tcPr>
            <w:tcW w:w="1024" w:type="dxa"/>
            <w:tcBorders>
              <w:top w:val="nil"/>
              <w:left w:val="nil"/>
              <w:bottom w:val="single" w:sz="8" w:space="0" w:color="BFBFBF"/>
              <w:right w:val="nil"/>
            </w:tcBorders>
            <w:shd w:val="clear" w:color="auto" w:fill="auto"/>
            <w:noWrap/>
            <w:vAlign w:val="bottom"/>
            <w:hideMark/>
          </w:tcPr>
          <w:p w:rsidR="00144DBB" w:rsidRPr="00144DBB" w:rsidRDefault="00A2723F" w:rsidP="00996F20">
            <w:pPr>
              <w:widowControl w:val="0"/>
              <w:spacing w:line="240" w:lineRule="exact"/>
              <w:ind w:right="48"/>
              <w:jc w:val="right"/>
              <w:rPr>
                <w:rFonts w:eastAsia="Times New Roman" w:cs="Arial"/>
                <w:b/>
                <w:bCs/>
                <w:color w:val="000000"/>
                <w:sz w:val="16"/>
                <w:szCs w:val="16"/>
                <w:lang w:eastAsia="es-ES"/>
              </w:rPr>
            </w:pPr>
            <w:r>
              <w:rPr>
                <w:rFonts w:eastAsia="Times New Roman" w:cs="Arial"/>
                <w:b/>
                <w:bCs/>
                <w:color w:val="000000"/>
                <w:sz w:val="16"/>
                <w:szCs w:val="16"/>
                <w:lang w:eastAsia="es-ES"/>
              </w:rPr>
              <w:t>-9,5</w:t>
            </w:r>
          </w:p>
        </w:tc>
      </w:tr>
      <w:tr w:rsidR="00144DBB" w:rsidRPr="00144DBB" w:rsidTr="00D122F5">
        <w:trPr>
          <w:jc w:val="center"/>
        </w:trPr>
        <w:tc>
          <w:tcPr>
            <w:tcW w:w="6277" w:type="dxa"/>
            <w:gridSpan w:val="2"/>
            <w:tcBorders>
              <w:top w:val="single" w:sz="8" w:space="0" w:color="BFBFBF"/>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b/>
                <w:bCs/>
                <w:color w:val="000000"/>
                <w:sz w:val="16"/>
                <w:szCs w:val="16"/>
                <w:lang w:eastAsia="es-ES"/>
              </w:rPr>
            </w:pPr>
            <w:r w:rsidRPr="00144DBB">
              <w:rPr>
                <w:rFonts w:eastAsia="Times New Roman" w:cs="Arial"/>
                <w:b/>
                <w:bCs/>
                <w:color w:val="000000"/>
                <w:sz w:val="16"/>
                <w:szCs w:val="16"/>
                <w:lang w:eastAsia="es-ES"/>
              </w:rPr>
              <w:t>GASTOS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ascii="Calibri" w:eastAsia="Times New Roman" w:hAnsi="Calibri" w:cs="Times New Roman"/>
                <w:color w:val="000000"/>
                <w:sz w:val="22"/>
                <w:lang w:eastAsia="es-ES"/>
              </w:rPr>
            </w:pPr>
            <w:r w:rsidRPr="00144DBB">
              <w:rPr>
                <w:rFonts w:ascii="Calibri" w:eastAsia="Times New Roman" w:hAnsi="Calibri" w:cs="Times New Roman"/>
                <w:color w:val="000000"/>
                <w:sz w:val="22"/>
                <w:lang w:eastAsia="es-ES"/>
              </w:rPr>
              <w:t> </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ind w:right="48"/>
              <w:jc w:val="right"/>
              <w:rPr>
                <w:rFonts w:ascii="Calibri" w:eastAsia="Times New Roman" w:hAnsi="Calibri" w:cs="Times New Roman"/>
                <w:color w:val="000000"/>
                <w:sz w:val="22"/>
                <w:lang w:eastAsia="es-ES"/>
              </w:rPr>
            </w:pPr>
            <w:r w:rsidRPr="00144DBB">
              <w:rPr>
                <w:rFonts w:ascii="Calibri" w:eastAsia="Times New Roman" w:hAnsi="Calibri" w:cs="Times New Roman"/>
                <w:color w:val="000000"/>
                <w:sz w:val="22"/>
                <w:lang w:eastAsia="es-ES"/>
              </w:rPr>
              <w:t> </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left"/>
              <w:rPr>
                <w:rFonts w:ascii="Times New Roman" w:eastAsia="Times New Roman" w:hAnsi="Times New Roman" w:cs="Times New Roman"/>
                <w:color w:val="000000"/>
                <w:szCs w:val="20"/>
                <w:lang w:eastAsia="es-ES"/>
              </w:rPr>
            </w:pP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60</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Compras Netas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4.539.545.344</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51,88</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-5,9</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61</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Variación de Existencias de Mercaderías y Materias Primas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-10.765.474</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-0,12</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-136,2</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62</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Servicios Exteriores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1.081.770.217</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12,36</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-7,2</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63</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Impuestos Ligados a la Actividad/Tributos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13.048.377</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0,15</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-127,1</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64</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Gastos de Personal</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1.942.075.682</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22,20</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-5,1</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65</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Otros Gastos de Gestión</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198.143.643</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2,26</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-62,8</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66</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Gastos Financieros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167.297.571</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1,91</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-12,8</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67</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Pérdidas procedentes de Inmovilizado y Gastos Excepcionales</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22.527.842</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0,26</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-74,9</w:t>
            </w:r>
          </w:p>
        </w:tc>
      </w:tr>
      <w:tr w:rsidR="00144DBB" w:rsidRPr="00144DBB" w:rsidTr="00D122F5">
        <w:trPr>
          <w:jc w:val="center"/>
        </w:trPr>
        <w:tc>
          <w:tcPr>
            <w:tcW w:w="0" w:type="auto"/>
            <w:tcBorders>
              <w:top w:val="nil"/>
              <w:left w:val="nil"/>
              <w:bottom w:val="nil"/>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68</w:t>
            </w:r>
          </w:p>
        </w:tc>
        <w:tc>
          <w:tcPr>
            <w:tcW w:w="5959" w:type="dxa"/>
            <w:tcBorders>
              <w:top w:val="nil"/>
              <w:left w:val="nil"/>
              <w:bottom w:val="nil"/>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Amortizaciones del Ejercicio</w:t>
            </w:r>
          </w:p>
        </w:tc>
        <w:tc>
          <w:tcPr>
            <w:tcW w:w="1109" w:type="dxa"/>
            <w:tcBorders>
              <w:top w:val="nil"/>
              <w:left w:val="nil"/>
              <w:bottom w:val="nil"/>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299.376.194</w:t>
            </w:r>
          </w:p>
        </w:tc>
        <w:tc>
          <w:tcPr>
            <w:tcW w:w="1056" w:type="dxa"/>
            <w:tcBorders>
              <w:top w:val="nil"/>
              <w:left w:val="nil"/>
              <w:bottom w:val="nil"/>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3,42</w:t>
            </w:r>
          </w:p>
        </w:tc>
        <w:tc>
          <w:tcPr>
            <w:tcW w:w="1024" w:type="dxa"/>
            <w:tcBorders>
              <w:top w:val="nil"/>
              <w:left w:val="nil"/>
              <w:bottom w:val="nil"/>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6,8</w:t>
            </w:r>
          </w:p>
        </w:tc>
      </w:tr>
      <w:tr w:rsidR="00144DBB" w:rsidRPr="00144DBB" w:rsidTr="00D122F5">
        <w:trPr>
          <w:jc w:val="center"/>
        </w:trPr>
        <w:tc>
          <w:tcPr>
            <w:tcW w:w="0" w:type="auto"/>
            <w:tcBorders>
              <w:top w:val="nil"/>
              <w:left w:val="nil"/>
              <w:bottom w:val="single" w:sz="8" w:space="0" w:color="BFBFBF"/>
              <w:right w:val="nil"/>
            </w:tcBorders>
            <w:shd w:val="clear" w:color="auto" w:fill="auto"/>
            <w:noWrap/>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69</w:t>
            </w:r>
          </w:p>
        </w:tc>
        <w:tc>
          <w:tcPr>
            <w:tcW w:w="5959" w:type="dxa"/>
            <w:tcBorders>
              <w:top w:val="nil"/>
              <w:left w:val="nil"/>
              <w:bottom w:val="single" w:sz="8" w:space="0" w:color="BFBFBF"/>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Dotaciones a las Provisiones</w:t>
            </w:r>
          </w:p>
        </w:tc>
        <w:tc>
          <w:tcPr>
            <w:tcW w:w="1109" w:type="dxa"/>
            <w:tcBorders>
              <w:top w:val="nil"/>
              <w:left w:val="nil"/>
              <w:bottom w:val="single" w:sz="8" w:space="0" w:color="BFBFBF"/>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color w:val="000000"/>
                <w:sz w:val="16"/>
                <w:szCs w:val="16"/>
                <w:lang w:eastAsia="es-ES"/>
              </w:rPr>
            </w:pPr>
            <w:r w:rsidRPr="00144DBB">
              <w:rPr>
                <w:rFonts w:eastAsia="Times New Roman" w:cs="Arial"/>
                <w:color w:val="000000"/>
                <w:sz w:val="16"/>
                <w:szCs w:val="16"/>
                <w:lang w:eastAsia="es-ES"/>
              </w:rPr>
              <w:t>496.685.357</w:t>
            </w:r>
          </w:p>
        </w:tc>
        <w:tc>
          <w:tcPr>
            <w:tcW w:w="1056" w:type="dxa"/>
            <w:tcBorders>
              <w:top w:val="nil"/>
              <w:left w:val="nil"/>
              <w:bottom w:val="single" w:sz="8" w:space="0" w:color="BFBFBF"/>
              <w:right w:val="single" w:sz="8" w:space="0" w:color="BFBFBF"/>
            </w:tcBorders>
            <w:shd w:val="clear" w:color="auto" w:fill="auto"/>
            <w:noWrap/>
            <w:vAlign w:val="bottom"/>
            <w:hideMark/>
          </w:tcPr>
          <w:p w:rsidR="00144DBB" w:rsidRPr="00144DBB" w:rsidRDefault="00996F20" w:rsidP="00996F20">
            <w:pPr>
              <w:widowControl w:val="0"/>
              <w:spacing w:line="240" w:lineRule="exact"/>
              <w:ind w:right="48"/>
              <w:jc w:val="right"/>
              <w:rPr>
                <w:rFonts w:eastAsia="Times New Roman" w:cs="Arial"/>
                <w:color w:val="000000"/>
                <w:sz w:val="16"/>
                <w:szCs w:val="16"/>
                <w:lang w:eastAsia="es-ES"/>
              </w:rPr>
            </w:pPr>
            <w:r>
              <w:rPr>
                <w:rFonts w:eastAsia="Times New Roman" w:cs="Arial"/>
                <w:color w:val="000000"/>
                <w:sz w:val="16"/>
                <w:szCs w:val="16"/>
                <w:lang w:eastAsia="es-ES"/>
              </w:rPr>
              <w:t>5,68</w:t>
            </w:r>
          </w:p>
        </w:tc>
        <w:tc>
          <w:tcPr>
            <w:tcW w:w="1024" w:type="dxa"/>
            <w:tcBorders>
              <w:top w:val="nil"/>
              <w:left w:val="nil"/>
              <w:bottom w:val="single" w:sz="8" w:space="0" w:color="BFBFBF"/>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color w:val="000000"/>
                <w:sz w:val="16"/>
                <w:szCs w:val="16"/>
                <w:lang w:eastAsia="es-ES"/>
              </w:rPr>
            </w:pPr>
            <w:r w:rsidRPr="00144DBB">
              <w:rPr>
                <w:rFonts w:eastAsia="Times New Roman" w:cs="Arial"/>
                <w:color w:val="000000"/>
                <w:sz w:val="16"/>
                <w:szCs w:val="16"/>
                <w:lang w:eastAsia="es-ES"/>
              </w:rPr>
              <w:t>-13,3</w:t>
            </w:r>
          </w:p>
        </w:tc>
      </w:tr>
      <w:tr w:rsidR="00144DBB" w:rsidRPr="00144DBB" w:rsidTr="00D122F5">
        <w:trPr>
          <w:jc w:val="center"/>
        </w:trPr>
        <w:tc>
          <w:tcPr>
            <w:tcW w:w="0" w:type="auto"/>
            <w:tcBorders>
              <w:top w:val="nil"/>
              <w:left w:val="nil"/>
              <w:bottom w:val="single" w:sz="8" w:space="0" w:color="BFBFBF"/>
              <w:right w:val="nil"/>
            </w:tcBorders>
            <w:shd w:val="clear" w:color="auto" w:fill="auto"/>
            <w:noWrap/>
            <w:hideMark/>
          </w:tcPr>
          <w:p w:rsidR="00144DBB" w:rsidRPr="00144DBB" w:rsidRDefault="00144DBB" w:rsidP="00996F20">
            <w:pPr>
              <w:widowControl w:val="0"/>
              <w:spacing w:line="240" w:lineRule="exact"/>
              <w:jc w:val="left"/>
              <w:rPr>
                <w:rFonts w:eastAsia="Times New Roman" w:cs="Arial"/>
                <w:color w:val="000000"/>
                <w:sz w:val="16"/>
                <w:szCs w:val="16"/>
                <w:lang w:eastAsia="es-ES"/>
              </w:rPr>
            </w:pPr>
            <w:r w:rsidRPr="00144DBB">
              <w:rPr>
                <w:rFonts w:eastAsia="Times New Roman" w:cs="Arial"/>
                <w:color w:val="000000"/>
                <w:sz w:val="16"/>
                <w:szCs w:val="16"/>
                <w:lang w:eastAsia="es-ES"/>
              </w:rPr>
              <w:t> </w:t>
            </w:r>
          </w:p>
        </w:tc>
        <w:tc>
          <w:tcPr>
            <w:tcW w:w="5959" w:type="dxa"/>
            <w:tcBorders>
              <w:top w:val="nil"/>
              <w:left w:val="nil"/>
              <w:bottom w:val="single" w:sz="8" w:space="0" w:color="BFBFBF"/>
              <w:right w:val="single" w:sz="8" w:space="0" w:color="BFBFBF"/>
            </w:tcBorders>
            <w:shd w:val="clear" w:color="auto" w:fill="auto"/>
            <w:noWrap/>
            <w:hideMark/>
          </w:tcPr>
          <w:p w:rsidR="00144DBB" w:rsidRPr="00144DBB" w:rsidRDefault="00144DBB" w:rsidP="00996F20">
            <w:pPr>
              <w:widowControl w:val="0"/>
              <w:spacing w:line="240" w:lineRule="exact"/>
              <w:jc w:val="left"/>
              <w:rPr>
                <w:rFonts w:eastAsia="Times New Roman" w:cs="Arial"/>
                <w:b/>
                <w:bCs/>
                <w:color w:val="000000"/>
                <w:sz w:val="16"/>
                <w:szCs w:val="16"/>
                <w:lang w:eastAsia="es-ES"/>
              </w:rPr>
            </w:pPr>
            <w:r w:rsidRPr="00144DBB">
              <w:rPr>
                <w:rFonts w:eastAsia="Times New Roman" w:cs="Arial"/>
                <w:b/>
                <w:bCs/>
                <w:color w:val="000000"/>
                <w:sz w:val="16"/>
                <w:szCs w:val="16"/>
                <w:lang w:eastAsia="es-ES"/>
              </w:rPr>
              <w:t>TOTAL GASTOS</w:t>
            </w:r>
          </w:p>
        </w:tc>
        <w:tc>
          <w:tcPr>
            <w:tcW w:w="1109" w:type="dxa"/>
            <w:tcBorders>
              <w:top w:val="nil"/>
              <w:left w:val="nil"/>
              <w:bottom w:val="single" w:sz="8" w:space="0" w:color="BFBFBF"/>
              <w:right w:val="single" w:sz="8" w:space="0" w:color="BFBFBF"/>
            </w:tcBorders>
            <w:shd w:val="clear" w:color="auto" w:fill="auto"/>
            <w:noWrap/>
            <w:vAlign w:val="bottom"/>
            <w:hideMark/>
          </w:tcPr>
          <w:p w:rsidR="00144DBB" w:rsidRPr="00144DBB" w:rsidRDefault="00144DBB" w:rsidP="00996F20">
            <w:pPr>
              <w:widowControl w:val="0"/>
              <w:spacing w:line="240" w:lineRule="exact"/>
              <w:jc w:val="right"/>
              <w:rPr>
                <w:rFonts w:eastAsia="Times New Roman" w:cs="Arial"/>
                <w:b/>
                <w:bCs/>
                <w:color w:val="000000"/>
                <w:sz w:val="16"/>
                <w:szCs w:val="16"/>
                <w:lang w:eastAsia="es-ES"/>
              </w:rPr>
            </w:pPr>
            <w:r w:rsidRPr="00144DBB">
              <w:rPr>
                <w:rFonts w:eastAsia="Times New Roman" w:cs="Arial"/>
                <w:b/>
                <w:bCs/>
                <w:color w:val="000000"/>
                <w:sz w:val="16"/>
                <w:szCs w:val="16"/>
                <w:lang w:eastAsia="es-ES"/>
              </w:rPr>
              <w:t>8.749.704.753</w:t>
            </w:r>
          </w:p>
        </w:tc>
        <w:tc>
          <w:tcPr>
            <w:tcW w:w="1056" w:type="dxa"/>
            <w:tcBorders>
              <w:top w:val="nil"/>
              <w:left w:val="nil"/>
              <w:bottom w:val="single" w:sz="8" w:space="0" w:color="BFBFBF"/>
              <w:right w:val="single" w:sz="8" w:space="0" w:color="BFBFBF"/>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b/>
                <w:bCs/>
                <w:color w:val="000000"/>
                <w:sz w:val="16"/>
                <w:szCs w:val="16"/>
                <w:lang w:eastAsia="es-ES"/>
              </w:rPr>
            </w:pPr>
            <w:r w:rsidRPr="00144DBB">
              <w:rPr>
                <w:rFonts w:eastAsia="Times New Roman" w:cs="Arial"/>
                <w:b/>
                <w:bCs/>
                <w:color w:val="000000"/>
                <w:sz w:val="16"/>
                <w:szCs w:val="16"/>
                <w:lang w:eastAsia="es-ES"/>
              </w:rPr>
              <w:t>100</w:t>
            </w:r>
            <w:r w:rsidR="007F441F">
              <w:rPr>
                <w:rFonts w:eastAsia="Times New Roman" w:cs="Arial"/>
                <w:b/>
                <w:bCs/>
                <w:color w:val="000000"/>
                <w:sz w:val="16"/>
                <w:szCs w:val="16"/>
                <w:lang w:eastAsia="es-ES"/>
              </w:rPr>
              <w:t>,00</w:t>
            </w:r>
          </w:p>
        </w:tc>
        <w:tc>
          <w:tcPr>
            <w:tcW w:w="1024" w:type="dxa"/>
            <w:tcBorders>
              <w:top w:val="nil"/>
              <w:left w:val="nil"/>
              <w:bottom w:val="single" w:sz="8" w:space="0" w:color="BFBFBF"/>
              <w:right w:val="nil"/>
            </w:tcBorders>
            <w:shd w:val="clear" w:color="auto" w:fill="auto"/>
            <w:noWrap/>
            <w:vAlign w:val="bottom"/>
            <w:hideMark/>
          </w:tcPr>
          <w:p w:rsidR="00144DBB" w:rsidRPr="00144DBB" w:rsidRDefault="00144DBB" w:rsidP="00996F20">
            <w:pPr>
              <w:widowControl w:val="0"/>
              <w:spacing w:line="240" w:lineRule="exact"/>
              <w:ind w:right="48"/>
              <w:jc w:val="right"/>
              <w:rPr>
                <w:rFonts w:eastAsia="Times New Roman" w:cs="Arial"/>
                <w:b/>
                <w:bCs/>
                <w:color w:val="000000"/>
                <w:sz w:val="16"/>
                <w:szCs w:val="16"/>
                <w:lang w:eastAsia="es-ES"/>
              </w:rPr>
            </w:pPr>
            <w:r w:rsidRPr="00144DBB">
              <w:rPr>
                <w:rFonts w:eastAsia="Times New Roman" w:cs="Arial"/>
                <w:b/>
                <w:bCs/>
                <w:color w:val="000000"/>
                <w:sz w:val="16"/>
                <w:szCs w:val="16"/>
                <w:lang w:eastAsia="es-ES"/>
              </w:rPr>
              <w:t>-9,7</w:t>
            </w:r>
          </w:p>
        </w:tc>
      </w:tr>
    </w:tbl>
    <w:p w:rsidR="00665097" w:rsidRDefault="00665097" w:rsidP="00BB313D">
      <w:pPr>
        <w:widowControl w:val="0"/>
      </w:pPr>
    </w:p>
    <w:p w:rsidR="001C63DE" w:rsidRPr="00473606" w:rsidRDefault="001C63DE"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08" w:name="_Toc391999599"/>
      <w:bookmarkStart w:id="109" w:name="_Toc450119482"/>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27</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A95E68" w:rsidRPr="00DE3A4D">
        <w:rPr>
          <w:rFonts w:cs="Arial"/>
          <w:b/>
          <w:color w:val="1F497D" w:themeColor="text2"/>
          <w:sz w:val="18"/>
          <w:szCs w:val="18"/>
        </w:rPr>
        <w:t xml:space="preserve">EVOLUCIÓN </w:t>
      </w:r>
      <w:r w:rsidR="00665097" w:rsidRPr="00DE3A4D">
        <w:rPr>
          <w:rFonts w:cs="Arial"/>
          <w:b/>
          <w:color w:val="1F497D" w:themeColor="text2"/>
          <w:sz w:val="18"/>
          <w:szCs w:val="18"/>
        </w:rPr>
        <w:t>INTERESES A LAS APORTACIONES DE LOS SOCIOS EN LAS COOPERATIVAS Y PESO RELATIVO SOBRE LOS GASTOS FINANCIEROS (CUENTA 66) (c</w:t>
      </w:r>
      <w:r w:rsidR="007D763B">
        <w:rPr>
          <w:rFonts w:cs="Arial"/>
          <w:b/>
          <w:color w:val="1F497D" w:themeColor="text2"/>
          <w:sz w:val="18"/>
          <w:szCs w:val="18"/>
        </w:rPr>
        <w:t>ifras absolutas</w:t>
      </w:r>
      <w:r w:rsidR="00665097" w:rsidRPr="00DE3A4D">
        <w:rPr>
          <w:rFonts w:cs="Arial"/>
          <w:b/>
          <w:color w:val="1F497D" w:themeColor="text2"/>
          <w:sz w:val="18"/>
          <w:szCs w:val="18"/>
        </w:rPr>
        <w:t xml:space="preserve"> en Euros y %</w:t>
      </w:r>
      <w:r w:rsidR="00476C04">
        <w:rPr>
          <w:rFonts w:cs="Arial"/>
          <w:b/>
          <w:color w:val="1F497D" w:themeColor="text2"/>
          <w:sz w:val="18"/>
          <w:szCs w:val="18"/>
        </w:rPr>
        <w:t xml:space="preserve"> horizontales</w:t>
      </w:r>
      <w:r w:rsidR="00665097" w:rsidRPr="00DE3A4D">
        <w:rPr>
          <w:rFonts w:cs="Arial"/>
          <w:b/>
          <w:color w:val="1F497D" w:themeColor="text2"/>
          <w:sz w:val="18"/>
          <w:szCs w:val="18"/>
        </w:rPr>
        <w:t>). 201</w:t>
      </w:r>
      <w:bookmarkEnd w:id="108"/>
      <w:r w:rsidR="00144DBB">
        <w:rPr>
          <w:rFonts w:cs="Arial"/>
          <w:b/>
          <w:color w:val="1F497D" w:themeColor="text2"/>
          <w:sz w:val="18"/>
          <w:szCs w:val="18"/>
        </w:rPr>
        <w:t>4</w:t>
      </w:r>
      <w:bookmarkEnd w:id="109"/>
    </w:p>
    <w:tbl>
      <w:tblPr>
        <w:tblW w:w="9940" w:type="dxa"/>
        <w:jc w:val="center"/>
        <w:tblLook w:val="04A0" w:firstRow="1" w:lastRow="0" w:firstColumn="1" w:lastColumn="0" w:noHBand="0" w:noVBand="1"/>
      </w:tblPr>
      <w:tblGrid>
        <w:gridCol w:w="2748"/>
        <w:gridCol w:w="1787"/>
        <w:gridCol w:w="1797"/>
        <w:gridCol w:w="1783"/>
        <w:gridCol w:w="1825"/>
      </w:tblGrid>
      <w:tr w:rsidR="00665097" w:rsidRPr="00DE3A4D" w:rsidTr="00D122F5">
        <w:trPr>
          <w:jc w:val="center"/>
        </w:trPr>
        <w:tc>
          <w:tcPr>
            <w:tcW w:w="1382"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DE3A4D" w:rsidRDefault="00665097" w:rsidP="00996F20">
            <w:pPr>
              <w:widowControl w:val="0"/>
              <w:spacing w:line="240" w:lineRule="exact"/>
              <w:jc w:val="center"/>
              <w:rPr>
                <w:rFonts w:cs="Arial"/>
                <w:b/>
                <w:sz w:val="16"/>
                <w:szCs w:val="16"/>
              </w:rPr>
            </w:pPr>
            <w:r w:rsidRPr="00DE3A4D">
              <w:rPr>
                <w:rFonts w:cs="Arial"/>
                <w:b/>
                <w:bCs/>
                <w:sz w:val="16"/>
                <w:szCs w:val="16"/>
              </w:rPr>
              <w:t>Sector de Actividad</w:t>
            </w:r>
          </w:p>
        </w:tc>
        <w:tc>
          <w:tcPr>
            <w:tcW w:w="18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DE3A4D" w:rsidRDefault="00665097" w:rsidP="00996F20">
            <w:pPr>
              <w:widowControl w:val="0"/>
              <w:spacing w:line="240" w:lineRule="exact"/>
              <w:jc w:val="center"/>
              <w:rPr>
                <w:rFonts w:cs="Arial"/>
                <w:b/>
                <w:bCs/>
                <w:sz w:val="16"/>
                <w:szCs w:val="16"/>
              </w:rPr>
            </w:pPr>
            <w:r w:rsidRPr="00DE3A4D">
              <w:rPr>
                <w:rFonts w:cs="Arial"/>
                <w:b/>
                <w:bCs/>
                <w:sz w:val="16"/>
                <w:szCs w:val="16"/>
              </w:rPr>
              <w:t>Total Gastos Financieros</w:t>
            </w:r>
          </w:p>
        </w:tc>
        <w:tc>
          <w:tcPr>
            <w:tcW w:w="181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DE3A4D" w:rsidRDefault="00665097" w:rsidP="00996F20">
            <w:pPr>
              <w:widowControl w:val="0"/>
              <w:spacing w:line="240" w:lineRule="exact"/>
              <w:jc w:val="center"/>
              <w:rPr>
                <w:rFonts w:cs="Arial"/>
                <w:b/>
                <w:bCs/>
                <w:sz w:val="16"/>
                <w:szCs w:val="16"/>
              </w:rPr>
            </w:pPr>
            <w:r w:rsidRPr="00DE3A4D">
              <w:rPr>
                <w:rFonts w:cs="Arial"/>
                <w:b/>
                <w:bCs/>
                <w:sz w:val="16"/>
                <w:szCs w:val="16"/>
              </w:rPr>
              <w:t>Intereses aportaciones</w:t>
            </w:r>
          </w:p>
        </w:tc>
      </w:tr>
      <w:tr w:rsidR="00665097" w:rsidRPr="00DE3A4D" w:rsidTr="00D122F5">
        <w:trPr>
          <w:jc w:val="center"/>
        </w:trPr>
        <w:tc>
          <w:tcPr>
            <w:tcW w:w="1382" w:type="pct"/>
            <w:vMerge/>
            <w:tcBorders>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DE3A4D" w:rsidRDefault="00665097" w:rsidP="00996F20">
            <w:pPr>
              <w:widowControl w:val="0"/>
              <w:spacing w:line="240" w:lineRule="exact"/>
              <w:jc w:val="center"/>
              <w:rPr>
                <w:rFonts w:cs="Arial"/>
                <w:b/>
                <w:bCs/>
                <w:sz w:val="16"/>
                <w:szCs w:val="16"/>
              </w:rPr>
            </w:pPr>
          </w:p>
        </w:tc>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DE3A4D" w:rsidRDefault="007D763B" w:rsidP="00996F20">
            <w:pPr>
              <w:widowControl w:val="0"/>
              <w:spacing w:line="240" w:lineRule="exact"/>
              <w:jc w:val="center"/>
              <w:rPr>
                <w:rFonts w:cs="Arial"/>
                <w:b/>
                <w:bCs/>
                <w:sz w:val="16"/>
                <w:szCs w:val="16"/>
                <w:lang w:val="en-GB"/>
              </w:rPr>
            </w:pPr>
            <w:r>
              <w:rPr>
                <w:rFonts w:cs="Arial"/>
                <w:b/>
                <w:bCs/>
                <w:sz w:val="16"/>
                <w:szCs w:val="16"/>
                <w:lang w:val="en-GB"/>
              </w:rPr>
              <w:t>Abs.</w:t>
            </w:r>
          </w:p>
        </w:tc>
        <w:tc>
          <w:tcPr>
            <w:tcW w:w="9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DE3A4D" w:rsidRDefault="00665097" w:rsidP="00996F20">
            <w:pPr>
              <w:widowControl w:val="0"/>
              <w:spacing w:line="240" w:lineRule="exact"/>
              <w:jc w:val="center"/>
              <w:rPr>
                <w:rFonts w:cs="Arial"/>
                <w:b/>
                <w:bCs/>
                <w:sz w:val="16"/>
                <w:szCs w:val="16"/>
                <w:lang w:val="en-GB"/>
              </w:rPr>
            </w:pPr>
            <w:r w:rsidRPr="00DE3A4D">
              <w:rPr>
                <w:rFonts w:cs="Arial"/>
                <w:b/>
                <w:bCs/>
                <w:sz w:val="16"/>
                <w:szCs w:val="16"/>
                <w:lang w:val="en-GB"/>
              </w:rPr>
              <w:t>%</w:t>
            </w:r>
            <w:r w:rsidR="00476C04">
              <w:rPr>
                <w:rFonts w:cs="Arial"/>
                <w:b/>
                <w:bCs/>
                <w:sz w:val="16"/>
                <w:szCs w:val="16"/>
                <w:lang w:val="en-GB"/>
              </w:rPr>
              <w:t xml:space="preserve"> </w:t>
            </w:r>
            <w:r w:rsidRPr="00DE3A4D">
              <w:rPr>
                <w:rFonts w:cs="Arial"/>
                <w:b/>
                <w:bCs/>
                <w:sz w:val="16"/>
                <w:szCs w:val="16"/>
                <w:lang w:val="en-GB"/>
              </w:rPr>
              <w:t>h</w:t>
            </w:r>
            <w:r w:rsidR="007D763B">
              <w:rPr>
                <w:rFonts w:cs="Arial"/>
                <w:b/>
                <w:bCs/>
                <w:sz w:val="16"/>
                <w:szCs w:val="16"/>
                <w:lang w:val="en-GB"/>
              </w:rPr>
              <w:t>or.</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DE3A4D" w:rsidRDefault="007D763B" w:rsidP="00996F20">
            <w:pPr>
              <w:widowControl w:val="0"/>
              <w:spacing w:line="240" w:lineRule="exact"/>
              <w:jc w:val="center"/>
              <w:rPr>
                <w:rFonts w:cs="Arial"/>
                <w:b/>
                <w:bCs/>
                <w:sz w:val="16"/>
                <w:szCs w:val="16"/>
                <w:lang w:val="en-GB"/>
              </w:rPr>
            </w:pPr>
            <w:r>
              <w:rPr>
                <w:rFonts w:cs="Arial"/>
                <w:b/>
                <w:bCs/>
                <w:sz w:val="16"/>
                <w:szCs w:val="16"/>
                <w:lang w:val="en-GB"/>
              </w:rPr>
              <w:t>Abs.</w:t>
            </w:r>
          </w:p>
        </w:tc>
        <w:tc>
          <w:tcPr>
            <w:tcW w:w="918"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DE3A4D" w:rsidRDefault="00665097" w:rsidP="00996F20">
            <w:pPr>
              <w:widowControl w:val="0"/>
              <w:spacing w:line="240" w:lineRule="exact"/>
              <w:jc w:val="center"/>
              <w:rPr>
                <w:rFonts w:cs="Arial"/>
                <w:b/>
                <w:bCs/>
                <w:sz w:val="16"/>
                <w:szCs w:val="16"/>
                <w:lang w:val="en-GB"/>
              </w:rPr>
            </w:pPr>
            <w:r w:rsidRPr="00DE3A4D">
              <w:rPr>
                <w:rFonts w:cs="Arial"/>
                <w:b/>
                <w:bCs/>
                <w:sz w:val="16"/>
                <w:szCs w:val="16"/>
                <w:lang w:val="en-GB"/>
              </w:rPr>
              <w:t>%</w:t>
            </w:r>
            <w:r w:rsidR="007D763B">
              <w:rPr>
                <w:rFonts w:cs="Arial"/>
                <w:b/>
                <w:bCs/>
                <w:sz w:val="16"/>
                <w:szCs w:val="16"/>
                <w:lang w:val="en-GB"/>
              </w:rPr>
              <w:t xml:space="preserve"> </w:t>
            </w:r>
            <w:r w:rsidRPr="00DE3A4D">
              <w:rPr>
                <w:rFonts w:cs="Arial"/>
                <w:b/>
                <w:bCs/>
                <w:sz w:val="16"/>
                <w:szCs w:val="16"/>
                <w:lang w:val="en-GB"/>
              </w:rPr>
              <w:t>h</w:t>
            </w:r>
            <w:r w:rsidR="007D763B">
              <w:rPr>
                <w:rFonts w:cs="Arial"/>
                <w:b/>
                <w:bCs/>
                <w:sz w:val="16"/>
                <w:szCs w:val="16"/>
                <w:lang w:val="en-GB"/>
              </w:rPr>
              <w:t>or.</w:t>
            </w:r>
          </w:p>
        </w:tc>
      </w:tr>
      <w:tr w:rsidR="00227151" w:rsidRPr="00DE3A4D" w:rsidTr="00D122F5">
        <w:trPr>
          <w:jc w:val="center"/>
        </w:trPr>
        <w:tc>
          <w:tcPr>
            <w:tcW w:w="1382" w:type="pct"/>
            <w:tcBorders>
              <w:top w:val="single" w:sz="4" w:space="0" w:color="BFBFBF" w:themeColor="background1" w:themeShade="BF"/>
              <w:right w:val="single" w:sz="4" w:space="0" w:color="BFBFBF" w:themeColor="background1" w:themeShade="BF"/>
            </w:tcBorders>
          </w:tcPr>
          <w:p w:rsidR="00227151" w:rsidRPr="00DE3A4D" w:rsidRDefault="00227151" w:rsidP="00996F20">
            <w:pPr>
              <w:widowControl w:val="0"/>
              <w:spacing w:line="240" w:lineRule="exact"/>
              <w:rPr>
                <w:rFonts w:cs="Arial"/>
                <w:sz w:val="16"/>
                <w:szCs w:val="16"/>
              </w:rPr>
            </w:pPr>
            <w:r w:rsidRPr="00DE3A4D">
              <w:rPr>
                <w:rFonts w:cs="Arial"/>
                <w:sz w:val="16"/>
                <w:szCs w:val="16"/>
              </w:rPr>
              <w:t>Primario</w:t>
            </w:r>
          </w:p>
        </w:tc>
        <w:tc>
          <w:tcPr>
            <w:tcW w:w="899" w:type="pct"/>
            <w:tcBorders>
              <w:top w:val="single" w:sz="4" w:space="0" w:color="BFBFBF" w:themeColor="background1" w:themeShade="BF"/>
              <w:left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138.458</w:t>
            </w:r>
          </w:p>
        </w:tc>
        <w:tc>
          <w:tcPr>
            <w:tcW w:w="904" w:type="pct"/>
            <w:tcBorders>
              <w:top w:val="single" w:sz="4" w:space="0" w:color="BFBFBF" w:themeColor="background1" w:themeShade="BF"/>
              <w:right w:val="single" w:sz="4" w:space="0" w:color="BFBFBF" w:themeColor="background1" w:themeShade="BF"/>
            </w:tcBorders>
          </w:tcPr>
          <w:p w:rsidR="00227151" w:rsidRPr="00DE3A4D" w:rsidRDefault="00227151" w:rsidP="00996F20">
            <w:pPr>
              <w:widowControl w:val="0"/>
              <w:spacing w:line="240" w:lineRule="exact"/>
              <w:ind w:right="284"/>
              <w:jc w:val="right"/>
              <w:rPr>
                <w:rFonts w:cs="Arial"/>
                <w:sz w:val="16"/>
                <w:szCs w:val="16"/>
              </w:rPr>
            </w:pPr>
            <w:r w:rsidRPr="00DE3A4D">
              <w:rPr>
                <w:rFonts w:cs="Arial"/>
                <w:sz w:val="16"/>
                <w:szCs w:val="16"/>
              </w:rPr>
              <w:t>100</w:t>
            </w:r>
            <w:r w:rsidR="007F441F">
              <w:rPr>
                <w:rFonts w:cs="Arial"/>
                <w:sz w:val="16"/>
                <w:szCs w:val="16"/>
              </w:rPr>
              <w:t>,0</w:t>
            </w:r>
          </w:p>
        </w:tc>
        <w:tc>
          <w:tcPr>
            <w:tcW w:w="897" w:type="pct"/>
            <w:tcBorders>
              <w:top w:val="single" w:sz="4" w:space="0" w:color="BFBFBF" w:themeColor="background1" w:themeShade="BF"/>
              <w:left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48.970</w:t>
            </w:r>
          </w:p>
        </w:tc>
        <w:tc>
          <w:tcPr>
            <w:tcW w:w="918" w:type="pct"/>
            <w:tcBorders>
              <w:top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35,4</w:t>
            </w:r>
          </w:p>
        </w:tc>
      </w:tr>
      <w:tr w:rsidR="00227151" w:rsidRPr="00DE3A4D" w:rsidTr="00D122F5">
        <w:trPr>
          <w:jc w:val="center"/>
        </w:trPr>
        <w:tc>
          <w:tcPr>
            <w:tcW w:w="1382" w:type="pct"/>
            <w:tcBorders>
              <w:right w:val="single" w:sz="4" w:space="0" w:color="BFBFBF" w:themeColor="background1" w:themeShade="BF"/>
            </w:tcBorders>
          </w:tcPr>
          <w:p w:rsidR="00227151" w:rsidRPr="00DE3A4D" w:rsidRDefault="00227151" w:rsidP="00996F20">
            <w:pPr>
              <w:widowControl w:val="0"/>
              <w:spacing w:line="240" w:lineRule="exact"/>
              <w:rPr>
                <w:rFonts w:cs="Arial"/>
                <w:sz w:val="16"/>
                <w:szCs w:val="16"/>
              </w:rPr>
            </w:pPr>
            <w:r w:rsidRPr="00DE3A4D">
              <w:rPr>
                <w:rFonts w:cs="Arial"/>
                <w:sz w:val="16"/>
                <w:szCs w:val="16"/>
              </w:rPr>
              <w:t>Industria</w:t>
            </w:r>
          </w:p>
        </w:tc>
        <w:tc>
          <w:tcPr>
            <w:tcW w:w="899" w:type="pct"/>
            <w:tcBorders>
              <w:left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117.419.888</w:t>
            </w:r>
          </w:p>
        </w:tc>
        <w:tc>
          <w:tcPr>
            <w:tcW w:w="904" w:type="pct"/>
            <w:tcBorders>
              <w:right w:val="single" w:sz="4" w:space="0" w:color="BFBFBF" w:themeColor="background1" w:themeShade="BF"/>
            </w:tcBorders>
          </w:tcPr>
          <w:p w:rsidR="00227151" w:rsidRPr="00DE3A4D" w:rsidRDefault="00227151" w:rsidP="00996F20">
            <w:pPr>
              <w:widowControl w:val="0"/>
              <w:spacing w:line="240" w:lineRule="exact"/>
              <w:ind w:right="284"/>
              <w:jc w:val="right"/>
              <w:rPr>
                <w:rFonts w:cs="Arial"/>
                <w:sz w:val="16"/>
                <w:szCs w:val="16"/>
              </w:rPr>
            </w:pPr>
            <w:r w:rsidRPr="00DE3A4D">
              <w:rPr>
                <w:rFonts w:cs="Arial"/>
                <w:sz w:val="16"/>
                <w:szCs w:val="16"/>
              </w:rPr>
              <w:t>100</w:t>
            </w:r>
            <w:r w:rsidR="007F441F">
              <w:rPr>
                <w:rFonts w:cs="Arial"/>
                <w:sz w:val="16"/>
                <w:szCs w:val="16"/>
              </w:rPr>
              <w:t>,0</w:t>
            </w:r>
          </w:p>
        </w:tc>
        <w:tc>
          <w:tcPr>
            <w:tcW w:w="897" w:type="pct"/>
            <w:tcBorders>
              <w:left w:val="single" w:sz="4" w:space="0" w:color="BFBFBF" w:themeColor="background1" w:themeShade="BF"/>
            </w:tcBorders>
            <w:noWrap/>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20.731.469</w:t>
            </w:r>
          </w:p>
        </w:tc>
        <w:tc>
          <w:tcPr>
            <w:tcW w:w="918" w:type="pct"/>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17,7</w:t>
            </w:r>
          </w:p>
        </w:tc>
      </w:tr>
      <w:tr w:rsidR="00227151" w:rsidRPr="00DE3A4D" w:rsidTr="00D122F5">
        <w:trPr>
          <w:jc w:val="center"/>
        </w:trPr>
        <w:tc>
          <w:tcPr>
            <w:tcW w:w="1382" w:type="pct"/>
            <w:tcBorders>
              <w:right w:val="single" w:sz="4" w:space="0" w:color="BFBFBF" w:themeColor="background1" w:themeShade="BF"/>
            </w:tcBorders>
          </w:tcPr>
          <w:p w:rsidR="00227151" w:rsidRPr="00DE3A4D" w:rsidRDefault="00227151" w:rsidP="00996F20">
            <w:pPr>
              <w:widowControl w:val="0"/>
              <w:spacing w:line="240" w:lineRule="exact"/>
              <w:rPr>
                <w:rFonts w:cs="Arial"/>
                <w:sz w:val="16"/>
                <w:szCs w:val="16"/>
              </w:rPr>
            </w:pPr>
            <w:r w:rsidRPr="00DE3A4D">
              <w:rPr>
                <w:rFonts w:cs="Arial"/>
                <w:sz w:val="16"/>
                <w:szCs w:val="16"/>
              </w:rPr>
              <w:t>Construcción</w:t>
            </w:r>
          </w:p>
        </w:tc>
        <w:tc>
          <w:tcPr>
            <w:tcW w:w="899" w:type="pct"/>
            <w:tcBorders>
              <w:left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847.552</w:t>
            </w:r>
          </w:p>
        </w:tc>
        <w:tc>
          <w:tcPr>
            <w:tcW w:w="904" w:type="pct"/>
            <w:tcBorders>
              <w:right w:val="single" w:sz="4" w:space="0" w:color="BFBFBF" w:themeColor="background1" w:themeShade="BF"/>
            </w:tcBorders>
          </w:tcPr>
          <w:p w:rsidR="00227151" w:rsidRPr="00DE3A4D" w:rsidRDefault="00227151" w:rsidP="00996F20">
            <w:pPr>
              <w:widowControl w:val="0"/>
              <w:spacing w:line="240" w:lineRule="exact"/>
              <w:ind w:right="284"/>
              <w:jc w:val="right"/>
              <w:rPr>
                <w:rFonts w:cs="Arial"/>
                <w:sz w:val="16"/>
                <w:szCs w:val="16"/>
              </w:rPr>
            </w:pPr>
            <w:r w:rsidRPr="00DE3A4D">
              <w:rPr>
                <w:rFonts w:cs="Arial"/>
                <w:sz w:val="16"/>
                <w:szCs w:val="16"/>
              </w:rPr>
              <w:t>100</w:t>
            </w:r>
            <w:r w:rsidR="007F441F">
              <w:rPr>
                <w:rFonts w:cs="Arial"/>
                <w:sz w:val="16"/>
                <w:szCs w:val="16"/>
              </w:rPr>
              <w:t>,0</w:t>
            </w:r>
          </w:p>
        </w:tc>
        <w:tc>
          <w:tcPr>
            <w:tcW w:w="897" w:type="pct"/>
            <w:tcBorders>
              <w:left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44.313</w:t>
            </w:r>
          </w:p>
        </w:tc>
        <w:tc>
          <w:tcPr>
            <w:tcW w:w="918" w:type="pct"/>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5,2</w:t>
            </w:r>
          </w:p>
        </w:tc>
      </w:tr>
      <w:tr w:rsidR="00227151" w:rsidRPr="00DE3A4D" w:rsidTr="00D122F5">
        <w:trPr>
          <w:jc w:val="center"/>
        </w:trPr>
        <w:tc>
          <w:tcPr>
            <w:tcW w:w="1382" w:type="pct"/>
            <w:tcBorders>
              <w:bottom w:val="single" w:sz="4" w:space="0" w:color="BFBFBF" w:themeColor="background1" w:themeShade="BF"/>
              <w:right w:val="single" w:sz="4" w:space="0" w:color="BFBFBF" w:themeColor="background1" w:themeShade="BF"/>
            </w:tcBorders>
          </w:tcPr>
          <w:p w:rsidR="00227151" w:rsidRPr="00DE3A4D" w:rsidRDefault="00227151" w:rsidP="00996F20">
            <w:pPr>
              <w:widowControl w:val="0"/>
              <w:spacing w:line="240" w:lineRule="exact"/>
              <w:rPr>
                <w:rFonts w:cs="Arial"/>
                <w:sz w:val="16"/>
                <w:szCs w:val="16"/>
              </w:rPr>
            </w:pPr>
            <w:r w:rsidRPr="00DE3A4D">
              <w:rPr>
                <w:rFonts w:cs="Arial"/>
                <w:sz w:val="16"/>
                <w:szCs w:val="16"/>
              </w:rPr>
              <w:t>Servicios</w:t>
            </w:r>
          </w:p>
        </w:tc>
        <w:tc>
          <w:tcPr>
            <w:tcW w:w="899" w:type="pct"/>
            <w:tcBorders>
              <w:left w:val="single" w:sz="4" w:space="0" w:color="BFBFBF" w:themeColor="background1" w:themeShade="BF"/>
              <w:bottom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48.891.673</w:t>
            </w:r>
          </w:p>
        </w:tc>
        <w:tc>
          <w:tcPr>
            <w:tcW w:w="904" w:type="pct"/>
            <w:tcBorders>
              <w:bottom w:val="single" w:sz="4" w:space="0" w:color="BFBFBF" w:themeColor="background1" w:themeShade="BF"/>
              <w:right w:val="single" w:sz="4" w:space="0" w:color="BFBFBF" w:themeColor="background1" w:themeShade="BF"/>
            </w:tcBorders>
          </w:tcPr>
          <w:p w:rsidR="00227151" w:rsidRPr="00DE3A4D" w:rsidRDefault="00227151" w:rsidP="00996F20">
            <w:pPr>
              <w:widowControl w:val="0"/>
              <w:spacing w:line="240" w:lineRule="exact"/>
              <w:ind w:right="284"/>
              <w:jc w:val="right"/>
              <w:rPr>
                <w:rFonts w:cs="Arial"/>
                <w:sz w:val="16"/>
                <w:szCs w:val="16"/>
              </w:rPr>
            </w:pPr>
            <w:r w:rsidRPr="00DE3A4D">
              <w:rPr>
                <w:rFonts w:cs="Arial"/>
                <w:sz w:val="16"/>
                <w:szCs w:val="16"/>
              </w:rPr>
              <w:t>100</w:t>
            </w:r>
            <w:r w:rsidR="007F441F">
              <w:rPr>
                <w:rFonts w:cs="Arial"/>
                <w:sz w:val="16"/>
                <w:szCs w:val="16"/>
              </w:rPr>
              <w:t>,0</w:t>
            </w:r>
          </w:p>
        </w:tc>
        <w:tc>
          <w:tcPr>
            <w:tcW w:w="897" w:type="pct"/>
            <w:tcBorders>
              <w:left w:val="single" w:sz="4" w:space="0" w:color="BFBFBF" w:themeColor="background1" w:themeShade="BF"/>
              <w:bottom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12.170.975</w:t>
            </w:r>
          </w:p>
        </w:tc>
        <w:tc>
          <w:tcPr>
            <w:tcW w:w="918" w:type="pct"/>
            <w:tcBorders>
              <w:bottom w:val="single" w:sz="4" w:space="0" w:color="BFBFBF" w:themeColor="background1" w:themeShade="BF"/>
            </w:tcBorders>
            <w:vAlign w:val="bottom"/>
          </w:tcPr>
          <w:p w:rsidR="00227151" w:rsidRPr="00227151" w:rsidRDefault="00227151" w:rsidP="00996F20">
            <w:pPr>
              <w:widowControl w:val="0"/>
              <w:spacing w:line="240" w:lineRule="exact"/>
              <w:ind w:right="284"/>
              <w:jc w:val="right"/>
              <w:rPr>
                <w:rFonts w:cs="Arial"/>
                <w:sz w:val="16"/>
                <w:szCs w:val="16"/>
              </w:rPr>
            </w:pPr>
            <w:r w:rsidRPr="00227151">
              <w:rPr>
                <w:rFonts w:cs="Arial"/>
                <w:sz w:val="16"/>
                <w:szCs w:val="16"/>
              </w:rPr>
              <w:t>24,9</w:t>
            </w:r>
          </w:p>
        </w:tc>
      </w:tr>
      <w:tr w:rsidR="00227151" w:rsidRPr="00DE3A4D" w:rsidTr="00D122F5">
        <w:trPr>
          <w:jc w:val="center"/>
        </w:trPr>
        <w:tc>
          <w:tcPr>
            <w:tcW w:w="138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27151" w:rsidRPr="00DE3A4D" w:rsidRDefault="00227151" w:rsidP="00996F20">
            <w:pPr>
              <w:widowControl w:val="0"/>
              <w:spacing w:line="240" w:lineRule="exact"/>
              <w:rPr>
                <w:rFonts w:cs="Arial"/>
                <w:b/>
                <w:bCs/>
                <w:sz w:val="16"/>
                <w:szCs w:val="16"/>
              </w:rPr>
            </w:pPr>
            <w:r w:rsidRPr="00DE3A4D">
              <w:rPr>
                <w:rFonts w:cs="Arial"/>
                <w:b/>
                <w:bCs/>
                <w:sz w:val="16"/>
                <w:szCs w:val="16"/>
              </w:rPr>
              <w:t>TOTAL</w:t>
            </w:r>
          </w:p>
        </w:tc>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27151" w:rsidRPr="00227151" w:rsidRDefault="00227151" w:rsidP="00996F20">
            <w:pPr>
              <w:widowControl w:val="0"/>
              <w:spacing w:line="240" w:lineRule="exact"/>
              <w:jc w:val="center"/>
              <w:rPr>
                <w:rFonts w:cs="Arial"/>
                <w:b/>
                <w:sz w:val="16"/>
                <w:szCs w:val="16"/>
              </w:rPr>
            </w:pPr>
            <w:r w:rsidRPr="00144DBB">
              <w:rPr>
                <w:rFonts w:cs="Arial"/>
                <w:b/>
                <w:sz w:val="16"/>
                <w:szCs w:val="16"/>
              </w:rPr>
              <w:t>167.297.571</w:t>
            </w:r>
          </w:p>
        </w:tc>
        <w:tc>
          <w:tcPr>
            <w:tcW w:w="904"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27151" w:rsidRPr="00227151" w:rsidRDefault="00227151" w:rsidP="00996F20">
            <w:pPr>
              <w:widowControl w:val="0"/>
              <w:spacing w:line="240" w:lineRule="exact"/>
              <w:ind w:right="284"/>
              <w:jc w:val="right"/>
              <w:rPr>
                <w:rFonts w:cs="Arial"/>
                <w:b/>
                <w:sz w:val="16"/>
                <w:szCs w:val="16"/>
              </w:rPr>
            </w:pPr>
            <w:r w:rsidRPr="00227151">
              <w:rPr>
                <w:rFonts w:cs="Arial"/>
                <w:b/>
                <w:sz w:val="16"/>
                <w:szCs w:val="16"/>
              </w:rPr>
              <w:t>100</w:t>
            </w:r>
            <w:r w:rsidR="007F441F">
              <w:rPr>
                <w:rFonts w:cs="Arial"/>
                <w:b/>
                <w:sz w:val="16"/>
                <w:szCs w:val="16"/>
              </w:rPr>
              <w:t>,0</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227151" w:rsidRPr="00996F20" w:rsidRDefault="00227151" w:rsidP="00996F20">
            <w:pPr>
              <w:widowControl w:val="0"/>
              <w:spacing w:line="240" w:lineRule="exact"/>
              <w:ind w:right="284"/>
              <w:jc w:val="right"/>
              <w:rPr>
                <w:rFonts w:cs="Arial"/>
                <w:b/>
                <w:sz w:val="16"/>
                <w:szCs w:val="16"/>
              </w:rPr>
            </w:pPr>
            <w:r w:rsidRPr="00996F20">
              <w:rPr>
                <w:rFonts w:cs="Arial"/>
                <w:b/>
                <w:sz w:val="16"/>
                <w:szCs w:val="16"/>
              </w:rPr>
              <w:t>32.995.726</w:t>
            </w:r>
          </w:p>
        </w:tc>
        <w:tc>
          <w:tcPr>
            <w:tcW w:w="918" w:type="pct"/>
            <w:tcBorders>
              <w:top w:val="single" w:sz="4" w:space="0" w:color="BFBFBF" w:themeColor="background1" w:themeShade="BF"/>
              <w:bottom w:val="single" w:sz="4" w:space="0" w:color="BFBFBF" w:themeColor="background1" w:themeShade="BF"/>
            </w:tcBorders>
          </w:tcPr>
          <w:p w:rsidR="00227151" w:rsidRPr="00227151" w:rsidRDefault="00227151" w:rsidP="00996F20">
            <w:pPr>
              <w:widowControl w:val="0"/>
              <w:spacing w:line="240" w:lineRule="exact"/>
              <w:ind w:right="284"/>
              <w:jc w:val="right"/>
              <w:rPr>
                <w:rFonts w:cs="Arial"/>
                <w:b/>
                <w:sz w:val="16"/>
                <w:szCs w:val="16"/>
              </w:rPr>
            </w:pPr>
            <w:r w:rsidRPr="00227151">
              <w:rPr>
                <w:rFonts w:cs="Arial"/>
                <w:b/>
                <w:sz w:val="16"/>
                <w:szCs w:val="16"/>
              </w:rPr>
              <w:t>19,7</w:t>
            </w:r>
          </w:p>
        </w:tc>
      </w:tr>
    </w:tbl>
    <w:p w:rsidR="00665097" w:rsidRDefault="00665097" w:rsidP="00BB313D">
      <w:pPr>
        <w:widowControl w:val="0"/>
      </w:pPr>
    </w:p>
    <w:p w:rsidR="00665097" w:rsidRDefault="00665097" w:rsidP="00BB313D">
      <w:pPr>
        <w:widowControl w:val="0"/>
      </w:pPr>
    </w:p>
    <w:p w:rsidR="00665097" w:rsidRDefault="00665097" w:rsidP="00BB313D">
      <w:pPr>
        <w:widowControl w:val="0"/>
      </w:pPr>
    </w:p>
    <w:p w:rsidR="00665097" w:rsidRDefault="00665097" w:rsidP="00BB313D">
      <w:pPr>
        <w:widowControl w:val="0"/>
      </w:pPr>
    </w:p>
    <w:p w:rsidR="00665097" w:rsidRDefault="00665097" w:rsidP="00BB313D">
      <w:pPr>
        <w:widowControl w:val="0"/>
      </w:pPr>
    </w:p>
    <w:p w:rsidR="007F1968" w:rsidRPr="00476C04" w:rsidRDefault="00665097" w:rsidP="00BB313D">
      <w:pPr>
        <w:widowControl w:val="0"/>
      </w:pPr>
      <w:r w:rsidRPr="00476C04">
        <w:br w:type="page"/>
      </w:r>
    </w:p>
    <w:p w:rsidR="00665097" w:rsidRPr="007F1968" w:rsidRDefault="00665097" w:rsidP="00BB313D">
      <w:pPr>
        <w:pStyle w:val="Ttulo1"/>
        <w:keepNext w:val="0"/>
        <w:ind w:left="708" w:hanging="708"/>
        <w:rPr>
          <w:color w:val="1F497D" w:themeColor="text2"/>
          <w:sz w:val="26"/>
          <w:szCs w:val="26"/>
        </w:rPr>
      </w:pPr>
      <w:bookmarkStart w:id="110" w:name="_Toc391999514"/>
      <w:bookmarkStart w:id="111" w:name="_Toc450118907"/>
      <w:r w:rsidRPr="007F1968">
        <w:rPr>
          <w:color w:val="1F497D" w:themeColor="text2"/>
          <w:sz w:val="26"/>
          <w:szCs w:val="26"/>
        </w:rPr>
        <w:lastRenderedPageBreak/>
        <w:t>2.-</w:t>
      </w:r>
      <w:r w:rsidRPr="007F1968">
        <w:rPr>
          <w:color w:val="1F497D" w:themeColor="text2"/>
          <w:sz w:val="26"/>
          <w:szCs w:val="26"/>
        </w:rPr>
        <w:tab/>
        <w:t>EL PERFIL JURÍDICO DE LA ECONOMÍA SOCIAL</w:t>
      </w:r>
      <w:bookmarkEnd w:id="110"/>
      <w:bookmarkEnd w:id="111"/>
    </w:p>
    <w:p w:rsidR="00665097" w:rsidRDefault="00665097" w:rsidP="00BB313D">
      <w:pPr>
        <w:widowControl w:val="0"/>
      </w:pPr>
    </w:p>
    <w:p w:rsidR="006773F6" w:rsidRPr="007F1968" w:rsidRDefault="006773F6" w:rsidP="00BB313D">
      <w:pPr>
        <w:widowControl w:val="0"/>
      </w:pPr>
    </w:p>
    <w:p w:rsidR="00665097" w:rsidRPr="007F1968" w:rsidRDefault="00665097" w:rsidP="00BB313D">
      <w:pPr>
        <w:pStyle w:val="Ttulo1"/>
        <w:keepNext w:val="0"/>
        <w:ind w:left="708" w:hanging="708"/>
        <w:rPr>
          <w:color w:val="1F497D" w:themeColor="text2"/>
          <w:sz w:val="22"/>
          <w:szCs w:val="22"/>
        </w:rPr>
      </w:pPr>
      <w:bookmarkStart w:id="112" w:name="_Toc391999515"/>
      <w:bookmarkStart w:id="113" w:name="_Toc450118908"/>
      <w:r w:rsidRPr="007F1968">
        <w:rPr>
          <w:color w:val="1F497D" w:themeColor="text2"/>
          <w:sz w:val="22"/>
          <w:szCs w:val="22"/>
        </w:rPr>
        <w:t>2.1.-</w:t>
      </w:r>
      <w:r w:rsidRPr="007F1968">
        <w:rPr>
          <w:color w:val="1F497D" w:themeColor="text2"/>
          <w:sz w:val="22"/>
          <w:szCs w:val="22"/>
        </w:rPr>
        <w:tab/>
        <w:t>ESTABLECIMIENTOS Y EMPLEOS</w:t>
      </w:r>
      <w:bookmarkEnd w:id="112"/>
      <w:bookmarkEnd w:id="113"/>
      <w:r w:rsidRPr="007F1968">
        <w:rPr>
          <w:color w:val="1F497D" w:themeColor="text2"/>
          <w:sz w:val="22"/>
          <w:szCs w:val="22"/>
        </w:rPr>
        <w:t xml:space="preserve"> </w:t>
      </w:r>
    </w:p>
    <w:p w:rsidR="00665097" w:rsidRDefault="00665097" w:rsidP="00BB313D">
      <w:pPr>
        <w:widowControl w:val="0"/>
      </w:pPr>
    </w:p>
    <w:p w:rsidR="006773F6" w:rsidRPr="00DE3A4D" w:rsidRDefault="006773F6"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14" w:name="_Toc391999600"/>
      <w:bookmarkStart w:id="115" w:name="_Toc450119483"/>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95E68" w:rsidRPr="00665097">
        <w:rPr>
          <w:rFonts w:cs="Arial"/>
          <w:b/>
          <w:color w:val="1F497D" w:themeColor="text2"/>
          <w:sz w:val="18"/>
          <w:szCs w:val="18"/>
        </w:rPr>
        <w:t xml:space="preserve"> </w:t>
      </w:r>
      <w:r w:rsidR="00665097" w:rsidRPr="00DE3A4D">
        <w:rPr>
          <w:rFonts w:cs="Arial"/>
          <w:b/>
          <w:color w:val="1F497D" w:themeColor="text2"/>
          <w:sz w:val="18"/>
          <w:szCs w:val="18"/>
        </w:rPr>
        <w:t>EVOLUCIÓN 20</w:t>
      </w:r>
      <w:r w:rsidR="00F15C27">
        <w:rPr>
          <w:rFonts w:cs="Arial"/>
          <w:b/>
          <w:color w:val="1F497D" w:themeColor="text2"/>
          <w:sz w:val="18"/>
          <w:szCs w:val="18"/>
        </w:rPr>
        <w:t>12</w:t>
      </w:r>
      <w:r w:rsidR="00665097" w:rsidRPr="00DE3A4D">
        <w:rPr>
          <w:rFonts w:cs="Arial"/>
          <w:b/>
          <w:color w:val="1F497D" w:themeColor="text2"/>
          <w:sz w:val="18"/>
          <w:szCs w:val="18"/>
        </w:rPr>
        <w:t>-201</w:t>
      </w:r>
      <w:r w:rsidR="00F15C27">
        <w:rPr>
          <w:rFonts w:cs="Arial"/>
          <w:b/>
          <w:color w:val="1F497D" w:themeColor="text2"/>
          <w:sz w:val="18"/>
          <w:szCs w:val="18"/>
        </w:rPr>
        <w:t>4</w:t>
      </w:r>
      <w:r w:rsidR="00665097" w:rsidRPr="00DE3A4D">
        <w:rPr>
          <w:rFonts w:cs="Arial"/>
          <w:b/>
          <w:color w:val="1F497D" w:themeColor="text2"/>
          <w:sz w:val="18"/>
          <w:szCs w:val="18"/>
        </w:rPr>
        <w:t xml:space="preserve"> DE LOS ESTABLECIMIENTOS DE LA ECONOMÍA S</w:t>
      </w:r>
      <w:r w:rsidR="00F15C27">
        <w:rPr>
          <w:rFonts w:cs="Arial"/>
          <w:b/>
          <w:color w:val="1F497D" w:themeColor="text2"/>
          <w:sz w:val="18"/>
          <w:szCs w:val="18"/>
        </w:rPr>
        <w:t>OCIAL SEGÚN FORMA JURÍDICA. 2012-2014</w:t>
      </w:r>
      <w:r w:rsidR="00665097" w:rsidRPr="00DE3A4D">
        <w:rPr>
          <w:rFonts w:cs="Arial"/>
          <w:b/>
          <w:color w:val="1F497D" w:themeColor="text2"/>
          <w:sz w:val="18"/>
          <w:szCs w:val="18"/>
        </w:rPr>
        <w:t xml:space="preserve"> (</w:t>
      </w:r>
      <w:r w:rsidR="007D763B">
        <w:rPr>
          <w:rFonts w:cs="Arial"/>
          <w:b/>
          <w:color w:val="1F497D" w:themeColor="text2"/>
          <w:sz w:val="18"/>
          <w:szCs w:val="18"/>
        </w:rPr>
        <w:t>cifras absolutas y % verticales</w:t>
      </w:r>
      <w:r w:rsidR="00665097" w:rsidRPr="00DE3A4D">
        <w:rPr>
          <w:rFonts w:cs="Arial"/>
          <w:b/>
          <w:color w:val="1F497D" w:themeColor="text2"/>
          <w:sz w:val="18"/>
          <w:szCs w:val="18"/>
        </w:rPr>
        <w:t>)</w:t>
      </w:r>
      <w:bookmarkEnd w:id="114"/>
      <w:bookmarkEnd w:id="115"/>
    </w:p>
    <w:tbl>
      <w:tblPr>
        <w:tblW w:w="9940" w:type="dxa"/>
        <w:jc w:val="center"/>
        <w:tblLook w:val="04A0" w:firstRow="1" w:lastRow="0" w:firstColumn="1" w:lastColumn="0" w:noHBand="0" w:noVBand="1"/>
      </w:tblPr>
      <w:tblGrid>
        <w:gridCol w:w="2090"/>
        <w:gridCol w:w="1452"/>
        <w:gridCol w:w="1373"/>
        <w:gridCol w:w="1451"/>
        <w:gridCol w:w="1600"/>
        <w:gridCol w:w="1974"/>
      </w:tblGrid>
      <w:tr w:rsidR="00F15C27" w:rsidRPr="00F04D4B" w:rsidTr="00D122F5">
        <w:trPr>
          <w:jc w:val="center"/>
        </w:trPr>
        <w:tc>
          <w:tcPr>
            <w:tcW w:w="105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p>
        </w:tc>
        <w:tc>
          <w:tcPr>
            <w:tcW w:w="14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r w:rsidRPr="00F04D4B">
              <w:rPr>
                <w:rFonts w:cs="Arial"/>
                <w:b/>
                <w:bCs/>
                <w:sz w:val="16"/>
                <w:szCs w:val="16"/>
                <w:lang w:val="pt-BR"/>
              </w:rPr>
              <w:t>2012</w:t>
            </w:r>
          </w:p>
        </w:tc>
        <w:tc>
          <w:tcPr>
            <w:tcW w:w="15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c>
          <w:tcPr>
            <w:tcW w:w="993"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r>
              <w:rPr>
                <w:rFonts w:cs="Arial"/>
                <w:b/>
                <w:bCs/>
                <w:sz w:val="16"/>
                <w:szCs w:val="16"/>
                <w:lang w:val="pt-BR"/>
              </w:rPr>
              <w:t>%∆14/12</w:t>
            </w:r>
            <w:r w:rsidRPr="00F04D4B">
              <w:rPr>
                <w:rFonts w:cs="Arial"/>
                <w:b/>
                <w:bCs/>
                <w:sz w:val="16"/>
                <w:szCs w:val="16"/>
                <w:lang w:val="pt-BR"/>
              </w:rPr>
              <w:t xml:space="preserve"> (1)</w:t>
            </w:r>
          </w:p>
        </w:tc>
      </w:tr>
      <w:tr w:rsidR="00F15C27" w:rsidRPr="00F04D4B" w:rsidTr="00D122F5">
        <w:trPr>
          <w:jc w:val="center"/>
        </w:trPr>
        <w:tc>
          <w:tcPr>
            <w:tcW w:w="105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sz w:val="16"/>
                <w:szCs w:val="16"/>
              </w:rPr>
            </w:pP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r>
              <w:rPr>
                <w:rFonts w:cs="Arial"/>
                <w:b/>
                <w:bCs/>
                <w:sz w:val="16"/>
                <w:szCs w:val="16"/>
                <w:lang w:val="pt-BR"/>
              </w:rPr>
              <w:t>Abs.</w:t>
            </w:r>
          </w:p>
        </w:tc>
        <w:tc>
          <w:tcPr>
            <w:tcW w:w="6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F04D4B" w:rsidRDefault="00D938A9" w:rsidP="00BB313D">
            <w:pPr>
              <w:widowControl w:val="0"/>
              <w:spacing w:line="240" w:lineRule="exact"/>
              <w:jc w:val="center"/>
              <w:rPr>
                <w:rFonts w:cs="Arial"/>
                <w:b/>
                <w:bCs/>
                <w:sz w:val="16"/>
                <w:szCs w:val="16"/>
              </w:rPr>
            </w:pPr>
            <w:r>
              <w:rPr>
                <w:rFonts w:cs="Arial"/>
                <w:b/>
                <w:bCs/>
                <w:sz w:val="16"/>
                <w:szCs w:val="16"/>
                <w:lang w:val="pt-BR"/>
              </w:rPr>
              <w:t>% ver.</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r>
              <w:rPr>
                <w:rFonts w:cs="Arial"/>
                <w:b/>
                <w:bCs/>
                <w:sz w:val="16"/>
                <w:szCs w:val="16"/>
                <w:lang w:val="pt-BR"/>
              </w:rPr>
              <w:t>Abs.</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r>
              <w:rPr>
                <w:rFonts w:cs="Arial"/>
                <w:b/>
                <w:bCs/>
                <w:sz w:val="16"/>
                <w:szCs w:val="16"/>
                <w:lang w:val="pt-BR"/>
              </w:rPr>
              <w:t>% ver.</w:t>
            </w:r>
          </w:p>
        </w:tc>
        <w:tc>
          <w:tcPr>
            <w:tcW w:w="993"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F15C27" w:rsidRPr="00F04D4B" w:rsidRDefault="00F15C27" w:rsidP="00BB313D">
            <w:pPr>
              <w:widowControl w:val="0"/>
              <w:spacing w:line="240" w:lineRule="exact"/>
              <w:jc w:val="center"/>
              <w:rPr>
                <w:rFonts w:cs="Arial"/>
                <w:b/>
                <w:bCs/>
                <w:sz w:val="16"/>
                <w:szCs w:val="16"/>
              </w:rPr>
            </w:pPr>
          </w:p>
        </w:tc>
      </w:tr>
      <w:tr w:rsidR="009C114A" w:rsidRPr="00F04D4B" w:rsidTr="00D122F5">
        <w:trPr>
          <w:jc w:val="center"/>
        </w:trPr>
        <w:tc>
          <w:tcPr>
            <w:tcW w:w="1051" w:type="pct"/>
            <w:tcBorders>
              <w:top w:val="single" w:sz="4" w:space="0" w:color="BFBFBF" w:themeColor="background1" w:themeShade="BF"/>
              <w:right w:val="single" w:sz="4" w:space="0" w:color="BFBFBF" w:themeColor="background1" w:themeShade="BF"/>
            </w:tcBorders>
            <w:hideMark/>
          </w:tcPr>
          <w:p w:rsidR="009C114A" w:rsidRPr="00F04D4B" w:rsidRDefault="009C114A" w:rsidP="00BB313D">
            <w:pPr>
              <w:widowControl w:val="0"/>
              <w:spacing w:line="240" w:lineRule="exact"/>
              <w:rPr>
                <w:rFonts w:cs="Arial"/>
                <w:sz w:val="16"/>
                <w:szCs w:val="16"/>
              </w:rPr>
            </w:pPr>
            <w:r w:rsidRPr="00F04D4B">
              <w:rPr>
                <w:rFonts w:cs="Arial"/>
                <w:sz w:val="16"/>
                <w:szCs w:val="16"/>
                <w:lang w:val="pt-BR"/>
              </w:rPr>
              <w:t>Cooperativas</w:t>
            </w:r>
          </w:p>
        </w:tc>
        <w:tc>
          <w:tcPr>
            <w:tcW w:w="730" w:type="pct"/>
            <w:tcBorders>
              <w:top w:val="single" w:sz="4" w:space="0" w:color="BFBFBF" w:themeColor="background1" w:themeShade="BF"/>
              <w:left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2.194</w:t>
            </w:r>
          </w:p>
        </w:tc>
        <w:tc>
          <w:tcPr>
            <w:tcW w:w="690" w:type="pct"/>
            <w:tcBorders>
              <w:top w:val="single" w:sz="4" w:space="0" w:color="BFBFBF" w:themeColor="background1" w:themeShade="BF"/>
              <w:right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71,3</w:t>
            </w:r>
          </w:p>
        </w:tc>
        <w:tc>
          <w:tcPr>
            <w:tcW w:w="730" w:type="pct"/>
            <w:tcBorders>
              <w:top w:val="single" w:sz="4" w:space="0" w:color="BFBFBF" w:themeColor="background1" w:themeShade="BF"/>
              <w:left w:val="single" w:sz="4" w:space="0" w:color="BFBFBF" w:themeColor="background1" w:themeShade="BF"/>
            </w:tcBorders>
            <w:vAlign w:val="bottom"/>
            <w:hideMark/>
          </w:tcPr>
          <w:p w:rsidR="009C114A" w:rsidRPr="009C114A" w:rsidRDefault="009C114A" w:rsidP="00BB313D">
            <w:pPr>
              <w:widowControl w:val="0"/>
              <w:spacing w:line="240" w:lineRule="exact"/>
              <w:ind w:right="284"/>
              <w:jc w:val="right"/>
              <w:rPr>
                <w:rFonts w:cs="Arial"/>
                <w:color w:val="000000"/>
                <w:sz w:val="16"/>
                <w:szCs w:val="16"/>
              </w:rPr>
            </w:pPr>
            <w:r w:rsidRPr="009C114A">
              <w:rPr>
                <w:rFonts w:cs="Arial"/>
                <w:color w:val="000000"/>
                <w:sz w:val="16"/>
                <w:szCs w:val="16"/>
              </w:rPr>
              <w:t>2.233</w:t>
            </w:r>
          </w:p>
        </w:tc>
        <w:tc>
          <w:tcPr>
            <w:tcW w:w="805" w:type="pct"/>
            <w:tcBorders>
              <w:top w:val="single" w:sz="4" w:space="0" w:color="BFBFBF" w:themeColor="background1" w:themeShade="BF"/>
              <w:right w:val="single" w:sz="4" w:space="0" w:color="BFBFBF" w:themeColor="background1" w:themeShade="BF"/>
            </w:tcBorders>
            <w:vAlign w:val="bottom"/>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71,4</w:t>
            </w:r>
          </w:p>
        </w:tc>
        <w:tc>
          <w:tcPr>
            <w:tcW w:w="993" w:type="pct"/>
            <w:tcBorders>
              <w:top w:val="single" w:sz="4" w:space="0" w:color="BFBFBF" w:themeColor="background1" w:themeShade="BF"/>
              <w:left w:val="single" w:sz="4" w:space="0" w:color="BFBFBF" w:themeColor="background1" w:themeShade="BF"/>
            </w:tcBorders>
            <w:vAlign w:val="center"/>
            <w:hideMark/>
          </w:tcPr>
          <w:p w:rsidR="009C114A" w:rsidRPr="00565862" w:rsidRDefault="00F20599" w:rsidP="00BB313D">
            <w:pPr>
              <w:widowControl w:val="0"/>
              <w:spacing w:line="240" w:lineRule="exact"/>
              <w:ind w:right="284"/>
              <w:jc w:val="right"/>
              <w:rPr>
                <w:rFonts w:cs="Arial"/>
                <w:color w:val="000000"/>
                <w:sz w:val="16"/>
                <w:szCs w:val="16"/>
              </w:rPr>
            </w:pPr>
            <w:r>
              <w:rPr>
                <w:rFonts w:cs="Arial"/>
                <w:color w:val="000000"/>
                <w:sz w:val="16"/>
                <w:szCs w:val="16"/>
              </w:rPr>
              <w:t>1,8</w:t>
            </w:r>
          </w:p>
        </w:tc>
      </w:tr>
      <w:tr w:rsidR="009C114A" w:rsidRPr="00F04D4B" w:rsidTr="00D122F5">
        <w:trPr>
          <w:jc w:val="center"/>
        </w:trPr>
        <w:tc>
          <w:tcPr>
            <w:tcW w:w="1051" w:type="pct"/>
            <w:tcBorders>
              <w:right w:val="single" w:sz="4" w:space="0" w:color="BFBFBF" w:themeColor="background1" w:themeShade="BF"/>
            </w:tcBorders>
            <w:hideMark/>
          </w:tcPr>
          <w:p w:rsidR="009C114A" w:rsidRPr="00F04D4B" w:rsidRDefault="009C114A" w:rsidP="00BB313D">
            <w:pPr>
              <w:widowControl w:val="0"/>
              <w:spacing w:line="240" w:lineRule="exact"/>
              <w:rPr>
                <w:rFonts w:cs="Arial"/>
                <w:sz w:val="16"/>
                <w:szCs w:val="16"/>
              </w:rPr>
            </w:pPr>
            <w:r w:rsidRPr="00F04D4B">
              <w:rPr>
                <w:rFonts w:cs="Arial"/>
                <w:sz w:val="16"/>
                <w:szCs w:val="16"/>
                <w:lang w:val="pt-BR"/>
              </w:rPr>
              <w:t>S.L.</w:t>
            </w:r>
            <w:proofErr w:type="gramStart"/>
            <w:r w:rsidRPr="00F04D4B">
              <w:rPr>
                <w:rFonts w:cs="Arial"/>
                <w:sz w:val="16"/>
                <w:szCs w:val="16"/>
                <w:lang w:val="pt-BR"/>
              </w:rPr>
              <w:t>es</w:t>
            </w:r>
            <w:proofErr w:type="gramEnd"/>
          </w:p>
        </w:tc>
        <w:tc>
          <w:tcPr>
            <w:tcW w:w="730" w:type="pct"/>
            <w:tcBorders>
              <w:left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884</w:t>
            </w:r>
          </w:p>
        </w:tc>
        <w:tc>
          <w:tcPr>
            <w:tcW w:w="690" w:type="pct"/>
            <w:tcBorders>
              <w:right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28,7</w:t>
            </w:r>
          </w:p>
        </w:tc>
        <w:tc>
          <w:tcPr>
            <w:tcW w:w="730" w:type="pct"/>
            <w:tcBorders>
              <w:left w:val="single" w:sz="4" w:space="0" w:color="BFBFBF" w:themeColor="background1" w:themeShade="BF"/>
            </w:tcBorders>
            <w:vAlign w:val="bottom"/>
            <w:hideMark/>
          </w:tcPr>
          <w:p w:rsidR="009C114A" w:rsidRPr="009C114A" w:rsidRDefault="009C114A" w:rsidP="00BB313D">
            <w:pPr>
              <w:widowControl w:val="0"/>
              <w:spacing w:line="240" w:lineRule="exact"/>
              <w:ind w:right="284"/>
              <w:jc w:val="right"/>
              <w:rPr>
                <w:rFonts w:cs="Arial"/>
                <w:color w:val="000000"/>
                <w:sz w:val="16"/>
                <w:szCs w:val="16"/>
              </w:rPr>
            </w:pPr>
            <w:r w:rsidRPr="009C114A">
              <w:rPr>
                <w:rFonts w:cs="Arial"/>
                <w:color w:val="000000"/>
                <w:sz w:val="16"/>
                <w:szCs w:val="16"/>
              </w:rPr>
              <w:t>8</w:t>
            </w:r>
            <w:r>
              <w:rPr>
                <w:rFonts w:cs="Arial"/>
                <w:color w:val="000000"/>
                <w:sz w:val="16"/>
                <w:szCs w:val="16"/>
              </w:rPr>
              <w:t>94</w:t>
            </w:r>
          </w:p>
        </w:tc>
        <w:tc>
          <w:tcPr>
            <w:tcW w:w="805" w:type="pct"/>
            <w:tcBorders>
              <w:right w:val="single" w:sz="4" w:space="0" w:color="BFBFBF" w:themeColor="background1" w:themeShade="BF"/>
            </w:tcBorders>
            <w:vAlign w:val="bottom"/>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28,6</w:t>
            </w:r>
          </w:p>
        </w:tc>
        <w:tc>
          <w:tcPr>
            <w:tcW w:w="993" w:type="pct"/>
            <w:tcBorders>
              <w:left w:val="single" w:sz="4" w:space="0" w:color="BFBFBF" w:themeColor="background1" w:themeShade="BF"/>
            </w:tcBorders>
            <w:vAlign w:val="center"/>
            <w:hideMark/>
          </w:tcPr>
          <w:p w:rsidR="009C114A" w:rsidRPr="00565862" w:rsidRDefault="00F20599" w:rsidP="00BB313D">
            <w:pPr>
              <w:widowControl w:val="0"/>
              <w:spacing w:line="240" w:lineRule="exact"/>
              <w:ind w:right="284"/>
              <w:jc w:val="right"/>
              <w:rPr>
                <w:rFonts w:cs="Arial"/>
                <w:color w:val="000000"/>
                <w:sz w:val="16"/>
                <w:szCs w:val="16"/>
              </w:rPr>
            </w:pPr>
            <w:r>
              <w:rPr>
                <w:rFonts w:cs="Arial"/>
                <w:color w:val="000000"/>
                <w:sz w:val="16"/>
                <w:szCs w:val="16"/>
              </w:rPr>
              <w:t>1,1</w:t>
            </w:r>
          </w:p>
        </w:tc>
      </w:tr>
      <w:tr w:rsidR="009C114A" w:rsidRPr="00F04D4B" w:rsidTr="00D122F5">
        <w:trPr>
          <w:jc w:val="center"/>
        </w:trPr>
        <w:tc>
          <w:tcPr>
            <w:tcW w:w="1051" w:type="pct"/>
            <w:tcBorders>
              <w:right w:val="single" w:sz="4" w:space="0" w:color="BFBFBF" w:themeColor="background1" w:themeShade="BF"/>
            </w:tcBorders>
            <w:hideMark/>
          </w:tcPr>
          <w:p w:rsidR="009C114A" w:rsidRPr="00F04D4B" w:rsidRDefault="009C114A" w:rsidP="00BB313D">
            <w:pPr>
              <w:widowControl w:val="0"/>
              <w:spacing w:line="240" w:lineRule="exact"/>
              <w:rPr>
                <w:rFonts w:cs="Arial"/>
                <w:sz w:val="16"/>
                <w:szCs w:val="16"/>
              </w:rPr>
            </w:pPr>
            <w:r w:rsidRPr="00F04D4B">
              <w:rPr>
                <w:rFonts w:cs="Arial"/>
                <w:sz w:val="16"/>
                <w:szCs w:val="16"/>
              </w:rPr>
              <w:t xml:space="preserve">  S.A.L.es</w:t>
            </w:r>
          </w:p>
        </w:tc>
        <w:tc>
          <w:tcPr>
            <w:tcW w:w="730" w:type="pct"/>
            <w:tcBorders>
              <w:left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268</w:t>
            </w:r>
          </w:p>
        </w:tc>
        <w:tc>
          <w:tcPr>
            <w:tcW w:w="690" w:type="pct"/>
            <w:tcBorders>
              <w:right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8,7</w:t>
            </w:r>
          </w:p>
        </w:tc>
        <w:tc>
          <w:tcPr>
            <w:tcW w:w="730" w:type="pct"/>
            <w:tcBorders>
              <w:left w:val="single" w:sz="4" w:space="0" w:color="BFBFBF" w:themeColor="background1" w:themeShade="BF"/>
            </w:tcBorders>
            <w:vAlign w:val="bottom"/>
            <w:hideMark/>
          </w:tcPr>
          <w:p w:rsidR="009C114A" w:rsidRPr="009C114A" w:rsidRDefault="009C114A" w:rsidP="00BB313D">
            <w:pPr>
              <w:widowControl w:val="0"/>
              <w:spacing w:line="240" w:lineRule="exact"/>
              <w:ind w:right="284"/>
              <w:jc w:val="right"/>
              <w:rPr>
                <w:rFonts w:cs="Arial"/>
                <w:color w:val="000000"/>
                <w:sz w:val="16"/>
                <w:szCs w:val="16"/>
              </w:rPr>
            </w:pPr>
            <w:r w:rsidRPr="009C114A">
              <w:rPr>
                <w:rFonts w:cs="Arial"/>
                <w:color w:val="000000"/>
                <w:sz w:val="16"/>
                <w:szCs w:val="16"/>
              </w:rPr>
              <w:t>230</w:t>
            </w:r>
          </w:p>
        </w:tc>
        <w:tc>
          <w:tcPr>
            <w:tcW w:w="805" w:type="pct"/>
            <w:tcBorders>
              <w:right w:val="single" w:sz="4" w:space="0" w:color="BFBFBF" w:themeColor="background1" w:themeShade="BF"/>
            </w:tcBorders>
            <w:vAlign w:val="bottom"/>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7,4</w:t>
            </w:r>
          </w:p>
        </w:tc>
        <w:tc>
          <w:tcPr>
            <w:tcW w:w="993" w:type="pct"/>
            <w:tcBorders>
              <w:left w:val="single" w:sz="4" w:space="0" w:color="BFBFBF" w:themeColor="background1" w:themeShade="BF"/>
            </w:tcBorders>
            <w:vAlign w:val="center"/>
            <w:hideMark/>
          </w:tcPr>
          <w:p w:rsidR="009C114A" w:rsidRPr="00565862" w:rsidRDefault="00F20599" w:rsidP="00BB313D">
            <w:pPr>
              <w:widowControl w:val="0"/>
              <w:spacing w:line="240" w:lineRule="exact"/>
              <w:ind w:right="284"/>
              <w:jc w:val="right"/>
              <w:rPr>
                <w:rFonts w:cs="Arial"/>
                <w:color w:val="000000"/>
                <w:sz w:val="16"/>
                <w:szCs w:val="16"/>
              </w:rPr>
            </w:pPr>
            <w:r>
              <w:rPr>
                <w:rFonts w:cs="Arial"/>
                <w:color w:val="000000"/>
                <w:sz w:val="16"/>
                <w:szCs w:val="16"/>
              </w:rPr>
              <w:t>-14,2</w:t>
            </w:r>
          </w:p>
        </w:tc>
      </w:tr>
      <w:tr w:rsidR="009C114A" w:rsidRPr="00F04D4B" w:rsidTr="00D122F5">
        <w:trPr>
          <w:jc w:val="center"/>
        </w:trPr>
        <w:tc>
          <w:tcPr>
            <w:tcW w:w="1051" w:type="pct"/>
            <w:tcBorders>
              <w:bottom w:val="single" w:sz="4" w:space="0" w:color="BFBFBF" w:themeColor="background1" w:themeShade="BF"/>
              <w:right w:val="single" w:sz="4" w:space="0" w:color="BFBFBF" w:themeColor="background1" w:themeShade="BF"/>
            </w:tcBorders>
            <w:hideMark/>
          </w:tcPr>
          <w:p w:rsidR="009C114A" w:rsidRPr="00F04D4B" w:rsidRDefault="009C114A" w:rsidP="00BB313D">
            <w:pPr>
              <w:widowControl w:val="0"/>
              <w:spacing w:line="240" w:lineRule="exact"/>
              <w:rPr>
                <w:rFonts w:cs="Arial"/>
                <w:sz w:val="16"/>
                <w:szCs w:val="16"/>
              </w:rPr>
            </w:pPr>
            <w:r w:rsidRPr="00F04D4B">
              <w:rPr>
                <w:rFonts w:cs="Arial"/>
                <w:sz w:val="16"/>
                <w:szCs w:val="16"/>
              </w:rPr>
              <w:t xml:space="preserve">  S.L.L.es</w:t>
            </w:r>
          </w:p>
        </w:tc>
        <w:tc>
          <w:tcPr>
            <w:tcW w:w="730" w:type="pct"/>
            <w:tcBorders>
              <w:left w:val="single" w:sz="4" w:space="0" w:color="BFBFBF" w:themeColor="background1" w:themeShade="BF"/>
              <w:bottom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616</w:t>
            </w:r>
          </w:p>
        </w:tc>
        <w:tc>
          <w:tcPr>
            <w:tcW w:w="690" w:type="pct"/>
            <w:tcBorders>
              <w:bottom w:val="single" w:sz="4" w:space="0" w:color="BFBFBF" w:themeColor="background1" w:themeShade="BF"/>
              <w:right w:val="single" w:sz="4" w:space="0" w:color="BFBFBF" w:themeColor="background1" w:themeShade="BF"/>
            </w:tcBorders>
            <w:vAlign w:val="center"/>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20,0</w:t>
            </w:r>
          </w:p>
        </w:tc>
        <w:tc>
          <w:tcPr>
            <w:tcW w:w="730" w:type="pct"/>
            <w:tcBorders>
              <w:left w:val="single" w:sz="4" w:space="0" w:color="BFBFBF" w:themeColor="background1" w:themeShade="BF"/>
              <w:bottom w:val="single" w:sz="4" w:space="0" w:color="BFBFBF" w:themeColor="background1" w:themeShade="BF"/>
            </w:tcBorders>
            <w:vAlign w:val="bottom"/>
            <w:hideMark/>
          </w:tcPr>
          <w:p w:rsidR="009C114A" w:rsidRPr="009C114A" w:rsidRDefault="009C114A" w:rsidP="00BB313D">
            <w:pPr>
              <w:widowControl w:val="0"/>
              <w:spacing w:line="240" w:lineRule="exact"/>
              <w:ind w:right="284"/>
              <w:jc w:val="right"/>
              <w:rPr>
                <w:rFonts w:cs="Arial"/>
                <w:color w:val="000000"/>
                <w:sz w:val="16"/>
                <w:szCs w:val="16"/>
              </w:rPr>
            </w:pPr>
            <w:r w:rsidRPr="009C114A">
              <w:rPr>
                <w:rFonts w:cs="Arial"/>
                <w:color w:val="000000"/>
                <w:sz w:val="16"/>
                <w:szCs w:val="16"/>
              </w:rPr>
              <w:t>664</w:t>
            </w:r>
          </w:p>
        </w:tc>
        <w:tc>
          <w:tcPr>
            <w:tcW w:w="805" w:type="pct"/>
            <w:tcBorders>
              <w:bottom w:val="single" w:sz="4" w:space="0" w:color="BFBFBF" w:themeColor="background1" w:themeShade="BF"/>
              <w:right w:val="single" w:sz="4" w:space="0" w:color="BFBFBF" w:themeColor="background1" w:themeShade="BF"/>
            </w:tcBorders>
            <w:vAlign w:val="bottom"/>
            <w:hideMark/>
          </w:tcPr>
          <w:p w:rsidR="009C114A" w:rsidRPr="00565862" w:rsidRDefault="009C114A" w:rsidP="00BB313D">
            <w:pPr>
              <w:widowControl w:val="0"/>
              <w:spacing w:line="240" w:lineRule="exact"/>
              <w:ind w:right="284"/>
              <w:jc w:val="right"/>
              <w:rPr>
                <w:rFonts w:cs="Arial"/>
                <w:color w:val="000000"/>
                <w:sz w:val="16"/>
                <w:szCs w:val="16"/>
              </w:rPr>
            </w:pPr>
            <w:r w:rsidRPr="00565862">
              <w:rPr>
                <w:rFonts w:cs="Arial"/>
                <w:color w:val="000000"/>
                <w:sz w:val="16"/>
                <w:szCs w:val="16"/>
              </w:rPr>
              <w:t>21,2</w:t>
            </w:r>
          </w:p>
        </w:tc>
        <w:tc>
          <w:tcPr>
            <w:tcW w:w="993" w:type="pct"/>
            <w:tcBorders>
              <w:left w:val="single" w:sz="4" w:space="0" w:color="BFBFBF" w:themeColor="background1" w:themeShade="BF"/>
              <w:bottom w:val="single" w:sz="4" w:space="0" w:color="BFBFBF" w:themeColor="background1" w:themeShade="BF"/>
            </w:tcBorders>
            <w:vAlign w:val="center"/>
            <w:hideMark/>
          </w:tcPr>
          <w:p w:rsidR="009C114A" w:rsidRPr="00565862" w:rsidRDefault="00F20599" w:rsidP="00BB313D">
            <w:pPr>
              <w:widowControl w:val="0"/>
              <w:spacing w:line="240" w:lineRule="exact"/>
              <w:ind w:right="284"/>
              <w:jc w:val="right"/>
              <w:rPr>
                <w:rFonts w:cs="Arial"/>
                <w:color w:val="000000"/>
                <w:sz w:val="16"/>
                <w:szCs w:val="16"/>
              </w:rPr>
            </w:pPr>
            <w:r>
              <w:rPr>
                <w:rFonts w:cs="Arial"/>
                <w:color w:val="000000"/>
                <w:sz w:val="16"/>
                <w:szCs w:val="16"/>
              </w:rPr>
              <w:t>7,8</w:t>
            </w:r>
          </w:p>
        </w:tc>
      </w:tr>
      <w:tr w:rsidR="009C114A" w:rsidRPr="00F04D4B" w:rsidTr="00D122F5">
        <w:trPr>
          <w:trHeight w:val="70"/>
          <w:jc w:val="center"/>
        </w:trPr>
        <w:tc>
          <w:tcPr>
            <w:tcW w:w="105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C114A" w:rsidRPr="00F04D4B" w:rsidRDefault="009C114A" w:rsidP="00BB313D">
            <w:pPr>
              <w:widowControl w:val="0"/>
              <w:spacing w:line="240" w:lineRule="exact"/>
              <w:rPr>
                <w:rFonts w:cs="Arial"/>
                <w:b/>
                <w:bCs/>
                <w:sz w:val="16"/>
                <w:szCs w:val="16"/>
              </w:rPr>
            </w:pPr>
            <w:r w:rsidRPr="00F04D4B">
              <w:rPr>
                <w:rFonts w:cs="Arial"/>
                <w:b/>
                <w:bCs/>
                <w:sz w:val="16"/>
                <w:szCs w:val="16"/>
              </w:rPr>
              <w:t>TOTAL</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9C114A" w:rsidRPr="00F04D4B" w:rsidRDefault="009C114A" w:rsidP="00BB313D">
            <w:pPr>
              <w:widowControl w:val="0"/>
              <w:spacing w:line="240" w:lineRule="exact"/>
              <w:ind w:right="284"/>
              <w:jc w:val="right"/>
              <w:rPr>
                <w:rFonts w:cs="Arial"/>
                <w:b/>
                <w:bCs/>
                <w:sz w:val="16"/>
                <w:szCs w:val="16"/>
              </w:rPr>
            </w:pPr>
            <w:r w:rsidRPr="00F04D4B">
              <w:rPr>
                <w:rFonts w:cs="Arial"/>
                <w:b/>
                <w:bCs/>
                <w:sz w:val="16"/>
                <w:szCs w:val="16"/>
              </w:rPr>
              <w:t>3.078</w:t>
            </w:r>
          </w:p>
        </w:tc>
        <w:tc>
          <w:tcPr>
            <w:tcW w:w="69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C114A" w:rsidRPr="00F04D4B" w:rsidRDefault="009C114A" w:rsidP="00BB313D">
            <w:pPr>
              <w:widowControl w:val="0"/>
              <w:spacing w:line="240" w:lineRule="exact"/>
              <w:ind w:right="284"/>
              <w:jc w:val="right"/>
              <w:rPr>
                <w:rFonts w:cs="Arial"/>
                <w:b/>
                <w:bCs/>
                <w:sz w:val="16"/>
                <w:szCs w:val="16"/>
              </w:rPr>
            </w:pPr>
            <w:r>
              <w:rPr>
                <w:rFonts w:cs="Arial"/>
                <w:b/>
                <w:bCs/>
                <w:sz w:val="16"/>
                <w:szCs w:val="16"/>
              </w:rPr>
              <w:t>100</w:t>
            </w:r>
            <w:r w:rsidR="007F441F">
              <w:rPr>
                <w:rFonts w:cs="Arial"/>
                <w:b/>
                <w:bCs/>
                <w:sz w:val="16"/>
                <w:szCs w:val="16"/>
              </w:rPr>
              <w:t>,0</w:t>
            </w:r>
          </w:p>
        </w:tc>
        <w:tc>
          <w:tcPr>
            <w:tcW w:w="73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9C114A" w:rsidRPr="00F04D4B" w:rsidRDefault="009C114A" w:rsidP="00BB313D">
            <w:pPr>
              <w:widowControl w:val="0"/>
              <w:spacing w:line="240" w:lineRule="exact"/>
              <w:ind w:right="284"/>
              <w:jc w:val="right"/>
              <w:rPr>
                <w:rFonts w:cs="Arial"/>
                <w:b/>
                <w:bCs/>
                <w:sz w:val="16"/>
                <w:szCs w:val="16"/>
              </w:rPr>
            </w:pPr>
            <w:r>
              <w:rPr>
                <w:rFonts w:cs="Arial"/>
                <w:b/>
                <w:bCs/>
                <w:sz w:val="16"/>
                <w:szCs w:val="16"/>
              </w:rPr>
              <w:t>3.127</w:t>
            </w:r>
          </w:p>
        </w:tc>
        <w:tc>
          <w:tcPr>
            <w:tcW w:w="805"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C114A" w:rsidRPr="00F04D4B" w:rsidRDefault="009C114A" w:rsidP="00BB313D">
            <w:pPr>
              <w:widowControl w:val="0"/>
              <w:spacing w:line="240" w:lineRule="exact"/>
              <w:ind w:right="284"/>
              <w:jc w:val="right"/>
              <w:rPr>
                <w:rFonts w:cs="Arial"/>
                <w:b/>
                <w:bCs/>
                <w:sz w:val="16"/>
                <w:szCs w:val="16"/>
              </w:rPr>
            </w:pPr>
            <w:r w:rsidRPr="00F04D4B">
              <w:rPr>
                <w:rFonts w:cs="Arial"/>
                <w:b/>
                <w:bCs/>
                <w:sz w:val="16"/>
                <w:szCs w:val="16"/>
              </w:rPr>
              <w:t>100</w:t>
            </w:r>
            <w:r w:rsidR="007F441F">
              <w:rPr>
                <w:rFonts w:cs="Arial"/>
                <w:b/>
                <w:bCs/>
                <w:sz w:val="16"/>
                <w:szCs w:val="16"/>
              </w:rPr>
              <w:t>,0</w:t>
            </w:r>
          </w:p>
        </w:tc>
        <w:tc>
          <w:tcPr>
            <w:tcW w:w="99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9C114A" w:rsidRPr="00F04D4B" w:rsidRDefault="00221B95" w:rsidP="00BB313D">
            <w:pPr>
              <w:widowControl w:val="0"/>
              <w:spacing w:line="240" w:lineRule="exact"/>
              <w:ind w:right="284"/>
              <w:jc w:val="right"/>
              <w:rPr>
                <w:rFonts w:cs="Arial"/>
                <w:b/>
                <w:bCs/>
                <w:sz w:val="16"/>
                <w:szCs w:val="16"/>
              </w:rPr>
            </w:pPr>
            <w:r>
              <w:rPr>
                <w:rFonts w:cs="Arial"/>
                <w:b/>
                <w:bCs/>
                <w:sz w:val="16"/>
                <w:szCs w:val="16"/>
              </w:rPr>
              <w:t>1,6</w:t>
            </w:r>
          </w:p>
        </w:tc>
      </w:tr>
    </w:tbl>
    <w:p w:rsidR="00665097" w:rsidRPr="00777C7A" w:rsidRDefault="00665097" w:rsidP="00BB313D">
      <w:pPr>
        <w:widowControl w:val="0"/>
        <w:tabs>
          <w:tab w:val="left" w:pos="993"/>
        </w:tabs>
        <w:ind w:firstLine="709"/>
        <w:jc w:val="center"/>
        <w:rPr>
          <w:rFonts w:cs="Arial"/>
          <w:sz w:val="16"/>
          <w:szCs w:val="16"/>
        </w:rPr>
      </w:pPr>
      <w:r>
        <w:rPr>
          <w:rFonts w:cs="Arial"/>
          <w:sz w:val="16"/>
          <w:szCs w:val="16"/>
        </w:rPr>
        <w:t xml:space="preserve">(1) </w:t>
      </w:r>
      <w:r>
        <w:rPr>
          <w:rFonts w:cs="Arial"/>
          <w:sz w:val="16"/>
          <w:szCs w:val="16"/>
        </w:rPr>
        <w:tab/>
        <w:t>Incremento porcentual registrado por las cifras absolutas.</w:t>
      </w:r>
    </w:p>
    <w:p w:rsidR="00665097" w:rsidRDefault="00665097" w:rsidP="00BB313D">
      <w:pPr>
        <w:widowControl w:val="0"/>
      </w:pPr>
    </w:p>
    <w:p w:rsidR="006773F6" w:rsidRDefault="006773F6"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16" w:name="_Toc391999601"/>
      <w:bookmarkStart w:id="117" w:name="_Toc450119484"/>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29</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65097">
        <w:rPr>
          <w:rFonts w:cs="Arial"/>
          <w:b/>
          <w:color w:val="1F497D" w:themeColor="text2"/>
          <w:sz w:val="18"/>
          <w:szCs w:val="18"/>
        </w:rPr>
        <w:t xml:space="preserve"> </w:t>
      </w:r>
      <w:r w:rsidR="00665097" w:rsidRPr="00DE3A4D">
        <w:rPr>
          <w:rFonts w:cs="Arial"/>
          <w:b/>
          <w:color w:val="1F497D" w:themeColor="text2"/>
          <w:sz w:val="18"/>
          <w:szCs w:val="18"/>
        </w:rPr>
        <w:t>EVOLUCIÓN 20</w:t>
      </w:r>
      <w:r w:rsidR="00686706">
        <w:rPr>
          <w:rFonts w:cs="Arial"/>
          <w:b/>
          <w:color w:val="1F497D" w:themeColor="text2"/>
          <w:sz w:val="18"/>
          <w:szCs w:val="18"/>
        </w:rPr>
        <w:t>12</w:t>
      </w:r>
      <w:r w:rsidR="00665097" w:rsidRPr="00DE3A4D">
        <w:rPr>
          <w:rFonts w:cs="Arial"/>
          <w:b/>
          <w:color w:val="1F497D" w:themeColor="text2"/>
          <w:sz w:val="18"/>
          <w:szCs w:val="18"/>
        </w:rPr>
        <w:t>-201</w:t>
      </w:r>
      <w:r w:rsidR="00686706">
        <w:rPr>
          <w:rFonts w:cs="Arial"/>
          <w:b/>
          <w:color w:val="1F497D" w:themeColor="text2"/>
          <w:sz w:val="18"/>
          <w:szCs w:val="18"/>
        </w:rPr>
        <w:t>4</w:t>
      </w:r>
      <w:r w:rsidR="00665097" w:rsidRPr="00DE3A4D">
        <w:rPr>
          <w:rFonts w:cs="Arial"/>
          <w:b/>
          <w:color w:val="1F497D" w:themeColor="text2"/>
          <w:sz w:val="18"/>
          <w:szCs w:val="18"/>
        </w:rPr>
        <w:t xml:space="preserve"> DE LOS EMPLEOS DE LA ECONOMÍA S</w:t>
      </w:r>
      <w:r w:rsidR="00686706">
        <w:rPr>
          <w:rFonts w:cs="Arial"/>
          <w:b/>
          <w:color w:val="1F497D" w:themeColor="text2"/>
          <w:sz w:val="18"/>
          <w:szCs w:val="18"/>
        </w:rPr>
        <w:t>OCIAL SEGÚN FORMA JURÍDICA. 2012-2014</w:t>
      </w:r>
      <w:r w:rsidR="00665097" w:rsidRPr="00DE3A4D">
        <w:rPr>
          <w:rFonts w:cs="Arial"/>
          <w:b/>
          <w:color w:val="1F497D" w:themeColor="text2"/>
          <w:sz w:val="18"/>
          <w:szCs w:val="18"/>
        </w:rPr>
        <w:t xml:space="preserve"> (</w:t>
      </w:r>
      <w:r w:rsidR="00490B03">
        <w:rPr>
          <w:rFonts w:cs="Arial"/>
          <w:b/>
          <w:color w:val="1F497D" w:themeColor="text2"/>
          <w:sz w:val="18"/>
          <w:szCs w:val="18"/>
        </w:rPr>
        <w:t>cifras absolutas y % verticales</w:t>
      </w:r>
      <w:r w:rsidR="00665097" w:rsidRPr="00DE3A4D">
        <w:rPr>
          <w:rFonts w:cs="Arial"/>
          <w:b/>
          <w:color w:val="1F497D" w:themeColor="text2"/>
          <w:sz w:val="18"/>
          <w:szCs w:val="18"/>
        </w:rPr>
        <w:t>)</w:t>
      </w:r>
      <w:bookmarkEnd w:id="116"/>
      <w:bookmarkEnd w:id="117"/>
    </w:p>
    <w:tbl>
      <w:tblPr>
        <w:tblW w:w="9940" w:type="dxa"/>
        <w:jc w:val="center"/>
        <w:tblLook w:val="04A0" w:firstRow="1" w:lastRow="0" w:firstColumn="1" w:lastColumn="0" w:noHBand="0" w:noVBand="1"/>
      </w:tblPr>
      <w:tblGrid>
        <w:gridCol w:w="2015"/>
        <w:gridCol w:w="1539"/>
        <w:gridCol w:w="1322"/>
        <w:gridCol w:w="1539"/>
        <w:gridCol w:w="1541"/>
        <w:gridCol w:w="1984"/>
      </w:tblGrid>
      <w:tr w:rsidR="00686706" w:rsidRPr="00F04D4B" w:rsidTr="004A353D">
        <w:trPr>
          <w:jc w:val="center"/>
        </w:trPr>
        <w:tc>
          <w:tcPr>
            <w:tcW w:w="1014"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p>
        </w:tc>
        <w:tc>
          <w:tcPr>
            <w:tcW w:w="143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r w:rsidRPr="00F04D4B">
              <w:rPr>
                <w:rFonts w:cs="Arial"/>
                <w:b/>
                <w:bCs/>
                <w:sz w:val="16"/>
                <w:szCs w:val="16"/>
                <w:lang w:val="pt-BR"/>
              </w:rPr>
              <w:t>2012</w:t>
            </w:r>
          </w:p>
        </w:tc>
        <w:tc>
          <w:tcPr>
            <w:tcW w:w="1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c>
          <w:tcPr>
            <w:tcW w:w="998"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r>
              <w:rPr>
                <w:rFonts w:cs="Arial"/>
                <w:b/>
                <w:bCs/>
                <w:sz w:val="16"/>
                <w:szCs w:val="16"/>
                <w:lang w:val="pt-BR"/>
              </w:rPr>
              <w:t>%∆14/12</w:t>
            </w:r>
            <w:r w:rsidRPr="00F04D4B">
              <w:rPr>
                <w:rFonts w:cs="Arial"/>
                <w:b/>
                <w:bCs/>
                <w:sz w:val="16"/>
                <w:szCs w:val="16"/>
                <w:lang w:val="pt-BR"/>
              </w:rPr>
              <w:t xml:space="preserve"> (1)</w:t>
            </w:r>
          </w:p>
        </w:tc>
      </w:tr>
      <w:tr w:rsidR="00686706" w:rsidRPr="00F04D4B" w:rsidTr="004A353D">
        <w:trPr>
          <w:jc w:val="center"/>
        </w:trPr>
        <w:tc>
          <w:tcPr>
            <w:tcW w:w="1014"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sz w:val="16"/>
                <w:szCs w:val="16"/>
              </w:rPr>
            </w:pP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r>
              <w:rPr>
                <w:rFonts w:cs="Arial"/>
                <w:b/>
                <w:bCs/>
                <w:sz w:val="16"/>
                <w:szCs w:val="16"/>
                <w:lang w:val="pt-BR"/>
              </w:rPr>
              <w:t>Abs.</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F04D4B" w:rsidRDefault="00D938A9" w:rsidP="00BB313D">
            <w:pPr>
              <w:widowControl w:val="0"/>
              <w:spacing w:line="240" w:lineRule="exact"/>
              <w:jc w:val="center"/>
              <w:rPr>
                <w:rFonts w:cs="Arial"/>
                <w:b/>
                <w:bCs/>
                <w:sz w:val="16"/>
                <w:szCs w:val="16"/>
              </w:rPr>
            </w:pPr>
            <w:r>
              <w:rPr>
                <w:rFonts w:cs="Arial"/>
                <w:b/>
                <w:bCs/>
                <w:sz w:val="16"/>
                <w:szCs w:val="16"/>
                <w:lang w:val="pt-BR"/>
              </w:rPr>
              <w:t>% ver.</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r>
              <w:rPr>
                <w:rFonts w:cs="Arial"/>
                <w:b/>
                <w:bCs/>
                <w:sz w:val="16"/>
                <w:szCs w:val="16"/>
                <w:lang w:val="pt-BR"/>
              </w:rPr>
              <w:t>Abs.</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r>
              <w:rPr>
                <w:rFonts w:cs="Arial"/>
                <w:b/>
                <w:bCs/>
                <w:sz w:val="16"/>
                <w:szCs w:val="16"/>
                <w:lang w:val="pt-BR"/>
              </w:rPr>
              <w:t>% ver.</w:t>
            </w:r>
          </w:p>
        </w:tc>
        <w:tc>
          <w:tcPr>
            <w:tcW w:w="998"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86706" w:rsidRPr="00F04D4B" w:rsidRDefault="00686706" w:rsidP="00BB313D">
            <w:pPr>
              <w:widowControl w:val="0"/>
              <w:spacing w:line="240" w:lineRule="exact"/>
              <w:jc w:val="center"/>
              <w:rPr>
                <w:rFonts w:cs="Arial"/>
                <w:b/>
                <w:bCs/>
                <w:sz w:val="16"/>
                <w:szCs w:val="16"/>
              </w:rPr>
            </w:pPr>
          </w:p>
        </w:tc>
      </w:tr>
      <w:tr w:rsidR="004A353D" w:rsidRPr="00F04D4B" w:rsidTr="004A353D">
        <w:trPr>
          <w:jc w:val="center"/>
        </w:trPr>
        <w:tc>
          <w:tcPr>
            <w:tcW w:w="1014" w:type="pct"/>
            <w:tcBorders>
              <w:top w:val="single" w:sz="4" w:space="0" w:color="BFBFBF" w:themeColor="background1" w:themeShade="BF"/>
              <w:right w:val="single" w:sz="4" w:space="0" w:color="BFBFBF" w:themeColor="background1" w:themeShade="BF"/>
            </w:tcBorders>
            <w:hideMark/>
          </w:tcPr>
          <w:p w:rsidR="004A353D" w:rsidRPr="00F04D4B" w:rsidRDefault="004A353D" w:rsidP="00BB313D">
            <w:pPr>
              <w:widowControl w:val="0"/>
              <w:spacing w:line="240" w:lineRule="exact"/>
              <w:rPr>
                <w:rFonts w:cs="Arial"/>
                <w:sz w:val="16"/>
                <w:szCs w:val="16"/>
              </w:rPr>
            </w:pPr>
            <w:r w:rsidRPr="00F04D4B">
              <w:rPr>
                <w:rFonts w:cs="Arial"/>
                <w:sz w:val="16"/>
                <w:szCs w:val="16"/>
                <w:lang w:val="pt-BR"/>
              </w:rPr>
              <w:t>Cooperativas</w:t>
            </w:r>
          </w:p>
        </w:tc>
        <w:tc>
          <w:tcPr>
            <w:tcW w:w="774" w:type="pct"/>
            <w:tcBorders>
              <w:top w:val="single" w:sz="4" w:space="0" w:color="BFBFBF" w:themeColor="background1" w:themeShade="BF"/>
              <w:lef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sidRPr="00504EF3">
              <w:rPr>
                <w:rFonts w:cs="Arial"/>
                <w:color w:val="000000"/>
                <w:sz w:val="16"/>
                <w:szCs w:val="16"/>
              </w:rPr>
              <w:t>47.981</w:t>
            </w:r>
          </w:p>
        </w:tc>
        <w:tc>
          <w:tcPr>
            <w:tcW w:w="665" w:type="pct"/>
            <w:tcBorders>
              <w:top w:val="single" w:sz="4" w:space="0" w:color="BFBFBF" w:themeColor="background1" w:themeShade="BF"/>
              <w:righ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Pr>
                <w:rFonts w:cs="Arial"/>
                <w:color w:val="000000"/>
                <w:sz w:val="16"/>
                <w:szCs w:val="16"/>
              </w:rPr>
              <w:t>86,0</w:t>
            </w:r>
          </w:p>
        </w:tc>
        <w:tc>
          <w:tcPr>
            <w:tcW w:w="774" w:type="pct"/>
            <w:tcBorders>
              <w:top w:val="single" w:sz="4" w:space="0" w:color="BFBFBF" w:themeColor="background1" w:themeShade="BF"/>
              <w:left w:val="single" w:sz="4" w:space="0" w:color="BFBFBF" w:themeColor="background1" w:themeShade="BF"/>
            </w:tcBorders>
            <w:vAlign w:val="bottom"/>
            <w:hideMark/>
          </w:tcPr>
          <w:p w:rsidR="004A353D" w:rsidRPr="007E6F1C" w:rsidRDefault="004A353D" w:rsidP="00BB313D">
            <w:pPr>
              <w:widowControl w:val="0"/>
              <w:spacing w:line="240" w:lineRule="exact"/>
              <w:ind w:right="284"/>
              <w:jc w:val="right"/>
              <w:rPr>
                <w:rFonts w:cs="Arial"/>
                <w:color w:val="000000"/>
                <w:sz w:val="16"/>
                <w:szCs w:val="16"/>
              </w:rPr>
            </w:pPr>
            <w:r w:rsidRPr="007E6F1C">
              <w:rPr>
                <w:rFonts w:cs="Arial"/>
                <w:color w:val="000000"/>
                <w:sz w:val="16"/>
                <w:szCs w:val="16"/>
              </w:rPr>
              <w:t>47.322</w:t>
            </w:r>
          </w:p>
        </w:tc>
        <w:tc>
          <w:tcPr>
            <w:tcW w:w="775" w:type="pct"/>
            <w:tcBorders>
              <w:top w:val="single" w:sz="4" w:space="0" w:color="BFBFBF" w:themeColor="background1" w:themeShade="BF"/>
              <w:right w:val="single" w:sz="4" w:space="0" w:color="BFBFBF" w:themeColor="background1" w:themeShade="BF"/>
            </w:tcBorders>
            <w:vAlign w:val="bottom"/>
            <w:hideMark/>
          </w:tcPr>
          <w:p w:rsidR="004A353D" w:rsidRPr="007E6F1C" w:rsidRDefault="004A353D" w:rsidP="00BB313D">
            <w:pPr>
              <w:widowControl w:val="0"/>
              <w:spacing w:line="240" w:lineRule="exact"/>
              <w:ind w:right="284"/>
              <w:jc w:val="right"/>
              <w:rPr>
                <w:rFonts w:cs="Arial"/>
                <w:color w:val="000000"/>
                <w:sz w:val="16"/>
                <w:szCs w:val="16"/>
              </w:rPr>
            </w:pPr>
            <w:r w:rsidRPr="007E6F1C">
              <w:rPr>
                <w:rFonts w:cs="Arial"/>
                <w:color w:val="000000"/>
                <w:sz w:val="16"/>
                <w:szCs w:val="16"/>
              </w:rPr>
              <w:t>86,7</w:t>
            </w:r>
          </w:p>
        </w:tc>
        <w:tc>
          <w:tcPr>
            <w:tcW w:w="998" w:type="pct"/>
            <w:tcBorders>
              <w:top w:val="single" w:sz="4" w:space="0" w:color="BFBFBF" w:themeColor="background1" w:themeShade="BF"/>
              <w:left w:val="single" w:sz="4" w:space="0" w:color="BFBFBF" w:themeColor="background1" w:themeShade="BF"/>
            </w:tcBorders>
            <w:hideMark/>
          </w:tcPr>
          <w:p w:rsidR="004A353D" w:rsidRDefault="004A353D">
            <w:pPr>
              <w:widowControl w:val="0"/>
              <w:spacing w:line="240" w:lineRule="exact"/>
              <w:ind w:right="284"/>
              <w:jc w:val="right"/>
              <w:rPr>
                <w:rFonts w:cs="Arial"/>
                <w:color w:val="000000"/>
                <w:sz w:val="16"/>
                <w:szCs w:val="16"/>
              </w:rPr>
            </w:pPr>
            <w:r>
              <w:rPr>
                <w:rFonts w:cs="Arial"/>
                <w:color w:val="000000"/>
                <w:sz w:val="16"/>
                <w:szCs w:val="16"/>
              </w:rPr>
              <w:t>-1,4</w:t>
            </w:r>
          </w:p>
        </w:tc>
      </w:tr>
      <w:tr w:rsidR="004A353D" w:rsidRPr="00F04D4B" w:rsidTr="004A353D">
        <w:trPr>
          <w:jc w:val="center"/>
        </w:trPr>
        <w:tc>
          <w:tcPr>
            <w:tcW w:w="1014" w:type="pct"/>
            <w:tcBorders>
              <w:right w:val="single" w:sz="4" w:space="0" w:color="BFBFBF" w:themeColor="background1" w:themeShade="BF"/>
            </w:tcBorders>
            <w:hideMark/>
          </w:tcPr>
          <w:p w:rsidR="004A353D" w:rsidRPr="00F04D4B" w:rsidRDefault="004A353D" w:rsidP="00BB313D">
            <w:pPr>
              <w:widowControl w:val="0"/>
              <w:spacing w:line="240" w:lineRule="exact"/>
              <w:rPr>
                <w:rFonts w:cs="Arial"/>
                <w:sz w:val="16"/>
                <w:szCs w:val="16"/>
              </w:rPr>
            </w:pPr>
            <w:r w:rsidRPr="00F04D4B">
              <w:rPr>
                <w:rFonts w:cs="Arial"/>
                <w:sz w:val="16"/>
                <w:szCs w:val="16"/>
                <w:lang w:val="pt-BR"/>
              </w:rPr>
              <w:t>S.L.</w:t>
            </w:r>
            <w:proofErr w:type="gramStart"/>
            <w:r w:rsidRPr="00F04D4B">
              <w:rPr>
                <w:rFonts w:cs="Arial"/>
                <w:sz w:val="16"/>
                <w:szCs w:val="16"/>
                <w:lang w:val="pt-BR"/>
              </w:rPr>
              <w:t>es</w:t>
            </w:r>
            <w:proofErr w:type="gramEnd"/>
          </w:p>
        </w:tc>
        <w:tc>
          <w:tcPr>
            <w:tcW w:w="774" w:type="pct"/>
            <w:tcBorders>
              <w:lef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sidRPr="00504EF3">
              <w:rPr>
                <w:rFonts w:cs="Arial"/>
                <w:color w:val="000000"/>
                <w:sz w:val="16"/>
                <w:szCs w:val="16"/>
              </w:rPr>
              <w:t>7.828</w:t>
            </w:r>
          </w:p>
        </w:tc>
        <w:tc>
          <w:tcPr>
            <w:tcW w:w="665" w:type="pct"/>
            <w:tcBorders>
              <w:righ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Pr>
                <w:rFonts w:cs="Arial"/>
                <w:color w:val="000000"/>
                <w:sz w:val="16"/>
                <w:szCs w:val="16"/>
              </w:rPr>
              <w:t>14,0</w:t>
            </w:r>
          </w:p>
        </w:tc>
        <w:tc>
          <w:tcPr>
            <w:tcW w:w="774" w:type="pct"/>
            <w:tcBorders>
              <w:left w:val="single" w:sz="4" w:space="0" w:color="BFBFBF" w:themeColor="background1" w:themeShade="BF"/>
            </w:tcBorders>
            <w:vAlign w:val="bottom"/>
            <w:hideMark/>
          </w:tcPr>
          <w:p w:rsidR="004A353D" w:rsidRPr="007E6F1C" w:rsidRDefault="004A353D" w:rsidP="00BB313D">
            <w:pPr>
              <w:widowControl w:val="0"/>
              <w:spacing w:line="240" w:lineRule="exact"/>
              <w:ind w:right="284"/>
              <w:jc w:val="right"/>
              <w:rPr>
                <w:rFonts w:cs="Arial"/>
                <w:color w:val="000000"/>
                <w:sz w:val="16"/>
                <w:szCs w:val="16"/>
              </w:rPr>
            </w:pPr>
            <w:r>
              <w:rPr>
                <w:rFonts w:cs="Arial"/>
                <w:color w:val="000000"/>
                <w:sz w:val="16"/>
                <w:szCs w:val="16"/>
              </w:rPr>
              <w:t>7.259</w:t>
            </w:r>
          </w:p>
        </w:tc>
        <w:tc>
          <w:tcPr>
            <w:tcW w:w="775" w:type="pct"/>
            <w:tcBorders>
              <w:righ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Pr>
                <w:rFonts w:cs="Arial"/>
                <w:color w:val="000000"/>
                <w:sz w:val="16"/>
                <w:szCs w:val="16"/>
              </w:rPr>
              <w:t>13,3</w:t>
            </w:r>
          </w:p>
        </w:tc>
        <w:tc>
          <w:tcPr>
            <w:tcW w:w="998" w:type="pct"/>
            <w:tcBorders>
              <w:left w:val="single" w:sz="4" w:space="0" w:color="BFBFBF" w:themeColor="background1" w:themeShade="BF"/>
            </w:tcBorders>
            <w:hideMark/>
          </w:tcPr>
          <w:p w:rsidR="004A353D" w:rsidRDefault="004A353D">
            <w:pPr>
              <w:widowControl w:val="0"/>
              <w:spacing w:line="240" w:lineRule="exact"/>
              <w:ind w:right="284"/>
              <w:jc w:val="right"/>
              <w:rPr>
                <w:rFonts w:cs="Arial"/>
                <w:color w:val="000000"/>
                <w:sz w:val="16"/>
                <w:szCs w:val="16"/>
              </w:rPr>
            </w:pPr>
            <w:r>
              <w:rPr>
                <w:rFonts w:cs="Arial"/>
                <w:color w:val="000000"/>
                <w:sz w:val="16"/>
                <w:szCs w:val="16"/>
              </w:rPr>
              <w:t>-7,3</w:t>
            </w:r>
          </w:p>
        </w:tc>
      </w:tr>
      <w:tr w:rsidR="004A353D" w:rsidRPr="00F04D4B" w:rsidTr="004A353D">
        <w:trPr>
          <w:jc w:val="center"/>
        </w:trPr>
        <w:tc>
          <w:tcPr>
            <w:tcW w:w="1014" w:type="pct"/>
            <w:tcBorders>
              <w:right w:val="single" w:sz="4" w:space="0" w:color="BFBFBF" w:themeColor="background1" w:themeShade="BF"/>
            </w:tcBorders>
            <w:hideMark/>
          </w:tcPr>
          <w:p w:rsidR="004A353D" w:rsidRPr="00F04D4B" w:rsidRDefault="004A353D" w:rsidP="00BB313D">
            <w:pPr>
              <w:widowControl w:val="0"/>
              <w:spacing w:line="240" w:lineRule="exact"/>
              <w:rPr>
                <w:rFonts w:cs="Arial"/>
                <w:sz w:val="16"/>
                <w:szCs w:val="16"/>
              </w:rPr>
            </w:pPr>
            <w:r w:rsidRPr="00F04D4B">
              <w:rPr>
                <w:rFonts w:cs="Arial"/>
                <w:sz w:val="16"/>
                <w:szCs w:val="16"/>
              </w:rPr>
              <w:t xml:space="preserve">  S.A.L.es</w:t>
            </w:r>
          </w:p>
        </w:tc>
        <w:tc>
          <w:tcPr>
            <w:tcW w:w="774" w:type="pct"/>
            <w:tcBorders>
              <w:lef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sidRPr="00504EF3">
              <w:rPr>
                <w:rFonts w:cs="Arial"/>
                <w:color w:val="000000"/>
                <w:sz w:val="16"/>
                <w:szCs w:val="16"/>
              </w:rPr>
              <w:t>4.005</w:t>
            </w:r>
          </w:p>
        </w:tc>
        <w:tc>
          <w:tcPr>
            <w:tcW w:w="665" w:type="pct"/>
            <w:tcBorders>
              <w:righ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Pr>
                <w:rFonts w:cs="Arial"/>
                <w:color w:val="000000"/>
                <w:sz w:val="16"/>
                <w:szCs w:val="16"/>
              </w:rPr>
              <w:t>7,2</w:t>
            </w:r>
          </w:p>
        </w:tc>
        <w:tc>
          <w:tcPr>
            <w:tcW w:w="774" w:type="pct"/>
            <w:tcBorders>
              <w:left w:val="single" w:sz="4" w:space="0" w:color="BFBFBF" w:themeColor="background1" w:themeShade="BF"/>
            </w:tcBorders>
            <w:vAlign w:val="bottom"/>
            <w:hideMark/>
          </w:tcPr>
          <w:p w:rsidR="004A353D" w:rsidRPr="007E6F1C" w:rsidRDefault="004A353D" w:rsidP="00BB313D">
            <w:pPr>
              <w:widowControl w:val="0"/>
              <w:spacing w:line="240" w:lineRule="exact"/>
              <w:ind w:right="284"/>
              <w:jc w:val="right"/>
              <w:rPr>
                <w:rFonts w:cs="Arial"/>
                <w:color w:val="000000"/>
                <w:sz w:val="16"/>
                <w:szCs w:val="16"/>
              </w:rPr>
            </w:pPr>
            <w:r w:rsidRPr="007E6F1C">
              <w:rPr>
                <w:rFonts w:cs="Arial"/>
                <w:color w:val="000000"/>
                <w:sz w:val="16"/>
                <w:szCs w:val="16"/>
              </w:rPr>
              <w:t>3.177</w:t>
            </w:r>
          </w:p>
        </w:tc>
        <w:tc>
          <w:tcPr>
            <w:tcW w:w="775" w:type="pct"/>
            <w:tcBorders>
              <w:right w:val="single" w:sz="4" w:space="0" w:color="BFBFBF" w:themeColor="background1" w:themeShade="BF"/>
            </w:tcBorders>
            <w:vAlign w:val="bottom"/>
            <w:hideMark/>
          </w:tcPr>
          <w:p w:rsidR="004A353D" w:rsidRPr="007E6F1C" w:rsidRDefault="004A353D" w:rsidP="00BB313D">
            <w:pPr>
              <w:widowControl w:val="0"/>
              <w:spacing w:line="240" w:lineRule="exact"/>
              <w:ind w:right="284"/>
              <w:jc w:val="right"/>
              <w:rPr>
                <w:rFonts w:cs="Arial"/>
                <w:color w:val="000000"/>
                <w:sz w:val="16"/>
                <w:szCs w:val="16"/>
              </w:rPr>
            </w:pPr>
            <w:r w:rsidRPr="007E6F1C">
              <w:rPr>
                <w:rFonts w:cs="Arial"/>
                <w:color w:val="000000"/>
                <w:sz w:val="16"/>
                <w:szCs w:val="16"/>
              </w:rPr>
              <w:t>5,8</w:t>
            </w:r>
          </w:p>
        </w:tc>
        <w:tc>
          <w:tcPr>
            <w:tcW w:w="998" w:type="pct"/>
            <w:tcBorders>
              <w:left w:val="single" w:sz="4" w:space="0" w:color="BFBFBF" w:themeColor="background1" w:themeShade="BF"/>
            </w:tcBorders>
            <w:hideMark/>
          </w:tcPr>
          <w:p w:rsidR="004A353D" w:rsidRDefault="004A353D">
            <w:pPr>
              <w:widowControl w:val="0"/>
              <w:spacing w:line="240" w:lineRule="exact"/>
              <w:ind w:right="284"/>
              <w:jc w:val="right"/>
              <w:rPr>
                <w:rFonts w:cs="Arial"/>
                <w:color w:val="000000"/>
                <w:sz w:val="16"/>
                <w:szCs w:val="16"/>
              </w:rPr>
            </w:pPr>
            <w:r>
              <w:rPr>
                <w:rFonts w:cs="Arial"/>
                <w:color w:val="000000"/>
                <w:sz w:val="16"/>
                <w:szCs w:val="16"/>
              </w:rPr>
              <w:t>-20,7</w:t>
            </w:r>
          </w:p>
        </w:tc>
      </w:tr>
      <w:tr w:rsidR="004A353D" w:rsidRPr="00F04D4B" w:rsidTr="004A353D">
        <w:trPr>
          <w:jc w:val="center"/>
        </w:trPr>
        <w:tc>
          <w:tcPr>
            <w:tcW w:w="1014" w:type="pct"/>
            <w:tcBorders>
              <w:bottom w:val="single" w:sz="4" w:space="0" w:color="BFBFBF" w:themeColor="background1" w:themeShade="BF"/>
              <w:right w:val="single" w:sz="4" w:space="0" w:color="BFBFBF" w:themeColor="background1" w:themeShade="BF"/>
            </w:tcBorders>
            <w:hideMark/>
          </w:tcPr>
          <w:p w:rsidR="004A353D" w:rsidRPr="00F04D4B" w:rsidRDefault="004A353D" w:rsidP="00BB313D">
            <w:pPr>
              <w:widowControl w:val="0"/>
              <w:spacing w:line="240" w:lineRule="exact"/>
              <w:rPr>
                <w:rFonts w:cs="Arial"/>
                <w:sz w:val="16"/>
                <w:szCs w:val="16"/>
              </w:rPr>
            </w:pPr>
            <w:r w:rsidRPr="00F04D4B">
              <w:rPr>
                <w:rFonts w:cs="Arial"/>
                <w:sz w:val="16"/>
                <w:szCs w:val="16"/>
              </w:rPr>
              <w:t xml:space="preserve">  S.L.L.es</w:t>
            </w:r>
          </w:p>
        </w:tc>
        <w:tc>
          <w:tcPr>
            <w:tcW w:w="774" w:type="pct"/>
            <w:tcBorders>
              <w:left w:val="single" w:sz="4" w:space="0" w:color="BFBFBF" w:themeColor="background1" w:themeShade="BF"/>
              <w:bottom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sidRPr="00504EF3">
              <w:rPr>
                <w:rFonts w:cs="Arial"/>
                <w:color w:val="000000"/>
                <w:sz w:val="16"/>
                <w:szCs w:val="16"/>
              </w:rPr>
              <w:t>3.823</w:t>
            </w:r>
          </w:p>
        </w:tc>
        <w:tc>
          <w:tcPr>
            <w:tcW w:w="665" w:type="pct"/>
            <w:tcBorders>
              <w:bottom w:val="single" w:sz="4" w:space="0" w:color="BFBFBF" w:themeColor="background1" w:themeShade="BF"/>
              <w:right w:val="single" w:sz="4" w:space="0" w:color="BFBFBF" w:themeColor="background1" w:themeShade="BF"/>
            </w:tcBorders>
            <w:hideMark/>
          </w:tcPr>
          <w:p w:rsidR="004A353D" w:rsidRPr="00504EF3" w:rsidRDefault="004A353D" w:rsidP="00BB313D">
            <w:pPr>
              <w:widowControl w:val="0"/>
              <w:spacing w:line="240" w:lineRule="exact"/>
              <w:ind w:right="284"/>
              <w:jc w:val="right"/>
              <w:rPr>
                <w:rFonts w:cs="Arial"/>
                <w:color w:val="000000"/>
                <w:sz w:val="16"/>
                <w:szCs w:val="16"/>
              </w:rPr>
            </w:pPr>
            <w:r>
              <w:rPr>
                <w:rFonts w:cs="Arial"/>
                <w:color w:val="000000"/>
                <w:sz w:val="16"/>
                <w:szCs w:val="16"/>
              </w:rPr>
              <w:t>6,8</w:t>
            </w:r>
          </w:p>
        </w:tc>
        <w:tc>
          <w:tcPr>
            <w:tcW w:w="774" w:type="pct"/>
            <w:tcBorders>
              <w:left w:val="single" w:sz="4" w:space="0" w:color="BFBFBF" w:themeColor="background1" w:themeShade="BF"/>
              <w:bottom w:val="single" w:sz="4" w:space="0" w:color="BFBFBF" w:themeColor="background1" w:themeShade="BF"/>
            </w:tcBorders>
            <w:vAlign w:val="bottom"/>
            <w:hideMark/>
          </w:tcPr>
          <w:p w:rsidR="004A353D" w:rsidRPr="007E6F1C" w:rsidRDefault="004A353D" w:rsidP="00BB313D">
            <w:pPr>
              <w:widowControl w:val="0"/>
              <w:spacing w:line="240" w:lineRule="exact"/>
              <w:ind w:right="284"/>
              <w:jc w:val="right"/>
              <w:rPr>
                <w:rFonts w:cs="Arial"/>
                <w:color w:val="000000"/>
                <w:sz w:val="16"/>
                <w:szCs w:val="16"/>
              </w:rPr>
            </w:pPr>
            <w:r w:rsidRPr="007E6F1C">
              <w:rPr>
                <w:rFonts w:cs="Arial"/>
                <w:color w:val="000000"/>
                <w:sz w:val="16"/>
                <w:szCs w:val="16"/>
              </w:rPr>
              <w:t>4.082</w:t>
            </w:r>
          </w:p>
        </w:tc>
        <w:tc>
          <w:tcPr>
            <w:tcW w:w="775" w:type="pct"/>
            <w:tcBorders>
              <w:bottom w:val="single" w:sz="4" w:space="0" w:color="BFBFBF" w:themeColor="background1" w:themeShade="BF"/>
              <w:right w:val="single" w:sz="4" w:space="0" w:color="BFBFBF" w:themeColor="background1" w:themeShade="BF"/>
            </w:tcBorders>
            <w:vAlign w:val="bottom"/>
            <w:hideMark/>
          </w:tcPr>
          <w:p w:rsidR="004A353D" w:rsidRPr="007E6F1C" w:rsidRDefault="004A353D" w:rsidP="00BB313D">
            <w:pPr>
              <w:widowControl w:val="0"/>
              <w:spacing w:line="240" w:lineRule="exact"/>
              <w:ind w:right="284"/>
              <w:jc w:val="right"/>
              <w:rPr>
                <w:rFonts w:cs="Arial"/>
                <w:color w:val="000000"/>
                <w:sz w:val="16"/>
                <w:szCs w:val="16"/>
              </w:rPr>
            </w:pPr>
            <w:r w:rsidRPr="007E6F1C">
              <w:rPr>
                <w:rFonts w:cs="Arial"/>
                <w:color w:val="000000"/>
                <w:sz w:val="16"/>
                <w:szCs w:val="16"/>
              </w:rPr>
              <w:t>7,5</w:t>
            </w:r>
          </w:p>
        </w:tc>
        <w:tc>
          <w:tcPr>
            <w:tcW w:w="998" w:type="pct"/>
            <w:tcBorders>
              <w:left w:val="single" w:sz="4" w:space="0" w:color="BFBFBF" w:themeColor="background1" w:themeShade="BF"/>
              <w:bottom w:val="single" w:sz="4" w:space="0" w:color="BFBFBF" w:themeColor="background1" w:themeShade="BF"/>
            </w:tcBorders>
            <w:hideMark/>
          </w:tcPr>
          <w:p w:rsidR="004A353D" w:rsidRDefault="004A353D">
            <w:pPr>
              <w:widowControl w:val="0"/>
              <w:spacing w:line="240" w:lineRule="exact"/>
              <w:ind w:right="284"/>
              <w:jc w:val="right"/>
              <w:rPr>
                <w:rFonts w:cs="Arial"/>
                <w:color w:val="000000"/>
                <w:sz w:val="16"/>
                <w:szCs w:val="16"/>
              </w:rPr>
            </w:pPr>
            <w:r>
              <w:rPr>
                <w:rFonts w:cs="Arial"/>
                <w:color w:val="000000"/>
                <w:sz w:val="16"/>
                <w:szCs w:val="16"/>
              </w:rPr>
              <w:t>-6,8</w:t>
            </w:r>
          </w:p>
        </w:tc>
      </w:tr>
      <w:tr w:rsidR="007E6F1C" w:rsidRPr="00F04D4B" w:rsidTr="004A353D">
        <w:trPr>
          <w:jc w:val="center"/>
        </w:trPr>
        <w:tc>
          <w:tcPr>
            <w:tcW w:w="1014"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7E6F1C" w:rsidRPr="00F04D4B" w:rsidRDefault="007E6F1C" w:rsidP="00BB313D">
            <w:pPr>
              <w:widowControl w:val="0"/>
              <w:spacing w:line="240" w:lineRule="exact"/>
              <w:rPr>
                <w:rFonts w:cs="Arial"/>
                <w:b/>
                <w:bCs/>
                <w:sz w:val="16"/>
                <w:szCs w:val="16"/>
              </w:rPr>
            </w:pPr>
            <w:r w:rsidRPr="00F04D4B">
              <w:rPr>
                <w:rFonts w:cs="Arial"/>
                <w:b/>
                <w:bCs/>
                <w:sz w:val="16"/>
                <w:szCs w:val="16"/>
              </w:rPr>
              <w:t>TOTAL</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7E6F1C" w:rsidRPr="00504EF3" w:rsidRDefault="007E6F1C" w:rsidP="00BB313D">
            <w:pPr>
              <w:widowControl w:val="0"/>
              <w:spacing w:line="240" w:lineRule="exact"/>
              <w:ind w:right="284"/>
              <w:jc w:val="right"/>
              <w:rPr>
                <w:rFonts w:cs="Arial"/>
                <w:b/>
                <w:bCs/>
                <w:color w:val="000000"/>
                <w:sz w:val="16"/>
                <w:szCs w:val="16"/>
              </w:rPr>
            </w:pPr>
            <w:r w:rsidRPr="00504EF3">
              <w:rPr>
                <w:rFonts w:cs="Arial"/>
                <w:b/>
                <w:bCs/>
                <w:color w:val="000000"/>
                <w:sz w:val="16"/>
                <w:szCs w:val="16"/>
              </w:rPr>
              <w:t>55.809</w:t>
            </w:r>
          </w:p>
        </w:tc>
        <w:tc>
          <w:tcPr>
            <w:tcW w:w="66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7E6F1C" w:rsidRPr="00504EF3" w:rsidRDefault="007E6F1C" w:rsidP="00BB313D">
            <w:pPr>
              <w:widowControl w:val="0"/>
              <w:spacing w:line="240" w:lineRule="exact"/>
              <w:ind w:right="284"/>
              <w:jc w:val="right"/>
              <w:rPr>
                <w:rFonts w:cs="Arial"/>
                <w:b/>
                <w:bCs/>
                <w:color w:val="000000"/>
                <w:sz w:val="16"/>
                <w:szCs w:val="16"/>
              </w:rPr>
            </w:pPr>
            <w:r>
              <w:rPr>
                <w:rFonts w:cs="Arial"/>
                <w:b/>
                <w:bCs/>
                <w:sz w:val="16"/>
                <w:szCs w:val="16"/>
              </w:rPr>
              <w:t>100</w:t>
            </w:r>
            <w:r w:rsidR="007F441F">
              <w:rPr>
                <w:rFonts w:cs="Arial"/>
                <w:b/>
                <w:bCs/>
                <w:sz w:val="16"/>
                <w:szCs w:val="16"/>
              </w:rPr>
              <w:t>,0</w:t>
            </w:r>
          </w:p>
        </w:tc>
        <w:tc>
          <w:tcPr>
            <w:tcW w:w="7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7E6F1C" w:rsidRPr="00504EF3" w:rsidRDefault="007E6F1C" w:rsidP="00BB313D">
            <w:pPr>
              <w:widowControl w:val="0"/>
              <w:spacing w:line="240" w:lineRule="exact"/>
              <w:ind w:right="284"/>
              <w:jc w:val="right"/>
              <w:rPr>
                <w:rFonts w:cs="Arial"/>
                <w:b/>
                <w:bCs/>
                <w:color w:val="000000"/>
                <w:sz w:val="16"/>
                <w:szCs w:val="16"/>
              </w:rPr>
            </w:pPr>
            <w:r w:rsidRPr="007E6F1C">
              <w:rPr>
                <w:rFonts w:cs="Arial"/>
                <w:b/>
                <w:bCs/>
                <w:color w:val="000000"/>
                <w:sz w:val="16"/>
                <w:szCs w:val="16"/>
              </w:rPr>
              <w:t>54.58</w:t>
            </w:r>
            <w:r>
              <w:rPr>
                <w:rFonts w:cs="Arial"/>
                <w:b/>
                <w:bCs/>
                <w:color w:val="000000"/>
                <w:sz w:val="16"/>
                <w:szCs w:val="16"/>
              </w:rPr>
              <w:t>2</w:t>
            </w:r>
          </w:p>
        </w:tc>
        <w:tc>
          <w:tcPr>
            <w:tcW w:w="77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7E6F1C" w:rsidRPr="00504EF3" w:rsidRDefault="007E6F1C" w:rsidP="00BB313D">
            <w:pPr>
              <w:widowControl w:val="0"/>
              <w:spacing w:line="240" w:lineRule="exact"/>
              <w:ind w:right="284"/>
              <w:jc w:val="right"/>
              <w:rPr>
                <w:rFonts w:cs="Arial"/>
                <w:b/>
                <w:bCs/>
                <w:color w:val="000000"/>
                <w:sz w:val="16"/>
                <w:szCs w:val="16"/>
              </w:rPr>
            </w:pPr>
            <w:r w:rsidRPr="00504EF3">
              <w:rPr>
                <w:rFonts w:cs="Arial"/>
                <w:b/>
                <w:bCs/>
                <w:color w:val="000000"/>
                <w:sz w:val="16"/>
                <w:szCs w:val="16"/>
              </w:rPr>
              <w:t>100</w:t>
            </w:r>
            <w:r w:rsidR="007F441F">
              <w:rPr>
                <w:rFonts w:cs="Arial"/>
                <w:b/>
                <w:bCs/>
                <w:color w:val="000000"/>
                <w:sz w:val="16"/>
                <w:szCs w:val="16"/>
              </w:rPr>
              <w:t>,0</w:t>
            </w:r>
          </w:p>
        </w:tc>
        <w:tc>
          <w:tcPr>
            <w:tcW w:w="998"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7E6F1C" w:rsidRPr="00504EF3" w:rsidRDefault="007E6F1C" w:rsidP="00BB313D">
            <w:pPr>
              <w:widowControl w:val="0"/>
              <w:spacing w:line="240" w:lineRule="exact"/>
              <w:ind w:right="284"/>
              <w:jc w:val="right"/>
              <w:rPr>
                <w:rFonts w:cs="Arial"/>
                <w:b/>
                <w:bCs/>
                <w:color w:val="000000"/>
                <w:sz w:val="16"/>
                <w:szCs w:val="16"/>
              </w:rPr>
            </w:pPr>
            <w:r>
              <w:rPr>
                <w:rFonts w:cs="Arial"/>
                <w:b/>
                <w:bCs/>
                <w:color w:val="000000"/>
                <w:sz w:val="16"/>
                <w:szCs w:val="16"/>
              </w:rPr>
              <w:t>-2,2</w:t>
            </w:r>
          </w:p>
        </w:tc>
      </w:tr>
    </w:tbl>
    <w:p w:rsidR="00665097" w:rsidRDefault="00665097" w:rsidP="00BB313D">
      <w:pPr>
        <w:widowControl w:val="0"/>
        <w:tabs>
          <w:tab w:val="left" w:pos="993"/>
        </w:tabs>
        <w:ind w:firstLine="709"/>
        <w:jc w:val="center"/>
        <w:rPr>
          <w:rFonts w:cs="Arial"/>
          <w:sz w:val="16"/>
          <w:szCs w:val="16"/>
        </w:rPr>
      </w:pPr>
      <w:r>
        <w:rPr>
          <w:rFonts w:cs="Arial"/>
          <w:sz w:val="16"/>
          <w:szCs w:val="16"/>
        </w:rPr>
        <w:t xml:space="preserve">(1) </w:t>
      </w:r>
      <w:r>
        <w:rPr>
          <w:rFonts w:cs="Arial"/>
          <w:sz w:val="16"/>
          <w:szCs w:val="16"/>
        </w:rPr>
        <w:tab/>
        <w:t>Incremento porcentual registrado por las cifras absolutas.</w:t>
      </w:r>
    </w:p>
    <w:p w:rsidR="006773F6" w:rsidRDefault="006773F6" w:rsidP="00BB313D">
      <w:pPr>
        <w:widowControl w:val="0"/>
        <w:rPr>
          <w:rFonts w:cs="Arial"/>
        </w:rPr>
      </w:pPr>
    </w:p>
    <w:p w:rsidR="00665097" w:rsidRPr="00DE3A4D" w:rsidRDefault="00DE1512" w:rsidP="00BB313D">
      <w:pPr>
        <w:widowControl w:val="0"/>
        <w:spacing w:line="240" w:lineRule="auto"/>
        <w:jc w:val="center"/>
        <w:rPr>
          <w:rFonts w:cs="Arial"/>
          <w:b/>
          <w:noProof/>
          <w:color w:val="1F497D" w:themeColor="text2"/>
          <w:sz w:val="18"/>
          <w:szCs w:val="18"/>
        </w:rPr>
      </w:pPr>
      <w:bookmarkStart w:id="118" w:name="_Toc391999655"/>
      <w:bookmarkStart w:id="119" w:name="_Toc450119996"/>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8</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DE3A4D">
        <w:rPr>
          <w:rFonts w:cs="Arial"/>
          <w:b/>
          <w:noProof/>
          <w:color w:val="1F497D" w:themeColor="text2"/>
          <w:sz w:val="18"/>
          <w:szCs w:val="18"/>
        </w:rPr>
        <w:t>DISTRIBUCIÓN DE LOS EMPLEOS Y LOS ESTABLECIMIENTOS POR FORMA JURÍDICA. 201</w:t>
      </w:r>
      <w:bookmarkEnd w:id="118"/>
      <w:r w:rsidR="00565862">
        <w:rPr>
          <w:rFonts w:cs="Arial"/>
          <w:b/>
          <w:noProof/>
          <w:color w:val="1F497D" w:themeColor="text2"/>
          <w:sz w:val="18"/>
          <w:szCs w:val="18"/>
        </w:rPr>
        <w:t>4</w:t>
      </w:r>
      <w:bookmarkEnd w:id="119"/>
    </w:p>
    <w:p w:rsidR="00665097" w:rsidRDefault="00665097" w:rsidP="00BB313D">
      <w:pPr>
        <w:widowControl w:val="0"/>
        <w:jc w:val="center"/>
        <w:rPr>
          <w:rFonts w:cs="Arial"/>
        </w:rPr>
      </w:pPr>
      <w:r>
        <w:rPr>
          <w:rFonts w:cs="Arial"/>
          <w:noProof/>
          <w:lang w:eastAsia="es-ES"/>
        </w:rPr>
        <w:drawing>
          <wp:anchor distT="0" distB="0" distL="114300" distR="114300" simplePos="0" relativeHeight="251722752" behindDoc="0" locked="0" layoutInCell="1" allowOverlap="1">
            <wp:simplePos x="0" y="0"/>
            <wp:positionH relativeFrom="column">
              <wp:posOffset>3139440</wp:posOffset>
            </wp:positionH>
            <wp:positionV relativeFrom="paragraph">
              <wp:posOffset>100965</wp:posOffset>
            </wp:positionV>
            <wp:extent cx="3110230" cy="2066290"/>
            <wp:effectExtent l="0" t="0" r="0" b="0"/>
            <wp:wrapNone/>
            <wp:docPr id="66" name="Objeto 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Pr>
          <w:rFonts w:cs="Arial"/>
          <w:noProof/>
          <w:lang w:eastAsia="es-ES"/>
        </w:rPr>
        <w:drawing>
          <wp:anchor distT="0" distB="0" distL="114300" distR="114300" simplePos="0" relativeHeight="251721728" behindDoc="0" locked="0" layoutInCell="1" allowOverlap="1">
            <wp:simplePos x="0" y="0"/>
            <wp:positionH relativeFrom="column">
              <wp:posOffset>-327660</wp:posOffset>
            </wp:positionH>
            <wp:positionV relativeFrom="paragraph">
              <wp:posOffset>100330</wp:posOffset>
            </wp:positionV>
            <wp:extent cx="3110865" cy="2066925"/>
            <wp:effectExtent l="0" t="0" r="0" b="0"/>
            <wp:wrapNone/>
            <wp:docPr id="67"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pPr>
    </w:p>
    <w:p w:rsidR="00665097" w:rsidRDefault="00665097" w:rsidP="00BB313D">
      <w:pPr>
        <w:widowControl w:val="0"/>
        <w:spacing w:line="240" w:lineRule="auto"/>
        <w:rPr>
          <w:rFonts w:cs="Arial"/>
          <w:b/>
          <w:color w:val="1F497D" w:themeColor="text2"/>
          <w:sz w:val="18"/>
          <w:szCs w:val="18"/>
        </w:rPr>
      </w:pPr>
      <w:r>
        <w:rPr>
          <w:rFonts w:cs="Arial"/>
          <w:b/>
          <w:color w:val="1F497D" w:themeColor="text2"/>
          <w:sz w:val="18"/>
          <w:szCs w:val="18"/>
        </w:rPr>
        <w:br w:type="page"/>
      </w:r>
    </w:p>
    <w:p w:rsidR="00665097" w:rsidRPr="00A3618A" w:rsidRDefault="00DE1512" w:rsidP="00BB313D">
      <w:pPr>
        <w:widowControl w:val="0"/>
        <w:spacing w:line="240" w:lineRule="auto"/>
        <w:jc w:val="center"/>
        <w:rPr>
          <w:rFonts w:cs="Arial"/>
          <w:b/>
          <w:color w:val="1F497D" w:themeColor="text2"/>
          <w:sz w:val="18"/>
          <w:szCs w:val="18"/>
        </w:rPr>
      </w:pPr>
      <w:bookmarkStart w:id="120" w:name="_Toc391999602"/>
      <w:bookmarkStart w:id="121" w:name="_Toc450119485"/>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30</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65097">
        <w:rPr>
          <w:rFonts w:cs="Arial"/>
          <w:b/>
          <w:color w:val="1F497D" w:themeColor="text2"/>
          <w:sz w:val="18"/>
          <w:szCs w:val="18"/>
        </w:rPr>
        <w:t xml:space="preserve"> </w:t>
      </w:r>
      <w:r w:rsidR="00665097" w:rsidRPr="00A3618A">
        <w:rPr>
          <w:rFonts w:cs="Arial"/>
          <w:b/>
          <w:color w:val="1F497D" w:themeColor="text2"/>
          <w:sz w:val="18"/>
          <w:szCs w:val="18"/>
        </w:rPr>
        <w:t>TAMAÑO MEDIO DE LOS ESTABLECIMIENTOS SEGÚN SU FORMA JURÍDICA. (</w:t>
      </w:r>
      <w:r w:rsidR="00A21F2C">
        <w:rPr>
          <w:rFonts w:cs="Arial"/>
          <w:b/>
          <w:color w:val="1F497D" w:themeColor="text2"/>
          <w:sz w:val="18"/>
          <w:szCs w:val="18"/>
        </w:rPr>
        <w:t>EMPLEADOS/ ESTABLECIMIENTO) 2012</w:t>
      </w:r>
      <w:r w:rsidR="00665097" w:rsidRPr="00A3618A">
        <w:rPr>
          <w:rFonts w:cs="Arial"/>
          <w:b/>
          <w:color w:val="1F497D" w:themeColor="text2"/>
          <w:sz w:val="18"/>
          <w:szCs w:val="18"/>
        </w:rPr>
        <w:t>-201</w:t>
      </w:r>
      <w:bookmarkEnd w:id="120"/>
      <w:r w:rsidR="00A21F2C">
        <w:rPr>
          <w:rFonts w:cs="Arial"/>
          <w:b/>
          <w:color w:val="1F497D" w:themeColor="text2"/>
          <w:sz w:val="18"/>
          <w:szCs w:val="18"/>
        </w:rPr>
        <w:t>4</w:t>
      </w:r>
      <w:bookmarkEnd w:id="121"/>
    </w:p>
    <w:tbl>
      <w:tblPr>
        <w:tblW w:w="9940" w:type="dxa"/>
        <w:jc w:val="center"/>
        <w:tblLook w:val="04A0" w:firstRow="1" w:lastRow="0" w:firstColumn="1" w:lastColumn="0" w:noHBand="0" w:noVBand="1"/>
      </w:tblPr>
      <w:tblGrid>
        <w:gridCol w:w="3772"/>
        <w:gridCol w:w="3085"/>
        <w:gridCol w:w="3083"/>
      </w:tblGrid>
      <w:tr w:rsidR="00A21F2C" w:rsidRPr="006209F1" w:rsidTr="00D122F5">
        <w:trPr>
          <w:jc w:val="center"/>
        </w:trPr>
        <w:tc>
          <w:tcPr>
            <w:tcW w:w="189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A21F2C" w:rsidRPr="006209F1" w:rsidRDefault="00A21F2C" w:rsidP="00BB313D">
            <w:pPr>
              <w:widowControl w:val="0"/>
              <w:spacing w:line="240" w:lineRule="exact"/>
              <w:jc w:val="center"/>
              <w:rPr>
                <w:b/>
                <w:sz w:val="16"/>
                <w:szCs w:val="16"/>
              </w:rPr>
            </w:pPr>
          </w:p>
        </w:tc>
        <w:tc>
          <w:tcPr>
            <w:tcW w:w="155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A21F2C" w:rsidRPr="006209F1" w:rsidRDefault="00A21F2C" w:rsidP="00BB313D">
            <w:pPr>
              <w:widowControl w:val="0"/>
              <w:spacing w:line="240" w:lineRule="exact"/>
              <w:jc w:val="center"/>
              <w:rPr>
                <w:b/>
                <w:sz w:val="16"/>
                <w:szCs w:val="16"/>
              </w:rPr>
            </w:pPr>
            <w:r w:rsidRPr="006209F1">
              <w:rPr>
                <w:b/>
                <w:sz w:val="16"/>
                <w:szCs w:val="16"/>
              </w:rPr>
              <w:t>2012</w:t>
            </w:r>
          </w:p>
        </w:tc>
        <w:tc>
          <w:tcPr>
            <w:tcW w:w="155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A21F2C" w:rsidRPr="006209F1" w:rsidRDefault="00A21F2C" w:rsidP="00BB313D">
            <w:pPr>
              <w:widowControl w:val="0"/>
              <w:spacing w:line="240" w:lineRule="exact"/>
              <w:jc w:val="center"/>
              <w:rPr>
                <w:b/>
                <w:sz w:val="16"/>
                <w:szCs w:val="16"/>
              </w:rPr>
            </w:pPr>
            <w:bookmarkStart w:id="122" w:name="_Toc391565495"/>
            <w:r w:rsidRPr="006209F1">
              <w:rPr>
                <w:b/>
                <w:sz w:val="16"/>
                <w:szCs w:val="16"/>
              </w:rPr>
              <w:t>201</w:t>
            </w:r>
            <w:bookmarkEnd w:id="122"/>
            <w:r>
              <w:rPr>
                <w:b/>
                <w:sz w:val="16"/>
                <w:szCs w:val="16"/>
              </w:rPr>
              <w:t>4</w:t>
            </w:r>
          </w:p>
        </w:tc>
      </w:tr>
      <w:tr w:rsidR="0051685E" w:rsidRPr="00367DEF" w:rsidTr="00D122F5">
        <w:trPr>
          <w:jc w:val="center"/>
        </w:trPr>
        <w:tc>
          <w:tcPr>
            <w:tcW w:w="1897" w:type="pct"/>
            <w:tcBorders>
              <w:right w:val="single" w:sz="4" w:space="0" w:color="BFBFBF" w:themeColor="background1" w:themeShade="BF"/>
            </w:tcBorders>
          </w:tcPr>
          <w:p w:rsidR="0051685E" w:rsidRDefault="0051685E" w:rsidP="001E5608">
            <w:pPr>
              <w:widowControl w:val="0"/>
              <w:spacing w:line="240" w:lineRule="exact"/>
              <w:rPr>
                <w:rFonts w:cs="Arial"/>
                <w:sz w:val="16"/>
                <w:szCs w:val="16"/>
              </w:rPr>
            </w:pPr>
            <w:proofErr w:type="spellStart"/>
            <w:r>
              <w:rPr>
                <w:rFonts w:cs="Arial"/>
                <w:sz w:val="16"/>
                <w:szCs w:val="16"/>
              </w:rPr>
              <w:t>S.Coop</w:t>
            </w:r>
            <w:proofErr w:type="spellEnd"/>
            <w:r>
              <w:rPr>
                <w:rFonts w:cs="Arial"/>
                <w:sz w:val="16"/>
                <w:szCs w:val="16"/>
              </w:rPr>
              <w:t>.</w:t>
            </w:r>
          </w:p>
        </w:tc>
        <w:tc>
          <w:tcPr>
            <w:tcW w:w="1552" w:type="pct"/>
            <w:tcBorders>
              <w:right w:val="single" w:sz="4" w:space="0" w:color="BFBFBF" w:themeColor="background1" w:themeShade="BF"/>
            </w:tcBorders>
          </w:tcPr>
          <w:p w:rsidR="0051685E" w:rsidRDefault="0051685E" w:rsidP="00BB313D">
            <w:pPr>
              <w:widowControl w:val="0"/>
              <w:spacing w:line="240" w:lineRule="exact"/>
              <w:ind w:right="284"/>
              <w:jc w:val="right"/>
              <w:rPr>
                <w:rFonts w:cs="Arial"/>
                <w:sz w:val="16"/>
                <w:szCs w:val="16"/>
              </w:rPr>
            </w:pPr>
            <w:r>
              <w:rPr>
                <w:rFonts w:cs="Arial"/>
                <w:sz w:val="16"/>
                <w:szCs w:val="16"/>
              </w:rPr>
              <w:t>21,9</w:t>
            </w:r>
          </w:p>
        </w:tc>
        <w:tc>
          <w:tcPr>
            <w:tcW w:w="1551" w:type="pct"/>
            <w:tcBorders>
              <w:left w:val="single" w:sz="4" w:space="0" w:color="BFBFBF" w:themeColor="background1" w:themeShade="BF"/>
            </w:tcBorders>
            <w:vAlign w:val="bottom"/>
          </w:tcPr>
          <w:p w:rsidR="0051685E" w:rsidRPr="0051685E" w:rsidRDefault="0051685E" w:rsidP="00BB313D">
            <w:pPr>
              <w:widowControl w:val="0"/>
              <w:spacing w:line="240" w:lineRule="exact"/>
              <w:ind w:right="284"/>
              <w:jc w:val="right"/>
              <w:rPr>
                <w:rFonts w:cs="Arial"/>
                <w:sz w:val="16"/>
                <w:szCs w:val="16"/>
              </w:rPr>
            </w:pPr>
            <w:r w:rsidRPr="0051685E">
              <w:rPr>
                <w:rFonts w:cs="Arial"/>
                <w:sz w:val="16"/>
                <w:szCs w:val="16"/>
              </w:rPr>
              <w:t>21,2</w:t>
            </w:r>
          </w:p>
        </w:tc>
      </w:tr>
      <w:tr w:rsidR="0051685E" w:rsidRPr="00367DEF" w:rsidTr="00D122F5">
        <w:trPr>
          <w:jc w:val="center"/>
        </w:trPr>
        <w:tc>
          <w:tcPr>
            <w:tcW w:w="1897" w:type="pct"/>
            <w:tcBorders>
              <w:right w:val="single" w:sz="4" w:space="0" w:color="BFBFBF" w:themeColor="background1" w:themeShade="BF"/>
            </w:tcBorders>
          </w:tcPr>
          <w:p w:rsidR="0051685E" w:rsidRDefault="0051685E" w:rsidP="001E5608">
            <w:pPr>
              <w:widowControl w:val="0"/>
              <w:spacing w:line="240" w:lineRule="exact"/>
              <w:rPr>
                <w:rFonts w:cs="Arial"/>
                <w:sz w:val="16"/>
                <w:szCs w:val="16"/>
              </w:rPr>
            </w:pPr>
            <w:r>
              <w:rPr>
                <w:rFonts w:cs="Arial"/>
                <w:sz w:val="16"/>
                <w:szCs w:val="16"/>
              </w:rPr>
              <w:t>S.L.es</w:t>
            </w:r>
          </w:p>
        </w:tc>
        <w:tc>
          <w:tcPr>
            <w:tcW w:w="1552" w:type="pct"/>
            <w:tcBorders>
              <w:right w:val="single" w:sz="4" w:space="0" w:color="BFBFBF" w:themeColor="background1" w:themeShade="BF"/>
            </w:tcBorders>
          </w:tcPr>
          <w:p w:rsidR="0051685E" w:rsidRDefault="0051685E" w:rsidP="00BB313D">
            <w:pPr>
              <w:widowControl w:val="0"/>
              <w:spacing w:line="240" w:lineRule="exact"/>
              <w:ind w:right="284"/>
              <w:jc w:val="right"/>
              <w:rPr>
                <w:rFonts w:cs="Arial"/>
                <w:sz w:val="16"/>
                <w:szCs w:val="16"/>
              </w:rPr>
            </w:pPr>
            <w:r>
              <w:rPr>
                <w:rFonts w:cs="Arial"/>
                <w:sz w:val="16"/>
                <w:szCs w:val="16"/>
              </w:rPr>
              <w:t>8,9</w:t>
            </w:r>
          </w:p>
        </w:tc>
        <w:tc>
          <w:tcPr>
            <w:tcW w:w="1551" w:type="pct"/>
            <w:tcBorders>
              <w:left w:val="single" w:sz="4" w:space="0" w:color="BFBFBF" w:themeColor="background1" w:themeShade="BF"/>
            </w:tcBorders>
            <w:vAlign w:val="bottom"/>
          </w:tcPr>
          <w:p w:rsidR="0051685E" w:rsidRPr="00F3262C" w:rsidRDefault="00F3262C" w:rsidP="00BB313D">
            <w:pPr>
              <w:widowControl w:val="0"/>
              <w:spacing w:line="240" w:lineRule="exact"/>
              <w:ind w:right="284"/>
              <w:jc w:val="right"/>
              <w:rPr>
                <w:rFonts w:cs="Arial"/>
                <w:sz w:val="16"/>
                <w:szCs w:val="16"/>
              </w:rPr>
            </w:pPr>
            <w:r w:rsidRPr="00F3262C">
              <w:rPr>
                <w:rFonts w:cs="Arial"/>
                <w:sz w:val="16"/>
                <w:szCs w:val="16"/>
              </w:rPr>
              <w:t>8,1</w:t>
            </w:r>
          </w:p>
        </w:tc>
      </w:tr>
      <w:tr w:rsidR="0051685E" w:rsidRPr="00367DEF" w:rsidTr="00D122F5">
        <w:trPr>
          <w:jc w:val="center"/>
        </w:trPr>
        <w:tc>
          <w:tcPr>
            <w:tcW w:w="1897" w:type="pct"/>
            <w:tcBorders>
              <w:right w:val="single" w:sz="4" w:space="0" w:color="BFBFBF" w:themeColor="background1" w:themeShade="BF"/>
            </w:tcBorders>
          </w:tcPr>
          <w:p w:rsidR="0051685E" w:rsidRDefault="0051685E" w:rsidP="00BB313D">
            <w:pPr>
              <w:widowControl w:val="0"/>
              <w:spacing w:line="240" w:lineRule="exact"/>
              <w:rPr>
                <w:rFonts w:cs="Arial"/>
                <w:sz w:val="16"/>
                <w:szCs w:val="16"/>
              </w:rPr>
            </w:pPr>
            <w:r>
              <w:rPr>
                <w:rFonts w:cs="Arial"/>
                <w:sz w:val="16"/>
                <w:szCs w:val="16"/>
              </w:rPr>
              <w:t xml:space="preserve">  S.A.L.es</w:t>
            </w:r>
          </w:p>
        </w:tc>
        <w:tc>
          <w:tcPr>
            <w:tcW w:w="1552" w:type="pct"/>
            <w:tcBorders>
              <w:right w:val="single" w:sz="4" w:space="0" w:color="BFBFBF" w:themeColor="background1" w:themeShade="BF"/>
            </w:tcBorders>
          </w:tcPr>
          <w:p w:rsidR="0051685E" w:rsidRDefault="0051685E" w:rsidP="00BB313D">
            <w:pPr>
              <w:widowControl w:val="0"/>
              <w:spacing w:line="240" w:lineRule="exact"/>
              <w:ind w:right="284"/>
              <w:jc w:val="right"/>
              <w:rPr>
                <w:rFonts w:cs="Arial"/>
                <w:sz w:val="16"/>
                <w:szCs w:val="16"/>
              </w:rPr>
            </w:pPr>
            <w:r>
              <w:rPr>
                <w:rFonts w:cs="Arial"/>
                <w:sz w:val="16"/>
                <w:szCs w:val="16"/>
              </w:rPr>
              <w:t>14,9</w:t>
            </w:r>
          </w:p>
        </w:tc>
        <w:tc>
          <w:tcPr>
            <w:tcW w:w="1551" w:type="pct"/>
            <w:tcBorders>
              <w:left w:val="single" w:sz="4" w:space="0" w:color="BFBFBF" w:themeColor="background1" w:themeShade="BF"/>
            </w:tcBorders>
            <w:vAlign w:val="bottom"/>
          </w:tcPr>
          <w:p w:rsidR="0051685E" w:rsidRPr="0051685E" w:rsidRDefault="0051685E" w:rsidP="00BB313D">
            <w:pPr>
              <w:widowControl w:val="0"/>
              <w:spacing w:line="240" w:lineRule="exact"/>
              <w:ind w:right="284"/>
              <w:jc w:val="right"/>
              <w:rPr>
                <w:rFonts w:cs="Arial"/>
                <w:sz w:val="16"/>
                <w:szCs w:val="16"/>
              </w:rPr>
            </w:pPr>
            <w:r w:rsidRPr="0051685E">
              <w:rPr>
                <w:rFonts w:cs="Arial"/>
                <w:sz w:val="16"/>
                <w:szCs w:val="16"/>
              </w:rPr>
              <w:t>13,8</w:t>
            </w:r>
          </w:p>
        </w:tc>
      </w:tr>
      <w:tr w:rsidR="0051685E" w:rsidRPr="00367DEF" w:rsidTr="00D122F5">
        <w:trPr>
          <w:jc w:val="center"/>
        </w:trPr>
        <w:tc>
          <w:tcPr>
            <w:tcW w:w="1897" w:type="pct"/>
            <w:tcBorders>
              <w:bottom w:val="single" w:sz="4" w:space="0" w:color="BFBFBF" w:themeColor="background1" w:themeShade="BF"/>
              <w:right w:val="single" w:sz="4" w:space="0" w:color="BFBFBF" w:themeColor="background1" w:themeShade="BF"/>
            </w:tcBorders>
          </w:tcPr>
          <w:p w:rsidR="0051685E" w:rsidRDefault="0051685E" w:rsidP="00BB313D">
            <w:pPr>
              <w:widowControl w:val="0"/>
              <w:spacing w:line="240" w:lineRule="exact"/>
              <w:rPr>
                <w:rFonts w:cs="Arial"/>
                <w:sz w:val="16"/>
                <w:szCs w:val="16"/>
              </w:rPr>
            </w:pPr>
            <w:r>
              <w:rPr>
                <w:rFonts w:cs="Arial"/>
                <w:sz w:val="16"/>
                <w:szCs w:val="16"/>
              </w:rPr>
              <w:t xml:space="preserve">  S.L.L.es</w:t>
            </w:r>
          </w:p>
        </w:tc>
        <w:tc>
          <w:tcPr>
            <w:tcW w:w="1552" w:type="pct"/>
            <w:tcBorders>
              <w:bottom w:val="single" w:sz="4" w:space="0" w:color="BFBFBF" w:themeColor="background1" w:themeShade="BF"/>
              <w:right w:val="single" w:sz="4" w:space="0" w:color="BFBFBF" w:themeColor="background1" w:themeShade="BF"/>
            </w:tcBorders>
          </w:tcPr>
          <w:p w:rsidR="0051685E" w:rsidRDefault="0051685E" w:rsidP="00BB313D">
            <w:pPr>
              <w:widowControl w:val="0"/>
              <w:spacing w:line="240" w:lineRule="exact"/>
              <w:ind w:right="284"/>
              <w:jc w:val="right"/>
              <w:rPr>
                <w:rFonts w:cs="Arial"/>
                <w:sz w:val="16"/>
                <w:szCs w:val="16"/>
              </w:rPr>
            </w:pPr>
            <w:r>
              <w:rPr>
                <w:rFonts w:cs="Arial"/>
                <w:sz w:val="16"/>
                <w:szCs w:val="16"/>
              </w:rPr>
              <w:t>6,2</w:t>
            </w:r>
          </w:p>
        </w:tc>
        <w:tc>
          <w:tcPr>
            <w:tcW w:w="1551" w:type="pct"/>
            <w:tcBorders>
              <w:left w:val="single" w:sz="4" w:space="0" w:color="BFBFBF" w:themeColor="background1" w:themeShade="BF"/>
              <w:bottom w:val="single" w:sz="4" w:space="0" w:color="BFBFBF" w:themeColor="background1" w:themeShade="BF"/>
            </w:tcBorders>
            <w:vAlign w:val="bottom"/>
          </w:tcPr>
          <w:p w:rsidR="0051685E" w:rsidRPr="0051685E" w:rsidRDefault="0051685E" w:rsidP="00BB313D">
            <w:pPr>
              <w:widowControl w:val="0"/>
              <w:spacing w:line="240" w:lineRule="exact"/>
              <w:ind w:right="284"/>
              <w:jc w:val="right"/>
              <w:rPr>
                <w:rFonts w:cs="Arial"/>
                <w:sz w:val="16"/>
                <w:szCs w:val="16"/>
              </w:rPr>
            </w:pPr>
            <w:r w:rsidRPr="0051685E">
              <w:rPr>
                <w:rFonts w:cs="Arial"/>
                <w:sz w:val="16"/>
                <w:szCs w:val="16"/>
              </w:rPr>
              <w:t>6,1</w:t>
            </w:r>
          </w:p>
        </w:tc>
      </w:tr>
    </w:tbl>
    <w:p w:rsidR="00665097" w:rsidRDefault="00665097" w:rsidP="00BB313D">
      <w:pPr>
        <w:widowControl w:val="0"/>
        <w:rPr>
          <w:rFonts w:cs="Arial"/>
        </w:rPr>
      </w:pPr>
    </w:p>
    <w:p w:rsidR="004560E4" w:rsidRDefault="004560E4" w:rsidP="00BB313D">
      <w:pPr>
        <w:widowControl w:val="0"/>
        <w:rPr>
          <w:rFonts w:cs="Arial"/>
        </w:rPr>
      </w:pPr>
    </w:p>
    <w:p w:rsidR="00665097" w:rsidRDefault="00DE1512" w:rsidP="00BB313D">
      <w:pPr>
        <w:widowControl w:val="0"/>
        <w:spacing w:line="240" w:lineRule="auto"/>
        <w:jc w:val="center"/>
        <w:rPr>
          <w:rFonts w:cs="Arial"/>
          <w:b/>
          <w:color w:val="1F497D" w:themeColor="text2"/>
          <w:sz w:val="18"/>
          <w:szCs w:val="18"/>
        </w:rPr>
      </w:pPr>
      <w:bookmarkStart w:id="123" w:name="_Toc391999603"/>
      <w:bookmarkStart w:id="124" w:name="_Toc45011948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665097" w:rsidRPr="00A3618A">
        <w:rPr>
          <w:rFonts w:cs="Arial"/>
          <w:b/>
          <w:color w:val="1F497D" w:themeColor="text2"/>
          <w:sz w:val="18"/>
          <w:szCs w:val="18"/>
        </w:rPr>
        <w:t xml:space="preserve">ESTRUCTURA SECTORIAL DEL EMPLEO </w:t>
      </w:r>
      <w:r w:rsidR="00C72915">
        <w:rPr>
          <w:rFonts w:cs="Arial"/>
          <w:b/>
          <w:color w:val="1F497D" w:themeColor="text2"/>
          <w:sz w:val="18"/>
          <w:szCs w:val="18"/>
        </w:rPr>
        <w:t>DE COOPERATIVAS. REFERENCIA 2012</w:t>
      </w:r>
      <w:r w:rsidR="00665097" w:rsidRPr="00A3618A">
        <w:rPr>
          <w:rFonts w:cs="Arial"/>
          <w:b/>
          <w:color w:val="1F497D" w:themeColor="text2"/>
          <w:sz w:val="18"/>
          <w:szCs w:val="18"/>
        </w:rPr>
        <w:t xml:space="preserve"> y</w:t>
      </w:r>
      <w:r w:rsidR="00C72915">
        <w:rPr>
          <w:rFonts w:cs="Arial"/>
          <w:b/>
          <w:color w:val="1F497D" w:themeColor="text2"/>
          <w:sz w:val="18"/>
          <w:szCs w:val="18"/>
        </w:rPr>
        <w:t xml:space="preserve"> 2014</w:t>
      </w:r>
      <w:r w:rsidR="00AC5A66">
        <w:rPr>
          <w:rFonts w:cs="Arial"/>
          <w:b/>
          <w:color w:val="1F497D" w:themeColor="text2"/>
          <w:sz w:val="18"/>
          <w:szCs w:val="18"/>
        </w:rPr>
        <w:t xml:space="preserve"> </w:t>
      </w:r>
      <w:r w:rsidR="00665097" w:rsidRPr="00A3618A">
        <w:rPr>
          <w:rFonts w:cs="Arial"/>
          <w:b/>
          <w:color w:val="1F497D" w:themeColor="text2"/>
          <w:sz w:val="18"/>
          <w:szCs w:val="18"/>
        </w:rPr>
        <w:t>(</w:t>
      </w:r>
      <w:r w:rsidR="007D763B">
        <w:rPr>
          <w:rFonts w:cs="Arial"/>
          <w:b/>
          <w:color w:val="1F497D" w:themeColor="text2"/>
          <w:sz w:val="18"/>
          <w:szCs w:val="18"/>
        </w:rPr>
        <w:t>cifras absolutas y % verticales</w:t>
      </w:r>
      <w:r w:rsidR="00665097" w:rsidRPr="00A3618A">
        <w:rPr>
          <w:rFonts w:cs="Arial"/>
          <w:b/>
          <w:color w:val="1F497D" w:themeColor="text2"/>
          <w:sz w:val="18"/>
          <w:szCs w:val="18"/>
        </w:rPr>
        <w:t>)</w:t>
      </w:r>
      <w:bookmarkEnd w:id="123"/>
      <w:bookmarkEnd w:id="124"/>
    </w:p>
    <w:tbl>
      <w:tblPr>
        <w:tblW w:w="9940" w:type="dxa"/>
        <w:jc w:val="center"/>
        <w:tblLook w:val="04A0" w:firstRow="1" w:lastRow="0" w:firstColumn="1" w:lastColumn="0" w:noHBand="0" w:noVBand="1"/>
      </w:tblPr>
      <w:tblGrid>
        <w:gridCol w:w="2522"/>
        <w:gridCol w:w="1922"/>
        <w:gridCol w:w="1652"/>
        <w:gridCol w:w="1922"/>
        <w:gridCol w:w="1922"/>
      </w:tblGrid>
      <w:tr w:rsidR="00665097" w:rsidRPr="00F04D4B" w:rsidTr="00D122F5">
        <w:trPr>
          <w:jc w:val="center"/>
        </w:trPr>
        <w:tc>
          <w:tcPr>
            <w:tcW w:w="1268"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b/>
                <w:bCs/>
                <w:sz w:val="16"/>
                <w:szCs w:val="16"/>
              </w:rPr>
            </w:pPr>
          </w:p>
        </w:tc>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b/>
                <w:bCs/>
                <w:sz w:val="16"/>
                <w:szCs w:val="16"/>
              </w:rPr>
            </w:pPr>
            <w:r w:rsidRPr="00F04D4B">
              <w:rPr>
                <w:rFonts w:cs="Arial"/>
                <w:b/>
                <w:bCs/>
                <w:sz w:val="16"/>
                <w:szCs w:val="16"/>
                <w:lang w:val="pt-BR"/>
              </w:rPr>
              <w:t>201</w:t>
            </w:r>
            <w:r w:rsidR="00C72915">
              <w:rPr>
                <w:rFonts w:cs="Arial"/>
                <w:b/>
                <w:bCs/>
                <w:sz w:val="16"/>
                <w:szCs w:val="16"/>
                <w:lang w:val="pt-BR"/>
              </w:rPr>
              <w:t>2</w:t>
            </w:r>
          </w:p>
        </w:tc>
        <w:tc>
          <w:tcPr>
            <w:tcW w:w="193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b/>
                <w:bCs/>
                <w:sz w:val="16"/>
                <w:szCs w:val="16"/>
              </w:rPr>
            </w:pPr>
            <w:r w:rsidRPr="00F04D4B">
              <w:rPr>
                <w:rFonts w:cs="Arial"/>
                <w:b/>
                <w:bCs/>
                <w:sz w:val="16"/>
                <w:szCs w:val="16"/>
                <w:lang w:val="pt-BR"/>
              </w:rPr>
              <w:t>201</w:t>
            </w:r>
            <w:r w:rsidR="00C72915">
              <w:rPr>
                <w:rFonts w:cs="Arial"/>
                <w:b/>
                <w:bCs/>
                <w:sz w:val="16"/>
                <w:szCs w:val="16"/>
                <w:lang w:val="pt-BR"/>
              </w:rPr>
              <w:t>4</w:t>
            </w:r>
          </w:p>
        </w:tc>
      </w:tr>
      <w:tr w:rsidR="00665097" w:rsidRPr="00F04D4B" w:rsidTr="00D122F5">
        <w:trPr>
          <w:jc w:val="center"/>
        </w:trPr>
        <w:tc>
          <w:tcPr>
            <w:tcW w:w="1268"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sz w:val="16"/>
                <w:szCs w:val="16"/>
              </w:rPr>
            </w:pP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490B03" w:rsidP="00BB313D">
            <w:pPr>
              <w:widowControl w:val="0"/>
              <w:spacing w:line="240" w:lineRule="exact"/>
              <w:jc w:val="center"/>
              <w:rPr>
                <w:rFonts w:cs="Arial"/>
                <w:b/>
                <w:bCs/>
                <w:sz w:val="16"/>
                <w:szCs w:val="16"/>
              </w:rPr>
            </w:pPr>
            <w:r>
              <w:rPr>
                <w:rFonts w:cs="Arial"/>
                <w:b/>
                <w:bCs/>
                <w:sz w:val="16"/>
                <w:szCs w:val="16"/>
                <w:lang w:val="pt-BR"/>
              </w:rPr>
              <w:t>Abs.</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153402" w:rsidP="00BB313D">
            <w:pPr>
              <w:widowControl w:val="0"/>
              <w:spacing w:line="240" w:lineRule="exact"/>
              <w:jc w:val="center"/>
              <w:rPr>
                <w:rFonts w:cs="Arial"/>
                <w:b/>
                <w:bCs/>
                <w:sz w:val="16"/>
                <w:szCs w:val="16"/>
              </w:rPr>
            </w:pPr>
            <w:r>
              <w:rPr>
                <w:rFonts w:cs="Arial"/>
                <w:b/>
                <w:bCs/>
                <w:sz w:val="16"/>
                <w:szCs w:val="16"/>
                <w:lang w:val="pt-BR"/>
              </w:rPr>
              <w:t>% ver.</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490B03" w:rsidP="00BB313D">
            <w:pPr>
              <w:widowControl w:val="0"/>
              <w:spacing w:line="240" w:lineRule="exact"/>
              <w:jc w:val="center"/>
              <w:rPr>
                <w:rFonts w:cs="Arial"/>
                <w:b/>
                <w:bCs/>
                <w:sz w:val="16"/>
                <w:szCs w:val="16"/>
              </w:rPr>
            </w:pPr>
            <w:r>
              <w:rPr>
                <w:rFonts w:cs="Arial"/>
                <w:b/>
                <w:bCs/>
                <w:sz w:val="16"/>
                <w:szCs w:val="16"/>
                <w:lang w:val="pt-BR"/>
              </w:rPr>
              <w:t>Abs.</w:t>
            </w:r>
          </w:p>
        </w:tc>
        <w:tc>
          <w:tcPr>
            <w:tcW w:w="967"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153402" w:rsidP="00BB313D">
            <w:pPr>
              <w:widowControl w:val="0"/>
              <w:spacing w:line="240" w:lineRule="exact"/>
              <w:jc w:val="center"/>
              <w:rPr>
                <w:rFonts w:cs="Arial"/>
                <w:b/>
                <w:bCs/>
                <w:sz w:val="16"/>
                <w:szCs w:val="16"/>
              </w:rPr>
            </w:pPr>
            <w:r>
              <w:rPr>
                <w:rFonts w:cs="Arial"/>
                <w:b/>
                <w:bCs/>
                <w:sz w:val="16"/>
                <w:szCs w:val="16"/>
                <w:lang w:val="pt-BR"/>
              </w:rPr>
              <w:t>% ver.</w:t>
            </w:r>
          </w:p>
        </w:tc>
      </w:tr>
      <w:tr w:rsidR="009A6388" w:rsidRPr="00504EF3" w:rsidTr="00D122F5">
        <w:trPr>
          <w:jc w:val="center"/>
        </w:trPr>
        <w:tc>
          <w:tcPr>
            <w:tcW w:w="1268" w:type="pct"/>
            <w:tcBorders>
              <w:top w:val="single" w:sz="4" w:space="0" w:color="BFBFBF" w:themeColor="background1" w:themeShade="BF"/>
              <w:right w:val="single" w:sz="4" w:space="0" w:color="BFBFBF" w:themeColor="background1" w:themeShade="BF"/>
            </w:tcBorders>
            <w:hideMark/>
          </w:tcPr>
          <w:p w:rsidR="009A6388" w:rsidRPr="00BD6BE8" w:rsidRDefault="009A6388" w:rsidP="00BB313D">
            <w:pPr>
              <w:widowControl w:val="0"/>
              <w:spacing w:line="240" w:lineRule="exact"/>
              <w:rPr>
                <w:rFonts w:cs="Arial"/>
                <w:color w:val="000000"/>
                <w:sz w:val="16"/>
                <w:szCs w:val="16"/>
              </w:rPr>
            </w:pPr>
            <w:r w:rsidRPr="00BD6BE8">
              <w:rPr>
                <w:rFonts w:cs="Arial"/>
                <w:color w:val="000000"/>
                <w:sz w:val="16"/>
                <w:szCs w:val="16"/>
              </w:rPr>
              <w:t>Primario</w:t>
            </w:r>
          </w:p>
        </w:tc>
        <w:tc>
          <w:tcPr>
            <w:tcW w:w="967" w:type="pct"/>
            <w:tcBorders>
              <w:top w:val="single" w:sz="4" w:space="0" w:color="BFBFBF" w:themeColor="background1" w:themeShade="BF"/>
              <w:left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101</w:t>
            </w:r>
          </w:p>
        </w:tc>
        <w:tc>
          <w:tcPr>
            <w:tcW w:w="831" w:type="pct"/>
            <w:tcBorders>
              <w:top w:val="single" w:sz="4" w:space="0" w:color="BFBFBF" w:themeColor="background1" w:themeShade="BF"/>
              <w:right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0,2</w:t>
            </w:r>
          </w:p>
        </w:tc>
        <w:tc>
          <w:tcPr>
            <w:tcW w:w="967" w:type="pct"/>
            <w:tcBorders>
              <w:top w:val="single" w:sz="4" w:space="0" w:color="BFBFBF" w:themeColor="background1" w:themeShade="BF"/>
              <w:left w:val="single" w:sz="4" w:space="0" w:color="BFBFBF" w:themeColor="background1" w:themeShade="BF"/>
            </w:tcBorders>
            <w:vAlign w:val="bottom"/>
            <w:hideMark/>
          </w:tcPr>
          <w:p w:rsidR="009A6388" w:rsidRPr="009A6388" w:rsidRDefault="009A6388" w:rsidP="00BB313D">
            <w:pPr>
              <w:widowControl w:val="0"/>
              <w:spacing w:line="240" w:lineRule="exact"/>
              <w:ind w:right="284"/>
              <w:jc w:val="right"/>
              <w:rPr>
                <w:rFonts w:cs="Arial"/>
                <w:color w:val="000000"/>
                <w:sz w:val="16"/>
                <w:szCs w:val="16"/>
              </w:rPr>
            </w:pPr>
            <w:r w:rsidRPr="009A6388">
              <w:rPr>
                <w:rFonts w:cs="Arial"/>
                <w:color w:val="000000"/>
                <w:sz w:val="16"/>
                <w:szCs w:val="16"/>
              </w:rPr>
              <w:t>156</w:t>
            </w:r>
          </w:p>
        </w:tc>
        <w:tc>
          <w:tcPr>
            <w:tcW w:w="967" w:type="pct"/>
            <w:tcBorders>
              <w:top w:val="single" w:sz="4" w:space="0" w:color="BFBFBF" w:themeColor="background1" w:themeShade="BF"/>
            </w:tcBorders>
            <w:vAlign w:val="bottom"/>
            <w:hideMark/>
          </w:tcPr>
          <w:p w:rsidR="009A6388" w:rsidRPr="00EE74E0" w:rsidRDefault="009A6388" w:rsidP="00BB313D">
            <w:pPr>
              <w:widowControl w:val="0"/>
              <w:spacing w:line="240" w:lineRule="exact"/>
              <w:ind w:right="284"/>
              <w:jc w:val="right"/>
              <w:rPr>
                <w:rFonts w:cs="Arial"/>
                <w:color w:val="000000"/>
                <w:sz w:val="16"/>
                <w:szCs w:val="16"/>
              </w:rPr>
            </w:pPr>
            <w:r w:rsidRPr="00EE74E0">
              <w:rPr>
                <w:rFonts w:cs="Arial"/>
                <w:color w:val="000000"/>
                <w:sz w:val="16"/>
                <w:szCs w:val="16"/>
              </w:rPr>
              <w:t>0,3</w:t>
            </w:r>
          </w:p>
        </w:tc>
      </w:tr>
      <w:tr w:rsidR="009A6388" w:rsidRPr="00504EF3" w:rsidTr="00D122F5">
        <w:trPr>
          <w:jc w:val="center"/>
        </w:trPr>
        <w:tc>
          <w:tcPr>
            <w:tcW w:w="1268" w:type="pct"/>
            <w:tcBorders>
              <w:right w:val="single" w:sz="4" w:space="0" w:color="BFBFBF" w:themeColor="background1" w:themeShade="BF"/>
            </w:tcBorders>
            <w:hideMark/>
          </w:tcPr>
          <w:p w:rsidR="009A6388" w:rsidRPr="00BD6BE8" w:rsidRDefault="009A6388" w:rsidP="00BB313D">
            <w:pPr>
              <w:widowControl w:val="0"/>
              <w:spacing w:line="240" w:lineRule="exact"/>
              <w:rPr>
                <w:rFonts w:cs="Arial"/>
                <w:color w:val="000000"/>
                <w:sz w:val="16"/>
                <w:szCs w:val="16"/>
              </w:rPr>
            </w:pPr>
            <w:r w:rsidRPr="00BD6BE8">
              <w:rPr>
                <w:rFonts w:cs="Arial"/>
                <w:color w:val="000000"/>
                <w:sz w:val="16"/>
                <w:szCs w:val="16"/>
              </w:rPr>
              <w:t>Industria</w:t>
            </w:r>
          </w:p>
        </w:tc>
        <w:tc>
          <w:tcPr>
            <w:tcW w:w="967" w:type="pct"/>
            <w:tcBorders>
              <w:left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20.917</w:t>
            </w:r>
          </w:p>
        </w:tc>
        <w:tc>
          <w:tcPr>
            <w:tcW w:w="831" w:type="pct"/>
            <w:tcBorders>
              <w:right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43,6</w:t>
            </w:r>
          </w:p>
        </w:tc>
        <w:tc>
          <w:tcPr>
            <w:tcW w:w="967" w:type="pct"/>
            <w:tcBorders>
              <w:left w:val="single" w:sz="4" w:space="0" w:color="BFBFBF" w:themeColor="background1" w:themeShade="BF"/>
            </w:tcBorders>
            <w:vAlign w:val="bottom"/>
            <w:hideMark/>
          </w:tcPr>
          <w:p w:rsidR="009A6388" w:rsidRPr="009A6388" w:rsidRDefault="009A6388" w:rsidP="00BB313D">
            <w:pPr>
              <w:widowControl w:val="0"/>
              <w:spacing w:line="240" w:lineRule="exact"/>
              <w:ind w:right="284"/>
              <w:jc w:val="right"/>
              <w:rPr>
                <w:rFonts w:cs="Arial"/>
                <w:color w:val="000000"/>
                <w:sz w:val="16"/>
                <w:szCs w:val="16"/>
              </w:rPr>
            </w:pPr>
            <w:r w:rsidRPr="009A6388">
              <w:rPr>
                <w:rFonts w:cs="Arial"/>
                <w:color w:val="000000"/>
                <w:sz w:val="16"/>
                <w:szCs w:val="16"/>
              </w:rPr>
              <w:t>19.238</w:t>
            </w:r>
          </w:p>
        </w:tc>
        <w:tc>
          <w:tcPr>
            <w:tcW w:w="967" w:type="pct"/>
            <w:vAlign w:val="bottom"/>
            <w:hideMark/>
          </w:tcPr>
          <w:p w:rsidR="009A6388" w:rsidRPr="00EE74E0" w:rsidRDefault="009A6388" w:rsidP="00BB313D">
            <w:pPr>
              <w:widowControl w:val="0"/>
              <w:spacing w:line="240" w:lineRule="exact"/>
              <w:ind w:right="284"/>
              <w:jc w:val="right"/>
              <w:rPr>
                <w:rFonts w:cs="Arial"/>
                <w:color w:val="000000"/>
                <w:sz w:val="16"/>
                <w:szCs w:val="16"/>
              </w:rPr>
            </w:pPr>
            <w:r w:rsidRPr="00EE74E0">
              <w:rPr>
                <w:rFonts w:cs="Arial"/>
                <w:color w:val="000000"/>
                <w:sz w:val="16"/>
                <w:szCs w:val="16"/>
              </w:rPr>
              <w:t>40,7</w:t>
            </w:r>
          </w:p>
        </w:tc>
      </w:tr>
      <w:tr w:rsidR="009A6388" w:rsidRPr="00504EF3" w:rsidTr="00D122F5">
        <w:trPr>
          <w:jc w:val="center"/>
        </w:trPr>
        <w:tc>
          <w:tcPr>
            <w:tcW w:w="1268" w:type="pct"/>
            <w:tcBorders>
              <w:right w:val="single" w:sz="4" w:space="0" w:color="BFBFBF" w:themeColor="background1" w:themeShade="BF"/>
            </w:tcBorders>
            <w:hideMark/>
          </w:tcPr>
          <w:p w:rsidR="009A6388" w:rsidRPr="00BD6BE8" w:rsidRDefault="009A6388" w:rsidP="00BB313D">
            <w:pPr>
              <w:widowControl w:val="0"/>
              <w:spacing w:line="240" w:lineRule="exact"/>
              <w:rPr>
                <w:rFonts w:cs="Arial"/>
                <w:color w:val="000000"/>
                <w:sz w:val="16"/>
                <w:szCs w:val="16"/>
              </w:rPr>
            </w:pPr>
            <w:r w:rsidRPr="00BD6BE8">
              <w:rPr>
                <w:rFonts w:cs="Arial"/>
                <w:color w:val="000000"/>
                <w:sz w:val="16"/>
                <w:szCs w:val="16"/>
              </w:rPr>
              <w:t>Construcción</w:t>
            </w:r>
          </w:p>
        </w:tc>
        <w:tc>
          <w:tcPr>
            <w:tcW w:w="967" w:type="pct"/>
            <w:tcBorders>
              <w:left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1.316</w:t>
            </w:r>
          </w:p>
        </w:tc>
        <w:tc>
          <w:tcPr>
            <w:tcW w:w="831" w:type="pct"/>
            <w:tcBorders>
              <w:right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2,7</w:t>
            </w:r>
          </w:p>
        </w:tc>
        <w:tc>
          <w:tcPr>
            <w:tcW w:w="967" w:type="pct"/>
            <w:tcBorders>
              <w:left w:val="single" w:sz="4" w:space="0" w:color="BFBFBF" w:themeColor="background1" w:themeShade="BF"/>
            </w:tcBorders>
            <w:vAlign w:val="bottom"/>
            <w:hideMark/>
          </w:tcPr>
          <w:p w:rsidR="009A6388" w:rsidRPr="009A6388" w:rsidRDefault="009A6388" w:rsidP="00BB313D">
            <w:pPr>
              <w:widowControl w:val="0"/>
              <w:spacing w:line="240" w:lineRule="exact"/>
              <w:ind w:right="284"/>
              <w:jc w:val="right"/>
              <w:rPr>
                <w:rFonts w:cs="Arial"/>
                <w:color w:val="000000"/>
                <w:sz w:val="16"/>
                <w:szCs w:val="16"/>
              </w:rPr>
            </w:pPr>
            <w:r w:rsidRPr="009A6388">
              <w:rPr>
                <w:rFonts w:cs="Arial"/>
                <w:color w:val="000000"/>
                <w:sz w:val="16"/>
                <w:szCs w:val="16"/>
              </w:rPr>
              <w:t>1.016</w:t>
            </w:r>
          </w:p>
        </w:tc>
        <w:tc>
          <w:tcPr>
            <w:tcW w:w="967" w:type="pct"/>
            <w:vAlign w:val="bottom"/>
            <w:hideMark/>
          </w:tcPr>
          <w:p w:rsidR="009A6388" w:rsidRPr="00EE74E0" w:rsidRDefault="009A6388" w:rsidP="00BB313D">
            <w:pPr>
              <w:widowControl w:val="0"/>
              <w:spacing w:line="240" w:lineRule="exact"/>
              <w:ind w:right="284"/>
              <w:jc w:val="right"/>
              <w:rPr>
                <w:rFonts w:cs="Arial"/>
                <w:color w:val="000000"/>
                <w:sz w:val="16"/>
                <w:szCs w:val="16"/>
              </w:rPr>
            </w:pPr>
            <w:r w:rsidRPr="00EE74E0">
              <w:rPr>
                <w:rFonts w:cs="Arial"/>
                <w:color w:val="000000"/>
                <w:sz w:val="16"/>
                <w:szCs w:val="16"/>
              </w:rPr>
              <w:t>2,1</w:t>
            </w:r>
          </w:p>
        </w:tc>
      </w:tr>
      <w:tr w:rsidR="009A6388" w:rsidRPr="00504EF3" w:rsidTr="00D122F5">
        <w:trPr>
          <w:jc w:val="center"/>
        </w:trPr>
        <w:tc>
          <w:tcPr>
            <w:tcW w:w="1268" w:type="pct"/>
            <w:tcBorders>
              <w:bottom w:val="single" w:sz="4" w:space="0" w:color="BFBFBF" w:themeColor="background1" w:themeShade="BF"/>
              <w:right w:val="single" w:sz="4" w:space="0" w:color="BFBFBF" w:themeColor="background1" w:themeShade="BF"/>
            </w:tcBorders>
            <w:hideMark/>
          </w:tcPr>
          <w:p w:rsidR="009A6388" w:rsidRPr="00BD6BE8" w:rsidRDefault="009A6388" w:rsidP="00BB313D">
            <w:pPr>
              <w:widowControl w:val="0"/>
              <w:spacing w:line="240" w:lineRule="exact"/>
              <w:rPr>
                <w:rFonts w:cs="Arial"/>
                <w:color w:val="000000"/>
                <w:sz w:val="16"/>
                <w:szCs w:val="16"/>
              </w:rPr>
            </w:pPr>
            <w:r w:rsidRPr="00BD6BE8">
              <w:rPr>
                <w:rFonts w:cs="Arial"/>
                <w:color w:val="000000"/>
                <w:sz w:val="16"/>
                <w:szCs w:val="16"/>
              </w:rPr>
              <w:t>Servicios</w:t>
            </w:r>
          </w:p>
        </w:tc>
        <w:tc>
          <w:tcPr>
            <w:tcW w:w="967" w:type="pct"/>
            <w:tcBorders>
              <w:left w:val="single" w:sz="4" w:space="0" w:color="BFBFBF" w:themeColor="background1" w:themeShade="BF"/>
              <w:bottom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25.647</w:t>
            </w:r>
          </w:p>
        </w:tc>
        <w:tc>
          <w:tcPr>
            <w:tcW w:w="831" w:type="pct"/>
            <w:tcBorders>
              <w:bottom w:val="single" w:sz="4" w:space="0" w:color="BFBFBF" w:themeColor="background1" w:themeShade="BF"/>
              <w:right w:val="single" w:sz="4" w:space="0" w:color="BFBFBF" w:themeColor="background1" w:themeShade="BF"/>
            </w:tcBorders>
            <w:hideMark/>
          </w:tcPr>
          <w:p w:rsidR="009A6388" w:rsidRPr="00BD6BE8" w:rsidRDefault="009A6388" w:rsidP="00BB313D">
            <w:pPr>
              <w:widowControl w:val="0"/>
              <w:spacing w:line="240" w:lineRule="exact"/>
              <w:ind w:right="284"/>
              <w:jc w:val="right"/>
              <w:rPr>
                <w:rFonts w:cs="Arial"/>
                <w:color w:val="000000"/>
                <w:sz w:val="16"/>
                <w:szCs w:val="16"/>
              </w:rPr>
            </w:pPr>
            <w:r w:rsidRPr="00BD6BE8">
              <w:rPr>
                <w:rFonts w:cs="Arial"/>
                <w:color w:val="000000"/>
                <w:sz w:val="16"/>
                <w:szCs w:val="16"/>
              </w:rPr>
              <w:t>53,5</w:t>
            </w:r>
          </w:p>
        </w:tc>
        <w:tc>
          <w:tcPr>
            <w:tcW w:w="967" w:type="pct"/>
            <w:tcBorders>
              <w:left w:val="single" w:sz="4" w:space="0" w:color="BFBFBF" w:themeColor="background1" w:themeShade="BF"/>
              <w:bottom w:val="single" w:sz="4" w:space="0" w:color="BFBFBF" w:themeColor="background1" w:themeShade="BF"/>
            </w:tcBorders>
            <w:vAlign w:val="bottom"/>
            <w:hideMark/>
          </w:tcPr>
          <w:p w:rsidR="009A6388" w:rsidRPr="009A6388" w:rsidRDefault="009A6388" w:rsidP="00BB313D">
            <w:pPr>
              <w:widowControl w:val="0"/>
              <w:spacing w:line="240" w:lineRule="exact"/>
              <w:ind w:right="284"/>
              <w:jc w:val="right"/>
              <w:rPr>
                <w:rFonts w:cs="Arial"/>
                <w:color w:val="000000"/>
                <w:sz w:val="16"/>
                <w:szCs w:val="16"/>
              </w:rPr>
            </w:pPr>
            <w:r w:rsidRPr="009A6388">
              <w:rPr>
                <w:rFonts w:cs="Arial"/>
                <w:color w:val="000000"/>
                <w:sz w:val="16"/>
                <w:szCs w:val="16"/>
              </w:rPr>
              <w:t>26.914</w:t>
            </w:r>
          </w:p>
        </w:tc>
        <w:tc>
          <w:tcPr>
            <w:tcW w:w="967" w:type="pct"/>
            <w:tcBorders>
              <w:bottom w:val="single" w:sz="4" w:space="0" w:color="BFBFBF" w:themeColor="background1" w:themeShade="BF"/>
            </w:tcBorders>
            <w:vAlign w:val="bottom"/>
            <w:hideMark/>
          </w:tcPr>
          <w:p w:rsidR="009A6388" w:rsidRPr="00EE74E0" w:rsidRDefault="009A6388" w:rsidP="00BB313D">
            <w:pPr>
              <w:widowControl w:val="0"/>
              <w:spacing w:line="240" w:lineRule="exact"/>
              <w:ind w:right="284"/>
              <w:jc w:val="right"/>
              <w:rPr>
                <w:rFonts w:cs="Arial"/>
                <w:color w:val="000000"/>
                <w:sz w:val="16"/>
                <w:szCs w:val="16"/>
              </w:rPr>
            </w:pPr>
            <w:r w:rsidRPr="00EE74E0">
              <w:rPr>
                <w:rFonts w:cs="Arial"/>
                <w:color w:val="000000"/>
                <w:sz w:val="16"/>
                <w:szCs w:val="16"/>
              </w:rPr>
              <w:t>56,9</w:t>
            </w:r>
          </w:p>
        </w:tc>
      </w:tr>
      <w:tr w:rsidR="00C72915" w:rsidRPr="00504EF3" w:rsidTr="00D122F5">
        <w:trPr>
          <w:jc w:val="center"/>
        </w:trPr>
        <w:tc>
          <w:tcPr>
            <w:tcW w:w="126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C72915" w:rsidRPr="00BD6BE8" w:rsidRDefault="00C72915" w:rsidP="00BB313D">
            <w:pPr>
              <w:widowControl w:val="0"/>
              <w:spacing w:line="240" w:lineRule="exact"/>
              <w:rPr>
                <w:rFonts w:cs="Arial"/>
                <w:b/>
                <w:bCs/>
                <w:color w:val="000000"/>
                <w:sz w:val="16"/>
                <w:szCs w:val="16"/>
              </w:rPr>
            </w:pPr>
            <w:r w:rsidRPr="00BD6BE8">
              <w:rPr>
                <w:rFonts w:cs="Arial"/>
                <w:b/>
                <w:bCs/>
                <w:color w:val="000000"/>
                <w:sz w:val="16"/>
                <w:szCs w:val="16"/>
                <w:lang w:val="es-ES_tradnl"/>
              </w:rPr>
              <w:t>TOTAL</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C72915" w:rsidRPr="00BD6BE8" w:rsidRDefault="00C72915" w:rsidP="00BB313D">
            <w:pPr>
              <w:widowControl w:val="0"/>
              <w:spacing w:line="240" w:lineRule="exact"/>
              <w:ind w:right="284"/>
              <w:jc w:val="right"/>
              <w:rPr>
                <w:rFonts w:cs="Arial"/>
                <w:b/>
                <w:bCs/>
                <w:color w:val="000000"/>
                <w:sz w:val="16"/>
                <w:szCs w:val="16"/>
              </w:rPr>
            </w:pPr>
            <w:r w:rsidRPr="00BD6BE8">
              <w:rPr>
                <w:rFonts w:cs="Arial"/>
                <w:b/>
                <w:bCs/>
                <w:color w:val="000000"/>
                <w:sz w:val="16"/>
                <w:szCs w:val="16"/>
              </w:rPr>
              <w:t>47.981</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C72915" w:rsidRPr="00BD6BE8" w:rsidRDefault="00C72915" w:rsidP="00BB313D">
            <w:pPr>
              <w:widowControl w:val="0"/>
              <w:spacing w:line="240" w:lineRule="exact"/>
              <w:ind w:right="284"/>
              <w:jc w:val="right"/>
              <w:rPr>
                <w:rFonts w:cs="Arial"/>
                <w:b/>
                <w:bCs/>
                <w:color w:val="000000"/>
                <w:sz w:val="16"/>
                <w:szCs w:val="16"/>
              </w:rPr>
            </w:pPr>
            <w:r w:rsidRPr="00BD6BE8">
              <w:rPr>
                <w:rFonts w:cs="Arial"/>
                <w:b/>
                <w:bCs/>
                <w:color w:val="000000"/>
                <w:sz w:val="16"/>
                <w:szCs w:val="16"/>
              </w:rPr>
              <w:t>100</w:t>
            </w:r>
            <w:r w:rsidR="00FA2C49">
              <w:rPr>
                <w:rFonts w:cs="Arial"/>
                <w:b/>
                <w:bCs/>
                <w:color w:val="000000"/>
                <w:sz w:val="16"/>
                <w:szCs w:val="16"/>
              </w:rPr>
              <w:t>,0</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C72915" w:rsidRPr="00BD6BE8" w:rsidRDefault="00F719C5" w:rsidP="00BB313D">
            <w:pPr>
              <w:widowControl w:val="0"/>
              <w:spacing w:line="240" w:lineRule="exact"/>
              <w:ind w:right="284"/>
              <w:jc w:val="right"/>
              <w:rPr>
                <w:rFonts w:cs="Arial"/>
                <w:b/>
                <w:bCs/>
                <w:color w:val="000000"/>
                <w:sz w:val="16"/>
                <w:szCs w:val="16"/>
              </w:rPr>
            </w:pPr>
            <w:r w:rsidRPr="00F719C5">
              <w:rPr>
                <w:rFonts w:cs="Arial"/>
                <w:b/>
                <w:bCs/>
                <w:color w:val="000000"/>
                <w:sz w:val="16"/>
                <w:szCs w:val="16"/>
              </w:rPr>
              <w:t>47.322</w:t>
            </w:r>
          </w:p>
        </w:tc>
        <w:tc>
          <w:tcPr>
            <w:tcW w:w="967" w:type="pct"/>
            <w:tcBorders>
              <w:top w:val="single" w:sz="4" w:space="0" w:color="BFBFBF" w:themeColor="background1" w:themeShade="BF"/>
              <w:bottom w:val="single" w:sz="4" w:space="0" w:color="BFBFBF" w:themeColor="background1" w:themeShade="BF"/>
            </w:tcBorders>
            <w:hideMark/>
          </w:tcPr>
          <w:p w:rsidR="00C72915" w:rsidRPr="00BD6BE8" w:rsidRDefault="00C72915" w:rsidP="00BB313D">
            <w:pPr>
              <w:widowControl w:val="0"/>
              <w:spacing w:line="240" w:lineRule="exact"/>
              <w:ind w:right="284"/>
              <w:jc w:val="right"/>
              <w:rPr>
                <w:rFonts w:cs="Arial"/>
                <w:b/>
                <w:bCs/>
                <w:color w:val="000000"/>
                <w:sz w:val="16"/>
                <w:szCs w:val="16"/>
              </w:rPr>
            </w:pPr>
            <w:r w:rsidRPr="00BD6BE8">
              <w:rPr>
                <w:rFonts w:cs="Arial"/>
                <w:b/>
                <w:bCs/>
                <w:color w:val="000000"/>
                <w:sz w:val="16"/>
                <w:szCs w:val="16"/>
              </w:rPr>
              <w:t>100</w:t>
            </w:r>
            <w:r w:rsidR="00FA2C49">
              <w:rPr>
                <w:rFonts w:cs="Arial"/>
                <w:b/>
                <w:bCs/>
                <w:color w:val="000000"/>
                <w:sz w:val="16"/>
                <w:szCs w:val="16"/>
              </w:rPr>
              <w:t>,0</w:t>
            </w:r>
          </w:p>
        </w:tc>
      </w:tr>
    </w:tbl>
    <w:p w:rsidR="00665097" w:rsidRDefault="00665097" w:rsidP="00BB313D">
      <w:pPr>
        <w:widowControl w:val="0"/>
        <w:rPr>
          <w:rFonts w:cs="Arial"/>
        </w:rPr>
      </w:pPr>
    </w:p>
    <w:p w:rsidR="00632C70" w:rsidRPr="00BD6BE8" w:rsidRDefault="00632C70" w:rsidP="00BB313D">
      <w:pPr>
        <w:widowControl w:val="0"/>
        <w:rPr>
          <w:rFonts w:cs="Arial"/>
        </w:rPr>
      </w:pPr>
    </w:p>
    <w:p w:rsidR="00665097" w:rsidRPr="00A3618A" w:rsidRDefault="00DE1512" w:rsidP="00BB313D">
      <w:pPr>
        <w:widowControl w:val="0"/>
        <w:spacing w:line="240" w:lineRule="auto"/>
        <w:jc w:val="center"/>
        <w:rPr>
          <w:rFonts w:cs="Arial"/>
          <w:b/>
          <w:color w:val="1F497D" w:themeColor="text2"/>
          <w:sz w:val="18"/>
          <w:szCs w:val="18"/>
        </w:rPr>
      </w:pPr>
      <w:bookmarkStart w:id="125" w:name="_Toc391999604"/>
      <w:bookmarkStart w:id="126" w:name="_Toc450119487"/>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65097">
        <w:rPr>
          <w:rFonts w:cs="Arial"/>
          <w:b/>
          <w:color w:val="1F497D" w:themeColor="text2"/>
          <w:sz w:val="18"/>
          <w:szCs w:val="18"/>
        </w:rPr>
        <w:t xml:space="preserve"> </w:t>
      </w:r>
      <w:r w:rsidR="00665097" w:rsidRPr="00A3618A">
        <w:rPr>
          <w:rFonts w:cs="Arial"/>
          <w:b/>
          <w:color w:val="1F497D" w:themeColor="text2"/>
          <w:sz w:val="18"/>
          <w:szCs w:val="18"/>
        </w:rPr>
        <w:t>ESTRUCTURA SECTORIAL DEL EMPLEO DE LAS SOCIE</w:t>
      </w:r>
      <w:r w:rsidR="00C64A38">
        <w:rPr>
          <w:rFonts w:cs="Arial"/>
          <w:b/>
          <w:color w:val="1F497D" w:themeColor="text2"/>
          <w:sz w:val="18"/>
          <w:szCs w:val="18"/>
        </w:rPr>
        <w:t>DADES LABORALES. REFERENCIA 2012 y 2014</w:t>
      </w:r>
      <w:r w:rsidR="00AC5A66">
        <w:rPr>
          <w:rFonts w:cs="Arial"/>
          <w:b/>
          <w:color w:val="1F497D" w:themeColor="text2"/>
          <w:sz w:val="18"/>
          <w:szCs w:val="18"/>
        </w:rPr>
        <w:t xml:space="preserve"> </w:t>
      </w:r>
      <w:r w:rsidR="00665097" w:rsidRPr="00A3618A">
        <w:rPr>
          <w:rFonts w:cs="Arial"/>
          <w:b/>
          <w:color w:val="1F497D" w:themeColor="text2"/>
          <w:sz w:val="18"/>
          <w:szCs w:val="18"/>
        </w:rPr>
        <w:t>(</w:t>
      </w:r>
      <w:r w:rsidR="00F80093">
        <w:rPr>
          <w:rFonts w:cs="Arial"/>
          <w:b/>
          <w:color w:val="1F497D" w:themeColor="text2"/>
          <w:sz w:val="18"/>
          <w:szCs w:val="18"/>
        </w:rPr>
        <w:t>cifras</w:t>
      </w:r>
      <w:r w:rsidR="00665097" w:rsidRPr="00A3618A">
        <w:rPr>
          <w:rFonts w:cs="Arial"/>
          <w:b/>
          <w:color w:val="1F497D" w:themeColor="text2"/>
          <w:sz w:val="18"/>
          <w:szCs w:val="18"/>
        </w:rPr>
        <w:t xml:space="preserve"> absolut</w:t>
      </w:r>
      <w:r w:rsidR="00F80093">
        <w:rPr>
          <w:rFonts w:cs="Arial"/>
          <w:b/>
          <w:color w:val="1F497D" w:themeColor="text2"/>
          <w:sz w:val="18"/>
          <w:szCs w:val="18"/>
        </w:rPr>
        <w:t>a</w:t>
      </w:r>
      <w:r w:rsidR="00665097" w:rsidRPr="00A3618A">
        <w:rPr>
          <w:rFonts w:cs="Arial"/>
          <w:b/>
          <w:color w:val="1F497D" w:themeColor="text2"/>
          <w:sz w:val="18"/>
          <w:szCs w:val="18"/>
        </w:rPr>
        <w:t>s y % verticales)</w:t>
      </w:r>
      <w:bookmarkEnd w:id="125"/>
      <w:bookmarkEnd w:id="126"/>
    </w:p>
    <w:tbl>
      <w:tblPr>
        <w:tblW w:w="9940" w:type="dxa"/>
        <w:jc w:val="center"/>
        <w:tblLook w:val="04A0" w:firstRow="1" w:lastRow="0" w:firstColumn="1" w:lastColumn="0" w:noHBand="0" w:noVBand="1"/>
      </w:tblPr>
      <w:tblGrid>
        <w:gridCol w:w="1298"/>
        <w:gridCol w:w="697"/>
        <w:gridCol w:w="709"/>
        <w:gridCol w:w="696"/>
        <w:gridCol w:w="709"/>
        <w:gridCol w:w="796"/>
        <w:gridCol w:w="709"/>
        <w:gridCol w:w="707"/>
        <w:gridCol w:w="709"/>
        <w:gridCol w:w="796"/>
        <w:gridCol w:w="709"/>
        <w:gridCol w:w="696"/>
        <w:gridCol w:w="709"/>
      </w:tblGrid>
      <w:tr w:rsidR="00665097" w:rsidRPr="00F5602F" w:rsidTr="00D122F5">
        <w:trPr>
          <w:jc w:val="center"/>
        </w:trPr>
        <w:tc>
          <w:tcPr>
            <w:tcW w:w="0" w:type="auto"/>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5602F" w:rsidRDefault="00665097" w:rsidP="00996F20">
            <w:pPr>
              <w:widowControl w:val="0"/>
              <w:spacing w:line="240" w:lineRule="exact"/>
              <w:jc w:val="center"/>
              <w:rPr>
                <w:rFonts w:cs="Arial"/>
                <w:sz w:val="16"/>
                <w:szCs w:val="16"/>
              </w:rPr>
            </w:pPr>
          </w:p>
        </w:tc>
        <w:tc>
          <w:tcPr>
            <w:tcW w:w="0" w:type="auto"/>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5602F" w:rsidRDefault="00665097" w:rsidP="00996F20">
            <w:pPr>
              <w:widowControl w:val="0"/>
              <w:spacing w:line="240" w:lineRule="exact"/>
              <w:jc w:val="center"/>
              <w:rPr>
                <w:rFonts w:cs="Arial"/>
                <w:b/>
                <w:bCs/>
                <w:sz w:val="16"/>
                <w:szCs w:val="16"/>
              </w:rPr>
            </w:pPr>
            <w:r w:rsidRPr="00F5602F">
              <w:rPr>
                <w:rFonts w:cs="Arial"/>
                <w:b/>
                <w:bCs/>
                <w:sz w:val="16"/>
                <w:szCs w:val="16"/>
              </w:rPr>
              <w:t>S.A.L.es</w:t>
            </w:r>
          </w:p>
        </w:tc>
        <w:tc>
          <w:tcPr>
            <w:tcW w:w="0" w:type="auto"/>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5602F" w:rsidRDefault="00665097" w:rsidP="00996F20">
            <w:pPr>
              <w:widowControl w:val="0"/>
              <w:spacing w:line="240" w:lineRule="exact"/>
              <w:jc w:val="center"/>
              <w:rPr>
                <w:rFonts w:cs="Arial"/>
                <w:b/>
                <w:bCs/>
                <w:sz w:val="16"/>
                <w:szCs w:val="16"/>
              </w:rPr>
            </w:pPr>
            <w:r w:rsidRPr="00F5602F">
              <w:rPr>
                <w:rFonts w:cs="Arial"/>
                <w:b/>
                <w:bCs/>
                <w:sz w:val="16"/>
                <w:szCs w:val="16"/>
              </w:rPr>
              <w:t>S.L.L.es</w:t>
            </w:r>
          </w:p>
        </w:tc>
        <w:tc>
          <w:tcPr>
            <w:tcW w:w="0" w:type="auto"/>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F5602F" w:rsidRDefault="00665097" w:rsidP="00996F20">
            <w:pPr>
              <w:widowControl w:val="0"/>
              <w:spacing w:line="240" w:lineRule="exact"/>
              <w:jc w:val="center"/>
              <w:rPr>
                <w:rFonts w:cs="Arial"/>
                <w:b/>
                <w:bCs/>
                <w:sz w:val="16"/>
                <w:szCs w:val="16"/>
              </w:rPr>
            </w:pPr>
            <w:r w:rsidRPr="00F5602F">
              <w:rPr>
                <w:rFonts w:cs="Arial"/>
                <w:b/>
                <w:bCs/>
                <w:sz w:val="16"/>
                <w:szCs w:val="16"/>
              </w:rPr>
              <w:t>Sociedades Laborales</w:t>
            </w:r>
          </w:p>
        </w:tc>
      </w:tr>
      <w:tr w:rsidR="00F84BB8" w:rsidRPr="00F5602F" w:rsidTr="00D122F5">
        <w:trPr>
          <w:jc w:val="center"/>
        </w:trPr>
        <w:tc>
          <w:tcPr>
            <w:tcW w:w="0" w:type="auto"/>
            <w:vMerge/>
            <w:tcBorders>
              <w:right w:val="single" w:sz="4" w:space="0" w:color="BFBFBF" w:themeColor="background1" w:themeShade="BF"/>
            </w:tcBorders>
            <w:shd w:val="clear" w:color="auto" w:fill="DBE5F1" w:themeFill="accent1" w:themeFillTint="33"/>
            <w:hideMark/>
          </w:tcPr>
          <w:p w:rsidR="00F84BB8" w:rsidRPr="00F5602F" w:rsidRDefault="00F84BB8" w:rsidP="00996F20">
            <w:pPr>
              <w:widowControl w:val="0"/>
              <w:spacing w:line="240" w:lineRule="exact"/>
              <w:rPr>
                <w:rFonts w:cs="Arial"/>
                <w:sz w:val="16"/>
                <w:szCs w:val="16"/>
              </w:rPr>
            </w:pP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F5602F" w:rsidRDefault="00F84BB8" w:rsidP="00996F20">
            <w:pPr>
              <w:widowControl w:val="0"/>
              <w:spacing w:line="240" w:lineRule="exact"/>
              <w:jc w:val="center"/>
              <w:rPr>
                <w:rFonts w:cs="Arial"/>
                <w:b/>
                <w:bCs/>
                <w:sz w:val="16"/>
                <w:szCs w:val="16"/>
              </w:rPr>
            </w:pPr>
            <w:r>
              <w:rPr>
                <w:rFonts w:cs="Arial"/>
                <w:b/>
                <w:bCs/>
                <w:sz w:val="16"/>
                <w:szCs w:val="16"/>
              </w:rPr>
              <w:t>2012</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F5602F" w:rsidRDefault="00F84BB8" w:rsidP="00996F20">
            <w:pPr>
              <w:widowControl w:val="0"/>
              <w:spacing w:line="240" w:lineRule="exact"/>
              <w:jc w:val="center"/>
              <w:rPr>
                <w:rFonts w:cs="Arial"/>
                <w:b/>
                <w:bCs/>
                <w:sz w:val="16"/>
                <w:szCs w:val="16"/>
              </w:rPr>
            </w:pPr>
            <w:r>
              <w:rPr>
                <w:rFonts w:cs="Arial"/>
                <w:b/>
                <w:bCs/>
                <w:sz w:val="16"/>
                <w:szCs w:val="16"/>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F5602F" w:rsidRDefault="00F84BB8" w:rsidP="00996F20">
            <w:pPr>
              <w:widowControl w:val="0"/>
              <w:spacing w:line="240" w:lineRule="exact"/>
              <w:jc w:val="center"/>
              <w:rPr>
                <w:rFonts w:cs="Arial"/>
                <w:b/>
                <w:bCs/>
                <w:sz w:val="16"/>
                <w:szCs w:val="16"/>
              </w:rPr>
            </w:pPr>
            <w:r>
              <w:rPr>
                <w:rFonts w:cs="Arial"/>
                <w:b/>
                <w:bCs/>
                <w:sz w:val="16"/>
                <w:szCs w:val="16"/>
              </w:rPr>
              <w:t>2012</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F5602F" w:rsidRDefault="00F84BB8" w:rsidP="00996F20">
            <w:pPr>
              <w:widowControl w:val="0"/>
              <w:spacing w:line="240" w:lineRule="exact"/>
              <w:jc w:val="center"/>
              <w:rPr>
                <w:rFonts w:cs="Arial"/>
                <w:b/>
                <w:bCs/>
                <w:sz w:val="16"/>
                <w:szCs w:val="16"/>
              </w:rPr>
            </w:pPr>
            <w:r>
              <w:rPr>
                <w:rFonts w:cs="Arial"/>
                <w:b/>
                <w:bCs/>
                <w:sz w:val="16"/>
                <w:szCs w:val="16"/>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F84BB8" w:rsidRPr="00F5602F" w:rsidRDefault="00F84BB8" w:rsidP="00996F20">
            <w:pPr>
              <w:widowControl w:val="0"/>
              <w:spacing w:line="240" w:lineRule="exact"/>
              <w:jc w:val="center"/>
              <w:rPr>
                <w:rFonts w:cs="Arial"/>
                <w:b/>
                <w:bCs/>
                <w:sz w:val="16"/>
                <w:szCs w:val="16"/>
              </w:rPr>
            </w:pPr>
            <w:r>
              <w:rPr>
                <w:rFonts w:cs="Arial"/>
                <w:b/>
                <w:bCs/>
                <w:sz w:val="16"/>
                <w:szCs w:val="16"/>
              </w:rPr>
              <w:t>2012</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F84BB8" w:rsidRPr="00F5602F" w:rsidRDefault="00F84BB8" w:rsidP="00996F20">
            <w:pPr>
              <w:widowControl w:val="0"/>
              <w:spacing w:line="240" w:lineRule="exact"/>
              <w:jc w:val="center"/>
              <w:rPr>
                <w:rFonts w:cs="Arial"/>
                <w:b/>
                <w:bCs/>
                <w:sz w:val="16"/>
                <w:szCs w:val="16"/>
              </w:rPr>
            </w:pPr>
            <w:r>
              <w:rPr>
                <w:rFonts w:cs="Arial"/>
                <w:b/>
                <w:bCs/>
                <w:sz w:val="16"/>
                <w:szCs w:val="16"/>
              </w:rPr>
              <w:t>2014</w:t>
            </w:r>
          </w:p>
        </w:tc>
      </w:tr>
      <w:tr w:rsidR="0015318F" w:rsidRPr="00F5602F" w:rsidTr="00D122F5">
        <w:trPr>
          <w:jc w:val="center"/>
        </w:trPr>
        <w:tc>
          <w:tcPr>
            <w:tcW w:w="0" w:type="auto"/>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5602F" w:rsidRDefault="00665097" w:rsidP="00996F20">
            <w:pPr>
              <w:widowControl w:val="0"/>
              <w:spacing w:line="240" w:lineRule="exact"/>
              <w:rPr>
                <w:rFonts w:cs="Arial"/>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76C04" w:rsidRDefault="00490B03" w:rsidP="00996F20">
            <w:pPr>
              <w:widowControl w:val="0"/>
              <w:spacing w:line="240" w:lineRule="exact"/>
              <w:jc w:val="center"/>
              <w:rPr>
                <w:rFonts w:cs="Arial"/>
                <w:b/>
                <w:bCs/>
                <w:sz w:val="14"/>
                <w:szCs w:val="14"/>
              </w:rPr>
            </w:pPr>
            <w:proofErr w:type="spellStart"/>
            <w:r w:rsidRPr="00476C04">
              <w:rPr>
                <w:rFonts w:cs="Arial"/>
                <w:b/>
                <w:bCs/>
                <w:sz w:val="14"/>
                <w:szCs w:val="14"/>
              </w:rPr>
              <w:t>Abs</w:t>
            </w:r>
            <w:proofErr w:type="spellEnd"/>
            <w:r w:rsidRPr="00476C04">
              <w:rPr>
                <w:rFonts w:cs="Arial"/>
                <w:b/>
                <w:bCs/>
                <w:sz w:val="14"/>
                <w:szCs w:val="14"/>
              </w:rPr>
              <w:t>.</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76C04" w:rsidRDefault="00153402" w:rsidP="00996F20">
            <w:pPr>
              <w:widowControl w:val="0"/>
              <w:spacing w:line="240" w:lineRule="exact"/>
              <w:jc w:val="center"/>
              <w:rPr>
                <w:rFonts w:cs="Arial"/>
                <w:b/>
                <w:bCs/>
                <w:sz w:val="14"/>
                <w:szCs w:val="14"/>
              </w:rPr>
            </w:pPr>
            <w:r w:rsidRPr="00476C04">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76C04" w:rsidRDefault="00490B03" w:rsidP="00996F20">
            <w:pPr>
              <w:widowControl w:val="0"/>
              <w:spacing w:line="240" w:lineRule="exact"/>
              <w:jc w:val="center"/>
              <w:rPr>
                <w:rFonts w:cs="Arial"/>
                <w:b/>
                <w:bCs/>
                <w:sz w:val="14"/>
                <w:szCs w:val="14"/>
              </w:rPr>
            </w:pPr>
            <w:proofErr w:type="spellStart"/>
            <w:r w:rsidRPr="00476C04">
              <w:rPr>
                <w:rFonts w:cs="Arial"/>
                <w:b/>
                <w:bCs/>
                <w:sz w:val="14"/>
                <w:szCs w:val="14"/>
              </w:rPr>
              <w:t>Abs</w:t>
            </w:r>
            <w:proofErr w:type="spellEnd"/>
            <w:r w:rsidRPr="00476C04">
              <w:rPr>
                <w:rFonts w:cs="Arial"/>
                <w:b/>
                <w:bCs/>
                <w:sz w:val="14"/>
                <w:szCs w:val="14"/>
              </w:rPr>
              <w:t>.</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76C04" w:rsidRDefault="00153402" w:rsidP="00996F20">
            <w:pPr>
              <w:widowControl w:val="0"/>
              <w:spacing w:line="240" w:lineRule="exact"/>
              <w:jc w:val="center"/>
              <w:rPr>
                <w:rFonts w:cs="Arial"/>
                <w:b/>
                <w:bCs/>
                <w:sz w:val="14"/>
                <w:szCs w:val="14"/>
              </w:rPr>
            </w:pPr>
            <w:r w:rsidRPr="00476C04">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76C04" w:rsidRDefault="00490B03" w:rsidP="00996F20">
            <w:pPr>
              <w:widowControl w:val="0"/>
              <w:spacing w:line="240" w:lineRule="exact"/>
              <w:jc w:val="center"/>
              <w:rPr>
                <w:rFonts w:cs="Arial"/>
                <w:b/>
                <w:bCs/>
                <w:sz w:val="14"/>
                <w:szCs w:val="14"/>
              </w:rPr>
            </w:pPr>
            <w:proofErr w:type="spellStart"/>
            <w:r w:rsidRPr="00476C04">
              <w:rPr>
                <w:rFonts w:cs="Arial"/>
                <w:b/>
                <w:bCs/>
                <w:sz w:val="14"/>
                <w:szCs w:val="14"/>
              </w:rPr>
              <w:t>Abs</w:t>
            </w:r>
            <w:proofErr w:type="spellEnd"/>
            <w:r w:rsidRPr="00476C04">
              <w:rPr>
                <w:rFonts w:cs="Arial"/>
                <w:b/>
                <w:bCs/>
                <w:sz w:val="14"/>
                <w:szCs w:val="14"/>
              </w:rPr>
              <w:t>.</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76C04" w:rsidRDefault="00153402" w:rsidP="00996F20">
            <w:pPr>
              <w:widowControl w:val="0"/>
              <w:spacing w:line="240" w:lineRule="exact"/>
              <w:jc w:val="center"/>
              <w:rPr>
                <w:rFonts w:cs="Arial"/>
                <w:b/>
                <w:bCs/>
                <w:sz w:val="14"/>
                <w:szCs w:val="14"/>
              </w:rPr>
            </w:pPr>
            <w:r w:rsidRPr="00476C04">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76C04" w:rsidRDefault="00490B03" w:rsidP="00996F20">
            <w:pPr>
              <w:widowControl w:val="0"/>
              <w:spacing w:line="240" w:lineRule="exact"/>
              <w:jc w:val="center"/>
              <w:rPr>
                <w:rFonts w:cs="Arial"/>
                <w:b/>
                <w:bCs/>
                <w:sz w:val="14"/>
                <w:szCs w:val="14"/>
              </w:rPr>
            </w:pPr>
            <w:proofErr w:type="spellStart"/>
            <w:r w:rsidRPr="00476C04">
              <w:rPr>
                <w:rFonts w:cs="Arial"/>
                <w:b/>
                <w:bCs/>
                <w:sz w:val="14"/>
                <w:szCs w:val="14"/>
              </w:rPr>
              <w:t>Abs</w:t>
            </w:r>
            <w:proofErr w:type="spellEnd"/>
            <w:r w:rsidRPr="00476C04">
              <w:rPr>
                <w:rFonts w:cs="Arial"/>
                <w:b/>
                <w:bCs/>
                <w:sz w:val="14"/>
                <w:szCs w:val="14"/>
              </w:rPr>
              <w:t>.</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76C04" w:rsidRDefault="00153402" w:rsidP="00996F20">
            <w:pPr>
              <w:widowControl w:val="0"/>
              <w:spacing w:line="240" w:lineRule="exact"/>
              <w:jc w:val="center"/>
              <w:rPr>
                <w:rFonts w:cs="Arial"/>
                <w:b/>
                <w:bCs/>
                <w:sz w:val="14"/>
                <w:szCs w:val="14"/>
              </w:rPr>
            </w:pPr>
            <w:r w:rsidRPr="00476C04">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76C04" w:rsidRDefault="00490B03" w:rsidP="00996F20">
            <w:pPr>
              <w:widowControl w:val="0"/>
              <w:spacing w:line="240" w:lineRule="exact"/>
              <w:jc w:val="center"/>
              <w:rPr>
                <w:rFonts w:cs="Arial"/>
                <w:b/>
                <w:bCs/>
                <w:sz w:val="14"/>
                <w:szCs w:val="14"/>
              </w:rPr>
            </w:pPr>
            <w:proofErr w:type="spellStart"/>
            <w:r w:rsidRPr="00476C04">
              <w:rPr>
                <w:rFonts w:cs="Arial"/>
                <w:b/>
                <w:bCs/>
                <w:sz w:val="14"/>
                <w:szCs w:val="14"/>
              </w:rPr>
              <w:t>Abs</w:t>
            </w:r>
            <w:proofErr w:type="spellEnd"/>
            <w:r w:rsidRPr="00476C04">
              <w:rPr>
                <w:rFonts w:cs="Arial"/>
                <w:b/>
                <w:bCs/>
                <w:sz w:val="14"/>
                <w:szCs w:val="14"/>
              </w:rPr>
              <w:t>.</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476C04" w:rsidRDefault="00153402" w:rsidP="00996F20">
            <w:pPr>
              <w:widowControl w:val="0"/>
              <w:spacing w:line="240" w:lineRule="exact"/>
              <w:jc w:val="center"/>
              <w:rPr>
                <w:rFonts w:cs="Arial"/>
                <w:b/>
                <w:bCs/>
                <w:sz w:val="14"/>
                <w:szCs w:val="14"/>
              </w:rPr>
            </w:pPr>
            <w:r w:rsidRPr="00476C04">
              <w:rPr>
                <w:rFonts w:cs="Arial"/>
                <w:b/>
                <w:bCs/>
                <w:sz w:val="14"/>
                <w:szCs w:val="14"/>
              </w:rPr>
              <w:t>% ver.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76C04" w:rsidRDefault="00490B03" w:rsidP="00996F20">
            <w:pPr>
              <w:widowControl w:val="0"/>
              <w:spacing w:line="240" w:lineRule="exact"/>
              <w:jc w:val="center"/>
              <w:rPr>
                <w:rFonts w:cs="Arial"/>
                <w:b/>
                <w:bCs/>
                <w:sz w:val="14"/>
                <w:szCs w:val="14"/>
              </w:rPr>
            </w:pPr>
            <w:proofErr w:type="spellStart"/>
            <w:r w:rsidRPr="00476C04">
              <w:rPr>
                <w:rFonts w:cs="Arial"/>
                <w:b/>
                <w:bCs/>
                <w:sz w:val="14"/>
                <w:szCs w:val="14"/>
              </w:rPr>
              <w:t>Abs</w:t>
            </w:r>
            <w:proofErr w:type="spellEnd"/>
            <w:r w:rsidRPr="00476C04">
              <w:rPr>
                <w:rFonts w:cs="Arial"/>
                <w:b/>
                <w:bCs/>
                <w:sz w:val="14"/>
                <w:szCs w:val="14"/>
              </w:rPr>
              <w:t>.</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476C04" w:rsidRDefault="00153402" w:rsidP="00996F20">
            <w:pPr>
              <w:widowControl w:val="0"/>
              <w:spacing w:line="240" w:lineRule="exact"/>
              <w:jc w:val="center"/>
              <w:rPr>
                <w:rFonts w:cs="Arial"/>
                <w:b/>
                <w:bCs/>
                <w:sz w:val="14"/>
                <w:szCs w:val="14"/>
              </w:rPr>
            </w:pPr>
            <w:r w:rsidRPr="00476C04">
              <w:rPr>
                <w:rFonts w:cs="Arial"/>
                <w:b/>
                <w:bCs/>
                <w:sz w:val="14"/>
                <w:szCs w:val="14"/>
              </w:rPr>
              <w:t>% ver.</w:t>
            </w:r>
          </w:p>
        </w:tc>
      </w:tr>
      <w:tr w:rsidR="00E731B1" w:rsidRPr="00F5602F" w:rsidTr="00D122F5">
        <w:trPr>
          <w:jc w:val="center"/>
        </w:trPr>
        <w:tc>
          <w:tcPr>
            <w:tcW w:w="0" w:type="auto"/>
            <w:tcBorders>
              <w:top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rPr>
                <w:rFonts w:cs="Arial"/>
                <w:sz w:val="16"/>
                <w:szCs w:val="16"/>
              </w:rPr>
            </w:pPr>
            <w:r w:rsidRPr="00F5602F">
              <w:rPr>
                <w:rFonts w:cs="Arial"/>
                <w:sz w:val="16"/>
                <w:szCs w:val="16"/>
              </w:rPr>
              <w:t>Primario</w:t>
            </w:r>
          </w:p>
        </w:tc>
        <w:tc>
          <w:tcPr>
            <w:tcW w:w="0" w:type="auto"/>
            <w:tcBorders>
              <w:top w:val="single" w:sz="4" w:space="0" w:color="BFBFBF" w:themeColor="background1" w:themeShade="BF"/>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0</w:t>
            </w:r>
          </w:p>
        </w:tc>
        <w:tc>
          <w:tcPr>
            <w:tcW w:w="0" w:type="auto"/>
            <w:tcBorders>
              <w:top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0,0</w:t>
            </w:r>
          </w:p>
        </w:tc>
        <w:tc>
          <w:tcPr>
            <w:tcW w:w="0" w:type="auto"/>
            <w:tcBorders>
              <w:top w:val="single" w:sz="4" w:space="0" w:color="BFBFBF" w:themeColor="background1" w:themeShade="BF"/>
              <w:left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0</w:t>
            </w:r>
          </w:p>
        </w:tc>
        <w:tc>
          <w:tcPr>
            <w:tcW w:w="0" w:type="auto"/>
            <w:tcBorders>
              <w:top w:val="single" w:sz="4" w:space="0" w:color="BFBFBF" w:themeColor="background1" w:themeShade="BF"/>
              <w:right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0,0</w:t>
            </w:r>
          </w:p>
        </w:tc>
        <w:tc>
          <w:tcPr>
            <w:tcW w:w="0" w:type="auto"/>
            <w:tcBorders>
              <w:top w:val="single" w:sz="4" w:space="0" w:color="BFBFBF" w:themeColor="background1" w:themeShade="BF"/>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16</w:t>
            </w:r>
          </w:p>
        </w:tc>
        <w:tc>
          <w:tcPr>
            <w:tcW w:w="0" w:type="auto"/>
            <w:tcBorders>
              <w:top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0,4</w:t>
            </w:r>
          </w:p>
        </w:tc>
        <w:tc>
          <w:tcPr>
            <w:tcW w:w="0" w:type="auto"/>
            <w:tcBorders>
              <w:top w:val="single" w:sz="4" w:space="0" w:color="BFBFBF" w:themeColor="background1" w:themeShade="BF"/>
              <w:left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15</w:t>
            </w:r>
          </w:p>
        </w:tc>
        <w:tc>
          <w:tcPr>
            <w:tcW w:w="0" w:type="auto"/>
            <w:tcBorders>
              <w:top w:val="single" w:sz="4" w:space="0" w:color="BFBFBF" w:themeColor="background1" w:themeShade="BF"/>
              <w:right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0,4</w:t>
            </w:r>
          </w:p>
        </w:tc>
        <w:tc>
          <w:tcPr>
            <w:tcW w:w="0" w:type="auto"/>
            <w:tcBorders>
              <w:top w:val="single" w:sz="4" w:space="0" w:color="BFBFBF" w:themeColor="background1" w:themeShade="BF"/>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16</w:t>
            </w:r>
          </w:p>
        </w:tc>
        <w:tc>
          <w:tcPr>
            <w:tcW w:w="0" w:type="auto"/>
            <w:tcBorders>
              <w:top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0,2</w:t>
            </w:r>
          </w:p>
        </w:tc>
        <w:tc>
          <w:tcPr>
            <w:tcW w:w="0" w:type="auto"/>
            <w:tcBorders>
              <w:top w:val="single" w:sz="4" w:space="0" w:color="BFBFBF" w:themeColor="background1" w:themeShade="BF"/>
              <w:left w:val="single" w:sz="4" w:space="0" w:color="BFBFBF" w:themeColor="background1" w:themeShade="BF"/>
            </w:tcBorders>
            <w:hideMark/>
          </w:tcPr>
          <w:p w:rsidR="00E731B1" w:rsidRPr="00F5602F" w:rsidRDefault="00C64A38" w:rsidP="00996F20">
            <w:pPr>
              <w:widowControl w:val="0"/>
              <w:spacing w:line="240" w:lineRule="exact"/>
              <w:jc w:val="right"/>
              <w:rPr>
                <w:rFonts w:cs="Arial"/>
                <w:sz w:val="16"/>
                <w:szCs w:val="16"/>
              </w:rPr>
            </w:pPr>
            <w:r>
              <w:rPr>
                <w:rFonts w:cs="Arial"/>
                <w:sz w:val="16"/>
                <w:szCs w:val="16"/>
              </w:rPr>
              <w:t>15</w:t>
            </w:r>
          </w:p>
        </w:tc>
        <w:tc>
          <w:tcPr>
            <w:tcW w:w="0" w:type="auto"/>
            <w:tcBorders>
              <w:top w:val="single" w:sz="4" w:space="0" w:color="BFBFBF" w:themeColor="background1" w:themeShade="BF"/>
            </w:tcBorders>
            <w:hideMark/>
          </w:tcPr>
          <w:p w:rsidR="00E731B1" w:rsidRPr="00F5602F" w:rsidRDefault="00C64A38" w:rsidP="00996F20">
            <w:pPr>
              <w:widowControl w:val="0"/>
              <w:spacing w:line="240" w:lineRule="exact"/>
              <w:jc w:val="right"/>
              <w:rPr>
                <w:rFonts w:cs="Arial"/>
                <w:sz w:val="16"/>
                <w:szCs w:val="16"/>
              </w:rPr>
            </w:pPr>
            <w:r>
              <w:rPr>
                <w:rFonts w:cs="Arial"/>
                <w:sz w:val="16"/>
                <w:szCs w:val="16"/>
              </w:rPr>
              <w:t>0,2</w:t>
            </w:r>
          </w:p>
        </w:tc>
      </w:tr>
      <w:tr w:rsidR="00E731B1" w:rsidRPr="00F5602F" w:rsidTr="00D122F5">
        <w:trPr>
          <w:jc w:val="center"/>
        </w:trPr>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rPr>
                <w:rFonts w:cs="Arial"/>
                <w:sz w:val="16"/>
                <w:szCs w:val="16"/>
              </w:rPr>
            </w:pPr>
            <w:r w:rsidRPr="00F5602F">
              <w:rPr>
                <w:rFonts w:cs="Arial"/>
                <w:sz w:val="16"/>
                <w:szCs w:val="16"/>
              </w:rPr>
              <w:t>Industria</w:t>
            </w:r>
          </w:p>
        </w:tc>
        <w:tc>
          <w:tcPr>
            <w:tcW w:w="0" w:type="auto"/>
            <w:tcBorders>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3.033</w:t>
            </w:r>
          </w:p>
        </w:tc>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75,7</w:t>
            </w:r>
          </w:p>
        </w:tc>
        <w:tc>
          <w:tcPr>
            <w:tcW w:w="0" w:type="auto"/>
            <w:tcBorders>
              <w:left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2.400</w:t>
            </w:r>
          </w:p>
        </w:tc>
        <w:tc>
          <w:tcPr>
            <w:tcW w:w="0" w:type="auto"/>
            <w:tcBorders>
              <w:right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75,5</w:t>
            </w:r>
          </w:p>
        </w:tc>
        <w:tc>
          <w:tcPr>
            <w:tcW w:w="0" w:type="auto"/>
            <w:tcBorders>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1.777</w:t>
            </w:r>
          </w:p>
        </w:tc>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46,5</w:t>
            </w:r>
          </w:p>
        </w:tc>
        <w:tc>
          <w:tcPr>
            <w:tcW w:w="0" w:type="auto"/>
            <w:tcBorders>
              <w:left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2.169</w:t>
            </w:r>
          </w:p>
        </w:tc>
        <w:tc>
          <w:tcPr>
            <w:tcW w:w="0" w:type="auto"/>
            <w:tcBorders>
              <w:right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53,1</w:t>
            </w:r>
          </w:p>
        </w:tc>
        <w:tc>
          <w:tcPr>
            <w:tcW w:w="0" w:type="auto"/>
            <w:tcBorders>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4.810</w:t>
            </w:r>
          </w:p>
        </w:tc>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61,4</w:t>
            </w:r>
          </w:p>
        </w:tc>
        <w:tc>
          <w:tcPr>
            <w:tcW w:w="0" w:type="auto"/>
            <w:tcBorders>
              <w:left w:val="single" w:sz="4" w:space="0" w:color="BFBFBF" w:themeColor="background1" w:themeShade="BF"/>
            </w:tcBorders>
            <w:hideMark/>
          </w:tcPr>
          <w:p w:rsidR="00E731B1" w:rsidRPr="00F5602F" w:rsidRDefault="00C64A38" w:rsidP="00996F20">
            <w:pPr>
              <w:widowControl w:val="0"/>
              <w:spacing w:line="240" w:lineRule="exact"/>
              <w:jc w:val="right"/>
              <w:rPr>
                <w:rFonts w:cs="Arial"/>
                <w:sz w:val="16"/>
                <w:szCs w:val="16"/>
              </w:rPr>
            </w:pPr>
            <w:r>
              <w:rPr>
                <w:rFonts w:cs="Arial"/>
                <w:sz w:val="16"/>
                <w:szCs w:val="16"/>
              </w:rPr>
              <w:t>4.569</w:t>
            </w:r>
          </w:p>
        </w:tc>
        <w:tc>
          <w:tcPr>
            <w:tcW w:w="0" w:type="auto"/>
            <w:hideMark/>
          </w:tcPr>
          <w:p w:rsidR="00E731B1" w:rsidRPr="00F5602F" w:rsidRDefault="00C64A38" w:rsidP="00996F20">
            <w:pPr>
              <w:widowControl w:val="0"/>
              <w:spacing w:line="240" w:lineRule="exact"/>
              <w:jc w:val="right"/>
              <w:rPr>
                <w:rFonts w:cs="Arial"/>
                <w:sz w:val="16"/>
                <w:szCs w:val="16"/>
              </w:rPr>
            </w:pPr>
            <w:r>
              <w:rPr>
                <w:rFonts w:cs="Arial"/>
                <w:sz w:val="16"/>
                <w:szCs w:val="16"/>
              </w:rPr>
              <w:t>62,9</w:t>
            </w:r>
          </w:p>
        </w:tc>
      </w:tr>
      <w:tr w:rsidR="00E731B1" w:rsidRPr="00F5602F" w:rsidTr="00D122F5">
        <w:trPr>
          <w:jc w:val="center"/>
        </w:trPr>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rPr>
                <w:rFonts w:cs="Arial"/>
                <w:sz w:val="16"/>
                <w:szCs w:val="16"/>
              </w:rPr>
            </w:pPr>
            <w:r w:rsidRPr="00F5602F">
              <w:rPr>
                <w:rFonts w:cs="Arial"/>
                <w:sz w:val="16"/>
                <w:szCs w:val="16"/>
              </w:rPr>
              <w:t>Construcción</w:t>
            </w:r>
          </w:p>
        </w:tc>
        <w:tc>
          <w:tcPr>
            <w:tcW w:w="0" w:type="auto"/>
            <w:tcBorders>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204</w:t>
            </w:r>
          </w:p>
        </w:tc>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5,1</w:t>
            </w:r>
          </w:p>
        </w:tc>
        <w:tc>
          <w:tcPr>
            <w:tcW w:w="0" w:type="auto"/>
            <w:tcBorders>
              <w:left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183</w:t>
            </w:r>
          </w:p>
        </w:tc>
        <w:tc>
          <w:tcPr>
            <w:tcW w:w="0" w:type="auto"/>
            <w:tcBorders>
              <w:right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5,8</w:t>
            </w:r>
          </w:p>
        </w:tc>
        <w:tc>
          <w:tcPr>
            <w:tcW w:w="0" w:type="auto"/>
            <w:tcBorders>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480,06</w:t>
            </w:r>
          </w:p>
        </w:tc>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12,6</w:t>
            </w:r>
          </w:p>
        </w:tc>
        <w:tc>
          <w:tcPr>
            <w:tcW w:w="0" w:type="auto"/>
            <w:tcBorders>
              <w:left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401</w:t>
            </w:r>
          </w:p>
        </w:tc>
        <w:tc>
          <w:tcPr>
            <w:tcW w:w="0" w:type="auto"/>
            <w:tcBorders>
              <w:right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9,8</w:t>
            </w:r>
          </w:p>
        </w:tc>
        <w:tc>
          <w:tcPr>
            <w:tcW w:w="0" w:type="auto"/>
            <w:tcBorders>
              <w:lef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684,06</w:t>
            </w:r>
          </w:p>
        </w:tc>
        <w:tc>
          <w:tcPr>
            <w:tcW w:w="0" w:type="auto"/>
            <w:tcBorders>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8,7</w:t>
            </w:r>
          </w:p>
        </w:tc>
        <w:tc>
          <w:tcPr>
            <w:tcW w:w="0" w:type="auto"/>
            <w:tcBorders>
              <w:left w:val="single" w:sz="4" w:space="0" w:color="BFBFBF" w:themeColor="background1" w:themeShade="BF"/>
            </w:tcBorders>
            <w:hideMark/>
          </w:tcPr>
          <w:p w:rsidR="00E731B1" w:rsidRPr="00F5602F" w:rsidRDefault="00C64A38" w:rsidP="00996F20">
            <w:pPr>
              <w:widowControl w:val="0"/>
              <w:spacing w:line="240" w:lineRule="exact"/>
              <w:jc w:val="right"/>
              <w:rPr>
                <w:rFonts w:cs="Arial"/>
                <w:sz w:val="16"/>
                <w:szCs w:val="16"/>
              </w:rPr>
            </w:pPr>
            <w:r>
              <w:rPr>
                <w:rFonts w:cs="Arial"/>
                <w:sz w:val="16"/>
                <w:szCs w:val="16"/>
              </w:rPr>
              <w:t>584</w:t>
            </w:r>
          </w:p>
        </w:tc>
        <w:tc>
          <w:tcPr>
            <w:tcW w:w="0" w:type="auto"/>
            <w:hideMark/>
          </w:tcPr>
          <w:p w:rsidR="00E731B1" w:rsidRPr="00F5602F" w:rsidRDefault="00C64A38" w:rsidP="00996F20">
            <w:pPr>
              <w:widowControl w:val="0"/>
              <w:spacing w:line="240" w:lineRule="exact"/>
              <w:jc w:val="right"/>
              <w:rPr>
                <w:rFonts w:cs="Arial"/>
                <w:sz w:val="16"/>
                <w:szCs w:val="16"/>
              </w:rPr>
            </w:pPr>
            <w:r>
              <w:rPr>
                <w:rFonts w:cs="Arial"/>
                <w:sz w:val="16"/>
                <w:szCs w:val="16"/>
              </w:rPr>
              <w:t>8,1</w:t>
            </w:r>
          </w:p>
        </w:tc>
      </w:tr>
      <w:tr w:rsidR="00E731B1" w:rsidRPr="00F5602F" w:rsidTr="00D122F5">
        <w:trPr>
          <w:jc w:val="center"/>
        </w:trPr>
        <w:tc>
          <w:tcPr>
            <w:tcW w:w="0" w:type="auto"/>
            <w:tcBorders>
              <w:bottom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rPr>
                <w:rFonts w:cs="Arial"/>
                <w:sz w:val="16"/>
                <w:szCs w:val="16"/>
              </w:rPr>
            </w:pPr>
            <w:r w:rsidRPr="00F5602F">
              <w:rPr>
                <w:rFonts w:cs="Arial"/>
                <w:sz w:val="16"/>
                <w:szCs w:val="16"/>
              </w:rPr>
              <w:t>Servicios</w:t>
            </w:r>
          </w:p>
        </w:tc>
        <w:tc>
          <w:tcPr>
            <w:tcW w:w="0" w:type="auto"/>
            <w:tcBorders>
              <w:left w:val="single" w:sz="4" w:space="0" w:color="BFBFBF" w:themeColor="background1" w:themeShade="BF"/>
              <w:bottom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769</w:t>
            </w:r>
          </w:p>
        </w:tc>
        <w:tc>
          <w:tcPr>
            <w:tcW w:w="0" w:type="auto"/>
            <w:tcBorders>
              <w:bottom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19,2</w:t>
            </w:r>
          </w:p>
        </w:tc>
        <w:tc>
          <w:tcPr>
            <w:tcW w:w="0" w:type="auto"/>
            <w:tcBorders>
              <w:left w:val="single" w:sz="4" w:space="0" w:color="BFBFBF" w:themeColor="background1" w:themeShade="BF"/>
              <w:bottom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594</w:t>
            </w:r>
          </w:p>
        </w:tc>
        <w:tc>
          <w:tcPr>
            <w:tcW w:w="0" w:type="auto"/>
            <w:tcBorders>
              <w:bottom w:val="single" w:sz="4" w:space="0" w:color="BFBFBF" w:themeColor="background1" w:themeShade="BF"/>
              <w:right w:val="single" w:sz="4" w:space="0" w:color="BFBFBF" w:themeColor="background1" w:themeShade="BF"/>
            </w:tcBorders>
            <w:vAlign w:val="bottom"/>
            <w:hideMark/>
          </w:tcPr>
          <w:p w:rsidR="00E731B1" w:rsidRPr="009A6388" w:rsidRDefault="00E731B1" w:rsidP="00996F20">
            <w:pPr>
              <w:widowControl w:val="0"/>
              <w:spacing w:line="240" w:lineRule="exact"/>
              <w:jc w:val="right"/>
              <w:rPr>
                <w:rFonts w:cs="Arial"/>
                <w:sz w:val="16"/>
                <w:szCs w:val="16"/>
              </w:rPr>
            </w:pPr>
            <w:r w:rsidRPr="009A6388">
              <w:rPr>
                <w:rFonts w:cs="Arial"/>
                <w:sz w:val="16"/>
                <w:szCs w:val="16"/>
              </w:rPr>
              <w:t>18,7</w:t>
            </w:r>
          </w:p>
        </w:tc>
        <w:tc>
          <w:tcPr>
            <w:tcW w:w="0" w:type="auto"/>
            <w:tcBorders>
              <w:left w:val="single" w:sz="4" w:space="0" w:color="BFBFBF" w:themeColor="background1" w:themeShade="BF"/>
              <w:bottom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1.549</w:t>
            </w:r>
          </w:p>
        </w:tc>
        <w:tc>
          <w:tcPr>
            <w:tcW w:w="0" w:type="auto"/>
            <w:tcBorders>
              <w:bottom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40,5</w:t>
            </w:r>
          </w:p>
        </w:tc>
        <w:tc>
          <w:tcPr>
            <w:tcW w:w="0" w:type="auto"/>
            <w:tcBorders>
              <w:left w:val="single" w:sz="4" w:space="0" w:color="BFBFBF" w:themeColor="background1" w:themeShade="BF"/>
              <w:bottom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1.497</w:t>
            </w:r>
          </w:p>
        </w:tc>
        <w:tc>
          <w:tcPr>
            <w:tcW w:w="0" w:type="auto"/>
            <w:tcBorders>
              <w:bottom w:val="single" w:sz="4" w:space="0" w:color="BFBFBF" w:themeColor="background1" w:themeShade="BF"/>
              <w:right w:val="single" w:sz="4" w:space="0" w:color="BFBFBF" w:themeColor="background1" w:themeShade="BF"/>
            </w:tcBorders>
            <w:vAlign w:val="bottom"/>
            <w:hideMark/>
          </w:tcPr>
          <w:p w:rsidR="00E731B1" w:rsidRDefault="00E731B1" w:rsidP="00996F20">
            <w:pPr>
              <w:widowControl w:val="0"/>
              <w:spacing w:line="240" w:lineRule="exact"/>
              <w:jc w:val="right"/>
              <w:rPr>
                <w:rFonts w:ascii="Calibri" w:hAnsi="Calibri"/>
                <w:color w:val="000000"/>
                <w:sz w:val="18"/>
                <w:szCs w:val="18"/>
              </w:rPr>
            </w:pPr>
            <w:r>
              <w:rPr>
                <w:rFonts w:ascii="Calibri" w:hAnsi="Calibri"/>
                <w:color w:val="000000"/>
                <w:sz w:val="18"/>
                <w:szCs w:val="18"/>
              </w:rPr>
              <w:t>36,7</w:t>
            </w:r>
          </w:p>
        </w:tc>
        <w:tc>
          <w:tcPr>
            <w:tcW w:w="0" w:type="auto"/>
            <w:tcBorders>
              <w:left w:val="single" w:sz="4" w:space="0" w:color="BFBFBF" w:themeColor="background1" w:themeShade="BF"/>
              <w:bottom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sidRPr="00F5602F">
              <w:rPr>
                <w:rFonts w:cs="Arial"/>
                <w:sz w:val="16"/>
                <w:szCs w:val="16"/>
              </w:rPr>
              <w:t>2.319</w:t>
            </w:r>
          </w:p>
        </w:tc>
        <w:tc>
          <w:tcPr>
            <w:tcW w:w="0" w:type="auto"/>
            <w:tcBorders>
              <w:bottom w:val="single" w:sz="4" w:space="0" w:color="BFBFBF" w:themeColor="background1" w:themeShade="BF"/>
              <w:right w:val="single" w:sz="4" w:space="0" w:color="BFBFBF" w:themeColor="background1" w:themeShade="BF"/>
            </w:tcBorders>
            <w:hideMark/>
          </w:tcPr>
          <w:p w:rsidR="00E731B1" w:rsidRPr="00F5602F" w:rsidRDefault="00E731B1" w:rsidP="00996F20">
            <w:pPr>
              <w:widowControl w:val="0"/>
              <w:spacing w:line="240" w:lineRule="exact"/>
              <w:jc w:val="right"/>
              <w:rPr>
                <w:rFonts w:cs="Arial"/>
                <w:sz w:val="16"/>
                <w:szCs w:val="16"/>
              </w:rPr>
            </w:pPr>
            <w:r>
              <w:rPr>
                <w:rFonts w:cs="Arial"/>
                <w:sz w:val="16"/>
                <w:szCs w:val="16"/>
              </w:rPr>
              <w:t>29,6</w:t>
            </w:r>
          </w:p>
        </w:tc>
        <w:tc>
          <w:tcPr>
            <w:tcW w:w="0" w:type="auto"/>
            <w:tcBorders>
              <w:left w:val="single" w:sz="4" w:space="0" w:color="BFBFBF" w:themeColor="background1" w:themeShade="BF"/>
              <w:bottom w:val="single" w:sz="4" w:space="0" w:color="BFBFBF" w:themeColor="background1" w:themeShade="BF"/>
            </w:tcBorders>
            <w:hideMark/>
          </w:tcPr>
          <w:p w:rsidR="00E731B1" w:rsidRPr="00F5602F" w:rsidRDefault="00C64A38" w:rsidP="00996F20">
            <w:pPr>
              <w:widowControl w:val="0"/>
              <w:spacing w:line="240" w:lineRule="exact"/>
              <w:jc w:val="right"/>
              <w:rPr>
                <w:rFonts w:cs="Arial"/>
                <w:sz w:val="16"/>
                <w:szCs w:val="16"/>
              </w:rPr>
            </w:pPr>
            <w:r>
              <w:rPr>
                <w:rFonts w:cs="Arial"/>
                <w:sz w:val="16"/>
                <w:szCs w:val="16"/>
              </w:rPr>
              <w:t>2.091</w:t>
            </w:r>
          </w:p>
        </w:tc>
        <w:tc>
          <w:tcPr>
            <w:tcW w:w="0" w:type="auto"/>
            <w:tcBorders>
              <w:bottom w:val="single" w:sz="4" w:space="0" w:color="BFBFBF" w:themeColor="background1" w:themeShade="BF"/>
            </w:tcBorders>
            <w:hideMark/>
          </w:tcPr>
          <w:p w:rsidR="00E731B1" w:rsidRPr="00F5602F" w:rsidRDefault="00C64A38" w:rsidP="00996F20">
            <w:pPr>
              <w:widowControl w:val="0"/>
              <w:spacing w:line="240" w:lineRule="exact"/>
              <w:jc w:val="right"/>
              <w:rPr>
                <w:rFonts w:cs="Arial"/>
                <w:sz w:val="16"/>
                <w:szCs w:val="16"/>
              </w:rPr>
            </w:pPr>
            <w:r>
              <w:rPr>
                <w:rFonts w:cs="Arial"/>
                <w:sz w:val="16"/>
                <w:szCs w:val="16"/>
              </w:rPr>
              <w:t>28,8</w:t>
            </w:r>
          </w:p>
        </w:tc>
      </w:tr>
      <w:tr w:rsidR="009A6388" w:rsidRPr="00F5602F" w:rsidTr="00D122F5">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A6388" w:rsidRPr="00F5602F" w:rsidRDefault="009A6388" w:rsidP="00996F20">
            <w:pPr>
              <w:widowControl w:val="0"/>
              <w:spacing w:line="240" w:lineRule="exact"/>
              <w:rPr>
                <w:rFonts w:cs="Arial"/>
                <w:b/>
                <w:bCs/>
                <w:sz w:val="16"/>
                <w:szCs w:val="16"/>
              </w:rPr>
            </w:pPr>
            <w:r w:rsidRPr="00F5602F">
              <w:rPr>
                <w:rFonts w:cs="Arial"/>
                <w:b/>
                <w:bCs/>
                <w:sz w:val="16"/>
                <w:szCs w:val="16"/>
              </w:rPr>
              <w:t>TOTAL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sidRPr="00F5602F">
              <w:rPr>
                <w:rFonts w:cs="Arial"/>
                <w:b/>
                <w:bCs/>
                <w:sz w:val="16"/>
                <w:szCs w:val="16"/>
              </w:rPr>
              <w:t>4.005</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sidRPr="00F5602F">
              <w:rPr>
                <w:rFonts w:cs="Arial"/>
                <w:b/>
                <w:bCs/>
                <w:sz w:val="16"/>
                <w:szCs w:val="16"/>
              </w:rPr>
              <w:t>100</w:t>
            </w:r>
            <w:r w:rsidR="00FA2C49">
              <w:rPr>
                <w:rFonts w:cs="Arial"/>
                <w:b/>
                <w:bCs/>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hideMark/>
          </w:tcPr>
          <w:p w:rsidR="009A6388" w:rsidRDefault="009A6388" w:rsidP="00996F20">
            <w:pPr>
              <w:widowControl w:val="0"/>
              <w:spacing w:line="240" w:lineRule="exact"/>
              <w:jc w:val="right"/>
              <w:rPr>
                <w:rFonts w:ascii="Calibri" w:hAnsi="Calibri"/>
                <w:color w:val="000000"/>
                <w:sz w:val="18"/>
                <w:szCs w:val="18"/>
              </w:rPr>
            </w:pPr>
            <w:r w:rsidRPr="009A6388">
              <w:rPr>
                <w:rFonts w:cs="Arial"/>
                <w:b/>
                <w:bCs/>
                <w:sz w:val="16"/>
                <w:szCs w:val="16"/>
              </w:rPr>
              <w:t>3.177</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sidRPr="00F5602F">
              <w:rPr>
                <w:rFonts w:cs="Arial"/>
                <w:b/>
                <w:bCs/>
                <w:sz w:val="16"/>
                <w:szCs w:val="16"/>
              </w:rPr>
              <w:t>100</w:t>
            </w:r>
            <w:r w:rsidR="00FA2C49">
              <w:rPr>
                <w:rFonts w:cs="Arial"/>
                <w:b/>
                <w:bCs/>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sidRPr="00F5602F">
              <w:rPr>
                <w:rFonts w:cs="Calibri"/>
                <w:b/>
                <w:bCs/>
                <w:sz w:val="16"/>
                <w:szCs w:val="16"/>
              </w:rPr>
              <w:t>3.823</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Pr>
                <w:rFonts w:cs="Arial"/>
                <w:b/>
                <w:bCs/>
                <w:sz w:val="16"/>
                <w:szCs w:val="16"/>
              </w:rPr>
              <w:t>100,0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9A6388" w:rsidRPr="00F5602F" w:rsidRDefault="0015318F" w:rsidP="00996F20">
            <w:pPr>
              <w:widowControl w:val="0"/>
              <w:spacing w:line="240" w:lineRule="exact"/>
              <w:jc w:val="right"/>
              <w:rPr>
                <w:rFonts w:cs="Arial"/>
                <w:b/>
                <w:bCs/>
                <w:sz w:val="16"/>
                <w:szCs w:val="16"/>
              </w:rPr>
            </w:pPr>
            <w:r>
              <w:rPr>
                <w:rFonts w:cs="Arial"/>
                <w:b/>
                <w:bCs/>
                <w:sz w:val="16"/>
                <w:szCs w:val="16"/>
              </w:rPr>
              <w:t>4.082</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Pr>
                <w:rFonts w:cs="Arial"/>
                <w:b/>
                <w:bCs/>
                <w:sz w:val="16"/>
                <w:szCs w:val="16"/>
              </w:rPr>
              <w:t>100,0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sidRPr="00F5602F">
              <w:rPr>
                <w:rFonts w:cs="Calibri"/>
                <w:b/>
                <w:bCs/>
                <w:sz w:val="16"/>
                <w:szCs w:val="16"/>
              </w:rPr>
              <w:t>7.828</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sidRPr="00F5602F">
              <w:rPr>
                <w:rFonts w:cs="Arial"/>
                <w:b/>
                <w:bCs/>
                <w:sz w:val="16"/>
                <w:szCs w:val="16"/>
              </w:rPr>
              <w:t>100</w:t>
            </w:r>
            <w:r w:rsidR="00FA2C49">
              <w:rPr>
                <w:rFonts w:cs="Arial"/>
                <w:b/>
                <w:bCs/>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9A6388" w:rsidRPr="00F5602F" w:rsidRDefault="00C64A38" w:rsidP="00996F20">
            <w:pPr>
              <w:widowControl w:val="0"/>
              <w:spacing w:line="240" w:lineRule="exact"/>
              <w:jc w:val="right"/>
              <w:rPr>
                <w:rFonts w:cs="Arial"/>
                <w:b/>
                <w:bCs/>
                <w:sz w:val="16"/>
                <w:szCs w:val="16"/>
              </w:rPr>
            </w:pPr>
            <w:r>
              <w:rPr>
                <w:rFonts w:cs="Arial"/>
                <w:b/>
                <w:bCs/>
                <w:sz w:val="16"/>
                <w:szCs w:val="16"/>
              </w:rPr>
              <w:t>7.259</w:t>
            </w:r>
          </w:p>
        </w:tc>
        <w:tc>
          <w:tcPr>
            <w:tcW w:w="0" w:type="auto"/>
            <w:tcBorders>
              <w:top w:val="single" w:sz="4" w:space="0" w:color="BFBFBF" w:themeColor="background1" w:themeShade="BF"/>
              <w:bottom w:val="single" w:sz="4" w:space="0" w:color="BFBFBF" w:themeColor="background1" w:themeShade="BF"/>
            </w:tcBorders>
            <w:hideMark/>
          </w:tcPr>
          <w:p w:rsidR="009A6388" w:rsidRPr="00F5602F" w:rsidRDefault="009A6388" w:rsidP="00996F20">
            <w:pPr>
              <w:widowControl w:val="0"/>
              <w:spacing w:line="240" w:lineRule="exact"/>
              <w:jc w:val="right"/>
              <w:rPr>
                <w:rFonts w:cs="Arial"/>
                <w:b/>
                <w:bCs/>
                <w:sz w:val="16"/>
                <w:szCs w:val="16"/>
              </w:rPr>
            </w:pPr>
            <w:r w:rsidRPr="00F5602F">
              <w:rPr>
                <w:rFonts w:cs="Arial"/>
                <w:b/>
                <w:bCs/>
                <w:sz w:val="16"/>
                <w:szCs w:val="16"/>
              </w:rPr>
              <w:t>100</w:t>
            </w:r>
            <w:r w:rsidR="00FA2C49">
              <w:rPr>
                <w:rFonts w:cs="Arial"/>
                <w:b/>
                <w:bCs/>
                <w:sz w:val="16"/>
                <w:szCs w:val="16"/>
              </w:rPr>
              <w:t>,0</w:t>
            </w:r>
          </w:p>
        </w:tc>
      </w:tr>
    </w:tbl>
    <w:p w:rsidR="00665097" w:rsidRDefault="00665097" w:rsidP="00BB313D">
      <w:pPr>
        <w:widowControl w:val="0"/>
        <w:ind w:left="709" w:hanging="709"/>
        <w:rPr>
          <w:rFonts w:cs="Arial"/>
          <w:highlight w:val="red"/>
        </w:rPr>
      </w:pPr>
    </w:p>
    <w:p w:rsidR="00665097" w:rsidRDefault="00665097" w:rsidP="00BB313D">
      <w:pPr>
        <w:widowControl w:val="0"/>
        <w:ind w:left="709" w:hanging="709"/>
        <w:rPr>
          <w:rFonts w:cs="Arial"/>
          <w:highlight w:val="red"/>
        </w:rPr>
      </w:pPr>
    </w:p>
    <w:p w:rsidR="00665097" w:rsidRPr="007F1968" w:rsidRDefault="00665097" w:rsidP="00BB313D">
      <w:pPr>
        <w:pStyle w:val="Ttulo1"/>
        <w:keepNext w:val="0"/>
        <w:ind w:left="708" w:hanging="708"/>
        <w:rPr>
          <w:color w:val="1F497D" w:themeColor="text2"/>
          <w:sz w:val="22"/>
          <w:szCs w:val="22"/>
        </w:rPr>
      </w:pPr>
      <w:bookmarkStart w:id="127" w:name="_Toc391999516"/>
      <w:bookmarkStart w:id="128" w:name="_Toc450118909"/>
      <w:r w:rsidRPr="007F1968">
        <w:rPr>
          <w:color w:val="1F497D" w:themeColor="text2"/>
          <w:sz w:val="22"/>
          <w:szCs w:val="22"/>
        </w:rPr>
        <w:t>2.2.-</w:t>
      </w:r>
      <w:r w:rsidRPr="007F1968">
        <w:rPr>
          <w:color w:val="1F497D" w:themeColor="text2"/>
          <w:sz w:val="22"/>
          <w:szCs w:val="22"/>
        </w:rPr>
        <w:tab/>
        <w:t>VAB Y PRODUCTIVIDAD APARENTE</w:t>
      </w:r>
      <w:bookmarkEnd w:id="127"/>
      <w:bookmarkEnd w:id="128"/>
    </w:p>
    <w:p w:rsidR="004560E4" w:rsidRDefault="004560E4" w:rsidP="00BB313D">
      <w:pPr>
        <w:widowControl w:val="0"/>
        <w:rPr>
          <w:rFonts w:cs="Arial"/>
        </w:rPr>
      </w:pPr>
    </w:p>
    <w:p w:rsidR="00665097" w:rsidRPr="00300BEC" w:rsidRDefault="00DE1512" w:rsidP="00BB313D">
      <w:pPr>
        <w:widowControl w:val="0"/>
        <w:spacing w:line="240" w:lineRule="auto"/>
        <w:jc w:val="center"/>
        <w:rPr>
          <w:rFonts w:cs="Arial"/>
          <w:b/>
          <w:color w:val="1F497D" w:themeColor="text2"/>
          <w:sz w:val="18"/>
          <w:szCs w:val="18"/>
        </w:rPr>
      </w:pPr>
      <w:bookmarkStart w:id="129" w:name="_Toc391999605"/>
      <w:bookmarkStart w:id="130" w:name="_Toc450119488"/>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65097">
        <w:rPr>
          <w:rFonts w:cs="Arial"/>
          <w:b/>
          <w:color w:val="1F497D" w:themeColor="text2"/>
          <w:sz w:val="18"/>
          <w:szCs w:val="18"/>
        </w:rPr>
        <w:t xml:space="preserve"> </w:t>
      </w:r>
      <w:r w:rsidR="00665097" w:rsidRPr="00300BEC">
        <w:rPr>
          <w:rFonts w:cs="Arial"/>
          <w:b/>
          <w:color w:val="1F497D" w:themeColor="text2"/>
          <w:sz w:val="18"/>
          <w:szCs w:val="18"/>
        </w:rPr>
        <w:t>DISTRIBUCIÓN POR FORMA JURÍDICA DEL VALOR AÑADIDO BRUTO (VAB) GENERADO POR LA ECONOMÍA SOC</w:t>
      </w:r>
      <w:r w:rsidR="00C64A38">
        <w:rPr>
          <w:rFonts w:cs="Arial"/>
          <w:b/>
          <w:color w:val="1F497D" w:themeColor="text2"/>
          <w:sz w:val="18"/>
          <w:szCs w:val="18"/>
        </w:rPr>
        <w:t>IAL. REFERENCIA COMPARATIVA 2012 y 2014</w:t>
      </w:r>
      <w:r w:rsidR="00665097" w:rsidRPr="00300BEC">
        <w:rPr>
          <w:rFonts w:cs="Arial"/>
          <w:b/>
          <w:color w:val="1F497D" w:themeColor="text2"/>
          <w:sz w:val="18"/>
          <w:szCs w:val="18"/>
        </w:rPr>
        <w:t>. (</w:t>
      </w:r>
      <w:proofErr w:type="gramStart"/>
      <w:r w:rsidR="00665097" w:rsidRPr="00300BEC">
        <w:rPr>
          <w:rFonts w:cs="Arial"/>
          <w:b/>
          <w:color w:val="1F497D" w:themeColor="text2"/>
          <w:sz w:val="18"/>
          <w:szCs w:val="18"/>
        </w:rPr>
        <w:t>c</w:t>
      </w:r>
      <w:r w:rsidR="00476C04">
        <w:rPr>
          <w:rFonts w:cs="Arial"/>
          <w:b/>
          <w:color w:val="1F497D" w:themeColor="text2"/>
          <w:sz w:val="18"/>
          <w:szCs w:val="18"/>
        </w:rPr>
        <w:t>ifras</w:t>
      </w:r>
      <w:proofErr w:type="gramEnd"/>
      <w:r w:rsidR="00476C04">
        <w:rPr>
          <w:rFonts w:cs="Arial"/>
          <w:b/>
          <w:color w:val="1F497D" w:themeColor="text2"/>
          <w:sz w:val="18"/>
          <w:szCs w:val="18"/>
        </w:rPr>
        <w:t xml:space="preserve"> absolutas</w:t>
      </w:r>
      <w:r w:rsidR="00665097" w:rsidRPr="00300BEC">
        <w:rPr>
          <w:rFonts w:cs="Arial"/>
          <w:b/>
          <w:color w:val="1F497D" w:themeColor="text2"/>
          <w:sz w:val="18"/>
          <w:szCs w:val="18"/>
        </w:rPr>
        <w:t xml:space="preserve"> miles de Euros., % v</w:t>
      </w:r>
      <w:r w:rsidR="00490B03">
        <w:rPr>
          <w:rFonts w:cs="Arial"/>
          <w:b/>
          <w:color w:val="1F497D" w:themeColor="text2"/>
          <w:sz w:val="18"/>
          <w:szCs w:val="18"/>
        </w:rPr>
        <w:t>er</w:t>
      </w:r>
      <w:r w:rsidR="00476C04">
        <w:rPr>
          <w:rFonts w:cs="Arial"/>
          <w:b/>
          <w:color w:val="1F497D" w:themeColor="text2"/>
          <w:sz w:val="18"/>
          <w:szCs w:val="18"/>
        </w:rPr>
        <w:t>ticales</w:t>
      </w:r>
      <w:r w:rsidR="00665097" w:rsidRPr="00300BEC">
        <w:rPr>
          <w:rFonts w:cs="Arial"/>
          <w:b/>
          <w:color w:val="1F497D" w:themeColor="text2"/>
          <w:sz w:val="18"/>
          <w:szCs w:val="18"/>
        </w:rPr>
        <w:t>) (Precios Corrientes)</w:t>
      </w:r>
      <w:bookmarkEnd w:id="129"/>
      <w:bookmarkEnd w:id="130"/>
    </w:p>
    <w:tbl>
      <w:tblPr>
        <w:tblW w:w="9940" w:type="dxa"/>
        <w:jc w:val="center"/>
        <w:tblLook w:val="04A0" w:firstRow="1" w:lastRow="0" w:firstColumn="1" w:lastColumn="0" w:noHBand="0" w:noVBand="1"/>
      </w:tblPr>
      <w:tblGrid>
        <w:gridCol w:w="2417"/>
        <w:gridCol w:w="2046"/>
        <w:gridCol w:w="1584"/>
        <w:gridCol w:w="2046"/>
        <w:gridCol w:w="1847"/>
      </w:tblGrid>
      <w:tr w:rsidR="00665097" w:rsidRPr="00F04D4B" w:rsidTr="00D122F5">
        <w:trPr>
          <w:jc w:val="center"/>
        </w:trPr>
        <w:tc>
          <w:tcPr>
            <w:tcW w:w="1216"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1E5608">
            <w:pPr>
              <w:widowControl w:val="0"/>
              <w:spacing w:line="240" w:lineRule="exact"/>
              <w:jc w:val="center"/>
              <w:rPr>
                <w:rFonts w:cs="Arial"/>
                <w:b/>
                <w:bCs/>
                <w:sz w:val="16"/>
                <w:szCs w:val="16"/>
              </w:rPr>
            </w:pPr>
          </w:p>
        </w:tc>
        <w:tc>
          <w:tcPr>
            <w:tcW w:w="182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1E5608">
            <w:pPr>
              <w:widowControl w:val="0"/>
              <w:spacing w:line="240" w:lineRule="exact"/>
              <w:jc w:val="center"/>
              <w:rPr>
                <w:rFonts w:cs="Arial"/>
                <w:b/>
                <w:bCs/>
                <w:sz w:val="16"/>
                <w:szCs w:val="16"/>
              </w:rPr>
            </w:pPr>
            <w:r w:rsidRPr="00F04D4B">
              <w:rPr>
                <w:rFonts w:cs="Arial"/>
                <w:b/>
                <w:bCs/>
                <w:sz w:val="16"/>
                <w:szCs w:val="16"/>
                <w:lang w:val="pt-BR"/>
              </w:rPr>
              <w:t>201</w:t>
            </w:r>
            <w:r w:rsidR="00C64A38">
              <w:rPr>
                <w:rFonts w:cs="Arial"/>
                <w:b/>
                <w:bCs/>
                <w:sz w:val="16"/>
                <w:szCs w:val="16"/>
                <w:lang w:val="pt-BR"/>
              </w:rPr>
              <w:t>2</w:t>
            </w:r>
          </w:p>
        </w:tc>
        <w:tc>
          <w:tcPr>
            <w:tcW w:w="19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C64A38" w:rsidP="001E5608">
            <w:pPr>
              <w:widowControl w:val="0"/>
              <w:spacing w:line="240" w:lineRule="exact"/>
              <w:jc w:val="center"/>
              <w:rPr>
                <w:rFonts w:cs="Arial"/>
                <w:b/>
                <w:bCs/>
                <w:sz w:val="16"/>
                <w:szCs w:val="16"/>
              </w:rPr>
            </w:pPr>
            <w:r>
              <w:rPr>
                <w:rFonts w:cs="Arial"/>
                <w:b/>
                <w:bCs/>
                <w:sz w:val="16"/>
                <w:szCs w:val="16"/>
                <w:lang w:val="pt-BR"/>
              </w:rPr>
              <w:t>2014</w:t>
            </w:r>
          </w:p>
        </w:tc>
      </w:tr>
      <w:tr w:rsidR="00665097" w:rsidRPr="00F04D4B" w:rsidTr="00D122F5">
        <w:trPr>
          <w:jc w:val="center"/>
        </w:trPr>
        <w:tc>
          <w:tcPr>
            <w:tcW w:w="1216"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1E5608">
            <w:pPr>
              <w:widowControl w:val="0"/>
              <w:spacing w:line="240" w:lineRule="exact"/>
              <w:jc w:val="center"/>
              <w:rPr>
                <w:rFonts w:cs="Arial"/>
                <w:sz w:val="16"/>
                <w:szCs w:val="16"/>
              </w:rPr>
            </w:pP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490B03" w:rsidP="001E5608">
            <w:pPr>
              <w:widowControl w:val="0"/>
              <w:spacing w:line="240" w:lineRule="exact"/>
              <w:jc w:val="center"/>
              <w:rPr>
                <w:rFonts w:cs="Arial"/>
                <w:b/>
                <w:bCs/>
                <w:sz w:val="16"/>
                <w:szCs w:val="16"/>
              </w:rPr>
            </w:pPr>
            <w:r>
              <w:rPr>
                <w:rFonts w:cs="Arial"/>
                <w:b/>
                <w:bCs/>
                <w:sz w:val="16"/>
                <w:szCs w:val="16"/>
                <w:lang w:val="pt-BR"/>
              </w:rPr>
              <w:t>Abs.</w:t>
            </w:r>
          </w:p>
        </w:tc>
        <w:tc>
          <w:tcPr>
            <w:tcW w:w="79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153402" w:rsidP="001E5608">
            <w:pPr>
              <w:widowControl w:val="0"/>
              <w:spacing w:line="240" w:lineRule="exact"/>
              <w:jc w:val="center"/>
              <w:rPr>
                <w:rFonts w:cs="Arial"/>
                <w:b/>
                <w:bCs/>
                <w:sz w:val="16"/>
                <w:szCs w:val="16"/>
              </w:rPr>
            </w:pPr>
            <w:r>
              <w:rPr>
                <w:rFonts w:cs="Arial"/>
                <w:b/>
                <w:bCs/>
                <w:sz w:val="16"/>
                <w:szCs w:val="16"/>
                <w:lang w:val="pt-BR"/>
              </w:rPr>
              <w:t>% ver.</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490B03" w:rsidP="001E5608">
            <w:pPr>
              <w:widowControl w:val="0"/>
              <w:spacing w:line="240" w:lineRule="exact"/>
              <w:jc w:val="center"/>
              <w:rPr>
                <w:rFonts w:cs="Arial"/>
                <w:b/>
                <w:bCs/>
                <w:sz w:val="16"/>
                <w:szCs w:val="16"/>
              </w:rPr>
            </w:pPr>
            <w:r>
              <w:rPr>
                <w:rFonts w:cs="Arial"/>
                <w:b/>
                <w:bCs/>
                <w:sz w:val="16"/>
                <w:szCs w:val="16"/>
                <w:lang w:val="pt-BR"/>
              </w:rPr>
              <w:t>Abs.</w:t>
            </w:r>
          </w:p>
        </w:tc>
        <w:tc>
          <w:tcPr>
            <w:tcW w:w="929"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153402" w:rsidP="001E5608">
            <w:pPr>
              <w:widowControl w:val="0"/>
              <w:spacing w:line="240" w:lineRule="exact"/>
              <w:jc w:val="center"/>
              <w:rPr>
                <w:rFonts w:cs="Arial"/>
                <w:b/>
                <w:bCs/>
                <w:sz w:val="16"/>
                <w:szCs w:val="16"/>
              </w:rPr>
            </w:pPr>
            <w:r>
              <w:rPr>
                <w:rFonts w:cs="Arial"/>
                <w:b/>
                <w:bCs/>
                <w:sz w:val="16"/>
                <w:szCs w:val="16"/>
                <w:lang w:val="pt-BR"/>
              </w:rPr>
              <w:t>% ver.</w:t>
            </w:r>
          </w:p>
        </w:tc>
      </w:tr>
      <w:tr w:rsidR="00C64A38" w:rsidRPr="00504EF3" w:rsidTr="00D122F5">
        <w:trPr>
          <w:jc w:val="center"/>
        </w:trPr>
        <w:tc>
          <w:tcPr>
            <w:tcW w:w="1216" w:type="pct"/>
            <w:tcBorders>
              <w:top w:val="single" w:sz="4" w:space="0" w:color="BFBFBF" w:themeColor="background1" w:themeShade="BF"/>
              <w:right w:val="single" w:sz="4" w:space="0" w:color="BFBFBF" w:themeColor="background1" w:themeShade="BF"/>
            </w:tcBorders>
            <w:hideMark/>
          </w:tcPr>
          <w:p w:rsidR="00C64A38" w:rsidRPr="00300BEC" w:rsidRDefault="00C64A38" w:rsidP="001E5608">
            <w:pPr>
              <w:widowControl w:val="0"/>
              <w:spacing w:line="240" w:lineRule="exact"/>
              <w:rPr>
                <w:rFonts w:cs="Arial"/>
                <w:color w:val="000000"/>
                <w:sz w:val="16"/>
                <w:szCs w:val="16"/>
              </w:rPr>
            </w:pPr>
            <w:r w:rsidRPr="00300BEC">
              <w:rPr>
                <w:rFonts w:cs="Arial"/>
                <w:color w:val="000000"/>
                <w:sz w:val="16"/>
                <w:szCs w:val="16"/>
              </w:rPr>
              <w:t>Cooperativas</w:t>
            </w:r>
          </w:p>
        </w:tc>
        <w:tc>
          <w:tcPr>
            <w:tcW w:w="1029" w:type="pct"/>
            <w:tcBorders>
              <w:top w:val="single" w:sz="4" w:space="0" w:color="BFBFBF" w:themeColor="background1" w:themeShade="BF"/>
              <w:lef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2.394.313</w:t>
            </w:r>
          </w:p>
        </w:tc>
        <w:tc>
          <w:tcPr>
            <w:tcW w:w="797" w:type="pct"/>
            <w:tcBorders>
              <w:top w:val="single" w:sz="4" w:space="0" w:color="BFBFBF" w:themeColor="background1" w:themeShade="BF"/>
              <w:righ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90,6</w:t>
            </w:r>
          </w:p>
        </w:tc>
        <w:tc>
          <w:tcPr>
            <w:tcW w:w="1029" w:type="pct"/>
            <w:tcBorders>
              <w:top w:val="single" w:sz="4" w:space="0" w:color="BFBFBF" w:themeColor="background1" w:themeShade="BF"/>
              <w:left w:val="single" w:sz="4" w:space="0" w:color="BFBFBF" w:themeColor="background1" w:themeShade="BF"/>
            </w:tcBorders>
            <w:hideMark/>
          </w:tcPr>
          <w:p w:rsidR="00C64A38" w:rsidRPr="00300BEC" w:rsidRDefault="00535879" w:rsidP="007F441F">
            <w:pPr>
              <w:widowControl w:val="0"/>
              <w:spacing w:line="240" w:lineRule="exact"/>
              <w:ind w:right="170"/>
              <w:jc w:val="right"/>
              <w:rPr>
                <w:rFonts w:cs="Arial"/>
                <w:color w:val="000000"/>
                <w:sz w:val="16"/>
                <w:szCs w:val="16"/>
              </w:rPr>
            </w:pPr>
            <w:r w:rsidRPr="00535879">
              <w:rPr>
                <w:rFonts w:cs="Arial"/>
                <w:color w:val="000000"/>
                <w:sz w:val="16"/>
                <w:szCs w:val="16"/>
              </w:rPr>
              <w:t>2.358.885</w:t>
            </w:r>
          </w:p>
        </w:tc>
        <w:tc>
          <w:tcPr>
            <w:tcW w:w="929" w:type="pct"/>
            <w:tcBorders>
              <w:top w:val="single" w:sz="4" w:space="0" w:color="BFBFBF" w:themeColor="background1" w:themeShade="BF"/>
            </w:tcBorders>
            <w:hideMark/>
          </w:tcPr>
          <w:p w:rsidR="00C64A38" w:rsidRPr="00300BEC" w:rsidRDefault="00F0661A" w:rsidP="007F441F">
            <w:pPr>
              <w:widowControl w:val="0"/>
              <w:spacing w:line="240" w:lineRule="exact"/>
              <w:ind w:right="170"/>
              <w:jc w:val="right"/>
              <w:rPr>
                <w:rFonts w:cs="Arial"/>
                <w:color w:val="000000"/>
                <w:sz w:val="16"/>
                <w:szCs w:val="16"/>
              </w:rPr>
            </w:pPr>
            <w:r>
              <w:rPr>
                <w:rFonts w:cs="Arial"/>
                <w:color w:val="000000"/>
                <w:sz w:val="16"/>
                <w:szCs w:val="16"/>
              </w:rPr>
              <w:t>90,2</w:t>
            </w:r>
          </w:p>
        </w:tc>
      </w:tr>
      <w:tr w:rsidR="00C64A38" w:rsidRPr="00504EF3" w:rsidTr="00D122F5">
        <w:trPr>
          <w:jc w:val="center"/>
        </w:trPr>
        <w:tc>
          <w:tcPr>
            <w:tcW w:w="1216" w:type="pct"/>
            <w:tcBorders>
              <w:right w:val="single" w:sz="4" w:space="0" w:color="BFBFBF" w:themeColor="background1" w:themeShade="BF"/>
            </w:tcBorders>
            <w:hideMark/>
          </w:tcPr>
          <w:p w:rsidR="00C64A38" w:rsidRPr="00300BEC" w:rsidRDefault="00C64A38" w:rsidP="001E5608">
            <w:pPr>
              <w:widowControl w:val="0"/>
              <w:spacing w:line="240" w:lineRule="exact"/>
              <w:rPr>
                <w:rFonts w:cs="Arial"/>
                <w:color w:val="000000"/>
                <w:sz w:val="16"/>
                <w:szCs w:val="16"/>
              </w:rPr>
            </w:pPr>
            <w:r w:rsidRPr="00300BEC">
              <w:rPr>
                <w:rFonts w:cs="Arial"/>
                <w:color w:val="000000"/>
                <w:sz w:val="16"/>
                <w:szCs w:val="16"/>
              </w:rPr>
              <w:t>S.L.es</w:t>
            </w:r>
          </w:p>
        </w:tc>
        <w:tc>
          <w:tcPr>
            <w:tcW w:w="1029" w:type="pct"/>
            <w:tcBorders>
              <w:lef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249.062</w:t>
            </w:r>
          </w:p>
        </w:tc>
        <w:tc>
          <w:tcPr>
            <w:tcW w:w="797" w:type="pct"/>
            <w:tcBorders>
              <w:righ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9,4</w:t>
            </w:r>
          </w:p>
        </w:tc>
        <w:tc>
          <w:tcPr>
            <w:tcW w:w="1029" w:type="pct"/>
            <w:tcBorders>
              <w:left w:val="single" w:sz="4" w:space="0" w:color="BFBFBF" w:themeColor="background1" w:themeShade="BF"/>
            </w:tcBorders>
            <w:hideMark/>
          </w:tcPr>
          <w:p w:rsidR="00C64A38" w:rsidRPr="00300BEC" w:rsidRDefault="00535879" w:rsidP="007F441F">
            <w:pPr>
              <w:widowControl w:val="0"/>
              <w:spacing w:line="240" w:lineRule="exact"/>
              <w:ind w:right="170"/>
              <w:jc w:val="right"/>
              <w:rPr>
                <w:rFonts w:cs="Arial"/>
                <w:color w:val="000000"/>
                <w:sz w:val="16"/>
                <w:szCs w:val="16"/>
              </w:rPr>
            </w:pPr>
            <w:r>
              <w:rPr>
                <w:rFonts w:cs="Arial"/>
                <w:color w:val="000000"/>
                <w:sz w:val="16"/>
                <w:szCs w:val="16"/>
              </w:rPr>
              <w:t>256.243</w:t>
            </w:r>
          </w:p>
        </w:tc>
        <w:tc>
          <w:tcPr>
            <w:tcW w:w="929" w:type="pct"/>
            <w:hideMark/>
          </w:tcPr>
          <w:p w:rsidR="00C64A38" w:rsidRPr="00300BEC" w:rsidRDefault="00F0661A" w:rsidP="007F441F">
            <w:pPr>
              <w:widowControl w:val="0"/>
              <w:spacing w:line="240" w:lineRule="exact"/>
              <w:ind w:right="170"/>
              <w:jc w:val="right"/>
              <w:rPr>
                <w:rFonts w:cs="Arial"/>
                <w:color w:val="000000"/>
                <w:sz w:val="16"/>
                <w:szCs w:val="16"/>
              </w:rPr>
            </w:pPr>
            <w:r>
              <w:rPr>
                <w:rFonts w:cs="Arial"/>
                <w:color w:val="000000"/>
                <w:sz w:val="16"/>
                <w:szCs w:val="16"/>
              </w:rPr>
              <w:t>9,8</w:t>
            </w:r>
          </w:p>
        </w:tc>
      </w:tr>
      <w:tr w:rsidR="00C64A38" w:rsidRPr="00504EF3" w:rsidTr="00D122F5">
        <w:trPr>
          <w:jc w:val="center"/>
        </w:trPr>
        <w:tc>
          <w:tcPr>
            <w:tcW w:w="1216" w:type="pct"/>
            <w:tcBorders>
              <w:right w:val="single" w:sz="4" w:space="0" w:color="BFBFBF" w:themeColor="background1" w:themeShade="BF"/>
            </w:tcBorders>
            <w:hideMark/>
          </w:tcPr>
          <w:p w:rsidR="00C64A38" w:rsidRPr="00300BEC" w:rsidRDefault="00C64A38" w:rsidP="001E5608">
            <w:pPr>
              <w:widowControl w:val="0"/>
              <w:spacing w:line="240" w:lineRule="exact"/>
              <w:rPr>
                <w:rFonts w:cs="Arial"/>
                <w:color w:val="000000"/>
                <w:sz w:val="16"/>
                <w:szCs w:val="16"/>
              </w:rPr>
            </w:pPr>
            <w:r>
              <w:rPr>
                <w:rFonts w:cs="Arial"/>
                <w:color w:val="000000"/>
                <w:sz w:val="16"/>
                <w:szCs w:val="16"/>
              </w:rPr>
              <w:t xml:space="preserve">  </w:t>
            </w:r>
            <w:r w:rsidRPr="00300BEC">
              <w:rPr>
                <w:rFonts w:cs="Arial"/>
                <w:color w:val="000000"/>
                <w:sz w:val="16"/>
                <w:szCs w:val="16"/>
              </w:rPr>
              <w:t>S.A.L.es</w:t>
            </w:r>
          </w:p>
        </w:tc>
        <w:tc>
          <w:tcPr>
            <w:tcW w:w="1029" w:type="pct"/>
            <w:tcBorders>
              <w:lef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146.716</w:t>
            </w:r>
          </w:p>
        </w:tc>
        <w:tc>
          <w:tcPr>
            <w:tcW w:w="797" w:type="pct"/>
            <w:tcBorders>
              <w:righ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5,6</w:t>
            </w:r>
          </w:p>
        </w:tc>
        <w:tc>
          <w:tcPr>
            <w:tcW w:w="1029" w:type="pct"/>
            <w:tcBorders>
              <w:left w:val="single" w:sz="4" w:space="0" w:color="BFBFBF" w:themeColor="background1" w:themeShade="BF"/>
            </w:tcBorders>
            <w:hideMark/>
          </w:tcPr>
          <w:p w:rsidR="00C64A38" w:rsidRPr="00300BEC" w:rsidRDefault="00535879" w:rsidP="007F441F">
            <w:pPr>
              <w:widowControl w:val="0"/>
              <w:spacing w:line="240" w:lineRule="exact"/>
              <w:ind w:right="170"/>
              <w:jc w:val="right"/>
              <w:rPr>
                <w:rFonts w:cs="Arial"/>
                <w:color w:val="000000"/>
                <w:sz w:val="16"/>
                <w:szCs w:val="16"/>
              </w:rPr>
            </w:pPr>
            <w:r w:rsidRPr="00535879">
              <w:rPr>
                <w:rFonts w:cs="Arial"/>
                <w:color w:val="000000"/>
                <w:sz w:val="16"/>
                <w:szCs w:val="16"/>
              </w:rPr>
              <w:t>133.642</w:t>
            </w:r>
          </w:p>
        </w:tc>
        <w:tc>
          <w:tcPr>
            <w:tcW w:w="929" w:type="pct"/>
            <w:hideMark/>
          </w:tcPr>
          <w:p w:rsidR="00C64A38" w:rsidRPr="00300BEC" w:rsidRDefault="00F0661A" w:rsidP="007F441F">
            <w:pPr>
              <w:widowControl w:val="0"/>
              <w:spacing w:line="240" w:lineRule="exact"/>
              <w:ind w:right="170"/>
              <w:jc w:val="right"/>
              <w:rPr>
                <w:rFonts w:cs="Arial"/>
                <w:color w:val="000000"/>
                <w:sz w:val="16"/>
                <w:szCs w:val="16"/>
              </w:rPr>
            </w:pPr>
            <w:r>
              <w:rPr>
                <w:rFonts w:cs="Arial"/>
                <w:color w:val="000000"/>
                <w:sz w:val="16"/>
                <w:szCs w:val="16"/>
              </w:rPr>
              <w:t>5,1</w:t>
            </w:r>
          </w:p>
        </w:tc>
      </w:tr>
      <w:tr w:rsidR="00C64A38" w:rsidRPr="00504EF3" w:rsidTr="00D122F5">
        <w:trPr>
          <w:jc w:val="center"/>
        </w:trPr>
        <w:tc>
          <w:tcPr>
            <w:tcW w:w="1216" w:type="pct"/>
            <w:tcBorders>
              <w:bottom w:val="single" w:sz="4" w:space="0" w:color="BFBFBF" w:themeColor="background1" w:themeShade="BF"/>
              <w:right w:val="single" w:sz="4" w:space="0" w:color="BFBFBF" w:themeColor="background1" w:themeShade="BF"/>
            </w:tcBorders>
            <w:hideMark/>
          </w:tcPr>
          <w:p w:rsidR="00C64A38" w:rsidRPr="00300BEC" w:rsidRDefault="00C64A38" w:rsidP="001E5608">
            <w:pPr>
              <w:widowControl w:val="0"/>
              <w:spacing w:line="240" w:lineRule="exact"/>
              <w:rPr>
                <w:rFonts w:cs="Arial"/>
                <w:color w:val="000000"/>
                <w:sz w:val="16"/>
                <w:szCs w:val="16"/>
              </w:rPr>
            </w:pPr>
            <w:r>
              <w:rPr>
                <w:rFonts w:cs="Arial"/>
                <w:color w:val="000000"/>
                <w:sz w:val="16"/>
                <w:szCs w:val="16"/>
              </w:rPr>
              <w:t xml:space="preserve">  </w:t>
            </w:r>
            <w:r w:rsidRPr="00300BEC">
              <w:rPr>
                <w:rFonts w:cs="Arial"/>
                <w:color w:val="000000"/>
                <w:sz w:val="16"/>
                <w:szCs w:val="16"/>
              </w:rPr>
              <w:t>S.L.L.es</w:t>
            </w:r>
          </w:p>
        </w:tc>
        <w:tc>
          <w:tcPr>
            <w:tcW w:w="1029" w:type="pct"/>
            <w:tcBorders>
              <w:left w:val="single" w:sz="4" w:space="0" w:color="BFBFBF" w:themeColor="background1" w:themeShade="BF"/>
              <w:bottom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102.346</w:t>
            </w:r>
          </w:p>
        </w:tc>
        <w:tc>
          <w:tcPr>
            <w:tcW w:w="797" w:type="pct"/>
            <w:tcBorders>
              <w:bottom w:val="single" w:sz="4" w:space="0" w:color="BFBFBF" w:themeColor="background1" w:themeShade="BF"/>
              <w:righ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color w:val="000000"/>
                <w:sz w:val="16"/>
                <w:szCs w:val="16"/>
              </w:rPr>
            </w:pPr>
            <w:r w:rsidRPr="00300BEC">
              <w:rPr>
                <w:rFonts w:cs="Arial"/>
                <w:color w:val="000000"/>
                <w:sz w:val="16"/>
                <w:szCs w:val="16"/>
              </w:rPr>
              <w:t>3,9</w:t>
            </w:r>
          </w:p>
        </w:tc>
        <w:tc>
          <w:tcPr>
            <w:tcW w:w="1029" w:type="pct"/>
            <w:tcBorders>
              <w:left w:val="single" w:sz="4" w:space="0" w:color="BFBFBF" w:themeColor="background1" w:themeShade="BF"/>
              <w:bottom w:val="single" w:sz="4" w:space="0" w:color="BFBFBF" w:themeColor="background1" w:themeShade="BF"/>
            </w:tcBorders>
            <w:hideMark/>
          </w:tcPr>
          <w:p w:rsidR="00C64A38" w:rsidRPr="00535879" w:rsidRDefault="00535879" w:rsidP="007F441F">
            <w:pPr>
              <w:widowControl w:val="0"/>
              <w:spacing w:line="240" w:lineRule="exact"/>
              <w:ind w:right="170"/>
              <w:jc w:val="right"/>
              <w:rPr>
                <w:rFonts w:cs="Arial"/>
                <w:color w:val="000000"/>
                <w:sz w:val="16"/>
                <w:szCs w:val="16"/>
              </w:rPr>
            </w:pPr>
            <w:r w:rsidRPr="00535879">
              <w:rPr>
                <w:rFonts w:cs="Arial"/>
                <w:color w:val="000000"/>
                <w:sz w:val="16"/>
                <w:szCs w:val="16"/>
              </w:rPr>
              <w:t>122.601</w:t>
            </w:r>
          </w:p>
        </w:tc>
        <w:tc>
          <w:tcPr>
            <w:tcW w:w="929" w:type="pct"/>
            <w:tcBorders>
              <w:bottom w:val="single" w:sz="4" w:space="0" w:color="BFBFBF" w:themeColor="background1" w:themeShade="BF"/>
            </w:tcBorders>
            <w:hideMark/>
          </w:tcPr>
          <w:p w:rsidR="00C64A38" w:rsidRPr="00300BEC" w:rsidRDefault="00F0661A" w:rsidP="007F441F">
            <w:pPr>
              <w:widowControl w:val="0"/>
              <w:spacing w:line="240" w:lineRule="exact"/>
              <w:ind w:right="170"/>
              <w:jc w:val="right"/>
              <w:rPr>
                <w:rFonts w:cs="Arial"/>
                <w:color w:val="000000"/>
                <w:sz w:val="16"/>
                <w:szCs w:val="16"/>
              </w:rPr>
            </w:pPr>
            <w:r>
              <w:rPr>
                <w:rFonts w:cs="Arial"/>
                <w:color w:val="000000"/>
                <w:sz w:val="16"/>
                <w:szCs w:val="16"/>
              </w:rPr>
              <w:t>4,7</w:t>
            </w:r>
          </w:p>
        </w:tc>
      </w:tr>
      <w:tr w:rsidR="00C64A38" w:rsidRPr="00504EF3" w:rsidTr="00D122F5">
        <w:trPr>
          <w:jc w:val="center"/>
        </w:trPr>
        <w:tc>
          <w:tcPr>
            <w:tcW w:w="121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C64A38" w:rsidRPr="00300BEC" w:rsidRDefault="00C64A38" w:rsidP="001E5608">
            <w:pPr>
              <w:widowControl w:val="0"/>
              <w:spacing w:line="240" w:lineRule="exact"/>
              <w:rPr>
                <w:rFonts w:cs="Arial"/>
                <w:b/>
                <w:bCs/>
                <w:color w:val="000000"/>
                <w:sz w:val="16"/>
                <w:szCs w:val="16"/>
              </w:rPr>
            </w:pPr>
            <w:r w:rsidRPr="00300BEC">
              <w:rPr>
                <w:rFonts w:cs="Arial"/>
                <w:b/>
                <w:bCs/>
                <w:color w:val="000000"/>
                <w:sz w:val="16"/>
              </w:rPr>
              <w:t>TOTAL</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b/>
                <w:bCs/>
                <w:color w:val="000000"/>
                <w:sz w:val="16"/>
                <w:szCs w:val="16"/>
              </w:rPr>
            </w:pPr>
            <w:r w:rsidRPr="00300BEC">
              <w:rPr>
                <w:rFonts w:cs="Arial"/>
                <w:b/>
                <w:bCs/>
                <w:color w:val="000000"/>
                <w:sz w:val="16"/>
                <w:szCs w:val="16"/>
              </w:rPr>
              <w:t>2.643.375</w:t>
            </w:r>
          </w:p>
        </w:tc>
        <w:tc>
          <w:tcPr>
            <w:tcW w:w="79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C64A38" w:rsidRPr="00300BEC" w:rsidRDefault="00C64A38" w:rsidP="007F441F">
            <w:pPr>
              <w:widowControl w:val="0"/>
              <w:spacing w:line="240" w:lineRule="exact"/>
              <w:ind w:right="170"/>
              <w:jc w:val="right"/>
              <w:rPr>
                <w:rFonts w:cs="Arial"/>
                <w:b/>
                <w:bCs/>
                <w:color w:val="000000"/>
                <w:sz w:val="16"/>
                <w:szCs w:val="16"/>
              </w:rPr>
            </w:pPr>
            <w:r w:rsidRPr="00300BEC">
              <w:rPr>
                <w:rFonts w:cs="Arial"/>
                <w:b/>
                <w:bCs/>
                <w:color w:val="000000"/>
                <w:sz w:val="16"/>
              </w:rPr>
              <w:t>100</w:t>
            </w:r>
            <w:r w:rsidR="007F441F">
              <w:rPr>
                <w:rFonts w:cs="Arial"/>
                <w:b/>
                <w:bCs/>
                <w:color w:val="000000"/>
                <w:sz w:val="16"/>
              </w:rPr>
              <w:t>,0</w:t>
            </w:r>
          </w:p>
        </w:tc>
        <w:tc>
          <w:tcPr>
            <w:tcW w:w="102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C64A38" w:rsidRPr="00383BD4" w:rsidRDefault="00383BD4" w:rsidP="007F441F">
            <w:pPr>
              <w:widowControl w:val="0"/>
              <w:spacing w:line="240" w:lineRule="exact"/>
              <w:ind w:right="170"/>
              <w:jc w:val="right"/>
              <w:rPr>
                <w:rFonts w:ascii="Calibri" w:hAnsi="Calibri"/>
                <w:b/>
                <w:bCs/>
                <w:color w:val="000000"/>
                <w:sz w:val="18"/>
                <w:szCs w:val="18"/>
              </w:rPr>
            </w:pPr>
            <w:r w:rsidRPr="00383BD4">
              <w:rPr>
                <w:rFonts w:cs="Arial"/>
                <w:b/>
                <w:bCs/>
                <w:color w:val="000000"/>
                <w:sz w:val="16"/>
                <w:szCs w:val="16"/>
              </w:rPr>
              <w:t>2.615.128</w:t>
            </w:r>
          </w:p>
        </w:tc>
        <w:tc>
          <w:tcPr>
            <w:tcW w:w="929" w:type="pct"/>
            <w:tcBorders>
              <w:top w:val="single" w:sz="4" w:space="0" w:color="BFBFBF" w:themeColor="background1" w:themeShade="BF"/>
              <w:bottom w:val="single" w:sz="4" w:space="0" w:color="BFBFBF" w:themeColor="background1" w:themeShade="BF"/>
            </w:tcBorders>
            <w:hideMark/>
          </w:tcPr>
          <w:p w:rsidR="00C64A38" w:rsidRPr="00300BEC" w:rsidRDefault="00D4453B" w:rsidP="007F441F">
            <w:pPr>
              <w:widowControl w:val="0"/>
              <w:spacing w:line="240" w:lineRule="exact"/>
              <w:ind w:right="170"/>
              <w:jc w:val="right"/>
              <w:rPr>
                <w:rFonts w:cs="Arial"/>
                <w:b/>
                <w:bCs/>
                <w:color w:val="000000"/>
                <w:sz w:val="16"/>
                <w:szCs w:val="16"/>
              </w:rPr>
            </w:pPr>
            <w:r w:rsidRPr="00300BEC">
              <w:rPr>
                <w:rFonts w:cs="Arial"/>
                <w:b/>
                <w:bCs/>
                <w:color w:val="000000"/>
                <w:sz w:val="16"/>
              </w:rPr>
              <w:t>100</w:t>
            </w:r>
            <w:r w:rsidR="007F441F">
              <w:rPr>
                <w:rFonts w:cs="Arial"/>
                <w:b/>
                <w:bCs/>
                <w:color w:val="000000"/>
                <w:sz w:val="16"/>
              </w:rPr>
              <w:t>,0</w:t>
            </w:r>
          </w:p>
        </w:tc>
      </w:tr>
    </w:tbl>
    <w:p w:rsidR="00665097" w:rsidRDefault="00665097" w:rsidP="00BB313D">
      <w:pPr>
        <w:widowControl w:val="0"/>
        <w:rPr>
          <w:highlight w:val="yellow"/>
        </w:rPr>
      </w:pPr>
    </w:p>
    <w:p w:rsidR="00D06470" w:rsidRDefault="00D06470" w:rsidP="00BB313D">
      <w:pPr>
        <w:widowControl w:val="0"/>
        <w:spacing w:after="200" w:line="276" w:lineRule="auto"/>
        <w:jc w:val="left"/>
        <w:rPr>
          <w:rFonts w:cs="Arial"/>
          <w:b/>
          <w:color w:val="1F497D" w:themeColor="text2"/>
          <w:sz w:val="18"/>
          <w:szCs w:val="18"/>
        </w:rPr>
      </w:pPr>
      <w:bookmarkStart w:id="131" w:name="_Toc391999656"/>
      <w:r>
        <w:rPr>
          <w:rFonts w:cs="Arial"/>
          <w:b/>
          <w:color w:val="1F497D" w:themeColor="text2"/>
          <w:sz w:val="18"/>
          <w:szCs w:val="18"/>
        </w:rPr>
        <w:br w:type="page"/>
      </w:r>
    </w:p>
    <w:p w:rsidR="00665097" w:rsidRDefault="00DE1512" w:rsidP="00BB313D">
      <w:pPr>
        <w:widowControl w:val="0"/>
        <w:spacing w:line="240" w:lineRule="auto"/>
        <w:jc w:val="center"/>
        <w:rPr>
          <w:rFonts w:cs="Arial"/>
          <w:b/>
          <w:noProof/>
          <w:color w:val="1F497D" w:themeColor="text2"/>
          <w:sz w:val="18"/>
          <w:szCs w:val="18"/>
        </w:rPr>
      </w:pPr>
      <w:bookmarkStart w:id="132" w:name="_Toc450119997"/>
      <w:r w:rsidRPr="009F1045">
        <w:rPr>
          <w:rFonts w:cs="Arial"/>
          <w:b/>
          <w:color w:val="1F497D" w:themeColor="text2"/>
          <w:sz w:val="18"/>
          <w:szCs w:val="18"/>
        </w:rPr>
        <w:lastRenderedPageBreak/>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9</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300BEC">
        <w:rPr>
          <w:rFonts w:cs="Arial"/>
          <w:b/>
          <w:noProof/>
          <w:color w:val="1F497D" w:themeColor="text2"/>
          <w:sz w:val="18"/>
          <w:szCs w:val="18"/>
        </w:rPr>
        <w:t xml:space="preserve">DISTRIBUCIÓN </w:t>
      </w:r>
      <w:r w:rsidR="00F0661A">
        <w:rPr>
          <w:rFonts w:cs="Arial"/>
          <w:b/>
          <w:noProof/>
          <w:color w:val="1F497D" w:themeColor="text2"/>
          <w:sz w:val="18"/>
          <w:szCs w:val="18"/>
        </w:rPr>
        <w:t>DEL VAB POR FORMA JURÍDICA. 2014</w:t>
      </w:r>
      <w:r w:rsidR="00665097" w:rsidRPr="00300BEC">
        <w:rPr>
          <w:rFonts w:cs="Arial"/>
          <w:b/>
          <w:noProof/>
          <w:color w:val="1F497D" w:themeColor="text2"/>
          <w:sz w:val="18"/>
          <w:szCs w:val="18"/>
        </w:rPr>
        <w:t xml:space="preserve"> (%</w:t>
      </w:r>
      <w:r w:rsidR="001E5608">
        <w:rPr>
          <w:rFonts w:cs="Arial"/>
          <w:b/>
          <w:noProof/>
          <w:color w:val="1F497D" w:themeColor="text2"/>
          <w:sz w:val="18"/>
          <w:szCs w:val="18"/>
        </w:rPr>
        <w:t xml:space="preserve"> </w:t>
      </w:r>
      <w:r w:rsidR="00665097" w:rsidRPr="00300BEC">
        <w:rPr>
          <w:rFonts w:cs="Arial"/>
          <w:b/>
          <w:noProof/>
          <w:color w:val="1F497D" w:themeColor="text2"/>
          <w:sz w:val="18"/>
          <w:szCs w:val="18"/>
        </w:rPr>
        <w:t>v</w:t>
      </w:r>
      <w:r w:rsidR="001E5608">
        <w:rPr>
          <w:rFonts w:cs="Arial"/>
          <w:b/>
          <w:noProof/>
          <w:color w:val="1F497D" w:themeColor="text2"/>
          <w:sz w:val="18"/>
          <w:szCs w:val="18"/>
        </w:rPr>
        <w:t>erticales</w:t>
      </w:r>
      <w:r w:rsidR="00665097" w:rsidRPr="00300BEC">
        <w:rPr>
          <w:rFonts w:cs="Arial"/>
          <w:b/>
          <w:noProof/>
          <w:color w:val="1F497D" w:themeColor="text2"/>
          <w:sz w:val="18"/>
          <w:szCs w:val="18"/>
        </w:rPr>
        <w:t>)</w:t>
      </w:r>
      <w:bookmarkEnd w:id="131"/>
      <w:bookmarkEnd w:id="132"/>
    </w:p>
    <w:p w:rsidR="00665097" w:rsidRDefault="00665097" w:rsidP="00BB313D">
      <w:pPr>
        <w:widowControl w:val="0"/>
        <w:jc w:val="center"/>
        <w:rPr>
          <w:rFonts w:cs="Arial"/>
          <w:b/>
          <w:noProof/>
          <w:color w:val="1F497D" w:themeColor="text2"/>
          <w:sz w:val="18"/>
          <w:szCs w:val="18"/>
        </w:rPr>
      </w:pPr>
      <w:r>
        <w:rPr>
          <w:rFonts w:cs="Arial"/>
          <w:b/>
          <w:noProof/>
          <w:color w:val="1F497D" w:themeColor="text2"/>
          <w:sz w:val="18"/>
          <w:szCs w:val="18"/>
          <w:lang w:eastAsia="es-ES"/>
        </w:rPr>
        <w:drawing>
          <wp:anchor distT="0" distB="0" distL="114300" distR="114300" simplePos="0" relativeHeight="251742208" behindDoc="0" locked="0" layoutInCell="1" allowOverlap="1">
            <wp:simplePos x="0" y="0"/>
            <wp:positionH relativeFrom="column">
              <wp:posOffset>1139190</wp:posOffset>
            </wp:positionH>
            <wp:positionV relativeFrom="paragraph">
              <wp:posOffset>33020</wp:posOffset>
            </wp:positionV>
            <wp:extent cx="3114675" cy="2066925"/>
            <wp:effectExtent l="0" t="0" r="0" b="0"/>
            <wp:wrapNone/>
            <wp:docPr id="68"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Default="00665097" w:rsidP="00BB313D">
      <w:pPr>
        <w:widowControl w:val="0"/>
        <w:jc w:val="center"/>
        <w:rPr>
          <w:rFonts w:cs="Arial"/>
          <w:b/>
          <w:noProof/>
          <w:color w:val="1F497D" w:themeColor="text2"/>
          <w:sz w:val="18"/>
          <w:szCs w:val="18"/>
        </w:rPr>
      </w:pPr>
    </w:p>
    <w:p w:rsidR="00665097" w:rsidRPr="0003304D" w:rsidRDefault="00665097" w:rsidP="00BB313D">
      <w:pPr>
        <w:widowControl w:val="0"/>
        <w:jc w:val="center"/>
        <w:rPr>
          <w:rFonts w:cs="Arial"/>
          <w:b/>
          <w:noProof/>
          <w:color w:val="1F497D" w:themeColor="text2"/>
          <w:sz w:val="18"/>
          <w:szCs w:val="18"/>
        </w:rPr>
      </w:pPr>
    </w:p>
    <w:p w:rsidR="00665097" w:rsidRDefault="00665097" w:rsidP="00BB313D">
      <w:pPr>
        <w:widowControl w:val="0"/>
        <w:rPr>
          <w:highlight w:val="red"/>
        </w:rPr>
      </w:pPr>
    </w:p>
    <w:p w:rsidR="001C63DE" w:rsidRPr="00B94564" w:rsidRDefault="001C63DE" w:rsidP="00BB313D">
      <w:pPr>
        <w:widowControl w:val="0"/>
        <w:rPr>
          <w:highlight w:val="red"/>
        </w:rPr>
      </w:pPr>
    </w:p>
    <w:p w:rsidR="004560E4" w:rsidRDefault="004560E4" w:rsidP="00BB313D">
      <w:pPr>
        <w:widowControl w:val="0"/>
        <w:rPr>
          <w:highlight w:val="red"/>
        </w:rPr>
      </w:pPr>
    </w:p>
    <w:p w:rsidR="00665097" w:rsidRPr="00300BEC" w:rsidRDefault="00DE1512" w:rsidP="00BB313D">
      <w:pPr>
        <w:widowControl w:val="0"/>
        <w:spacing w:line="240" w:lineRule="auto"/>
        <w:jc w:val="center"/>
        <w:rPr>
          <w:rFonts w:cs="Arial"/>
          <w:b/>
          <w:color w:val="1F497D" w:themeColor="text2"/>
          <w:sz w:val="18"/>
          <w:szCs w:val="18"/>
        </w:rPr>
      </w:pPr>
      <w:bookmarkStart w:id="133" w:name="_Toc391999606"/>
      <w:bookmarkStart w:id="134" w:name="_Toc450119489"/>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65097">
        <w:rPr>
          <w:rFonts w:cs="Arial"/>
          <w:b/>
          <w:color w:val="1F497D" w:themeColor="text2"/>
          <w:sz w:val="18"/>
          <w:szCs w:val="18"/>
        </w:rPr>
        <w:t xml:space="preserve"> </w:t>
      </w:r>
      <w:r w:rsidR="00665097" w:rsidRPr="00300BEC">
        <w:rPr>
          <w:rFonts w:cs="Arial"/>
          <w:b/>
          <w:color w:val="1F497D" w:themeColor="text2"/>
          <w:sz w:val="18"/>
          <w:szCs w:val="18"/>
        </w:rPr>
        <w:t>DISTRIBUCIÓN DEL VAB POR FORMA JURÍ</w:t>
      </w:r>
      <w:r w:rsidR="00403E87">
        <w:rPr>
          <w:rFonts w:cs="Arial"/>
          <w:b/>
          <w:color w:val="1F497D" w:themeColor="text2"/>
          <w:sz w:val="18"/>
          <w:szCs w:val="18"/>
        </w:rPr>
        <w:t>DICA Y SECTOR DE ACTIVIDAD. 2014</w:t>
      </w:r>
      <w:r w:rsidR="00665097" w:rsidRPr="00300BEC">
        <w:rPr>
          <w:rFonts w:cs="Arial"/>
          <w:b/>
          <w:color w:val="1F497D" w:themeColor="text2"/>
          <w:sz w:val="18"/>
          <w:szCs w:val="18"/>
        </w:rPr>
        <w:t xml:space="preserve"> (</w:t>
      </w:r>
      <w:r w:rsidR="00490B03">
        <w:rPr>
          <w:rFonts w:cs="Arial"/>
          <w:b/>
          <w:color w:val="1F497D" w:themeColor="text2"/>
          <w:sz w:val="18"/>
          <w:szCs w:val="18"/>
        </w:rPr>
        <w:t>cifras absolutas y % verticales</w:t>
      </w:r>
      <w:r w:rsidR="00665097" w:rsidRPr="00300BEC">
        <w:rPr>
          <w:rFonts w:cs="Arial"/>
          <w:b/>
          <w:color w:val="1F497D" w:themeColor="text2"/>
          <w:sz w:val="18"/>
          <w:szCs w:val="18"/>
        </w:rPr>
        <w:t>)</w:t>
      </w:r>
      <w:bookmarkEnd w:id="133"/>
      <w:bookmarkEnd w:id="134"/>
    </w:p>
    <w:tbl>
      <w:tblPr>
        <w:tblW w:w="9940" w:type="dxa"/>
        <w:jc w:val="center"/>
        <w:tblCellMar>
          <w:left w:w="70" w:type="dxa"/>
          <w:right w:w="70" w:type="dxa"/>
        </w:tblCellMar>
        <w:tblLook w:val="04A0" w:firstRow="1" w:lastRow="0" w:firstColumn="1" w:lastColumn="0" w:noHBand="0" w:noVBand="1"/>
      </w:tblPr>
      <w:tblGrid>
        <w:gridCol w:w="1195"/>
        <w:gridCol w:w="1485"/>
        <w:gridCol w:w="751"/>
        <w:gridCol w:w="1485"/>
        <w:gridCol w:w="730"/>
        <w:gridCol w:w="1415"/>
        <w:gridCol w:w="732"/>
        <w:gridCol w:w="1415"/>
        <w:gridCol w:w="732"/>
      </w:tblGrid>
      <w:tr w:rsidR="00665097" w:rsidRPr="00300BEC" w:rsidTr="00D122F5">
        <w:trPr>
          <w:jc w:val="center"/>
        </w:trPr>
        <w:tc>
          <w:tcPr>
            <w:tcW w:w="601" w:type="pct"/>
            <w:vMerge w:val="restart"/>
            <w:tcBorders>
              <w:top w:val="single" w:sz="8" w:space="0" w:color="BFBFBF"/>
              <w:left w:val="nil"/>
              <w:bottom w:val="single" w:sz="8" w:space="0" w:color="BFBFBF"/>
              <w:right w:val="single" w:sz="8" w:space="0" w:color="BFBFBF"/>
            </w:tcBorders>
            <w:shd w:val="clear" w:color="000000" w:fill="DBE5F1"/>
            <w:hideMark/>
          </w:tcPr>
          <w:p w:rsidR="00665097" w:rsidRPr="00300BEC" w:rsidRDefault="00665097" w:rsidP="00996F20">
            <w:pPr>
              <w:widowControl w:val="0"/>
              <w:spacing w:line="240" w:lineRule="exact"/>
              <w:rPr>
                <w:rFonts w:ascii="Calibri" w:hAnsi="Calibri"/>
                <w:color w:val="000000"/>
              </w:rPr>
            </w:pPr>
            <w:r w:rsidRPr="00300BEC">
              <w:rPr>
                <w:rFonts w:ascii="Calibri" w:hAnsi="Calibri"/>
                <w:color w:val="000000"/>
              </w:rPr>
              <w:t> </w:t>
            </w:r>
          </w:p>
        </w:tc>
        <w:tc>
          <w:tcPr>
            <w:tcW w:w="1125" w:type="pct"/>
            <w:gridSpan w:val="2"/>
            <w:tcBorders>
              <w:top w:val="single" w:sz="8" w:space="0" w:color="BFBFBF"/>
              <w:left w:val="nil"/>
              <w:bottom w:val="single" w:sz="8" w:space="0" w:color="BFBFBF"/>
              <w:right w:val="single" w:sz="8" w:space="0" w:color="BFBFBF"/>
            </w:tcBorders>
            <w:shd w:val="clear" w:color="000000" w:fill="DBE5F1"/>
            <w:hideMark/>
          </w:tcPr>
          <w:p w:rsidR="00665097" w:rsidRPr="00300BEC" w:rsidRDefault="00665097" w:rsidP="00996F20">
            <w:pPr>
              <w:widowControl w:val="0"/>
              <w:spacing w:line="240" w:lineRule="exact"/>
              <w:jc w:val="center"/>
              <w:rPr>
                <w:rFonts w:cs="Arial"/>
                <w:b/>
                <w:bCs/>
                <w:color w:val="000000"/>
                <w:sz w:val="16"/>
                <w:szCs w:val="16"/>
              </w:rPr>
            </w:pPr>
            <w:r w:rsidRPr="00300BEC">
              <w:rPr>
                <w:rFonts w:cs="Arial"/>
                <w:b/>
                <w:bCs/>
                <w:color w:val="000000"/>
                <w:sz w:val="16"/>
                <w:szCs w:val="16"/>
                <w:lang w:val="en-GB"/>
              </w:rPr>
              <w:t>TOTAL</w:t>
            </w:r>
          </w:p>
        </w:tc>
        <w:tc>
          <w:tcPr>
            <w:tcW w:w="1114" w:type="pct"/>
            <w:gridSpan w:val="2"/>
            <w:tcBorders>
              <w:top w:val="single" w:sz="8" w:space="0" w:color="BFBFBF"/>
              <w:left w:val="nil"/>
              <w:bottom w:val="single" w:sz="8" w:space="0" w:color="BFBFBF"/>
              <w:right w:val="single" w:sz="8" w:space="0" w:color="BFBFBF"/>
            </w:tcBorders>
            <w:shd w:val="clear" w:color="000000" w:fill="DBE5F1"/>
            <w:hideMark/>
          </w:tcPr>
          <w:p w:rsidR="00665097" w:rsidRPr="00300BEC" w:rsidRDefault="00665097" w:rsidP="001E5608">
            <w:pPr>
              <w:widowControl w:val="0"/>
              <w:spacing w:line="240" w:lineRule="exact"/>
              <w:jc w:val="center"/>
              <w:rPr>
                <w:rFonts w:cs="Arial"/>
                <w:b/>
                <w:bCs/>
                <w:color w:val="000000"/>
                <w:sz w:val="16"/>
                <w:szCs w:val="16"/>
              </w:rPr>
            </w:pPr>
            <w:proofErr w:type="spellStart"/>
            <w:r w:rsidRPr="00300BEC">
              <w:rPr>
                <w:rFonts w:cs="Arial"/>
                <w:b/>
                <w:bCs/>
                <w:color w:val="000000"/>
                <w:sz w:val="16"/>
                <w:szCs w:val="16"/>
                <w:lang w:val="en-GB"/>
              </w:rPr>
              <w:t>S.Coop</w:t>
            </w:r>
            <w:proofErr w:type="spellEnd"/>
            <w:r w:rsidRPr="00300BEC">
              <w:rPr>
                <w:rFonts w:cs="Arial"/>
                <w:b/>
                <w:bCs/>
                <w:color w:val="000000"/>
                <w:sz w:val="16"/>
                <w:szCs w:val="16"/>
                <w:lang w:val="en-GB"/>
              </w:rPr>
              <w:t>.</w:t>
            </w:r>
          </w:p>
        </w:tc>
        <w:tc>
          <w:tcPr>
            <w:tcW w:w="1080" w:type="pct"/>
            <w:gridSpan w:val="2"/>
            <w:tcBorders>
              <w:top w:val="single" w:sz="8" w:space="0" w:color="BFBFBF"/>
              <w:left w:val="nil"/>
              <w:bottom w:val="single" w:sz="8" w:space="0" w:color="BFBFBF"/>
              <w:right w:val="single" w:sz="8" w:space="0" w:color="BFBFBF"/>
            </w:tcBorders>
            <w:shd w:val="clear" w:color="000000" w:fill="DBE5F1"/>
            <w:hideMark/>
          </w:tcPr>
          <w:p w:rsidR="00665097" w:rsidRPr="00300BEC" w:rsidRDefault="00665097" w:rsidP="00996F20">
            <w:pPr>
              <w:widowControl w:val="0"/>
              <w:spacing w:line="240" w:lineRule="exact"/>
              <w:jc w:val="center"/>
              <w:rPr>
                <w:rFonts w:cs="Arial"/>
                <w:b/>
                <w:bCs/>
                <w:color w:val="000000"/>
                <w:sz w:val="16"/>
                <w:szCs w:val="16"/>
              </w:rPr>
            </w:pPr>
            <w:r w:rsidRPr="00300BEC">
              <w:rPr>
                <w:rFonts w:cs="Arial"/>
                <w:b/>
                <w:bCs/>
                <w:color w:val="000000"/>
                <w:sz w:val="16"/>
                <w:szCs w:val="16"/>
                <w:lang w:val="en-GB"/>
              </w:rPr>
              <w:t>S.A.L.es</w:t>
            </w:r>
          </w:p>
        </w:tc>
        <w:tc>
          <w:tcPr>
            <w:tcW w:w="1080" w:type="pct"/>
            <w:gridSpan w:val="2"/>
            <w:tcBorders>
              <w:top w:val="single" w:sz="8" w:space="0" w:color="BFBFBF"/>
              <w:left w:val="nil"/>
              <w:bottom w:val="single" w:sz="8" w:space="0" w:color="BFBFBF"/>
              <w:right w:val="nil"/>
            </w:tcBorders>
            <w:shd w:val="clear" w:color="000000" w:fill="DBE5F1"/>
            <w:hideMark/>
          </w:tcPr>
          <w:p w:rsidR="00665097" w:rsidRPr="00300BEC" w:rsidRDefault="00665097" w:rsidP="00996F20">
            <w:pPr>
              <w:widowControl w:val="0"/>
              <w:spacing w:line="240" w:lineRule="exact"/>
              <w:jc w:val="center"/>
              <w:rPr>
                <w:rFonts w:cs="Arial"/>
                <w:b/>
                <w:bCs/>
                <w:color w:val="000000"/>
                <w:sz w:val="16"/>
                <w:szCs w:val="16"/>
              </w:rPr>
            </w:pPr>
            <w:r w:rsidRPr="00300BEC">
              <w:rPr>
                <w:rFonts w:cs="Arial"/>
                <w:b/>
                <w:bCs/>
                <w:color w:val="000000"/>
                <w:sz w:val="16"/>
                <w:szCs w:val="16"/>
                <w:lang w:val="en-GB"/>
              </w:rPr>
              <w:t>S.L.L.es</w:t>
            </w:r>
          </w:p>
        </w:tc>
      </w:tr>
      <w:tr w:rsidR="00665097" w:rsidRPr="00300BEC" w:rsidTr="00D122F5">
        <w:trPr>
          <w:jc w:val="center"/>
        </w:trPr>
        <w:tc>
          <w:tcPr>
            <w:tcW w:w="601" w:type="pct"/>
            <w:vMerge/>
            <w:tcBorders>
              <w:top w:val="single" w:sz="8" w:space="0" w:color="BFBFBF"/>
              <w:left w:val="nil"/>
              <w:bottom w:val="single" w:sz="8" w:space="0" w:color="BFBFBF"/>
              <w:right w:val="single" w:sz="8" w:space="0" w:color="BFBFBF"/>
            </w:tcBorders>
            <w:vAlign w:val="center"/>
            <w:hideMark/>
          </w:tcPr>
          <w:p w:rsidR="00665097" w:rsidRPr="00300BEC" w:rsidRDefault="00665097" w:rsidP="00996F20">
            <w:pPr>
              <w:widowControl w:val="0"/>
              <w:spacing w:line="240" w:lineRule="exact"/>
              <w:rPr>
                <w:rFonts w:ascii="Calibri" w:hAnsi="Calibri"/>
                <w:color w:val="000000"/>
              </w:rPr>
            </w:pPr>
          </w:p>
        </w:tc>
        <w:tc>
          <w:tcPr>
            <w:tcW w:w="747" w:type="pct"/>
            <w:tcBorders>
              <w:top w:val="nil"/>
              <w:left w:val="nil"/>
              <w:bottom w:val="single" w:sz="8" w:space="0" w:color="BFBFBF"/>
              <w:right w:val="nil"/>
            </w:tcBorders>
            <w:shd w:val="clear" w:color="000000" w:fill="DBE5F1"/>
            <w:hideMark/>
          </w:tcPr>
          <w:p w:rsidR="00665097" w:rsidRPr="00300BEC" w:rsidRDefault="00490B03" w:rsidP="00996F2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78" w:type="pct"/>
            <w:tcBorders>
              <w:top w:val="nil"/>
              <w:left w:val="nil"/>
              <w:bottom w:val="single" w:sz="8" w:space="0" w:color="BFBFBF"/>
              <w:right w:val="single" w:sz="8" w:space="0" w:color="BFBFBF"/>
            </w:tcBorders>
            <w:shd w:val="clear" w:color="000000" w:fill="DBE5F1"/>
            <w:hideMark/>
          </w:tcPr>
          <w:p w:rsidR="00665097" w:rsidRPr="00300BEC" w:rsidRDefault="00153402" w:rsidP="00996F20">
            <w:pPr>
              <w:widowControl w:val="0"/>
              <w:spacing w:line="240" w:lineRule="exact"/>
              <w:jc w:val="center"/>
              <w:rPr>
                <w:rFonts w:cs="Arial"/>
                <w:b/>
                <w:bCs/>
                <w:color w:val="000000"/>
                <w:sz w:val="16"/>
                <w:szCs w:val="16"/>
              </w:rPr>
            </w:pPr>
            <w:r>
              <w:rPr>
                <w:rFonts w:cs="Arial"/>
                <w:b/>
                <w:bCs/>
                <w:color w:val="000000"/>
                <w:sz w:val="16"/>
                <w:szCs w:val="16"/>
              </w:rPr>
              <w:t>% ver.</w:t>
            </w:r>
          </w:p>
        </w:tc>
        <w:tc>
          <w:tcPr>
            <w:tcW w:w="747" w:type="pct"/>
            <w:tcBorders>
              <w:top w:val="nil"/>
              <w:left w:val="nil"/>
              <w:bottom w:val="single" w:sz="8" w:space="0" w:color="BFBFBF"/>
              <w:right w:val="nil"/>
            </w:tcBorders>
            <w:shd w:val="clear" w:color="000000" w:fill="DBE5F1"/>
            <w:hideMark/>
          </w:tcPr>
          <w:p w:rsidR="00665097" w:rsidRPr="00300BEC" w:rsidRDefault="00490B03" w:rsidP="00996F2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67" w:type="pct"/>
            <w:tcBorders>
              <w:top w:val="nil"/>
              <w:left w:val="nil"/>
              <w:bottom w:val="single" w:sz="8" w:space="0" w:color="BFBFBF"/>
              <w:right w:val="single" w:sz="8" w:space="0" w:color="BFBFBF"/>
            </w:tcBorders>
            <w:shd w:val="clear" w:color="000000" w:fill="DBE5F1"/>
            <w:hideMark/>
          </w:tcPr>
          <w:p w:rsidR="00665097" w:rsidRPr="00300BEC" w:rsidRDefault="00153402" w:rsidP="00996F20">
            <w:pPr>
              <w:widowControl w:val="0"/>
              <w:spacing w:line="240" w:lineRule="exact"/>
              <w:jc w:val="center"/>
              <w:rPr>
                <w:rFonts w:cs="Arial"/>
                <w:b/>
                <w:bCs/>
                <w:color w:val="000000"/>
                <w:sz w:val="16"/>
                <w:szCs w:val="16"/>
              </w:rPr>
            </w:pPr>
            <w:r>
              <w:rPr>
                <w:rFonts w:cs="Arial"/>
                <w:b/>
                <w:bCs/>
                <w:color w:val="000000"/>
                <w:sz w:val="16"/>
                <w:szCs w:val="16"/>
              </w:rPr>
              <w:t>% ver.</w:t>
            </w:r>
          </w:p>
        </w:tc>
        <w:tc>
          <w:tcPr>
            <w:tcW w:w="712" w:type="pct"/>
            <w:tcBorders>
              <w:top w:val="nil"/>
              <w:left w:val="nil"/>
              <w:bottom w:val="single" w:sz="8" w:space="0" w:color="BFBFBF"/>
              <w:right w:val="nil"/>
            </w:tcBorders>
            <w:shd w:val="clear" w:color="000000" w:fill="DBE5F1"/>
            <w:hideMark/>
          </w:tcPr>
          <w:p w:rsidR="00665097" w:rsidRPr="00300BEC" w:rsidRDefault="00490B03" w:rsidP="00996F2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68" w:type="pct"/>
            <w:tcBorders>
              <w:top w:val="nil"/>
              <w:left w:val="nil"/>
              <w:bottom w:val="single" w:sz="8" w:space="0" w:color="BFBFBF"/>
              <w:right w:val="single" w:sz="8" w:space="0" w:color="BFBFBF"/>
            </w:tcBorders>
            <w:shd w:val="clear" w:color="000000" w:fill="DBE5F1"/>
            <w:hideMark/>
          </w:tcPr>
          <w:p w:rsidR="00665097" w:rsidRPr="00300BEC" w:rsidRDefault="00153402" w:rsidP="00996F20">
            <w:pPr>
              <w:widowControl w:val="0"/>
              <w:spacing w:line="240" w:lineRule="exact"/>
              <w:jc w:val="center"/>
              <w:rPr>
                <w:rFonts w:cs="Arial"/>
                <w:b/>
                <w:bCs/>
                <w:color w:val="000000"/>
                <w:sz w:val="16"/>
                <w:szCs w:val="16"/>
              </w:rPr>
            </w:pPr>
            <w:r>
              <w:rPr>
                <w:rFonts w:cs="Arial"/>
                <w:b/>
                <w:bCs/>
                <w:color w:val="000000"/>
                <w:sz w:val="16"/>
                <w:szCs w:val="16"/>
              </w:rPr>
              <w:t>% ver.</w:t>
            </w:r>
          </w:p>
        </w:tc>
        <w:tc>
          <w:tcPr>
            <w:tcW w:w="712" w:type="pct"/>
            <w:tcBorders>
              <w:top w:val="nil"/>
              <w:left w:val="nil"/>
              <w:bottom w:val="single" w:sz="8" w:space="0" w:color="BFBFBF"/>
              <w:right w:val="nil"/>
            </w:tcBorders>
            <w:shd w:val="clear" w:color="000000" w:fill="DBE5F1"/>
            <w:hideMark/>
          </w:tcPr>
          <w:p w:rsidR="00665097" w:rsidRPr="00300BEC" w:rsidRDefault="00490B03" w:rsidP="00996F2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68" w:type="pct"/>
            <w:tcBorders>
              <w:top w:val="nil"/>
              <w:left w:val="nil"/>
              <w:bottom w:val="single" w:sz="8" w:space="0" w:color="BFBFBF"/>
              <w:right w:val="nil"/>
            </w:tcBorders>
            <w:shd w:val="clear" w:color="000000" w:fill="DBE5F1"/>
            <w:hideMark/>
          </w:tcPr>
          <w:p w:rsidR="00665097" w:rsidRPr="00300BEC" w:rsidRDefault="00153402" w:rsidP="00996F20">
            <w:pPr>
              <w:widowControl w:val="0"/>
              <w:spacing w:line="240" w:lineRule="exact"/>
              <w:jc w:val="center"/>
              <w:rPr>
                <w:rFonts w:cs="Arial"/>
                <w:b/>
                <w:bCs/>
                <w:color w:val="000000"/>
                <w:sz w:val="16"/>
                <w:szCs w:val="16"/>
              </w:rPr>
            </w:pPr>
            <w:r>
              <w:rPr>
                <w:rFonts w:cs="Arial"/>
                <w:b/>
                <w:bCs/>
                <w:color w:val="000000"/>
                <w:sz w:val="16"/>
                <w:szCs w:val="16"/>
              </w:rPr>
              <w:t>% ver.</w:t>
            </w:r>
          </w:p>
        </w:tc>
      </w:tr>
      <w:tr w:rsidR="00942645" w:rsidRPr="00300BEC" w:rsidTr="00D122F5">
        <w:trPr>
          <w:jc w:val="center"/>
        </w:trPr>
        <w:tc>
          <w:tcPr>
            <w:tcW w:w="601" w:type="pct"/>
            <w:tcBorders>
              <w:top w:val="nil"/>
              <w:left w:val="nil"/>
              <w:bottom w:val="nil"/>
              <w:right w:val="single" w:sz="8" w:space="0" w:color="BFBFBF"/>
            </w:tcBorders>
            <w:shd w:val="clear" w:color="auto" w:fill="auto"/>
            <w:hideMark/>
          </w:tcPr>
          <w:p w:rsidR="00942645" w:rsidRPr="00300BEC" w:rsidRDefault="00942645" w:rsidP="00996F20">
            <w:pPr>
              <w:widowControl w:val="0"/>
              <w:spacing w:line="240" w:lineRule="exact"/>
              <w:rPr>
                <w:rFonts w:cs="Arial"/>
                <w:color w:val="000000"/>
                <w:sz w:val="16"/>
                <w:szCs w:val="16"/>
              </w:rPr>
            </w:pPr>
            <w:r w:rsidRPr="00300BEC">
              <w:rPr>
                <w:rFonts w:cs="Arial"/>
                <w:color w:val="000000"/>
                <w:sz w:val="16"/>
                <w:szCs w:val="16"/>
              </w:rPr>
              <w:t>Primario</w:t>
            </w:r>
          </w:p>
        </w:tc>
        <w:tc>
          <w:tcPr>
            <w:tcW w:w="747" w:type="pct"/>
            <w:tcBorders>
              <w:top w:val="nil"/>
              <w:left w:val="nil"/>
              <w:bottom w:val="nil"/>
              <w:right w:val="nil"/>
            </w:tcBorders>
            <w:shd w:val="clear" w:color="auto" w:fill="auto"/>
            <w:noWrap/>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3.746.194</w:t>
            </w:r>
          </w:p>
        </w:tc>
        <w:tc>
          <w:tcPr>
            <w:tcW w:w="378" w:type="pct"/>
            <w:tcBorders>
              <w:top w:val="nil"/>
              <w:left w:val="nil"/>
              <w:bottom w:val="nil"/>
              <w:right w:val="single" w:sz="8" w:space="0" w:color="BFBFBF"/>
            </w:tcBorders>
            <w:shd w:val="clear" w:color="auto" w:fill="auto"/>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0,1</w:t>
            </w:r>
          </w:p>
        </w:tc>
        <w:tc>
          <w:tcPr>
            <w:tcW w:w="747" w:type="pct"/>
            <w:tcBorders>
              <w:top w:val="nil"/>
              <w:left w:val="nil"/>
              <w:bottom w:val="nil"/>
              <w:right w:val="nil"/>
            </w:tcBorders>
            <w:shd w:val="clear" w:color="auto" w:fill="auto"/>
            <w:noWrap/>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3.520.274</w:t>
            </w:r>
          </w:p>
        </w:tc>
        <w:tc>
          <w:tcPr>
            <w:tcW w:w="367" w:type="pct"/>
            <w:tcBorders>
              <w:top w:val="nil"/>
              <w:left w:val="nil"/>
              <w:bottom w:val="nil"/>
              <w:right w:val="single" w:sz="8" w:space="0" w:color="BFBFBF"/>
            </w:tcBorders>
            <w:shd w:val="clear" w:color="auto" w:fill="auto"/>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0,1</w:t>
            </w:r>
          </w:p>
        </w:tc>
        <w:tc>
          <w:tcPr>
            <w:tcW w:w="712" w:type="pct"/>
            <w:tcBorders>
              <w:top w:val="nil"/>
              <w:left w:val="nil"/>
              <w:bottom w:val="nil"/>
              <w:right w:val="nil"/>
            </w:tcBorders>
            <w:shd w:val="clear" w:color="auto" w:fill="auto"/>
            <w:noWrap/>
            <w:vAlign w:val="bottom"/>
            <w:hideMark/>
          </w:tcPr>
          <w:p w:rsidR="00942645" w:rsidRPr="00BA668A" w:rsidRDefault="00942645" w:rsidP="00996F20">
            <w:pPr>
              <w:widowControl w:val="0"/>
              <w:spacing w:line="240" w:lineRule="exact"/>
              <w:ind w:right="170"/>
              <w:jc w:val="right"/>
              <w:rPr>
                <w:rFonts w:cs="Arial"/>
                <w:color w:val="000000"/>
                <w:sz w:val="16"/>
                <w:szCs w:val="16"/>
              </w:rPr>
            </w:pPr>
            <w:r w:rsidRPr="00BA668A">
              <w:rPr>
                <w:rFonts w:cs="Arial"/>
                <w:color w:val="000000"/>
                <w:sz w:val="16"/>
                <w:szCs w:val="16"/>
              </w:rPr>
              <w:t>0</w:t>
            </w:r>
          </w:p>
        </w:tc>
        <w:tc>
          <w:tcPr>
            <w:tcW w:w="368" w:type="pct"/>
            <w:tcBorders>
              <w:top w:val="nil"/>
              <w:left w:val="nil"/>
              <w:bottom w:val="nil"/>
              <w:right w:val="single" w:sz="8" w:space="0" w:color="BFBFBF"/>
            </w:tcBorders>
            <w:shd w:val="clear" w:color="auto" w:fill="auto"/>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0,0</w:t>
            </w:r>
          </w:p>
        </w:tc>
        <w:tc>
          <w:tcPr>
            <w:tcW w:w="712" w:type="pct"/>
            <w:tcBorders>
              <w:top w:val="nil"/>
              <w:left w:val="nil"/>
              <w:bottom w:val="nil"/>
              <w:right w:val="nil"/>
            </w:tcBorders>
            <w:shd w:val="clear" w:color="auto" w:fill="auto"/>
            <w:noWrap/>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225.920</w:t>
            </w:r>
          </w:p>
        </w:tc>
        <w:tc>
          <w:tcPr>
            <w:tcW w:w="368" w:type="pct"/>
            <w:tcBorders>
              <w:top w:val="nil"/>
              <w:left w:val="nil"/>
              <w:bottom w:val="nil"/>
              <w:right w:val="nil"/>
            </w:tcBorders>
            <w:shd w:val="clear" w:color="auto" w:fill="auto"/>
            <w:vAlign w:val="bottom"/>
            <w:hideMark/>
          </w:tcPr>
          <w:p w:rsidR="00942645" w:rsidRPr="00942645" w:rsidRDefault="00942645" w:rsidP="00996F20">
            <w:pPr>
              <w:widowControl w:val="0"/>
              <w:spacing w:line="240" w:lineRule="exact"/>
              <w:ind w:right="170"/>
              <w:jc w:val="right"/>
              <w:rPr>
                <w:rFonts w:cs="Arial"/>
                <w:color w:val="000000"/>
                <w:sz w:val="16"/>
                <w:szCs w:val="16"/>
              </w:rPr>
            </w:pPr>
            <w:r w:rsidRPr="00942645">
              <w:rPr>
                <w:rFonts w:cs="Arial"/>
                <w:color w:val="000000"/>
                <w:sz w:val="16"/>
                <w:szCs w:val="16"/>
              </w:rPr>
              <w:t>0,2</w:t>
            </w:r>
          </w:p>
        </w:tc>
      </w:tr>
      <w:tr w:rsidR="00942645" w:rsidRPr="00300BEC" w:rsidTr="00D122F5">
        <w:trPr>
          <w:jc w:val="center"/>
        </w:trPr>
        <w:tc>
          <w:tcPr>
            <w:tcW w:w="601" w:type="pct"/>
            <w:tcBorders>
              <w:top w:val="nil"/>
              <w:left w:val="nil"/>
              <w:bottom w:val="nil"/>
              <w:right w:val="single" w:sz="8" w:space="0" w:color="BFBFBF"/>
            </w:tcBorders>
            <w:shd w:val="clear" w:color="auto" w:fill="auto"/>
            <w:hideMark/>
          </w:tcPr>
          <w:p w:rsidR="00942645" w:rsidRPr="00300BEC" w:rsidRDefault="00942645" w:rsidP="00996F20">
            <w:pPr>
              <w:widowControl w:val="0"/>
              <w:spacing w:line="240" w:lineRule="exact"/>
              <w:rPr>
                <w:rFonts w:cs="Arial"/>
                <w:color w:val="000000"/>
                <w:sz w:val="16"/>
                <w:szCs w:val="16"/>
              </w:rPr>
            </w:pPr>
            <w:r w:rsidRPr="00300BEC">
              <w:rPr>
                <w:rFonts w:cs="Arial"/>
                <w:color w:val="000000"/>
                <w:sz w:val="16"/>
                <w:szCs w:val="16"/>
              </w:rPr>
              <w:t>Industria</w:t>
            </w:r>
          </w:p>
        </w:tc>
        <w:tc>
          <w:tcPr>
            <w:tcW w:w="747" w:type="pct"/>
            <w:tcBorders>
              <w:top w:val="nil"/>
              <w:left w:val="nil"/>
              <w:bottom w:val="nil"/>
              <w:right w:val="nil"/>
            </w:tcBorders>
            <w:shd w:val="clear" w:color="auto" w:fill="auto"/>
            <w:noWrap/>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1.334.363.683</w:t>
            </w:r>
          </w:p>
        </w:tc>
        <w:tc>
          <w:tcPr>
            <w:tcW w:w="378" w:type="pct"/>
            <w:tcBorders>
              <w:top w:val="nil"/>
              <w:left w:val="nil"/>
              <w:bottom w:val="nil"/>
              <w:right w:val="single" w:sz="8" w:space="0" w:color="BFBFBF"/>
            </w:tcBorders>
            <w:shd w:val="clear" w:color="auto" w:fill="auto"/>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51,0</w:t>
            </w:r>
          </w:p>
        </w:tc>
        <w:tc>
          <w:tcPr>
            <w:tcW w:w="747" w:type="pct"/>
            <w:tcBorders>
              <w:top w:val="nil"/>
              <w:left w:val="nil"/>
              <w:bottom w:val="nil"/>
              <w:right w:val="nil"/>
            </w:tcBorders>
            <w:shd w:val="clear" w:color="auto" w:fill="auto"/>
            <w:noWrap/>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1.159.781.571</w:t>
            </w:r>
          </w:p>
        </w:tc>
        <w:tc>
          <w:tcPr>
            <w:tcW w:w="367" w:type="pct"/>
            <w:tcBorders>
              <w:top w:val="nil"/>
              <w:left w:val="nil"/>
              <w:bottom w:val="nil"/>
              <w:right w:val="single" w:sz="8" w:space="0" w:color="BFBFBF"/>
            </w:tcBorders>
            <w:shd w:val="clear" w:color="auto" w:fill="auto"/>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49,2</w:t>
            </w:r>
          </w:p>
        </w:tc>
        <w:tc>
          <w:tcPr>
            <w:tcW w:w="712" w:type="pct"/>
            <w:tcBorders>
              <w:top w:val="nil"/>
              <w:left w:val="nil"/>
              <w:bottom w:val="nil"/>
              <w:right w:val="nil"/>
            </w:tcBorders>
            <w:shd w:val="clear" w:color="auto" w:fill="auto"/>
            <w:noWrap/>
            <w:vAlign w:val="bottom"/>
            <w:hideMark/>
          </w:tcPr>
          <w:p w:rsidR="00942645" w:rsidRPr="00BA668A" w:rsidRDefault="00942645" w:rsidP="00996F20">
            <w:pPr>
              <w:widowControl w:val="0"/>
              <w:spacing w:line="240" w:lineRule="exact"/>
              <w:ind w:right="170"/>
              <w:jc w:val="right"/>
              <w:rPr>
                <w:rFonts w:cs="Arial"/>
                <w:color w:val="000000"/>
                <w:sz w:val="16"/>
                <w:szCs w:val="16"/>
              </w:rPr>
            </w:pPr>
            <w:r w:rsidRPr="00BA668A">
              <w:rPr>
                <w:rFonts w:cs="Arial"/>
                <w:color w:val="000000"/>
                <w:sz w:val="16"/>
                <w:szCs w:val="16"/>
              </w:rPr>
              <w:t>108.740.904</w:t>
            </w:r>
          </w:p>
        </w:tc>
        <w:tc>
          <w:tcPr>
            <w:tcW w:w="368" w:type="pct"/>
            <w:tcBorders>
              <w:top w:val="nil"/>
              <w:left w:val="nil"/>
              <w:bottom w:val="nil"/>
              <w:right w:val="single" w:sz="8" w:space="0" w:color="BFBFBF"/>
            </w:tcBorders>
            <w:shd w:val="clear" w:color="auto" w:fill="auto"/>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81,4</w:t>
            </w:r>
          </w:p>
        </w:tc>
        <w:tc>
          <w:tcPr>
            <w:tcW w:w="712" w:type="pct"/>
            <w:tcBorders>
              <w:top w:val="nil"/>
              <w:left w:val="nil"/>
              <w:bottom w:val="nil"/>
              <w:right w:val="nil"/>
            </w:tcBorders>
            <w:shd w:val="clear" w:color="auto" w:fill="auto"/>
            <w:noWrap/>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65.841.208</w:t>
            </w:r>
          </w:p>
        </w:tc>
        <w:tc>
          <w:tcPr>
            <w:tcW w:w="368" w:type="pct"/>
            <w:tcBorders>
              <w:top w:val="nil"/>
              <w:left w:val="nil"/>
              <w:bottom w:val="nil"/>
              <w:right w:val="nil"/>
            </w:tcBorders>
            <w:shd w:val="clear" w:color="auto" w:fill="auto"/>
            <w:vAlign w:val="bottom"/>
            <w:hideMark/>
          </w:tcPr>
          <w:p w:rsidR="00942645" w:rsidRPr="00942645" w:rsidRDefault="00942645" w:rsidP="00996F20">
            <w:pPr>
              <w:widowControl w:val="0"/>
              <w:spacing w:line="240" w:lineRule="exact"/>
              <w:ind w:right="170"/>
              <w:jc w:val="right"/>
              <w:rPr>
                <w:rFonts w:cs="Arial"/>
                <w:color w:val="000000"/>
                <w:sz w:val="16"/>
                <w:szCs w:val="16"/>
              </w:rPr>
            </w:pPr>
            <w:r w:rsidRPr="00942645">
              <w:rPr>
                <w:rFonts w:cs="Arial"/>
                <w:color w:val="000000"/>
                <w:sz w:val="16"/>
                <w:szCs w:val="16"/>
              </w:rPr>
              <w:t>53,7</w:t>
            </w:r>
          </w:p>
        </w:tc>
      </w:tr>
      <w:tr w:rsidR="00942645" w:rsidRPr="00300BEC" w:rsidTr="00D122F5">
        <w:trPr>
          <w:jc w:val="center"/>
        </w:trPr>
        <w:tc>
          <w:tcPr>
            <w:tcW w:w="601" w:type="pct"/>
            <w:tcBorders>
              <w:top w:val="nil"/>
              <w:left w:val="nil"/>
              <w:bottom w:val="nil"/>
              <w:right w:val="single" w:sz="8" w:space="0" w:color="BFBFBF"/>
            </w:tcBorders>
            <w:shd w:val="clear" w:color="auto" w:fill="auto"/>
            <w:vAlign w:val="bottom"/>
            <w:hideMark/>
          </w:tcPr>
          <w:p w:rsidR="00942645" w:rsidRPr="00300BEC" w:rsidRDefault="00942645" w:rsidP="00996F20">
            <w:pPr>
              <w:widowControl w:val="0"/>
              <w:spacing w:line="240" w:lineRule="exact"/>
              <w:rPr>
                <w:rFonts w:cs="Arial"/>
                <w:color w:val="000000"/>
                <w:sz w:val="16"/>
                <w:szCs w:val="16"/>
              </w:rPr>
            </w:pPr>
            <w:r w:rsidRPr="00300BEC">
              <w:rPr>
                <w:rFonts w:cs="Arial"/>
                <w:color w:val="000000"/>
                <w:sz w:val="16"/>
                <w:szCs w:val="16"/>
              </w:rPr>
              <w:t>Construcción</w:t>
            </w:r>
          </w:p>
        </w:tc>
        <w:tc>
          <w:tcPr>
            <w:tcW w:w="747" w:type="pct"/>
            <w:tcBorders>
              <w:top w:val="nil"/>
              <w:left w:val="nil"/>
              <w:bottom w:val="nil"/>
              <w:right w:val="nil"/>
            </w:tcBorders>
            <w:shd w:val="clear" w:color="auto" w:fill="auto"/>
            <w:noWrap/>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49.863.700</w:t>
            </w:r>
          </w:p>
        </w:tc>
        <w:tc>
          <w:tcPr>
            <w:tcW w:w="378" w:type="pct"/>
            <w:tcBorders>
              <w:top w:val="nil"/>
              <w:left w:val="nil"/>
              <w:bottom w:val="nil"/>
              <w:right w:val="single" w:sz="8" w:space="0" w:color="BFBFBF"/>
            </w:tcBorders>
            <w:shd w:val="clear" w:color="auto" w:fill="auto"/>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1,9</w:t>
            </w:r>
          </w:p>
        </w:tc>
        <w:tc>
          <w:tcPr>
            <w:tcW w:w="747" w:type="pct"/>
            <w:tcBorders>
              <w:top w:val="nil"/>
              <w:left w:val="nil"/>
              <w:bottom w:val="nil"/>
              <w:right w:val="nil"/>
            </w:tcBorders>
            <w:shd w:val="clear" w:color="auto" w:fill="auto"/>
            <w:noWrap/>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29.544.243</w:t>
            </w:r>
          </w:p>
        </w:tc>
        <w:tc>
          <w:tcPr>
            <w:tcW w:w="367" w:type="pct"/>
            <w:tcBorders>
              <w:top w:val="nil"/>
              <w:left w:val="nil"/>
              <w:bottom w:val="nil"/>
              <w:right w:val="single" w:sz="8" w:space="0" w:color="BFBFBF"/>
            </w:tcBorders>
            <w:shd w:val="clear" w:color="auto" w:fill="auto"/>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1,3</w:t>
            </w:r>
          </w:p>
        </w:tc>
        <w:tc>
          <w:tcPr>
            <w:tcW w:w="712" w:type="pct"/>
            <w:tcBorders>
              <w:top w:val="nil"/>
              <w:left w:val="nil"/>
              <w:bottom w:val="nil"/>
              <w:right w:val="nil"/>
            </w:tcBorders>
            <w:shd w:val="clear" w:color="auto" w:fill="auto"/>
            <w:noWrap/>
            <w:vAlign w:val="bottom"/>
            <w:hideMark/>
          </w:tcPr>
          <w:p w:rsidR="00942645" w:rsidRPr="00BA668A" w:rsidRDefault="00942645" w:rsidP="00996F20">
            <w:pPr>
              <w:widowControl w:val="0"/>
              <w:spacing w:line="240" w:lineRule="exact"/>
              <w:ind w:right="170"/>
              <w:jc w:val="right"/>
              <w:rPr>
                <w:rFonts w:cs="Arial"/>
                <w:color w:val="000000"/>
                <w:sz w:val="16"/>
                <w:szCs w:val="16"/>
              </w:rPr>
            </w:pPr>
            <w:r w:rsidRPr="00BA668A">
              <w:rPr>
                <w:rFonts w:cs="Arial"/>
                <w:color w:val="000000"/>
                <w:sz w:val="16"/>
                <w:szCs w:val="16"/>
              </w:rPr>
              <w:t>7.115.998</w:t>
            </w:r>
          </w:p>
        </w:tc>
        <w:tc>
          <w:tcPr>
            <w:tcW w:w="368" w:type="pct"/>
            <w:tcBorders>
              <w:top w:val="nil"/>
              <w:left w:val="nil"/>
              <w:bottom w:val="nil"/>
              <w:right w:val="single" w:sz="8" w:space="0" w:color="BFBFBF"/>
            </w:tcBorders>
            <w:shd w:val="clear" w:color="auto" w:fill="auto"/>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5,3</w:t>
            </w:r>
          </w:p>
        </w:tc>
        <w:tc>
          <w:tcPr>
            <w:tcW w:w="712" w:type="pct"/>
            <w:tcBorders>
              <w:top w:val="nil"/>
              <w:left w:val="nil"/>
              <w:bottom w:val="nil"/>
              <w:right w:val="nil"/>
            </w:tcBorders>
            <w:shd w:val="clear" w:color="auto" w:fill="auto"/>
            <w:noWrap/>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13.203.459</w:t>
            </w:r>
          </w:p>
        </w:tc>
        <w:tc>
          <w:tcPr>
            <w:tcW w:w="368" w:type="pct"/>
            <w:tcBorders>
              <w:top w:val="nil"/>
              <w:left w:val="nil"/>
              <w:bottom w:val="nil"/>
              <w:right w:val="nil"/>
            </w:tcBorders>
            <w:shd w:val="clear" w:color="auto" w:fill="auto"/>
            <w:vAlign w:val="bottom"/>
            <w:hideMark/>
          </w:tcPr>
          <w:p w:rsidR="00942645" w:rsidRPr="00942645" w:rsidRDefault="00942645" w:rsidP="00996F20">
            <w:pPr>
              <w:widowControl w:val="0"/>
              <w:spacing w:line="240" w:lineRule="exact"/>
              <w:ind w:right="170"/>
              <w:jc w:val="right"/>
              <w:rPr>
                <w:rFonts w:cs="Arial"/>
                <w:color w:val="000000"/>
                <w:sz w:val="16"/>
                <w:szCs w:val="16"/>
              </w:rPr>
            </w:pPr>
            <w:r w:rsidRPr="00942645">
              <w:rPr>
                <w:rFonts w:cs="Arial"/>
                <w:color w:val="000000"/>
                <w:sz w:val="16"/>
                <w:szCs w:val="16"/>
              </w:rPr>
              <w:t>10,8</w:t>
            </w:r>
          </w:p>
        </w:tc>
      </w:tr>
      <w:tr w:rsidR="00942645" w:rsidRPr="00300BEC" w:rsidTr="00D122F5">
        <w:trPr>
          <w:jc w:val="center"/>
        </w:trPr>
        <w:tc>
          <w:tcPr>
            <w:tcW w:w="601" w:type="pct"/>
            <w:tcBorders>
              <w:top w:val="nil"/>
              <w:left w:val="nil"/>
              <w:bottom w:val="single" w:sz="8" w:space="0" w:color="BFBFBF"/>
              <w:right w:val="single" w:sz="8" w:space="0" w:color="BFBFBF"/>
            </w:tcBorders>
            <w:shd w:val="clear" w:color="auto" w:fill="auto"/>
            <w:hideMark/>
          </w:tcPr>
          <w:p w:rsidR="00942645" w:rsidRPr="00300BEC" w:rsidRDefault="00942645" w:rsidP="00996F20">
            <w:pPr>
              <w:widowControl w:val="0"/>
              <w:spacing w:line="240" w:lineRule="exact"/>
              <w:rPr>
                <w:rFonts w:cs="Arial"/>
                <w:color w:val="000000"/>
                <w:sz w:val="16"/>
                <w:szCs w:val="16"/>
              </w:rPr>
            </w:pPr>
            <w:r w:rsidRPr="00300BEC">
              <w:rPr>
                <w:rFonts w:cs="Arial"/>
                <w:color w:val="000000"/>
                <w:sz w:val="16"/>
                <w:szCs w:val="16"/>
              </w:rPr>
              <w:t>Servicios</w:t>
            </w:r>
          </w:p>
        </w:tc>
        <w:tc>
          <w:tcPr>
            <w:tcW w:w="747" w:type="pct"/>
            <w:tcBorders>
              <w:top w:val="nil"/>
              <w:left w:val="nil"/>
              <w:bottom w:val="single" w:sz="8" w:space="0" w:color="BFBFBF"/>
              <w:right w:val="nil"/>
            </w:tcBorders>
            <w:shd w:val="clear" w:color="auto" w:fill="auto"/>
            <w:noWrap/>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1.227.154.689</w:t>
            </w:r>
          </w:p>
        </w:tc>
        <w:tc>
          <w:tcPr>
            <w:tcW w:w="378" w:type="pct"/>
            <w:tcBorders>
              <w:top w:val="nil"/>
              <w:left w:val="nil"/>
              <w:bottom w:val="single" w:sz="8" w:space="0" w:color="BFBFBF"/>
              <w:right w:val="single" w:sz="8" w:space="0" w:color="BFBFBF"/>
            </w:tcBorders>
            <w:shd w:val="clear" w:color="auto" w:fill="auto"/>
            <w:vAlign w:val="bottom"/>
            <w:hideMark/>
          </w:tcPr>
          <w:p w:rsidR="00942645" w:rsidRPr="00403E87" w:rsidRDefault="00942645" w:rsidP="00996F20">
            <w:pPr>
              <w:widowControl w:val="0"/>
              <w:spacing w:line="240" w:lineRule="exact"/>
              <w:ind w:right="170"/>
              <w:jc w:val="right"/>
              <w:rPr>
                <w:rFonts w:cs="Arial"/>
                <w:color w:val="000000"/>
                <w:sz w:val="16"/>
                <w:szCs w:val="16"/>
              </w:rPr>
            </w:pPr>
            <w:r w:rsidRPr="00403E87">
              <w:rPr>
                <w:rFonts w:cs="Arial"/>
                <w:color w:val="000000"/>
                <w:sz w:val="16"/>
                <w:szCs w:val="16"/>
              </w:rPr>
              <w:t>46,9</w:t>
            </w:r>
          </w:p>
        </w:tc>
        <w:tc>
          <w:tcPr>
            <w:tcW w:w="747" w:type="pct"/>
            <w:tcBorders>
              <w:top w:val="nil"/>
              <w:left w:val="nil"/>
              <w:bottom w:val="single" w:sz="8" w:space="0" w:color="BFBFBF"/>
              <w:right w:val="nil"/>
            </w:tcBorders>
            <w:shd w:val="clear" w:color="auto" w:fill="auto"/>
            <w:noWrap/>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1.166.038.867</w:t>
            </w:r>
          </w:p>
        </w:tc>
        <w:tc>
          <w:tcPr>
            <w:tcW w:w="367" w:type="pct"/>
            <w:tcBorders>
              <w:top w:val="nil"/>
              <w:left w:val="nil"/>
              <w:bottom w:val="single" w:sz="8" w:space="0" w:color="BFBFBF"/>
              <w:right w:val="single" w:sz="8" w:space="0" w:color="BFBFBF"/>
            </w:tcBorders>
            <w:shd w:val="clear" w:color="auto" w:fill="auto"/>
            <w:vAlign w:val="bottom"/>
            <w:hideMark/>
          </w:tcPr>
          <w:p w:rsidR="00942645" w:rsidRPr="00E95838" w:rsidRDefault="00942645" w:rsidP="00996F20">
            <w:pPr>
              <w:widowControl w:val="0"/>
              <w:spacing w:line="240" w:lineRule="exact"/>
              <w:ind w:right="170"/>
              <w:jc w:val="right"/>
              <w:rPr>
                <w:rFonts w:cs="Arial"/>
                <w:color w:val="000000"/>
                <w:sz w:val="16"/>
                <w:szCs w:val="16"/>
              </w:rPr>
            </w:pPr>
            <w:r w:rsidRPr="00E95838">
              <w:rPr>
                <w:rFonts w:cs="Arial"/>
                <w:color w:val="000000"/>
                <w:sz w:val="16"/>
                <w:szCs w:val="16"/>
              </w:rPr>
              <w:t>49,4</w:t>
            </w:r>
          </w:p>
        </w:tc>
        <w:tc>
          <w:tcPr>
            <w:tcW w:w="712" w:type="pct"/>
            <w:tcBorders>
              <w:top w:val="nil"/>
              <w:left w:val="nil"/>
              <w:bottom w:val="single" w:sz="8" w:space="0" w:color="BFBFBF"/>
              <w:right w:val="nil"/>
            </w:tcBorders>
            <w:shd w:val="clear" w:color="auto" w:fill="auto"/>
            <w:noWrap/>
            <w:vAlign w:val="bottom"/>
            <w:hideMark/>
          </w:tcPr>
          <w:p w:rsidR="00942645" w:rsidRPr="00BA668A" w:rsidRDefault="00942645" w:rsidP="00996F20">
            <w:pPr>
              <w:widowControl w:val="0"/>
              <w:spacing w:line="240" w:lineRule="exact"/>
              <w:ind w:right="170"/>
              <w:jc w:val="right"/>
              <w:rPr>
                <w:rFonts w:cs="Arial"/>
                <w:color w:val="000000"/>
                <w:sz w:val="16"/>
                <w:szCs w:val="16"/>
              </w:rPr>
            </w:pPr>
            <w:r w:rsidRPr="00BA668A">
              <w:rPr>
                <w:rFonts w:cs="Arial"/>
                <w:color w:val="000000"/>
                <w:sz w:val="16"/>
                <w:szCs w:val="16"/>
              </w:rPr>
              <w:t>17.785.288</w:t>
            </w:r>
          </w:p>
        </w:tc>
        <w:tc>
          <w:tcPr>
            <w:tcW w:w="368" w:type="pct"/>
            <w:tcBorders>
              <w:top w:val="nil"/>
              <w:left w:val="nil"/>
              <w:bottom w:val="single" w:sz="8" w:space="0" w:color="BFBFBF"/>
              <w:right w:val="single" w:sz="8" w:space="0" w:color="BFBFBF"/>
            </w:tcBorders>
            <w:shd w:val="clear" w:color="auto" w:fill="auto"/>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13,3</w:t>
            </w:r>
          </w:p>
        </w:tc>
        <w:tc>
          <w:tcPr>
            <w:tcW w:w="712" w:type="pct"/>
            <w:tcBorders>
              <w:top w:val="nil"/>
              <w:left w:val="nil"/>
              <w:bottom w:val="single" w:sz="8" w:space="0" w:color="BFBFBF"/>
              <w:right w:val="nil"/>
            </w:tcBorders>
            <w:shd w:val="clear" w:color="auto" w:fill="auto"/>
            <w:noWrap/>
            <w:vAlign w:val="bottom"/>
            <w:hideMark/>
          </w:tcPr>
          <w:p w:rsidR="00942645" w:rsidRPr="00192B08" w:rsidRDefault="00942645" w:rsidP="00996F20">
            <w:pPr>
              <w:widowControl w:val="0"/>
              <w:spacing w:line="240" w:lineRule="exact"/>
              <w:ind w:right="170"/>
              <w:jc w:val="right"/>
              <w:rPr>
                <w:rFonts w:cs="Arial"/>
                <w:color w:val="000000"/>
                <w:sz w:val="16"/>
                <w:szCs w:val="16"/>
              </w:rPr>
            </w:pPr>
            <w:r w:rsidRPr="00192B08">
              <w:rPr>
                <w:rFonts w:cs="Arial"/>
                <w:color w:val="000000"/>
                <w:sz w:val="16"/>
                <w:szCs w:val="16"/>
              </w:rPr>
              <w:t>43.330.534</w:t>
            </w:r>
          </w:p>
        </w:tc>
        <w:tc>
          <w:tcPr>
            <w:tcW w:w="368" w:type="pct"/>
            <w:tcBorders>
              <w:top w:val="nil"/>
              <w:left w:val="nil"/>
              <w:bottom w:val="single" w:sz="8" w:space="0" w:color="BFBFBF"/>
            </w:tcBorders>
            <w:shd w:val="clear" w:color="auto" w:fill="auto"/>
            <w:vAlign w:val="bottom"/>
            <w:hideMark/>
          </w:tcPr>
          <w:p w:rsidR="00942645" w:rsidRPr="00942645" w:rsidRDefault="00942645" w:rsidP="00996F20">
            <w:pPr>
              <w:widowControl w:val="0"/>
              <w:spacing w:line="240" w:lineRule="exact"/>
              <w:ind w:right="170"/>
              <w:jc w:val="right"/>
              <w:rPr>
                <w:rFonts w:cs="Arial"/>
                <w:color w:val="000000"/>
                <w:sz w:val="16"/>
                <w:szCs w:val="16"/>
              </w:rPr>
            </w:pPr>
            <w:r w:rsidRPr="00942645">
              <w:rPr>
                <w:rFonts w:cs="Arial"/>
                <w:color w:val="000000"/>
                <w:sz w:val="16"/>
                <w:szCs w:val="16"/>
              </w:rPr>
              <w:t>35,3</w:t>
            </w:r>
          </w:p>
        </w:tc>
      </w:tr>
      <w:tr w:rsidR="00BA668A" w:rsidRPr="00C634E9" w:rsidTr="00D122F5">
        <w:trPr>
          <w:jc w:val="center"/>
        </w:trPr>
        <w:tc>
          <w:tcPr>
            <w:tcW w:w="601" w:type="pct"/>
            <w:tcBorders>
              <w:top w:val="nil"/>
              <w:left w:val="nil"/>
              <w:bottom w:val="single" w:sz="8" w:space="0" w:color="BFBFBF"/>
              <w:right w:val="single" w:sz="8" w:space="0" w:color="BFBFBF"/>
            </w:tcBorders>
            <w:shd w:val="clear" w:color="auto" w:fill="auto"/>
            <w:hideMark/>
          </w:tcPr>
          <w:p w:rsidR="00BA668A" w:rsidRPr="00300BEC" w:rsidRDefault="00BA668A" w:rsidP="00996F20">
            <w:pPr>
              <w:widowControl w:val="0"/>
              <w:spacing w:line="240" w:lineRule="exact"/>
              <w:rPr>
                <w:rFonts w:cs="Arial"/>
                <w:b/>
                <w:bCs/>
                <w:color w:val="000000"/>
                <w:sz w:val="16"/>
                <w:szCs w:val="16"/>
              </w:rPr>
            </w:pPr>
            <w:r w:rsidRPr="00300BEC">
              <w:rPr>
                <w:rFonts w:cs="Arial"/>
                <w:b/>
                <w:bCs/>
                <w:color w:val="000000"/>
                <w:sz w:val="16"/>
                <w:szCs w:val="16"/>
              </w:rPr>
              <w:t>TOTAL</w:t>
            </w:r>
          </w:p>
        </w:tc>
        <w:tc>
          <w:tcPr>
            <w:tcW w:w="747" w:type="pct"/>
            <w:tcBorders>
              <w:top w:val="nil"/>
              <w:left w:val="nil"/>
              <w:bottom w:val="single" w:sz="8" w:space="0" w:color="BFBFBF"/>
              <w:right w:val="nil"/>
            </w:tcBorders>
            <w:shd w:val="clear" w:color="auto" w:fill="auto"/>
            <w:hideMark/>
          </w:tcPr>
          <w:p w:rsidR="00BA668A" w:rsidRPr="00300BEC" w:rsidRDefault="00BA668A" w:rsidP="00996F20">
            <w:pPr>
              <w:widowControl w:val="0"/>
              <w:spacing w:line="240" w:lineRule="exact"/>
              <w:ind w:right="170"/>
              <w:jc w:val="right"/>
              <w:rPr>
                <w:rFonts w:cs="Arial"/>
                <w:b/>
                <w:bCs/>
                <w:color w:val="000000"/>
                <w:sz w:val="16"/>
                <w:szCs w:val="16"/>
              </w:rPr>
            </w:pPr>
            <w:r w:rsidRPr="00403E87">
              <w:rPr>
                <w:rFonts w:cs="Arial"/>
                <w:b/>
                <w:bCs/>
                <w:color w:val="000000"/>
                <w:sz w:val="16"/>
                <w:szCs w:val="16"/>
              </w:rPr>
              <w:t>2.615.128.266</w:t>
            </w:r>
          </w:p>
        </w:tc>
        <w:tc>
          <w:tcPr>
            <w:tcW w:w="378" w:type="pct"/>
            <w:tcBorders>
              <w:top w:val="nil"/>
              <w:left w:val="nil"/>
              <w:bottom w:val="single" w:sz="8" w:space="0" w:color="BFBFBF"/>
              <w:right w:val="single" w:sz="8" w:space="0" w:color="BFBFBF"/>
            </w:tcBorders>
            <w:shd w:val="clear" w:color="auto" w:fill="auto"/>
            <w:hideMark/>
          </w:tcPr>
          <w:p w:rsidR="00BA668A" w:rsidRPr="00300BEC" w:rsidRDefault="00BA668A" w:rsidP="00996F20">
            <w:pPr>
              <w:widowControl w:val="0"/>
              <w:spacing w:line="240" w:lineRule="exact"/>
              <w:ind w:right="170"/>
              <w:jc w:val="right"/>
              <w:rPr>
                <w:rFonts w:cs="Arial"/>
                <w:b/>
                <w:bCs/>
                <w:color w:val="000000"/>
                <w:sz w:val="16"/>
                <w:szCs w:val="16"/>
              </w:rPr>
            </w:pPr>
            <w:r w:rsidRPr="00300BEC">
              <w:rPr>
                <w:rFonts w:cs="Arial"/>
                <w:b/>
                <w:bCs/>
                <w:color w:val="000000"/>
                <w:sz w:val="16"/>
                <w:szCs w:val="16"/>
              </w:rPr>
              <w:t>100</w:t>
            </w:r>
            <w:r w:rsidR="007F441F">
              <w:rPr>
                <w:rFonts w:cs="Arial"/>
                <w:b/>
                <w:bCs/>
                <w:color w:val="000000"/>
                <w:sz w:val="16"/>
                <w:szCs w:val="16"/>
              </w:rPr>
              <w:t>,0</w:t>
            </w:r>
          </w:p>
        </w:tc>
        <w:tc>
          <w:tcPr>
            <w:tcW w:w="747" w:type="pct"/>
            <w:tcBorders>
              <w:top w:val="nil"/>
              <w:left w:val="nil"/>
              <w:bottom w:val="single" w:sz="8" w:space="0" w:color="BFBFBF"/>
              <w:right w:val="nil"/>
            </w:tcBorders>
            <w:shd w:val="clear" w:color="auto" w:fill="auto"/>
            <w:hideMark/>
          </w:tcPr>
          <w:p w:rsidR="00BA668A" w:rsidRPr="00300BEC" w:rsidRDefault="00BA668A" w:rsidP="00996F20">
            <w:pPr>
              <w:widowControl w:val="0"/>
              <w:spacing w:line="240" w:lineRule="exact"/>
              <w:ind w:right="170"/>
              <w:jc w:val="right"/>
              <w:rPr>
                <w:rFonts w:cs="Arial"/>
                <w:b/>
                <w:bCs/>
                <w:color w:val="000000"/>
                <w:sz w:val="16"/>
                <w:szCs w:val="16"/>
              </w:rPr>
            </w:pPr>
            <w:r w:rsidRPr="00E95838">
              <w:rPr>
                <w:rFonts w:cs="Arial"/>
                <w:b/>
                <w:bCs/>
                <w:color w:val="000000"/>
                <w:sz w:val="16"/>
                <w:szCs w:val="16"/>
              </w:rPr>
              <w:t>2.358.884.955</w:t>
            </w:r>
          </w:p>
        </w:tc>
        <w:tc>
          <w:tcPr>
            <w:tcW w:w="367" w:type="pct"/>
            <w:tcBorders>
              <w:top w:val="nil"/>
              <w:left w:val="nil"/>
              <w:bottom w:val="single" w:sz="8" w:space="0" w:color="BFBFBF"/>
              <w:right w:val="single" w:sz="8" w:space="0" w:color="BFBFBF"/>
            </w:tcBorders>
            <w:shd w:val="clear" w:color="auto" w:fill="auto"/>
            <w:hideMark/>
          </w:tcPr>
          <w:p w:rsidR="00BA668A" w:rsidRPr="00300BEC" w:rsidRDefault="00BA668A" w:rsidP="00996F20">
            <w:pPr>
              <w:widowControl w:val="0"/>
              <w:spacing w:line="240" w:lineRule="exact"/>
              <w:ind w:right="170"/>
              <w:jc w:val="right"/>
              <w:rPr>
                <w:rFonts w:cs="Arial"/>
                <w:b/>
                <w:bCs/>
                <w:color w:val="000000"/>
                <w:sz w:val="16"/>
                <w:szCs w:val="16"/>
              </w:rPr>
            </w:pPr>
            <w:r w:rsidRPr="00300BEC">
              <w:rPr>
                <w:rFonts w:cs="Arial"/>
                <w:b/>
                <w:bCs/>
                <w:color w:val="000000"/>
                <w:sz w:val="16"/>
                <w:szCs w:val="16"/>
              </w:rPr>
              <w:t>100</w:t>
            </w:r>
            <w:r w:rsidR="007F441F">
              <w:rPr>
                <w:rFonts w:cs="Arial"/>
                <w:b/>
                <w:bCs/>
                <w:color w:val="000000"/>
                <w:sz w:val="16"/>
                <w:szCs w:val="16"/>
              </w:rPr>
              <w:t>,0</w:t>
            </w:r>
          </w:p>
        </w:tc>
        <w:tc>
          <w:tcPr>
            <w:tcW w:w="712" w:type="pct"/>
            <w:tcBorders>
              <w:top w:val="nil"/>
              <w:left w:val="nil"/>
              <w:bottom w:val="single" w:sz="8" w:space="0" w:color="BFBFBF"/>
              <w:right w:val="nil"/>
            </w:tcBorders>
            <w:shd w:val="clear" w:color="auto" w:fill="auto"/>
            <w:vAlign w:val="bottom"/>
            <w:hideMark/>
          </w:tcPr>
          <w:p w:rsidR="00BA668A" w:rsidRPr="00BA668A" w:rsidRDefault="00BA668A" w:rsidP="00996F20">
            <w:pPr>
              <w:widowControl w:val="0"/>
              <w:spacing w:line="240" w:lineRule="exact"/>
              <w:ind w:right="170"/>
              <w:jc w:val="right"/>
              <w:rPr>
                <w:rFonts w:cs="Arial"/>
                <w:b/>
                <w:bCs/>
                <w:color w:val="000000"/>
                <w:sz w:val="16"/>
                <w:szCs w:val="16"/>
              </w:rPr>
            </w:pPr>
            <w:r w:rsidRPr="00BA668A">
              <w:rPr>
                <w:rFonts w:cs="Arial"/>
                <w:b/>
                <w:bCs/>
                <w:color w:val="000000"/>
                <w:sz w:val="16"/>
                <w:szCs w:val="16"/>
              </w:rPr>
              <w:t>133.642.191</w:t>
            </w:r>
          </w:p>
        </w:tc>
        <w:tc>
          <w:tcPr>
            <w:tcW w:w="368" w:type="pct"/>
            <w:tcBorders>
              <w:top w:val="nil"/>
              <w:left w:val="nil"/>
              <w:bottom w:val="single" w:sz="8" w:space="0" w:color="BFBFBF"/>
              <w:right w:val="single" w:sz="8" w:space="0" w:color="BFBFBF"/>
            </w:tcBorders>
            <w:shd w:val="clear" w:color="auto" w:fill="auto"/>
            <w:hideMark/>
          </w:tcPr>
          <w:p w:rsidR="00BA668A" w:rsidRPr="00300BEC" w:rsidRDefault="00BA668A" w:rsidP="00996F20">
            <w:pPr>
              <w:widowControl w:val="0"/>
              <w:spacing w:line="240" w:lineRule="exact"/>
              <w:ind w:right="170"/>
              <w:jc w:val="right"/>
              <w:rPr>
                <w:rFonts w:cs="Arial"/>
                <w:b/>
                <w:bCs/>
                <w:color w:val="000000"/>
                <w:sz w:val="16"/>
                <w:szCs w:val="16"/>
              </w:rPr>
            </w:pPr>
            <w:r w:rsidRPr="00300BEC">
              <w:rPr>
                <w:rFonts w:cs="Arial"/>
                <w:b/>
                <w:bCs/>
                <w:color w:val="000000"/>
                <w:sz w:val="16"/>
                <w:szCs w:val="16"/>
              </w:rPr>
              <w:t>100</w:t>
            </w:r>
            <w:r w:rsidR="007F441F">
              <w:rPr>
                <w:rFonts w:cs="Arial"/>
                <w:b/>
                <w:bCs/>
                <w:color w:val="000000"/>
                <w:sz w:val="16"/>
                <w:szCs w:val="16"/>
              </w:rPr>
              <w:t>,0</w:t>
            </w:r>
          </w:p>
        </w:tc>
        <w:tc>
          <w:tcPr>
            <w:tcW w:w="712" w:type="pct"/>
            <w:tcBorders>
              <w:top w:val="nil"/>
              <w:left w:val="nil"/>
              <w:bottom w:val="single" w:sz="8" w:space="0" w:color="BFBFBF"/>
              <w:right w:val="nil"/>
            </w:tcBorders>
            <w:shd w:val="clear" w:color="auto" w:fill="auto"/>
            <w:hideMark/>
          </w:tcPr>
          <w:p w:rsidR="00BA668A" w:rsidRPr="00192B08" w:rsidRDefault="00192B08" w:rsidP="00996F20">
            <w:pPr>
              <w:widowControl w:val="0"/>
              <w:spacing w:line="240" w:lineRule="exact"/>
              <w:jc w:val="center"/>
              <w:rPr>
                <w:rFonts w:cs="Arial"/>
                <w:b/>
                <w:bCs/>
                <w:color w:val="000000"/>
                <w:sz w:val="16"/>
                <w:szCs w:val="16"/>
              </w:rPr>
            </w:pPr>
            <w:r w:rsidRPr="00192B08">
              <w:rPr>
                <w:rFonts w:cs="Arial"/>
                <w:b/>
                <w:bCs/>
                <w:color w:val="000000"/>
                <w:sz w:val="16"/>
                <w:szCs w:val="16"/>
              </w:rPr>
              <w:t>122.601.121</w:t>
            </w:r>
          </w:p>
        </w:tc>
        <w:tc>
          <w:tcPr>
            <w:tcW w:w="368" w:type="pct"/>
            <w:tcBorders>
              <w:top w:val="nil"/>
              <w:left w:val="nil"/>
              <w:bottom w:val="single" w:sz="8" w:space="0" w:color="BFBFBF"/>
              <w:right w:val="nil"/>
            </w:tcBorders>
            <w:shd w:val="clear" w:color="auto" w:fill="auto"/>
            <w:hideMark/>
          </w:tcPr>
          <w:p w:rsidR="00BA668A" w:rsidRPr="00300BEC" w:rsidRDefault="00BA668A" w:rsidP="00996F20">
            <w:pPr>
              <w:widowControl w:val="0"/>
              <w:spacing w:line="240" w:lineRule="exact"/>
              <w:ind w:right="170"/>
              <w:jc w:val="center"/>
              <w:rPr>
                <w:rFonts w:cs="Arial"/>
                <w:b/>
                <w:bCs/>
                <w:color w:val="000000"/>
                <w:sz w:val="16"/>
                <w:szCs w:val="16"/>
              </w:rPr>
            </w:pPr>
            <w:r w:rsidRPr="00300BEC">
              <w:rPr>
                <w:rFonts w:cs="Arial"/>
                <w:b/>
                <w:bCs/>
                <w:color w:val="000000"/>
                <w:sz w:val="16"/>
                <w:szCs w:val="16"/>
              </w:rPr>
              <w:t>100</w:t>
            </w:r>
            <w:r w:rsidR="007F441F">
              <w:rPr>
                <w:rFonts w:cs="Arial"/>
                <w:b/>
                <w:bCs/>
                <w:color w:val="000000"/>
                <w:sz w:val="16"/>
                <w:szCs w:val="16"/>
              </w:rPr>
              <w:t>,0</w:t>
            </w:r>
          </w:p>
        </w:tc>
      </w:tr>
    </w:tbl>
    <w:p w:rsidR="00D10020" w:rsidRDefault="00D10020" w:rsidP="00BB313D">
      <w:pPr>
        <w:widowControl w:val="0"/>
      </w:pPr>
    </w:p>
    <w:p w:rsidR="001C63DE" w:rsidRDefault="001C63DE" w:rsidP="00BB313D">
      <w:pPr>
        <w:widowControl w:val="0"/>
      </w:pPr>
    </w:p>
    <w:p w:rsidR="001C63DE" w:rsidRDefault="001C63DE" w:rsidP="00BB313D">
      <w:pPr>
        <w:widowControl w:val="0"/>
      </w:pPr>
    </w:p>
    <w:p w:rsidR="00665097" w:rsidRPr="006209F1" w:rsidRDefault="00DE1512" w:rsidP="00BB313D">
      <w:pPr>
        <w:widowControl w:val="0"/>
        <w:spacing w:line="240" w:lineRule="auto"/>
        <w:jc w:val="center"/>
        <w:rPr>
          <w:b/>
          <w:color w:val="1F497D" w:themeColor="text2"/>
          <w:sz w:val="18"/>
          <w:szCs w:val="18"/>
        </w:rPr>
      </w:pPr>
      <w:bookmarkStart w:id="135" w:name="_Toc391565497"/>
      <w:bookmarkStart w:id="136" w:name="_Toc391999607"/>
      <w:bookmarkStart w:id="137" w:name="_Toc45011949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209F1">
        <w:rPr>
          <w:b/>
          <w:color w:val="1F497D" w:themeColor="text2"/>
          <w:sz w:val="18"/>
          <w:szCs w:val="18"/>
        </w:rPr>
        <w:t xml:space="preserve"> </w:t>
      </w:r>
      <w:r w:rsidR="00665097" w:rsidRPr="006209F1">
        <w:rPr>
          <w:b/>
          <w:color w:val="1F497D" w:themeColor="text2"/>
          <w:sz w:val="18"/>
          <w:szCs w:val="18"/>
        </w:rPr>
        <w:t>PRODUCTIVIDAD SECTORIAL APARENTE EN COOPERATIVAS, S.A.L.es Y S.L.L.es.</w:t>
      </w:r>
      <w:bookmarkEnd w:id="135"/>
      <w:r w:rsidR="006209F1">
        <w:rPr>
          <w:b/>
          <w:color w:val="1F497D" w:themeColor="text2"/>
          <w:sz w:val="18"/>
          <w:szCs w:val="18"/>
        </w:rPr>
        <w:t xml:space="preserve"> </w:t>
      </w:r>
      <w:bookmarkStart w:id="138" w:name="_Toc391565498"/>
      <w:r w:rsidR="00942645">
        <w:rPr>
          <w:b/>
          <w:color w:val="1F497D" w:themeColor="text2"/>
          <w:sz w:val="18"/>
          <w:szCs w:val="18"/>
        </w:rPr>
        <w:t>REFERENCIA COMPARATIVA 2012 y 2014</w:t>
      </w:r>
      <w:r w:rsidR="00665097" w:rsidRPr="006209F1">
        <w:rPr>
          <w:b/>
          <w:color w:val="1F497D" w:themeColor="text2"/>
          <w:sz w:val="18"/>
          <w:szCs w:val="18"/>
        </w:rPr>
        <w:t xml:space="preserve"> (VAB Euros/Empleado).</w:t>
      </w:r>
      <w:bookmarkEnd w:id="136"/>
      <w:bookmarkEnd w:id="137"/>
      <w:bookmarkEnd w:id="138"/>
    </w:p>
    <w:tbl>
      <w:tblPr>
        <w:tblW w:w="9940" w:type="dxa"/>
        <w:jc w:val="center"/>
        <w:tblCellMar>
          <w:left w:w="70" w:type="dxa"/>
          <w:right w:w="70" w:type="dxa"/>
        </w:tblCellMar>
        <w:tblLook w:val="04A0" w:firstRow="1" w:lastRow="0" w:firstColumn="1" w:lastColumn="0" w:noHBand="0" w:noVBand="1"/>
      </w:tblPr>
      <w:tblGrid>
        <w:gridCol w:w="1164"/>
        <w:gridCol w:w="1174"/>
        <w:gridCol w:w="1176"/>
        <w:gridCol w:w="1070"/>
        <w:gridCol w:w="1072"/>
        <w:gridCol w:w="1070"/>
        <w:gridCol w:w="1072"/>
        <w:gridCol w:w="1070"/>
        <w:gridCol w:w="1072"/>
      </w:tblGrid>
      <w:tr w:rsidR="00665097" w:rsidRPr="00300BEC" w:rsidTr="00D122F5">
        <w:trPr>
          <w:jc w:val="center"/>
        </w:trPr>
        <w:tc>
          <w:tcPr>
            <w:tcW w:w="586" w:type="pct"/>
            <w:vMerge w:val="restart"/>
            <w:tcBorders>
              <w:top w:val="single" w:sz="8" w:space="0" w:color="BFBFBF"/>
              <w:left w:val="nil"/>
              <w:bottom w:val="single" w:sz="8" w:space="0" w:color="BFBFBF"/>
              <w:right w:val="single" w:sz="8" w:space="0" w:color="BFBFBF"/>
            </w:tcBorders>
            <w:shd w:val="clear" w:color="000000" w:fill="DBE5F1"/>
            <w:hideMark/>
          </w:tcPr>
          <w:p w:rsidR="00665097" w:rsidRPr="00300BEC" w:rsidRDefault="00665097" w:rsidP="00996F20">
            <w:pPr>
              <w:widowControl w:val="0"/>
              <w:spacing w:line="240" w:lineRule="exact"/>
              <w:rPr>
                <w:rFonts w:ascii="Calibri" w:hAnsi="Calibri"/>
                <w:color w:val="000000"/>
              </w:rPr>
            </w:pPr>
            <w:r w:rsidRPr="00300BEC">
              <w:rPr>
                <w:rFonts w:ascii="Calibri" w:hAnsi="Calibri"/>
                <w:color w:val="000000"/>
              </w:rPr>
              <w:t> </w:t>
            </w:r>
          </w:p>
        </w:tc>
        <w:tc>
          <w:tcPr>
            <w:tcW w:w="1183" w:type="pct"/>
            <w:gridSpan w:val="2"/>
            <w:tcBorders>
              <w:top w:val="single" w:sz="8" w:space="0" w:color="BFBFBF"/>
              <w:left w:val="nil"/>
              <w:bottom w:val="single" w:sz="8" w:space="0" w:color="BFBFBF"/>
              <w:right w:val="single" w:sz="8" w:space="0" w:color="BFBFBF"/>
            </w:tcBorders>
            <w:shd w:val="clear" w:color="000000" w:fill="DBE5F1"/>
            <w:vAlign w:val="bottom"/>
            <w:hideMark/>
          </w:tcPr>
          <w:p w:rsidR="00665097" w:rsidRPr="00E36B46" w:rsidRDefault="00665097" w:rsidP="001E5608">
            <w:pPr>
              <w:widowControl w:val="0"/>
              <w:spacing w:line="240" w:lineRule="exact"/>
              <w:jc w:val="center"/>
              <w:rPr>
                <w:rFonts w:cs="Arial"/>
                <w:b/>
                <w:bCs/>
                <w:color w:val="000000"/>
                <w:sz w:val="16"/>
                <w:szCs w:val="16"/>
              </w:rPr>
            </w:pPr>
            <w:proofErr w:type="spellStart"/>
            <w:r w:rsidRPr="00E36B46">
              <w:rPr>
                <w:rFonts w:cs="Arial"/>
                <w:b/>
                <w:bCs/>
                <w:color w:val="000000"/>
                <w:sz w:val="16"/>
                <w:szCs w:val="16"/>
              </w:rPr>
              <w:t>S.Coop</w:t>
            </w:r>
            <w:proofErr w:type="spellEnd"/>
            <w:r w:rsidRPr="00E36B46">
              <w:rPr>
                <w:rFonts w:cs="Arial"/>
                <w:b/>
                <w:bCs/>
                <w:color w:val="000000"/>
                <w:sz w:val="16"/>
                <w:szCs w:val="16"/>
              </w:rPr>
              <w:t>.</w:t>
            </w:r>
          </w:p>
        </w:tc>
        <w:tc>
          <w:tcPr>
            <w:tcW w:w="1077" w:type="pct"/>
            <w:gridSpan w:val="2"/>
            <w:tcBorders>
              <w:top w:val="single" w:sz="8" w:space="0" w:color="BFBFBF"/>
              <w:left w:val="nil"/>
              <w:bottom w:val="single" w:sz="8" w:space="0" w:color="BFBFBF"/>
              <w:right w:val="single" w:sz="8" w:space="0" w:color="BFBFBF"/>
            </w:tcBorders>
            <w:shd w:val="clear" w:color="000000" w:fill="DBE5F1"/>
            <w:vAlign w:val="bottom"/>
            <w:hideMark/>
          </w:tcPr>
          <w:p w:rsidR="00665097" w:rsidRPr="00E36B46" w:rsidRDefault="00665097" w:rsidP="00996F20">
            <w:pPr>
              <w:widowControl w:val="0"/>
              <w:spacing w:line="240" w:lineRule="exact"/>
              <w:jc w:val="center"/>
              <w:rPr>
                <w:rFonts w:cs="Arial"/>
                <w:b/>
                <w:bCs/>
                <w:color w:val="000000"/>
                <w:sz w:val="16"/>
                <w:szCs w:val="16"/>
              </w:rPr>
            </w:pPr>
            <w:r w:rsidRPr="00E36B46">
              <w:rPr>
                <w:rFonts w:cs="Arial"/>
                <w:b/>
                <w:bCs/>
                <w:color w:val="000000"/>
                <w:sz w:val="16"/>
                <w:szCs w:val="16"/>
              </w:rPr>
              <w:t>S.A.L.es</w:t>
            </w:r>
          </w:p>
        </w:tc>
        <w:tc>
          <w:tcPr>
            <w:tcW w:w="1077" w:type="pct"/>
            <w:gridSpan w:val="2"/>
            <w:tcBorders>
              <w:top w:val="single" w:sz="8" w:space="0" w:color="BFBFBF"/>
              <w:left w:val="nil"/>
              <w:bottom w:val="single" w:sz="8" w:space="0" w:color="BFBFBF"/>
              <w:right w:val="single" w:sz="8" w:space="0" w:color="BFBFBF"/>
            </w:tcBorders>
            <w:shd w:val="clear" w:color="000000" w:fill="DBE5F1"/>
            <w:vAlign w:val="bottom"/>
            <w:hideMark/>
          </w:tcPr>
          <w:p w:rsidR="00665097" w:rsidRPr="00E36B46" w:rsidRDefault="00665097" w:rsidP="00996F20">
            <w:pPr>
              <w:widowControl w:val="0"/>
              <w:spacing w:line="240" w:lineRule="exact"/>
              <w:jc w:val="center"/>
              <w:rPr>
                <w:rFonts w:cs="Arial"/>
                <w:b/>
                <w:bCs/>
                <w:color w:val="000000"/>
                <w:sz w:val="16"/>
                <w:szCs w:val="16"/>
              </w:rPr>
            </w:pPr>
            <w:r w:rsidRPr="00E36B46">
              <w:rPr>
                <w:rFonts w:cs="Arial"/>
                <w:b/>
                <w:bCs/>
                <w:color w:val="000000"/>
                <w:sz w:val="16"/>
                <w:szCs w:val="16"/>
              </w:rPr>
              <w:t>S.L.L.es</w:t>
            </w:r>
          </w:p>
        </w:tc>
        <w:tc>
          <w:tcPr>
            <w:tcW w:w="1077" w:type="pct"/>
            <w:gridSpan w:val="2"/>
            <w:tcBorders>
              <w:top w:val="single" w:sz="8" w:space="0" w:color="BFBFBF"/>
              <w:left w:val="nil"/>
              <w:bottom w:val="single" w:sz="8" w:space="0" w:color="BFBFBF"/>
              <w:right w:val="nil"/>
            </w:tcBorders>
            <w:shd w:val="clear" w:color="000000" w:fill="DBE5F1"/>
            <w:hideMark/>
          </w:tcPr>
          <w:p w:rsidR="00665097" w:rsidRPr="00E36B46" w:rsidRDefault="00665097" w:rsidP="00996F20">
            <w:pPr>
              <w:widowControl w:val="0"/>
              <w:spacing w:line="240" w:lineRule="exact"/>
              <w:jc w:val="center"/>
              <w:rPr>
                <w:rFonts w:cs="Arial"/>
                <w:b/>
                <w:bCs/>
                <w:color w:val="000000"/>
                <w:sz w:val="16"/>
                <w:szCs w:val="16"/>
              </w:rPr>
            </w:pPr>
            <w:r w:rsidRPr="00E36B46">
              <w:rPr>
                <w:rFonts w:cs="Arial"/>
                <w:b/>
                <w:bCs/>
                <w:color w:val="000000"/>
                <w:sz w:val="16"/>
                <w:szCs w:val="16"/>
              </w:rPr>
              <w:t>Agregado S.L.es</w:t>
            </w:r>
          </w:p>
        </w:tc>
      </w:tr>
      <w:tr w:rsidR="00A92F4B" w:rsidRPr="00300BEC" w:rsidTr="00D122F5">
        <w:trPr>
          <w:jc w:val="center"/>
        </w:trPr>
        <w:tc>
          <w:tcPr>
            <w:tcW w:w="586" w:type="pct"/>
            <w:vMerge/>
            <w:tcBorders>
              <w:top w:val="single" w:sz="8" w:space="0" w:color="BFBFBF"/>
              <w:left w:val="nil"/>
              <w:bottom w:val="single" w:sz="8" w:space="0" w:color="BFBFBF"/>
              <w:right w:val="single" w:sz="8" w:space="0" w:color="BFBFBF"/>
            </w:tcBorders>
            <w:vAlign w:val="center"/>
            <w:hideMark/>
          </w:tcPr>
          <w:p w:rsidR="00A92F4B" w:rsidRPr="00300BEC" w:rsidRDefault="00A92F4B" w:rsidP="00996F20">
            <w:pPr>
              <w:widowControl w:val="0"/>
              <w:spacing w:line="240" w:lineRule="exact"/>
              <w:rPr>
                <w:rFonts w:ascii="Calibri" w:hAnsi="Calibri"/>
                <w:color w:val="000000"/>
              </w:rPr>
            </w:pPr>
          </w:p>
        </w:tc>
        <w:tc>
          <w:tcPr>
            <w:tcW w:w="591" w:type="pct"/>
            <w:tcBorders>
              <w:top w:val="nil"/>
              <w:left w:val="nil"/>
              <w:bottom w:val="single" w:sz="8" w:space="0" w:color="BFBFBF"/>
              <w:right w:val="nil"/>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sidRPr="00E36B46">
              <w:rPr>
                <w:rFonts w:cs="Arial"/>
                <w:b/>
                <w:bCs/>
                <w:color w:val="000000"/>
                <w:sz w:val="16"/>
                <w:szCs w:val="16"/>
              </w:rPr>
              <w:t>2012</w:t>
            </w:r>
          </w:p>
        </w:tc>
        <w:tc>
          <w:tcPr>
            <w:tcW w:w="592" w:type="pct"/>
            <w:tcBorders>
              <w:top w:val="nil"/>
              <w:left w:val="nil"/>
              <w:bottom w:val="single" w:sz="8" w:space="0" w:color="BFBFBF"/>
              <w:right w:val="single" w:sz="8" w:space="0" w:color="BFBFBF"/>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Pr>
                <w:rFonts w:cs="Arial"/>
                <w:b/>
                <w:bCs/>
                <w:color w:val="000000"/>
                <w:sz w:val="16"/>
                <w:szCs w:val="16"/>
              </w:rPr>
              <w:t>2014</w:t>
            </w:r>
          </w:p>
        </w:tc>
        <w:tc>
          <w:tcPr>
            <w:tcW w:w="538" w:type="pct"/>
            <w:tcBorders>
              <w:top w:val="nil"/>
              <w:left w:val="nil"/>
              <w:bottom w:val="single" w:sz="8" w:space="0" w:color="BFBFBF"/>
              <w:right w:val="nil"/>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sidRPr="00E36B46">
              <w:rPr>
                <w:rFonts w:cs="Arial"/>
                <w:b/>
                <w:bCs/>
                <w:color w:val="000000"/>
                <w:sz w:val="16"/>
                <w:szCs w:val="16"/>
              </w:rPr>
              <w:t>2012</w:t>
            </w:r>
          </w:p>
        </w:tc>
        <w:tc>
          <w:tcPr>
            <w:tcW w:w="539" w:type="pct"/>
            <w:tcBorders>
              <w:top w:val="nil"/>
              <w:left w:val="nil"/>
              <w:bottom w:val="single" w:sz="8" w:space="0" w:color="BFBFBF"/>
              <w:right w:val="single" w:sz="8" w:space="0" w:color="BFBFBF"/>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Pr>
                <w:rFonts w:cs="Arial"/>
                <w:b/>
                <w:bCs/>
                <w:color w:val="000000"/>
                <w:sz w:val="16"/>
                <w:szCs w:val="16"/>
              </w:rPr>
              <w:t>2014</w:t>
            </w:r>
          </w:p>
        </w:tc>
        <w:tc>
          <w:tcPr>
            <w:tcW w:w="538" w:type="pct"/>
            <w:tcBorders>
              <w:top w:val="nil"/>
              <w:left w:val="nil"/>
              <w:bottom w:val="single" w:sz="8" w:space="0" w:color="BFBFBF"/>
              <w:right w:val="nil"/>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sidRPr="00E36B46">
              <w:rPr>
                <w:rFonts w:cs="Arial"/>
                <w:b/>
                <w:bCs/>
                <w:color w:val="000000"/>
                <w:sz w:val="16"/>
                <w:szCs w:val="16"/>
              </w:rPr>
              <w:t>2012</w:t>
            </w:r>
          </w:p>
        </w:tc>
        <w:tc>
          <w:tcPr>
            <w:tcW w:w="539" w:type="pct"/>
            <w:tcBorders>
              <w:top w:val="nil"/>
              <w:left w:val="nil"/>
              <w:bottom w:val="single" w:sz="8" w:space="0" w:color="BFBFBF"/>
              <w:right w:val="single" w:sz="8" w:space="0" w:color="BFBFBF"/>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Pr>
                <w:rFonts w:cs="Arial"/>
                <w:b/>
                <w:bCs/>
                <w:color w:val="000000"/>
                <w:sz w:val="16"/>
                <w:szCs w:val="16"/>
              </w:rPr>
              <w:t>2014</w:t>
            </w:r>
          </w:p>
        </w:tc>
        <w:tc>
          <w:tcPr>
            <w:tcW w:w="538" w:type="pct"/>
            <w:tcBorders>
              <w:top w:val="nil"/>
              <w:left w:val="nil"/>
              <w:bottom w:val="single" w:sz="8" w:space="0" w:color="BFBFBF"/>
              <w:right w:val="nil"/>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sidRPr="00E36B46">
              <w:rPr>
                <w:rFonts w:cs="Arial"/>
                <w:b/>
                <w:bCs/>
                <w:color w:val="000000"/>
                <w:sz w:val="16"/>
                <w:szCs w:val="16"/>
              </w:rPr>
              <w:t>2012</w:t>
            </w:r>
          </w:p>
        </w:tc>
        <w:tc>
          <w:tcPr>
            <w:tcW w:w="539" w:type="pct"/>
            <w:tcBorders>
              <w:top w:val="nil"/>
              <w:left w:val="nil"/>
              <w:bottom w:val="single" w:sz="8" w:space="0" w:color="BFBFBF"/>
              <w:right w:val="nil"/>
            </w:tcBorders>
            <w:shd w:val="clear" w:color="000000" w:fill="DBE5F1"/>
            <w:hideMark/>
          </w:tcPr>
          <w:p w:rsidR="00A92F4B" w:rsidRPr="00E36B46" w:rsidRDefault="00A92F4B" w:rsidP="00996F20">
            <w:pPr>
              <w:widowControl w:val="0"/>
              <w:spacing w:line="240" w:lineRule="exact"/>
              <w:jc w:val="center"/>
              <w:rPr>
                <w:rFonts w:cs="Arial"/>
                <w:b/>
                <w:bCs/>
                <w:color w:val="000000"/>
                <w:sz w:val="16"/>
                <w:szCs w:val="16"/>
              </w:rPr>
            </w:pPr>
            <w:r>
              <w:rPr>
                <w:rFonts w:cs="Arial"/>
                <w:b/>
                <w:bCs/>
                <w:color w:val="000000"/>
                <w:sz w:val="16"/>
                <w:szCs w:val="16"/>
              </w:rPr>
              <w:t>2014</w:t>
            </w:r>
          </w:p>
        </w:tc>
      </w:tr>
      <w:tr w:rsidR="00A92F4B" w:rsidRPr="00300BEC" w:rsidTr="00D122F5">
        <w:trPr>
          <w:jc w:val="center"/>
        </w:trPr>
        <w:tc>
          <w:tcPr>
            <w:tcW w:w="586" w:type="pct"/>
            <w:tcBorders>
              <w:top w:val="nil"/>
              <w:left w:val="nil"/>
              <w:bottom w:val="nil"/>
              <w:right w:val="single" w:sz="8" w:space="0" w:color="BFBFBF"/>
            </w:tcBorders>
            <w:shd w:val="clear" w:color="auto" w:fill="auto"/>
            <w:hideMark/>
          </w:tcPr>
          <w:p w:rsidR="00A92F4B" w:rsidRPr="00300BEC" w:rsidRDefault="00A92F4B" w:rsidP="00996F20">
            <w:pPr>
              <w:widowControl w:val="0"/>
              <w:spacing w:line="240" w:lineRule="exact"/>
              <w:rPr>
                <w:rFonts w:cs="Arial"/>
                <w:color w:val="000000"/>
                <w:sz w:val="16"/>
                <w:szCs w:val="16"/>
              </w:rPr>
            </w:pPr>
            <w:r w:rsidRPr="00300BEC">
              <w:rPr>
                <w:rFonts w:cs="Arial"/>
                <w:color w:val="000000"/>
                <w:sz w:val="16"/>
                <w:szCs w:val="16"/>
              </w:rPr>
              <w:t>Industria</w:t>
            </w:r>
          </w:p>
        </w:tc>
        <w:tc>
          <w:tcPr>
            <w:tcW w:w="591" w:type="pct"/>
            <w:tcBorders>
              <w:top w:val="nil"/>
              <w:left w:val="nil"/>
              <w:bottom w:val="nil"/>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57.207</w:t>
            </w:r>
          </w:p>
        </w:tc>
        <w:tc>
          <w:tcPr>
            <w:tcW w:w="592" w:type="pct"/>
            <w:tcBorders>
              <w:top w:val="nil"/>
              <w:left w:val="nil"/>
              <w:bottom w:val="nil"/>
              <w:right w:val="single" w:sz="8" w:space="0" w:color="BFBFBF"/>
            </w:tcBorders>
            <w:shd w:val="clear" w:color="auto" w:fill="auto"/>
            <w:hideMark/>
          </w:tcPr>
          <w:p w:rsidR="00A92F4B" w:rsidRPr="00E36B46" w:rsidRDefault="00B15EC1" w:rsidP="00996F20">
            <w:pPr>
              <w:widowControl w:val="0"/>
              <w:spacing w:line="240" w:lineRule="exact"/>
              <w:ind w:right="170"/>
              <w:jc w:val="right"/>
              <w:rPr>
                <w:rFonts w:cs="Arial"/>
                <w:color w:val="000000"/>
                <w:sz w:val="16"/>
                <w:szCs w:val="16"/>
              </w:rPr>
            </w:pPr>
            <w:r w:rsidRPr="00B15EC1">
              <w:rPr>
                <w:rFonts w:cs="Arial"/>
                <w:color w:val="000000"/>
                <w:sz w:val="16"/>
                <w:szCs w:val="16"/>
              </w:rPr>
              <w:t>60.286</w:t>
            </w:r>
          </w:p>
        </w:tc>
        <w:tc>
          <w:tcPr>
            <w:tcW w:w="538" w:type="pct"/>
            <w:tcBorders>
              <w:top w:val="nil"/>
              <w:left w:val="nil"/>
              <w:bottom w:val="nil"/>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38.726</w:t>
            </w:r>
          </w:p>
        </w:tc>
        <w:tc>
          <w:tcPr>
            <w:tcW w:w="539" w:type="pct"/>
            <w:tcBorders>
              <w:top w:val="nil"/>
              <w:left w:val="nil"/>
              <w:bottom w:val="nil"/>
              <w:right w:val="single" w:sz="8" w:space="0" w:color="BFBFBF"/>
            </w:tcBorders>
            <w:shd w:val="clear" w:color="auto" w:fill="auto"/>
            <w:hideMark/>
          </w:tcPr>
          <w:p w:rsidR="00A92F4B" w:rsidRPr="00C634E9" w:rsidRDefault="00C634E9" w:rsidP="00996F20">
            <w:pPr>
              <w:widowControl w:val="0"/>
              <w:spacing w:line="240" w:lineRule="exact"/>
              <w:ind w:right="170"/>
              <w:jc w:val="right"/>
              <w:rPr>
                <w:rFonts w:cs="Arial"/>
                <w:color w:val="000000"/>
                <w:sz w:val="16"/>
                <w:szCs w:val="16"/>
              </w:rPr>
            </w:pPr>
            <w:r w:rsidRPr="00C634E9">
              <w:rPr>
                <w:rFonts w:cs="Arial"/>
                <w:color w:val="000000"/>
                <w:sz w:val="16"/>
                <w:szCs w:val="16"/>
              </w:rPr>
              <w:t>45.309</w:t>
            </w:r>
          </w:p>
        </w:tc>
        <w:tc>
          <w:tcPr>
            <w:tcW w:w="538" w:type="pct"/>
            <w:tcBorders>
              <w:top w:val="nil"/>
              <w:left w:val="nil"/>
              <w:bottom w:val="nil"/>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27.855</w:t>
            </w:r>
          </w:p>
        </w:tc>
        <w:tc>
          <w:tcPr>
            <w:tcW w:w="539" w:type="pct"/>
            <w:tcBorders>
              <w:top w:val="nil"/>
              <w:left w:val="nil"/>
              <w:bottom w:val="nil"/>
              <w:right w:val="single" w:sz="8" w:space="0" w:color="BFBFBF"/>
            </w:tcBorders>
            <w:shd w:val="clear" w:color="auto" w:fill="auto"/>
            <w:hideMark/>
          </w:tcPr>
          <w:p w:rsidR="00A92F4B" w:rsidRPr="00E36B46" w:rsidRDefault="00C634E9" w:rsidP="00996F20">
            <w:pPr>
              <w:widowControl w:val="0"/>
              <w:spacing w:line="240" w:lineRule="exact"/>
              <w:ind w:right="170"/>
              <w:jc w:val="right"/>
              <w:rPr>
                <w:rFonts w:cs="Arial"/>
                <w:color w:val="000000"/>
                <w:sz w:val="16"/>
                <w:szCs w:val="16"/>
              </w:rPr>
            </w:pPr>
            <w:r w:rsidRPr="00C634E9">
              <w:rPr>
                <w:rFonts w:cs="Arial"/>
                <w:color w:val="000000"/>
                <w:sz w:val="16"/>
                <w:szCs w:val="16"/>
              </w:rPr>
              <w:t>30.356</w:t>
            </w:r>
          </w:p>
        </w:tc>
        <w:tc>
          <w:tcPr>
            <w:tcW w:w="538" w:type="pct"/>
            <w:tcBorders>
              <w:top w:val="nil"/>
              <w:left w:val="nil"/>
              <w:bottom w:val="nil"/>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34.709</w:t>
            </w:r>
          </w:p>
        </w:tc>
        <w:tc>
          <w:tcPr>
            <w:tcW w:w="539" w:type="pct"/>
            <w:tcBorders>
              <w:top w:val="nil"/>
              <w:left w:val="nil"/>
              <w:right w:val="nil"/>
            </w:tcBorders>
            <w:shd w:val="clear" w:color="auto" w:fill="auto"/>
            <w:hideMark/>
          </w:tcPr>
          <w:p w:rsidR="00A92F4B" w:rsidRPr="00D334D5" w:rsidRDefault="00C634E9" w:rsidP="00996F20">
            <w:pPr>
              <w:widowControl w:val="0"/>
              <w:spacing w:line="240" w:lineRule="exact"/>
              <w:ind w:right="170"/>
              <w:jc w:val="right"/>
              <w:rPr>
                <w:rFonts w:cs="Arial"/>
                <w:color w:val="000000"/>
                <w:sz w:val="16"/>
                <w:szCs w:val="16"/>
              </w:rPr>
            </w:pPr>
            <w:r w:rsidRPr="00D334D5">
              <w:rPr>
                <w:rFonts w:cs="Arial"/>
                <w:color w:val="000000"/>
                <w:sz w:val="16"/>
                <w:szCs w:val="16"/>
              </w:rPr>
              <w:t>38.210</w:t>
            </w:r>
          </w:p>
        </w:tc>
      </w:tr>
      <w:tr w:rsidR="00A92F4B" w:rsidRPr="00300BEC" w:rsidTr="00D122F5">
        <w:trPr>
          <w:jc w:val="center"/>
        </w:trPr>
        <w:tc>
          <w:tcPr>
            <w:tcW w:w="586" w:type="pct"/>
            <w:tcBorders>
              <w:top w:val="nil"/>
              <w:left w:val="nil"/>
              <w:bottom w:val="single" w:sz="8" w:space="0" w:color="BFBFBF"/>
              <w:right w:val="single" w:sz="8" w:space="0" w:color="BFBFBF"/>
            </w:tcBorders>
            <w:shd w:val="clear" w:color="auto" w:fill="auto"/>
            <w:hideMark/>
          </w:tcPr>
          <w:p w:rsidR="00A92F4B" w:rsidRPr="00300BEC" w:rsidRDefault="00A92F4B" w:rsidP="00996F20">
            <w:pPr>
              <w:widowControl w:val="0"/>
              <w:spacing w:line="240" w:lineRule="exact"/>
              <w:rPr>
                <w:rFonts w:cs="Arial"/>
                <w:color w:val="000000"/>
                <w:sz w:val="16"/>
                <w:szCs w:val="16"/>
              </w:rPr>
            </w:pPr>
            <w:r w:rsidRPr="00300BEC">
              <w:rPr>
                <w:rFonts w:cs="Arial"/>
                <w:color w:val="000000"/>
                <w:sz w:val="16"/>
                <w:szCs w:val="16"/>
              </w:rPr>
              <w:t>Servicios</w:t>
            </w:r>
          </w:p>
        </w:tc>
        <w:tc>
          <w:tcPr>
            <w:tcW w:w="591" w:type="pct"/>
            <w:tcBorders>
              <w:top w:val="nil"/>
              <w:left w:val="nil"/>
              <w:bottom w:val="single" w:sz="8" w:space="0" w:color="BFBFBF"/>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45.116</w:t>
            </w:r>
          </w:p>
        </w:tc>
        <w:tc>
          <w:tcPr>
            <w:tcW w:w="592" w:type="pct"/>
            <w:tcBorders>
              <w:top w:val="nil"/>
              <w:left w:val="nil"/>
              <w:bottom w:val="single" w:sz="8" w:space="0" w:color="BFBFBF"/>
              <w:right w:val="single" w:sz="8" w:space="0" w:color="BFBFBF"/>
            </w:tcBorders>
            <w:shd w:val="clear" w:color="auto" w:fill="auto"/>
            <w:hideMark/>
          </w:tcPr>
          <w:p w:rsidR="00A92F4B" w:rsidRPr="00E36B46" w:rsidRDefault="00F33863" w:rsidP="00996F20">
            <w:pPr>
              <w:widowControl w:val="0"/>
              <w:spacing w:line="240" w:lineRule="exact"/>
              <w:ind w:right="170"/>
              <w:jc w:val="right"/>
              <w:rPr>
                <w:rFonts w:cs="Arial"/>
                <w:color w:val="000000"/>
                <w:sz w:val="16"/>
                <w:szCs w:val="16"/>
              </w:rPr>
            </w:pPr>
            <w:r w:rsidRPr="00F33863">
              <w:rPr>
                <w:rFonts w:cs="Arial"/>
                <w:color w:val="000000"/>
                <w:sz w:val="16"/>
                <w:szCs w:val="16"/>
              </w:rPr>
              <w:t>43.325</w:t>
            </w:r>
          </w:p>
        </w:tc>
        <w:tc>
          <w:tcPr>
            <w:tcW w:w="538" w:type="pct"/>
            <w:tcBorders>
              <w:top w:val="nil"/>
              <w:left w:val="nil"/>
              <w:bottom w:val="single" w:sz="8" w:space="0" w:color="BFBFBF"/>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29.410</w:t>
            </w:r>
          </w:p>
        </w:tc>
        <w:tc>
          <w:tcPr>
            <w:tcW w:w="539" w:type="pct"/>
            <w:tcBorders>
              <w:top w:val="nil"/>
              <w:left w:val="nil"/>
              <w:bottom w:val="single" w:sz="8" w:space="0" w:color="BFBFBF"/>
              <w:right w:val="single" w:sz="8" w:space="0" w:color="BFBFBF"/>
            </w:tcBorders>
            <w:shd w:val="clear" w:color="auto" w:fill="auto"/>
            <w:hideMark/>
          </w:tcPr>
          <w:p w:rsidR="00A92F4B" w:rsidRPr="00C634E9" w:rsidRDefault="00C634E9" w:rsidP="00996F20">
            <w:pPr>
              <w:widowControl w:val="0"/>
              <w:spacing w:line="240" w:lineRule="exact"/>
              <w:ind w:right="170"/>
              <w:jc w:val="right"/>
              <w:rPr>
                <w:rFonts w:cs="Arial"/>
                <w:color w:val="000000"/>
                <w:sz w:val="16"/>
                <w:szCs w:val="16"/>
              </w:rPr>
            </w:pPr>
            <w:r w:rsidRPr="00C634E9">
              <w:rPr>
                <w:rFonts w:cs="Arial"/>
                <w:color w:val="000000"/>
                <w:sz w:val="16"/>
                <w:szCs w:val="16"/>
              </w:rPr>
              <w:t>29.942</w:t>
            </w:r>
          </w:p>
        </w:tc>
        <w:tc>
          <w:tcPr>
            <w:tcW w:w="538" w:type="pct"/>
            <w:tcBorders>
              <w:top w:val="nil"/>
              <w:left w:val="nil"/>
              <w:bottom w:val="single" w:sz="8" w:space="0" w:color="BFBFBF"/>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25.909</w:t>
            </w:r>
          </w:p>
        </w:tc>
        <w:tc>
          <w:tcPr>
            <w:tcW w:w="539" w:type="pct"/>
            <w:tcBorders>
              <w:top w:val="nil"/>
              <w:left w:val="nil"/>
              <w:bottom w:val="single" w:sz="8" w:space="0" w:color="BFBFBF"/>
              <w:right w:val="single" w:sz="8" w:space="0" w:color="BFBFBF"/>
            </w:tcBorders>
            <w:shd w:val="clear" w:color="auto" w:fill="auto"/>
            <w:hideMark/>
          </w:tcPr>
          <w:p w:rsidR="00A92F4B" w:rsidRPr="00C634E9" w:rsidRDefault="00C634E9" w:rsidP="00996F20">
            <w:pPr>
              <w:widowControl w:val="0"/>
              <w:spacing w:line="240" w:lineRule="exact"/>
              <w:ind w:right="170"/>
              <w:jc w:val="right"/>
              <w:rPr>
                <w:rFonts w:cs="Arial"/>
                <w:color w:val="000000"/>
                <w:sz w:val="16"/>
                <w:szCs w:val="16"/>
              </w:rPr>
            </w:pPr>
            <w:r w:rsidRPr="00C634E9">
              <w:rPr>
                <w:rFonts w:cs="Arial"/>
                <w:color w:val="000000"/>
                <w:sz w:val="16"/>
                <w:szCs w:val="16"/>
              </w:rPr>
              <w:t>28.945</w:t>
            </w:r>
          </w:p>
        </w:tc>
        <w:tc>
          <w:tcPr>
            <w:tcW w:w="538" w:type="pct"/>
            <w:tcBorders>
              <w:top w:val="nil"/>
              <w:left w:val="nil"/>
              <w:bottom w:val="single" w:sz="8" w:space="0" w:color="BFBFBF"/>
              <w:right w:val="nil"/>
            </w:tcBorders>
            <w:shd w:val="clear" w:color="auto" w:fill="auto"/>
            <w:noWrap/>
            <w:hideMark/>
          </w:tcPr>
          <w:p w:rsidR="00A92F4B" w:rsidRPr="00E36B46" w:rsidRDefault="00A92F4B" w:rsidP="00996F20">
            <w:pPr>
              <w:widowControl w:val="0"/>
              <w:spacing w:line="240" w:lineRule="exact"/>
              <w:ind w:right="170"/>
              <w:jc w:val="right"/>
              <w:rPr>
                <w:rFonts w:cs="Arial"/>
                <w:color w:val="000000"/>
                <w:sz w:val="16"/>
                <w:szCs w:val="16"/>
              </w:rPr>
            </w:pPr>
            <w:r w:rsidRPr="00E36B46">
              <w:rPr>
                <w:rFonts w:cs="Arial"/>
                <w:color w:val="000000"/>
                <w:sz w:val="16"/>
                <w:szCs w:val="16"/>
              </w:rPr>
              <w:t>27.070</w:t>
            </w:r>
          </w:p>
        </w:tc>
        <w:tc>
          <w:tcPr>
            <w:tcW w:w="539" w:type="pct"/>
            <w:tcBorders>
              <w:top w:val="nil"/>
              <w:left w:val="nil"/>
              <w:bottom w:val="single" w:sz="8" w:space="0" w:color="BFBFBF"/>
            </w:tcBorders>
            <w:shd w:val="clear" w:color="auto" w:fill="auto"/>
            <w:hideMark/>
          </w:tcPr>
          <w:p w:rsidR="00A92F4B" w:rsidRPr="00E36B46" w:rsidRDefault="00C634E9" w:rsidP="00996F20">
            <w:pPr>
              <w:widowControl w:val="0"/>
              <w:spacing w:line="240" w:lineRule="exact"/>
              <w:ind w:right="170"/>
              <w:jc w:val="right"/>
              <w:rPr>
                <w:rFonts w:cs="Arial"/>
                <w:color w:val="000000"/>
                <w:sz w:val="16"/>
                <w:szCs w:val="16"/>
              </w:rPr>
            </w:pPr>
            <w:r w:rsidRPr="00D334D5">
              <w:rPr>
                <w:rFonts w:cs="Arial"/>
                <w:color w:val="000000"/>
                <w:sz w:val="16"/>
                <w:szCs w:val="16"/>
              </w:rPr>
              <w:t>29.228</w:t>
            </w:r>
          </w:p>
        </w:tc>
      </w:tr>
      <w:tr w:rsidR="00A92F4B" w:rsidRPr="00300BEC" w:rsidTr="00D122F5">
        <w:trPr>
          <w:jc w:val="center"/>
        </w:trPr>
        <w:tc>
          <w:tcPr>
            <w:tcW w:w="586" w:type="pct"/>
            <w:tcBorders>
              <w:top w:val="nil"/>
              <w:left w:val="nil"/>
              <w:bottom w:val="single" w:sz="8" w:space="0" w:color="BFBFBF"/>
              <w:right w:val="single" w:sz="8" w:space="0" w:color="BFBFBF"/>
            </w:tcBorders>
            <w:shd w:val="clear" w:color="auto" w:fill="auto"/>
            <w:hideMark/>
          </w:tcPr>
          <w:p w:rsidR="00A92F4B" w:rsidRPr="00300BEC" w:rsidRDefault="00A92F4B" w:rsidP="00996F20">
            <w:pPr>
              <w:widowControl w:val="0"/>
              <w:spacing w:line="240" w:lineRule="exact"/>
              <w:rPr>
                <w:rFonts w:cs="Arial"/>
                <w:b/>
                <w:bCs/>
                <w:color w:val="000000"/>
                <w:sz w:val="16"/>
                <w:szCs w:val="16"/>
              </w:rPr>
            </w:pPr>
            <w:r w:rsidRPr="00300BEC">
              <w:rPr>
                <w:rFonts w:cs="Arial"/>
                <w:b/>
                <w:bCs/>
                <w:color w:val="000000"/>
                <w:sz w:val="16"/>
                <w:szCs w:val="16"/>
              </w:rPr>
              <w:t>TOTAL</w:t>
            </w:r>
          </w:p>
        </w:tc>
        <w:tc>
          <w:tcPr>
            <w:tcW w:w="591" w:type="pct"/>
            <w:tcBorders>
              <w:top w:val="nil"/>
              <w:left w:val="nil"/>
              <w:bottom w:val="single" w:sz="8" w:space="0" w:color="BFBFBF"/>
              <w:right w:val="nil"/>
            </w:tcBorders>
            <w:shd w:val="clear" w:color="auto" w:fill="auto"/>
            <w:hideMark/>
          </w:tcPr>
          <w:p w:rsidR="00A92F4B" w:rsidRPr="00E36B46" w:rsidRDefault="00A92F4B" w:rsidP="00996F20">
            <w:pPr>
              <w:widowControl w:val="0"/>
              <w:spacing w:line="240" w:lineRule="exact"/>
              <w:ind w:right="170"/>
              <w:jc w:val="right"/>
              <w:rPr>
                <w:rFonts w:cs="Arial"/>
                <w:b/>
                <w:bCs/>
                <w:color w:val="000000"/>
                <w:sz w:val="16"/>
                <w:szCs w:val="16"/>
              </w:rPr>
            </w:pPr>
            <w:r w:rsidRPr="00E36B46">
              <w:rPr>
                <w:rFonts w:cs="Arial"/>
                <w:b/>
                <w:bCs/>
                <w:color w:val="000000"/>
                <w:sz w:val="16"/>
                <w:szCs w:val="16"/>
              </w:rPr>
              <w:t>49.901</w:t>
            </w:r>
          </w:p>
        </w:tc>
        <w:tc>
          <w:tcPr>
            <w:tcW w:w="592" w:type="pct"/>
            <w:tcBorders>
              <w:top w:val="nil"/>
              <w:left w:val="nil"/>
              <w:bottom w:val="single" w:sz="8" w:space="0" w:color="BFBFBF"/>
              <w:right w:val="single" w:sz="8" w:space="0" w:color="BFBFBF"/>
            </w:tcBorders>
            <w:shd w:val="clear" w:color="auto" w:fill="auto"/>
            <w:hideMark/>
          </w:tcPr>
          <w:p w:rsidR="00A92F4B" w:rsidRPr="00E36B46" w:rsidRDefault="00F33863" w:rsidP="00996F20">
            <w:pPr>
              <w:widowControl w:val="0"/>
              <w:spacing w:line="240" w:lineRule="exact"/>
              <w:ind w:right="170"/>
              <w:jc w:val="right"/>
              <w:rPr>
                <w:rFonts w:cs="Arial"/>
                <w:b/>
                <w:bCs/>
                <w:color w:val="000000"/>
                <w:sz w:val="16"/>
                <w:szCs w:val="16"/>
              </w:rPr>
            </w:pPr>
            <w:r w:rsidRPr="00F33863">
              <w:rPr>
                <w:rFonts w:cs="Arial"/>
                <w:b/>
                <w:bCs/>
                <w:color w:val="000000"/>
                <w:sz w:val="16"/>
                <w:szCs w:val="16"/>
              </w:rPr>
              <w:t>49.848</w:t>
            </w:r>
          </w:p>
        </w:tc>
        <w:tc>
          <w:tcPr>
            <w:tcW w:w="538" w:type="pct"/>
            <w:tcBorders>
              <w:top w:val="nil"/>
              <w:left w:val="nil"/>
              <w:bottom w:val="single" w:sz="8" w:space="0" w:color="BFBFBF"/>
              <w:right w:val="nil"/>
            </w:tcBorders>
            <w:shd w:val="clear" w:color="auto" w:fill="auto"/>
            <w:hideMark/>
          </w:tcPr>
          <w:p w:rsidR="00A92F4B" w:rsidRPr="00E36B46" w:rsidRDefault="00A92F4B" w:rsidP="00996F20">
            <w:pPr>
              <w:widowControl w:val="0"/>
              <w:spacing w:line="240" w:lineRule="exact"/>
              <w:ind w:right="170"/>
              <w:jc w:val="right"/>
              <w:rPr>
                <w:rFonts w:cs="Arial"/>
                <w:b/>
                <w:bCs/>
                <w:color w:val="000000"/>
                <w:sz w:val="16"/>
                <w:szCs w:val="16"/>
              </w:rPr>
            </w:pPr>
            <w:r w:rsidRPr="00E36B46">
              <w:rPr>
                <w:rFonts w:cs="Arial"/>
                <w:b/>
                <w:bCs/>
                <w:color w:val="000000"/>
                <w:sz w:val="16"/>
                <w:szCs w:val="16"/>
              </w:rPr>
              <w:t>36.632</w:t>
            </w:r>
          </w:p>
        </w:tc>
        <w:tc>
          <w:tcPr>
            <w:tcW w:w="539" w:type="pct"/>
            <w:tcBorders>
              <w:top w:val="nil"/>
              <w:left w:val="nil"/>
              <w:bottom w:val="single" w:sz="8" w:space="0" w:color="BFBFBF"/>
              <w:right w:val="single" w:sz="8" w:space="0" w:color="BFBFBF"/>
            </w:tcBorders>
            <w:shd w:val="clear" w:color="auto" w:fill="auto"/>
            <w:hideMark/>
          </w:tcPr>
          <w:p w:rsidR="00A92F4B" w:rsidRPr="00E36B46" w:rsidRDefault="00C634E9" w:rsidP="00996F20">
            <w:pPr>
              <w:widowControl w:val="0"/>
              <w:spacing w:line="240" w:lineRule="exact"/>
              <w:ind w:right="170"/>
              <w:jc w:val="right"/>
              <w:rPr>
                <w:rFonts w:cs="Arial"/>
                <w:b/>
                <w:bCs/>
                <w:color w:val="000000"/>
                <w:sz w:val="16"/>
                <w:szCs w:val="16"/>
              </w:rPr>
            </w:pPr>
            <w:r w:rsidRPr="00C634E9">
              <w:rPr>
                <w:rFonts w:cs="Arial"/>
                <w:b/>
                <w:bCs/>
                <w:color w:val="000000"/>
                <w:sz w:val="16"/>
                <w:szCs w:val="16"/>
              </w:rPr>
              <w:t>42.066</w:t>
            </w:r>
          </w:p>
        </w:tc>
        <w:tc>
          <w:tcPr>
            <w:tcW w:w="538" w:type="pct"/>
            <w:tcBorders>
              <w:top w:val="nil"/>
              <w:left w:val="nil"/>
              <w:bottom w:val="single" w:sz="8" w:space="0" w:color="BFBFBF"/>
              <w:right w:val="nil"/>
            </w:tcBorders>
            <w:shd w:val="clear" w:color="auto" w:fill="auto"/>
            <w:hideMark/>
          </w:tcPr>
          <w:p w:rsidR="00A92F4B" w:rsidRPr="00E36B46" w:rsidRDefault="00A92F4B" w:rsidP="00996F20">
            <w:pPr>
              <w:widowControl w:val="0"/>
              <w:spacing w:line="240" w:lineRule="exact"/>
              <w:ind w:right="170"/>
              <w:jc w:val="right"/>
              <w:rPr>
                <w:rFonts w:cs="Arial"/>
                <w:b/>
                <w:bCs/>
                <w:color w:val="000000"/>
                <w:sz w:val="16"/>
                <w:szCs w:val="16"/>
              </w:rPr>
            </w:pPr>
            <w:r w:rsidRPr="00E36B46">
              <w:rPr>
                <w:rFonts w:cs="Arial"/>
                <w:b/>
                <w:bCs/>
                <w:color w:val="000000"/>
                <w:sz w:val="16"/>
                <w:szCs w:val="16"/>
              </w:rPr>
              <w:t>26.772</w:t>
            </w:r>
          </w:p>
        </w:tc>
        <w:tc>
          <w:tcPr>
            <w:tcW w:w="539" w:type="pct"/>
            <w:tcBorders>
              <w:top w:val="nil"/>
              <w:left w:val="nil"/>
              <w:bottom w:val="single" w:sz="8" w:space="0" w:color="BFBFBF"/>
              <w:right w:val="single" w:sz="8" w:space="0" w:color="BFBFBF"/>
            </w:tcBorders>
            <w:shd w:val="clear" w:color="auto" w:fill="auto"/>
            <w:hideMark/>
          </w:tcPr>
          <w:p w:rsidR="00A92F4B" w:rsidRPr="00E36B46" w:rsidRDefault="00C634E9" w:rsidP="00996F20">
            <w:pPr>
              <w:widowControl w:val="0"/>
              <w:spacing w:line="240" w:lineRule="exact"/>
              <w:ind w:right="170"/>
              <w:jc w:val="right"/>
              <w:rPr>
                <w:rFonts w:cs="Arial"/>
                <w:b/>
                <w:bCs/>
                <w:color w:val="000000"/>
                <w:sz w:val="16"/>
                <w:szCs w:val="16"/>
              </w:rPr>
            </w:pPr>
            <w:r w:rsidRPr="00C634E9">
              <w:rPr>
                <w:rFonts w:cs="Arial"/>
                <w:b/>
                <w:bCs/>
                <w:color w:val="000000"/>
                <w:sz w:val="16"/>
                <w:szCs w:val="16"/>
              </w:rPr>
              <w:t>30.035</w:t>
            </w:r>
          </w:p>
        </w:tc>
        <w:tc>
          <w:tcPr>
            <w:tcW w:w="538" w:type="pct"/>
            <w:tcBorders>
              <w:top w:val="nil"/>
              <w:left w:val="nil"/>
              <w:bottom w:val="single" w:sz="8" w:space="0" w:color="BFBFBF"/>
              <w:right w:val="nil"/>
            </w:tcBorders>
            <w:shd w:val="clear" w:color="auto" w:fill="auto"/>
            <w:hideMark/>
          </w:tcPr>
          <w:p w:rsidR="00A92F4B" w:rsidRPr="00E36B46" w:rsidRDefault="00A92F4B" w:rsidP="00996F20">
            <w:pPr>
              <w:widowControl w:val="0"/>
              <w:spacing w:line="240" w:lineRule="exact"/>
              <w:ind w:right="170"/>
              <w:jc w:val="right"/>
              <w:rPr>
                <w:rFonts w:cs="Arial"/>
                <w:b/>
                <w:bCs/>
                <w:color w:val="000000"/>
                <w:sz w:val="16"/>
                <w:szCs w:val="16"/>
              </w:rPr>
            </w:pPr>
            <w:r w:rsidRPr="00E36B46">
              <w:rPr>
                <w:rFonts w:cs="Arial"/>
                <w:b/>
                <w:bCs/>
                <w:color w:val="000000"/>
                <w:sz w:val="16"/>
                <w:szCs w:val="16"/>
              </w:rPr>
              <w:t>31.817</w:t>
            </w:r>
          </w:p>
        </w:tc>
        <w:tc>
          <w:tcPr>
            <w:tcW w:w="539" w:type="pct"/>
            <w:tcBorders>
              <w:top w:val="nil"/>
              <w:left w:val="nil"/>
              <w:bottom w:val="single" w:sz="8" w:space="0" w:color="BFBFBF"/>
              <w:right w:val="nil"/>
            </w:tcBorders>
            <w:shd w:val="clear" w:color="auto" w:fill="auto"/>
            <w:hideMark/>
          </w:tcPr>
          <w:p w:rsidR="00A92F4B" w:rsidRPr="00E36B46" w:rsidRDefault="00C634E9" w:rsidP="00996F20">
            <w:pPr>
              <w:widowControl w:val="0"/>
              <w:spacing w:line="240" w:lineRule="exact"/>
              <w:ind w:right="170"/>
              <w:jc w:val="right"/>
              <w:rPr>
                <w:rFonts w:cs="Arial"/>
                <w:b/>
                <w:bCs/>
                <w:color w:val="000000"/>
                <w:sz w:val="16"/>
                <w:szCs w:val="16"/>
              </w:rPr>
            </w:pPr>
            <w:r w:rsidRPr="00C634E9">
              <w:rPr>
                <w:rFonts w:cs="Arial"/>
                <w:b/>
                <w:bCs/>
                <w:color w:val="000000"/>
                <w:sz w:val="16"/>
                <w:szCs w:val="16"/>
              </w:rPr>
              <w:t>35.30</w:t>
            </w:r>
            <w:r>
              <w:rPr>
                <w:rFonts w:cs="Arial"/>
                <w:b/>
                <w:bCs/>
                <w:color w:val="000000"/>
                <w:sz w:val="16"/>
                <w:szCs w:val="16"/>
              </w:rPr>
              <w:t>0</w:t>
            </w:r>
          </w:p>
        </w:tc>
      </w:tr>
    </w:tbl>
    <w:p w:rsidR="00D06470" w:rsidRDefault="00D06470" w:rsidP="00BB313D">
      <w:pPr>
        <w:widowControl w:val="0"/>
        <w:rPr>
          <w:rFonts w:cs="Arial"/>
          <w:b/>
          <w:color w:val="1F497D" w:themeColor="text2"/>
          <w:sz w:val="24"/>
          <w:szCs w:val="24"/>
        </w:rPr>
      </w:pPr>
    </w:p>
    <w:p w:rsidR="00D06470" w:rsidRDefault="00D06470" w:rsidP="00BB313D">
      <w:pPr>
        <w:widowControl w:val="0"/>
        <w:spacing w:after="200" w:line="276" w:lineRule="auto"/>
        <w:jc w:val="left"/>
        <w:rPr>
          <w:rFonts w:cs="Arial"/>
          <w:b/>
          <w:color w:val="1F497D" w:themeColor="text2"/>
          <w:sz w:val="24"/>
          <w:szCs w:val="24"/>
        </w:rPr>
      </w:pPr>
      <w:r>
        <w:rPr>
          <w:rFonts w:cs="Arial"/>
          <w:b/>
          <w:color w:val="1F497D" w:themeColor="text2"/>
          <w:sz w:val="24"/>
          <w:szCs w:val="24"/>
        </w:rPr>
        <w:br w:type="page"/>
      </w:r>
    </w:p>
    <w:p w:rsidR="00665097" w:rsidRPr="007F1968" w:rsidRDefault="00665097" w:rsidP="00BB313D">
      <w:pPr>
        <w:pStyle w:val="Ttulo1"/>
        <w:keepNext w:val="0"/>
        <w:ind w:left="708" w:hanging="708"/>
        <w:rPr>
          <w:color w:val="1F497D" w:themeColor="text2"/>
          <w:sz w:val="26"/>
          <w:szCs w:val="26"/>
        </w:rPr>
      </w:pPr>
      <w:bookmarkStart w:id="139" w:name="_Toc391999517"/>
      <w:bookmarkStart w:id="140" w:name="_Toc450118910"/>
      <w:r w:rsidRPr="007F1968">
        <w:rPr>
          <w:color w:val="1F497D" w:themeColor="text2"/>
          <w:sz w:val="26"/>
          <w:szCs w:val="26"/>
        </w:rPr>
        <w:lastRenderedPageBreak/>
        <w:t>3.-</w:t>
      </w:r>
      <w:r w:rsidRPr="007F1968">
        <w:rPr>
          <w:color w:val="1F497D" w:themeColor="text2"/>
          <w:sz w:val="26"/>
          <w:szCs w:val="26"/>
        </w:rPr>
        <w:tab/>
        <w:t>EL PERFIL TERRITORIAL DE LA ECONOMÍA SOCIAL</w:t>
      </w:r>
      <w:bookmarkEnd w:id="139"/>
      <w:bookmarkEnd w:id="140"/>
    </w:p>
    <w:p w:rsidR="00665097" w:rsidRDefault="00665097" w:rsidP="00BB313D">
      <w:pPr>
        <w:widowControl w:val="0"/>
      </w:pPr>
    </w:p>
    <w:p w:rsidR="000421DF" w:rsidRPr="007F1968" w:rsidRDefault="000421DF" w:rsidP="00BB313D">
      <w:pPr>
        <w:widowControl w:val="0"/>
      </w:pPr>
    </w:p>
    <w:p w:rsidR="00665097" w:rsidRPr="007F1968" w:rsidRDefault="00665097" w:rsidP="00BB313D">
      <w:pPr>
        <w:pStyle w:val="Ttulo1"/>
        <w:keepNext w:val="0"/>
        <w:ind w:left="708" w:hanging="708"/>
        <w:rPr>
          <w:color w:val="1F497D" w:themeColor="text2"/>
          <w:sz w:val="22"/>
          <w:szCs w:val="22"/>
        </w:rPr>
      </w:pPr>
      <w:bookmarkStart w:id="141" w:name="_Toc391999518"/>
      <w:bookmarkStart w:id="142" w:name="_Toc450118911"/>
      <w:r w:rsidRPr="007F1968">
        <w:rPr>
          <w:color w:val="1F497D" w:themeColor="text2"/>
          <w:sz w:val="22"/>
          <w:szCs w:val="22"/>
        </w:rPr>
        <w:t>3.1.-</w:t>
      </w:r>
      <w:r w:rsidRPr="007F1968">
        <w:rPr>
          <w:color w:val="1F497D" w:themeColor="text2"/>
          <w:sz w:val="22"/>
          <w:szCs w:val="22"/>
        </w:rPr>
        <w:tab/>
        <w:t>EL PERFIL TERRITORIAL DEL EMPLEO Y LOS ESTABLECIMIENTOS</w:t>
      </w:r>
      <w:bookmarkEnd w:id="141"/>
      <w:bookmarkEnd w:id="142"/>
    </w:p>
    <w:p w:rsidR="00665097" w:rsidRDefault="00665097" w:rsidP="00BB313D">
      <w:pPr>
        <w:widowControl w:val="0"/>
      </w:pPr>
    </w:p>
    <w:p w:rsidR="000421DF" w:rsidRDefault="000421DF" w:rsidP="00BB313D">
      <w:pPr>
        <w:widowControl w:val="0"/>
      </w:pPr>
    </w:p>
    <w:p w:rsidR="00665097" w:rsidRPr="00F5602F" w:rsidRDefault="00DE1512" w:rsidP="00BB313D">
      <w:pPr>
        <w:widowControl w:val="0"/>
        <w:spacing w:line="240" w:lineRule="auto"/>
        <w:jc w:val="center"/>
        <w:rPr>
          <w:rFonts w:cs="Arial"/>
          <w:b/>
          <w:color w:val="1F497D" w:themeColor="text2"/>
          <w:sz w:val="18"/>
          <w:szCs w:val="18"/>
        </w:rPr>
      </w:pPr>
      <w:bookmarkStart w:id="143" w:name="_Toc391999657"/>
      <w:bookmarkStart w:id="144" w:name="_Toc450119998"/>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10</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F5602F">
        <w:rPr>
          <w:rFonts w:cs="Arial"/>
          <w:b/>
          <w:color w:val="1F497D" w:themeColor="text2"/>
          <w:sz w:val="18"/>
          <w:szCs w:val="18"/>
        </w:rPr>
        <w:t>EVOLUCIÓN DE LA DISTRIBUCIÓN TERRITORIAL DE LOS ESTABLECIMIE</w:t>
      </w:r>
      <w:r w:rsidR="00C634E9">
        <w:rPr>
          <w:rFonts w:cs="Arial"/>
          <w:b/>
          <w:color w:val="1F497D" w:themeColor="text2"/>
          <w:sz w:val="18"/>
          <w:szCs w:val="18"/>
        </w:rPr>
        <w:t>NTOS DE LA ECONOMÍA SOCIAL. 2012</w:t>
      </w:r>
      <w:r w:rsidR="00665097" w:rsidRPr="00F5602F">
        <w:rPr>
          <w:rFonts w:cs="Arial"/>
          <w:b/>
          <w:color w:val="1F497D" w:themeColor="text2"/>
          <w:sz w:val="18"/>
          <w:szCs w:val="18"/>
        </w:rPr>
        <w:t>-201</w:t>
      </w:r>
      <w:bookmarkEnd w:id="143"/>
      <w:r w:rsidR="00C634E9">
        <w:rPr>
          <w:rFonts w:cs="Arial"/>
          <w:b/>
          <w:color w:val="1F497D" w:themeColor="text2"/>
          <w:sz w:val="18"/>
          <w:szCs w:val="18"/>
        </w:rPr>
        <w:t>4</w:t>
      </w:r>
      <w:bookmarkEnd w:id="144"/>
    </w:p>
    <w:p w:rsidR="00665097" w:rsidRPr="00777C7A" w:rsidRDefault="00665097" w:rsidP="00BB313D">
      <w:pPr>
        <w:widowControl w:val="0"/>
        <w:jc w:val="center"/>
        <w:rPr>
          <w:rFonts w:cs="Arial"/>
          <w:b/>
          <w:color w:val="000080"/>
          <w:sz w:val="16"/>
          <w:szCs w:val="16"/>
        </w:rPr>
      </w:pPr>
    </w:p>
    <w:p w:rsidR="00665097" w:rsidRDefault="00C634E9" w:rsidP="00BB313D">
      <w:pPr>
        <w:widowControl w:val="0"/>
        <w:rPr>
          <w:rFonts w:cs="Arial"/>
        </w:rPr>
      </w:pPr>
      <w:r>
        <w:rPr>
          <w:rFonts w:cs="Arial"/>
          <w:noProof/>
          <w:lang w:eastAsia="es-ES"/>
        </w:rPr>
        <w:drawing>
          <wp:anchor distT="0" distB="0" distL="114300" distR="114300" simplePos="0" relativeHeight="251734016" behindDoc="0" locked="0" layoutInCell="1" allowOverlap="1">
            <wp:simplePos x="0" y="0"/>
            <wp:positionH relativeFrom="column">
              <wp:posOffset>3026410</wp:posOffset>
            </wp:positionH>
            <wp:positionV relativeFrom="paragraph">
              <wp:posOffset>90170</wp:posOffset>
            </wp:positionV>
            <wp:extent cx="2752725" cy="1828800"/>
            <wp:effectExtent l="0" t="0" r="0" b="0"/>
            <wp:wrapNone/>
            <wp:docPr id="70"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rFonts w:cs="Arial"/>
          <w:noProof/>
          <w:lang w:eastAsia="es-ES"/>
        </w:rPr>
        <w:drawing>
          <wp:anchor distT="0" distB="0" distL="114300" distR="114300" simplePos="0" relativeHeight="251735040" behindDoc="0" locked="0" layoutInCell="1" allowOverlap="1">
            <wp:simplePos x="0" y="0"/>
            <wp:positionH relativeFrom="column">
              <wp:posOffset>16510</wp:posOffset>
            </wp:positionH>
            <wp:positionV relativeFrom="paragraph">
              <wp:posOffset>90170</wp:posOffset>
            </wp:positionV>
            <wp:extent cx="2752725" cy="1828800"/>
            <wp:effectExtent l="0" t="0" r="0" b="0"/>
            <wp:wrapNone/>
            <wp:docPr id="6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Pr="000A54E7" w:rsidRDefault="00665097" w:rsidP="00BB313D">
      <w:pPr>
        <w:widowControl w:val="0"/>
        <w:rPr>
          <w:rFonts w:cs="Arial"/>
        </w:rPr>
      </w:pPr>
    </w:p>
    <w:p w:rsidR="00665097" w:rsidRPr="00F5602F" w:rsidRDefault="00DE1512" w:rsidP="00BB313D">
      <w:pPr>
        <w:widowControl w:val="0"/>
        <w:spacing w:line="240" w:lineRule="auto"/>
        <w:jc w:val="center"/>
        <w:rPr>
          <w:rFonts w:cs="Arial"/>
          <w:b/>
          <w:color w:val="1F497D" w:themeColor="text2"/>
          <w:sz w:val="18"/>
          <w:szCs w:val="18"/>
        </w:rPr>
      </w:pPr>
      <w:bookmarkStart w:id="145" w:name="_Toc391999658"/>
      <w:bookmarkStart w:id="146" w:name="_Toc450119999"/>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11</w:t>
      </w:r>
      <w:r w:rsidR="00771A61" w:rsidRPr="009F1045">
        <w:rPr>
          <w:rFonts w:cs="Arial"/>
          <w:b/>
          <w:color w:val="1F497D" w:themeColor="text2"/>
          <w:sz w:val="18"/>
          <w:szCs w:val="18"/>
        </w:rPr>
        <w:fldChar w:fldCharType="end"/>
      </w:r>
      <w:r>
        <w:rPr>
          <w:rFonts w:cs="Arial"/>
          <w:b/>
          <w:color w:val="1F497D" w:themeColor="text2"/>
          <w:sz w:val="18"/>
          <w:szCs w:val="18"/>
        </w:rPr>
        <w:t xml:space="preserve"> </w:t>
      </w:r>
      <w:r w:rsidR="00665097" w:rsidRPr="00F5602F">
        <w:rPr>
          <w:rFonts w:cs="Arial"/>
          <w:b/>
          <w:color w:val="1F497D" w:themeColor="text2"/>
          <w:sz w:val="18"/>
          <w:szCs w:val="18"/>
        </w:rPr>
        <w:t>EVOLUCIÓN DE LA DISTRIBUCIÓN TERRITORIAL DEL EM</w:t>
      </w:r>
      <w:r w:rsidR="00C634E9">
        <w:rPr>
          <w:rFonts w:cs="Arial"/>
          <w:b/>
          <w:color w:val="1F497D" w:themeColor="text2"/>
          <w:sz w:val="18"/>
          <w:szCs w:val="18"/>
        </w:rPr>
        <w:t>PLEO DE LA ECONOMÍA SOCIAL. 2012</w:t>
      </w:r>
      <w:r w:rsidR="00665097" w:rsidRPr="00F5602F">
        <w:rPr>
          <w:rFonts w:cs="Arial"/>
          <w:b/>
          <w:color w:val="1F497D" w:themeColor="text2"/>
          <w:sz w:val="18"/>
          <w:szCs w:val="18"/>
        </w:rPr>
        <w:t>-201</w:t>
      </w:r>
      <w:bookmarkEnd w:id="145"/>
      <w:r w:rsidR="00C634E9">
        <w:rPr>
          <w:rFonts w:cs="Arial"/>
          <w:b/>
          <w:color w:val="1F497D" w:themeColor="text2"/>
          <w:sz w:val="18"/>
          <w:szCs w:val="18"/>
        </w:rPr>
        <w:t>4</w:t>
      </w:r>
      <w:bookmarkEnd w:id="146"/>
    </w:p>
    <w:p w:rsidR="00665097" w:rsidRDefault="00C634E9" w:rsidP="00BB313D">
      <w:pPr>
        <w:widowControl w:val="0"/>
        <w:jc w:val="center"/>
        <w:rPr>
          <w:rFonts w:cs="Arial"/>
        </w:rPr>
      </w:pPr>
      <w:r>
        <w:rPr>
          <w:rFonts w:cs="Arial"/>
          <w:noProof/>
          <w:lang w:eastAsia="es-ES"/>
        </w:rPr>
        <w:drawing>
          <wp:anchor distT="0" distB="0" distL="114300" distR="114300" simplePos="0" relativeHeight="251736064" behindDoc="0" locked="0" layoutInCell="1" allowOverlap="1">
            <wp:simplePos x="0" y="0"/>
            <wp:positionH relativeFrom="column">
              <wp:posOffset>3264535</wp:posOffset>
            </wp:positionH>
            <wp:positionV relativeFrom="paragraph">
              <wp:posOffset>94615</wp:posOffset>
            </wp:positionV>
            <wp:extent cx="2752725" cy="1828800"/>
            <wp:effectExtent l="0" t="0" r="0" b="0"/>
            <wp:wrapNone/>
            <wp:docPr id="71"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rFonts w:cs="Arial"/>
          <w:noProof/>
          <w:lang w:eastAsia="es-ES"/>
        </w:rPr>
        <w:drawing>
          <wp:anchor distT="0" distB="0" distL="114300" distR="114300" simplePos="0" relativeHeight="251737088" behindDoc="0" locked="0" layoutInCell="1" allowOverlap="1">
            <wp:simplePos x="0" y="0"/>
            <wp:positionH relativeFrom="column">
              <wp:posOffset>16510</wp:posOffset>
            </wp:positionH>
            <wp:positionV relativeFrom="paragraph">
              <wp:posOffset>27940</wp:posOffset>
            </wp:positionV>
            <wp:extent cx="2752725" cy="1828800"/>
            <wp:effectExtent l="0" t="0" r="0" b="0"/>
            <wp:wrapNone/>
            <wp:docPr id="72"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Pr="009207B5" w:rsidRDefault="00665097" w:rsidP="00BB313D">
      <w:pPr>
        <w:widowControl w:val="0"/>
      </w:pPr>
    </w:p>
    <w:p w:rsidR="00422EC3" w:rsidRPr="000A54E7" w:rsidRDefault="00422EC3" w:rsidP="00BB313D">
      <w:pPr>
        <w:widowControl w:val="0"/>
        <w:rPr>
          <w:rFonts w:cs="Arial"/>
        </w:rPr>
      </w:pPr>
    </w:p>
    <w:p w:rsidR="00422EC3" w:rsidRPr="000A54E7" w:rsidRDefault="00422EC3" w:rsidP="00BB313D">
      <w:pPr>
        <w:widowControl w:val="0"/>
        <w:rPr>
          <w:rFonts w:cs="Arial"/>
        </w:rPr>
      </w:pPr>
    </w:p>
    <w:p w:rsidR="00665097" w:rsidRDefault="00DE1512" w:rsidP="00BB313D">
      <w:pPr>
        <w:widowControl w:val="0"/>
        <w:spacing w:line="240" w:lineRule="auto"/>
        <w:jc w:val="center"/>
        <w:rPr>
          <w:rFonts w:cs="Arial"/>
          <w:b/>
          <w:color w:val="1F497D" w:themeColor="text2"/>
          <w:sz w:val="18"/>
          <w:szCs w:val="18"/>
        </w:rPr>
      </w:pPr>
      <w:bookmarkStart w:id="147" w:name="_Toc391999608"/>
      <w:bookmarkStart w:id="148" w:name="_Toc450119491"/>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36</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65097">
        <w:rPr>
          <w:rFonts w:cs="Arial"/>
          <w:b/>
          <w:color w:val="1F497D" w:themeColor="text2"/>
          <w:sz w:val="18"/>
          <w:szCs w:val="18"/>
        </w:rPr>
        <w:t xml:space="preserve"> </w:t>
      </w:r>
      <w:r w:rsidR="00665097" w:rsidRPr="00506010">
        <w:rPr>
          <w:rFonts w:cs="Arial"/>
          <w:b/>
          <w:color w:val="1F497D" w:themeColor="text2"/>
          <w:sz w:val="18"/>
          <w:szCs w:val="18"/>
        </w:rPr>
        <w:t>DISTRIBUCIÓN TERRITORIAL DE LOS ESTABLECIMIENTOS y EMPLEOS DE LA ECONOMÍA SOCIAL. (</w:t>
      </w:r>
      <w:proofErr w:type="gramStart"/>
      <w:r w:rsidR="00490B03">
        <w:rPr>
          <w:rFonts w:cs="Arial"/>
          <w:b/>
          <w:color w:val="1F497D" w:themeColor="text2"/>
          <w:sz w:val="18"/>
          <w:szCs w:val="18"/>
        </w:rPr>
        <w:t>cifras</w:t>
      </w:r>
      <w:proofErr w:type="gramEnd"/>
      <w:r w:rsidR="00490B03">
        <w:rPr>
          <w:rFonts w:cs="Arial"/>
          <w:b/>
          <w:color w:val="1F497D" w:themeColor="text2"/>
          <w:sz w:val="18"/>
          <w:szCs w:val="18"/>
        </w:rPr>
        <w:t xml:space="preserve"> absolutas y % verticales</w:t>
      </w:r>
      <w:r w:rsidR="00665097" w:rsidRPr="00506010">
        <w:rPr>
          <w:rFonts w:cs="Arial"/>
          <w:b/>
          <w:color w:val="1F497D" w:themeColor="text2"/>
          <w:sz w:val="18"/>
          <w:szCs w:val="18"/>
        </w:rPr>
        <w:t>) 201</w:t>
      </w:r>
      <w:bookmarkEnd w:id="147"/>
      <w:r w:rsidR="00D334D5">
        <w:rPr>
          <w:rFonts w:cs="Arial"/>
          <w:b/>
          <w:color w:val="1F497D" w:themeColor="text2"/>
          <w:sz w:val="18"/>
          <w:szCs w:val="18"/>
        </w:rPr>
        <w:t>4</w:t>
      </w:r>
      <w:bookmarkEnd w:id="148"/>
    </w:p>
    <w:tbl>
      <w:tblPr>
        <w:tblW w:w="9940" w:type="dxa"/>
        <w:jc w:val="center"/>
        <w:tblLook w:val="04A0" w:firstRow="1" w:lastRow="0" w:firstColumn="1" w:lastColumn="0" w:noHBand="0" w:noVBand="1"/>
      </w:tblPr>
      <w:tblGrid>
        <w:gridCol w:w="2520"/>
        <w:gridCol w:w="1922"/>
        <w:gridCol w:w="1652"/>
        <w:gridCol w:w="1922"/>
        <w:gridCol w:w="1924"/>
      </w:tblGrid>
      <w:tr w:rsidR="00665097" w:rsidRPr="00F04D4B" w:rsidTr="00D122F5">
        <w:trPr>
          <w:jc w:val="center"/>
        </w:trPr>
        <w:tc>
          <w:tcPr>
            <w:tcW w:w="1267"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b/>
                <w:bCs/>
                <w:sz w:val="16"/>
                <w:szCs w:val="16"/>
              </w:rPr>
            </w:pPr>
          </w:p>
        </w:tc>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b/>
                <w:bCs/>
                <w:sz w:val="16"/>
                <w:szCs w:val="16"/>
              </w:rPr>
            </w:pPr>
            <w:proofErr w:type="spellStart"/>
            <w:r>
              <w:rPr>
                <w:rFonts w:cs="Arial"/>
                <w:b/>
                <w:bCs/>
                <w:sz w:val="16"/>
                <w:szCs w:val="16"/>
                <w:lang w:val="pt-BR"/>
              </w:rPr>
              <w:t>Empleos</w:t>
            </w:r>
            <w:proofErr w:type="spellEnd"/>
          </w:p>
        </w:tc>
        <w:tc>
          <w:tcPr>
            <w:tcW w:w="19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b/>
                <w:bCs/>
                <w:sz w:val="16"/>
                <w:szCs w:val="16"/>
              </w:rPr>
            </w:pPr>
            <w:proofErr w:type="spellStart"/>
            <w:r>
              <w:rPr>
                <w:rFonts w:cs="Arial"/>
                <w:b/>
                <w:bCs/>
                <w:sz w:val="16"/>
                <w:szCs w:val="16"/>
                <w:lang w:val="pt-BR"/>
              </w:rPr>
              <w:t>Establecimientos</w:t>
            </w:r>
            <w:proofErr w:type="spellEnd"/>
          </w:p>
        </w:tc>
      </w:tr>
      <w:tr w:rsidR="00665097" w:rsidRPr="00F04D4B" w:rsidTr="00D122F5">
        <w:trPr>
          <w:jc w:val="center"/>
        </w:trPr>
        <w:tc>
          <w:tcPr>
            <w:tcW w:w="1267"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665097" w:rsidP="00BB313D">
            <w:pPr>
              <w:widowControl w:val="0"/>
              <w:spacing w:line="240" w:lineRule="exact"/>
              <w:jc w:val="center"/>
              <w:rPr>
                <w:rFonts w:cs="Arial"/>
                <w:sz w:val="16"/>
                <w:szCs w:val="16"/>
              </w:rPr>
            </w:pP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490B03" w:rsidP="00BB313D">
            <w:pPr>
              <w:widowControl w:val="0"/>
              <w:spacing w:line="240" w:lineRule="exact"/>
              <w:jc w:val="center"/>
              <w:rPr>
                <w:rFonts w:cs="Arial"/>
                <w:b/>
                <w:bCs/>
                <w:sz w:val="16"/>
                <w:szCs w:val="16"/>
              </w:rPr>
            </w:pPr>
            <w:r>
              <w:rPr>
                <w:rFonts w:cs="Arial"/>
                <w:b/>
                <w:bCs/>
                <w:sz w:val="16"/>
                <w:szCs w:val="16"/>
                <w:lang w:val="pt-BR"/>
              </w:rPr>
              <w:t>Abs.</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04D4B" w:rsidRDefault="00153402" w:rsidP="00BB313D">
            <w:pPr>
              <w:widowControl w:val="0"/>
              <w:spacing w:line="240" w:lineRule="exact"/>
              <w:jc w:val="center"/>
              <w:rPr>
                <w:rFonts w:cs="Arial"/>
                <w:b/>
                <w:bCs/>
                <w:sz w:val="16"/>
                <w:szCs w:val="16"/>
              </w:rPr>
            </w:pPr>
            <w:r>
              <w:rPr>
                <w:rFonts w:cs="Arial"/>
                <w:b/>
                <w:bCs/>
                <w:sz w:val="16"/>
                <w:szCs w:val="16"/>
                <w:lang w:val="pt-BR"/>
              </w:rPr>
              <w:t>% ver.</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490B03" w:rsidP="00BB313D">
            <w:pPr>
              <w:widowControl w:val="0"/>
              <w:spacing w:line="240" w:lineRule="exact"/>
              <w:jc w:val="center"/>
              <w:rPr>
                <w:rFonts w:cs="Arial"/>
                <w:b/>
                <w:bCs/>
                <w:sz w:val="16"/>
                <w:szCs w:val="16"/>
              </w:rPr>
            </w:pPr>
            <w:r>
              <w:rPr>
                <w:rFonts w:cs="Arial"/>
                <w:b/>
                <w:bCs/>
                <w:sz w:val="16"/>
                <w:szCs w:val="16"/>
                <w:lang w:val="pt-BR"/>
              </w:rPr>
              <w:t>Abs.</w:t>
            </w:r>
          </w:p>
        </w:tc>
        <w:tc>
          <w:tcPr>
            <w:tcW w:w="969"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F04D4B" w:rsidRDefault="00153402" w:rsidP="00BB313D">
            <w:pPr>
              <w:widowControl w:val="0"/>
              <w:spacing w:line="240" w:lineRule="exact"/>
              <w:jc w:val="center"/>
              <w:rPr>
                <w:rFonts w:cs="Arial"/>
                <w:b/>
                <w:bCs/>
                <w:sz w:val="16"/>
                <w:szCs w:val="16"/>
              </w:rPr>
            </w:pPr>
            <w:r>
              <w:rPr>
                <w:rFonts w:cs="Arial"/>
                <w:b/>
                <w:bCs/>
                <w:sz w:val="16"/>
                <w:szCs w:val="16"/>
                <w:lang w:val="pt-BR"/>
              </w:rPr>
              <w:t>% ver.</w:t>
            </w:r>
          </w:p>
        </w:tc>
      </w:tr>
      <w:tr w:rsidR="00665097" w:rsidRPr="00504EF3" w:rsidTr="00D122F5">
        <w:trPr>
          <w:jc w:val="center"/>
        </w:trPr>
        <w:tc>
          <w:tcPr>
            <w:tcW w:w="1267" w:type="pct"/>
            <w:tcBorders>
              <w:right w:val="single" w:sz="4" w:space="0" w:color="BFBFBF" w:themeColor="background1" w:themeShade="BF"/>
            </w:tcBorders>
            <w:hideMark/>
          </w:tcPr>
          <w:p w:rsidR="00665097" w:rsidRPr="00C12485" w:rsidRDefault="00665097" w:rsidP="00BB313D">
            <w:pPr>
              <w:widowControl w:val="0"/>
              <w:spacing w:line="240" w:lineRule="exact"/>
              <w:rPr>
                <w:rFonts w:cs="Arial"/>
                <w:color w:val="000000"/>
                <w:sz w:val="16"/>
                <w:szCs w:val="16"/>
              </w:rPr>
            </w:pPr>
            <w:r w:rsidRPr="00C12485">
              <w:rPr>
                <w:rFonts w:cs="Arial"/>
                <w:color w:val="000000"/>
                <w:sz w:val="16"/>
                <w:szCs w:val="16"/>
              </w:rPr>
              <w:t>Álava</w:t>
            </w:r>
          </w:p>
        </w:tc>
        <w:tc>
          <w:tcPr>
            <w:tcW w:w="967" w:type="pct"/>
            <w:tcBorders>
              <w:left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sidRPr="00D334D5">
              <w:rPr>
                <w:rFonts w:cs="Arial"/>
                <w:color w:val="000000"/>
                <w:sz w:val="16"/>
                <w:szCs w:val="16"/>
              </w:rPr>
              <w:t>5.571</w:t>
            </w:r>
          </w:p>
        </w:tc>
        <w:tc>
          <w:tcPr>
            <w:tcW w:w="831" w:type="pct"/>
            <w:tcBorders>
              <w:right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Pr>
                <w:rFonts w:cs="Arial"/>
                <w:color w:val="000000"/>
                <w:sz w:val="16"/>
                <w:szCs w:val="16"/>
              </w:rPr>
              <w:t>10,2</w:t>
            </w:r>
          </w:p>
        </w:tc>
        <w:tc>
          <w:tcPr>
            <w:tcW w:w="967" w:type="pct"/>
            <w:tcBorders>
              <w:left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sidRPr="00D334D5">
              <w:rPr>
                <w:rFonts w:cs="Arial"/>
                <w:color w:val="000000"/>
                <w:sz w:val="16"/>
                <w:szCs w:val="16"/>
              </w:rPr>
              <w:t>494</w:t>
            </w:r>
          </w:p>
        </w:tc>
        <w:tc>
          <w:tcPr>
            <w:tcW w:w="969" w:type="pct"/>
            <w:hideMark/>
          </w:tcPr>
          <w:p w:rsidR="00665097" w:rsidRPr="00C12485" w:rsidRDefault="00D334D5" w:rsidP="00BB313D">
            <w:pPr>
              <w:widowControl w:val="0"/>
              <w:spacing w:line="240" w:lineRule="exact"/>
              <w:ind w:right="170"/>
              <w:jc w:val="right"/>
              <w:rPr>
                <w:rFonts w:cs="Arial"/>
                <w:color w:val="000000"/>
                <w:sz w:val="16"/>
                <w:szCs w:val="16"/>
              </w:rPr>
            </w:pPr>
            <w:r>
              <w:rPr>
                <w:rFonts w:cs="Arial"/>
                <w:color w:val="000000"/>
                <w:sz w:val="16"/>
                <w:szCs w:val="16"/>
              </w:rPr>
              <w:t>15,8</w:t>
            </w:r>
          </w:p>
        </w:tc>
      </w:tr>
      <w:tr w:rsidR="00665097" w:rsidRPr="00504EF3" w:rsidTr="00D122F5">
        <w:trPr>
          <w:jc w:val="center"/>
        </w:trPr>
        <w:tc>
          <w:tcPr>
            <w:tcW w:w="1267" w:type="pct"/>
            <w:tcBorders>
              <w:right w:val="single" w:sz="4" w:space="0" w:color="BFBFBF" w:themeColor="background1" w:themeShade="BF"/>
            </w:tcBorders>
            <w:hideMark/>
          </w:tcPr>
          <w:p w:rsidR="00665097" w:rsidRPr="00C12485" w:rsidRDefault="00665097" w:rsidP="00BB313D">
            <w:pPr>
              <w:widowControl w:val="0"/>
              <w:spacing w:line="240" w:lineRule="exact"/>
              <w:rPr>
                <w:rFonts w:cs="Arial"/>
                <w:color w:val="000000"/>
                <w:sz w:val="16"/>
                <w:szCs w:val="16"/>
              </w:rPr>
            </w:pPr>
            <w:proofErr w:type="spellStart"/>
            <w:r w:rsidRPr="00C12485">
              <w:rPr>
                <w:rFonts w:cs="Arial"/>
                <w:color w:val="000000"/>
                <w:sz w:val="16"/>
                <w:szCs w:val="16"/>
              </w:rPr>
              <w:t>Bizkaia</w:t>
            </w:r>
            <w:proofErr w:type="spellEnd"/>
          </w:p>
        </w:tc>
        <w:tc>
          <w:tcPr>
            <w:tcW w:w="967" w:type="pct"/>
            <w:tcBorders>
              <w:left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sidRPr="00D334D5">
              <w:rPr>
                <w:rFonts w:cs="Arial"/>
                <w:color w:val="000000"/>
                <w:sz w:val="16"/>
                <w:szCs w:val="16"/>
              </w:rPr>
              <w:t>21.312</w:t>
            </w:r>
          </w:p>
        </w:tc>
        <w:tc>
          <w:tcPr>
            <w:tcW w:w="831" w:type="pct"/>
            <w:tcBorders>
              <w:right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Pr>
                <w:rFonts w:cs="Arial"/>
                <w:color w:val="000000"/>
                <w:sz w:val="16"/>
                <w:szCs w:val="16"/>
              </w:rPr>
              <w:t>39,0</w:t>
            </w:r>
          </w:p>
        </w:tc>
        <w:tc>
          <w:tcPr>
            <w:tcW w:w="967" w:type="pct"/>
            <w:tcBorders>
              <w:left w:val="single" w:sz="4" w:space="0" w:color="BFBFBF" w:themeColor="background1" w:themeShade="BF"/>
            </w:tcBorders>
            <w:hideMark/>
          </w:tcPr>
          <w:p w:rsidR="00665097" w:rsidRPr="00D334D5" w:rsidRDefault="00D334D5" w:rsidP="00BB313D">
            <w:pPr>
              <w:widowControl w:val="0"/>
              <w:spacing w:line="240" w:lineRule="exact"/>
              <w:ind w:right="170"/>
              <w:jc w:val="right"/>
              <w:rPr>
                <w:rFonts w:cs="Arial"/>
                <w:color w:val="000000"/>
                <w:sz w:val="16"/>
                <w:szCs w:val="16"/>
              </w:rPr>
            </w:pPr>
            <w:r w:rsidRPr="00D334D5">
              <w:rPr>
                <w:rFonts w:cs="Arial"/>
                <w:color w:val="000000"/>
                <w:sz w:val="16"/>
                <w:szCs w:val="16"/>
              </w:rPr>
              <w:t>1.410</w:t>
            </w:r>
          </w:p>
        </w:tc>
        <w:tc>
          <w:tcPr>
            <w:tcW w:w="969" w:type="pct"/>
            <w:hideMark/>
          </w:tcPr>
          <w:p w:rsidR="00665097" w:rsidRPr="00C12485" w:rsidRDefault="00D334D5" w:rsidP="00BB313D">
            <w:pPr>
              <w:widowControl w:val="0"/>
              <w:spacing w:line="240" w:lineRule="exact"/>
              <w:ind w:right="170"/>
              <w:jc w:val="right"/>
              <w:rPr>
                <w:rFonts w:cs="Arial"/>
                <w:color w:val="000000"/>
                <w:sz w:val="16"/>
                <w:szCs w:val="16"/>
              </w:rPr>
            </w:pPr>
            <w:r>
              <w:rPr>
                <w:rFonts w:cs="Arial"/>
                <w:color w:val="000000"/>
                <w:sz w:val="16"/>
                <w:szCs w:val="16"/>
              </w:rPr>
              <w:t>45,1</w:t>
            </w:r>
          </w:p>
        </w:tc>
      </w:tr>
      <w:tr w:rsidR="00665097" w:rsidRPr="00504EF3" w:rsidTr="00D122F5">
        <w:trPr>
          <w:jc w:val="center"/>
        </w:trPr>
        <w:tc>
          <w:tcPr>
            <w:tcW w:w="1267" w:type="pct"/>
            <w:tcBorders>
              <w:bottom w:val="single" w:sz="4" w:space="0" w:color="BFBFBF" w:themeColor="background1" w:themeShade="BF"/>
              <w:right w:val="single" w:sz="4" w:space="0" w:color="BFBFBF" w:themeColor="background1" w:themeShade="BF"/>
            </w:tcBorders>
            <w:hideMark/>
          </w:tcPr>
          <w:p w:rsidR="00665097" w:rsidRPr="00C12485" w:rsidRDefault="00665097" w:rsidP="00BB313D">
            <w:pPr>
              <w:widowControl w:val="0"/>
              <w:spacing w:line="240" w:lineRule="exact"/>
              <w:rPr>
                <w:rFonts w:cs="Arial"/>
                <w:color w:val="000000"/>
                <w:sz w:val="16"/>
                <w:szCs w:val="16"/>
              </w:rPr>
            </w:pPr>
            <w:proofErr w:type="spellStart"/>
            <w:r w:rsidRPr="00C12485">
              <w:rPr>
                <w:rFonts w:cs="Arial"/>
                <w:color w:val="000000"/>
                <w:sz w:val="16"/>
                <w:szCs w:val="16"/>
              </w:rPr>
              <w:t>Gipuzkoa</w:t>
            </w:r>
            <w:proofErr w:type="spellEnd"/>
          </w:p>
        </w:tc>
        <w:tc>
          <w:tcPr>
            <w:tcW w:w="967" w:type="pct"/>
            <w:tcBorders>
              <w:left w:val="single" w:sz="4" w:space="0" w:color="BFBFBF" w:themeColor="background1" w:themeShade="BF"/>
              <w:bottom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sidRPr="00D334D5">
              <w:rPr>
                <w:rFonts w:cs="Arial"/>
                <w:color w:val="000000"/>
                <w:sz w:val="16"/>
                <w:szCs w:val="16"/>
              </w:rPr>
              <w:t>27.699</w:t>
            </w:r>
          </w:p>
        </w:tc>
        <w:tc>
          <w:tcPr>
            <w:tcW w:w="831" w:type="pct"/>
            <w:tcBorders>
              <w:bottom w:val="single" w:sz="4" w:space="0" w:color="BFBFBF" w:themeColor="background1" w:themeShade="BF"/>
              <w:right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Pr>
                <w:rFonts w:cs="Arial"/>
                <w:color w:val="000000"/>
                <w:sz w:val="16"/>
                <w:szCs w:val="16"/>
              </w:rPr>
              <w:t>50,8</w:t>
            </w:r>
          </w:p>
        </w:tc>
        <w:tc>
          <w:tcPr>
            <w:tcW w:w="967" w:type="pct"/>
            <w:tcBorders>
              <w:left w:val="single" w:sz="4" w:space="0" w:color="BFBFBF" w:themeColor="background1" w:themeShade="BF"/>
              <w:bottom w:val="single" w:sz="4" w:space="0" w:color="BFBFBF" w:themeColor="background1" w:themeShade="BF"/>
            </w:tcBorders>
            <w:hideMark/>
          </w:tcPr>
          <w:p w:rsidR="00665097" w:rsidRPr="00D334D5" w:rsidRDefault="00D334D5" w:rsidP="00BB313D">
            <w:pPr>
              <w:widowControl w:val="0"/>
              <w:spacing w:line="240" w:lineRule="exact"/>
              <w:ind w:right="170"/>
              <w:jc w:val="right"/>
              <w:rPr>
                <w:rFonts w:cs="Arial"/>
                <w:color w:val="000000"/>
                <w:sz w:val="16"/>
                <w:szCs w:val="16"/>
              </w:rPr>
            </w:pPr>
            <w:r w:rsidRPr="00D334D5">
              <w:rPr>
                <w:rFonts w:cs="Arial"/>
                <w:color w:val="000000"/>
                <w:sz w:val="16"/>
                <w:szCs w:val="16"/>
              </w:rPr>
              <w:t>1.223</w:t>
            </w:r>
          </w:p>
        </w:tc>
        <w:tc>
          <w:tcPr>
            <w:tcW w:w="969" w:type="pct"/>
            <w:tcBorders>
              <w:bottom w:val="single" w:sz="4" w:space="0" w:color="BFBFBF" w:themeColor="background1" w:themeShade="BF"/>
            </w:tcBorders>
            <w:hideMark/>
          </w:tcPr>
          <w:p w:rsidR="00665097" w:rsidRPr="00C12485" w:rsidRDefault="00D334D5" w:rsidP="00BB313D">
            <w:pPr>
              <w:widowControl w:val="0"/>
              <w:spacing w:line="240" w:lineRule="exact"/>
              <w:ind w:right="170"/>
              <w:jc w:val="right"/>
              <w:rPr>
                <w:rFonts w:cs="Arial"/>
                <w:color w:val="000000"/>
                <w:sz w:val="16"/>
                <w:szCs w:val="16"/>
              </w:rPr>
            </w:pPr>
            <w:r>
              <w:rPr>
                <w:rFonts w:cs="Arial"/>
                <w:color w:val="000000"/>
                <w:sz w:val="16"/>
                <w:szCs w:val="16"/>
              </w:rPr>
              <w:t>39,1</w:t>
            </w:r>
          </w:p>
        </w:tc>
      </w:tr>
      <w:tr w:rsidR="00665097" w:rsidRPr="00504EF3" w:rsidTr="00D122F5">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C12485" w:rsidRDefault="00665097" w:rsidP="00BB313D">
            <w:pPr>
              <w:widowControl w:val="0"/>
              <w:spacing w:line="240" w:lineRule="exact"/>
              <w:rPr>
                <w:rFonts w:cs="Arial"/>
                <w:b/>
                <w:bCs/>
                <w:color w:val="000000"/>
                <w:sz w:val="16"/>
                <w:szCs w:val="16"/>
              </w:rPr>
            </w:pPr>
            <w:r w:rsidRPr="00C12485">
              <w:rPr>
                <w:rFonts w:cs="Arial"/>
                <w:b/>
                <w:bCs/>
                <w:color w:val="000000"/>
                <w:sz w:val="16"/>
                <w:szCs w:val="16"/>
                <w:lang w:val="es-ES_tradnl"/>
              </w:rPr>
              <w:t>TOTAL</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D334D5" w:rsidRDefault="00D334D5" w:rsidP="00BB313D">
            <w:pPr>
              <w:widowControl w:val="0"/>
              <w:spacing w:line="240" w:lineRule="exact"/>
              <w:ind w:right="170"/>
              <w:jc w:val="right"/>
              <w:rPr>
                <w:rFonts w:cs="Arial"/>
                <w:b/>
                <w:bCs/>
                <w:color w:val="000000"/>
                <w:sz w:val="16"/>
                <w:szCs w:val="16"/>
              </w:rPr>
            </w:pPr>
            <w:r w:rsidRPr="00D334D5">
              <w:rPr>
                <w:rFonts w:cs="Arial"/>
                <w:b/>
                <w:bCs/>
                <w:color w:val="000000"/>
                <w:sz w:val="16"/>
                <w:szCs w:val="16"/>
              </w:rPr>
              <w:t>54.582</w:t>
            </w:r>
          </w:p>
        </w:tc>
        <w:tc>
          <w:tcPr>
            <w:tcW w:w="8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C12485" w:rsidRDefault="00665097" w:rsidP="00BB313D">
            <w:pPr>
              <w:widowControl w:val="0"/>
              <w:spacing w:line="240" w:lineRule="exact"/>
              <w:ind w:right="170"/>
              <w:jc w:val="right"/>
              <w:rPr>
                <w:rFonts w:cs="Arial"/>
                <w:b/>
                <w:bCs/>
                <w:color w:val="000000"/>
                <w:sz w:val="16"/>
                <w:szCs w:val="16"/>
              </w:rPr>
            </w:pPr>
            <w:r w:rsidRPr="00C12485">
              <w:rPr>
                <w:rFonts w:cs="Arial"/>
                <w:b/>
                <w:bCs/>
                <w:color w:val="000000"/>
                <w:sz w:val="16"/>
                <w:szCs w:val="16"/>
              </w:rPr>
              <w:t>100</w:t>
            </w:r>
            <w:r w:rsidR="007F441F">
              <w:rPr>
                <w:rFonts w:cs="Arial"/>
                <w:b/>
                <w:bCs/>
                <w:color w:val="000000"/>
                <w:sz w:val="16"/>
                <w:szCs w:val="16"/>
              </w:rPr>
              <w:t>,0</w:t>
            </w:r>
          </w:p>
        </w:tc>
        <w:tc>
          <w:tcPr>
            <w:tcW w:w="9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C12485" w:rsidRDefault="00665097" w:rsidP="00BB313D">
            <w:pPr>
              <w:widowControl w:val="0"/>
              <w:spacing w:line="240" w:lineRule="exact"/>
              <w:ind w:right="170"/>
              <w:jc w:val="right"/>
              <w:rPr>
                <w:rFonts w:cs="Arial"/>
                <w:b/>
                <w:bCs/>
                <w:color w:val="000000"/>
                <w:sz w:val="16"/>
                <w:szCs w:val="16"/>
              </w:rPr>
            </w:pPr>
            <w:r w:rsidRPr="00C12485">
              <w:rPr>
                <w:rFonts w:cs="Arial"/>
                <w:b/>
                <w:bCs/>
                <w:color w:val="000000"/>
                <w:sz w:val="16"/>
                <w:szCs w:val="16"/>
              </w:rPr>
              <w:t>3.</w:t>
            </w:r>
            <w:r w:rsidR="00D334D5">
              <w:rPr>
                <w:rFonts w:cs="Arial"/>
                <w:b/>
                <w:bCs/>
                <w:color w:val="000000"/>
                <w:sz w:val="16"/>
                <w:szCs w:val="16"/>
              </w:rPr>
              <w:t>127</w:t>
            </w:r>
          </w:p>
        </w:tc>
        <w:tc>
          <w:tcPr>
            <w:tcW w:w="969" w:type="pct"/>
            <w:tcBorders>
              <w:top w:val="single" w:sz="4" w:space="0" w:color="BFBFBF" w:themeColor="background1" w:themeShade="BF"/>
              <w:bottom w:val="single" w:sz="4" w:space="0" w:color="BFBFBF" w:themeColor="background1" w:themeShade="BF"/>
            </w:tcBorders>
            <w:hideMark/>
          </w:tcPr>
          <w:p w:rsidR="00665097" w:rsidRPr="00C12485" w:rsidRDefault="00665097" w:rsidP="00BB313D">
            <w:pPr>
              <w:widowControl w:val="0"/>
              <w:spacing w:line="240" w:lineRule="exact"/>
              <w:ind w:right="170"/>
              <w:jc w:val="right"/>
              <w:rPr>
                <w:rFonts w:cs="Arial"/>
                <w:b/>
                <w:bCs/>
                <w:color w:val="000000"/>
                <w:sz w:val="16"/>
                <w:szCs w:val="16"/>
              </w:rPr>
            </w:pPr>
            <w:r w:rsidRPr="00C12485">
              <w:rPr>
                <w:rFonts w:cs="Arial"/>
                <w:b/>
                <w:bCs/>
                <w:color w:val="000000"/>
                <w:sz w:val="16"/>
                <w:szCs w:val="16"/>
              </w:rPr>
              <w:t>100</w:t>
            </w:r>
            <w:r w:rsidR="007F441F">
              <w:rPr>
                <w:rFonts w:cs="Arial"/>
                <w:b/>
                <w:bCs/>
                <w:color w:val="000000"/>
                <w:sz w:val="16"/>
                <w:szCs w:val="16"/>
              </w:rPr>
              <w:t>,0</w:t>
            </w:r>
          </w:p>
        </w:tc>
      </w:tr>
    </w:tbl>
    <w:p w:rsidR="00665097" w:rsidRDefault="00665097" w:rsidP="00BB313D">
      <w:pPr>
        <w:widowControl w:val="0"/>
      </w:pPr>
    </w:p>
    <w:p w:rsidR="00422EC3" w:rsidRDefault="00422EC3" w:rsidP="00BB313D">
      <w:pPr>
        <w:widowControl w:val="0"/>
      </w:pPr>
    </w:p>
    <w:p w:rsidR="00665097" w:rsidRDefault="00665097" w:rsidP="00BB313D">
      <w:pPr>
        <w:widowControl w:val="0"/>
        <w:rPr>
          <w:rFonts w:cs="Arial"/>
          <w:b/>
          <w:color w:val="1F497D" w:themeColor="text2"/>
          <w:sz w:val="18"/>
          <w:szCs w:val="18"/>
        </w:rPr>
      </w:pPr>
      <w:r>
        <w:rPr>
          <w:rFonts w:cs="Arial"/>
          <w:b/>
          <w:color w:val="1F497D" w:themeColor="text2"/>
          <w:sz w:val="18"/>
          <w:szCs w:val="18"/>
        </w:rPr>
        <w:br w:type="page"/>
      </w:r>
    </w:p>
    <w:p w:rsidR="005773F5" w:rsidRDefault="005773F5"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49" w:name="_Toc391999659"/>
      <w:bookmarkStart w:id="150" w:name="_Toc450120000"/>
      <w:r w:rsidRPr="009F1045">
        <w:rPr>
          <w:rFonts w:cs="Arial"/>
          <w:b/>
          <w:color w:val="1F497D" w:themeColor="text2"/>
          <w:sz w:val="18"/>
          <w:szCs w:val="18"/>
        </w:rPr>
        <w:t>Gráfico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Gráfico_1.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12</w:t>
      </w:r>
      <w:r w:rsidR="00771A61" w:rsidRPr="009F1045">
        <w:rPr>
          <w:rFonts w:cs="Arial"/>
          <w:b/>
          <w:color w:val="1F497D" w:themeColor="text2"/>
          <w:sz w:val="18"/>
          <w:szCs w:val="18"/>
        </w:rPr>
        <w:fldChar w:fldCharType="end"/>
      </w:r>
      <w:r w:rsidR="00D10020">
        <w:rPr>
          <w:rFonts w:cs="Arial"/>
          <w:b/>
          <w:color w:val="1F497D" w:themeColor="text2"/>
          <w:sz w:val="18"/>
          <w:szCs w:val="18"/>
        </w:rPr>
        <w:t xml:space="preserve"> </w:t>
      </w:r>
      <w:r w:rsidR="00665097" w:rsidRPr="00506010">
        <w:rPr>
          <w:rFonts w:cs="Arial"/>
          <w:b/>
          <w:color w:val="1F497D" w:themeColor="text2"/>
          <w:sz w:val="18"/>
          <w:szCs w:val="18"/>
        </w:rPr>
        <w:t>IMPORTANCIA RELATIVA DE LA ECONOMÍA SOCIAL EN LA ECONOMÍA DE LA CAE (Peso relativo del empleo</w:t>
      </w:r>
      <w:r w:rsidR="00342A95">
        <w:rPr>
          <w:rFonts w:cs="Arial"/>
          <w:b/>
          <w:color w:val="1F497D" w:themeColor="text2"/>
          <w:sz w:val="18"/>
          <w:szCs w:val="18"/>
        </w:rPr>
        <w:t xml:space="preserve"> por Territorio Histórico). 2012</w:t>
      </w:r>
      <w:r w:rsidR="00665097" w:rsidRPr="00506010">
        <w:rPr>
          <w:rFonts w:cs="Arial"/>
          <w:b/>
          <w:color w:val="1F497D" w:themeColor="text2"/>
          <w:sz w:val="18"/>
          <w:szCs w:val="18"/>
        </w:rPr>
        <w:t>-201</w:t>
      </w:r>
      <w:bookmarkEnd w:id="149"/>
      <w:r w:rsidR="00342A95">
        <w:rPr>
          <w:rFonts w:cs="Arial"/>
          <w:b/>
          <w:color w:val="1F497D" w:themeColor="text2"/>
          <w:sz w:val="18"/>
          <w:szCs w:val="18"/>
        </w:rPr>
        <w:t>4</w:t>
      </w:r>
      <w:bookmarkEnd w:id="150"/>
    </w:p>
    <w:p w:rsidR="00665097" w:rsidRDefault="00665097" w:rsidP="00BB313D">
      <w:pPr>
        <w:widowControl w:val="0"/>
        <w:jc w:val="center"/>
        <w:rPr>
          <w:rFonts w:cs="Arial"/>
          <w:b/>
          <w:color w:val="1F497D" w:themeColor="text2"/>
          <w:sz w:val="18"/>
          <w:szCs w:val="18"/>
        </w:rPr>
      </w:pPr>
      <w:r>
        <w:rPr>
          <w:rFonts w:cs="Arial"/>
          <w:b/>
          <w:noProof/>
          <w:color w:val="1F497D" w:themeColor="text2"/>
          <w:sz w:val="18"/>
          <w:szCs w:val="18"/>
          <w:lang w:eastAsia="es-ES"/>
        </w:rPr>
        <w:drawing>
          <wp:anchor distT="0" distB="0" distL="114300" distR="114300" simplePos="0" relativeHeight="251738112" behindDoc="0" locked="0" layoutInCell="1" allowOverlap="1">
            <wp:simplePos x="0" y="0"/>
            <wp:positionH relativeFrom="column">
              <wp:posOffset>172610</wp:posOffset>
            </wp:positionH>
            <wp:positionV relativeFrom="paragraph">
              <wp:posOffset>38818</wp:posOffset>
            </wp:positionV>
            <wp:extent cx="5255812" cy="1765189"/>
            <wp:effectExtent l="0" t="0" r="0" b="0"/>
            <wp:wrapNone/>
            <wp:docPr id="73"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665097" w:rsidRDefault="00665097" w:rsidP="00BB313D">
      <w:pPr>
        <w:widowControl w:val="0"/>
        <w:jc w:val="center"/>
        <w:rPr>
          <w:rFonts w:cs="Arial"/>
          <w:b/>
          <w:color w:val="1F497D" w:themeColor="text2"/>
          <w:sz w:val="18"/>
          <w:szCs w:val="18"/>
        </w:rPr>
      </w:pPr>
    </w:p>
    <w:p w:rsidR="00665097" w:rsidRDefault="00665097" w:rsidP="00BB313D">
      <w:pPr>
        <w:widowControl w:val="0"/>
        <w:jc w:val="center"/>
        <w:rPr>
          <w:rFonts w:cs="Arial"/>
          <w:b/>
          <w:color w:val="1F497D" w:themeColor="text2"/>
          <w:sz w:val="18"/>
          <w:szCs w:val="18"/>
        </w:rPr>
      </w:pPr>
    </w:p>
    <w:p w:rsidR="00665097" w:rsidRDefault="00665097" w:rsidP="00BB313D">
      <w:pPr>
        <w:widowControl w:val="0"/>
        <w:jc w:val="center"/>
        <w:rPr>
          <w:rFonts w:cs="Arial"/>
          <w:b/>
          <w:color w:val="1F497D" w:themeColor="text2"/>
          <w:sz w:val="18"/>
          <w:szCs w:val="18"/>
        </w:rPr>
      </w:pPr>
    </w:p>
    <w:p w:rsidR="00665097" w:rsidRDefault="00665097" w:rsidP="00BB313D">
      <w:pPr>
        <w:widowControl w:val="0"/>
        <w:jc w:val="center"/>
        <w:rPr>
          <w:rFonts w:cs="Arial"/>
          <w:b/>
          <w:color w:val="1F497D" w:themeColor="text2"/>
          <w:sz w:val="18"/>
          <w:szCs w:val="18"/>
        </w:rPr>
      </w:pPr>
    </w:p>
    <w:p w:rsidR="00665097" w:rsidRDefault="00665097" w:rsidP="00BB313D">
      <w:pPr>
        <w:widowControl w:val="0"/>
        <w:jc w:val="center"/>
        <w:rPr>
          <w:rFonts w:cs="Arial"/>
          <w:b/>
          <w:color w:val="1F497D" w:themeColor="text2"/>
          <w:sz w:val="18"/>
          <w:szCs w:val="18"/>
        </w:rPr>
      </w:pPr>
    </w:p>
    <w:p w:rsidR="00665097" w:rsidRDefault="00665097" w:rsidP="00BB313D">
      <w:pPr>
        <w:widowControl w:val="0"/>
        <w:jc w:val="center"/>
        <w:rPr>
          <w:rFonts w:cs="Arial"/>
          <w:b/>
          <w:color w:val="1F497D" w:themeColor="text2"/>
          <w:sz w:val="18"/>
          <w:szCs w:val="18"/>
        </w:rPr>
      </w:pPr>
    </w:p>
    <w:p w:rsidR="00665097" w:rsidRDefault="00665097" w:rsidP="00BB313D">
      <w:pPr>
        <w:widowControl w:val="0"/>
        <w:jc w:val="center"/>
        <w:rPr>
          <w:rFonts w:cs="Arial"/>
          <w:b/>
          <w:color w:val="1F497D" w:themeColor="text2"/>
          <w:sz w:val="18"/>
          <w:szCs w:val="18"/>
        </w:rPr>
      </w:pPr>
    </w:p>
    <w:p w:rsidR="00665097" w:rsidRDefault="00665097" w:rsidP="00BB313D">
      <w:pPr>
        <w:widowControl w:val="0"/>
        <w:jc w:val="center"/>
        <w:rPr>
          <w:rFonts w:cs="Arial"/>
          <w:b/>
          <w:color w:val="1F497D" w:themeColor="text2"/>
          <w:sz w:val="18"/>
          <w:szCs w:val="18"/>
        </w:rPr>
      </w:pPr>
    </w:p>
    <w:p w:rsidR="00665097" w:rsidRPr="00B45288" w:rsidRDefault="00665097" w:rsidP="00BB313D">
      <w:pPr>
        <w:widowControl w:val="0"/>
        <w:jc w:val="center"/>
        <w:rPr>
          <w:rFonts w:cs="Arial"/>
          <w:i/>
          <w:color w:val="000000"/>
          <w:sz w:val="16"/>
          <w:szCs w:val="16"/>
        </w:rPr>
      </w:pPr>
      <w:r w:rsidRPr="00B45288">
        <w:rPr>
          <w:rFonts w:cs="Arial"/>
          <w:i/>
          <w:color w:val="000000"/>
          <w:sz w:val="16"/>
          <w:szCs w:val="16"/>
        </w:rPr>
        <w:t xml:space="preserve">Fuente para la comparación: Encuesta de Población en Relación </w:t>
      </w:r>
      <w:r w:rsidR="00234B4F">
        <w:rPr>
          <w:rFonts w:cs="Arial"/>
          <w:i/>
          <w:color w:val="000000"/>
          <w:sz w:val="16"/>
          <w:szCs w:val="16"/>
        </w:rPr>
        <w:t xml:space="preserve">con la Actividad PRA </w:t>
      </w:r>
      <w:proofErr w:type="spellStart"/>
      <w:r w:rsidR="00234B4F">
        <w:rPr>
          <w:rFonts w:cs="Arial"/>
          <w:i/>
          <w:color w:val="000000"/>
          <w:sz w:val="16"/>
          <w:szCs w:val="16"/>
        </w:rPr>
        <w:t>Eustat</w:t>
      </w:r>
      <w:proofErr w:type="spellEnd"/>
      <w:r w:rsidR="00234B4F">
        <w:rPr>
          <w:rFonts w:cs="Arial"/>
          <w:i/>
          <w:color w:val="000000"/>
          <w:sz w:val="16"/>
          <w:szCs w:val="16"/>
        </w:rPr>
        <w:t xml:space="preserve"> 2014</w:t>
      </w:r>
    </w:p>
    <w:p w:rsidR="00C35874" w:rsidRDefault="00C35874" w:rsidP="00BB313D">
      <w:pPr>
        <w:widowControl w:val="0"/>
        <w:rPr>
          <w:rFonts w:cs="Arial"/>
        </w:rPr>
      </w:pPr>
    </w:p>
    <w:p w:rsidR="00665097" w:rsidRPr="00506010" w:rsidRDefault="00DE1512" w:rsidP="00BB313D">
      <w:pPr>
        <w:widowControl w:val="0"/>
        <w:spacing w:line="240" w:lineRule="auto"/>
        <w:jc w:val="center"/>
        <w:rPr>
          <w:rFonts w:cs="Arial"/>
          <w:b/>
          <w:color w:val="1F497D" w:themeColor="text2"/>
          <w:sz w:val="18"/>
          <w:szCs w:val="18"/>
        </w:rPr>
      </w:pPr>
      <w:bookmarkStart w:id="151" w:name="_Toc391999609"/>
      <w:bookmarkStart w:id="152" w:name="_Toc450119492"/>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37</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AC5A66" w:rsidRPr="00665097">
        <w:rPr>
          <w:rFonts w:cs="Arial"/>
          <w:b/>
          <w:color w:val="1F497D" w:themeColor="text2"/>
          <w:sz w:val="18"/>
          <w:szCs w:val="18"/>
        </w:rPr>
        <w:t xml:space="preserve"> </w:t>
      </w:r>
      <w:r w:rsidR="00665097" w:rsidRPr="00506010">
        <w:rPr>
          <w:rFonts w:cs="Arial"/>
          <w:b/>
          <w:color w:val="1F497D" w:themeColor="text2"/>
          <w:sz w:val="18"/>
          <w:szCs w:val="18"/>
        </w:rPr>
        <w:t xml:space="preserve">DISTRIBUCIÓN TERRITORIAL DE LOS EMPLEOS DE LA ECONOMÍA </w:t>
      </w:r>
      <w:r w:rsidR="00362C66">
        <w:rPr>
          <w:rFonts w:cs="Arial"/>
          <w:b/>
          <w:color w:val="1F497D" w:themeColor="text2"/>
          <w:sz w:val="18"/>
          <w:szCs w:val="18"/>
        </w:rPr>
        <w:t>SOCIAL SEGÚN FORMA JURÍDICA 2014</w:t>
      </w:r>
      <w:r w:rsidR="00665097" w:rsidRPr="00506010">
        <w:rPr>
          <w:rFonts w:cs="Arial"/>
          <w:b/>
          <w:color w:val="1F497D" w:themeColor="text2"/>
          <w:sz w:val="18"/>
          <w:szCs w:val="18"/>
        </w:rPr>
        <w:t>. (</w:t>
      </w:r>
      <w:proofErr w:type="gramStart"/>
      <w:r w:rsidR="007D763B">
        <w:rPr>
          <w:rFonts w:cs="Arial"/>
          <w:b/>
          <w:color w:val="1F497D" w:themeColor="text2"/>
          <w:sz w:val="18"/>
          <w:szCs w:val="18"/>
        </w:rPr>
        <w:t>cifras</w:t>
      </w:r>
      <w:proofErr w:type="gramEnd"/>
      <w:r w:rsidR="007D763B">
        <w:rPr>
          <w:rFonts w:cs="Arial"/>
          <w:b/>
          <w:color w:val="1F497D" w:themeColor="text2"/>
          <w:sz w:val="18"/>
          <w:szCs w:val="18"/>
        </w:rPr>
        <w:t xml:space="preserve"> absolutas y % verticales</w:t>
      </w:r>
      <w:r w:rsidR="00665097" w:rsidRPr="00506010">
        <w:rPr>
          <w:rFonts w:cs="Arial"/>
          <w:b/>
          <w:color w:val="1F497D" w:themeColor="text2"/>
          <w:sz w:val="18"/>
          <w:szCs w:val="18"/>
        </w:rPr>
        <w:t>)</w:t>
      </w:r>
      <w:bookmarkEnd w:id="151"/>
      <w:bookmarkEnd w:id="152"/>
    </w:p>
    <w:tbl>
      <w:tblPr>
        <w:tblW w:w="9940" w:type="dxa"/>
        <w:jc w:val="center"/>
        <w:tblLook w:val="04A0" w:firstRow="1" w:lastRow="0" w:firstColumn="1" w:lastColumn="0" w:noHBand="0" w:noVBand="1"/>
      </w:tblPr>
      <w:tblGrid>
        <w:gridCol w:w="1954"/>
        <w:gridCol w:w="1143"/>
        <w:gridCol w:w="911"/>
        <w:gridCol w:w="1143"/>
        <w:gridCol w:w="911"/>
        <w:gridCol w:w="1028"/>
        <w:gridCol w:w="911"/>
        <w:gridCol w:w="1028"/>
        <w:gridCol w:w="911"/>
      </w:tblGrid>
      <w:tr w:rsidR="00665097" w:rsidRPr="00506010" w:rsidTr="00D122F5">
        <w:trPr>
          <w:jc w:val="center"/>
        </w:trPr>
        <w:tc>
          <w:tcPr>
            <w:tcW w:w="983"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rPr>
                <w:rFonts w:cs="Arial"/>
                <w:sz w:val="16"/>
                <w:szCs w:val="16"/>
              </w:rPr>
            </w:pP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jc w:val="center"/>
              <w:rPr>
                <w:rFonts w:cs="Arial"/>
                <w:b/>
                <w:bCs/>
                <w:sz w:val="16"/>
                <w:szCs w:val="16"/>
              </w:rPr>
            </w:pPr>
            <w:r w:rsidRPr="00506010">
              <w:rPr>
                <w:rFonts w:cs="Arial"/>
                <w:b/>
                <w:bCs/>
                <w:sz w:val="16"/>
                <w:szCs w:val="16"/>
              </w:rPr>
              <w:t>TOTAL</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E5608" w:rsidP="00996F20">
            <w:pPr>
              <w:widowControl w:val="0"/>
              <w:spacing w:line="240" w:lineRule="exact"/>
              <w:jc w:val="center"/>
              <w:rPr>
                <w:rFonts w:cs="Arial"/>
                <w:b/>
                <w:bCs/>
                <w:sz w:val="16"/>
                <w:szCs w:val="16"/>
              </w:rPr>
            </w:pPr>
            <w:proofErr w:type="spellStart"/>
            <w:r>
              <w:rPr>
                <w:rFonts w:cs="Arial"/>
                <w:b/>
                <w:bCs/>
                <w:sz w:val="16"/>
                <w:szCs w:val="16"/>
              </w:rPr>
              <w:t>S.</w:t>
            </w:r>
            <w:r w:rsidR="00665097" w:rsidRPr="00506010">
              <w:rPr>
                <w:rFonts w:cs="Arial"/>
                <w:b/>
                <w:bCs/>
                <w:sz w:val="16"/>
                <w:szCs w:val="16"/>
              </w:rPr>
              <w:t>C</w:t>
            </w:r>
            <w:r w:rsidR="00665097">
              <w:rPr>
                <w:rFonts w:cs="Arial"/>
                <w:b/>
                <w:bCs/>
                <w:sz w:val="16"/>
                <w:szCs w:val="16"/>
              </w:rPr>
              <w:t>oop</w:t>
            </w:r>
            <w:proofErr w:type="spellEnd"/>
            <w:r w:rsidR="00665097" w:rsidRPr="00506010">
              <w:rPr>
                <w:rFonts w:cs="Arial"/>
                <w:b/>
                <w:bCs/>
                <w:sz w:val="16"/>
                <w:szCs w:val="16"/>
              </w:rPr>
              <w:t>.</w:t>
            </w:r>
          </w:p>
        </w:tc>
        <w:tc>
          <w:tcPr>
            <w:tcW w:w="9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jc w:val="center"/>
              <w:rPr>
                <w:rFonts w:cs="Arial"/>
                <w:b/>
                <w:bCs/>
                <w:sz w:val="16"/>
                <w:szCs w:val="16"/>
              </w:rPr>
            </w:pPr>
            <w:r w:rsidRPr="00506010">
              <w:rPr>
                <w:rFonts w:cs="Arial"/>
                <w:b/>
                <w:bCs/>
                <w:sz w:val="16"/>
                <w:szCs w:val="16"/>
                <w:lang w:val="en-GB"/>
              </w:rPr>
              <w:t>S.A.L.es</w:t>
            </w:r>
          </w:p>
        </w:tc>
        <w:tc>
          <w:tcPr>
            <w:tcW w:w="9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jc w:val="center"/>
              <w:rPr>
                <w:rFonts w:cs="Arial"/>
                <w:b/>
                <w:bCs/>
                <w:sz w:val="16"/>
                <w:szCs w:val="16"/>
              </w:rPr>
            </w:pPr>
            <w:r w:rsidRPr="00506010">
              <w:rPr>
                <w:rFonts w:cs="Arial"/>
                <w:b/>
                <w:bCs/>
                <w:sz w:val="16"/>
                <w:szCs w:val="16"/>
                <w:lang w:val="en-GB"/>
              </w:rPr>
              <w:t>S.L.L.es</w:t>
            </w:r>
          </w:p>
        </w:tc>
      </w:tr>
      <w:tr w:rsidR="00665097" w:rsidRPr="00506010" w:rsidTr="00D122F5">
        <w:trPr>
          <w:jc w:val="center"/>
        </w:trPr>
        <w:tc>
          <w:tcPr>
            <w:tcW w:w="983"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rPr>
                <w:rFonts w:cs="Arial"/>
                <w:sz w:val="16"/>
                <w:szCs w:val="16"/>
              </w:rPr>
            </w:pP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58"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r>
      <w:tr w:rsidR="00362C66" w:rsidRPr="00506010" w:rsidTr="00D122F5">
        <w:trPr>
          <w:jc w:val="center"/>
        </w:trPr>
        <w:tc>
          <w:tcPr>
            <w:tcW w:w="983" w:type="pct"/>
            <w:tcBorders>
              <w:top w:val="single" w:sz="4" w:space="0" w:color="BFBFBF" w:themeColor="background1" w:themeShade="BF"/>
              <w:right w:val="single" w:sz="4" w:space="0" w:color="BFBFBF" w:themeColor="background1" w:themeShade="BF"/>
            </w:tcBorders>
            <w:hideMark/>
          </w:tcPr>
          <w:p w:rsidR="00362C66" w:rsidRPr="00506010" w:rsidRDefault="00362C66" w:rsidP="00996F20">
            <w:pPr>
              <w:widowControl w:val="0"/>
              <w:spacing w:line="240" w:lineRule="exact"/>
              <w:rPr>
                <w:rFonts w:cs="Arial"/>
                <w:sz w:val="16"/>
                <w:szCs w:val="16"/>
              </w:rPr>
            </w:pPr>
            <w:r w:rsidRPr="00506010">
              <w:rPr>
                <w:rFonts w:cs="Arial"/>
                <w:sz w:val="16"/>
                <w:szCs w:val="16"/>
              </w:rPr>
              <w:t>Álava</w:t>
            </w:r>
          </w:p>
        </w:tc>
        <w:tc>
          <w:tcPr>
            <w:tcW w:w="575" w:type="pct"/>
            <w:tcBorders>
              <w:top w:val="single" w:sz="4" w:space="0" w:color="BFBFBF" w:themeColor="background1" w:themeShade="BF"/>
              <w:left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color w:val="000000"/>
                <w:sz w:val="16"/>
                <w:szCs w:val="16"/>
              </w:rPr>
            </w:pPr>
            <w:r w:rsidRPr="00E91137">
              <w:rPr>
                <w:rFonts w:cs="Arial"/>
                <w:color w:val="000000"/>
                <w:sz w:val="16"/>
                <w:szCs w:val="16"/>
              </w:rPr>
              <w:t>5.571</w:t>
            </w:r>
          </w:p>
        </w:tc>
        <w:tc>
          <w:tcPr>
            <w:tcW w:w="458" w:type="pct"/>
            <w:tcBorders>
              <w:top w:val="single" w:sz="4" w:space="0" w:color="BFBFBF" w:themeColor="background1" w:themeShade="BF"/>
              <w:right w:val="single" w:sz="4" w:space="0" w:color="BFBFBF" w:themeColor="background1" w:themeShade="BF"/>
            </w:tcBorders>
            <w:hideMark/>
          </w:tcPr>
          <w:p w:rsidR="00362C66" w:rsidRPr="00AD20A8" w:rsidRDefault="00362C66" w:rsidP="00996F20">
            <w:pPr>
              <w:widowControl w:val="0"/>
              <w:spacing w:line="240" w:lineRule="exact"/>
              <w:ind w:right="170"/>
              <w:jc w:val="right"/>
              <w:rPr>
                <w:rFonts w:cs="Arial"/>
                <w:color w:val="000000"/>
                <w:sz w:val="16"/>
                <w:szCs w:val="16"/>
              </w:rPr>
            </w:pPr>
            <w:r w:rsidRPr="00AD20A8">
              <w:rPr>
                <w:rFonts w:cs="Arial"/>
                <w:color w:val="000000"/>
                <w:sz w:val="16"/>
                <w:szCs w:val="16"/>
              </w:rPr>
              <w:t>10,2</w:t>
            </w:r>
          </w:p>
        </w:tc>
        <w:tc>
          <w:tcPr>
            <w:tcW w:w="575" w:type="pct"/>
            <w:tcBorders>
              <w:top w:val="single" w:sz="4" w:space="0" w:color="BFBFBF" w:themeColor="background1" w:themeShade="BF"/>
              <w:lef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4.999</w:t>
            </w:r>
          </w:p>
        </w:tc>
        <w:tc>
          <w:tcPr>
            <w:tcW w:w="458" w:type="pct"/>
            <w:tcBorders>
              <w:top w:val="single" w:sz="4" w:space="0" w:color="BFBFBF" w:themeColor="background1" w:themeShade="BF"/>
              <w:righ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10,6</w:t>
            </w:r>
          </w:p>
        </w:tc>
        <w:tc>
          <w:tcPr>
            <w:tcW w:w="517" w:type="pct"/>
            <w:tcBorders>
              <w:top w:val="single" w:sz="4" w:space="0" w:color="BFBFBF" w:themeColor="background1" w:themeShade="BF"/>
              <w:lef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192</w:t>
            </w:r>
          </w:p>
        </w:tc>
        <w:tc>
          <w:tcPr>
            <w:tcW w:w="458" w:type="pct"/>
            <w:tcBorders>
              <w:top w:val="single" w:sz="4" w:space="0" w:color="BFBFBF" w:themeColor="background1" w:themeShade="BF"/>
              <w:right w:val="single" w:sz="4" w:space="0" w:color="BFBFBF" w:themeColor="background1" w:themeShade="BF"/>
            </w:tcBorders>
            <w:hideMark/>
          </w:tcPr>
          <w:p w:rsidR="00362C66" w:rsidRPr="00AD20A8" w:rsidRDefault="00AD20A8" w:rsidP="00996F20">
            <w:pPr>
              <w:widowControl w:val="0"/>
              <w:spacing w:line="240" w:lineRule="exact"/>
              <w:ind w:right="170"/>
              <w:jc w:val="right"/>
              <w:rPr>
                <w:rFonts w:cs="Arial"/>
                <w:color w:val="000000"/>
                <w:sz w:val="16"/>
                <w:szCs w:val="16"/>
              </w:rPr>
            </w:pPr>
            <w:r>
              <w:rPr>
                <w:rFonts w:cs="Arial"/>
                <w:color w:val="000000"/>
                <w:sz w:val="16"/>
                <w:szCs w:val="16"/>
              </w:rPr>
              <w:t>6,0</w:t>
            </w:r>
          </w:p>
        </w:tc>
        <w:tc>
          <w:tcPr>
            <w:tcW w:w="517" w:type="pct"/>
            <w:tcBorders>
              <w:top w:val="single" w:sz="4" w:space="0" w:color="BFBFBF" w:themeColor="background1" w:themeShade="BF"/>
              <w:lef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380</w:t>
            </w:r>
          </w:p>
        </w:tc>
        <w:tc>
          <w:tcPr>
            <w:tcW w:w="458" w:type="pct"/>
            <w:tcBorders>
              <w:top w:val="single" w:sz="4" w:space="0" w:color="BFBFBF" w:themeColor="background1" w:themeShade="BF"/>
            </w:tcBorders>
            <w:hideMark/>
          </w:tcPr>
          <w:p w:rsidR="00362C66" w:rsidRPr="00AD20A8" w:rsidRDefault="007303F8" w:rsidP="00996F20">
            <w:pPr>
              <w:widowControl w:val="0"/>
              <w:spacing w:line="240" w:lineRule="exact"/>
              <w:ind w:right="170"/>
              <w:jc w:val="right"/>
              <w:rPr>
                <w:rFonts w:cs="Arial"/>
                <w:color w:val="000000"/>
                <w:sz w:val="16"/>
                <w:szCs w:val="16"/>
              </w:rPr>
            </w:pPr>
            <w:r>
              <w:rPr>
                <w:rFonts w:cs="Arial"/>
                <w:color w:val="000000"/>
                <w:sz w:val="16"/>
                <w:szCs w:val="16"/>
              </w:rPr>
              <w:t>9,3</w:t>
            </w:r>
          </w:p>
        </w:tc>
      </w:tr>
      <w:tr w:rsidR="00362C66" w:rsidRPr="00506010" w:rsidTr="00D122F5">
        <w:trPr>
          <w:jc w:val="center"/>
        </w:trPr>
        <w:tc>
          <w:tcPr>
            <w:tcW w:w="983" w:type="pct"/>
            <w:tcBorders>
              <w:right w:val="single" w:sz="4" w:space="0" w:color="BFBFBF" w:themeColor="background1" w:themeShade="BF"/>
            </w:tcBorders>
            <w:hideMark/>
          </w:tcPr>
          <w:p w:rsidR="00362C66" w:rsidRPr="00506010" w:rsidRDefault="00362C66" w:rsidP="00996F20">
            <w:pPr>
              <w:widowControl w:val="0"/>
              <w:spacing w:line="240" w:lineRule="exact"/>
              <w:rPr>
                <w:rFonts w:cs="Arial"/>
                <w:sz w:val="16"/>
                <w:szCs w:val="16"/>
              </w:rPr>
            </w:pPr>
            <w:proofErr w:type="spellStart"/>
            <w:r w:rsidRPr="00506010">
              <w:rPr>
                <w:rFonts w:cs="Arial"/>
                <w:sz w:val="16"/>
                <w:szCs w:val="16"/>
              </w:rPr>
              <w:t>Bizkaia</w:t>
            </w:r>
            <w:proofErr w:type="spellEnd"/>
          </w:p>
        </w:tc>
        <w:tc>
          <w:tcPr>
            <w:tcW w:w="575" w:type="pct"/>
            <w:tcBorders>
              <w:left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color w:val="000000"/>
                <w:sz w:val="16"/>
                <w:szCs w:val="16"/>
              </w:rPr>
            </w:pPr>
            <w:r w:rsidRPr="00E91137">
              <w:rPr>
                <w:rFonts w:cs="Arial"/>
                <w:color w:val="000000"/>
                <w:sz w:val="16"/>
                <w:szCs w:val="16"/>
              </w:rPr>
              <w:t>21.312</w:t>
            </w:r>
          </w:p>
        </w:tc>
        <w:tc>
          <w:tcPr>
            <w:tcW w:w="458" w:type="pct"/>
            <w:tcBorders>
              <w:right w:val="single" w:sz="4" w:space="0" w:color="BFBFBF" w:themeColor="background1" w:themeShade="BF"/>
            </w:tcBorders>
            <w:hideMark/>
          </w:tcPr>
          <w:p w:rsidR="00362C66" w:rsidRPr="00AD20A8" w:rsidRDefault="00362C66" w:rsidP="00996F20">
            <w:pPr>
              <w:widowControl w:val="0"/>
              <w:spacing w:line="240" w:lineRule="exact"/>
              <w:ind w:right="170"/>
              <w:jc w:val="right"/>
              <w:rPr>
                <w:rFonts w:cs="Arial"/>
                <w:color w:val="000000"/>
                <w:sz w:val="16"/>
                <w:szCs w:val="16"/>
              </w:rPr>
            </w:pPr>
            <w:r w:rsidRPr="00AD20A8">
              <w:rPr>
                <w:rFonts w:cs="Arial"/>
                <w:color w:val="000000"/>
                <w:sz w:val="16"/>
                <w:szCs w:val="16"/>
              </w:rPr>
              <w:t>39,0</w:t>
            </w:r>
          </w:p>
        </w:tc>
        <w:tc>
          <w:tcPr>
            <w:tcW w:w="575" w:type="pct"/>
            <w:tcBorders>
              <w:lef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18.045</w:t>
            </w:r>
          </w:p>
        </w:tc>
        <w:tc>
          <w:tcPr>
            <w:tcW w:w="458" w:type="pct"/>
            <w:tcBorders>
              <w:righ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38,1</w:t>
            </w:r>
          </w:p>
        </w:tc>
        <w:tc>
          <w:tcPr>
            <w:tcW w:w="517" w:type="pct"/>
            <w:tcBorders>
              <w:lef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1.512</w:t>
            </w:r>
          </w:p>
        </w:tc>
        <w:tc>
          <w:tcPr>
            <w:tcW w:w="458" w:type="pct"/>
            <w:tcBorders>
              <w:right w:val="single" w:sz="4" w:space="0" w:color="BFBFBF" w:themeColor="background1" w:themeShade="BF"/>
            </w:tcBorders>
            <w:hideMark/>
          </w:tcPr>
          <w:p w:rsidR="00362C66" w:rsidRPr="00AD20A8" w:rsidRDefault="00AD20A8" w:rsidP="00996F20">
            <w:pPr>
              <w:widowControl w:val="0"/>
              <w:spacing w:line="240" w:lineRule="exact"/>
              <w:ind w:right="170"/>
              <w:jc w:val="right"/>
              <w:rPr>
                <w:rFonts w:cs="Arial"/>
                <w:color w:val="000000"/>
                <w:sz w:val="16"/>
                <w:szCs w:val="16"/>
              </w:rPr>
            </w:pPr>
            <w:r>
              <w:rPr>
                <w:rFonts w:cs="Arial"/>
                <w:color w:val="000000"/>
                <w:sz w:val="16"/>
                <w:szCs w:val="16"/>
              </w:rPr>
              <w:t>47,6</w:t>
            </w:r>
          </w:p>
        </w:tc>
        <w:tc>
          <w:tcPr>
            <w:tcW w:w="517" w:type="pct"/>
            <w:tcBorders>
              <w:lef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1.756</w:t>
            </w:r>
          </w:p>
        </w:tc>
        <w:tc>
          <w:tcPr>
            <w:tcW w:w="458" w:type="pct"/>
            <w:hideMark/>
          </w:tcPr>
          <w:p w:rsidR="00362C66" w:rsidRPr="00AD20A8" w:rsidRDefault="007303F8" w:rsidP="00996F20">
            <w:pPr>
              <w:widowControl w:val="0"/>
              <w:spacing w:line="240" w:lineRule="exact"/>
              <w:ind w:right="170"/>
              <w:jc w:val="right"/>
              <w:rPr>
                <w:rFonts w:cs="Arial"/>
                <w:color w:val="000000"/>
                <w:sz w:val="16"/>
                <w:szCs w:val="16"/>
              </w:rPr>
            </w:pPr>
            <w:r>
              <w:rPr>
                <w:rFonts w:cs="Arial"/>
                <w:color w:val="000000"/>
                <w:sz w:val="16"/>
                <w:szCs w:val="16"/>
              </w:rPr>
              <w:t>43,0</w:t>
            </w:r>
          </w:p>
        </w:tc>
      </w:tr>
      <w:tr w:rsidR="00362C66" w:rsidRPr="00506010" w:rsidTr="00D122F5">
        <w:trPr>
          <w:jc w:val="center"/>
        </w:trPr>
        <w:tc>
          <w:tcPr>
            <w:tcW w:w="983" w:type="pct"/>
            <w:tcBorders>
              <w:bottom w:val="single" w:sz="4" w:space="0" w:color="BFBFBF" w:themeColor="background1" w:themeShade="BF"/>
              <w:right w:val="single" w:sz="4" w:space="0" w:color="BFBFBF" w:themeColor="background1" w:themeShade="BF"/>
            </w:tcBorders>
            <w:hideMark/>
          </w:tcPr>
          <w:p w:rsidR="00362C66" w:rsidRPr="00506010" w:rsidRDefault="00362C66" w:rsidP="00996F20">
            <w:pPr>
              <w:widowControl w:val="0"/>
              <w:spacing w:line="240" w:lineRule="exact"/>
              <w:rPr>
                <w:rFonts w:cs="Arial"/>
                <w:sz w:val="16"/>
                <w:szCs w:val="16"/>
              </w:rPr>
            </w:pPr>
            <w:proofErr w:type="spellStart"/>
            <w:r w:rsidRPr="00506010">
              <w:rPr>
                <w:rFonts w:cs="Arial"/>
                <w:sz w:val="16"/>
                <w:szCs w:val="16"/>
              </w:rPr>
              <w:t>Gipuzkoa</w:t>
            </w:r>
            <w:proofErr w:type="spellEnd"/>
          </w:p>
        </w:tc>
        <w:tc>
          <w:tcPr>
            <w:tcW w:w="575" w:type="pct"/>
            <w:tcBorders>
              <w:left w:val="single" w:sz="4" w:space="0" w:color="BFBFBF" w:themeColor="background1" w:themeShade="BF"/>
              <w:bottom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color w:val="000000"/>
                <w:sz w:val="16"/>
                <w:szCs w:val="16"/>
              </w:rPr>
            </w:pPr>
            <w:r w:rsidRPr="00E91137">
              <w:rPr>
                <w:rFonts w:cs="Arial"/>
                <w:color w:val="000000"/>
                <w:sz w:val="16"/>
                <w:szCs w:val="16"/>
              </w:rPr>
              <w:t>27.699</w:t>
            </w:r>
          </w:p>
        </w:tc>
        <w:tc>
          <w:tcPr>
            <w:tcW w:w="458" w:type="pct"/>
            <w:tcBorders>
              <w:bottom w:val="single" w:sz="4" w:space="0" w:color="BFBFBF" w:themeColor="background1" w:themeShade="BF"/>
              <w:right w:val="single" w:sz="4" w:space="0" w:color="BFBFBF" w:themeColor="background1" w:themeShade="BF"/>
            </w:tcBorders>
            <w:hideMark/>
          </w:tcPr>
          <w:p w:rsidR="00362C66" w:rsidRPr="00AD20A8" w:rsidRDefault="00362C66" w:rsidP="00996F20">
            <w:pPr>
              <w:widowControl w:val="0"/>
              <w:spacing w:line="240" w:lineRule="exact"/>
              <w:ind w:right="170"/>
              <w:jc w:val="right"/>
              <w:rPr>
                <w:rFonts w:cs="Arial"/>
                <w:color w:val="000000"/>
                <w:sz w:val="16"/>
                <w:szCs w:val="16"/>
              </w:rPr>
            </w:pPr>
            <w:r w:rsidRPr="00AD20A8">
              <w:rPr>
                <w:rFonts w:cs="Arial"/>
                <w:color w:val="000000"/>
                <w:sz w:val="16"/>
                <w:szCs w:val="16"/>
              </w:rPr>
              <w:t>50,8</w:t>
            </w:r>
          </w:p>
        </w:tc>
        <w:tc>
          <w:tcPr>
            <w:tcW w:w="575" w:type="pct"/>
            <w:tcBorders>
              <w:left w:val="single" w:sz="4" w:space="0" w:color="BFBFBF" w:themeColor="background1" w:themeShade="BF"/>
              <w:bottom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24.279</w:t>
            </w:r>
          </w:p>
        </w:tc>
        <w:tc>
          <w:tcPr>
            <w:tcW w:w="458" w:type="pct"/>
            <w:tcBorders>
              <w:bottom w:val="single" w:sz="4" w:space="0" w:color="BFBFBF" w:themeColor="background1" w:themeShade="BF"/>
              <w:right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51,3</w:t>
            </w:r>
          </w:p>
        </w:tc>
        <w:tc>
          <w:tcPr>
            <w:tcW w:w="517" w:type="pct"/>
            <w:tcBorders>
              <w:left w:val="single" w:sz="4" w:space="0" w:color="BFBFBF" w:themeColor="background1" w:themeShade="BF"/>
              <w:bottom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1.474</w:t>
            </w:r>
          </w:p>
        </w:tc>
        <w:tc>
          <w:tcPr>
            <w:tcW w:w="458" w:type="pct"/>
            <w:tcBorders>
              <w:bottom w:val="single" w:sz="4" w:space="0" w:color="BFBFBF" w:themeColor="background1" w:themeShade="BF"/>
              <w:right w:val="single" w:sz="4" w:space="0" w:color="BFBFBF" w:themeColor="background1" w:themeShade="BF"/>
            </w:tcBorders>
            <w:hideMark/>
          </w:tcPr>
          <w:p w:rsidR="00362C66" w:rsidRPr="00AD20A8" w:rsidRDefault="00AD20A8" w:rsidP="00996F20">
            <w:pPr>
              <w:widowControl w:val="0"/>
              <w:spacing w:line="240" w:lineRule="exact"/>
              <w:ind w:right="170"/>
              <w:jc w:val="right"/>
              <w:rPr>
                <w:rFonts w:cs="Arial"/>
                <w:color w:val="000000"/>
                <w:sz w:val="16"/>
                <w:szCs w:val="16"/>
              </w:rPr>
            </w:pPr>
            <w:r>
              <w:rPr>
                <w:rFonts w:cs="Arial"/>
                <w:color w:val="000000"/>
                <w:sz w:val="16"/>
                <w:szCs w:val="16"/>
              </w:rPr>
              <w:t>46,4</w:t>
            </w:r>
          </w:p>
        </w:tc>
        <w:tc>
          <w:tcPr>
            <w:tcW w:w="517" w:type="pct"/>
            <w:tcBorders>
              <w:left w:val="single" w:sz="4" w:space="0" w:color="BFBFBF" w:themeColor="background1" w:themeShade="BF"/>
              <w:bottom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color w:val="000000"/>
                <w:sz w:val="16"/>
                <w:szCs w:val="16"/>
              </w:rPr>
            </w:pPr>
            <w:r w:rsidRPr="00E91137">
              <w:rPr>
                <w:rFonts w:cs="Arial"/>
                <w:color w:val="000000"/>
                <w:sz w:val="16"/>
                <w:szCs w:val="16"/>
              </w:rPr>
              <w:t>1.947</w:t>
            </w:r>
          </w:p>
        </w:tc>
        <w:tc>
          <w:tcPr>
            <w:tcW w:w="458" w:type="pct"/>
            <w:tcBorders>
              <w:bottom w:val="single" w:sz="4" w:space="0" w:color="BFBFBF" w:themeColor="background1" w:themeShade="BF"/>
            </w:tcBorders>
            <w:hideMark/>
          </w:tcPr>
          <w:p w:rsidR="00362C66" w:rsidRPr="00AD20A8" w:rsidRDefault="007303F8" w:rsidP="00996F20">
            <w:pPr>
              <w:widowControl w:val="0"/>
              <w:spacing w:line="240" w:lineRule="exact"/>
              <w:ind w:right="170"/>
              <w:jc w:val="right"/>
              <w:rPr>
                <w:rFonts w:cs="Arial"/>
                <w:color w:val="000000"/>
                <w:sz w:val="16"/>
                <w:szCs w:val="16"/>
              </w:rPr>
            </w:pPr>
            <w:r>
              <w:rPr>
                <w:rFonts w:cs="Arial"/>
                <w:color w:val="000000"/>
                <w:sz w:val="16"/>
                <w:szCs w:val="16"/>
              </w:rPr>
              <w:t>47,7</w:t>
            </w:r>
          </w:p>
        </w:tc>
      </w:tr>
      <w:tr w:rsidR="00362C66" w:rsidRPr="00506010" w:rsidTr="00D122F5">
        <w:trPr>
          <w:jc w:val="center"/>
        </w:trPr>
        <w:tc>
          <w:tcPr>
            <w:tcW w:w="98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506010" w:rsidRDefault="00362C66" w:rsidP="00996F20">
            <w:pPr>
              <w:widowControl w:val="0"/>
              <w:spacing w:line="240" w:lineRule="exact"/>
              <w:rPr>
                <w:rFonts w:cs="Arial"/>
                <w:b/>
                <w:bCs/>
                <w:sz w:val="16"/>
                <w:szCs w:val="16"/>
              </w:rPr>
            </w:pPr>
            <w:r w:rsidRPr="00506010">
              <w:rPr>
                <w:rFonts w:cs="Arial"/>
                <w:b/>
                <w:bCs/>
                <w:sz w:val="16"/>
                <w:szCs w:val="16"/>
              </w:rPr>
              <w:t>TOTAL</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b/>
                <w:color w:val="000000"/>
                <w:sz w:val="16"/>
                <w:szCs w:val="16"/>
              </w:rPr>
            </w:pPr>
            <w:r w:rsidRPr="00E91137">
              <w:rPr>
                <w:rFonts w:cs="Arial"/>
                <w:b/>
                <w:color w:val="000000"/>
                <w:sz w:val="16"/>
                <w:szCs w:val="16"/>
              </w:rPr>
              <w:t>54.582</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b/>
                <w:color w:val="000000"/>
                <w:sz w:val="16"/>
                <w:szCs w:val="16"/>
              </w:rPr>
            </w:pPr>
            <w:r w:rsidRPr="00E91137">
              <w:rPr>
                <w:rFonts w:cs="Arial"/>
                <w:b/>
                <w:color w:val="000000"/>
                <w:sz w:val="16"/>
                <w:szCs w:val="16"/>
              </w:rPr>
              <w:t>100</w:t>
            </w:r>
            <w:r w:rsidR="007F441F">
              <w:rPr>
                <w:rFonts w:cs="Arial"/>
                <w:b/>
                <w:color w:val="000000"/>
                <w:sz w:val="16"/>
                <w:szCs w:val="16"/>
              </w:rPr>
              <w:t>,0</w:t>
            </w:r>
          </w:p>
        </w:tc>
        <w:tc>
          <w:tcPr>
            <w:tcW w:w="57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b/>
                <w:color w:val="000000"/>
                <w:sz w:val="16"/>
                <w:szCs w:val="16"/>
              </w:rPr>
            </w:pPr>
            <w:r w:rsidRPr="00E91137">
              <w:rPr>
                <w:rFonts w:cs="Arial"/>
                <w:b/>
                <w:color w:val="000000"/>
                <w:sz w:val="16"/>
                <w:szCs w:val="16"/>
              </w:rPr>
              <w:t>47.322</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b/>
                <w:color w:val="000000"/>
                <w:sz w:val="16"/>
                <w:szCs w:val="16"/>
              </w:rPr>
            </w:pPr>
            <w:r w:rsidRPr="00E91137">
              <w:rPr>
                <w:rFonts w:cs="Arial"/>
                <w:b/>
                <w:color w:val="000000"/>
                <w:sz w:val="16"/>
                <w:szCs w:val="16"/>
              </w:rPr>
              <w:t>100</w:t>
            </w:r>
            <w:r w:rsidR="007F441F">
              <w:rPr>
                <w:rFonts w:cs="Arial"/>
                <w:b/>
                <w:color w:val="000000"/>
                <w:sz w:val="16"/>
                <w:szCs w:val="16"/>
              </w:rPr>
              <w:t>,0</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b/>
                <w:color w:val="000000"/>
                <w:sz w:val="16"/>
                <w:szCs w:val="16"/>
              </w:rPr>
            </w:pPr>
            <w:r w:rsidRPr="00E91137">
              <w:rPr>
                <w:rFonts w:cs="Arial"/>
                <w:b/>
                <w:color w:val="000000"/>
                <w:sz w:val="16"/>
                <w:szCs w:val="16"/>
              </w:rPr>
              <w:t>3.177</w:t>
            </w:r>
          </w:p>
        </w:tc>
        <w:tc>
          <w:tcPr>
            <w:tcW w:w="458"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b/>
                <w:color w:val="000000"/>
                <w:sz w:val="16"/>
                <w:szCs w:val="16"/>
              </w:rPr>
            </w:pPr>
            <w:r w:rsidRPr="00E91137">
              <w:rPr>
                <w:rFonts w:cs="Arial"/>
                <w:b/>
                <w:color w:val="000000"/>
                <w:sz w:val="16"/>
                <w:szCs w:val="16"/>
              </w:rPr>
              <w:t>100</w:t>
            </w:r>
            <w:r w:rsidR="007F441F">
              <w:rPr>
                <w:rFonts w:cs="Arial"/>
                <w:b/>
                <w:color w:val="000000"/>
                <w:sz w:val="16"/>
                <w:szCs w:val="16"/>
              </w:rPr>
              <w:t>,0</w:t>
            </w:r>
          </w:p>
        </w:tc>
        <w:tc>
          <w:tcPr>
            <w:tcW w:w="51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362C66" w:rsidRPr="00E91137" w:rsidRDefault="00AD20A8" w:rsidP="00996F20">
            <w:pPr>
              <w:widowControl w:val="0"/>
              <w:spacing w:line="240" w:lineRule="exact"/>
              <w:ind w:right="170"/>
              <w:jc w:val="right"/>
              <w:rPr>
                <w:rFonts w:cs="Arial"/>
                <w:b/>
                <w:color w:val="000000"/>
                <w:sz w:val="16"/>
                <w:szCs w:val="16"/>
              </w:rPr>
            </w:pPr>
            <w:r w:rsidRPr="00E91137">
              <w:rPr>
                <w:rFonts w:cs="Arial"/>
                <w:b/>
                <w:color w:val="000000"/>
                <w:sz w:val="16"/>
                <w:szCs w:val="16"/>
              </w:rPr>
              <w:t>4.082</w:t>
            </w:r>
          </w:p>
        </w:tc>
        <w:tc>
          <w:tcPr>
            <w:tcW w:w="458" w:type="pct"/>
            <w:tcBorders>
              <w:top w:val="single" w:sz="4" w:space="0" w:color="BFBFBF" w:themeColor="background1" w:themeShade="BF"/>
              <w:bottom w:val="single" w:sz="4" w:space="0" w:color="BFBFBF" w:themeColor="background1" w:themeShade="BF"/>
            </w:tcBorders>
            <w:hideMark/>
          </w:tcPr>
          <w:p w:rsidR="00362C66" w:rsidRPr="00E91137" w:rsidRDefault="00362C66" w:rsidP="00996F20">
            <w:pPr>
              <w:widowControl w:val="0"/>
              <w:spacing w:line="240" w:lineRule="exact"/>
              <w:ind w:right="170"/>
              <w:jc w:val="right"/>
              <w:rPr>
                <w:rFonts w:cs="Arial"/>
                <w:b/>
                <w:color w:val="000000"/>
                <w:sz w:val="16"/>
                <w:szCs w:val="16"/>
              </w:rPr>
            </w:pPr>
            <w:r w:rsidRPr="00E91137">
              <w:rPr>
                <w:rFonts w:cs="Arial"/>
                <w:b/>
                <w:color w:val="000000"/>
                <w:sz w:val="16"/>
                <w:szCs w:val="16"/>
              </w:rPr>
              <w:t>100</w:t>
            </w:r>
            <w:r w:rsidR="007F441F">
              <w:rPr>
                <w:rFonts w:cs="Arial"/>
                <w:b/>
                <w:color w:val="000000"/>
                <w:sz w:val="16"/>
                <w:szCs w:val="16"/>
              </w:rPr>
              <w:t>,0</w:t>
            </w:r>
          </w:p>
        </w:tc>
      </w:tr>
    </w:tbl>
    <w:p w:rsidR="00665097" w:rsidRDefault="00665097" w:rsidP="00BB313D">
      <w:pPr>
        <w:pStyle w:val="ARIALNARROW"/>
        <w:widowControl w:val="0"/>
      </w:pPr>
    </w:p>
    <w:p w:rsidR="005773F5" w:rsidRPr="00B45288" w:rsidRDefault="005773F5" w:rsidP="00BB313D">
      <w:pPr>
        <w:pStyle w:val="ARIALNARROW"/>
        <w:widowControl w:val="0"/>
      </w:pPr>
    </w:p>
    <w:p w:rsidR="00665097" w:rsidRPr="00506010" w:rsidRDefault="00DE1512" w:rsidP="00BB313D">
      <w:pPr>
        <w:widowControl w:val="0"/>
        <w:spacing w:line="240" w:lineRule="auto"/>
        <w:ind w:left="2"/>
        <w:jc w:val="center"/>
        <w:rPr>
          <w:rFonts w:cs="Arial"/>
          <w:b/>
          <w:color w:val="1F497D" w:themeColor="text2"/>
          <w:sz w:val="18"/>
          <w:szCs w:val="18"/>
        </w:rPr>
      </w:pPr>
      <w:bookmarkStart w:id="153" w:name="_Toc391999610"/>
      <w:bookmarkStart w:id="154" w:name="_Toc450119493"/>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38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506010">
        <w:rPr>
          <w:rFonts w:cs="Arial"/>
          <w:b/>
          <w:color w:val="1F497D" w:themeColor="text2"/>
          <w:sz w:val="18"/>
          <w:szCs w:val="18"/>
        </w:rPr>
        <w:t xml:space="preserve">ESTRUCTURA TERRITORIAL DE LOS EMPLEOS DE LA ECONOMÍA </w:t>
      </w:r>
      <w:r w:rsidR="007303F8">
        <w:rPr>
          <w:rFonts w:cs="Arial"/>
          <w:b/>
          <w:color w:val="1F497D" w:themeColor="text2"/>
          <w:sz w:val="18"/>
          <w:szCs w:val="18"/>
        </w:rPr>
        <w:t>SOCIAL SEGÚN FORMA JURÍDICA 2014</w:t>
      </w:r>
      <w:r w:rsidR="00665097" w:rsidRPr="00506010">
        <w:rPr>
          <w:rFonts w:cs="Arial"/>
          <w:b/>
          <w:color w:val="1F497D" w:themeColor="text2"/>
          <w:sz w:val="18"/>
          <w:szCs w:val="18"/>
        </w:rPr>
        <w:t>. (</w:t>
      </w:r>
      <w:r w:rsidR="00153402">
        <w:rPr>
          <w:rFonts w:cs="Arial"/>
          <w:b/>
          <w:color w:val="1F497D" w:themeColor="text2"/>
          <w:sz w:val="18"/>
          <w:szCs w:val="18"/>
        </w:rPr>
        <w:t>% horizontales</w:t>
      </w:r>
      <w:r w:rsidR="00665097" w:rsidRPr="00506010">
        <w:rPr>
          <w:rFonts w:cs="Arial"/>
          <w:b/>
          <w:color w:val="1F497D" w:themeColor="text2"/>
          <w:sz w:val="18"/>
          <w:szCs w:val="18"/>
        </w:rPr>
        <w:t>)</w:t>
      </w:r>
      <w:bookmarkEnd w:id="153"/>
      <w:bookmarkEnd w:id="154"/>
    </w:p>
    <w:tbl>
      <w:tblPr>
        <w:tblW w:w="9940" w:type="dxa"/>
        <w:jc w:val="center"/>
        <w:tblLook w:val="04A0" w:firstRow="1" w:lastRow="0" w:firstColumn="1" w:lastColumn="0" w:noHBand="0" w:noVBand="1"/>
      </w:tblPr>
      <w:tblGrid>
        <w:gridCol w:w="2232"/>
        <w:gridCol w:w="1928"/>
        <w:gridCol w:w="1928"/>
        <w:gridCol w:w="1928"/>
        <w:gridCol w:w="1924"/>
      </w:tblGrid>
      <w:tr w:rsidR="00665097" w:rsidRPr="00506010" w:rsidTr="00D122F5">
        <w:trPr>
          <w:jc w:val="center"/>
        </w:trPr>
        <w:tc>
          <w:tcPr>
            <w:tcW w:w="112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rPr>
                <w:rFonts w:cs="Arial"/>
                <w:b/>
                <w:bCs/>
                <w:sz w:val="16"/>
                <w:szCs w:val="16"/>
              </w:rPr>
            </w:pP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sidRPr="00506010">
              <w:rPr>
                <w:rFonts w:cs="Arial"/>
                <w:b/>
                <w:bCs/>
                <w:sz w:val="16"/>
                <w:szCs w:val="16"/>
              </w:rPr>
              <w:t>TOTAL</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proofErr w:type="spellStart"/>
            <w:r w:rsidRPr="00506010">
              <w:rPr>
                <w:rFonts w:cs="Arial"/>
                <w:b/>
                <w:bCs/>
                <w:sz w:val="16"/>
                <w:szCs w:val="16"/>
              </w:rPr>
              <w:t>S.</w:t>
            </w:r>
            <w:r>
              <w:rPr>
                <w:rFonts w:cs="Arial"/>
                <w:b/>
                <w:bCs/>
                <w:sz w:val="16"/>
                <w:szCs w:val="16"/>
              </w:rPr>
              <w:t>Coop</w:t>
            </w:r>
            <w:proofErr w:type="spellEnd"/>
            <w:r w:rsidRPr="00506010">
              <w:rPr>
                <w:rFonts w:cs="Arial"/>
                <w:b/>
                <w:bCs/>
                <w:sz w:val="16"/>
                <w:szCs w:val="16"/>
              </w:rPr>
              <w:t>.</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sidRPr="00506010">
              <w:rPr>
                <w:rFonts w:cs="Arial"/>
                <w:b/>
                <w:bCs/>
                <w:sz w:val="16"/>
                <w:szCs w:val="16"/>
              </w:rPr>
              <w:t>S.A.L.es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sidRPr="00506010">
              <w:rPr>
                <w:rFonts w:cs="Arial"/>
                <w:b/>
                <w:bCs/>
                <w:sz w:val="16"/>
                <w:szCs w:val="16"/>
              </w:rPr>
              <w:t>S.L.L.es</w:t>
            </w:r>
          </w:p>
        </w:tc>
      </w:tr>
      <w:tr w:rsidR="00665097" w:rsidRPr="00506010" w:rsidTr="00D122F5">
        <w:trPr>
          <w:jc w:val="center"/>
        </w:trPr>
        <w:tc>
          <w:tcPr>
            <w:tcW w:w="1122" w:type="pct"/>
            <w:tcBorders>
              <w:top w:val="single" w:sz="4" w:space="0" w:color="BFBFBF" w:themeColor="background1" w:themeShade="BF"/>
              <w:right w:val="single" w:sz="4" w:space="0" w:color="BFBFBF" w:themeColor="background1" w:themeShade="BF"/>
            </w:tcBorders>
            <w:hideMark/>
          </w:tcPr>
          <w:p w:rsidR="00665097" w:rsidRPr="00506010" w:rsidRDefault="00665097" w:rsidP="00BB313D">
            <w:pPr>
              <w:widowControl w:val="0"/>
              <w:spacing w:line="240" w:lineRule="exact"/>
              <w:rPr>
                <w:rFonts w:cs="Arial"/>
                <w:sz w:val="16"/>
                <w:szCs w:val="16"/>
              </w:rPr>
            </w:pPr>
            <w:r w:rsidRPr="00506010">
              <w:rPr>
                <w:rFonts w:cs="Arial"/>
                <w:sz w:val="16"/>
                <w:szCs w:val="16"/>
              </w:rPr>
              <w:t xml:space="preserve">Álava </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65097" w:rsidRPr="00506010" w:rsidRDefault="00665097" w:rsidP="00BB313D">
            <w:pPr>
              <w:widowControl w:val="0"/>
              <w:spacing w:line="240" w:lineRule="exact"/>
              <w:ind w:right="284"/>
              <w:jc w:val="right"/>
              <w:rPr>
                <w:rFonts w:cs="Arial"/>
                <w:sz w:val="16"/>
                <w:szCs w:val="16"/>
              </w:rPr>
            </w:pPr>
            <w:r w:rsidRPr="00506010">
              <w:rPr>
                <w:rFonts w:cs="Arial"/>
                <w:sz w:val="16"/>
                <w:szCs w:val="16"/>
              </w:rPr>
              <w:t>100</w:t>
            </w:r>
            <w:r w:rsidR="007F441F">
              <w:rPr>
                <w:rFonts w:cs="Arial"/>
                <w:sz w:val="16"/>
                <w:szCs w:val="16"/>
              </w:rPr>
              <w:t>,0</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89,7</w:t>
            </w:r>
          </w:p>
        </w:tc>
        <w:tc>
          <w:tcPr>
            <w:tcW w:w="97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3,4</w:t>
            </w:r>
          </w:p>
        </w:tc>
        <w:tc>
          <w:tcPr>
            <w:tcW w:w="970" w:type="pct"/>
            <w:tcBorders>
              <w:top w:val="single" w:sz="4" w:space="0" w:color="BFBFBF" w:themeColor="background1" w:themeShade="BF"/>
              <w:lef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6,8</w:t>
            </w:r>
          </w:p>
        </w:tc>
      </w:tr>
      <w:tr w:rsidR="00665097" w:rsidRPr="00506010" w:rsidTr="00D122F5">
        <w:trPr>
          <w:jc w:val="center"/>
        </w:trPr>
        <w:tc>
          <w:tcPr>
            <w:tcW w:w="1122" w:type="pct"/>
            <w:tcBorders>
              <w:right w:val="single" w:sz="4" w:space="0" w:color="BFBFBF" w:themeColor="background1" w:themeShade="BF"/>
            </w:tcBorders>
            <w:hideMark/>
          </w:tcPr>
          <w:p w:rsidR="00665097" w:rsidRPr="00506010" w:rsidRDefault="00665097" w:rsidP="00BB313D">
            <w:pPr>
              <w:widowControl w:val="0"/>
              <w:spacing w:line="240" w:lineRule="exact"/>
              <w:rPr>
                <w:rFonts w:cs="Arial"/>
                <w:sz w:val="16"/>
                <w:szCs w:val="16"/>
              </w:rPr>
            </w:pPr>
            <w:proofErr w:type="spellStart"/>
            <w:r w:rsidRPr="00506010">
              <w:rPr>
                <w:rFonts w:cs="Arial"/>
                <w:sz w:val="16"/>
                <w:szCs w:val="16"/>
              </w:rPr>
              <w:t>Bizkaia</w:t>
            </w:r>
            <w:proofErr w:type="spellEnd"/>
          </w:p>
        </w:tc>
        <w:tc>
          <w:tcPr>
            <w:tcW w:w="970" w:type="pct"/>
            <w:tcBorders>
              <w:left w:val="single" w:sz="4" w:space="0" w:color="BFBFBF" w:themeColor="background1" w:themeShade="BF"/>
              <w:right w:val="single" w:sz="4" w:space="0" w:color="BFBFBF" w:themeColor="background1" w:themeShade="BF"/>
            </w:tcBorders>
            <w:hideMark/>
          </w:tcPr>
          <w:p w:rsidR="00665097" w:rsidRPr="00506010" w:rsidRDefault="00665097" w:rsidP="00BB313D">
            <w:pPr>
              <w:widowControl w:val="0"/>
              <w:spacing w:line="240" w:lineRule="exact"/>
              <w:ind w:right="284"/>
              <w:jc w:val="right"/>
              <w:rPr>
                <w:rFonts w:cs="Arial"/>
                <w:sz w:val="16"/>
                <w:szCs w:val="16"/>
              </w:rPr>
            </w:pPr>
            <w:r w:rsidRPr="00506010">
              <w:rPr>
                <w:rFonts w:cs="Arial"/>
                <w:sz w:val="16"/>
                <w:szCs w:val="16"/>
              </w:rPr>
              <w:t>100</w:t>
            </w:r>
            <w:r w:rsidR="007F441F">
              <w:rPr>
                <w:rFonts w:cs="Arial"/>
                <w:sz w:val="16"/>
                <w:szCs w:val="16"/>
              </w:rPr>
              <w:t>,0</w:t>
            </w:r>
          </w:p>
        </w:tc>
        <w:tc>
          <w:tcPr>
            <w:tcW w:w="970" w:type="pct"/>
            <w:tcBorders>
              <w:left w:val="single" w:sz="4" w:space="0" w:color="BFBFBF" w:themeColor="background1" w:themeShade="BF"/>
              <w:righ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84,7</w:t>
            </w:r>
          </w:p>
        </w:tc>
        <w:tc>
          <w:tcPr>
            <w:tcW w:w="970" w:type="pct"/>
            <w:tcBorders>
              <w:left w:val="single" w:sz="4" w:space="0" w:color="BFBFBF" w:themeColor="background1" w:themeShade="BF"/>
              <w:righ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7,1</w:t>
            </w:r>
          </w:p>
        </w:tc>
        <w:tc>
          <w:tcPr>
            <w:tcW w:w="970" w:type="pct"/>
            <w:tcBorders>
              <w:lef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8,2</w:t>
            </w:r>
          </w:p>
        </w:tc>
      </w:tr>
      <w:tr w:rsidR="00665097" w:rsidRPr="00506010" w:rsidTr="00D122F5">
        <w:trPr>
          <w:jc w:val="center"/>
        </w:trPr>
        <w:tc>
          <w:tcPr>
            <w:tcW w:w="1122" w:type="pct"/>
            <w:tcBorders>
              <w:bottom w:val="single" w:sz="4" w:space="0" w:color="BFBFBF" w:themeColor="background1" w:themeShade="BF"/>
              <w:right w:val="single" w:sz="4" w:space="0" w:color="BFBFBF" w:themeColor="background1" w:themeShade="BF"/>
            </w:tcBorders>
            <w:hideMark/>
          </w:tcPr>
          <w:p w:rsidR="00665097" w:rsidRPr="00506010" w:rsidRDefault="00665097" w:rsidP="00BB313D">
            <w:pPr>
              <w:widowControl w:val="0"/>
              <w:spacing w:line="240" w:lineRule="exact"/>
              <w:rPr>
                <w:rFonts w:cs="Arial"/>
                <w:sz w:val="16"/>
                <w:szCs w:val="16"/>
              </w:rPr>
            </w:pPr>
            <w:proofErr w:type="spellStart"/>
            <w:r w:rsidRPr="00506010">
              <w:rPr>
                <w:rFonts w:cs="Arial"/>
                <w:sz w:val="16"/>
                <w:szCs w:val="16"/>
              </w:rPr>
              <w:t>Gipuzkoa</w:t>
            </w:r>
            <w:proofErr w:type="spellEnd"/>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506010" w:rsidRDefault="00665097" w:rsidP="00BB313D">
            <w:pPr>
              <w:widowControl w:val="0"/>
              <w:spacing w:line="240" w:lineRule="exact"/>
              <w:ind w:right="284"/>
              <w:jc w:val="right"/>
              <w:rPr>
                <w:rFonts w:cs="Arial"/>
                <w:sz w:val="16"/>
                <w:szCs w:val="16"/>
              </w:rPr>
            </w:pPr>
            <w:r w:rsidRPr="00506010">
              <w:rPr>
                <w:rFonts w:cs="Arial"/>
                <w:sz w:val="16"/>
                <w:szCs w:val="16"/>
              </w:rPr>
              <w:t>100</w:t>
            </w:r>
            <w:r w:rsidR="007F441F">
              <w:rPr>
                <w:rFonts w:cs="Arial"/>
                <w:sz w:val="16"/>
                <w:szCs w:val="16"/>
              </w:rPr>
              <w:t>,0</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87,7</w:t>
            </w:r>
          </w:p>
        </w:tc>
        <w:tc>
          <w:tcPr>
            <w:tcW w:w="97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5,3</w:t>
            </w:r>
          </w:p>
        </w:tc>
        <w:tc>
          <w:tcPr>
            <w:tcW w:w="970" w:type="pct"/>
            <w:tcBorders>
              <w:left w:val="single" w:sz="4" w:space="0" w:color="BFBFBF" w:themeColor="background1" w:themeShade="BF"/>
              <w:bottom w:val="single" w:sz="4" w:space="0" w:color="BFBFBF" w:themeColor="background1" w:themeShade="BF"/>
            </w:tcBorders>
            <w:hideMark/>
          </w:tcPr>
          <w:p w:rsidR="00665097" w:rsidRPr="00506010" w:rsidRDefault="00E91137" w:rsidP="00BB313D">
            <w:pPr>
              <w:widowControl w:val="0"/>
              <w:spacing w:line="240" w:lineRule="exact"/>
              <w:ind w:right="284"/>
              <w:jc w:val="right"/>
              <w:rPr>
                <w:rFonts w:cs="Arial"/>
                <w:sz w:val="16"/>
                <w:szCs w:val="16"/>
              </w:rPr>
            </w:pPr>
            <w:r>
              <w:rPr>
                <w:rFonts w:cs="Arial"/>
                <w:sz w:val="16"/>
                <w:szCs w:val="16"/>
              </w:rPr>
              <w:t>7,0</w:t>
            </w:r>
          </w:p>
        </w:tc>
      </w:tr>
      <w:tr w:rsidR="00665097" w:rsidRPr="00506010" w:rsidTr="00D122F5">
        <w:trPr>
          <w:jc w:val="center"/>
        </w:trPr>
        <w:tc>
          <w:tcPr>
            <w:tcW w:w="112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506010" w:rsidRDefault="00665097" w:rsidP="00BB313D">
            <w:pPr>
              <w:widowControl w:val="0"/>
              <w:spacing w:line="240" w:lineRule="exact"/>
              <w:rPr>
                <w:rFonts w:cs="Arial"/>
                <w:b/>
                <w:bCs/>
                <w:sz w:val="16"/>
                <w:szCs w:val="16"/>
              </w:rPr>
            </w:pPr>
            <w:r w:rsidRPr="00506010">
              <w:rPr>
                <w:rFonts w:cs="Arial"/>
                <w:b/>
                <w:bCs/>
                <w:sz w:val="16"/>
                <w:szCs w:val="16"/>
                <w:lang w:val="en-GB"/>
              </w:rPr>
              <w:t>TOTAL</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506010" w:rsidRDefault="00665097" w:rsidP="00BB313D">
            <w:pPr>
              <w:widowControl w:val="0"/>
              <w:spacing w:line="240" w:lineRule="exact"/>
              <w:ind w:right="284"/>
              <w:jc w:val="right"/>
              <w:rPr>
                <w:rFonts w:cs="Arial"/>
                <w:b/>
                <w:bCs/>
                <w:sz w:val="16"/>
                <w:szCs w:val="16"/>
              </w:rPr>
            </w:pPr>
            <w:r w:rsidRPr="00506010">
              <w:rPr>
                <w:rFonts w:cs="Arial"/>
                <w:b/>
                <w:bCs/>
                <w:sz w:val="16"/>
                <w:szCs w:val="16"/>
              </w:rPr>
              <w:t>100</w:t>
            </w:r>
            <w:r w:rsidR="007F441F">
              <w:rPr>
                <w:rFonts w:cs="Arial"/>
                <w:b/>
                <w:bCs/>
                <w:sz w:val="16"/>
                <w:szCs w:val="16"/>
              </w:rPr>
              <w:t>,0</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506010" w:rsidRDefault="007303F8" w:rsidP="00BB313D">
            <w:pPr>
              <w:widowControl w:val="0"/>
              <w:spacing w:line="240" w:lineRule="exact"/>
              <w:ind w:right="284"/>
              <w:jc w:val="right"/>
              <w:rPr>
                <w:rFonts w:cs="Arial"/>
                <w:b/>
                <w:bCs/>
                <w:sz w:val="16"/>
                <w:szCs w:val="16"/>
              </w:rPr>
            </w:pPr>
            <w:r>
              <w:rPr>
                <w:rFonts w:cs="Arial"/>
                <w:b/>
                <w:bCs/>
                <w:sz w:val="16"/>
                <w:szCs w:val="16"/>
              </w:rPr>
              <w:t>86,7</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506010" w:rsidRDefault="007303F8" w:rsidP="00BB313D">
            <w:pPr>
              <w:widowControl w:val="0"/>
              <w:spacing w:line="240" w:lineRule="exact"/>
              <w:ind w:right="284"/>
              <w:jc w:val="right"/>
              <w:rPr>
                <w:rFonts w:cs="Arial"/>
                <w:b/>
                <w:bCs/>
                <w:sz w:val="16"/>
                <w:szCs w:val="16"/>
              </w:rPr>
            </w:pPr>
            <w:r>
              <w:rPr>
                <w:rFonts w:cs="Arial"/>
                <w:b/>
                <w:bCs/>
                <w:sz w:val="16"/>
                <w:szCs w:val="16"/>
              </w:rPr>
              <w:t>5,8</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506010" w:rsidRDefault="007303F8" w:rsidP="00BB313D">
            <w:pPr>
              <w:widowControl w:val="0"/>
              <w:spacing w:line="240" w:lineRule="exact"/>
              <w:ind w:right="284"/>
              <w:jc w:val="right"/>
              <w:rPr>
                <w:rFonts w:cs="Arial"/>
                <w:b/>
                <w:bCs/>
                <w:sz w:val="16"/>
                <w:szCs w:val="16"/>
              </w:rPr>
            </w:pPr>
            <w:r>
              <w:rPr>
                <w:rFonts w:cs="Arial"/>
                <w:b/>
                <w:bCs/>
                <w:sz w:val="16"/>
                <w:szCs w:val="16"/>
              </w:rPr>
              <w:t>7,5</w:t>
            </w:r>
          </w:p>
        </w:tc>
      </w:tr>
    </w:tbl>
    <w:p w:rsidR="00665097" w:rsidRPr="00B45288" w:rsidRDefault="00665097" w:rsidP="00BB313D">
      <w:pPr>
        <w:pStyle w:val="ARIALNARROW"/>
        <w:widowControl w:val="0"/>
      </w:pPr>
    </w:p>
    <w:p w:rsidR="00665097" w:rsidRPr="00B45288" w:rsidRDefault="00665097" w:rsidP="00BB313D">
      <w:pPr>
        <w:pStyle w:val="ARIALNARROW"/>
        <w:widowControl w:val="0"/>
      </w:pPr>
    </w:p>
    <w:p w:rsidR="00665097" w:rsidRDefault="00665097" w:rsidP="00BB313D">
      <w:pPr>
        <w:pStyle w:val="ARIALNARROW"/>
        <w:widowControl w:val="0"/>
        <w:spacing w:line="240" w:lineRule="auto"/>
        <w:jc w:val="center"/>
        <w:rPr>
          <w:b/>
          <w:color w:val="1F497D" w:themeColor="text2"/>
          <w:sz w:val="18"/>
          <w:szCs w:val="18"/>
        </w:rPr>
      </w:pPr>
      <w:r w:rsidRPr="00270E74">
        <w:rPr>
          <w:highlight w:val="yellow"/>
        </w:rPr>
        <w:br w:type="page"/>
      </w:r>
      <w:bookmarkStart w:id="155" w:name="_Toc391999611"/>
      <w:bookmarkStart w:id="156" w:name="_Toc450119494"/>
      <w:r w:rsidR="00DE1512" w:rsidRPr="009F1045">
        <w:rPr>
          <w:b/>
          <w:color w:val="1F497D" w:themeColor="text2"/>
          <w:sz w:val="18"/>
          <w:szCs w:val="18"/>
        </w:rPr>
        <w:lastRenderedPageBreak/>
        <w:t>Cuadro 1.</w:t>
      </w:r>
      <w:r w:rsidR="00771A61" w:rsidRPr="009F1045">
        <w:rPr>
          <w:b/>
          <w:color w:val="1F497D" w:themeColor="text2"/>
          <w:sz w:val="18"/>
          <w:szCs w:val="18"/>
        </w:rPr>
        <w:fldChar w:fldCharType="begin"/>
      </w:r>
      <w:r w:rsidR="00DE1512" w:rsidRPr="009F1045">
        <w:rPr>
          <w:b/>
          <w:color w:val="1F497D" w:themeColor="text2"/>
          <w:sz w:val="18"/>
          <w:szCs w:val="18"/>
        </w:rPr>
        <w:instrText xml:space="preserve"> SEQ Cuadro_1. \* ARABIC </w:instrText>
      </w:r>
      <w:r w:rsidR="00771A61" w:rsidRPr="009F1045">
        <w:rPr>
          <w:b/>
          <w:color w:val="1F497D" w:themeColor="text2"/>
          <w:sz w:val="18"/>
          <w:szCs w:val="18"/>
        </w:rPr>
        <w:fldChar w:fldCharType="separate"/>
      </w:r>
      <w:r w:rsidR="00FC71A9">
        <w:rPr>
          <w:b/>
          <w:noProof/>
          <w:color w:val="1F497D" w:themeColor="text2"/>
          <w:sz w:val="18"/>
          <w:szCs w:val="18"/>
        </w:rPr>
        <w:t>39</w:t>
      </w:r>
      <w:r w:rsidR="00771A61" w:rsidRPr="009F1045">
        <w:rPr>
          <w:b/>
          <w:color w:val="1F497D" w:themeColor="text2"/>
          <w:sz w:val="18"/>
          <w:szCs w:val="18"/>
        </w:rPr>
        <w:fldChar w:fldCharType="end"/>
      </w:r>
      <w:r w:rsidR="00DE1512" w:rsidRPr="009F1045">
        <w:rPr>
          <w:b/>
          <w:color w:val="1F497D" w:themeColor="text2"/>
          <w:sz w:val="18"/>
          <w:szCs w:val="18"/>
        </w:rPr>
        <w:t xml:space="preserve"> </w:t>
      </w:r>
      <w:r w:rsidR="00C86565" w:rsidRPr="00665097">
        <w:rPr>
          <w:b/>
          <w:color w:val="1F497D" w:themeColor="text2"/>
          <w:sz w:val="18"/>
          <w:szCs w:val="18"/>
        </w:rPr>
        <w:t xml:space="preserve"> </w:t>
      </w:r>
      <w:r w:rsidRPr="003303CA">
        <w:rPr>
          <w:b/>
          <w:color w:val="1F497D" w:themeColor="text2"/>
          <w:sz w:val="18"/>
          <w:szCs w:val="18"/>
        </w:rPr>
        <w:t>DISTRIBUCIÓN SECTORIAL DE LOS EMPLEOS DE LA ECO</w:t>
      </w:r>
      <w:r w:rsidR="00067DE2">
        <w:rPr>
          <w:b/>
          <w:color w:val="1F497D" w:themeColor="text2"/>
          <w:sz w:val="18"/>
          <w:szCs w:val="18"/>
        </w:rPr>
        <w:t>NOMÍA SOCIAL POR TERRITORIO 2014</w:t>
      </w:r>
      <w:r w:rsidRPr="003303CA">
        <w:rPr>
          <w:b/>
          <w:color w:val="1F497D" w:themeColor="text2"/>
          <w:sz w:val="18"/>
          <w:szCs w:val="18"/>
        </w:rPr>
        <w:t xml:space="preserve"> (</w:t>
      </w:r>
      <w:r w:rsidR="007D763B">
        <w:rPr>
          <w:b/>
          <w:color w:val="1F497D" w:themeColor="text2"/>
          <w:sz w:val="18"/>
          <w:szCs w:val="18"/>
        </w:rPr>
        <w:t>cifras absolutas y % verticales</w:t>
      </w:r>
      <w:r w:rsidRPr="003303CA">
        <w:rPr>
          <w:b/>
          <w:color w:val="1F497D" w:themeColor="text2"/>
          <w:sz w:val="18"/>
          <w:szCs w:val="18"/>
        </w:rPr>
        <w:t>)</w:t>
      </w:r>
      <w:bookmarkEnd w:id="155"/>
      <w:bookmarkEnd w:id="156"/>
    </w:p>
    <w:p w:rsidR="0063744A" w:rsidRPr="003303CA" w:rsidRDefault="0063744A" w:rsidP="00BB313D">
      <w:pPr>
        <w:pStyle w:val="ARIALNARROW"/>
        <w:widowControl w:val="0"/>
        <w:spacing w:line="240" w:lineRule="auto"/>
        <w:jc w:val="center"/>
        <w:rPr>
          <w:b/>
          <w:color w:val="1F497D" w:themeColor="text2"/>
          <w:sz w:val="18"/>
          <w:szCs w:val="18"/>
        </w:rPr>
      </w:pPr>
    </w:p>
    <w:tbl>
      <w:tblPr>
        <w:tblW w:w="9940" w:type="dxa"/>
        <w:jc w:val="center"/>
        <w:tblLook w:val="04A0" w:firstRow="1" w:lastRow="0" w:firstColumn="1" w:lastColumn="0" w:noHBand="0" w:noVBand="1"/>
      </w:tblPr>
      <w:tblGrid>
        <w:gridCol w:w="1843"/>
        <w:gridCol w:w="1026"/>
        <w:gridCol w:w="998"/>
        <w:gridCol w:w="1093"/>
        <w:gridCol w:w="998"/>
        <w:gridCol w:w="996"/>
        <w:gridCol w:w="998"/>
        <w:gridCol w:w="996"/>
        <w:gridCol w:w="992"/>
      </w:tblGrid>
      <w:tr w:rsidR="00665097" w:rsidRPr="00506010"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394209" w:rsidRDefault="00665097" w:rsidP="00996F20">
            <w:pPr>
              <w:widowControl w:val="0"/>
              <w:spacing w:line="240" w:lineRule="exact"/>
              <w:jc w:val="center"/>
              <w:rPr>
                <w:rFonts w:cs="Arial"/>
                <w:b/>
                <w:sz w:val="16"/>
                <w:szCs w:val="16"/>
              </w:rPr>
            </w:pPr>
            <w:r w:rsidRPr="00394209">
              <w:rPr>
                <w:rFonts w:cs="Arial"/>
                <w:b/>
                <w:sz w:val="16"/>
                <w:szCs w:val="16"/>
              </w:rPr>
              <w:t>CAE</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jc w:val="center"/>
              <w:rPr>
                <w:rFonts w:cs="Arial"/>
                <w:b/>
                <w:bCs/>
                <w:sz w:val="16"/>
                <w:szCs w:val="16"/>
              </w:rPr>
            </w:pPr>
            <w:r w:rsidRPr="00506010">
              <w:rPr>
                <w:rFonts w:cs="Arial"/>
                <w:b/>
                <w:bCs/>
                <w:sz w:val="16"/>
                <w:szCs w:val="16"/>
              </w:rPr>
              <w:t>TOTAL</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E5608" w:rsidP="00996F20">
            <w:pPr>
              <w:widowControl w:val="0"/>
              <w:spacing w:line="240" w:lineRule="exact"/>
              <w:jc w:val="center"/>
              <w:rPr>
                <w:rFonts w:cs="Arial"/>
                <w:b/>
                <w:bCs/>
                <w:sz w:val="16"/>
                <w:szCs w:val="16"/>
              </w:rPr>
            </w:pPr>
            <w:proofErr w:type="spellStart"/>
            <w:r>
              <w:rPr>
                <w:rFonts w:cs="Arial"/>
                <w:b/>
                <w:bCs/>
                <w:sz w:val="16"/>
                <w:szCs w:val="16"/>
              </w:rPr>
              <w:t>S.</w:t>
            </w:r>
            <w:r w:rsidR="00665097">
              <w:rPr>
                <w:rFonts w:cs="Arial"/>
                <w:b/>
                <w:bCs/>
                <w:sz w:val="16"/>
                <w:szCs w:val="16"/>
              </w:rPr>
              <w:t>Coop</w:t>
            </w:r>
            <w:proofErr w:type="spellEnd"/>
            <w:r w:rsidR="00665097" w:rsidRPr="00506010">
              <w:rPr>
                <w:rFonts w:cs="Arial"/>
                <w:b/>
                <w:bCs/>
                <w:sz w:val="16"/>
                <w:szCs w:val="16"/>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jc w:val="center"/>
              <w:rPr>
                <w:rFonts w:cs="Arial"/>
                <w:b/>
                <w:bCs/>
                <w:sz w:val="16"/>
                <w:szCs w:val="16"/>
              </w:rPr>
            </w:pPr>
            <w:r w:rsidRPr="00506010">
              <w:rPr>
                <w:rFonts w:cs="Arial"/>
                <w:b/>
                <w:bCs/>
                <w:sz w:val="16"/>
                <w:szCs w:val="16"/>
                <w:lang w:val="en-GB"/>
              </w:rPr>
              <w:t>S.A.L.es</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jc w:val="center"/>
              <w:rPr>
                <w:rFonts w:cs="Arial"/>
                <w:b/>
                <w:bCs/>
                <w:sz w:val="16"/>
                <w:szCs w:val="16"/>
              </w:rPr>
            </w:pPr>
            <w:r w:rsidRPr="00506010">
              <w:rPr>
                <w:rFonts w:cs="Arial"/>
                <w:b/>
                <w:bCs/>
                <w:sz w:val="16"/>
                <w:szCs w:val="16"/>
                <w:lang w:val="en-GB"/>
              </w:rPr>
              <w:t>S.L.L.es</w:t>
            </w:r>
          </w:p>
        </w:tc>
      </w:tr>
      <w:tr w:rsidR="00665097" w:rsidRPr="00506010"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996F20">
            <w:pPr>
              <w:widowControl w:val="0"/>
              <w:spacing w:line="240" w:lineRule="exact"/>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153402" w:rsidP="00996F20">
            <w:pPr>
              <w:widowControl w:val="0"/>
              <w:spacing w:line="240" w:lineRule="exact"/>
              <w:jc w:val="center"/>
              <w:rPr>
                <w:rFonts w:cs="Arial"/>
                <w:b/>
                <w:bCs/>
                <w:sz w:val="16"/>
                <w:szCs w:val="16"/>
              </w:rPr>
            </w:pPr>
            <w:r>
              <w:rPr>
                <w:rFonts w:cs="Arial"/>
                <w:b/>
                <w:bCs/>
                <w:sz w:val="16"/>
                <w:szCs w:val="16"/>
              </w:rPr>
              <w:t>% ver.</w:t>
            </w:r>
          </w:p>
        </w:tc>
      </w:tr>
      <w:tr w:rsidR="007F7230" w:rsidRPr="00506010" w:rsidTr="00D122F5">
        <w:trPr>
          <w:jc w:val="center"/>
        </w:trPr>
        <w:tc>
          <w:tcPr>
            <w:tcW w:w="927" w:type="pct"/>
            <w:tcBorders>
              <w:top w:val="single" w:sz="4" w:space="0" w:color="BFBFBF" w:themeColor="background1" w:themeShade="BF"/>
              <w:right w:val="single" w:sz="4" w:space="0" w:color="BFBFBF" w:themeColor="background1" w:themeShade="BF"/>
            </w:tcBorders>
            <w:hideMark/>
          </w:tcPr>
          <w:p w:rsidR="007F7230" w:rsidRPr="00506010" w:rsidRDefault="007F7230" w:rsidP="00996F20">
            <w:pPr>
              <w:widowControl w:val="0"/>
              <w:spacing w:line="240" w:lineRule="exact"/>
              <w:rPr>
                <w:rFonts w:cs="Arial"/>
                <w:sz w:val="16"/>
                <w:szCs w:val="16"/>
              </w:rPr>
            </w:pPr>
            <w:r>
              <w:rPr>
                <w:rFonts w:cs="Arial"/>
                <w:sz w:val="16"/>
                <w:szCs w:val="16"/>
              </w:rPr>
              <w:t xml:space="preserve">Primario </w:t>
            </w:r>
          </w:p>
        </w:tc>
        <w:tc>
          <w:tcPr>
            <w:tcW w:w="516" w:type="pct"/>
            <w:tcBorders>
              <w:top w:val="single" w:sz="4" w:space="0" w:color="BFBFBF" w:themeColor="background1" w:themeShade="BF"/>
              <w:left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171</w:t>
            </w:r>
          </w:p>
        </w:tc>
        <w:tc>
          <w:tcPr>
            <w:tcW w:w="502" w:type="pct"/>
            <w:tcBorders>
              <w:top w:val="single" w:sz="4" w:space="0" w:color="BFBFBF" w:themeColor="background1" w:themeShade="BF"/>
              <w:right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0,3</w:t>
            </w:r>
          </w:p>
        </w:tc>
        <w:tc>
          <w:tcPr>
            <w:tcW w:w="550" w:type="pct"/>
            <w:tcBorders>
              <w:top w:val="single" w:sz="4" w:space="0" w:color="BFBFBF" w:themeColor="background1" w:themeShade="BF"/>
              <w:lef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156</w:t>
            </w:r>
          </w:p>
        </w:tc>
        <w:tc>
          <w:tcPr>
            <w:tcW w:w="502" w:type="pct"/>
            <w:tcBorders>
              <w:top w:val="single" w:sz="4" w:space="0" w:color="BFBFBF" w:themeColor="background1" w:themeShade="BF"/>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0,3</w:t>
            </w:r>
          </w:p>
        </w:tc>
        <w:tc>
          <w:tcPr>
            <w:tcW w:w="501" w:type="pct"/>
            <w:tcBorders>
              <w:top w:val="single" w:sz="4" w:space="0" w:color="BFBFBF" w:themeColor="background1" w:themeShade="BF"/>
              <w:lef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15</w:t>
            </w:r>
          </w:p>
        </w:tc>
        <w:tc>
          <w:tcPr>
            <w:tcW w:w="499" w:type="pct"/>
            <w:tcBorders>
              <w:top w:val="single" w:sz="4" w:space="0" w:color="BFBFBF" w:themeColor="background1" w:themeShade="BF"/>
            </w:tcBorders>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0,4</w:t>
            </w:r>
          </w:p>
        </w:tc>
      </w:tr>
      <w:tr w:rsidR="007F7230" w:rsidRPr="00506010" w:rsidTr="00D122F5">
        <w:trPr>
          <w:jc w:val="center"/>
        </w:trPr>
        <w:tc>
          <w:tcPr>
            <w:tcW w:w="927" w:type="pct"/>
            <w:tcBorders>
              <w:right w:val="single" w:sz="4" w:space="0" w:color="BFBFBF" w:themeColor="background1" w:themeShade="BF"/>
            </w:tcBorders>
            <w:hideMark/>
          </w:tcPr>
          <w:p w:rsidR="007F7230" w:rsidRPr="00506010" w:rsidRDefault="007F7230" w:rsidP="00996F20">
            <w:pPr>
              <w:widowControl w:val="0"/>
              <w:spacing w:line="240" w:lineRule="exact"/>
              <w:rPr>
                <w:rFonts w:cs="Arial"/>
                <w:sz w:val="16"/>
                <w:szCs w:val="16"/>
              </w:rPr>
            </w:pPr>
            <w:r>
              <w:rPr>
                <w:rFonts w:cs="Arial"/>
                <w:sz w:val="16"/>
                <w:szCs w:val="16"/>
              </w:rPr>
              <w:t>Industria</w:t>
            </w:r>
          </w:p>
        </w:tc>
        <w:tc>
          <w:tcPr>
            <w:tcW w:w="516" w:type="pct"/>
            <w:tcBorders>
              <w:left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23.807</w:t>
            </w:r>
          </w:p>
        </w:tc>
        <w:tc>
          <w:tcPr>
            <w:tcW w:w="502" w:type="pct"/>
            <w:tcBorders>
              <w:right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43,6</w:t>
            </w:r>
          </w:p>
        </w:tc>
        <w:tc>
          <w:tcPr>
            <w:tcW w:w="550" w:type="pct"/>
            <w:tcBorders>
              <w:lef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19.238</w:t>
            </w:r>
          </w:p>
        </w:tc>
        <w:tc>
          <w:tcPr>
            <w:tcW w:w="502" w:type="pct"/>
            <w:tcBorders>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40,7</w:t>
            </w:r>
          </w:p>
        </w:tc>
        <w:tc>
          <w:tcPr>
            <w:tcW w:w="501" w:type="pct"/>
            <w:tcBorders>
              <w:lef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2.400</w:t>
            </w:r>
          </w:p>
        </w:tc>
        <w:tc>
          <w:tcPr>
            <w:tcW w:w="502" w:type="pct"/>
            <w:tcBorders>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75,5</w:t>
            </w:r>
          </w:p>
        </w:tc>
        <w:tc>
          <w:tcPr>
            <w:tcW w:w="501" w:type="pct"/>
            <w:tcBorders>
              <w:left w:val="single" w:sz="4" w:space="0" w:color="BFBFBF" w:themeColor="background1" w:themeShade="BF"/>
            </w:tcBorders>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2.169</w:t>
            </w:r>
          </w:p>
        </w:tc>
        <w:tc>
          <w:tcPr>
            <w:tcW w:w="499" w:type="pct"/>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53,1</w:t>
            </w:r>
          </w:p>
        </w:tc>
      </w:tr>
      <w:tr w:rsidR="007F7230" w:rsidRPr="00506010" w:rsidTr="00D122F5">
        <w:trPr>
          <w:jc w:val="center"/>
        </w:trPr>
        <w:tc>
          <w:tcPr>
            <w:tcW w:w="927" w:type="pct"/>
            <w:tcBorders>
              <w:right w:val="single" w:sz="4" w:space="0" w:color="BFBFBF" w:themeColor="background1" w:themeShade="BF"/>
            </w:tcBorders>
            <w:hideMark/>
          </w:tcPr>
          <w:p w:rsidR="007F7230" w:rsidRPr="00506010" w:rsidRDefault="007F7230" w:rsidP="00996F20">
            <w:pPr>
              <w:widowControl w:val="0"/>
              <w:spacing w:line="240" w:lineRule="exact"/>
              <w:rPr>
                <w:rFonts w:cs="Arial"/>
                <w:sz w:val="16"/>
                <w:szCs w:val="16"/>
              </w:rPr>
            </w:pPr>
            <w:r>
              <w:rPr>
                <w:rFonts w:cs="Arial"/>
                <w:sz w:val="16"/>
                <w:szCs w:val="16"/>
              </w:rPr>
              <w:t>Construcción</w:t>
            </w:r>
          </w:p>
        </w:tc>
        <w:tc>
          <w:tcPr>
            <w:tcW w:w="516" w:type="pct"/>
            <w:tcBorders>
              <w:left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1.599</w:t>
            </w:r>
          </w:p>
        </w:tc>
        <w:tc>
          <w:tcPr>
            <w:tcW w:w="502" w:type="pct"/>
            <w:tcBorders>
              <w:right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2,9</w:t>
            </w:r>
          </w:p>
        </w:tc>
        <w:tc>
          <w:tcPr>
            <w:tcW w:w="550" w:type="pct"/>
            <w:tcBorders>
              <w:lef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1.016</w:t>
            </w:r>
          </w:p>
        </w:tc>
        <w:tc>
          <w:tcPr>
            <w:tcW w:w="502" w:type="pct"/>
            <w:tcBorders>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2,1</w:t>
            </w:r>
          </w:p>
        </w:tc>
        <w:tc>
          <w:tcPr>
            <w:tcW w:w="501" w:type="pct"/>
            <w:tcBorders>
              <w:lef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183</w:t>
            </w:r>
          </w:p>
        </w:tc>
        <w:tc>
          <w:tcPr>
            <w:tcW w:w="502" w:type="pct"/>
            <w:tcBorders>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5,8</w:t>
            </w:r>
          </w:p>
        </w:tc>
        <w:tc>
          <w:tcPr>
            <w:tcW w:w="501" w:type="pct"/>
            <w:tcBorders>
              <w:left w:val="single" w:sz="4" w:space="0" w:color="BFBFBF" w:themeColor="background1" w:themeShade="BF"/>
            </w:tcBorders>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401</w:t>
            </w:r>
          </w:p>
        </w:tc>
        <w:tc>
          <w:tcPr>
            <w:tcW w:w="499" w:type="pct"/>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9,8</w:t>
            </w:r>
          </w:p>
        </w:tc>
      </w:tr>
      <w:tr w:rsidR="007F7230" w:rsidRPr="00506010" w:rsidTr="00D122F5">
        <w:trPr>
          <w:jc w:val="center"/>
        </w:trPr>
        <w:tc>
          <w:tcPr>
            <w:tcW w:w="927" w:type="pct"/>
            <w:tcBorders>
              <w:bottom w:val="single" w:sz="4" w:space="0" w:color="BFBFBF" w:themeColor="background1" w:themeShade="BF"/>
              <w:right w:val="single" w:sz="4" w:space="0" w:color="BFBFBF" w:themeColor="background1" w:themeShade="BF"/>
            </w:tcBorders>
            <w:hideMark/>
          </w:tcPr>
          <w:p w:rsidR="007F7230" w:rsidRPr="00506010" w:rsidRDefault="007F7230" w:rsidP="00996F20">
            <w:pPr>
              <w:widowControl w:val="0"/>
              <w:spacing w:line="240" w:lineRule="exact"/>
              <w:rPr>
                <w:rFonts w:cs="Arial"/>
                <w:sz w:val="16"/>
                <w:szCs w:val="16"/>
              </w:rPr>
            </w:pPr>
            <w:r>
              <w:rPr>
                <w:rFonts w:cs="Arial"/>
                <w:sz w:val="16"/>
                <w:szCs w:val="16"/>
              </w:rPr>
              <w:t>Servicios</w:t>
            </w:r>
          </w:p>
        </w:tc>
        <w:tc>
          <w:tcPr>
            <w:tcW w:w="516" w:type="pct"/>
            <w:tcBorders>
              <w:left w:val="single" w:sz="4" w:space="0" w:color="BFBFBF" w:themeColor="background1" w:themeShade="BF"/>
              <w:bottom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29.005</w:t>
            </w:r>
          </w:p>
        </w:tc>
        <w:tc>
          <w:tcPr>
            <w:tcW w:w="502" w:type="pct"/>
            <w:tcBorders>
              <w:bottom w:val="single" w:sz="4" w:space="0" w:color="BFBFBF" w:themeColor="background1" w:themeShade="BF"/>
              <w:right w:val="single" w:sz="4" w:space="0" w:color="BFBFBF" w:themeColor="background1" w:themeShade="BF"/>
            </w:tcBorders>
            <w:vAlign w:val="bottom"/>
            <w:hideMark/>
          </w:tcPr>
          <w:p w:rsidR="007F7230" w:rsidRPr="007F7230" w:rsidRDefault="007F7230" w:rsidP="00996F20">
            <w:pPr>
              <w:widowControl w:val="0"/>
              <w:spacing w:line="240" w:lineRule="exact"/>
              <w:ind w:right="170"/>
              <w:jc w:val="right"/>
              <w:rPr>
                <w:rFonts w:cs="Arial"/>
                <w:color w:val="000000"/>
                <w:sz w:val="16"/>
                <w:szCs w:val="16"/>
              </w:rPr>
            </w:pPr>
            <w:r w:rsidRPr="007F7230">
              <w:rPr>
                <w:rFonts w:cs="Arial"/>
                <w:color w:val="000000"/>
                <w:sz w:val="16"/>
                <w:szCs w:val="16"/>
              </w:rPr>
              <w:t>53,1</w:t>
            </w:r>
          </w:p>
        </w:tc>
        <w:tc>
          <w:tcPr>
            <w:tcW w:w="550" w:type="pct"/>
            <w:tcBorders>
              <w:left w:val="single" w:sz="4" w:space="0" w:color="BFBFBF" w:themeColor="background1" w:themeShade="BF"/>
              <w:bottom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26.914</w:t>
            </w:r>
          </w:p>
        </w:tc>
        <w:tc>
          <w:tcPr>
            <w:tcW w:w="502" w:type="pct"/>
            <w:tcBorders>
              <w:bottom w:val="single" w:sz="4" w:space="0" w:color="BFBFBF" w:themeColor="background1" w:themeShade="BF"/>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56,9</w:t>
            </w:r>
          </w:p>
        </w:tc>
        <w:tc>
          <w:tcPr>
            <w:tcW w:w="501" w:type="pct"/>
            <w:tcBorders>
              <w:left w:val="single" w:sz="4" w:space="0" w:color="BFBFBF" w:themeColor="background1" w:themeShade="BF"/>
              <w:bottom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594</w:t>
            </w:r>
          </w:p>
        </w:tc>
        <w:tc>
          <w:tcPr>
            <w:tcW w:w="502" w:type="pct"/>
            <w:tcBorders>
              <w:bottom w:val="single" w:sz="4" w:space="0" w:color="BFBFBF" w:themeColor="background1" w:themeShade="BF"/>
              <w:right w:val="single" w:sz="4" w:space="0" w:color="BFBFBF" w:themeColor="background1" w:themeShade="BF"/>
            </w:tcBorders>
            <w:vAlign w:val="bottom"/>
            <w:hideMark/>
          </w:tcPr>
          <w:p w:rsidR="007F7230" w:rsidRPr="001B6691" w:rsidRDefault="007F7230" w:rsidP="00996F20">
            <w:pPr>
              <w:widowControl w:val="0"/>
              <w:spacing w:line="240" w:lineRule="exact"/>
              <w:ind w:right="170"/>
              <w:jc w:val="right"/>
              <w:rPr>
                <w:rFonts w:cs="Arial"/>
                <w:color w:val="000000"/>
                <w:sz w:val="16"/>
                <w:szCs w:val="16"/>
              </w:rPr>
            </w:pPr>
            <w:r w:rsidRPr="001B6691">
              <w:rPr>
                <w:rFonts w:cs="Arial"/>
                <w:color w:val="000000"/>
                <w:sz w:val="16"/>
                <w:szCs w:val="16"/>
              </w:rPr>
              <w:t>18,7</w:t>
            </w:r>
          </w:p>
        </w:tc>
        <w:tc>
          <w:tcPr>
            <w:tcW w:w="501" w:type="pct"/>
            <w:tcBorders>
              <w:left w:val="single" w:sz="4" w:space="0" w:color="BFBFBF" w:themeColor="background1" w:themeShade="BF"/>
              <w:bottom w:val="single" w:sz="4" w:space="0" w:color="BFBFBF" w:themeColor="background1" w:themeShade="BF"/>
            </w:tcBorders>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1.497</w:t>
            </w:r>
          </w:p>
        </w:tc>
        <w:tc>
          <w:tcPr>
            <w:tcW w:w="499" w:type="pct"/>
            <w:tcBorders>
              <w:bottom w:val="single" w:sz="4" w:space="0" w:color="BFBFBF" w:themeColor="background1" w:themeShade="BF"/>
            </w:tcBorders>
            <w:vAlign w:val="bottom"/>
            <w:hideMark/>
          </w:tcPr>
          <w:p w:rsidR="007F7230" w:rsidRPr="00FA7E38" w:rsidRDefault="007F7230" w:rsidP="00996F20">
            <w:pPr>
              <w:widowControl w:val="0"/>
              <w:spacing w:line="240" w:lineRule="exact"/>
              <w:ind w:right="170"/>
              <w:jc w:val="right"/>
              <w:rPr>
                <w:rFonts w:cs="Arial"/>
                <w:color w:val="000000"/>
                <w:sz w:val="16"/>
                <w:szCs w:val="16"/>
              </w:rPr>
            </w:pPr>
            <w:r w:rsidRPr="00FA7E38">
              <w:rPr>
                <w:rFonts w:cs="Arial"/>
                <w:color w:val="000000"/>
                <w:sz w:val="16"/>
                <w:szCs w:val="16"/>
              </w:rPr>
              <w:t>36,7</w:t>
            </w:r>
          </w:p>
        </w:tc>
      </w:tr>
      <w:tr w:rsidR="00034392" w:rsidRPr="00034392" w:rsidTr="00D122F5">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034392" w:rsidRPr="00506010" w:rsidRDefault="00034392" w:rsidP="00996F20">
            <w:pPr>
              <w:widowControl w:val="0"/>
              <w:spacing w:line="240" w:lineRule="exact"/>
              <w:rPr>
                <w:rFonts w:cs="Arial"/>
                <w:b/>
                <w:bCs/>
                <w:sz w:val="16"/>
                <w:szCs w:val="16"/>
              </w:rPr>
            </w:pPr>
            <w:r w:rsidRPr="00506010">
              <w:rPr>
                <w:rFonts w:cs="Arial"/>
                <w:b/>
                <w:bCs/>
                <w:sz w:val="16"/>
                <w:szCs w:val="16"/>
              </w:rPr>
              <w:t>TOTAL</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034392" w:rsidRPr="006F773D" w:rsidRDefault="00FA7E38" w:rsidP="00996F20">
            <w:pPr>
              <w:widowControl w:val="0"/>
              <w:spacing w:line="240" w:lineRule="exact"/>
              <w:ind w:right="170"/>
              <w:jc w:val="right"/>
              <w:rPr>
                <w:rFonts w:cs="Arial"/>
                <w:b/>
                <w:bCs/>
                <w:color w:val="000000"/>
                <w:sz w:val="16"/>
                <w:szCs w:val="16"/>
              </w:rPr>
            </w:pPr>
            <w:r>
              <w:rPr>
                <w:rFonts w:cs="Arial"/>
                <w:b/>
                <w:bCs/>
                <w:color w:val="000000"/>
                <w:sz w:val="16"/>
                <w:szCs w:val="16"/>
              </w:rPr>
              <w:t>54.582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034392" w:rsidRPr="00034392" w:rsidRDefault="00034392" w:rsidP="00996F20">
            <w:pPr>
              <w:widowControl w:val="0"/>
              <w:spacing w:line="240" w:lineRule="exact"/>
              <w:ind w:right="170"/>
              <w:jc w:val="right"/>
              <w:rPr>
                <w:rFonts w:cs="Arial"/>
                <w:b/>
                <w:color w:val="000000"/>
                <w:sz w:val="16"/>
                <w:szCs w:val="16"/>
              </w:rPr>
            </w:pPr>
            <w:r w:rsidRPr="00034392">
              <w:rPr>
                <w:rFonts w:cs="Arial"/>
                <w:b/>
                <w:color w:val="000000"/>
                <w:sz w:val="16"/>
                <w:szCs w:val="16"/>
              </w:rPr>
              <w:t>100</w:t>
            </w:r>
            <w:r w:rsidR="007F441F">
              <w:rPr>
                <w:rFonts w:cs="Arial"/>
                <w:b/>
                <w:color w:val="000000"/>
                <w:sz w:val="16"/>
                <w:szCs w:val="16"/>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034392" w:rsidRPr="00FA7E38" w:rsidRDefault="001B6691" w:rsidP="00996F20">
            <w:pPr>
              <w:widowControl w:val="0"/>
              <w:spacing w:line="240" w:lineRule="exact"/>
              <w:ind w:right="170"/>
              <w:jc w:val="right"/>
              <w:rPr>
                <w:rFonts w:cs="Arial"/>
                <w:b/>
                <w:color w:val="000000"/>
                <w:sz w:val="16"/>
                <w:szCs w:val="16"/>
              </w:rPr>
            </w:pPr>
            <w:r w:rsidRPr="00FA7E38">
              <w:rPr>
                <w:rFonts w:cs="Arial"/>
                <w:b/>
                <w:color w:val="000000"/>
                <w:sz w:val="16"/>
                <w:szCs w:val="16"/>
              </w:rPr>
              <w:t>47.322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034392" w:rsidRPr="00034392" w:rsidRDefault="00034392" w:rsidP="00996F20">
            <w:pPr>
              <w:widowControl w:val="0"/>
              <w:spacing w:line="240" w:lineRule="exact"/>
              <w:ind w:right="170"/>
              <w:jc w:val="right"/>
              <w:rPr>
                <w:rFonts w:cs="Arial"/>
                <w:b/>
                <w:color w:val="000000"/>
                <w:sz w:val="16"/>
                <w:szCs w:val="16"/>
              </w:rPr>
            </w:pPr>
            <w:r w:rsidRPr="00034392">
              <w:rPr>
                <w:rFonts w:cs="Arial"/>
                <w:b/>
                <w:color w:val="000000"/>
                <w:sz w:val="16"/>
                <w:szCs w:val="16"/>
              </w:rPr>
              <w:t>100</w:t>
            </w:r>
            <w:r w:rsidR="007F441F">
              <w:rPr>
                <w:rFonts w:cs="Arial"/>
                <w:b/>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034392" w:rsidRPr="00034392" w:rsidRDefault="001B6691" w:rsidP="00996F20">
            <w:pPr>
              <w:widowControl w:val="0"/>
              <w:spacing w:line="240" w:lineRule="exact"/>
              <w:ind w:right="170"/>
              <w:jc w:val="right"/>
              <w:rPr>
                <w:rFonts w:cs="Arial"/>
                <w:b/>
                <w:color w:val="000000"/>
                <w:sz w:val="16"/>
                <w:szCs w:val="16"/>
              </w:rPr>
            </w:pPr>
            <w:r>
              <w:rPr>
                <w:rFonts w:cs="Arial"/>
                <w:b/>
                <w:color w:val="000000"/>
                <w:sz w:val="16"/>
                <w:szCs w:val="16"/>
              </w:rPr>
              <w:t>3.177</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034392" w:rsidRPr="00034392" w:rsidRDefault="00034392" w:rsidP="00996F20">
            <w:pPr>
              <w:widowControl w:val="0"/>
              <w:spacing w:line="240" w:lineRule="exact"/>
              <w:ind w:right="170"/>
              <w:jc w:val="right"/>
              <w:rPr>
                <w:rFonts w:cs="Arial"/>
                <w:b/>
                <w:color w:val="000000"/>
                <w:sz w:val="16"/>
                <w:szCs w:val="16"/>
              </w:rPr>
            </w:pPr>
            <w:r w:rsidRPr="00034392">
              <w:rPr>
                <w:rFonts w:cs="Arial"/>
                <w:b/>
                <w:color w:val="000000"/>
                <w:sz w:val="16"/>
                <w:szCs w:val="16"/>
              </w:rPr>
              <w:t>100</w:t>
            </w:r>
            <w:r w:rsidR="007F441F">
              <w:rPr>
                <w:rFonts w:cs="Arial"/>
                <w:b/>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034392" w:rsidRPr="00034392" w:rsidRDefault="00FA7E38" w:rsidP="00996F20">
            <w:pPr>
              <w:widowControl w:val="0"/>
              <w:spacing w:line="240" w:lineRule="exact"/>
              <w:ind w:right="170"/>
              <w:jc w:val="right"/>
              <w:rPr>
                <w:rFonts w:cs="Arial"/>
                <w:b/>
                <w:color w:val="000000"/>
                <w:sz w:val="16"/>
                <w:szCs w:val="16"/>
              </w:rPr>
            </w:pPr>
            <w:r>
              <w:rPr>
                <w:rFonts w:cs="Arial"/>
                <w:b/>
                <w:color w:val="000000"/>
                <w:sz w:val="16"/>
                <w:szCs w:val="16"/>
              </w:rPr>
              <w:t>4.082</w:t>
            </w:r>
          </w:p>
        </w:tc>
        <w:tc>
          <w:tcPr>
            <w:tcW w:w="499" w:type="pct"/>
            <w:tcBorders>
              <w:top w:val="single" w:sz="4" w:space="0" w:color="BFBFBF" w:themeColor="background1" w:themeShade="BF"/>
              <w:bottom w:val="single" w:sz="4" w:space="0" w:color="BFBFBF" w:themeColor="background1" w:themeShade="BF"/>
            </w:tcBorders>
            <w:hideMark/>
          </w:tcPr>
          <w:p w:rsidR="00034392" w:rsidRPr="00034392" w:rsidRDefault="00034392" w:rsidP="00996F20">
            <w:pPr>
              <w:widowControl w:val="0"/>
              <w:spacing w:line="240" w:lineRule="exact"/>
              <w:ind w:right="170"/>
              <w:jc w:val="right"/>
              <w:rPr>
                <w:rFonts w:cs="Arial"/>
                <w:b/>
                <w:color w:val="000000"/>
                <w:sz w:val="16"/>
                <w:szCs w:val="16"/>
              </w:rPr>
            </w:pPr>
            <w:r w:rsidRPr="00034392">
              <w:rPr>
                <w:rFonts w:cs="Arial"/>
                <w:b/>
                <w:color w:val="000000"/>
                <w:sz w:val="16"/>
                <w:szCs w:val="16"/>
              </w:rPr>
              <w:t>100</w:t>
            </w:r>
            <w:r w:rsidR="007F441F">
              <w:rPr>
                <w:rFonts w:cs="Arial"/>
                <w:b/>
                <w:color w:val="000000"/>
                <w:sz w:val="16"/>
                <w:szCs w:val="16"/>
              </w:rPr>
              <w:t>,0</w:t>
            </w:r>
          </w:p>
        </w:tc>
      </w:tr>
      <w:tr w:rsidR="00034392" w:rsidRPr="00506010" w:rsidTr="00D122F5">
        <w:trPr>
          <w:jc w:val="center"/>
        </w:trPr>
        <w:tc>
          <w:tcPr>
            <w:tcW w:w="927"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034392" w:rsidRDefault="00034392" w:rsidP="00996F20">
            <w:pPr>
              <w:widowControl w:val="0"/>
              <w:spacing w:line="240" w:lineRule="exact"/>
              <w:jc w:val="center"/>
              <w:rPr>
                <w:rFonts w:cs="Arial"/>
                <w:b/>
                <w:sz w:val="16"/>
                <w:szCs w:val="16"/>
              </w:rPr>
            </w:pPr>
          </w:p>
        </w:tc>
        <w:tc>
          <w:tcPr>
            <w:tcW w:w="101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506010" w:rsidRDefault="00034392" w:rsidP="00996F20">
            <w:pPr>
              <w:widowControl w:val="0"/>
              <w:spacing w:line="240" w:lineRule="exact"/>
              <w:jc w:val="center"/>
              <w:rPr>
                <w:rFonts w:cs="Arial"/>
                <w:b/>
                <w:bCs/>
                <w:sz w:val="16"/>
                <w:szCs w:val="16"/>
              </w:rPr>
            </w:pPr>
          </w:p>
        </w:tc>
        <w:tc>
          <w:tcPr>
            <w:tcW w:w="1052"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506010" w:rsidRDefault="00034392" w:rsidP="00996F20">
            <w:pPr>
              <w:widowControl w:val="0"/>
              <w:spacing w:line="240" w:lineRule="exact"/>
              <w:jc w:val="center"/>
              <w:rPr>
                <w:rFonts w:cs="Arial"/>
                <w:b/>
                <w:bCs/>
                <w:sz w:val="16"/>
                <w:szCs w:val="16"/>
              </w:rPr>
            </w:pPr>
          </w:p>
        </w:tc>
        <w:tc>
          <w:tcPr>
            <w:tcW w:w="1003"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506010" w:rsidRDefault="00034392" w:rsidP="00996F20">
            <w:pPr>
              <w:widowControl w:val="0"/>
              <w:spacing w:line="240" w:lineRule="exact"/>
              <w:jc w:val="center"/>
              <w:rPr>
                <w:rFonts w:cs="Arial"/>
                <w:b/>
                <w:bCs/>
                <w:sz w:val="16"/>
                <w:szCs w:val="16"/>
                <w:lang w:val="en-GB"/>
              </w:rPr>
            </w:pPr>
          </w:p>
        </w:tc>
        <w:tc>
          <w:tcPr>
            <w:tcW w:w="100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034392" w:rsidRPr="00506010" w:rsidRDefault="00034392" w:rsidP="00996F20">
            <w:pPr>
              <w:widowControl w:val="0"/>
              <w:spacing w:line="240" w:lineRule="exact"/>
              <w:jc w:val="center"/>
              <w:rPr>
                <w:rFonts w:cs="Arial"/>
                <w:b/>
                <w:bCs/>
                <w:sz w:val="16"/>
                <w:szCs w:val="16"/>
                <w:lang w:val="en-GB"/>
              </w:rPr>
            </w:pPr>
          </w:p>
        </w:tc>
      </w:tr>
      <w:tr w:rsidR="00A7319F" w:rsidRPr="00506010"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19F" w:rsidRPr="00394209" w:rsidRDefault="00A7319F" w:rsidP="00996F20">
            <w:pPr>
              <w:widowControl w:val="0"/>
              <w:spacing w:line="240" w:lineRule="exact"/>
              <w:jc w:val="center"/>
              <w:rPr>
                <w:rFonts w:cs="Arial"/>
                <w:b/>
                <w:sz w:val="16"/>
                <w:szCs w:val="16"/>
              </w:rPr>
            </w:pPr>
            <w:r>
              <w:rPr>
                <w:rFonts w:cs="Arial"/>
                <w:b/>
                <w:sz w:val="16"/>
                <w:szCs w:val="16"/>
              </w:rPr>
              <w:t>ÁLAVA</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r w:rsidRPr="00506010">
              <w:rPr>
                <w:rFonts w:cs="Arial"/>
                <w:b/>
                <w:bCs/>
                <w:sz w:val="16"/>
                <w:szCs w:val="16"/>
              </w:rPr>
              <w:t>TOTAL</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19F" w:rsidRPr="00506010" w:rsidRDefault="00A7319F" w:rsidP="001E5608">
            <w:pPr>
              <w:widowControl w:val="0"/>
              <w:spacing w:line="240" w:lineRule="exact"/>
              <w:jc w:val="center"/>
              <w:rPr>
                <w:rFonts w:cs="Arial"/>
                <w:b/>
                <w:bCs/>
                <w:sz w:val="16"/>
                <w:szCs w:val="16"/>
              </w:rPr>
            </w:pPr>
            <w:proofErr w:type="spellStart"/>
            <w:r w:rsidRPr="00506010">
              <w:rPr>
                <w:rFonts w:cs="Arial"/>
                <w:b/>
                <w:bCs/>
                <w:sz w:val="16"/>
                <w:szCs w:val="16"/>
              </w:rPr>
              <w:t>S.</w:t>
            </w:r>
            <w:r>
              <w:rPr>
                <w:rFonts w:cs="Arial"/>
                <w:b/>
                <w:bCs/>
                <w:sz w:val="16"/>
                <w:szCs w:val="16"/>
              </w:rPr>
              <w:t>Coop</w:t>
            </w:r>
            <w:proofErr w:type="spellEnd"/>
            <w:r w:rsidRPr="00506010">
              <w:rPr>
                <w:rFonts w:cs="Arial"/>
                <w:b/>
                <w:bCs/>
                <w:sz w:val="16"/>
                <w:szCs w:val="16"/>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r w:rsidRPr="00506010">
              <w:rPr>
                <w:rFonts w:cs="Arial"/>
                <w:b/>
                <w:bCs/>
                <w:sz w:val="16"/>
                <w:szCs w:val="16"/>
                <w:lang w:val="en-GB"/>
              </w:rPr>
              <w:t>S.A.L.es</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r w:rsidRPr="00506010">
              <w:rPr>
                <w:rFonts w:cs="Arial"/>
                <w:b/>
                <w:bCs/>
                <w:sz w:val="16"/>
                <w:szCs w:val="16"/>
                <w:lang w:val="en-GB"/>
              </w:rPr>
              <w:t>S.L.L.es</w:t>
            </w:r>
          </w:p>
        </w:tc>
      </w:tr>
      <w:tr w:rsidR="00A7319F" w:rsidRPr="00506010"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r>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A7319F" w:rsidRPr="00506010" w:rsidRDefault="00A7319F" w:rsidP="00996F20">
            <w:pPr>
              <w:widowControl w:val="0"/>
              <w:spacing w:line="240" w:lineRule="exact"/>
              <w:jc w:val="center"/>
              <w:rPr>
                <w:rFonts w:cs="Arial"/>
                <w:b/>
                <w:bCs/>
                <w:sz w:val="16"/>
                <w:szCs w:val="16"/>
              </w:rPr>
            </w:pPr>
            <w:r>
              <w:rPr>
                <w:rFonts w:cs="Arial"/>
                <w:b/>
                <w:bCs/>
                <w:sz w:val="16"/>
                <w:szCs w:val="16"/>
              </w:rPr>
              <w:t>% ver.</w:t>
            </w:r>
          </w:p>
        </w:tc>
      </w:tr>
      <w:tr w:rsidR="0063744A" w:rsidRPr="00506010" w:rsidTr="00D122F5">
        <w:trPr>
          <w:jc w:val="center"/>
        </w:trPr>
        <w:tc>
          <w:tcPr>
            <w:tcW w:w="927" w:type="pct"/>
            <w:tcBorders>
              <w:top w:val="single" w:sz="4" w:space="0" w:color="BFBFBF" w:themeColor="background1" w:themeShade="BF"/>
              <w:right w:val="single" w:sz="4" w:space="0" w:color="BFBFBF" w:themeColor="background1" w:themeShade="BF"/>
            </w:tcBorders>
            <w:hideMark/>
          </w:tcPr>
          <w:p w:rsidR="0063744A" w:rsidRPr="00506010" w:rsidRDefault="0063744A" w:rsidP="00996F20">
            <w:pPr>
              <w:widowControl w:val="0"/>
              <w:spacing w:line="240" w:lineRule="exact"/>
              <w:rPr>
                <w:rFonts w:cs="Arial"/>
                <w:sz w:val="16"/>
                <w:szCs w:val="16"/>
              </w:rPr>
            </w:pPr>
            <w:r>
              <w:rPr>
                <w:rFonts w:cs="Arial"/>
                <w:sz w:val="16"/>
                <w:szCs w:val="16"/>
              </w:rPr>
              <w:t xml:space="preserve">Primario </w:t>
            </w:r>
          </w:p>
        </w:tc>
        <w:tc>
          <w:tcPr>
            <w:tcW w:w="516" w:type="pct"/>
            <w:tcBorders>
              <w:top w:val="single" w:sz="4" w:space="0" w:color="BFBFBF" w:themeColor="background1" w:themeShade="BF"/>
              <w:lef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color w:val="000000"/>
                <w:sz w:val="16"/>
                <w:szCs w:val="16"/>
              </w:rPr>
            </w:pPr>
            <w:r>
              <w:rPr>
                <w:rFonts w:cs="Arial"/>
                <w:color w:val="000000"/>
                <w:sz w:val="16"/>
                <w:szCs w:val="16"/>
              </w:rPr>
              <w:t>59</w:t>
            </w:r>
          </w:p>
        </w:tc>
        <w:tc>
          <w:tcPr>
            <w:tcW w:w="502" w:type="pct"/>
            <w:tcBorders>
              <w:top w:val="single" w:sz="4" w:space="0" w:color="BFBFBF" w:themeColor="background1" w:themeShade="BF"/>
              <w:right w:val="single" w:sz="4" w:space="0" w:color="BFBFBF" w:themeColor="background1" w:themeShade="BF"/>
            </w:tcBorders>
            <w:hideMark/>
          </w:tcPr>
          <w:p w:rsidR="0063744A" w:rsidRPr="006F773D" w:rsidRDefault="00F536FB" w:rsidP="00996F20">
            <w:pPr>
              <w:widowControl w:val="0"/>
              <w:spacing w:line="240" w:lineRule="exact"/>
              <w:ind w:right="170"/>
              <w:jc w:val="right"/>
              <w:rPr>
                <w:rFonts w:cs="Arial"/>
                <w:color w:val="000000"/>
                <w:sz w:val="16"/>
                <w:szCs w:val="16"/>
              </w:rPr>
            </w:pPr>
            <w:r>
              <w:rPr>
                <w:rFonts w:cs="Arial"/>
                <w:color w:val="000000"/>
                <w:sz w:val="16"/>
                <w:szCs w:val="16"/>
              </w:rPr>
              <w:t>1,1</w:t>
            </w:r>
          </w:p>
        </w:tc>
        <w:tc>
          <w:tcPr>
            <w:tcW w:w="550" w:type="pct"/>
            <w:tcBorders>
              <w:top w:val="single" w:sz="4" w:space="0" w:color="BFBFBF" w:themeColor="background1" w:themeShade="BF"/>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59</w:t>
            </w:r>
          </w:p>
        </w:tc>
        <w:tc>
          <w:tcPr>
            <w:tcW w:w="502" w:type="pct"/>
            <w:tcBorders>
              <w:top w:val="single" w:sz="4" w:space="0" w:color="BFBFBF" w:themeColor="background1" w:themeShade="BF"/>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1,2</w:t>
            </w:r>
          </w:p>
        </w:tc>
        <w:tc>
          <w:tcPr>
            <w:tcW w:w="501" w:type="pct"/>
            <w:tcBorders>
              <w:top w:val="single" w:sz="4" w:space="0" w:color="BFBFBF" w:themeColor="background1" w:themeShade="BF"/>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0</w:t>
            </w:r>
          </w:p>
        </w:tc>
        <w:tc>
          <w:tcPr>
            <w:tcW w:w="499" w:type="pct"/>
            <w:tcBorders>
              <w:top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0,0</w:t>
            </w:r>
          </w:p>
        </w:tc>
      </w:tr>
      <w:tr w:rsidR="0063744A" w:rsidRPr="00506010" w:rsidTr="00D122F5">
        <w:trPr>
          <w:jc w:val="center"/>
        </w:trPr>
        <w:tc>
          <w:tcPr>
            <w:tcW w:w="927" w:type="pct"/>
            <w:tcBorders>
              <w:right w:val="single" w:sz="4" w:space="0" w:color="BFBFBF" w:themeColor="background1" w:themeShade="BF"/>
            </w:tcBorders>
            <w:hideMark/>
          </w:tcPr>
          <w:p w:rsidR="0063744A" w:rsidRPr="00506010" w:rsidRDefault="0063744A" w:rsidP="00996F20">
            <w:pPr>
              <w:widowControl w:val="0"/>
              <w:spacing w:line="240" w:lineRule="exact"/>
              <w:rPr>
                <w:rFonts w:cs="Arial"/>
                <w:sz w:val="16"/>
                <w:szCs w:val="16"/>
              </w:rPr>
            </w:pPr>
            <w:r>
              <w:rPr>
                <w:rFonts w:cs="Arial"/>
                <w:sz w:val="16"/>
                <w:szCs w:val="16"/>
              </w:rPr>
              <w:t>Industria</w:t>
            </w:r>
          </w:p>
        </w:tc>
        <w:tc>
          <w:tcPr>
            <w:tcW w:w="516" w:type="pct"/>
            <w:tcBorders>
              <w:lef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color w:val="000000"/>
                <w:sz w:val="16"/>
                <w:szCs w:val="16"/>
              </w:rPr>
            </w:pPr>
            <w:r>
              <w:rPr>
                <w:rFonts w:cs="Arial"/>
                <w:color w:val="000000"/>
                <w:sz w:val="16"/>
                <w:szCs w:val="16"/>
              </w:rPr>
              <w:t>1.715</w:t>
            </w:r>
          </w:p>
        </w:tc>
        <w:tc>
          <w:tcPr>
            <w:tcW w:w="502" w:type="pct"/>
            <w:tcBorders>
              <w:right w:val="single" w:sz="4" w:space="0" w:color="BFBFBF" w:themeColor="background1" w:themeShade="BF"/>
            </w:tcBorders>
            <w:hideMark/>
          </w:tcPr>
          <w:p w:rsidR="0063744A" w:rsidRPr="006F773D" w:rsidRDefault="00F536FB" w:rsidP="00996F20">
            <w:pPr>
              <w:widowControl w:val="0"/>
              <w:spacing w:line="240" w:lineRule="exact"/>
              <w:ind w:right="170"/>
              <w:jc w:val="right"/>
              <w:rPr>
                <w:rFonts w:cs="Arial"/>
                <w:color w:val="000000"/>
                <w:sz w:val="16"/>
                <w:szCs w:val="16"/>
              </w:rPr>
            </w:pPr>
            <w:r>
              <w:rPr>
                <w:rFonts w:cs="Arial"/>
                <w:color w:val="000000"/>
                <w:sz w:val="16"/>
                <w:szCs w:val="16"/>
              </w:rPr>
              <w:t>30,8</w:t>
            </w:r>
          </w:p>
        </w:tc>
        <w:tc>
          <w:tcPr>
            <w:tcW w:w="550" w:type="pct"/>
            <w:tcBorders>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1.470</w:t>
            </w:r>
          </w:p>
        </w:tc>
        <w:tc>
          <w:tcPr>
            <w:tcW w:w="502" w:type="pct"/>
            <w:tcBorders>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29,4</w:t>
            </w:r>
          </w:p>
        </w:tc>
        <w:tc>
          <w:tcPr>
            <w:tcW w:w="501" w:type="pct"/>
            <w:tcBorders>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109</w:t>
            </w:r>
          </w:p>
        </w:tc>
        <w:tc>
          <w:tcPr>
            <w:tcW w:w="502" w:type="pct"/>
            <w:tcBorders>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56,8</w:t>
            </w:r>
          </w:p>
        </w:tc>
        <w:tc>
          <w:tcPr>
            <w:tcW w:w="501" w:type="pct"/>
            <w:tcBorders>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136</w:t>
            </w:r>
          </w:p>
        </w:tc>
        <w:tc>
          <w:tcPr>
            <w:tcW w:w="499" w:type="pct"/>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35,8</w:t>
            </w:r>
          </w:p>
        </w:tc>
      </w:tr>
      <w:tr w:rsidR="0063744A" w:rsidRPr="00506010" w:rsidTr="00D122F5">
        <w:trPr>
          <w:jc w:val="center"/>
        </w:trPr>
        <w:tc>
          <w:tcPr>
            <w:tcW w:w="927" w:type="pct"/>
            <w:tcBorders>
              <w:right w:val="single" w:sz="4" w:space="0" w:color="BFBFBF" w:themeColor="background1" w:themeShade="BF"/>
            </w:tcBorders>
            <w:hideMark/>
          </w:tcPr>
          <w:p w:rsidR="0063744A" w:rsidRPr="00506010" w:rsidRDefault="0063744A" w:rsidP="00996F20">
            <w:pPr>
              <w:widowControl w:val="0"/>
              <w:spacing w:line="240" w:lineRule="exact"/>
              <w:rPr>
                <w:rFonts w:cs="Arial"/>
                <w:sz w:val="16"/>
                <w:szCs w:val="16"/>
              </w:rPr>
            </w:pPr>
            <w:r>
              <w:rPr>
                <w:rFonts w:cs="Arial"/>
                <w:sz w:val="16"/>
                <w:szCs w:val="16"/>
              </w:rPr>
              <w:t>Construcción</w:t>
            </w:r>
          </w:p>
        </w:tc>
        <w:tc>
          <w:tcPr>
            <w:tcW w:w="516" w:type="pct"/>
            <w:tcBorders>
              <w:lef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color w:val="000000"/>
                <w:sz w:val="16"/>
                <w:szCs w:val="16"/>
              </w:rPr>
            </w:pPr>
            <w:r>
              <w:rPr>
                <w:rFonts w:cs="Arial"/>
                <w:color w:val="000000"/>
                <w:sz w:val="16"/>
                <w:szCs w:val="16"/>
              </w:rPr>
              <w:t>196</w:t>
            </w:r>
          </w:p>
        </w:tc>
        <w:tc>
          <w:tcPr>
            <w:tcW w:w="502" w:type="pct"/>
            <w:tcBorders>
              <w:right w:val="single" w:sz="4" w:space="0" w:color="BFBFBF" w:themeColor="background1" w:themeShade="BF"/>
            </w:tcBorders>
            <w:hideMark/>
          </w:tcPr>
          <w:p w:rsidR="0063744A" w:rsidRPr="006F773D" w:rsidRDefault="00F536FB" w:rsidP="00996F20">
            <w:pPr>
              <w:widowControl w:val="0"/>
              <w:spacing w:line="240" w:lineRule="exact"/>
              <w:ind w:right="170"/>
              <w:jc w:val="right"/>
              <w:rPr>
                <w:rFonts w:cs="Arial"/>
                <w:color w:val="000000"/>
                <w:sz w:val="16"/>
                <w:szCs w:val="16"/>
              </w:rPr>
            </w:pPr>
            <w:r>
              <w:rPr>
                <w:rFonts w:cs="Arial"/>
                <w:color w:val="000000"/>
                <w:sz w:val="16"/>
                <w:szCs w:val="16"/>
              </w:rPr>
              <w:t>3,5</w:t>
            </w:r>
          </w:p>
        </w:tc>
        <w:tc>
          <w:tcPr>
            <w:tcW w:w="550" w:type="pct"/>
            <w:tcBorders>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151</w:t>
            </w:r>
          </w:p>
        </w:tc>
        <w:tc>
          <w:tcPr>
            <w:tcW w:w="502" w:type="pct"/>
            <w:tcBorders>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3,0</w:t>
            </w:r>
          </w:p>
        </w:tc>
        <w:tc>
          <w:tcPr>
            <w:tcW w:w="501" w:type="pct"/>
            <w:tcBorders>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12</w:t>
            </w:r>
          </w:p>
        </w:tc>
        <w:tc>
          <w:tcPr>
            <w:tcW w:w="502" w:type="pct"/>
            <w:tcBorders>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6,3</w:t>
            </w:r>
          </w:p>
        </w:tc>
        <w:tc>
          <w:tcPr>
            <w:tcW w:w="501" w:type="pct"/>
            <w:tcBorders>
              <w:lef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33</w:t>
            </w:r>
          </w:p>
        </w:tc>
        <w:tc>
          <w:tcPr>
            <w:tcW w:w="499" w:type="pct"/>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8,7</w:t>
            </w:r>
          </w:p>
        </w:tc>
      </w:tr>
      <w:tr w:rsidR="0063744A" w:rsidRPr="00506010" w:rsidTr="00D122F5">
        <w:trPr>
          <w:jc w:val="center"/>
        </w:trPr>
        <w:tc>
          <w:tcPr>
            <w:tcW w:w="927" w:type="pct"/>
            <w:tcBorders>
              <w:bottom w:val="single" w:sz="4" w:space="0" w:color="BFBFBF" w:themeColor="background1" w:themeShade="BF"/>
              <w:right w:val="single" w:sz="4" w:space="0" w:color="BFBFBF" w:themeColor="background1" w:themeShade="BF"/>
            </w:tcBorders>
            <w:hideMark/>
          </w:tcPr>
          <w:p w:rsidR="0063744A" w:rsidRPr="00506010" w:rsidRDefault="0063744A" w:rsidP="00996F20">
            <w:pPr>
              <w:widowControl w:val="0"/>
              <w:spacing w:line="240" w:lineRule="exact"/>
              <w:rPr>
                <w:rFonts w:cs="Arial"/>
                <w:sz w:val="16"/>
                <w:szCs w:val="16"/>
              </w:rPr>
            </w:pPr>
            <w:r>
              <w:rPr>
                <w:rFonts w:cs="Arial"/>
                <w:sz w:val="16"/>
                <w:szCs w:val="16"/>
              </w:rPr>
              <w:t>Servicios</w:t>
            </w:r>
          </w:p>
        </w:tc>
        <w:tc>
          <w:tcPr>
            <w:tcW w:w="516" w:type="pct"/>
            <w:tcBorders>
              <w:left w:val="single" w:sz="4" w:space="0" w:color="BFBFBF" w:themeColor="background1" w:themeShade="BF"/>
              <w:bottom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color w:val="000000"/>
                <w:sz w:val="16"/>
                <w:szCs w:val="16"/>
              </w:rPr>
            </w:pPr>
            <w:r>
              <w:rPr>
                <w:rFonts w:cs="Arial"/>
                <w:color w:val="000000"/>
                <w:sz w:val="16"/>
                <w:szCs w:val="16"/>
              </w:rPr>
              <w:t>3.600</w:t>
            </w:r>
          </w:p>
        </w:tc>
        <w:tc>
          <w:tcPr>
            <w:tcW w:w="502" w:type="pct"/>
            <w:tcBorders>
              <w:bottom w:val="single" w:sz="4" w:space="0" w:color="BFBFBF" w:themeColor="background1" w:themeShade="BF"/>
              <w:right w:val="single" w:sz="4" w:space="0" w:color="BFBFBF" w:themeColor="background1" w:themeShade="BF"/>
            </w:tcBorders>
            <w:hideMark/>
          </w:tcPr>
          <w:p w:rsidR="0063744A" w:rsidRPr="006F773D" w:rsidRDefault="00F536FB" w:rsidP="00996F20">
            <w:pPr>
              <w:widowControl w:val="0"/>
              <w:spacing w:line="240" w:lineRule="exact"/>
              <w:ind w:right="170"/>
              <w:jc w:val="right"/>
              <w:rPr>
                <w:rFonts w:cs="Arial"/>
                <w:color w:val="000000"/>
                <w:sz w:val="16"/>
                <w:szCs w:val="16"/>
              </w:rPr>
            </w:pPr>
            <w:r>
              <w:rPr>
                <w:rFonts w:cs="Arial"/>
                <w:color w:val="000000"/>
                <w:sz w:val="16"/>
                <w:szCs w:val="16"/>
              </w:rPr>
              <w:t>64,6</w:t>
            </w:r>
          </w:p>
        </w:tc>
        <w:tc>
          <w:tcPr>
            <w:tcW w:w="550" w:type="pct"/>
            <w:tcBorders>
              <w:left w:val="single" w:sz="4" w:space="0" w:color="BFBFBF" w:themeColor="background1" w:themeShade="BF"/>
              <w:bottom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3.318</w:t>
            </w:r>
          </w:p>
        </w:tc>
        <w:tc>
          <w:tcPr>
            <w:tcW w:w="502" w:type="pct"/>
            <w:tcBorders>
              <w:bottom w:val="single" w:sz="4" w:space="0" w:color="BFBFBF" w:themeColor="background1" w:themeShade="BF"/>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66,4</w:t>
            </w:r>
          </w:p>
        </w:tc>
        <w:tc>
          <w:tcPr>
            <w:tcW w:w="501" w:type="pct"/>
            <w:tcBorders>
              <w:left w:val="single" w:sz="4" w:space="0" w:color="BFBFBF" w:themeColor="background1" w:themeShade="BF"/>
              <w:bottom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71</w:t>
            </w:r>
          </w:p>
        </w:tc>
        <w:tc>
          <w:tcPr>
            <w:tcW w:w="502" w:type="pct"/>
            <w:tcBorders>
              <w:bottom w:val="single" w:sz="4" w:space="0" w:color="BFBFBF" w:themeColor="background1" w:themeShade="BF"/>
              <w:right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37,0</w:t>
            </w:r>
          </w:p>
        </w:tc>
        <w:tc>
          <w:tcPr>
            <w:tcW w:w="501" w:type="pct"/>
            <w:tcBorders>
              <w:left w:val="single" w:sz="4" w:space="0" w:color="BFBFBF" w:themeColor="background1" w:themeShade="BF"/>
              <w:bottom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211</w:t>
            </w:r>
          </w:p>
        </w:tc>
        <w:tc>
          <w:tcPr>
            <w:tcW w:w="499" w:type="pct"/>
            <w:tcBorders>
              <w:bottom w:val="single" w:sz="4" w:space="0" w:color="BFBFBF" w:themeColor="background1" w:themeShade="BF"/>
            </w:tcBorders>
            <w:vAlign w:val="bottom"/>
            <w:hideMark/>
          </w:tcPr>
          <w:p w:rsidR="0063744A" w:rsidRPr="0063744A" w:rsidRDefault="0063744A" w:rsidP="00996F20">
            <w:pPr>
              <w:widowControl w:val="0"/>
              <w:spacing w:line="240" w:lineRule="exact"/>
              <w:ind w:right="170"/>
              <w:jc w:val="right"/>
              <w:rPr>
                <w:rFonts w:cs="Arial"/>
                <w:color w:val="000000"/>
                <w:sz w:val="16"/>
                <w:szCs w:val="16"/>
              </w:rPr>
            </w:pPr>
            <w:r w:rsidRPr="0063744A">
              <w:rPr>
                <w:rFonts w:cs="Arial"/>
                <w:color w:val="000000"/>
                <w:sz w:val="16"/>
                <w:szCs w:val="16"/>
              </w:rPr>
              <w:t>55,5</w:t>
            </w:r>
          </w:p>
        </w:tc>
      </w:tr>
      <w:tr w:rsidR="0063744A" w:rsidRPr="00506010" w:rsidTr="00D122F5">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506010" w:rsidRDefault="0063744A" w:rsidP="00996F20">
            <w:pPr>
              <w:widowControl w:val="0"/>
              <w:spacing w:line="240" w:lineRule="exact"/>
              <w:rPr>
                <w:rFonts w:cs="Arial"/>
                <w:b/>
                <w:bCs/>
                <w:sz w:val="16"/>
                <w:szCs w:val="16"/>
              </w:rPr>
            </w:pPr>
            <w:r w:rsidRPr="00506010">
              <w:rPr>
                <w:rFonts w:cs="Arial"/>
                <w:b/>
                <w:bCs/>
                <w:sz w:val="16"/>
                <w:szCs w:val="16"/>
              </w:rPr>
              <w:t>TOTAL</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Pr>
                <w:rFonts w:cs="Arial"/>
                <w:b/>
                <w:bCs/>
                <w:color w:val="000000"/>
                <w:sz w:val="16"/>
                <w:szCs w:val="16"/>
              </w:rPr>
              <w:t>5.57</w:t>
            </w:r>
            <w:r w:rsidR="00F536FB">
              <w:rPr>
                <w:rFonts w:cs="Arial"/>
                <w:b/>
                <w:bCs/>
                <w:color w:val="000000"/>
                <w:sz w:val="16"/>
                <w:szCs w:val="16"/>
              </w:rPr>
              <w:t>1</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sidRPr="0063744A">
              <w:rPr>
                <w:rFonts w:cs="Arial"/>
                <w:b/>
                <w:bCs/>
                <w:color w:val="000000"/>
                <w:sz w:val="16"/>
                <w:szCs w:val="16"/>
              </w:rPr>
              <w:t>4.999</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506010" w:rsidRDefault="0063744A" w:rsidP="00996F20">
            <w:pPr>
              <w:widowControl w:val="0"/>
              <w:spacing w:line="240" w:lineRule="exact"/>
              <w:ind w:right="170"/>
              <w:jc w:val="right"/>
              <w:rPr>
                <w:rFonts w:cs="Arial"/>
                <w:b/>
                <w:bCs/>
                <w:sz w:val="16"/>
                <w:szCs w:val="16"/>
              </w:rPr>
            </w:pPr>
            <w:r w:rsidRPr="0063744A">
              <w:rPr>
                <w:rFonts w:cs="Arial"/>
                <w:b/>
                <w:bCs/>
                <w:color w:val="000000"/>
                <w:sz w:val="16"/>
                <w:szCs w:val="16"/>
              </w:rPr>
              <w:t>192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Pr>
                <w:rFonts w:cs="Arial"/>
                <w:b/>
                <w:bCs/>
                <w:color w:val="000000"/>
                <w:sz w:val="16"/>
                <w:szCs w:val="16"/>
              </w:rPr>
              <w:t>100</w:t>
            </w:r>
            <w:r w:rsidR="007F441F">
              <w:rPr>
                <w:rFonts w:cs="Arial"/>
                <w:b/>
                <w:bCs/>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Pr>
                <w:rFonts w:cs="Arial"/>
                <w:b/>
                <w:bCs/>
                <w:color w:val="000000"/>
                <w:sz w:val="16"/>
                <w:szCs w:val="16"/>
              </w:rPr>
              <w:t>380</w:t>
            </w:r>
          </w:p>
        </w:tc>
        <w:tc>
          <w:tcPr>
            <w:tcW w:w="499" w:type="pct"/>
            <w:tcBorders>
              <w:top w:val="single" w:sz="4" w:space="0" w:color="BFBFBF" w:themeColor="background1" w:themeShade="BF"/>
              <w:bottom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Pr>
                <w:rFonts w:cs="Arial"/>
                <w:b/>
                <w:bCs/>
                <w:color w:val="000000"/>
                <w:sz w:val="16"/>
                <w:szCs w:val="16"/>
              </w:rPr>
              <w:t>100</w:t>
            </w:r>
            <w:r w:rsidR="007F441F">
              <w:rPr>
                <w:rFonts w:cs="Arial"/>
                <w:b/>
                <w:bCs/>
                <w:color w:val="000000"/>
                <w:sz w:val="16"/>
                <w:szCs w:val="16"/>
              </w:rPr>
              <w:t>,0</w:t>
            </w:r>
          </w:p>
        </w:tc>
      </w:tr>
      <w:tr w:rsidR="0063744A" w:rsidRPr="00506010" w:rsidTr="00D122F5">
        <w:trPr>
          <w:jc w:val="center"/>
        </w:trPr>
        <w:tc>
          <w:tcPr>
            <w:tcW w:w="927"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63744A" w:rsidRDefault="0063744A" w:rsidP="00996F20">
            <w:pPr>
              <w:widowControl w:val="0"/>
              <w:spacing w:line="240" w:lineRule="exact"/>
              <w:jc w:val="center"/>
              <w:rPr>
                <w:rFonts w:cs="Arial"/>
                <w:b/>
                <w:sz w:val="16"/>
                <w:szCs w:val="16"/>
              </w:rPr>
            </w:pPr>
          </w:p>
        </w:tc>
        <w:tc>
          <w:tcPr>
            <w:tcW w:w="101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rPr>
            </w:pPr>
          </w:p>
        </w:tc>
        <w:tc>
          <w:tcPr>
            <w:tcW w:w="1052"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rPr>
            </w:pPr>
          </w:p>
        </w:tc>
        <w:tc>
          <w:tcPr>
            <w:tcW w:w="1003"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lang w:val="en-GB"/>
              </w:rPr>
            </w:pPr>
          </w:p>
        </w:tc>
        <w:tc>
          <w:tcPr>
            <w:tcW w:w="100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lang w:val="en-GB"/>
              </w:rPr>
            </w:pPr>
          </w:p>
        </w:tc>
      </w:tr>
      <w:tr w:rsidR="0063744A" w:rsidRPr="00506010"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3744A" w:rsidRPr="00394209" w:rsidRDefault="0063744A" w:rsidP="00996F20">
            <w:pPr>
              <w:widowControl w:val="0"/>
              <w:spacing w:line="240" w:lineRule="exact"/>
              <w:jc w:val="center"/>
              <w:rPr>
                <w:rFonts w:cs="Arial"/>
                <w:b/>
                <w:sz w:val="16"/>
                <w:szCs w:val="16"/>
              </w:rPr>
            </w:pPr>
            <w:r>
              <w:rPr>
                <w:rFonts w:cs="Arial"/>
                <w:b/>
                <w:sz w:val="16"/>
                <w:szCs w:val="16"/>
              </w:rPr>
              <w:t>BIZKAIA</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sidRPr="00506010">
              <w:rPr>
                <w:rFonts w:cs="Arial"/>
                <w:b/>
                <w:bCs/>
                <w:sz w:val="16"/>
                <w:szCs w:val="16"/>
              </w:rPr>
              <w:t>TOTAL</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1E5608">
            <w:pPr>
              <w:widowControl w:val="0"/>
              <w:spacing w:line="240" w:lineRule="exact"/>
              <w:jc w:val="center"/>
              <w:rPr>
                <w:rFonts w:cs="Arial"/>
                <w:b/>
                <w:bCs/>
                <w:sz w:val="16"/>
                <w:szCs w:val="16"/>
              </w:rPr>
            </w:pPr>
            <w:proofErr w:type="spellStart"/>
            <w:r w:rsidRPr="00506010">
              <w:rPr>
                <w:rFonts w:cs="Arial"/>
                <w:b/>
                <w:bCs/>
                <w:sz w:val="16"/>
                <w:szCs w:val="16"/>
              </w:rPr>
              <w:t>S.</w:t>
            </w:r>
            <w:r>
              <w:rPr>
                <w:rFonts w:cs="Arial"/>
                <w:b/>
                <w:bCs/>
                <w:sz w:val="16"/>
                <w:szCs w:val="16"/>
              </w:rPr>
              <w:t>Coop</w:t>
            </w:r>
            <w:proofErr w:type="spellEnd"/>
            <w:r w:rsidRPr="00506010">
              <w:rPr>
                <w:rFonts w:cs="Arial"/>
                <w:b/>
                <w:bCs/>
                <w:sz w:val="16"/>
                <w:szCs w:val="16"/>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sidRPr="00506010">
              <w:rPr>
                <w:rFonts w:cs="Arial"/>
                <w:b/>
                <w:bCs/>
                <w:sz w:val="16"/>
                <w:szCs w:val="16"/>
                <w:lang w:val="en-GB"/>
              </w:rPr>
              <w:t>S.A.L.es</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sidRPr="00506010">
              <w:rPr>
                <w:rFonts w:cs="Arial"/>
                <w:b/>
                <w:bCs/>
                <w:sz w:val="16"/>
                <w:szCs w:val="16"/>
                <w:lang w:val="en-GB"/>
              </w:rPr>
              <w:t>S.L.L.es</w:t>
            </w:r>
          </w:p>
        </w:tc>
      </w:tr>
      <w:tr w:rsidR="0063744A" w:rsidRPr="00506010"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r>
      <w:tr w:rsidR="00590197" w:rsidRPr="00506010" w:rsidTr="00D122F5">
        <w:trPr>
          <w:jc w:val="center"/>
        </w:trPr>
        <w:tc>
          <w:tcPr>
            <w:tcW w:w="927" w:type="pct"/>
            <w:tcBorders>
              <w:top w:val="single" w:sz="4" w:space="0" w:color="BFBFBF" w:themeColor="background1" w:themeShade="BF"/>
              <w:right w:val="single" w:sz="4" w:space="0" w:color="BFBFBF" w:themeColor="background1" w:themeShade="BF"/>
            </w:tcBorders>
            <w:hideMark/>
          </w:tcPr>
          <w:p w:rsidR="00590197" w:rsidRPr="00506010" w:rsidRDefault="00590197" w:rsidP="00996F20">
            <w:pPr>
              <w:widowControl w:val="0"/>
              <w:spacing w:line="240" w:lineRule="exact"/>
              <w:rPr>
                <w:rFonts w:cs="Arial"/>
                <w:sz w:val="16"/>
                <w:szCs w:val="16"/>
              </w:rPr>
            </w:pPr>
            <w:r>
              <w:rPr>
                <w:rFonts w:cs="Arial"/>
                <w:sz w:val="16"/>
                <w:szCs w:val="16"/>
              </w:rPr>
              <w:t xml:space="preserve">Primario </w:t>
            </w:r>
          </w:p>
        </w:tc>
        <w:tc>
          <w:tcPr>
            <w:tcW w:w="516" w:type="pct"/>
            <w:tcBorders>
              <w:top w:val="single" w:sz="4" w:space="0" w:color="BFBFBF" w:themeColor="background1" w:themeShade="BF"/>
              <w:left w:val="single" w:sz="4" w:space="0" w:color="BFBFBF" w:themeColor="background1" w:themeShade="BF"/>
            </w:tcBorders>
            <w:hideMark/>
          </w:tcPr>
          <w:p w:rsidR="00590197" w:rsidRPr="006F773D" w:rsidRDefault="00590197" w:rsidP="00996F20">
            <w:pPr>
              <w:widowControl w:val="0"/>
              <w:spacing w:line="240" w:lineRule="exact"/>
              <w:ind w:right="170"/>
              <w:jc w:val="right"/>
              <w:rPr>
                <w:rFonts w:cs="Arial"/>
                <w:color w:val="000000"/>
                <w:sz w:val="16"/>
                <w:szCs w:val="16"/>
              </w:rPr>
            </w:pPr>
            <w:r>
              <w:rPr>
                <w:rFonts w:cs="Arial"/>
                <w:color w:val="000000"/>
                <w:sz w:val="16"/>
                <w:szCs w:val="16"/>
              </w:rPr>
              <w:t>101</w:t>
            </w:r>
          </w:p>
        </w:tc>
        <w:tc>
          <w:tcPr>
            <w:tcW w:w="502" w:type="pct"/>
            <w:tcBorders>
              <w:top w:val="single" w:sz="4" w:space="0" w:color="BFBFBF" w:themeColor="background1" w:themeShade="BF"/>
              <w:right w:val="single" w:sz="4" w:space="0" w:color="BFBFBF" w:themeColor="background1" w:themeShade="BF"/>
            </w:tcBorders>
            <w:hideMark/>
          </w:tcPr>
          <w:p w:rsidR="00590197" w:rsidRPr="006F773D" w:rsidRDefault="00182900" w:rsidP="00996F20">
            <w:pPr>
              <w:widowControl w:val="0"/>
              <w:spacing w:line="240" w:lineRule="exact"/>
              <w:ind w:right="170"/>
              <w:jc w:val="right"/>
              <w:rPr>
                <w:rFonts w:cs="Arial"/>
                <w:color w:val="000000"/>
                <w:sz w:val="16"/>
                <w:szCs w:val="16"/>
              </w:rPr>
            </w:pPr>
            <w:r>
              <w:rPr>
                <w:rFonts w:cs="Arial"/>
                <w:color w:val="000000"/>
                <w:sz w:val="16"/>
                <w:szCs w:val="16"/>
              </w:rPr>
              <w:t>0,5</w:t>
            </w:r>
          </w:p>
        </w:tc>
        <w:tc>
          <w:tcPr>
            <w:tcW w:w="550" w:type="pct"/>
            <w:tcBorders>
              <w:top w:val="single" w:sz="4" w:space="0" w:color="BFBFBF" w:themeColor="background1" w:themeShade="BF"/>
              <w:left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92</w:t>
            </w:r>
          </w:p>
        </w:tc>
        <w:tc>
          <w:tcPr>
            <w:tcW w:w="502" w:type="pct"/>
            <w:tcBorders>
              <w:top w:val="single" w:sz="4" w:space="0" w:color="BFBFBF" w:themeColor="background1" w:themeShade="BF"/>
              <w:right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0,5</w:t>
            </w:r>
          </w:p>
        </w:tc>
        <w:tc>
          <w:tcPr>
            <w:tcW w:w="501" w:type="pct"/>
            <w:tcBorders>
              <w:top w:val="single" w:sz="4" w:space="0" w:color="BFBFBF" w:themeColor="background1" w:themeShade="BF"/>
              <w:left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590197" w:rsidRPr="000B5689" w:rsidRDefault="00590197" w:rsidP="00996F20">
            <w:pPr>
              <w:widowControl w:val="0"/>
              <w:spacing w:line="240" w:lineRule="exact"/>
              <w:ind w:right="170"/>
              <w:jc w:val="right"/>
              <w:rPr>
                <w:rFonts w:cs="Arial"/>
                <w:color w:val="000000"/>
                <w:sz w:val="16"/>
                <w:szCs w:val="16"/>
              </w:rPr>
            </w:pPr>
            <w:r w:rsidRPr="000B5689">
              <w:rPr>
                <w:rFonts w:cs="Arial"/>
                <w:color w:val="000000"/>
                <w:sz w:val="16"/>
                <w:szCs w:val="16"/>
              </w:rPr>
              <w:t>9</w:t>
            </w:r>
          </w:p>
        </w:tc>
        <w:tc>
          <w:tcPr>
            <w:tcW w:w="499" w:type="pct"/>
            <w:tcBorders>
              <w:top w:val="single" w:sz="4" w:space="0" w:color="BFBFBF" w:themeColor="background1" w:themeShade="BF"/>
            </w:tcBorders>
            <w:vAlign w:val="bottom"/>
            <w:hideMark/>
          </w:tcPr>
          <w:p w:rsidR="00590197" w:rsidRPr="00590197" w:rsidRDefault="00590197" w:rsidP="00996F20">
            <w:pPr>
              <w:widowControl w:val="0"/>
              <w:spacing w:line="240" w:lineRule="exact"/>
              <w:ind w:right="170"/>
              <w:jc w:val="right"/>
              <w:rPr>
                <w:rFonts w:cs="Arial"/>
                <w:color w:val="000000"/>
                <w:sz w:val="16"/>
                <w:szCs w:val="16"/>
              </w:rPr>
            </w:pPr>
            <w:r w:rsidRPr="00590197">
              <w:rPr>
                <w:rFonts w:cs="Arial"/>
                <w:color w:val="000000"/>
                <w:sz w:val="16"/>
                <w:szCs w:val="16"/>
              </w:rPr>
              <w:t>0,5</w:t>
            </w:r>
          </w:p>
        </w:tc>
      </w:tr>
      <w:tr w:rsidR="00590197" w:rsidRPr="00506010" w:rsidTr="00D122F5">
        <w:trPr>
          <w:jc w:val="center"/>
        </w:trPr>
        <w:tc>
          <w:tcPr>
            <w:tcW w:w="927" w:type="pct"/>
            <w:tcBorders>
              <w:right w:val="single" w:sz="4" w:space="0" w:color="BFBFBF" w:themeColor="background1" w:themeShade="BF"/>
            </w:tcBorders>
            <w:hideMark/>
          </w:tcPr>
          <w:p w:rsidR="00590197" w:rsidRPr="00506010" w:rsidRDefault="00590197" w:rsidP="00996F20">
            <w:pPr>
              <w:widowControl w:val="0"/>
              <w:spacing w:line="240" w:lineRule="exact"/>
              <w:rPr>
                <w:rFonts w:cs="Arial"/>
                <w:sz w:val="16"/>
                <w:szCs w:val="16"/>
              </w:rPr>
            </w:pPr>
            <w:r>
              <w:rPr>
                <w:rFonts w:cs="Arial"/>
                <w:sz w:val="16"/>
                <w:szCs w:val="16"/>
              </w:rPr>
              <w:t>Industria</w:t>
            </w:r>
          </w:p>
        </w:tc>
        <w:tc>
          <w:tcPr>
            <w:tcW w:w="516" w:type="pct"/>
            <w:tcBorders>
              <w:left w:val="single" w:sz="4" w:space="0" w:color="BFBFBF" w:themeColor="background1" w:themeShade="BF"/>
            </w:tcBorders>
            <w:hideMark/>
          </w:tcPr>
          <w:p w:rsidR="00590197" w:rsidRPr="006F773D" w:rsidRDefault="00590197" w:rsidP="00996F20">
            <w:pPr>
              <w:widowControl w:val="0"/>
              <w:spacing w:line="240" w:lineRule="exact"/>
              <w:ind w:right="170"/>
              <w:jc w:val="right"/>
              <w:rPr>
                <w:rFonts w:cs="Arial"/>
                <w:color w:val="000000"/>
                <w:sz w:val="16"/>
                <w:szCs w:val="16"/>
              </w:rPr>
            </w:pPr>
            <w:r>
              <w:rPr>
                <w:rFonts w:cs="Arial"/>
                <w:color w:val="000000"/>
                <w:sz w:val="16"/>
                <w:szCs w:val="16"/>
              </w:rPr>
              <w:t>7.153</w:t>
            </w:r>
          </w:p>
        </w:tc>
        <w:tc>
          <w:tcPr>
            <w:tcW w:w="502" w:type="pct"/>
            <w:tcBorders>
              <w:right w:val="single" w:sz="4" w:space="0" w:color="BFBFBF" w:themeColor="background1" w:themeShade="BF"/>
            </w:tcBorders>
            <w:hideMark/>
          </w:tcPr>
          <w:p w:rsidR="00590197" w:rsidRPr="006F773D" w:rsidRDefault="00182900" w:rsidP="00996F20">
            <w:pPr>
              <w:widowControl w:val="0"/>
              <w:spacing w:line="240" w:lineRule="exact"/>
              <w:ind w:right="170"/>
              <w:jc w:val="right"/>
              <w:rPr>
                <w:rFonts w:cs="Arial"/>
                <w:color w:val="000000"/>
                <w:sz w:val="16"/>
                <w:szCs w:val="16"/>
              </w:rPr>
            </w:pPr>
            <w:r>
              <w:rPr>
                <w:rFonts w:cs="Arial"/>
                <w:color w:val="000000"/>
                <w:sz w:val="16"/>
                <w:szCs w:val="16"/>
              </w:rPr>
              <w:t>33,6</w:t>
            </w:r>
          </w:p>
        </w:tc>
        <w:tc>
          <w:tcPr>
            <w:tcW w:w="550" w:type="pct"/>
            <w:tcBorders>
              <w:left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5.318</w:t>
            </w:r>
          </w:p>
        </w:tc>
        <w:tc>
          <w:tcPr>
            <w:tcW w:w="502" w:type="pct"/>
            <w:tcBorders>
              <w:right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29,5</w:t>
            </w:r>
          </w:p>
        </w:tc>
        <w:tc>
          <w:tcPr>
            <w:tcW w:w="501" w:type="pct"/>
            <w:tcBorders>
              <w:left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1.190</w:t>
            </w:r>
          </w:p>
        </w:tc>
        <w:tc>
          <w:tcPr>
            <w:tcW w:w="502" w:type="pct"/>
            <w:tcBorders>
              <w:right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78,7</w:t>
            </w:r>
          </w:p>
        </w:tc>
        <w:tc>
          <w:tcPr>
            <w:tcW w:w="501" w:type="pct"/>
            <w:tcBorders>
              <w:left w:val="single" w:sz="4" w:space="0" w:color="BFBFBF" w:themeColor="background1" w:themeShade="BF"/>
            </w:tcBorders>
            <w:vAlign w:val="bottom"/>
            <w:hideMark/>
          </w:tcPr>
          <w:p w:rsidR="00590197" w:rsidRPr="000B5689" w:rsidRDefault="00590197" w:rsidP="00996F20">
            <w:pPr>
              <w:widowControl w:val="0"/>
              <w:spacing w:line="240" w:lineRule="exact"/>
              <w:ind w:right="170"/>
              <w:jc w:val="right"/>
              <w:rPr>
                <w:rFonts w:cs="Arial"/>
                <w:color w:val="000000"/>
                <w:sz w:val="16"/>
                <w:szCs w:val="16"/>
              </w:rPr>
            </w:pPr>
            <w:r w:rsidRPr="000B5689">
              <w:rPr>
                <w:rFonts w:cs="Arial"/>
                <w:color w:val="000000"/>
                <w:sz w:val="16"/>
                <w:szCs w:val="16"/>
              </w:rPr>
              <w:t>645</w:t>
            </w:r>
          </w:p>
        </w:tc>
        <w:tc>
          <w:tcPr>
            <w:tcW w:w="499" w:type="pct"/>
            <w:vAlign w:val="bottom"/>
            <w:hideMark/>
          </w:tcPr>
          <w:p w:rsidR="00590197" w:rsidRPr="00590197" w:rsidRDefault="00590197" w:rsidP="00996F20">
            <w:pPr>
              <w:widowControl w:val="0"/>
              <w:spacing w:line="240" w:lineRule="exact"/>
              <w:ind w:right="170"/>
              <w:jc w:val="right"/>
              <w:rPr>
                <w:rFonts w:cs="Arial"/>
                <w:color w:val="000000"/>
                <w:sz w:val="16"/>
                <w:szCs w:val="16"/>
              </w:rPr>
            </w:pPr>
            <w:r w:rsidRPr="00590197">
              <w:rPr>
                <w:rFonts w:cs="Arial"/>
                <w:color w:val="000000"/>
                <w:sz w:val="16"/>
                <w:szCs w:val="16"/>
              </w:rPr>
              <w:t>36,8</w:t>
            </w:r>
          </w:p>
        </w:tc>
      </w:tr>
      <w:tr w:rsidR="00590197" w:rsidRPr="00506010" w:rsidTr="00D122F5">
        <w:trPr>
          <w:jc w:val="center"/>
        </w:trPr>
        <w:tc>
          <w:tcPr>
            <w:tcW w:w="927" w:type="pct"/>
            <w:tcBorders>
              <w:right w:val="single" w:sz="4" w:space="0" w:color="BFBFBF" w:themeColor="background1" w:themeShade="BF"/>
            </w:tcBorders>
            <w:hideMark/>
          </w:tcPr>
          <w:p w:rsidR="00590197" w:rsidRPr="00506010" w:rsidRDefault="00590197" w:rsidP="00996F20">
            <w:pPr>
              <w:widowControl w:val="0"/>
              <w:spacing w:line="240" w:lineRule="exact"/>
              <w:rPr>
                <w:rFonts w:cs="Arial"/>
                <w:sz w:val="16"/>
                <w:szCs w:val="16"/>
              </w:rPr>
            </w:pPr>
            <w:r>
              <w:rPr>
                <w:rFonts w:cs="Arial"/>
                <w:sz w:val="16"/>
                <w:szCs w:val="16"/>
              </w:rPr>
              <w:t>Construcción</w:t>
            </w:r>
          </w:p>
        </w:tc>
        <w:tc>
          <w:tcPr>
            <w:tcW w:w="516" w:type="pct"/>
            <w:tcBorders>
              <w:left w:val="single" w:sz="4" w:space="0" w:color="BFBFBF" w:themeColor="background1" w:themeShade="BF"/>
            </w:tcBorders>
            <w:hideMark/>
          </w:tcPr>
          <w:p w:rsidR="00590197" w:rsidRPr="006F773D" w:rsidRDefault="00590197" w:rsidP="00996F20">
            <w:pPr>
              <w:widowControl w:val="0"/>
              <w:spacing w:line="240" w:lineRule="exact"/>
              <w:ind w:right="170"/>
              <w:jc w:val="right"/>
              <w:rPr>
                <w:rFonts w:cs="Arial"/>
                <w:color w:val="000000"/>
                <w:sz w:val="16"/>
                <w:szCs w:val="16"/>
              </w:rPr>
            </w:pPr>
            <w:r>
              <w:rPr>
                <w:rFonts w:cs="Arial"/>
                <w:color w:val="000000"/>
                <w:sz w:val="16"/>
                <w:szCs w:val="16"/>
              </w:rPr>
              <w:t>850</w:t>
            </w:r>
          </w:p>
        </w:tc>
        <w:tc>
          <w:tcPr>
            <w:tcW w:w="502" w:type="pct"/>
            <w:tcBorders>
              <w:right w:val="single" w:sz="4" w:space="0" w:color="BFBFBF" w:themeColor="background1" w:themeShade="BF"/>
            </w:tcBorders>
            <w:hideMark/>
          </w:tcPr>
          <w:p w:rsidR="00590197" w:rsidRPr="006F773D" w:rsidRDefault="00182900" w:rsidP="00996F20">
            <w:pPr>
              <w:widowControl w:val="0"/>
              <w:spacing w:line="240" w:lineRule="exact"/>
              <w:ind w:right="170"/>
              <w:jc w:val="right"/>
              <w:rPr>
                <w:rFonts w:cs="Arial"/>
                <w:color w:val="000000"/>
                <w:sz w:val="16"/>
                <w:szCs w:val="16"/>
              </w:rPr>
            </w:pPr>
            <w:r>
              <w:rPr>
                <w:rFonts w:cs="Arial"/>
                <w:color w:val="000000"/>
                <w:sz w:val="16"/>
                <w:szCs w:val="16"/>
              </w:rPr>
              <w:t>4,0</w:t>
            </w:r>
          </w:p>
        </w:tc>
        <w:tc>
          <w:tcPr>
            <w:tcW w:w="550" w:type="pct"/>
            <w:tcBorders>
              <w:left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497</w:t>
            </w:r>
          </w:p>
        </w:tc>
        <w:tc>
          <w:tcPr>
            <w:tcW w:w="502" w:type="pct"/>
            <w:tcBorders>
              <w:right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2,8</w:t>
            </w:r>
          </w:p>
        </w:tc>
        <w:tc>
          <w:tcPr>
            <w:tcW w:w="501" w:type="pct"/>
            <w:tcBorders>
              <w:left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103</w:t>
            </w:r>
          </w:p>
        </w:tc>
        <w:tc>
          <w:tcPr>
            <w:tcW w:w="502" w:type="pct"/>
            <w:tcBorders>
              <w:right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6,8</w:t>
            </w:r>
          </w:p>
        </w:tc>
        <w:tc>
          <w:tcPr>
            <w:tcW w:w="501" w:type="pct"/>
            <w:tcBorders>
              <w:left w:val="single" w:sz="4" w:space="0" w:color="BFBFBF" w:themeColor="background1" w:themeShade="BF"/>
            </w:tcBorders>
            <w:vAlign w:val="bottom"/>
            <w:hideMark/>
          </w:tcPr>
          <w:p w:rsidR="00590197" w:rsidRPr="000B5689" w:rsidRDefault="00590197" w:rsidP="00996F20">
            <w:pPr>
              <w:widowControl w:val="0"/>
              <w:spacing w:line="240" w:lineRule="exact"/>
              <w:ind w:right="170"/>
              <w:jc w:val="right"/>
              <w:rPr>
                <w:rFonts w:cs="Arial"/>
                <w:color w:val="000000"/>
                <w:sz w:val="16"/>
                <w:szCs w:val="16"/>
              </w:rPr>
            </w:pPr>
            <w:r w:rsidRPr="000B5689">
              <w:rPr>
                <w:rFonts w:cs="Arial"/>
                <w:color w:val="000000"/>
                <w:sz w:val="16"/>
                <w:szCs w:val="16"/>
              </w:rPr>
              <w:t>250</w:t>
            </w:r>
          </w:p>
        </w:tc>
        <w:tc>
          <w:tcPr>
            <w:tcW w:w="499" w:type="pct"/>
            <w:vAlign w:val="bottom"/>
            <w:hideMark/>
          </w:tcPr>
          <w:p w:rsidR="00590197" w:rsidRPr="00590197" w:rsidRDefault="00590197" w:rsidP="00996F20">
            <w:pPr>
              <w:widowControl w:val="0"/>
              <w:spacing w:line="240" w:lineRule="exact"/>
              <w:ind w:right="170"/>
              <w:jc w:val="right"/>
              <w:rPr>
                <w:rFonts w:cs="Arial"/>
                <w:color w:val="000000"/>
                <w:sz w:val="16"/>
                <w:szCs w:val="16"/>
              </w:rPr>
            </w:pPr>
            <w:r w:rsidRPr="00590197">
              <w:rPr>
                <w:rFonts w:cs="Arial"/>
                <w:color w:val="000000"/>
                <w:sz w:val="16"/>
                <w:szCs w:val="16"/>
              </w:rPr>
              <w:t>14,2</w:t>
            </w:r>
          </w:p>
        </w:tc>
      </w:tr>
      <w:tr w:rsidR="00590197" w:rsidRPr="00506010" w:rsidTr="00D122F5">
        <w:trPr>
          <w:jc w:val="center"/>
        </w:trPr>
        <w:tc>
          <w:tcPr>
            <w:tcW w:w="927" w:type="pct"/>
            <w:tcBorders>
              <w:bottom w:val="single" w:sz="4" w:space="0" w:color="BFBFBF" w:themeColor="background1" w:themeShade="BF"/>
              <w:right w:val="single" w:sz="4" w:space="0" w:color="BFBFBF" w:themeColor="background1" w:themeShade="BF"/>
            </w:tcBorders>
            <w:hideMark/>
          </w:tcPr>
          <w:p w:rsidR="00590197" w:rsidRPr="00506010" w:rsidRDefault="00590197" w:rsidP="00996F20">
            <w:pPr>
              <w:widowControl w:val="0"/>
              <w:spacing w:line="240" w:lineRule="exact"/>
              <w:rPr>
                <w:rFonts w:cs="Arial"/>
                <w:sz w:val="16"/>
                <w:szCs w:val="16"/>
              </w:rPr>
            </w:pPr>
            <w:r>
              <w:rPr>
                <w:rFonts w:cs="Arial"/>
                <w:sz w:val="16"/>
                <w:szCs w:val="16"/>
              </w:rPr>
              <w:t>Servicios</w:t>
            </w:r>
          </w:p>
        </w:tc>
        <w:tc>
          <w:tcPr>
            <w:tcW w:w="516" w:type="pct"/>
            <w:tcBorders>
              <w:left w:val="single" w:sz="4" w:space="0" w:color="BFBFBF" w:themeColor="background1" w:themeShade="BF"/>
              <w:bottom w:val="single" w:sz="4" w:space="0" w:color="BFBFBF" w:themeColor="background1" w:themeShade="BF"/>
            </w:tcBorders>
            <w:hideMark/>
          </w:tcPr>
          <w:p w:rsidR="00590197" w:rsidRPr="006F773D" w:rsidRDefault="00F536FB" w:rsidP="00996F20">
            <w:pPr>
              <w:widowControl w:val="0"/>
              <w:spacing w:line="240" w:lineRule="exact"/>
              <w:ind w:right="170"/>
              <w:jc w:val="right"/>
              <w:rPr>
                <w:rFonts w:cs="Arial"/>
                <w:color w:val="000000"/>
                <w:sz w:val="16"/>
                <w:szCs w:val="16"/>
              </w:rPr>
            </w:pPr>
            <w:r>
              <w:rPr>
                <w:rFonts w:cs="Arial"/>
                <w:color w:val="000000"/>
                <w:sz w:val="16"/>
                <w:szCs w:val="16"/>
              </w:rPr>
              <w:t>13.207</w:t>
            </w:r>
          </w:p>
        </w:tc>
        <w:tc>
          <w:tcPr>
            <w:tcW w:w="502" w:type="pct"/>
            <w:tcBorders>
              <w:bottom w:val="single" w:sz="4" w:space="0" w:color="BFBFBF" w:themeColor="background1" w:themeShade="BF"/>
              <w:right w:val="single" w:sz="4" w:space="0" w:color="BFBFBF" w:themeColor="background1" w:themeShade="BF"/>
            </w:tcBorders>
            <w:hideMark/>
          </w:tcPr>
          <w:p w:rsidR="00590197" w:rsidRPr="006F773D" w:rsidRDefault="00182900" w:rsidP="00996F20">
            <w:pPr>
              <w:widowControl w:val="0"/>
              <w:spacing w:line="240" w:lineRule="exact"/>
              <w:ind w:right="170"/>
              <w:jc w:val="right"/>
              <w:rPr>
                <w:rFonts w:cs="Arial"/>
                <w:color w:val="000000"/>
                <w:sz w:val="16"/>
                <w:szCs w:val="16"/>
              </w:rPr>
            </w:pPr>
            <w:r>
              <w:rPr>
                <w:rFonts w:cs="Arial"/>
                <w:color w:val="000000"/>
                <w:sz w:val="16"/>
                <w:szCs w:val="16"/>
              </w:rPr>
              <w:t>62,0</w:t>
            </w:r>
          </w:p>
        </w:tc>
        <w:tc>
          <w:tcPr>
            <w:tcW w:w="550" w:type="pct"/>
            <w:tcBorders>
              <w:left w:val="single" w:sz="4" w:space="0" w:color="BFBFBF" w:themeColor="background1" w:themeShade="BF"/>
              <w:bottom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12.138</w:t>
            </w:r>
          </w:p>
        </w:tc>
        <w:tc>
          <w:tcPr>
            <w:tcW w:w="502" w:type="pct"/>
            <w:tcBorders>
              <w:bottom w:val="single" w:sz="4" w:space="0" w:color="BFBFBF" w:themeColor="background1" w:themeShade="BF"/>
              <w:right w:val="single" w:sz="4" w:space="0" w:color="BFBFBF" w:themeColor="background1" w:themeShade="BF"/>
            </w:tcBorders>
            <w:vAlign w:val="bottom"/>
            <w:hideMark/>
          </w:tcPr>
          <w:p w:rsidR="00590197" w:rsidRPr="00E00CBB" w:rsidRDefault="00590197" w:rsidP="00996F20">
            <w:pPr>
              <w:widowControl w:val="0"/>
              <w:spacing w:line="240" w:lineRule="exact"/>
              <w:ind w:right="170"/>
              <w:jc w:val="right"/>
              <w:rPr>
                <w:rFonts w:cs="Arial"/>
                <w:color w:val="000000"/>
                <w:sz w:val="16"/>
                <w:szCs w:val="16"/>
              </w:rPr>
            </w:pPr>
            <w:r w:rsidRPr="00E00CBB">
              <w:rPr>
                <w:rFonts w:cs="Arial"/>
                <w:color w:val="000000"/>
                <w:sz w:val="16"/>
                <w:szCs w:val="16"/>
              </w:rPr>
              <w:t>67,3</w:t>
            </w:r>
          </w:p>
        </w:tc>
        <w:tc>
          <w:tcPr>
            <w:tcW w:w="501" w:type="pct"/>
            <w:tcBorders>
              <w:left w:val="single" w:sz="4" w:space="0" w:color="BFBFBF" w:themeColor="background1" w:themeShade="BF"/>
              <w:bottom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218</w:t>
            </w:r>
          </w:p>
        </w:tc>
        <w:tc>
          <w:tcPr>
            <w:tcW w:w="502" w:type="pct"/>
            <w:tcBorders>
              <w:bottom w:val="single" w:sz="4" w:space="0" w:color="BFBFBF" w:themeColor="background1" w:themeShade="BF"/>
              <w:right w:val="single" w:sz="4" w:space="0" w:color="BFBFBF" w:themeColor="background1" w:themeShade="BF"/>
            </w:tcBorders>
            <w:vAlign w:val="bottom"/>
            <w:hideMark/>
          </w:tcPr>
          <w:p w:rsidR="00590197" w:rsidRPr="00003734" w:rsidRDefault="00590197" w:rsidP="00996F20">
            <w:pPr>
              <w:widowControl w:val="0"/>
              <w:spacing w:line="240" w:lineRule="exact"/>
              <w:ind w:right="170"/>
              <w:jc w:val="right"/>
              <w:rPr>
                <w:rFonts w:cs="Arial"/>
                <w:color w:val="000000"/>
                <w:sz w:val="16"/>
                <w:szCs w:val="16"/>
              </w:rPr>
            </w:pPr>
            <w:r w:rsidRPr="00003734">
              <w:rPr>
                <w:rFonts w:cs="Arial"/>
                <w:color w:val="000000"/>
                <w:sz w:val="16"/>
                <w:szCs w:val="16"/>
              </w:rPr>
              <w:t>14,4</w:t>
            </w:r>
          </w:p>
        </w:tc>
        <w:tc>
          <w:tcPr>
            <w:tcW w:w="501" w:type="pct"/>
            <w:tcBorders>
              <w:left w:val="single" w:sz="4" w:space="0" w:color="BFBFBF" w:themeColor="background1" w:themeShade="BF"/>
              <w:bottom w:val="single" w:sz="4" w:space="0" w:color="BFBFBF" w:themeColor="background1" w:themeShade="BF"/>
            </w:tcBorders>
            <w:vAlign w:val="bottom"/>
            <w:hideMark/>
          </w:tcPr>
          <w:p w:rsidR="00590197" w:rsidRPr="000B5689" w:rsidRDefault="00590197" w:rsidP="00996F20">
            <w:pPr>
              <w:widowControl w:val="0"/>
              <w:spacing w:line="240" w:lineRule="exact"/>
              <w:ind w:right="170"/>
              <w:jc w:val="right"/>
              <w:rPr>
                <w:rFonts w:cs="Arial"/>
                <w:color w:val="000000"/>
                <w:sz w:val="16"/>
                <w:szCs w:val="16"/>
              </w:rPr>
            </w:pPr>
            <w:r w:rsidRPr="000B5689">
              <w:rPr>
                <w:rFonts w:cs="Arial"/>
                <w:color w:val="000000"/>
                <w:sz w:val="16"/>
                <w:szCs w:val="16"/>
              </w:rPr>
              <w:t>851</w:t>
            </w:r>
          </w:p>
        </w:tc>
        <w:tc>
          <w:tcPr>
            <w:tcW w:w="499" w:type="pct"/>
            <w:tcBorders>
              <w:bottom w:val="single" w:sz="4" w:space="0" w:color="BFBFBF" w:themeColor="background1" w:themeShade="BF"/>
            </w:tcBorders>
            <w:vAlign w:val="bottom"/>
            <w:hideMark/>
          </w:tcPr>
          <w:p w:rsidR="00590197" w:rsidRPr="00590197" w:rsidRDefault="00590197" w:rsidP="00996F20">
            <w:pPr>
              <w:widowControl w:val="0"/>
              <w:spacing w:line="240" w:lineRule="exact"/>
              <w:ind w:right="170"/>
              <w:jc w:val="right"/>
              <w:rPr>
                <w:rFonts w:cs="Arial"/>
                <w:color w:val="000000"/>
                <w:sz w:val="16"/>
                <w:szCs w:val="16"/>
              </w:rPr>
            </w:pPr>
            <w:r w:rsidRPr="00590197">
              <w:rPr>
                <w:rFonts w:cs="Arial"/>
                <w:color w:val="000000"/>
                <w:sz w:val="16"/>
                <w:szCs w:val="16"/>
              </w:rPr>
              <w:t>48,5</w:t>
            </w:r>
          </w:p>
        </w:tc>
      </w:tr>
      <w:tr w:rsidR="0063744A" w:rsidRPr="00506010" w:rsidTr="00D122F5">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506010" w:rsidRDefault="0063744A" w:rsidP="00996F20">
            <w:pPr>
              <w:widowControl w:val="0"/>
              <w:spacing w:line="240" w:lineRule="exact"/>
              <w:rPr>
                <w:rFonts w:cs="Arial"/>
                <w:b/>
                <w:bCs/>
                <w:sz w:val="16"/>
                <w:szCs w:val="16"/>
              </w:rPr>
            </w:pPr>
            <w:r w:rsidRPr="00506010">
              <w:rPr>
                <w:rFonts w:cs="Arial"/>
                <w:b/>
                <w:bCs/>
                <w:sz w:val="16"/>
                <w:szCs w:val="16"/>
              </w:rPr>
              <w:t>TOTAL</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F536FB" w:rsidP="00996F20">
            <w:pPr>
              <w:widowControl w:val="0"/>
              <w:spacing w:line="240" w:lineRule="exact"/>
              <w:ind w:right="170"/>
              <w:jc w:val="right"/>
              <w:rPr>
                <w:rFonts w:cs="Arial"/>
                <w:b/>
                <w:bCs/>
                <w:color w:val="000000"/>
                <w:sz w:val="16"/>
                <w:szCs w:val="16"/>
              </w:rPr>
            </w:pPr>
            <w:r>
              <w:rPr>
                <w:rFonts w:cs="Arial"/>
                <w:b/>
                <w:bCs/>
                <w:color w:val="000000"/>
                <w:sz w:val="16"/>
                <w:szCs w:val="16"/>
              </w:rPr>
              <w:t>21.312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E00CBB" w:rsidP="00996F20">
            <w:pPr>
              <w:widowControl w:val="0"/>
              <w:spacing w:line="240" w:lineRule="exact"/>
              <w:ind w:right="170"/>
              <w:jc w:val="right"/>
              <w:rPr>
                <w:rFonts w:cs="Arial"/>
                <w:b/>
                <w:bCs/>
                <w:color w:val="000000"/>
                <w:sz w:val="16"/>
                <w:szCs w:val="16"/>
              </w:rPr>
            </w:pPr>
            <w:r w:rsidRPr="00E00CBB">
              <w:rPr>
                <w:rFonts w:cs="Arial"/>
                <w:b/>
                <w:bCs/>
                <w:color w:val="000000"/>
                <w:sz w:val="16"/>
                <w:szCs w:val="16"/>
              </w:rPr>
              <w:t>18.045</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003734" w:rsidP="00996F20">
            <w:pPr>
              <w:widowControl w:val="0"/>
              <w:spacing w:line="240" w:lineRule="exact"/>
              <w:ind w:right="170"/>
              <w:jc w:val="right"/>
              <w:rPr>
                <w:rFonts w:cs="Arial"/>
                <w:b/>
                <w:bCs/>
                <w:color w:val="000000"/>
                <w:sz w:val="16"/>
                <w:szCs w:val="16"/>
              </w:rPr>
            </w:pPr>
            <w:r>
              <w:rPr>
                <w:rFonts w:cs="Arial"/>
                <w:b/>
                <w:bCs/>
                <w:color w:val="000000"/>
                <w:sz w:val="16"/>
                <w:szCs w:val="16"/>
              </w:rPr>
              <w:t>1.512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0B5689" w:rsidP="00996F20">
            <w:pPr>
              <w:widowControl w:val="0"/>
              <w:spacing w:line="240" w:lineRule="exact"/>
              <w:ind w:right="170"/>
              <w:jc w:val="right"/>
              <w:rPr>
                <w:rFonts w:cs="Arial"/>
                <w:b/>
                <w:bCs/>
                <w:color w:val="000000"/>
                <w:sz w:val="16"/>
                <w:szCs w:val="16"/>
              </w:rPr>
            </w:pPr>
            <w:r>
              <w:rPr>
                <w:rFonts w:cs="Arial"/>
                <w:b/>
                <w:bCs/>
                <w:color w:val="000000"/>
                <w:sz w:val="16"/>
                <w:szCs w:val="16"/>
              </w:rPr>
              <w:t>1.756</w:t>
            </w:r>
          </w:p>
        </w:tc>
        <w:tc>
          <w:tcPr>
            <w:tcW w:w="499" w:type="pct"/>
            <w:tcBorders>
              <w:top w:val="single" w:sz="4" w:space="0" w:color="BFBFBF" w:themeColor="background1" w:themeShade="BF"/>
              <w:bottom w:val="single" w:sz="4" w:space="0" w:color="BFBFBF" w:themeColor="background1" w:themeShade="BF"/>
            </w:tcBorders>
            <w:hideMark/>
          </w:tcPr>
          <w:p w:rsidR="0063744A" w:rsidRPr="006F773D" w:rsidRDefault="0063744A" w:rsidP="00996F20">
            <w:pPr>
              <w:widowControl w:val="0"/>
              <w:spacing w:line="240" w:lineRule="exact"/>
              <w:ind w:right="170"/>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r>
      <w:tr w:rsidR="0063744A" w:rsidRPr="00506010" w:rsidTr="00D122F5">
        <w:trPr>
          <w:jc w:val="center"/>
        </w:trPr>
        <w:tc>
          <w:tcPr>
            <w:tcW w:w="927" w:type="pct"/>
            <w:tcBorders>
              <w:top w:val="single" w:sz="4" w:space="0" w:color="BFBFBF" w:themeColor="background1" w:themeShade="BF"/>
              <w:bottom w:val="single" w:sz="4" w:space="0" w:color="BFBFBF" w:themeColor="background1" w:themeShade="BF"/>
            </w:tcBorders>
            <w:shd w:val="clear" w:color="auto" w:fill="FFFFFF" w:themeFill="background1"/>
            <w:vAlign w:val="center"/>
            <w:hideMark/>
          </w:tcPr>
          <w:p w:rsidR="0063744A" w:rsidRDefault="0063744A" w:rsidP="00996F20">
            <w:pPr>
              <w:widowControl w:val="0"/>
              <w:spacing w:line="240" w:lineRule="exact"/>
              <w:jc w:val="center"/>
              <w:rPr>
                <w:rFonts w:cs="Arial"/>
                <w:b/>
                <w:sz w:val="16"/>
                <w:szCs w:val="16"/>
              </w:rPr>
            </w:pPr>
          </w:p>
        </w:tc>
        <w:tc>
          <w:tcPr>
            <w:tcW w:w="1018"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rPr>
            </w:pPr>
          </w:p>
        </w:tc>
        <w:tc>
          <w:tcPr>
            <w:tcW w:w="1052"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rPr>
            </w:pPr>
          </w:p>
        </w:tc>
        <w:tc>
          <w:tcPr>
            <w:tcW w:w="1003"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lang w:val="en-GB"/>
              </w:rPr>
            </w:pPr>
          </w:p>
        </w:tc>
        <w:tc>
          <w:tcPr>
            <w:tcW w:w="1000" w:type="pct"/>
            <w:gridSpan w:val="2"/>
            <w:tcBorders>
              <w:top w:val="single" w:sz="4" w:space="0" w:color="BFBFBF" w:themeColor="background1" w:themeShade="BF"/>
              <w:bottom w:val="single" w:sz="4" w:space="0" w:color="BFBFBF" w:themeColor="background1" w:themeShade="BF"/>
            </w:tcBorders>
            <w:shd w:val="clear" w:color="auto" w:fill="FFFFFF" w:themeFill="background1"/>
            <w:hideMark/>
          </w:tcPr>
          <w:p w:rsidR="0063744A" w:rsidRPr="00506010" w:rsidRDefault="0063744A" w:rsidP="00996F20">
            <w:pPr>
              <w:widowControl w:val="0"/>
              <w:spacing w:line="240" w:lineRule="exact"/>
              <w:jc w:val="center"/>
              <w:rPr>
                <w:rFonts w:cs="Arial"/>
                <w:b/>
                <w:bCs/>
                <w:sz w:val="16"/>
                <w:szCs w:val="16"/>
                <w:lang w:val="en-GB"/>
              </w:rPr>
            </w:pPr>
          </w:p>
        </w:tc>
      </w:tr>
      <w:tr w:rsidR="0063744A" w:rsidRPr="00506010" w:rsidTr="00D122F5">
        <w:trPr>
          <w:jc w:val="center"/>
        </w:trPr>
        <w:tc>
          <w:tcPr>
            <w:tcW w:w="927"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3744A" w:rsidRPr="00394209" w:rsidRDefault="0063744A" w:rsidP="00996F20">
            <w:pPr>
              <w:widowControl w:val="0"/>
              <w:spacing w:line="240" w:lineRule="exact"/>
              <w:jc w:val="center"/>
              <w:rPr>
                <w:rFonts w:cs="Arial"/>
                <w:b/>
                <w:sz w:val="16"/>
                <w:szCs w:val="16"/>
              </w:rPr>
            </w:pPr>
            <w:r>
              <w:rPr>
                <w:rFonts w:cs="Arial"/>
                <w:b/>
                <w:sz w:val="16"/>
                <w:szCs w:val="16"/>
              </w:rPr>
              <w:t>GIPUZKOA</w:t>
            </w: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sidRPr="00506010">
              <w:rPr>
                <w:rFonts w:cs="Arial"/>
                <w:b/>
                <w:bCs/>
                <w:sz w:val="16"/>
                <w:szCs w:val="16"/>
              </w:rPr>
              <w:t>TOTAL</w:t>
            </w:r>
          </w:p>
        </w:tc>
        <w:tc>
          <w:tcPr>
            <w:tcW w:w="105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1E5608">
            <w:pPr>
              <w:widowControl w:val="0"/>
              <w:spacing w:line="240" w:lineRule="exact"/>
              <w:jc w:val="center"/>
              <w:rPr>
                <w:rFonts w:cs="Arial"/>
                <w:b/>
                <w:bCs/>
                <w:sz w:val="16"/>
                <w:szCs w:val="16"/>
              </w:rPr>
            </w:pPr>
            <w:proofErr w:type="spellStart"/>
            <w:r w:rsidRPr="00506010">
              <w:rPr>
                <w:rFonts w:cs="Arial"/>
                <w:b/>
                <w:bCs/>
                <w:sz w:val="16"/>
                <w:szCs w:val="16"/>
              </w:rPr>
              <w:t>S.</w:t>
            </w:r>
            <w:r>
              <w:rPr>
                <w:rFonts w:cs="Arial"/>
                <w:b/>
                <w:bCs/>
                <w:sz w:val="16"/>
                <w:szCs w:val="16"/>
              </w:rPr>
              <w:t>Coop</w:t>
            </w:r>
            <w:proofErr w:type="spellEnd"/>
            <w:r w:rsidRPr="00506010">
              <w:rPr>
                <w:rFonts w:cs="Arial"/>
                <w:b/>
                <w:bCs/>
                <w:sz w:val="16"/>
                <w:szCs w:val="16"/>
              </w:rPr>
              <w:t>.</w:t>
            </w:r>
          </w:p>
        </w:tc>
        <w:tc>
          <w:tcPr>
            <w:tcW w:w="10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sidRPr="00506010">
              <w:rPr>
                <w:rFonts w:cs="Arial"/>
                <w:b/>
                <w:bCs/>
                <w:sz w:val="16"/>
                <w:szCs w:val="16"/>
                <w:lang w:val="en-GB"/>
              </w:rPr>
              <w:t>S.A.L.es</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sidRPr="00506010">
              <w:rPr>
                <w:rFonts w:cs="Arial"/>
                <w:b/>
                <w:bCs/>
                <w:sz w:val="16"/>
                <w:szCs w:val="16"/>
                <w:lang w:val="en-GB"/>
              </w:rPr>
              <w:t>S.L.L.es</w:t>
            </w:r>
          </w:p>
        </w:tc>
      </w:tr>
      <w:tr w:rsidR="0063744A" w:rsidRPr="00506010" w:rsidTr="00D122F5">
        <w:trPr>
          <w:jc w:val="center"/>
        </w:trPr>
        <w:tc>
          <w:tcPr>
            <w:tcW w:w="927"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rPr>
                <w:rFonts w:cs="Arial"/>
                <w:sz w:val="16"/>
                <w:szCs w:val="16"/>
              </w:rPr>
            </w:pP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4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3744A" w:rsidRPr="00506010" w:rsidRDefault="0063744A" w:rsidP="00996F20">
            <w:pPr>
              <w:widowControl w:val="0"/>
              <w:spacing w:line="240" w:lineRule="exact"/>
              <w:jc w:val="center"/>
              <w:rPr>
                <w:rFonts w:cs="Arial"/>
                <w:b/>
                <w:bCs/>
                <w:sz w:val="16"/>
                <w:szCs w:val="16"/>
              </w:rPr>
            </w:pPr>
            <w:r>
              <w:rPr>
                <w:rFonts w:cs="Arial"/>
                <w:b/>
                <w:bCs/>
                <w:sz w:val="16"/>
                <w:szCs w:val="16"/>
              </w:rPr>
              <w:t>% ver.</w:t>
            </w:r>
          </w:p>
        </w:tc>
      </w:tr>
      <w:tr w:rsidR="00697858" w:rsidRPr="00506010" w:rsidTr="00D122F5">
        <w:trPr>
          <w:jc w:val="center"/>
        </w:trPr>
        <w:tc>
          <w:tcPr>
            <w:tcW w:w="927" w:type="pct"/>
            <w:tcBorders>
              <w:top w:val="single" w:sz="4" w:space="0" w:color="BFBFBF" w:themeColor="background1" w:themeShade="BF"/>
              <w:right w:val="single" w:sz="4" w:space="0" w:color="BFBFBF" w:themeColor="background1" w:themeShade="BF"/>
            </w:tcBorders>
            <w:hideMark/>
          </w:tcPr>
          <w:p w:rsidR="00697858" w:rsidRPr="00506010" w:rsidRDefault="00697858" w:rsidP="00996F20">
            <w:pPr>
              <w:widowControl w:val="0"/>
              <w:spacing w:line="240" w:lineRule="exact"/>
              <w:rPr>
                <w:rFonts w:cs="Arial"/>
                <w:sz w:val="16"/>
                <w:szCs w:val="16"/>
              </w:rPr>
            </w:pPr>
            <w:r>
              <w:rPr>
                <w:rFonts w:cs="Arial"/>
                <w:sz w:val="16"/>
                <w:szCs w:val="16"/>
              </w:rPr>
              <w:t xml:space="preserve">Primario </w:t>
            </w:r>
          </w:p>
        </w:tc>
        <w:tc>
          <w:tcPr>
            <w:tcW w:w="516" w:type="pct"/>
            <w:tcBorders>
              <w:top w:val="single" w:sz="4" w:space="0" w:color="BFBFBF" w:themeColor="background1" w:themeShade="BF"/>
              <w:left w:val="single" w:sz="4" w:space="0" w:color="BFBFBF" w:themeColor="background1" w:themeShade="BF"/>
            </w:tcBorders>
            <w:hideMark/>
          </w:tcPr>
          <w:p w:rsidR="00697858" w:rsidRPr="006F773D" w:rsidRDefault="00F3439C" w:rsidP="00996F20">
            <w:pPr>
              <w:widowControl w:val="0"/>
              <w:spacing w:line="240" w:lineRule="exact"/>
              <w:ind w:right="163"/>
              <w:jc w:val="right"/>
              <w:rPr>
                <w:rFonts w:cs="Arial"/>
                <w:color w:val="000000"/>
                <w:sz w:val="16"/>
                <w:szCs w:val="16"/>
              </w:rPr>
            </w:pPr>
            <w:r>
              <w:rPr>
                <w:rFonts w:cs="Arial"/>
                <w:color w:val="000000"/>
                <w:sz w:val="16"/>
                <w:szCs w:val="16"/>
              </w:rPr>
              <w:t>11</w:t>
            </w:r>
          </w:p>
        </w:tc>
        <w:tc>
          <w:tcPr>
            <w:tcW w:w="502" w:type="pct"/>
            <w:tcBorders>
              <w:top w:val="single" w:sz="4" w:space="0" w:color="BFBFBF" w:themeColor="background1" w:themeShade="BF"/>
              <w:right w:val="single" w:sz="4" w:space="0" w:color="BFBFBF" w:themeColor="background1" w:themeShade="BF"/>
            </w:tcBorders>
            <w:hideMark/>
          </w:tcPr>
          <w:p w:rsidR="00697858" w:rsidRPr="006F773D" w:rsidRDefault="00182900" w:rsidP="00996F20">
            <w:pPr>
              <w:widowControl w:val="0"/>
              <w:spacing w:line="240" w:lineRule="exact"/>
              <w:ind w:right="163"/>
              <w:jc w:val="right"/>
              <w:rPr>
                <w:rFonts w:cs="Arial"/>
                <w:color w:val="000000"/>
                <w:sz w:val="16"/>
                <w:szCs w:val="16"/>
              </w:rPr>
            </w:pPr>
            <w:r>
              <w:rPr>
                <w:rFonts w:cs="Arial"/>
                <w:color w:val="000000"/>
                <w:sz w:val="16"/>
                <w:szCs w:val="16"/>
              </w:rPr>
              <w:t>0,1</w:t>
            </w:r>
          </w:p>
        </w:tc>
        <w:tc>
          <w:tcPr>
            <w:tcW w:w="550" w:type="pct"/>
            <w:tcBorders>
              <w:top w:val="single" w:sz="4" w:space="0" w:color="BFBFBF" w:themeColor="background1" w:themeShade="BF"/>
              <w:left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5</w:t>
            </w:r>
          </w:p>
        </w:tc>
        <w:tc>
          <w:tcPr>
            <w:tcW w:w="502" w:type="pct"/>
            <w:tcBorders>
              <w:top w:val="single" w:sz="4" w:space="0" w:color="BFBFBF" w:themeColor="background1" w:themeShade="BF"/>
              <w:right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0</w:t>
            </w:r>
          </w:p>
        </w:tc>
        <w:tc>
          <w:tcPr>
            <w:tcW w:w="502" w:type="pct"/>
            <w:tcBorders>
              <w:top w:val="single" w:sz="4" w:space="0" w:color="BFBFBF" w:themeColor="background1" w:themeShade="BF"/>
              <w:right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0,0</w:t>
            </w:r>
          </w:p>
        </w:tc>
        <w:tc>
          <w:tcPr>
            <w:tcW w:w="501" w:type="pct"/>
            <w:tcBorders>
              <w:top w:val="single" w:sz="4" w:space="0" w:color="BFBFBF" w:themeColor="background1" w:themeShade="BF"/>
              <w:left w:val="single" w:sz="4" w:space="0" w:color="BFBFBF" w:themeColor="background1" w:themeShade="BF"/>
            </w:tcBorders>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6</w:t>
            </w:r>
          </w:p>
        </w:tc>
        <w:tc>
          <w:tcPr>
            <w:tcW w:w="499" w:type="pct"/>
            <w:tcBorders>
              <w:top w:val="single" w:sz="4" w:space="0" w:color="BFBFBF" w:themeColor="background1" w:themeShade="BF"/>
            </w:tcBorders>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0,3</w:t>
            </w:r>
          </w:p>
        </w:tc>
      </w:tr>
      <w:tr w:rsidR="00697858" w:rsidRPr="00506010" w:rsidTr="00D122F5">
        <w:trPr>
          <w:jc w:val="center"/>
        </w:trPr>
        <w:tc>
          <w:tcPr>
            <w:tcW w:w="927" w:type="pct"/>
            <w:tcBorders>
              <w:right w:val="single" w:sz="4" w:space="0" w:color="BFBFBF" w:themeColor="background1" w:themeShade="BF"/>
            </w:tcBorders>
            <w:hideMark/>
          </w:tcPr>
          <w:p w:rsidR="00697858" w:rsidRPr="00506010" w:rsidRDefault="00697858" w:rsidP="00996F20">
            <w:pPr>
              <w:widowControl w:val="0"/>
              <w:spacing w:line="240" w:lineRule="exact"/>
              <w:rPr>
                <w:rFonts w:cs="Arial"/>
                <w:sz w:val="16"/>
                <w:szCs w:val="16"/>
              </w:rPr>
            </w:pPr>
            <w:r>
              <w:rPr>
                <w:rFonts w:cs="Arial"/>
                <w:sz w:val="16"/>
                <w:szCs w:val="16"/>
              </w:rPr>
              <w:t>Industria</w:t>
            </w:r>
          </w:p>
        </w:tc>
        <w:tc>
          <w:tcPr>
            <w:tcW w:w="516" w:type="pct"/>
            <w:tcBorders>
              <w:left w:val="single" w:sz="4" w:space="0" w:color="BFBFBF" w:themeColor="background1" w:themeShade="BF"/>
            </w:tcBorders>
            <w:hideMark/>
          </w:tcPr>
          <w:p w:rsidR="00697858" w:rsidRPr="006F773D" w:rsidRDefault="00F3439C" w:rsidP="00996F20">
            <w:pPr>
              <w:widowControl w:val="0"/>
              <w:spacing w:line="240" w:lineRule="exact"/>
              <w:ind w:right="163"/>
              <w:jc w:val="right"/>
              <w:rPr>
                <w:rFonts w:cs="Arial"/>
                <w:color w:val="000000"/>
                <w:sz w:val="16"/>
                <w:szCs w:val="16"/>
              </w:rPr>
            </w:pPr>
            <w:r>
              <w:rPr>
                <w:rFonts w:cs="Arial"/>
                <w:color w:val="000000"/>
                <w:sz w:val="16"/>
                <w:szCs w:val="16"/>
              </w:rPr>
              <w:t>14.938</w:t>
            </w:r>
          </w:p>
        </w:tc>
        <w:tc>
          <w:tcPr>
            <w:tcW w:w="502" w:type="pct"/>
            <w:tcBorders>
              <w:right w:val="single" w:sz="4" w:space="0" w:color="BFBFBF" w:themeColor="background1" w:themeShade="BF"/>
            </w:tcBorders>
            <w:hideMark/>
          </w:tcPr>
          <w:p w:rsidR="00697858" w:rsidRPr="006F773D" w:rsidRDefault="00182900" w:rsidP="00996F20">
            <w:pPr>
              <w:widowControl w:val="0"/>
              <w:spacing w:line="240" w:lineRule="exact"/>
              <w:ind w:right="163"/>
              <w:jc w:val="right"/>
              <w:rPr>
                <w:rFonts w:cs="Arial"/>
                <w:color w:val="000000"/>
                <w:sz w:val="16"/>
                <w:szCs w:val="16"/>
              </w:rPr>
            </w:pPr>
            <w:r>
              <w:rPr>
                <w:rFonts w:cs="Arial"/>
                <w:color w:val="000000"/>
                <w:sz w:val="16"/>
                <w:szCs w:val="16"/>
              </w:rPr>
              <w:t>53,9</w:t>
            </w:r>
          </w:p>
        </w:tc>
        <w:tc>
          <w:tcPr>
            <w:tcW w:w="550" w:type="pct"/>
            <w:tcBorders>
              <w:left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12.449</w:t>
            </w:r>
          </w:p>
        </w:tc>
        <w:tc>
          <w:tcPr>
            <w:tcW w:w="502" w:type="pct"/>
            <w:tcBorders>
              <w:right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51,3</w:t>
            </w:r>
          </w:p>
        </w:tc>
        <w:tc>
          <w:tcPr>
            <w:tcW w:w="501" w:type="pct"/>
            <w:tcBorders>
              <w:left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1.101</w:t>
            </w:r>
          </w:p>
        </w:tc>
        <w:tc>
          <w:tcPr>
            <w:tcW w:w="502" w:type="pct"/>
            <w:tcBorders>
              <w:right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74,7</w:t>
            </w:r>
          </w:p>
        </w:tc>
        <w:tc>
          <w:tcPr>
            <w:tcW w:w="501" w:type="pct"/>
            <w:tcBorders>
              <w:left w:val="single" w:sz="4" w:space="0" w:color="BFBFBF" w:themeColor="background1" w:themeShade="BF"/>
            </w:tcBorders>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1.388</w:t>
            </w:r>
          </w:p>
        </w:tc>
        <w:tc>
          <w:tcPr>
            <w:tcW w:w="499" w:type="pct"/>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71,3</w:t>
            </w:r>
          </w:p>
        </w:tc>
      </w:tr>
      <w:tr w:rsidR="00697858" w:rsidRPr="00506010" w:rsidTr="00D122F5">
        <w:trPr>
          <w:jc w:val="center"/>
        </w:trPr>
        <w:tc>
          <w:tcPr>
            <w:tcW w:w="927" w:type="pct"/>
            <w:tcBorders>
              <w:right w:val="single" w:sz="4" w:space="0" w:color="BFBFBF" w:themeColor="background1" w:themeShade="BF"/>
            </w:tcBorders>
            <w:hideMark/>
          </w:tcPr>
          <w:p w:rsidR="00697858" w:rsidRPr="00506010" w:rsidRDefault="00697858" w:rsidP="00996F20">
            <w:pPr>
              <w:widowControl w:val="0"/>
              <w:spacing w:line="240" w:lineRule="exact"/>
              <w:rPr>
                <w:rFonts w:cs="Arial"/>
                <w:sz w:val="16"/>
                <w:szCs w:val="16"/>
              </w:rPr>
            </w:pPr>
            <w:r>
              <w:rPr>
                <w:rFonts w:cs="Arial"/>
                <w:sz w:val="16"/>
                <w:szCs w:val="16"/>
              </w:rPr>
              <w:t>Construcción</w:t>
            </w:r>
          </w:p>
        </w:tc>
        <w:tc>
          <w:tcPr>
            <w:tcW w:w="516" w:type="pct"/>
            <w:tcBorders>
              <w:left w:val="single" w:sz="4" w:space="0" w:color="BFBFBF" w:themeColor="background1" w:themeShade="BF"/>
            </w:tcBorders>
            <w:hideMark/>
          </w:tcPr>
          <w:p w:rsidR="00697858" w:rsidRPr="006F773D" w:rsidRDefault="00F3439C" w:rsidP="00996F20">
            <w:pPr>
              <w:widowControl w:val="0"/>
              <w:spacing w:line="240" w:lineRule="exact"/>
              <w:ind w:right="163"/>
              <w:jc w:val="right"/>
              <w:rPr>
                <w:rFonts w:cs="Arial"/>
                <w:color w:val="000000"/>
                <w:sz w:val="16"/>
                <w:szCs w:val="16"/>
              </w:rPr>
            </w:pPr>
            <w:r>
              <w:rPr>
                <w:rFonts w:cs="Arial"/>
                <w:color w:val="000000"/>
                <w:sz w:val="16"/>
                <w:szCs w:val="16"/>
              </w:rPr>
              <w:t>552</w:t>
            </w:r>
          </w:p>
        </w:tc>
        <w:tc>
          <w:tcPr>
            <w:tcW w:w="502" w:type="pct"/>
            <w:tcBorders>
              <w:right w:val="single" w:sz="4" w:space="0" w:color="BFBFBF" w:themeColor="background1" w:themeShade="BF"/>
            </w:tcBorders>
            <w:hideMark/>
          </w:tcPr>
          <w:p w:rsidR="00697858" w:rsidRPr="006F773D" w:rsidRDefault="00182900" w:rsidP="00996F20">
            <w:pPr>
              <w:widowControl w:val="0"/>
              <w:spacing w:line="240" w:lineRule="exact"/>
              <w:ind w:right="163"/>
              <w:jc w:val="right"/>
              <w:rPr>
                <w:rFonts w:cs="Arial"/>
                <w:color w:val="000000"/>
                <w:sz w:val="16"/>
                <w:szCs w:val="16"/>
              </w:rPr>
            </w:pPr>
            <w:r>
              <w:rPr>
                <w:rFonts w:cs="Arial"/>
                <w:color w:val="000000"/>
                <w:sz w:val="16"/>
                <w:szCs w:val="16"/>
              </w:rPr>
              <w:t>2,0</w:t>
            </w:r>
          </w:p>
        </w:tc>
        <w:tc>
          <w:tcPr>
            <w:tcW w:w="550" w:type="pct"/>
            <w:tcBorders>
              <w:left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367</w:t>
            </w:r>
          </w:p>
        </w:tc>
        <w:tc>
          <w:tcPr>
            <w:tcW w:w="502" w:type="pct"/>
            <w:tcBorders>
              <w:right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1,5</w:t>
            </w:r>
          </w:p>
        </w:tc>
        <w:tc>
          <w:tcPr>
            <w:tcW w:w="501" w:type="pct"/>
            <w:tcBorders>
              <w:left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68</w:t>
            </w:r>
          </w:p>
        </w:tc>
        <w:tc>
          <w:tcPr>
            <w:tcW w:w="502" w:type="pct"/>
            <w:tcBorders>
              <w:right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4,6</w:t>
            </w:r>
          </w:p>
        </w:tc>
        <w:tc>
          <w:tcPr>
            <w:tcW w:w="501" w:type="pct"/>
            <w:tcBorders>
              <w:left w:val="single" w:sz="4" w:space="0" w:color="BFBFBF" w:themeColor="background1" w:themeShade="BF"/>
            </w:tcBorders>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117</w:t>
            </w:r>
          </w:p>
        </w:tc>
        <w:tc>
          <w:tcPr>
            <w:tcW w:w="499" w:type="pct"/>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6,0</w:t>
            </w:r>
          </w:p>
        </w:tc>
      </w:tr>
      <w:tr w:rsidR="00697858" w:rsidRPr="00506010" w:rsidTr="00D122F5">
        <w:trPr>
          <w:jc w:val="center"/>
        </w:trPr>
        <w:tc>
          <w:tcPr>
            <w:tcW w:w="927" w:type="pct"/>
            <w:tcBorders>
              <w:bottom w:val="single" w:sz="4" w:space="0" w:color="BFBFBF" w:themeColor="background1" w:themeShade="BF"/>
              <w:right w:val="single" w:sz="4" w:space="0" w:color="BFBFBF" w:themeColor="background1" w:themeShade="BF"/>
            </w:tcBorders>
            <w:hideMark/>
          </w:tcPr>
          <w:p w:rsidR="00697858" w:rsidRPr="00506010" w:rsidRDefault="00697858" w:rsidP="00996F20">
            <w:pPr>
              <w:widowControl w:val="0"/>
              <w:spacing w:line="240" w:lineRule="exact"/>
              <w:rPr>
                <w:rFonts w:cs="Arial"/>
                <w:sz w:val="16"/>
                <w:szCs w:val="16"/>
              </w:rPr>
            </w:pPr>
            <w:r>
              <w:rPr>
                <w:rFonts w:cs="Arial"/>
                <w:sz w:val="16"/>
                <w:szCs w:val="16"/>
              </w:rPr>
              <w:t>Servicios</w:t>
            </w:r>
          </w:p>
        </w:tc>
        <w:tc>
          <w:tcPr>
            <w:tcW w:w="516" w:type="pct"/>
            <w:tcBorders>
              <w:left w:val="single" w:sz="4" w:space="0" w:color="BFBFBF" w:themeColor="background1" w:themeShade="BF"/>
              <w:bottom w:val="single" w:sz="4" w:space="0" w:color="BFBFBF" w:themeColor="background1" w:themeShade="BF"/>
            </w:tcBorders>
            <w:hideMark/>
          </w:tcPr>
          <w:p w:rsidR="00697858" w:rsidRPr="006F773D" w:rsidRDefault="00F3439C" w:rsidP="00996F20">
            <w:pPr>
              <w:widowControl w:val="0"/>
              <w:spacing w:line="240" w:lineRule="exact"/>
              <w:ind w:right="163"/>
              <w:jc w:val="right"/>
              <w:rPr>
                <w:rFonts w:cs="Arial"/>
                <w:color w:val="000000"/>
                <w:sz w:val="16"/>
                <w:szCs w:val="16"/>
              </w:rPr>
            </w:pPr>
            <w:r>
              <w:rPr>
                <w:rFonts w:cs="Arial"/>
                <w:color w:val="000000"/>
                <w:sz w:val="16"/>
                <w:szCs w:val="16"/>
              </w:rPr>
              <w:t>12.199</w:t>
            </w:r>
          </w:p>
        </w:tc>
        <w:tc>
          <w:tcPr>
            <w:tcW w:w="502" w:type="pct"/>
            <w:tcBorders>
              <w:bottom w:val="single" w:sz="4" w:space="0" w:color="BFBFBF" w:themeColor="background1" w:themeShade="BF"/>
              <w:right w:val="single" w:sz="4" w:space="0" w:color="BFBFBF" w:themeColor="background1" w:themeShade="BF"/>
            </w:tcBorders>
            <w:hideMark/>
          </w:tcPr>
          <w:p w:rsidR="00697858" w:rsidRPr="006F773D" w:rsidRDefault="00182900" w:rsidP="00996F20">
            <w:pPr>
              <w:widowControl w:val="0"/>
              <w:spacing w:line="240" w:lineRule="exact"/>
              <w:ind w:right="163"/>
              <w:jc w:val="right"/>
              <w:rPr>
                <w:rFonts w:cs="Arial"/>
                <w:color w:val="000000"/>
                <w:sz w:val="16"/>
                <w:szCs w:val="16"/>
              </w:rPr>
            </w:pPr>
            <w:r>
              <w:rPr>
                <w:rFonts w:cs="Arial"/>
                <w:color w:val="000000"/>
                <w:sz w:val="16"/>
                <w:szCs w:val="16"/>
              </w:rPr>
              <w:t>44,0</w:t>
            </w:r>
          </w:p>
        </w:tc>
        <w:tc>
          <w:tcPr>
            <w:tcW w:w="550" w:type="pct"/>
            <w:tcBorders>
              <w:left w:val="single" w:sz="4" w:space="0" w:color="BFBFBF" w:themeColor="background1" w:themeShade="BF"/>
              <w:bottom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11.458</w:t>
            </w:r>
          </w:p>
        </w:tc>
        <w:tc>
          <w:tcPr>
            <w:tcW w:w="502" w:type="pct"/>
            <w:tcBorders>
              <w:bottom w:val="single" w:sz="4" w:space="0" w:color="BFBFBF" w:themeColor="background1" w:themeShade="BF"/>
              <w:right w:val="single" w:sz="4" w:space="0" w:color="BFBFBF" w:themeColor="background1" w:themeShade="BF"/>
            </w:tcBorders>
            <w:vAlign w:val="bottom"/>
            <w:hideMark/>
          </w:tcPr>
          <w:p w:rsidR="00697858" w:rsidRPr="00CA6222" w:rsidRDefault="00697858" w:rsidP="00996F20">
            <w:pPr>
              <w:widowControl w:val="0"/>
              <w:spacing w:line="240" w:lineRule="exact"/>
              <w:ind w:right="163"/>
              <w:jc w:val="right"/>
              <w:rPr>
                <w:rFonts w:cs="Arial"/>
                <w:color w:val="000000"/>
                <w:sz w:val="16"/>
                <w:szCs w:val="16"/>
              </w:rPr>
            </w:pPr>
            <w:r w:rsidRPr="00CA6222">
              <w:rPr>
                <w:rFonts w:cs="Arial"/>
                <w:color w:val="000000"/>
                <w:sz w:val="16"/>
                <w:szCs w:val="16"/>
              </w:rPr>
              <w:t>47,2</w:t>
            </w:r>
          </w:p>
        </w:tc>
        <w:tc>
          <w:tcPr>
            <w:tcW w:w="501" w:type="pct"/>
            <w:tcBorders>
              <w:left w:val="single" w:sz="4" w:space="0" w:color="BFBFBF" w:themeColor="background1" w:themeShade="BF"/>
              <w:bottom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305</w:t>
            </w:r>
          </w:p>
        </w:tc>
        <w:tc>
          <w:tcPr>
            <w:tcW w:w="502" w:type="pct"/>
            <w:tcBorders>
              <w:bottom w:val="single" w:sz="4" w:space="0" w:color="BFBFBF" w:themeColor="background1" w:themeShade="BF"/>
              <w:right w:val="single" w:sz="4" w:space="0" w:color="BFBFBF" w:themeColor="background1" w:themeShade="BF"/>
            </w:tcBorders>
            <w:vAlign w:val="bottom"/>
            <w:hideMark/>
          </w:tcPr>
          <w:p w:rsidR="00697858" w:rsidRPr="008C69B9" w:rsidRDefault="00697858" w:rsidP="00996F20">
            <w:pPr>
              <w:widowControl w:val="0"/>
              <w:spacing w:line="240" w:lineRule="exact"/>
              <w:ind w:right="163"/>
              <w:jc w:val="right"/>
              <w:rPr>
                <w:rFonts w:cs="Arial"/>
                <w:color w:val="000000"/>
                <w:sz w:val="16"/>
                <w:szCs w:val="16"/>
              </w:rPr>
            </w:pPr>
            <w:r w:rsidRPr="008C69B9">
              <w:rPr>
                <w:rFonts w:cs="Arial"/>
                <w:color w:val="000000"/>
                <w:sz w:val="16"/>
                <w:szCs w:val="16"/>
              </w:rPr>
              <w:t>20,7</w:t>
            </w:r>
          </w:p>
        </w:tc>
        <w:tc>
          <w:tcPr>
            <w:tcW w:w="501" w:type="pct"/>
            <w:tcBorders>
              <w:left w:val="single" w:sz="4" w:space="0" w:color="BFBFBF" w:themeColor="background1" w:themeShade="BF"/>
              <w:bottom w:val="single" w:sz="4" w:space="0" w:color="BFBFBF" w:themeColor="background1" w:themeShade="BF"/>
            </w:tcBorders>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436</w:t>
            </w:r>
          </w:p>
        </w:tc>
        <w:tc>
          <w:tcPr>
            <w:tcW w:w="499" w:type="pct"/>
            <w:tcBorders>
              <w:bottom w:val="single" w:sz="4" w:space="0" w:color="BFBFBF" w:themeColor="background1" w:themeShade="BF"/>
            </w:tcBorders>
            <w:vAlign w:val="bottom"/>
            <w:hideMark/>
          </w:tcPr>
          <w:p w:rsidR="00697858" w:rsidRPr="00697858" w:rsidRDefault="00697858" w:rsidP="00996F20">
            <w:pPr>
              <w:widowControl w:val="0"/>
              <w:spacing w:line="240" w:lineRule="exact"/>
              <w:ind w:right="163"/>
              <w:jc w:val="right"/>
              <w:rPr>
                <w:rFonts w:cs="Arial"/>
                <w:color w:val="000000"/>
                <w:sz w:val="16"/>
                <w:szCs w:val="16"/>
              </w:rPr>
            </w:pPr>
            <w:r w:rsidRPr="00697858">
              <w:rPr>
                <w:rFonts w:cs="Arial"/>
                <w:color w:val="000000"/>
                <w:sz w:val="16"/>
                <w:szCs w:val="16"/>
              </w:rPr>
              <w:t>22,4</w:t>
            </w:r>
          </w:p>
        </w:tc>
      </w:tr>
      <w:tr w:rsidR="0063744A" w:rsidRPr="00506010" w:rsidTr="00D122F5">
        <w:trPr>
          <w:jc w:val="center"/>
        </w:trPr>
        <w:tc>
          <w:tcPr>
            <w:tcW w:w="92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506010" w:rsidRDefault="0063744A" w:rsidP="00996F20">
            <w:pPr>
              <w:widowControl w:val="0"/>
              <w:spacing w:line="240" w:lineRule="exact"/>
              <w:rPr>
                <w:rFonts w:cs="Arial"/>
                <w:b/>
                <w:bCs/>
                <w:sz w:val="16"/>
                <w:szCs w:val="16"/>
              </w:rPr>
            </w:pPr>
            <w:r w:rsidRPr="00506010">
              <w:rPr>
                <w:rFonts w:cs="Arial"/>
                <w:b/>
                <w:bCs/>
                <w:sz w:val="16"/>
                <w:szCs w:val="16"/>
              </w:rPr>
              <w:t>TOTAL</w:t>
            </w:r>
          </w:p>
        </w:tc>
        <w:tc>
          <w:tcPr>
            <w:tcW w:w="516"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F773D" w:rsidRDefault="00F3439C" w:rsidP="00996F20">
            <w:pPr>
              <w:widowControl w:val="0"/>
              <w:spacing w:line="240" w:lineRule="exact"/>
              <w:ind w:right="163"/>
              <w:jc w:val="right"/>
              <w:rPr>
                <w:rFonts w:cs="Arial"/>
                <w:b/>
                <w:bCs/>
                <w:color w:val="000000"/>
                <w:sz w:val="16"/>
                <w:szCs w:val="16"/>
              </w:rPr>
            </w:pPr>
            <w:r>
              <w:rPr>
                <w:rFonts w:cs="Arial"/>
                <w:b/>
                <w:bCs/>
                <w:color w:val="000000"/>
                <w:sz w:val="16"/>
                <w:szCs w:val="16"/>
              </w:rPr>
              <w:t>27.</w:t>
            </w:r>
            <w:r w:rsidR="00F536FB">
              <w:rPr>
                <w:rFonts w:cs="Arial"/>
                <w:b/>
                <w:bCs/>
                <w:color w:val="000000"/>
                <w:sz w:val="16"/>
                <w:szCs w:val="16"/>
              </w:rPr>
              <w:t>699</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63"/>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CA6222" w:rsidRDefault="00CA6222" w:rsidP="00996F20">
            <w:pPr>
              <w:widowControl w:val="0"/>
              <w:spacing w:line="240" w:lineRule="exact"/>
              <w:ind w:right="163"/>
              <w:jc w:val="right"/>
              <w:rPr>
                <w:rFonts w:cs="Arial"/>
                <w:b/>
                <w:bCs/>
                <w:color w:val="000000"/>
                <w:sz w:val="16"/>
                <w:szCs w:val="16"/>
              </w:rPr>
            </w:pPr>
            <w:r w:rsidRPr="00CA6222">
              <w:rPr>
                <w:rFonts w:cs="Arial"/>
                <w:b/>
                <w:bCs/>
                <w:color w:val="000000"/>
                <w:sz w:val="16"/>
                <w:szCs w:val="16"/>
              </w:rPr>
              <w:t>24.279</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63"/>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8C69B9" w:rsidRDefault="008C69B9" w:rsidP="00996F20">
            <w:pPr>
              <w:widowControl w:val="0"/>
              <w:spacing w:line="240" w:lineRule="exact"/>
              <w:ind w:right="163"/>
              <w:jc w:val="right"/>
              <w:rPr>
                <w:rFonts w:cs="Arial"/>
                <w:b/>
                <w:bCs/>
                <w:color w:val="000000"/>
                <w:sz w:val="16"/>
                <w:szCs w:val="16"/>
              </w:rPr>
            </w:pPr>
            <w:r w:rsidRPr="008C69B9">
              <w:rPr>
                <w:rFonts w:cs="Arial"/>
                <w:b/>
                <w:bCs/>
                <w:color w:val="000000"/>
                <w:sz w:val="16"/>
                <w:szCs w:val="16"/>
              </w:rPr>
              <w:t>1.474</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3744A" w:rsidRPr="006F773D" w:rsidRDefault="0063744A" w:rsidP="00996F20">
            <w:pPr>
              <w:widowControl w:val="0"/>
              <w:spacing w:line="240" w:lineRule="exact"/>
              <w:ind w:right="163"/>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3744A" w:rsidRPr="00697858" w:rsidRDefault="00697858" w:rsidP="00996F20">
            <w:pPr>
              <w:widowControl w:val="0"/>
              <w:spacing w:line="240" w:lineRule="exact"/>
              <w:ind w:right="163"/>
              <w:jc w:val="right"/>
              <w:rPr>
                <w:rFonts w:cs="Arial"/>
                <w:b/>
                <w:bCs/>
                <w:color w:val="000000"/>
                <w:sz w:val="16"/>
                <w:szCs w:val="16"/>
              </w:rPr>
            </w:pPr>
            <w:r w:rsidRPr="00697858">
              <w:rPr>
                <w:rFonts w:cs="Arial"/>
                <w:b/>
                <w:bCs/>
                <w:color w:val="000000"/>
                <w:sz w:val="16"/>
                <w:szCs w:val="16"/>
              </w:rPr>
              <w:t>1.947</w:t>
            </w:r>
          </w:p>
        </w:tc>
        <w:tc>
          <w:tcPr>
            <w:tcW w:w="499" w:type="pct"/>
            <w:tcBorders>
              <w:top w:val="single" w:sz="4" w:space="0" w:color="BFBFBF" w:themeColor="background1" w:themeShade="BF"/>
              <w:bottom w:val="single" w:sz="4" w:space="0" w:color="BFBFBF" w:themeColor="background1" w:themeShade="BF"/>
            </w:tcBorders>
            <w:hideMark/>
          </w:tcPr>
          <w:p w:rsidR="0063744A" w:rsidRPr="006F773D" w:rsidRDefault="0063744A" w:rsidP="00996F20">
            <w:pPr>
              <w:widowControl w:val="0"/>
              <w:spacing w:line="240" w:lineRule="exact"/>
              <w:ind w:right="163"/>
              <w:jc w:val="right"/>
              <w:rPr>
                <w:rFonts w:cs="Arial"/>
                <w:b/>
                <w:bCs/>
                <w:color w:val="000000"/>
                <w:sz w:val="16"/>
                <w:szCs w:val="16"/>
              </w:rPr>
            </w:pPr>
            <w:r w:rsidRPr="006F773D">
              <w:rPr>
                <w:rFonts w:cs="Arial"/>
                <w:b/>
                <w:bCs/>
                <w:color w:val="000000"/>
                <w:sz w:val="16"/>
                <w:szCs w:val="16"/>
              </w:rPr>
              <w:t>100</w:t>
            </w:r>
            <w:r w:rsidR="007F441F">
              <w:rPr>
                <w:rFonts w:cs="Arial"/>
                <w:b/>
                <w:bCs/>
                <w:color w:val="000000"/>
                <w:sz w:val="16"/>
                <w:szCs w:val="16"/>
              </w:rPr>
              <w:t>,0</w:t>
            </w:r>
          </w:p>
        </w:tc>
      </w:tr>
    </w:tbl>
    <w:p w:rsidR="00665097" w:rsidRDefault="00665097" w:rsidP="00BB313D">
      <w:pPr>
        <w:widowControl w:val="0"/>
      </w:pPr>
    </w:p>
    <w:p w:rsidR="00C35874" w:rsidRPr="00A76655" w:rsidRDefault="00C35874" w:rsidP="00BB313D">
      <w:pPr>
        <w:widowControl w:val="0"/>
      </w:pPr>
    </w:p>
    <w:p w:rsidR="00665097" w:rsidRPr="001458EC" w:rsidRDefault="00DE1512" w:rsidP="00BB313D">
      <w:pPr>
        <w:pStyle w:val="Sangra2detindependiente"/>
        <w:widowControl w:val="0"/>
        <w:ind w:left="0" w:firstLine="0"/>
        <w:jc w:val="center"/>
        <w:rPr>
          <w:rFonts w:ascii="Arial" w:hAnsi="Arial" w:cs="Arial"/>
          <w:b/>
          <w:color w:val="1F497D" w:themeColor="text2"/>
          <w:sz w:val="18"/>
          <w:szCs w:val="18"/>
          <w:lang w:val="es-ES_tradnl"/>
        </w:rPr>
      </w:pPr>
      <w:bookmarkStart w:id="157" w:name="_Toc391999612"/>
      <w:bookmarkStart w:id="158" w:name="_Toc450119495"/>
      <w:r w:rsidRPr="00DE1512">
        <w:rPr>
          <w:rFonts w:ascii="Arial" w:eastAsiaTheme="minorHAnsi" w:hAnsi="Arial" w:cs="Arial"/>
          <w:b/>
          <w:color w:val="1F497D" w:themeColor="text2"/>
          <w:sz w:val="18"/>
          <w:szCs w:val="18"/>
          <w:lang w:eastAsia="en-US"/>
        </w:rPr>
        <w:t>Cuadro 1.</w:t>
      </w:r>
      <w:r w:rsidR="00771A61" w:rsidRPr="00DE1512">
        <w:rPr>
          <w:rFonts w:ascii="Arial" w:eastAsiaTheme="minorHAnsi" w:hAnsi="Arial" w:cs="Arial"/>
          <w:b/>
          <w:color w:val="1F497D" w:themeColor="text2"/>
          <w:sz w:val="18"/>
          <w:szCs w:val="18"/>
          <w:lang w:eastAsia="en-US"/>
        </w:rPr>
        <w:fldChar w:fldCharType="begin"/>
      </w:r>
      <w:r w:rsidRPr="00DE1512">
        <w:rPr>
          <w:rFonts w:ascii="Arial" w:eastAsiaTheme="minorHAnsi" w:hAnsi="Arial" w:cs="Arial"/>
          <w:b/>
          <w:color w:val="1F497D" w:themeColor="text2"/>
          <w:sz w:val="18"/>
          <w:szCs w:val="18"/>
          <w:lang w:eastAsia="en-US"/>
        </w:rPr>
        <w:instrText xml:space="preserve"> SEQ Cuadro_1. \* ARABIC </w:instrText>
      </w:r>
      <w:r w:rsidR="00771A61" w:rsidRPr="00DE1512">
        <w:rPr>
          <w:rFonts w:ascii="Arial" w:eastAsiaTheme="minorHAnsi" w:hAnsi="Arial" w:cs="Arial"/>
          <w:b/>
          <w:color w:val="1F497D" w:themeColor="text2"/>
          <w:sz w:val="18"/>
          <w:szCs w:val="18"/>
          <w:lang w:eastAsia="en-US"/>
        </w:rPr>
        <w:fldChar w:fldCharType="separate"/>
      </w:r>
      <w:r w:rsidR="00FC71A9">
        <w:rPr>
          <w:rFonts w:ascii="Arial" w:eastAsiaTheme="minorHAnsi" w:hAnsi="Arial" w:cs="Arial"/>
          <w:b/>
          <w:noProof/>
          <w:color w:val="1F497D" w:themeColor="text2"/>
          <w:sz w:val="18"/>
          <w:szCs w:val="18"/>
          <w:lang w:eastAsia="en-US"/>
        </w:rPr>
        <w:t>40</w:t>
      </w:r>
      <w:r w:rsidR="00771A61" w:rsidRPr="00DE1512">
        <w:rPr>
          <w:rFonts w:ascii="Arial" w:eastAsiaTheme="minorHAnsi" w:hAnsi="Arial" w:cs="Arial"/>
          <w:b/>
          <w:color w:val="1F497D" w:themeColor="text2"/>
          <w:sz w:val="18"/>
          <w:szCs w:val="18"/>
          <w:lang w:eastAsia="en-US"/>
        </w:rPr>
        <w:fldChar w:fldCharType="end"/>
      </w:r>
      <w:r w:rsidRPr="00DE1512">
        <w:rPr>
          <w:rFonts w:ascii="Arial" w:eastAsiaTheme="minorHAnsi" w:hAnsi="Arial" w:cs="Arial"/>
          <w:b/>
          <w:color w:val="1F497D" w:themeColor="text2"/>
          <w:sz w:val="18"/>
          <w:szCs w:val="18"/>
          <w:lang w:eastAsia="en-US"/>
        </w:rPr>
        <w:t xml:space="preserve"> </w:t>
      </w:r>
      <w:r w:rsidR="00C86565" w:rsidRPr="00DE1512">
        <w:rPr>
          <w:rFonts w:ascii="Arial" w:eastAsiaTheme="minorHAnsi" w:hAnsi="Arial" w:cs="Arial"/>
          <w:b/>
          <w:color w:val="1F497D" w:themeColor="text2"/>
          <w:sz w:val="18"/>
          <w:szCs w:val="18"/>
          <w:lang w:eastAsia="en-US"/>
        </w:rPr>
        <w:t xml:space="preserve"> </w:t>
      </w:r>
      <w:r w:rsidR="00665097" w:rsidRPr="00DE1512">
        <w:rPr>
          <w:rFonts w:ascii="Arial" w:eastAsiaTheme="minorHAnsi" w:hAnsi="Arial" w:cs="Arial"/>
          <w:b/>
          <w:color w:val="1F497D" w:themeColor="text2"/>
          <w:sz w:val="18"/>
          <w:szCs w:val="18"/>
          <w:lang w:eastAsia="en-US"/>
        </w:rPr>
        <w:t xml:space="preserve">DISTRIBUCIÓN TERRITORIAL DEL EMPLEO INDUSTRIAL  DE LA </w:t>
      </w:r>
      <w:r w:rsidR="00AE2B1E" w:rsidRPr="00DE1512">
        <w:rPr>
          <w:rFonts w:ascii="Arial" w:eastAsiaTheme="minorHAnsi" w:hAnsi="Arial" w:cs="Arial"/>
          <w:b/>
          <w:color w:val="1F497D" w:themeColor="text2"/>
          <w:sz w:val="18"/>
          <w:szCs w:val="18"/>
          <w:lang w:eastAsia="en-US"/>
        </w:rPr>
        <w:t>ECONOMÍA SOCIAL Y</w:t>
      </w:r>
      <w:r w:rsidR="00AE2B1E">
        <w:rPr>
          <w:rFonts w:ascii="Arial" w:hAnsi="Arial" w:cs="Arial"/>
          <w:b/>
          <w:color w:val="1F497D" w:themeColor="text2"/>
          <w:sz w:val="18"/>
          <w:szCs w:val="18"/>
          <w:lang w:val="es-ES_tradnl"/>
        </w:rPr>
        <w:t xml:space="preserve"> EVOLUCIÓN 2012</w:t>
      </w:r>
      <w:r w:rsidR="00665097" w:rsidRPr="001458EC">
        <w:rPr>
          <w:rFonts w:ascii="Arial" w:hAnsi="Arial" w:cs="Arial"/>
          <w:b/>
          <w:color w:val="1F497D" w:themeColor="text2"/>
          <w:sz w:val="18"/>
          <w:szCs w:val="18"/>
          <w:lang w:val="es-ES_tradnl"/>
        </w:rPr>
        <w:t>-201</w:t>
      </w:r>
      <w:bookmarkEnd w:id="157"/>
      <w:r w:rsidR="00AE2B1E">
        <w:rPr>
          <w:rFonts w:ascii="Arial" w:hAnsi="Arial" w:cs="Arial"/>
          <w:b/>
          <w:color w:val="1F497D" w:themeColor="text2"/>
          <w:sz w:val="18"/>
          <w:szCs w:val="18"/>
          <w:lang w:val="es-ES_tradnl"/>
        </w:rPr>
        <w:t>4</w:t>
      </w:r>
      <w:bookmarkEnd w:id="158"/>
    </w:p>
    <w:tbl>
      <w:tblPr>
        <w:tblW w:w="9940" w:type="dxa"/>
        <w:jc w:val="center"/>
        <w:tblLook w:val="04A0" w:firstRow="1" w:lastRow="0" w:firstColumn="1" w:lastColumn="0" w:noHBand="0" w:noVBand="1"/>
      </w:tblPr>
      <w:tblGrid>
        <w:gridCol w:w="1852"/>
        <w:gridCol w:w="1346"/>
        <w:gridCol w:w="1346"/>
        <w:gridCol w:w="1348"/>
        <w:gridCol w:w="1348"/>
        <w:gridCol w:w="1352"/>
        <w:gridCol w:w="1348"/>
      </w:tblGrid>
      <w:tr w:rsidR="00665097" w:rsidRPr="001458EC" w:rsidTr="00A33F7A">
        <w:trPr>
          <w:jc w:val="center"/>
        </w:trPr>
        <w:tc>
          <w:tcPr>
            <w:tcW w:w="932"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Cs/>
                <w:sz w:val="16"/>
                <w:szCs w:val="16"/>
              </w:rPr>
            </w:pPr>
          </w:p>
        </w:tc>
        <w:tc>
          <w:tcPr>
            <w:tcW w:w="135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
                <w:bCs/>
                <w:sz w:val="16"/>
                <w:szCs w:val="16"/>
              </w:rPr>
            </w:pPr>
            <w:r w:rsidRPr="001458EC">
              <w:rPr>
                <w:rFonts w:cs="Arial"/>
                <w:b/>
                <w:bCs/>
                <w:sz w:val="16"/>
                <w:szCs w:val="16"/>
              </w:rPr>
              <w:t>Álava</w:t>
            </w:r>
          </w:p>
        </w:tc>
        <w:tc>
          <w:tcPr>
            <w:tcW w:w="135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
                <w:bCs/>
                <w:sz w:val="16"/>
                <w:szCs w:val="16"/>
              </w:rPr>
            </w:pPr>
            <w:proofErr w:type="spellStart"/>
            <w:r w:rsidRPr="001458EC">
              <w:rPr>
                <w:rFonts w:cs="Arial"/>
                <w:b/>
                <w:bCs/>
                <w:sz w:val="16"/>
                <w:szCs w:val="16"/>
              </w:rPr>
              <w:t>Bizkaia</w:t>
            </w:r>
            <w:proofErr w:type="spellEnd"/>
          </w:p>
        </w:tc>
        <w:tc>
          <w:tcPr>
            <w:tcW w:w="13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
                <w:bCs/>
                <w:sz w:val="16"/>
                <w:szCs w:val="16"/>
              </w:rPr>
            </w:pPr>
            <w:proofErr w:type="spellStart"/>
            <w:r w:rsidRPr="001458EC">
              <w:rPr>
                <w:rFonts w:cs="Arial"/>
                <w:b/>
                <w:bCs/>
                <w:sz w:val="16"/>
                <w:szCs w:val="16"/>
              </w:rPr>
              <w:t>Gipuzkoa</w:t>
            </w:r>
            <w:proofErr w:type="spellEnd"/>
          </w:p>
        </w:tc>
      </w:tr>
      <w:tr w:rsidR="00665097" w:rsidRPr="001458EC" w:rsidTr="00A33F7A">
        <w:trPr>
          <w:jc w:val="center"/>
        </w:trPr>
        <w:tc>
          <w:tcPr>
            <w:tcW w:w="932"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rPr>
                <w:rFonts w:cs="Arial"/>
                <w:sz w:val="16"/>
                <w:szCs w:val="16"/>
              </w:rPr>
            </w:pPr>
          </w:p>
        </w:tc>
        <w:tc>
          <w:tcPr>
            <w:tcW w:w="67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1458EC" w:rsidRDefault="00490B03" w:rsidP="00BB313D">
            <w:pPr>
              <w:widowControl w:val="0"/>
              <w:spacing w:line="240" w:lineRule="exact"/>
              <w:ind w:right="170"/>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67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
                <w:bCs/>
                <w:sz w:val="16"/>
                <w:szCs w:val="16"/>
              </w:rPr>
            </w:pPr>
            <w:r w:rsidRPr="001458EC">
              <w:rPr>
                <w:rFonts w:cs="Arial"/>
                <w:b/>
                <w:bCs/>
                <w:sz w:val="16"/>
                <w:szCs w:val="16"/>
              </w:rPr>
              <w:t>∆</w:t>
            </w:r>
            <w:r w:rsidR="00AE2B1E">
              <w:rPr>
                <w:rFonts w:cs="Arial"/>
                <w:b/>
                <w:bCs/>
                <w:sz w:val="16"/>
                <w:szCs w:val="16"/>
              </w:rPr>
              <w:t>12</w:t>
            </w:r>
            <w:r w:rsidRPr="001458EC">
              <w:rPr>
                <w:rFonts w:cs="Arial"/>
                <w:b/>
                <w:bCs/>
                <w:sz w:val="16"/>
                <w:szCs w:val="16"/>
              </w:rPr>
              <w:t>-1</w:t>
            </w:r>
            <w:r w:rsidR="00AE2B1E">
              <w:rPr>
                <w:rFonts w:cs="Arial"/>
                <w:b/>
                <w:bCs/>
                <w:sz w:val="16"/>
                <w:szCs w:val="16"/>
              </w:rPr>
              <w:t>4</w:t>
            </w:r>
          </w:p>
        </w:tc>
        <w:tc>
          <w:tcPr>
            <w:tcW w:w="67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1458EC" w:rsidRDefault="00490B03" w:rsidP="00BB313D">
            <w:pPr>
              <w:widowControl w:val="0"/>
              <w:spacing w:line="240" w:lineRule="exact"/>
              <w:ind w:right="170"/>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67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
                <w:bCs/>
                <w:sz w:val="16"/>
                <w:szCs w:val="16"/>
              </w:rPr>
            </w:pPr>
            <w:r w:rsidRPr="001458EC">
              <w:rPr>
                <w:rFonts w:cs="Arial"/>
                <w:b/>
                <w:bCs/>
                <w:sz w:val="16"/>
                <w:szCs w:val="16"/>
              </w:rPr>
              <w:t>∆</w:t>
            </w:r>
            <w:r w:rsidR="00AE2B1E">
              <w:rPr>
                <w:rFonts w:cs="Arial"/>
                <w:b/>
                <w:bCs/>
                <w:sz w:val="16"/>
                <w:szCs w:val="16"/>
              </w:rPr>
              <w:t>12</w:t>
            </w:r>
            <w:r w:rsidRPr="001458EC">
              <w:rPr>
                <w:rFonts w:cs="Arial"/>
                <w:b/>
                <w:bCs/>
                <w:sz w:val="16"/>
                <w:szCs w:val="16"/>
              </w:rPr>
              <w:t>-1</w:t>
            </w:r>
            <w:r w:rsidR="00AE2B1E">
              <w:rPr>
                <w:rFonts w:cs="Arial"/>
                <w:b/>
                <w:bCs/>
                <w:sz w:val="16"/>
                <w:szCs w:val="16"/>
              </w:rPr>
              <w:t>4</w:t>
            </w:r>
          </w:p>
        </w:tc>
        <w:tc>
          <w:tcPr>
            <w:tcW w:w="68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1458EC" w:rsidRDefault="00490B03" w:rsidP="00BB313D">
            <w:pPr>
              <w:widowControl w:val="0"/>
              <w:spacing w:line="240" w:lineRule="exact"/>
              <w:ind w:right="170"/>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678"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
                <w:bCs/>
                <w:sz w:val="16"/>
                <w:szCs w:val="16"/>
              </w:rPr>
            </w:pPr>
            <w:r w:rsidRPr="001458EC">
              <w:rPr>
                <w:rFonts w:cs="Arial"/>
                <w:b/>
                <w:bCs/>
                <w:sz w:val="16"/>
                <w:szCs w:val="16"/>
              </w:rPr>
              <w:t>∆</w:t>
            </w:r>
            <w:r w:rsidR="00AE2B1E">
              <w:rPr>
                <w:rFonts w:cs="Arial"/>
                <w:b/>
                <w:bCs/>
                <w:sz w:val="16"/>
                <w:szCs w:val="16"/>
              </w:rPr>
              <w:t>12</w:t>
            </w:r>
            <w:r w:rsidRPr="001458EC">
              <w:rPr>
                <w:rFonts w:cs="Arial"/>
                <w:b/>
                <w:bCs/>
                <w:sz w:val="16"/>
                <w:szCs w:val="16"/>
              </w:rPr>
              <w:t>-1</w:t>
            </w:r>
            <w:r w:rsidR="00AE2B1E">
              <w:rPr>
                <w:rFonts w:cs="Arial"/>
                <w:b/>
                <w:bCs/>
                <w:sz w:val="16"/>
                <w:szCs w:val="16"/>
              </w:rPr>
              <w:t>4</w:t>
            </w:r>
          </w:p>
        </w:tc>
      </w:tr>
      <w:tr w:rsidR="00665097" w:rsidRPr="001458EC" w:rsidTr="00A33F7A">
        <w:trPr>
          <w:jc w:val="center"/>
        </w:trPr>
        <w:tc>
          <w:tcPr>
            <w:tcW w:w="93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1458EC" w:rsidRDefault="00665097" w:rsidP="00BB313D">
            <w:pPr>
              <w:widowControl w:val="0"/>
              <w:spacing w:line="240" w:lineRule="exact"/>
              <w:ind w:right="170"/>
              <w:rPr>
                <w:rFonts w:cs="Arial"/>
                <w:sz w:val="16"/>
                <w:szCs w:val="16"/>
              </w:rPr>
            </w:pPr>
            <w:r w:rsidRPr="001458EC">
              <w:rPr>
                <w:rFonts w:cs="Arial"/>
                <w:sz w:val="16"/>
                <w:szCs w:val="16"/>
              </w:rPr>
              <w:t>Industria</w:t>
            </w:r>
          </w:p>
        </w:tc>
        <w:tc>
          <w:tcPr>
            <w:tcW w:w="677"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65097" w:rsidRPr="00F3439C" w:rsidRDefault="006C5604" w:rsidP="00996F20">
            <w:pPr>
              <w:widowControl w:val="0"/>
              <w:spacing w:line="240" w:lineRule="exact"/>
              <w:ind w:right="181"/>
              <w:jc w:val="center"/>
              <w:rPr>
                <w:rFonts w:cs="Arial"/>
                <w:color w:val="000000"/>
                <w:sz w:val="16"/>
                <w:szCs w:val="16"/>
              </w:rPr>
            </w:pPr>
            <w:r w:rsidRPr="00F3439C">
              <w:rPr>
                <w:rFonts w:cs="Arial"/>
                <w:color w:val="000000"/>
                <w:sz w:val="16"/>
                <w:szCs w:val="16"/>
              </w:rPr>
              <w:t>1.715</w:t>
            </w:r>
          </w:p>
        </w:tc>
        <w:tc>
          <w:tcPr>
            <w:tcW w:w="67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F3439C" w:rsidRDefault="00665097" w:rsidP="00996F20">
            <w:pPr>
              <w:widowControl w:val="0"/>
              <w:spacing w:line="240" w:lineRule="exact"/>
              <w:ind w:right="181"/>
              <w:jc w:val="center"/>
              <w:rPr>
                <w:rFonts w:cs="Arial"/>
                <w:color w:val="000000"/>
                <w:sz w:val="16"/>
                <w:szCs w:val="16"/>
              </w:rPr>
            </w:pPr>
            <w:r w:rsidRPr="00F3439C">
              <w:rPr>
                <w:rFonts w:cs="Arial"/>
                <w:color w:val="000000"/>
                <w:sz w:val="16"/>
                <w:szCs w:val="16"/>
              </w:rPr>
              <w:t>-</w:t>
            </w:r>
            <w:r w:rsidR="00AE2B1E" w:rsidRPr="00F3439C">
              <w:rPr>
                <w:rFonts w:cs="Arial"/>
                <w:color w:val="000000"/>
                <w:sz w:val="16"/>
                <w:szCs w:val="16"/>
              </w:rPr>
              <w:t>24,0</w:t>
            </w:r>
          </w:p>
        </w:tc>
        <w:tc>
          <w:tcPr>
            <w:tcW w:w="678"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665097" w:rsidRPr="00F3439C" w:rsidRDefault="00AE2B1E" w:rsidP="00996F20">
            <w:pPr>
              <w:widowControl w:val="0"/>
              <w:spacing w:line="240" w:lineRule="exact"/>
              <w:ind w:right="181"/>
              <w:jc w:val="center"/>
              <w:rPr>
                <w:rFonts w:cs="Arial"/>
                <w:color w:val="000000"/>
                <w:sz w:val="16"/>
                <w:szCs w:val="16"/>
              </w:rPr>
            </w:pPr>
            <w:r w:rsidRPr="00F3439C">
              <w:rPr>
                <w:rFonts w:cs="Arial"/>
                <w:color w:val="000000"/>
                <w:sz w:val="16"/>
                <w:szCs w:val="16"/>
              </w:rPr>
              <w:t>7.15</w:t>
            </w:r>
            <w:r w:rsidR="00E325BD">
              <w:rPr>
                <w:rFonts w:cs="Arial"/>
                <w:color w:val="000000"/>
                <w:sz w:val="16"/>
                <w:szCs w:val="16"/>
              </w:rPr>
              <w:t>3</w:t>
            </w:r>
          </w:p>
        </w:tc>
        <w:tc>
          <w:tcPr>
            <w:tcW w:w="67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F3439C" w:rsidRDefault="00AE2B1E" w:rsidP="00996F20">
            <w:pPr>
              <w:widowControl w:val="0"/>
              <w:spacing w:line="240" w:lineRule="exact"/>
              <w:ind w:right="181"/>
              <w:jc w:val="center"/>
              <w:rPr>
                <w:rFonts w:cs="Arial"/>
                <w:color w:val="000000"/>
                <w:sz w:val="16"/>
                <w:szCs w:val="16"/>
              </w:rPr>
            </w:pPr>
            <w:r w:rsidRPr="00F3439C">
              <w:rPr>
                <w:rFonts w:cs="Arial"/>
                <w:color w:val="000000"/>
                <w:sz w:val="16"/>
                <w:szCs w:val="16"/>
              </w:rPr>
              <w:t>+3,1</w:t>
            </w:r>
          </w:p>
        </w:tc>
        <w:tc>
          <w:tcPr>
            <w:tcW w:w="680"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665097" w:rsidRPr="00F3439C" w:rsidRDefault="00AE2B1E" w:rsidP="00996F20">
            <w:pPr>
              <w:widowControl w:val="0"/>
              <w:spacing w:line="240" w:lineRule="exact"/>
              <w:ind w:right="181"/>
              <w:jc w:val="center"/>
              <w:rPr>
                <w:rFonts w:cs="Arial"/>
                <w:color w:val="000000"/>
                <w:sz w:val="16"/>
                <w:szCs w:val="16"/>
              </w:rPr>
            </w:pPr>
            <w:r w:rsidRPr="00F3439C">
              <w:rPr>
                <w:rFonts w:cs="Arial"/>
                <w:color w:val="000000"/>
                <w:sz w:val="16"/>
                <w:szCs w:val="16"/>
              </w:rPr>
              <w:t>14.93</w:t>
            </w:r>
            <w:r w:rsidR="00E325BD">
              <w:rPr>
                <w:rFonts w:cs="Arial"/>
                <w:color w:val="000000"/>
                <w:sz w:val="16"/>
                <w:szCs w:val="16"/>
              </w:rPr>
              <w:t>8</w:t>
            </w:r>
          </w:p>
        </w:tc>
        <w:tc>
          <w:tcPr>
            <w:tcW w:w="678" w:type="pct"/>
            <w:tcBorders>
              <w:top w:val="single" w:sz="4" w:space="0" w:color="BFBFBF" w:themeColor="background1" w:themeShade="BF"/>
              <w:bottom w:val="single" w:sz="4" w:space="0" w:color="BFBFBF" w:themeColor="background1" w:themeShade="BF"/>
            </w:tcBorders>
          </w:tcPr>
          <w:p w:rsidR="00665097" w:rsidRPr="00F3439C" w:rsidRDefault="00AE2B1E" w:rsidP="00996F20">
            <w:pPr>
              <w:widowControl w:val="0"/>
              <w:spacing w:line="240" w:lineRule="exact"/>
              <w:ind w:right="181"/>
              <w:jc w:val="center"/>
              <w:rPr>
                <w:rFonts w:cs="Arial"/>
                <w:color w:val="000000"/>
                <w:sz w:val="16"/>
                <w:szCs w:val="16"/>
              </w:rPr>
            </w:pPr>
            <w:r w:rsidRPr="00F3439C">
              <w:rPr>
                <w:rFonts w:cs="Arial"/>
                <w:color w:val="000000"/>
                <w:sz w:val="16"/>
                <w:szCs w:val="16"/>
              </w:rPr>
              <w:t>-9,6</w:t>
            </w:r>
          </w:p>
        </w:tc>
      </w:tr>
    </w:tbl>
    <w:p w:rsidR="00665097" w:rsidRDefault="00665097" w:rsidP="00BB313D">
      <w:pPr>
        <w:widowControl w:val="0"/>
      </w:pPr>
    </w:p>
    <w:p w:rsidR="00C35874" w:rsidRPr="00A76655" w:rsidRDefault="00C35874"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59" w:name="_Toc391999613"/>
      <w:bookmarkStart w:id="160" w:name="_Toc45011949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1458EC">
        <w:rPr>
          <w:rFonts w:cs="Arial"/>
          <w:b/>
          <w:color w:val="1F497D" w:themeColor="text2"/>
          <w:sz w:val="18"/>
          <w:szCs w:val="18"/>
        </w:rPr>
        <w:t>DISTRIBUCIÓN TERRITORIAL DEL EMPLEO INDUSTRIAL POR</w:t>
      </w:r>
      <w:r w:rsidR="00C67053">
        <w:rPr>
          <w:rFonts w:cs="Arial"/>
          <w:b/>
          <w:color w:val="1F497D" w:themeColor="text2"/>
          <w:sz w:val="18"/>
          <w:szCs w:val="18"/>
        </w:rPr>
        <w:t xml:space="preserve"> FORMA JURÍDICA Y EVOLUCIÓN 2012</w:t>
      </w:r>
      <w:r w:rsidR="00665097" w:rsidRPr="001458EC">
        <w:rPr>
          <w:rFonts w:cs="Arial"/>
          <w:b/>
          <w:color w:val="1F497D" w:themeColor="text2"/>
          <w:sz w:val="18"/>
          <w:szCs w:val="18"/>
        </w:rPr>
        <w:t>-201</w:t>
      </w:r>
      <w:bookmarkEnd w:id="159"/>
      <w:r w:rsidR="00C67053">
        <w:rPr>
          <w:rFonts w:cs="Arial"/>
          <w:b/>
          <w:color w:val="1F497D" w:themeColor="text2"/>
          <w:sz w:val="18"/>
          <w:szCs w:val="18"/>
        </w:rPr>
        <w:t>4</w:t>
      </w:r>
      <w:bookmarkEnd w:id="160"/>
      <w:r w:rsidR="00665097" w:rsidRPr="001458EC">
        <w:rPr>
          <w:rFonts w:cs="Arial"/>
          <w:b/>
          <w:color w:val="1F497D" w:themeColor="text2"/>
          <w:sz w:val="18"/>
          <w:szCs w:val="18"/>
        </w:rPr>
        <w:t xml:space="preserve"> </w:t>
      </w:r>
    </w:p>
    <w:tbl>
      <w:tblPr>
        <w:tblW w:w="9940" w:type="dxa"/>
        <w:jc w:val="center"/>
        <w:tblLook w:val="04A0" w:firstRow="1" w:lastRow="0" w:firstColumn="1" w:lastColumn="0" w:noHBand="0" w:noVBand="1"/>
      </w:tblPr>
      <w:tblGrid>
        <w:gridCol w:w="1951"/>
        <w:gridCol w:w="1224"/>
        <w:gridCol w:w="1392"/>
        <w:gridCol w:w="1225"/>
        <w:gridCol w:w="1392"/>
        <w:gridCol w:w="1364"/>
        <w:gridCol w:w="1392"/>
      </w:tblGrid>
      <w:tr w:rsidR="00665097" w:rsidRPr="001458EC" w:rsidTr="00D122F5">
        <w:trPr>
          <w:jc w:val="center"/>
        </w:trPr>
        <w:tc>
          <w:tcPr>
            <w:tcW w:w="982" w:type="pct"/>
            <w:tcBorders>
              <w:top w:val="single" w:sz="4" w:space="0" w:color="BFBFBF" w:themeColor="background1" w:themeShade="BF"/>
              <w:right w:val="single" w:sz="4" w:space="0" w:color="BFBFBF" w:themeColor="background1" w:themeShade="BF"/>
            </w:tcBorders>
            <w:shd w:val="clear" w:color="auto" w:fill="DBE5F1" w:themeFill="accent1" w:themeFillTint="33"/>
          </w:tcPr>
          <w:p w:rsidR="00665097" w:rsidRPr="001458EC" w:rsidRDefault="00665097" w:rsidP="00BB313D">
            <w:pPr>
              <w:widowControl w:val="0"/>
              <w:spacing w:line="240" w:lineRule="exact"/>
              <w:ind w:right="170"/>
              <w:jc w:val="center"/>
              <w:rPr>
                <w:rFonts w:cs="Arial"/>
                <w:bCs/>
                <w:sz w:val="16"/>
                <w:szCs w:val="16"/>
              </w:rPr>
            </w:pPr>
          </w:p>
        </w:tc>
        <w:tc>
          <w:tcPr>
            <w:tcW w:w="13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Default="00665097" w:rsidP="00BB313D">
            <w:pPr>
              <w:widowControl w:val="0"/>
              <w:spacing w:line="240" w:lineRule="exact"/>
              <w:ind w:right="170"/>
              <w:jc w:val="center"/>
              <w:rPr>
                <w:rFonts w:cs="Arial"/>
                <w:b/>
                <w:bCs/>
                <w:sz w:val="16"/>
                <w:szCs w:val="16"/>
              </w:rPr>
            </w:pPr>
            <w:r w:rsidRPr="001458EC">
              <w:rPr>
                <w:rFonts w:cs="Arial"/>
                <w:b/>
                <w:bCs/>
                <w:sz w:val="16"/>
                <w:szCs w:val="16"/>
              </w:rPr>
              <w:t>Álava</w:t>
            </w:r>
          </w:p>
          <w:p w:rsidR="00665097" w:rsidRPr="001458EC" w:rsidRDefault="00665097" w:rsidP="00BB313D">
            <w:pPr>
              <w:widowControl w:val="0"/>
              <w:spacing w:line="240" w:lineRule="exact"/>
              <w:ind w:right="170"/>
              <w:jc w:val="center"/>
              <w:rPr>
                <w:rFonts w:cs="Arial"/>
                <w:b/>
                <w:bCs/>
                <w:sz w:val="16"/>
                <w:szCs w:val="16"/>
              </w:rPr>
            </w:pPr>
            <w:r>
              <w:rPr>
                <w:rFonts w:cs="Arial"/>
                <w:b/>
                <w:bCs/>
                <w:sz w:val="16"/>
                <w:szCs w:val="16"/>
              </w:rPr>
              <w:t>201</w:t>
            </w:r>
            <w:r w:rsidR="00F0724A">
              <w:rPr>
                <w:rFonts w:cs="Arial"/>
                <w:b/>
                <w:bCs/>
                <w:sz w:val="16"/>
                <w:szCs w:val="16"/>
              </w:rPr>
              <w:t>4</w:t>
            </w:r>
          </w:p>
        </w:tc>
        <w:tc>
          <w:tcPr>
            <w:tcW w:w="131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Default="00665097" w:rsidP="00BB313D">
            <w:pPr>
              <w:widowControl w:val="0"/>
              <w:spacing w:line="240" w:lineRule="exact"/>
              <w:ind w:right="170"/>
              <w:jc w:val="center"/>
              <w:rPr>
                <w:rFonts w:cs="Arial"/>
                <w:b/>
                <w:bCs/>
                <w:sz w:val="16"/>
                <w:szCs w:val="16"/>
              </w:rPr>
            </w:pPr>
            <w:proofErr w:type="spellStart"/>
            <w:r w:rsidRPr="001458EC">
              <w:rPr>
                <w:rFonts w:cs="Arial"/>
                <w:b/>
                <w:bCs/>
                <w:sz w:val="16"/>
                <w:szCs w:val="16"/>
              </w:rPr>
              <w:t>Bizkaia</w:t>
            </w:r>
            <w:proofErr w:type="spellEnd"/>
          </w:p>
          <w:p w:rsidR="00665097" w:rsidRPr="001458EC" w:rsidRDefault="00665097" w:rsidP="00BB313D">
            <w:pPr>
              <w:widowControl w:val="0"/>
              <w:spacing w:line="240" w:lineRule="exact"/>
              <w:ind w:right="170"/>
              <w:jc w:val="center"/>
              <w:rPr>
                <w:rFonts w:cs="Arial"/>
                <w:b/>
                <w:bCs/>
                <w:sz w:val="16"/>
                <w:szCs w:val="16"/>
              </w:rPr>
            </w:pPr>
            <w:r>
              <w:rPr>
                <w:rFonts w:cs="Arial"/>
                <w:b/>
                <w:bCs/>
                <w:sz w:val="16"/>
                <w:szCs w:val="16"/>
              </w:rPr>
              <w:t>201</w:t>
            </w:r>
            <w:r w:rsidR="00F0724A">
              <w:rPr>
                <w:rFonts w:cs="Arial"/>
                <w:b/>
                <w:bCs/>
                <w:sz w:val="16"/>
                <w:szCs w:val="16"/>
              </w:rPr>
              <w:t>4</w:t>
            </w:r>
          </w:p>
        </w:tc>
        <w:tc>
          <w:tcPr>
            <w:tcW w:w="13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Default="00665097" w:rsidP="00BB313D">
            <w:pPr>
              <w:widowControl w:val="0"/>
              <w:spacing w:line="240" w:lineRule="exact"/>
              <w:ind w:right="170"/>
              <w:jc w:val="center"/>
              <w:rPr>
                <w:rFonts w:cs="Arial"/>
                <w:b/>
                <w:bCs/>
                <w:sz w:val="16"/>
                <w:szCs w:val="16"/>
              </w:rPr>
            </w:pPr>
            <w:proofErr w:type="spellStart"/>
            <w:r w:rsidRPr="001458EC">
              <w:rPr>
                <w:rFonts w:cs="Arial"/>
                <w:b/>
                <w:bCs/>
                <w:sz w:val="16"/>
                <w:szCs w:val="16"/>
              </w:rPr>
              <w:t>Gipuzkoa</w:t>
            </w:r>
            <w:proofErr w:type="spellEnd"/>
          </w:p>
          <w:p w:rsidR="00665097" w:rsidRPr="001458EC" w:rsidRDefault="00665097" w:rsidP="00BB313D">
            <w:pPr>
              <w:widowControl w:val="0"/>
              <w:spacing w:line="240" w:lineRule="exact"/>
              <w:ind w:right="170"/>
              <w:jc w:val="center"/>
              <w:rPr>
                <w:rFonts w:cs="Arial"/>
                <w:b/>
                <w:bCs/>
                <w:sz w:val="16"/>
                <w:szCs w:val="16"/>
              </w:rPr>
            </w:pPr>
            <w:r>
              <w:rPr>
                <w:rFonts w:cs="Arial"/>
                <w:b/>
                <w:bCs/>
                <w:sz w:val="16"/>
                <w:szCs w:val="16"/>
              </w:rPr>
              <w:t>201</w:t>
            </w:r>
            <w:r w:rsidR="00F0724A">
              <w:rPr>
                <w:rFonts w:cs="Arial"/>
                <w:b/>
                <w:bCs/>
                <w:sz w:val="16"/>
                <w:szCs w:val="16"/>
              </w:rPr>
              <w:t>4</w:t>
            </w:r>
          </w:p>
        </w:tc>
      </w:tr>
      <w:tr w:rsidR="00AE2B1E" w:rsidRPr="001458EC" w:rsidTr="00D122F5">
        <w:trPr>
          <w:jc w:val="center"/>
        </w:trPr>
        <w:tc>
          <w:tcPr>
            <w:tcW w:w="982"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AE2B1E" w:rsidRPr="001458EC" w:rsidRDefault="00AE2B1E" w:rsidP="00BB313D">
            <w:pPr>
              <w:widowControl w:val="0"/>
              <w:spacing w:line="240" w:lineRule="exact"/>
              <w:ind w:right="170"/>
              <w:rPr>
                <w:rFonts w:cs="Arial"/>
                <w:sz w:val="16"/>
                <w:szCs w:val="16"/>
              </w:rPr>
            </w:pP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AE2B1E" w:rsidRPr="001458EC" w:rsidRDefault="00AE2B1E" w:rsidP="00BB313D">
            <w:pPr>
              <w:widowControl w:val="0"/>
              <w:spacing w:line="240" w:lineRule="exact"/>
              <w:ind w:right="170"/>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E2B1E" w:rsidRPr="001458EC" w:rsidRDefault="00AE2B1E" w:rsidP="00BB313D">
            <w:pPr>
              <w:widowControl w:val="0"/>
              <w:spacing w:line="240" w:lineRule="exact"/>
              <w:ind w:right="170"/>
              <w:jc w:val="center"/>
              <w:rPr>
                <w:rFonts w:cs="Arial"/>
                <w:b/>
                <w:bCs/>
                <w:sz w:val="16"/>
                <w:szCs w:val="16"/>
              </w:rPr>
            </w:pPr>
            <w:r w:rsidRPr="001458EC">
              <w:rPr>
                <w:rFonts w:cs="Arial"/>
                <w:b/>
                <w:bCs/>
                <w:sz w:val="16"/>
                <w:szCs w:val="16"/>
              </w:rPr>
              <w:t>∆</w:t>
            </w:r>
            <w:r>
              <w:rPr>
                <w:rFonts w:cs="Arial"/>
                <w:b/>
                <w:bCs/>
                <w:sz w:val="16"/>
                <w:szCs w:val="16"/>
              </w:rPr>
              <w:t>12</w:t>
            </w:r>
            <w:r w:rsidRPr="001458EC">
              <w:rPr>
                <w:rFonts w:cs="Arial"/>
                <w:b/>
                <w:bCs/>
                <w:sz w:val="16"/>
                <w:szCs w:val="16"/>
              </w:rPr>
              <w:t>-1</w:t>
            </w:r>
            <w:r>
              <w:rPr>
                <w:rFonts w:cs="Arial"/>
                <w:b/>
                <w:bCs/>
                <w:sz w:val="16"/>
                <w:szCs w:val="16"/>
              </w:rPr>
              <w:t>4</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AE2B1E" w:rsidRPr="001458EC" w:rsidRDefault="00AE2B1E" w:rsidP="00BB313D">
            <w:pPr>
              <w:widowControl w:val="0"/>
              <w:spacing w:line="240" w:lineRule="exact"/>
              <w:ind w:right="170"/>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AE2B1E" w:rsidRPr="001458EC" w:rsidRDefault="00AE2B1E" w:rsidP="00BB313D">
            <w:pPr>
              <w:widowControl w:val="0"/>
              <w:spacing w:line="240" w:lineRule="exact"/>
              <w:ind w:right="170"/>
              <w:jc w:val="center"/>
              <w:rPr>
                <w:rFonts w:cs="Arial"/>
                <w:b/>
                <w:bCs/>
                <w:sz w:val="16"/>
                <w:szCs w:val="16"/>
              </w:rPr>
            </w:pPr>
            <w:r w:rsidRPr="001458EC">
              <w:rPr>
                <w:rFonts w:cs="Arial"/>
                <w:b/>
                <w:bCs/>
                <w:sz w:val="16"/>
                <w:szCs w:val="16"/>
              </w:rPr>
              <w:t>∆</w:t>
            </w:r>
            <w:r>
              <w:rPr>
                <w:rFonts w:cs="Arial"/>
                <w:b/>
                <w:bCs/>
                <w:sz w:val="16"/>
                <w:szCs w:val="16"/>
              </w:rPr>
              <w:t>12</w:t>
            </w:r>
            <w:r w:rsidRPr="001458EC">
              <w:rPr>
                <w:rFonts w:cs="Arial"/>
                <w:b/>
                <w:bCs/>
                <w:sz w:val="16"/>
                <w:szCs w:val="16"/>
              </w:rPr>
              <w:t>-1</w:t>
            </w:r>
            <w:r>
              <w:rPr>
                <w:rFonts w:cs="Arial"/>
                <w:b/>
                <w:bCs/>
                <w:sz w:val="16"/>
                <w:szCs w:val="16"/>
              </w:rPr>
              <w:t>4</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AE2B1E" w:rsidRPr="001458EC" w:rsidRDefault="00AE2B1E" w:rsidP="00BB313D">
            <w:pPr>
              <w:widowControl w:val="0"/>
              <w:spacing w:line="240" w:lineRule="exact"/>
              <w:ind w:right="170"/>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700"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AE2B1E" w:rsidRPr="001458EC" w:rsidRDefault="00AE2B1E" w:rsidP="00BB313D">
            <w:pPr>
              <w:widowControl w:val="0"/>
              <w:spacing w:line="240" w:lineRule="exact"/>
              <w:ind w:right="170"/>
              <w:jc w:val="center"/>
              <w:rPr>
                <w:rFonts w:cs="Arial"/>
                <w:b/>
                <w:bCs/>
                <w:sz w:val="16"/>
                <w:szCs w:val="16"/>
              </w:rPr>
            </w:pPr>
            <w:r w:rsidRPr="001458EC">
              <w:rPr>
                <w:rFonts w:cs="Arial"/>
                <w:b/>
                <w:bCs/>
                <w:sz w:val="16"/>
                <w:szCs w:val="16"/>
              </w:rPr>
              <w:t>∆</w:t>
            </w:r>
            <w:r>
              <w:rPr>
                <w:rFonts w:cs="Arial"/>
                <w:b/>
                <w:bCs/>
                <w:sz w:val="16"/>
                <w:szCs w:val="16"/>
              </w:rPr>
              <w:t>12</w:t>
            </w:r>
            <w:r w:rsidRPr="001458EC">
              <w:rPr>
                <w:rFonts w:cs="Arial"/>
                <w:b/>
                <w:bCs/>
                <w:sz w:val="16"/>
                <w:szCs w:val="16"/>
              </w:rPr>
              <w:t>-1</w:t>
            </w:r>
            <w:r>
              <w:rPr>
                <w:rFonts w:cs="Arial"/>
                <w:b/>
                <w:bCs/>
                <w:sz w:val="16"/>
                <w:szCs w:val="16"/>
              </w:rPr>
              <w:t>4</w:t>
            </w:r>
          </w:p>
        </w:tc>
      </w:tr>
      <w:tr w:rsidR="00665097" w:rsidRPr="001458EC" w:rsidTr="00D122F5">
        <w:trPr>
          <w:jc w:val="center"/>
        </w:trPr>
        <w:tc>
          <w:tcPr>
            <w:tcW w:w="982" w:type="pct"/>
            <w:tcBorders>
              <w:top w:val="single" w:sz="4" w:space="0" w:color="BFBFBF" w:themeColor="background1" w:themeShade="BF"/>
              <w:right w:val="single" w:sz="4" w:space="0" w:color="BFBFBF" w:themeColor="background1" w:themeShade="BF"/>
            </w:tcBorders>
          </w:tcPr>
          <w:p w:rsidR="00665097" w:rsidRPr="00DC676F" w:rsidRDefault="00665097" w:rsidP="00BB313D">
            <w:pPr>
              <w:widowControl w:val="0"/>
              <w:spacing w:line="240" w:lineRule="exact"/>
              <w:rPr>
                <w:rFonts w:cs="Arial"/>
                <w:sz w:val="16"/>
                <w:szCs w:val="16"/>
              </w:rPr>
            </w:pPr>
            <w:r w:rsidRPr="00DC676F">
              <w:rPr>
                <w:rFonts w:cs="Arial"/>
                <w:sz w:val="16"/>
                <w:szCs w:val="16"/>
              </w:rPr>
              <w:t>Cooperativas</w:t>
            </w:r>
          </w:p>
        </w:tc>
        <w:tc>
          <w:tcPr>
            <w:tcW w:w="616" w:type="pct"/>
            <w:tcBorders>
              <w:top w:val="single" w:sz="4" w:space="0" w:color="BFBFBF" w:themeColor="background1" w:themeShade="BF"/>
              <w:left w:val="single" w:sz="4" w:space="0" w:color="BFBFBF" w:themeColor="background1" w:themeShade="BF"/>
            </w:tcBorders>
            <w:vAlign w:val="bottom"/>
          </w:tcPr>
          <w:p w:rsidR="00665097" w:rsidRPr="008915A3" w:rsidRDefault="008915A3" w:rsidP="00996F20">
            <w:pPr>
              <w:widowControl w:val="0"/>
              <w:spacing w:line="240" w:lineRule="exact"/>
              <w:ind w:right="170"/>
              <w:jc w:val="right"/>
              <w:rPr>
                <w:rFonts w:cs="Arial"/>
                <w:color w:val="000000"/>
                <w:sz w:val="16"/>
                <w:szCs w:val="16"/>
              </w:rPr>
            </w:pPr>
            <w:r w:rsidRPr="008915A3">
              <w:rPr>
                <w:rFonts w:cs="Arial"/>
                <w:color w:val="000000"/>
                <w:sz w:val="16"/>
                <w:szCs w:val="16"/>
              </w:rPr>
              <w:t>1.470</w:t>
            </w:r>
          </w:p>
        </w:tc>
        <w:tc>
          <w:tcPr>
            <w:tcW w:w="700" w:type="pct"/>
            <w:tcBorders>
              <w:top w:val="single" w:sz="4" w:space="0" w:color="BFBFBF" w:themeColor="background1" w:themeShade="BF"/>
              <w:right w:val="single" w:sz="4" w:space="0" w:color="BFBFBF" w:themeColor="background1" w:themeShade="BF"/>
            </w:tcBorders>
            <w:vAlign w:val="bottom"/>
          </w:tcPr>
          <w:p w:rsidR="00665097" w:rsidRPr="008915A3" w:rsidRDefault="007236EC" w:rsidP="00996F20">
            <w:pPr>
              <w:widowControl w:val="0"/>
              <w:spacing w:line="240" w:lineRule="exact"/>
              <w:ind w:right="170"/>
              <w:jc w:val="center"/>
              <w:rPr>
                <w:rFonts w:cs="Arial"/>
                <w:color w:val="000000"/>
                <w:sz w:val="16"/>
                <w:szCs w:val="16"/>
              </w:rPr>
            </w:pPr>
            <w:r>
              <w:rPr>
                <w:rFonts w:cs="Arial"/>
                <w:color w:val="000000"/>
                <w:sz w:val="16"/>
                <w:szCs w:val="16"/>
              </w:rPr>
              <w:t>-24,1</w:t>
            </w:r>
          </w:p>
        </w:tc>
        <w:tc>
          <w:tcPr>
            <w:tcW w:w="616" w:type="pct"/>
            <w:tcBorders>
              <w:top w:val="single" w:sz="4" w:space="0" w:color="BFBFBF" w:themeColor="background1" w:themeShade="BF"/>
              <w:left w:val="single" w:sz="4" w:space="0" w:color="BFBFBF" w:themeColor="background1" w:themeShade="BF"/>
            </w:tcBorders>
            <w:noWrap/>
            <w:vAlign w:val="bottom"/>
          </w:tcPr>
          <w:p w:rsidR="00665097" w:rsidRPr="00EE5F74" w:rsidRDefault="00E956BD" w:rsidP="00996F20">
            <w:pPr>
              <w:widowControl w:val="0"/>
              <w:spacing w:line="240" w:lineRule="exact"/>
              <w:ind w:right="170"/>
              <w:jc w:val="right"/>
              <w:rPr>
                <w:rFonts w:cs="Arial"/>
                <w:color w:val="000000"/>
                <w:sz w:val="16"/>
                <w:szCs w:val="16"/>
              </w:rPr>
            </w:pPr>
            <w:r w:rsidRPr="00E956BD">
              <w:rPr>
                <w:rFonts w:cs="Arial"/>
                <w:color w:val="000000"/>
                <w:sz w:val="16"/>
                <w:szCs w:val="16"/>
              </w:rPr>
              <w:t>5.318</w:t>
            </w:r>
          </w:p>
        </w:tc>
        <w:tc>
          <w:tcPr>
            <w:tcW w:w="700" w:type="pct"/>
            <w:tcBorders>
              <w:top w:val="single" w:sz="4" w:space="0" w:color="BFBFBF" w:themeColor="background1" w:themeShade="BF"/>
              <w:right w:val="single" w:sz="4" w:space="0" w:color="BFBFBF" w:themeColor="background1" w:themeShade="BF"/>
            </w:tcBorders>
            <w:vAlign w:val="bottom"/>
          </w:tcPr>
          <w:p w:rsidR="00665097" w:rsidRPr="008915A3" w:rsidRDefault="007E681F" w:rsidP="00996F20">
            <w:pPr>
              <w:widowControl w:val="0"/>
              <w:spacing w:line="240" w:lineRule="exact"/>
              <w:ind w:right="170"/>
              <w:jc w:val="center"/>
              <w:rPr>
                <w:rFonts w:cs="Arial"/>
                <w:color w:val="000000"/>
                <w:sz w:val="16"/>
                <w:szCs w:val="16"/>
              </w:rPr>
            </w:pPr>
            <w:r>
              <w:rPr>
                <w:rFonts w:cs="Arial"/>
                <w:color w:val="000000"/>
                <w:sz w:val="16"/>
                <w:szCs w:val="16"/>
              </w:rPr>
              <w:t>+2,0</w:t>
            </w:r>
          </w:p>
        </w:tc>
        <w:tc>
          <w:tcPr>
            <w:tcW w:w="686" w:type="pct"/>
            <w:tcBorders>
              <w:top w:val="single" w:sz="4" w:space="0" w:color="BFBFBF" w:themeColor="background1" w:themeShade="BF"/>
              <w:left w:val="single" w:sz="4" w:space="0" w:color="BFBFBF" w:themeColor="background1" w:themeShade="BF"/>
            </w:tcBorders>
            <w:noWrap/>
            <w:vAlign w:val="bottom"/>
          </w:tcPr>
          <w:p w:rsidR="00665097" w:rsidRPr="008915A3" w:rsidRDefault="00EE5F74" w:rsidP="00996F20">
            <w:pPr>
              <w:widowControl w:val="0"/>
              <w:spacing w:line="240" w:lineRule="exact"/>
              <w:ind w:right="170"/>
              <w:jc w:val="right"/>
              <w:rPr>
                <w:rFonts w:cs="Arial"/>
                <w:color w:val="000000"/>
                <w:sz w:val="16"/>
                <w:szCs w:val="16"/>
              </w:rPr>
            </w:pPr>
            <w:r w:rsidRPr="00EE5F74">
              <w:rPr>
                <w:rFonts w:cs="Arial"/>
                <w:color w:val="000000"/>
                <w:sz w:val="16"/>
                <w:szCs w:val="16"/>
              </w:rPr>
              <w:t>12.449</w:t>
            </w:r>
          </w:p>
        </w:tc>
        <w:tc>
          <w:tcPr>
            <w:tcW w:w="700" w:type="pct"/>
            <w:tcBorders>
              <w:top w:val="single" w:sz="4" w:space="0" w:color="BFBFBF" w:themeColor="background1" w:themeShade="BF"/>
            </w:tcBorders>
            <w:vAlign w:val="bottom"/>
          </w:tcPr>
          <w:p w:rsidR="00665097" w:rsidRPr="008915A3" w:rsidRDefault="009F5EA1" w:rsidP="00996F20">
            <w:pPr>
              <w:widowControl w:val="0"/>
              <w:spacing w:line="240" w:lineRule="exact"/>
              <w:ind w:right="170"/>
              <w:jc w:val="center"/>
              <w:rPr>
                <w:rFonts w:cs="Arial"/>
                <w:color w:val="000000"/>
                <w:sz w:val="16"/>
                <w:szCs w:val="16"/>
              </w:rPr>
            </w:pPr>
            <w:r>
              <w:rPr>
                <w:rFonts w:cs="Arial"/>
                <w:color w:val="000000"/>
                <w:sz w:val="16"/>
                <w:szCs w:val="16"/>
              </w:rPr>
              <w:t>-11,0</w:t>
            </w:r>
          </w:p>
        </w:tc>
      </w:tr>
      <w:tr w:rsidR="00665097" w:rsidRPr="001458EC" w:rsidTr="00D122F5">
        <w:trPr>
          <w:jc w:val="center"/>
        </w:trPr>
        <w:tc>
          <w:tcPr>
            <w:tcW w:w="982" w:type="pct"/>
            <w:tcBorders>
              <w:right w:val="single" w:sz="4" w:space="0" w:color="BFBFBF" w:themeColor="background1" w:themeShade="BF"/>
            </w:tcBorders>
          </w:tcPr>
          <w:p w:rsidR="00665097" w:rsidRPr="00DC676F" w:rsidRDefault="00665097" w:rsidP="00BB313D">
            <w:pPr>
              <w:widowControl w:val="0"/>
              <w:spacing w:line="240" w:lineRule="exact"/>
              <w:rPr>
                <w:rFonts w:cs="Arial"/>
                <w:sz w:val="16"/>
                <w:szCs w:val="16"/>
              </w:rPr>
            </w:pPr>
            <w:r w:rsidRPr="00DC676F">
              <w:rPr>
                <w:rFonts w:cs="Arial"/>
                <w:sz w:val="16"/>
                <w:szCs w:val="16"/>
              </w:rPr>
              <w:t>S.L.es</w:t>
            </w:r>
          </w:p>
        </w:tc>
        <w:tc>
          <w:tcPr>
            <w:tcW w:w="616" w:type="pct"/>
            <w:tcBorders>
              <w:left w:val="single" w:sz="4" w:space="0" w:color="BFBFBF" w:themeColor="background1" w:themeShade="BF"/>
            </w:tcBorders>
            <w:vAlign w:val="bottom"/>
          </w:tcPr>
          <w:p w:rsidR="00665097" w:rsidRPr="008915A3" w:rsidRDefault="00A90FC8" w:rsidP="00996F20">
            <w:pPr>
              <w:widowControl w:val="0"/>
              <w:spacing w:line="240" w:lineRule="exact"/>
              <w:ind w:right="170"/>
              <w:jc w:val="right"/>
              <w:rPr>
                <w:rFonts w:cs="Arial"/>
                <w:color w:val="000000"/>
                <w:sz w:val="16"/>
                <w:szCs w:val="16"/>
              </w:rPr>
            </w:pPr>
            <w:r>
              <w:rPr>
                <w:rFonts w:cs="Arial"/>
                <w:color w:val="000000"/>
                <w:sz w:val="16"/>
                <w:szCs w:val="16"/>
              </w:rPr>
              <w:t>245</w:t>
            </w:r>
          </w:p>
        </w:tc>
        <w:tc>
          <w:tcPr>
            <w:tcW w:w="700" w:type="pct"/>
            <w:tcBorders>
              <w:right w:val="single" w:sz="4" w:space="0" w:color="BFBFBF" w:themeColor="background1" w:themeShade="BF"/>
            </w:tcBorders>
            <w:vAlign w:val="bottom"/>
          </w:tcPr>
          <w:p w:rsidR="00665097" w:rsidRPr="008915A3" w:rsidRDefault="00F77899" w:rsidP="00996F20">
            <w:pPr>
              <w:widowControl w:val="0"/>
              <w:spacing w:line="240" w:lineRule="exact"/>
              <w:ind w:right="170"/>
              <w:jc w:val="center"/>
              <w:rPr>
                <w:rFonts w:cs="Arial"/>
                <w:color w:val="000000"/>
                <w:sz w:val="16"/>
                <w:szCs w:val="16"/>
              </w:rPr>
            </w:pPr>
            <w:r>
              <w:rPr>
                <w:rFonts w:cs="Arial"/>
                <w:color w:val="000000"/>
                <w:sz w:val="16"/>
                <w:szCs w:val="16"/>
              </w:rPr>
              <w:t>-55,5</w:t>
            </w:r>
          </w:p>
        </w:tc>
        <w:tc>
          <w:tcPr>
            <w:tcW w:w="616" w:type="pct"/>
            <w:tcBorders>
              <w:left w:val="single" w:sz="4" w:space="0" w:color="BFBFBF" w:themeColor="background1" w:themeShade="BF"/>
            </w:tcBorders>
            <w:noWrap/>
            <w:vAlign w:val="bottom"/>
          </w:tcPr>
          <w:p w:rsidR="00665097" w:rsidRPr="008915A3" w:rsidRDefault="00E956BD" w:rsidP="00996F20">
            <w:pPr>
              <w:widowControl w:val="0"/>
              <w:spacing w:line="240" w:lineRule="exact"/>
              <w:ind w:right="170"/>
              <w:jc w:val="right"/>
              <w:rPr>
                <w:rFonts w:cs="Arial"/>
                <w:color w:val="000000"/>
                <w:sz w:val="16"/>
                <w:szCs w:val="16"/>
              </w:rPr>
            </w:pPr>
            <w:r>
              <w:rPr>
                <w:rFonts w:cs="Arial"/>
                <w:color w:val="000000"/>
                <w:sz w:val="16"/>
                <w:szCs w:val="16"/>
              </w:rPr>
              <w:t>1.835</w:t>
            </w:r>
          </w:p>
        </w:tc>
        <w:tc>
          <w:tcPr>
            <w:tcW w:w="700" w:type="pct"/>
            <w:tcBorders>
              <w:right w:val="single" w:sz="4" w:space="0" w:color="BFBFBF" w:themeColor="background1" w:themeShade="BF"/>
            </w:tcBorders>
            <w:vAlign w:val="bottom"/>
          </w:tcPr>
          <w:p w:rsidR="00665097" w:rsidRPr="008915A3" w:rsidRDefault="007E681F" w:rsidP="00996F20">
            <w:pPr>
              <w:widowControl w:val="0"/>
              <w:spacing w:line="240" w:lineRule="exact"/>
              <w:ind w:right="170"/>
              <w:jc w:val="center"/>
              <w:rPr>
                <w:rFonts w:cs="Arial"/>
                <w:color w:val="000000"/>
                <w:sz w:val="16"/>
                <w:szCs w:val="16"/>
              </w:rPr>
            </w:pPr>
            <w:r>
              <w:rPr>
                <w:rFonts w:cs="Arial"/>
                <w:color w:val="000000"/>
                <w:sz w:val="16"/>
                <w:szCs w:val="16"/>
              </w:rPr>
              <w:t>+6,4</w:t>
            </w:r>
          </w:p>
        </w:tc>
        <w:tc>
          <w:tcPr>
            <w:tcW w:w="686" w:type="pct"/>
            <w:tcBorders>
              <w:left w:val="single" w:sz="4" w:space="0" w:color="BFBFBF" w:themeColor="background1" w:themeShade="BF"/>
            </w:tcBorders>
            <w:noWrap/>
            <w:vAlign w:val="bottom"/>
          </w:tcPr>
          <w:p w:rsidR="00665097" w:rsidRPr="008915A3" w:rsidRDefault="00EE5F74" w:rsidP="00996F20">
            <w:pPr>
              <w:widowControl w:val="0"/>
              <w:spacing w:line="240" w:lineRule="exact"/>
              <w:ind w:right="170"/>
              <w:jc w:val="right"/>
              <w:rPr>
                <w:rFonts w:cs="Arial"/>
                <w:color w:val="000000"/>
                <w:sz w:val="16"/>
                <w:szCs w:val="16"/>
              </w:rPr>
            </w:pPr>
            <w:r>
              <w:rPr>
                <w:rFonts w:cs="Arial"/>
                <w:color w:val="000000"/>
                <w:sz w:val="16"/>
                <w:szCs w:val="16"/>
              </w:rPr>
              <w:t>2.489</w:t>
            </w:r>
          </w:p>
        </w:tc>
        <w:tc>
          <w:tcPr>
            <w:tcW w:w="700" w:type="pct"/>
            <w:vAlign w:val="bottom"/>
          </w:tcPr>
          <w:p w:rsidR="00665097" w:rsidRPr="008915A3" w:rsidRDefault="009F5EA1" w:rsidP="00996F20">
            <w:pPr>
              <w:widowControl w:val="0"/>
              <w:spacing w:line="240" w:lineRule="exact"/>
              <w:ind w:right="170"/>
              <w:jc w:val="center"/>
              <w:rPr>
                <w:rFonts w:cs="Arial"/>
                <w:color w:val="000000"/>
                <w:sz w:val="16"/>
                <w:szCs w:val="16"/>
              </w:rPr>
            </w:pPr>
            <w:r>
              <w:rPr>
                <w:rFonts w:cs="Arial"/>
                <w:color w:val="000000"/>
                <w:sz w:val="16"/>
                <w:szCs w:val="16"/>
              </w:rPr>
              <w:t>-1,7</w:t>
            </w:r>
          </w:p>
        </w:tc>
      </w:tr>
      <w:tr w:rsidR="00665097" w:rsidRPr="001458EC" w:rsidTr="00D122F5">
        <w:trPr>
          <w:jc w:val="center"/>
        </w:trPr>
        <w:tc>
          <w:tcPr>
            <w:tcW w:w="982" w:type="pct"/>
            <w:tcBorders>
              <w:right w:val="single" w:sz="4" w:space="0" w:color="BFBFBF" w:themeColor="background1" w:themeShade="BF"/>
            </w:tcBorders>
          </w:tcPr>
          <w:p w:rsidR="00665097" w:rsidRPr="00DC676F" w:rsidRDefault="00665097" w:rsidP="00BB313D">
            <w:pPr>
              <w:widowControl w:val="0"/>
              <w:spacing w:line="240" w:lineRule="exact"/>
              <w:rPr>
                <w:rFonts w:cs="Arial"/>
                <w:sz w:val="16"/>
                <w:szCs w:val="16"/>
              </w:rPr>
            </w:pPr>
            <w:r w:rsidRPr="00DC676F">
              <w:rPr>
                <w:rFonts w:cs="Arial"/>
                <w:sz w:val="16"/>
                <w:szCs w:val="16"/>
              </w:rPr>
              <w:tab/>
              <w:t>S.A.L.es</w:t>
            </w:r>
          </w:p>
        </w:tc>
        <w:tc>
          <w:tcPr>
            <w:tcW w:w="616" w:type="pct"/>
            <w:tcBorders>
              <w:left w:val="single" w:sz="4" w:space="0" w:color="BFBFBF" w:themeColor="background1" w:themeShade="BF"/>
            </w:tcBorders>
            <w:vAlign w:val="bottom"/>
          </w:tcPr>
          <w:p w:rsidR="00665097" w:rsidRPr="00A90FC8" w:rsidRDefault="008915A3" w:rsidP="00996F20">
            <w:pPr>
              <w:widowControl w:val="0"/>
              <w:spacing w:line="240" w:lineRule="exact"/>
              <w:ind w:right="170"/>
              <w:jc w:val="right"/>
              <w:rPr>
                <w:rFonts w:cs="Arial"/>
                <w:color w:val="000000"/>
                <w:sz w:val="16"/>
                <w:szCs w:val="16"/>
              </w:rPr>
            </w:pPr>
            <w:r w:rsidRPr="00A90FC8">
              <w:rPr>
                <w:rFonts w:cs="Arial"/>
                <w:color w:val="000000"/>
                <w:sz w:val="16"/>
                <w:szCs w:val="16"/>
              </w:rPr>
              <w:t>109</w:t>
            </w:r>
          </w:p>
        </w:tc>
        <w:tc>
          <w:tcPr>
            <w:tcW w:w="700" w:type="pct"/>
            <w:tcBorders>
              <w:right w:val="single" w:sz="4" w:space="0" w:color="BFBFBF" w:themeColor="background1" w:themeShade="BF"/>
            </w:tcBorders>
            <w:vAlign w:val="bottom"/>
          </w:tcPr>
          <w:p w:rsidR="00665097" w:rsidRPr="008915A3" w:rsidRDefault="00C67053" w:rsidP="00996F20">
            <w:pPr>
              <w:widowControl w:val="0"/>
              <w:spacing w:line="240" w:lineRule="exact"/>
              <w:ind w:right="170"/>
              <w:jc w:val="center"/>
              <w:rPr>
                <w:rFonts w:cs="Arial"/>
                <w:color w:val="000000"/>
                <w:sz w:val="16"/>
                <w:szCs w:val="16"/>
              </w:rPr>
            </w:pPr>
            <w:r>
              <w:rPr>
                <w:rFonts w:cs="Arial"/>
                <w:color w:val="000000"/>
                <w:sz w:val="16"/>
                <w:szCs w:val="16"/>
              </w:rPr>
              <w:t>-71,5</w:t>
            </w:r>
          </w:p>
        </w:tc>
        <w:tc>
          <w:tcPr>
            <w:tcW w:w="616" w:type="pct"/>
            <w:tcBorders>
              <w:left w:val="single" w:sz="4" w:space="0" w:color="BFBFBF" w:themeColor="background1" w:themeShade="BF"/>
            </w:tcBorders>
            <w:noWrap/>
            <w:vAlign w:val="bottom"/>
          </w:tcPr>
          <w:p w:rsidR="00665097" w:rsidRPr="008915A3" w:rsidRDefault="00E956BD" w:rsidP="00996F20">
            <w:pPr>
              <w:widowControl w:val="0"/>
              <w:spacing w:line="240" w:lineRule="exact"/>
              <w:ind w:right="170"/>
              <w:jc w:val="right"/>
              <w:rPr>
                <w:rFonts w:cs="Arial"/>
                <w:color w:val="000000"/>
                <w:sz w:val="16"/>
                <w:szCs w:val="16"/>
              </w:rPr>
            </w:pPr>
            <w:r w:rsidRPr="00E956BD">
              <w:rPr>
                <w:rFonts w:cs="Arial"/>
                <w:color w:val="000000"/>
                <w:sz w:val="16"/>
                <w:szCs w:val="16"/>
              </w:rPr>
              <w:t>1.190</w:t>
            </w:r>
          </w:p>
        </w:tc>
        <w:tc>
          <w:tcPr>
            <w:tcW w:w="700" w:type="pct"/>
            <w:tcBorders>
              <w:right w:val="single" w:sz="4" w:space="0" w:color="BFBFBF" w:themeColor="background1" w:themeShade="BF"/>
            </w:tcBorders>
            <w:vAlign w:val="bottom"/>
          </w:tcPr>
          <w:p w:rsidR="00665097" w:rsidRPr="008915A3" w:rsidRDefault="008F35C4" w:rsidP="00996F20">
            <w:pPr>
              <w:widowControl w:val="0"/>
              <w:spacing w:line="240" w:lineRule="exact"/>
              <w:ind w:right="170"/>
              <w:jc w:val="center"/>
              <w:rPr>
                <w:rFonts w:cs="Arial"/>
                <w:color w:val="000000"/>
                <w:sz w:val="16"/>
                <w:szCs w:val="16"/>
              </w:rPr>
            </w:pPr>
            <w:r>
              <w:rPr>
                <w:rFonts w:cs="Arial"/>
                <w:color w:val="000000"/>
                <w:sz w:val="16"/>
                <w:szCs w:val="16"/>
              </w:rPr>
              <w:t>-15,1</w:t>
            </w:r>
          </w:p>
        </w:tc>
        <w:tc>
          <w:tcPr>
            <w:tcW w:w="686" w:type="pct"/>
            <w:tcBorders>
              <w:left w:val="single" w:sz="4" w:space="0" w:color="BFBFBF" w:themeColor="background1" w:themeShade="BF"/>
            </w:tcBorders>
            <w:noWrap/>
            <w:vAlign w:val="bottom"/>
          </w:tcPr>
          <w:p w:rsidR="00665097" w:rsidRPr="00EE5F74" w:rsidRDefault="00EE5F74" w:rsidP="00996F20">
            <w:pPr>
              <w:widowControl w:val="0"/>
              <w:spacing w:line="240" w:lineRule="exact"/>
              <w:ind w:right="170"/>
              <w:jc w:val="right"/>
              <w:rPr>
                <w:rFonts w:cs="Arial"/>
                <w:color w:val="000000"/>
                <w:sz w:val="16"/>
                <w:szCs w:val="16"/>
              </w:rPr>
            </w:pPr>
            <w:r w:rsidRPr="00EE5F74">
              <w:rPr>
                <w:rFonts w:cs="Arial"/>
                <w:color w:val="000000"/>
                <w:sz w:val="16"/>
                <w:szCs w:val="16"/>
              </w:rPr>
              <w:t>1.101</w:t>
            </w:r>
          </w:p>
        </w:tc>
        <w:tc>
          <w:tcPr>
            <w:tcW w:w="700" w:type="pct"/>
            <w:vAlign w:val="bottom"/>
          </w:tcPr>
          <w:p w:rsidR="00665097" w:rsidRPr="008915A3" w:rsidRDefault="00D32D6F" w:rsidP="00996F20">
            <w:pPr>
              <w:widowControl w:val="0"/>
              <w:spacing w:line="240" w:lineRule="exact"/>
              <w:ind w:right="170"/>
              <w:jc w:val="center"/>
              <w:rPr>
                <w:rFonts w:cs="Arial"/>
                <w:color w:val="000000"/>
                <w:sz w:val="16"/>
                <w:szCs w:val="16"/>
              </w:rPr>
            </w:pPr>
            <w:r>
              <w:rPr>
                <w:rFonts w:cs="Arial"/>
                <w:color w:val="000000"/>
                <w:sz w:val="16"/>
                <w:szCs w:val="16"/>
              </w:rPr>
              <w:t>-11,8</w:t>
            </w:r>
          </w:p>
        </w:tc>
      </w:tr>
      <w:tr w:rsidR="00665097" w:rsidRPr="001458EC" w:rsidTr="00D122F5">
        <w:trPr>
          <w:jc w:val="center"/>
        </w:trPr>
        <w:tc>
          <w:tcPr>
            <w:tcW w:w="982" w:type="pct"/>
            <w:tcBorders>
              <w:bottom w:val="single" w:sz="4" w:space="0" w:color="BFBFBF" w:themeColor="background1" w:themeShade="BF"/>
              <w:right w:val="single" w:sz="4" w:space="0" w:color="BFBFBF" w:themeColor="background1" w:themeShade="BF"/>
            </w:tcBorders>
          </w:tcPr>
          <w:p w:rsidR="00665097" w:rsidRPr="00DC676F" w:rsidRDefault="00665097" w:rsidP="00BB313D">
            <w:pPr>
              <w:widowControl w:val="0"/>
              <w:spacing w:line="240" w:lineRule="exact"/>
              <w:rPr>
                <w:rFonts w:cs="Arial"/>
                <w:sz w:val="16"/>
                <w:szCs w:val="16"/>
              </w:rPr>
            </w:pPr>
            <w:r w:rsidRPr="00DC676F">
              <w:rPr>
                <w:rFonts w:cs="Arial"/>
                <w:sz w:val="16"/>
                <w:szCs w:val="16"/>
              </w:rPr>
              <w:tab/>
              <w:t>S.L.L.es</w:t>
            </w:r>
          </w:p>
        </w:tc>
        <w:tc>
          <w:tcPr>
            <w:tcW w:w="616" w:type="pct"/>
            <w:tcBorders>
              <w:left w:val="single" w:sz="4" w:space="0" w:color="BFBFBF" w:themeColor="background1" w:themeShade="BF"/>
              <w:bottom w:val="single" w:sz="4" w:space="0" w:color="BFBFBF" w:themeColor="background1" w:themeShade="BF"/>
            </w:tcBorders>
            <w:vAlign w:val="bottom"/>
          </w:tcPr>
          <w:p w:rsidR="00665097" w:rsidRPr="00A90FC8" w:rsidRDefault="008915A3" w:rsidP="00996F20">
            <w:pPr>
              <w:widowControl w:val="0"/>
              <w:spacing w:line="240" w:lineRule="exact"/>
              <w:ind w:right="170"/>
              <w:jc w:val="right"/>
              <w:rPr>
                <w:rFonts w:cs="Arial"/>
                <w:color w:val="000000"/>
                <w:sz w:val="16"/>
                <w:szCs w:val="16"/>
              </w:rPr>
            </w:pPr>
            <w:r w:rsidRPr="00A90FC8">
              <w:rPr>
                <w:rFonts w:cs="Arial"/>
                <w:color w:val="000000"/>
                <w:sz w:val="16"/>
                <w:szCs w:val="16"/>
              </w:rPr>
              <w:t>136</w:t>
            </w:r>
          </w:p>
        </w:tc>
        <w:tc>
          <w:tcPr>
            <w:tcW w:w="700" w:type="pct"/>
            <w:tcBorders>
              <w:bottom w:val="single" w:sz="4" w:space="0" w:color="BFBFBF" w:themeColor="background1" w:themeShade="BF"/>
              <w:right w:val="single" w:sz="4" w:space="0" w:color="BFBFBF" w:themeColor="background1" w:themeShade="BF"/>
            </w:tcBorders>
            <w:vAlign w:val="bottom"/>
          </w:tcPr>
          <w:p w:rsidR="00665097" w:rsidRPr="008915A3" w:rsidRDefault="00C67053" w:rsidP="00996F20">
            <w:pPr>
              <w:widowControl w:val="0"/>
              <w:spacing w:line="240" w:lineRule="exact"/>
              <w:ind w:right="170"/>
              <w:jc w:val="center"/>
              <w:rPr>
                <w:rFonts w:cs="Arial"/>
                <w:color w:val="000000"/>
                <w:sz w:val="16"/>
                <w:szCs w:val="16"/>
              </w:rPr>
            </w:pPr>
            <w:r>
              <w:rPr>
                <w:rFonts w:cs="Arial"/>
                <w:color w:val="000000"/>
                <w:sz w:val="16"/>
                <w:szCs w:val="16"/>
              </w:rPr>
              <w:t>-19,5</w:t>
            </w:r>
          </w:p>
        </w:tc>
        <w:tc>
          <w:tcPr>
            <w:tcW w:w="616" w:type="pct"/>
            <w:tcBorders>
              <w:left w:val="single" w:sz="4" w:space="0" w:color="BFBFBF" w:themeColor="background1" w:themeShade="BF"/>
              <w:bottom w:val="single" w:sz="4" w:space="0" w:color="BFBFBF" w:themeColor="background1" w:themeShade="BF"/>
            </w:tcBorders>
            <w:noWrap/>
            <w:vAlign w:val="bottom"/>
          </w:tcPr>
          <w:p w:rsidR="00665097" w:rsidRPr="008915A3" w:rsidRDefault="00E956BD" w:rsidP="00996F20">
            <w:pPr>
              <w:widowControl w:val="0"/>
              <w:spacing w:line="240" w:lineRule="exact"/>
              <w:ind w:right="170"/>
              <w:jc w:val="right"/>
              <w:rPr>
                <w:rFonts w:cs="Arial"/>
                <w:color w:val="000000"/>
                <w:sz w:val="16"/>
                <w:szCs w:val="16"/>
              </w:rPr>
            </w:pPr>
            <w:r w:rsidRPr="00E956BD">
              <w:rPr>
                <w:rFonts w:cs="Arial"/>
                <w:color w:val="000000"/>
                <w:sz w:val="16"/>
                <w:szCs w:val="16"/>
              </w:rPr>
              <w:t>645</w:t>
            </w:r>
          </w:p>
        </w:tc>
        <w:tc>
          <w:tcPr>
            <w:tcW w:w="700" w:type="pct"/>
            <w:tcBorders>
              <w:bottom w:val="single" w:sz="4" w:space="0" w:color="BFBFBF" w:themeColor="background1" w:themeShade="BF"/>
              <w:right w:val="single" w:sz="4" w:space="0" w:color="BFBFBF" w:themeColor="background1" w:themeShade="BF"/>
            </w:tcBorders>
            <w:vAlign w:val="bottom"/>
          </w:tcPr>
          <w:p w:rsidR="00665097" w:rsidRPr="008915A3" w:rsidRDefault="00E325BD" w:rsidP="00996F20">
            <w:pPr>
              <w:widowControl w:val="0"/>
              <w:spacing w:line="240" w:lineRule="exact"/>
              <w:ind w:right="170"/>
              <w:jc w:val="center"/>
              <w:rPr>
                <w:rFonts w:cs="Arial"/>
                <w:color w:val="000000"/>
                <w:sz w:val="16"/>
                <w:szCs w:val="16"/>
              </w:rPr>
            </w:pPr>
            <w:r>
              <w:rPr>
                <w:rFonts w:cs="Arial"/>
                <w:color w:val="000000"/>
                <w:sz w:val="16"/>
                <w:szCs w:val="16"/>
              </w:rPr>
              <w:t>+99,1</w:t>
            </w:r>
          </w:p>
        </w:tc>
        <w:tc>
          <w:tcPr>
            <w:tcW w:w="686" w:type="pct"/>
            <w:tcBorders>
              <w:left w:val="single" w:sz="4" w:space="0" w:color="BFBFBF" w:themeColor="background1" w:themeShade="BF"/>
              <w:bottom w:val="single" w:sz="4" w:space="0" w:color="BFBFBF" w:themeColor="background1" w:themeShade="BF"/>
            </w:tcBorders>
            <w:noWrap/>
            <w:vAlign w:val="bottom"/>
          </w:tcPr>
          <w:p w:rsidR="00665097" w:rsidRPr="00EE5F74" w:rsidRDefault="00EE5F74" w:rsidP="00996F20">
            <w:pPr>
              <w:widowControl w:val="0"/>
              <w:spacing w:line="240" w:lineRule="exact"/>
              <w:ind w:right="170"/>
              <w:jc w:val="right"/>
              <w:rPr>
                <w:rFonts w:cs="Arial"/>
                <w:color w:val="000000"/>
                <w:sz w:val="16"/>
                <w:szCs w:val="16"/>
              </w:rPr>
            </w:pPr>
            <w:r w:rsidRPr="00EE5F74">
              <w:rPr>
                <w:rFonts w:cs="Arial"/>
                <w:color w:val="000000"/>
                <w:sz w:val="16"/>
                <w:szCs w:val="16"/>
              </w:rPr>
              <w:t>1.388</w:t>
            </w:r>
          </w:p>
        </w:tc>
        <w:tc>
          <w:tcPr>
            <w:tcW w:w="700" w:type="pct"/>
            <w:tcBorders>
              <w:bottom w:val="single" w:sz="4" w:space="0" w:color="BFBFBF" w:themeColor="background1" w:themeShade="BF"/>
            </w:tcBorders>
            <w:vAlign w:val="bottom"/>
          </w:tcPr>
          <w:p w:rsidR="00665097" w:rsidRPr="008915A3" w:rsidRDefault="00D32D6F" w:rsidP="00996F20">
            <w:pPr>
              <w:widowControl w:val="0"/>
              <w:spacing w:line="240" w:lineRule="exact"/>
              <w:ind w:right="170"/>
              <w:jc w:val="center"/>
              <w:rPr>
                <w:rFonts w:cs="Arial"/>
                <w:color w:val="000000"/>
                <w:sz w:val="16"/>
                <w:szCs w:val="16"/>
              </w:rPr>
            </w:pPr>
            <w:r>
              <w:rPr>
                <w:rFonts w:cs="Arial"/>
                <w:color w:val="000000"/>
                <w:sz w:val="16"/>
                <w:szCs w:val="16"/>
              </w:rPr>
              <w:t>+8,1</w:t>
            </w:r>
          </w:p>
        </w:tc>
      </w:tr>
      <w:tr w:rsidR="00665097" w:rsidRPr="001458EC" w:rsidTr="00D122F5">
        <w:trPr>
          <w:jc w:val="center"/>
        </w:trPr>
        <w:tc>
          <w:tcPr>
            <w:tcW w:w="98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1458EC" w:rsidRDefault="00665097" w:rsidP="00BB313D">
            <w:pPr>
              <w:widowControl w:val="0"/>
              <w:spacing w:line="240" w:lineRule="exact"/>
              <w:ind w:right="170"/>
              <w:rPr>
                <w:rFonts w:cs="Arial"/>
                <w:b/>
                <w:sz w:val="16"/>
                <w:szCs w:val="16"/>
              </w:rPr>
            </w:pPr>
            <w:r w:rsidRPr="001458EC">
              <w:rPr>
                <w:rFonts w:cs="Arial"/>
                <w:b/>
                <w:sz w:val="16"/>
                <w:szCs w:val="16"/>
              </w:rPr>
              <w:t>TOTAL</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665097" w:rsidRPr="00DC676F" w:rsidRDefault="00A90FC8" w:rsidP="00996F20">
            <w:pPr>
              <w:widowControl w:val="0"/>
              <w:spacing w:line="240" w:lineRule="exact"/>
              <w:ind w:right="170"/>
              <w:jc w:val="right"/>
              <w:rPr>
                <w:rFonts w:cs="Arial"/>
                <w:b/>
                <w:sz w:val="16"/>
                <w:szCs w:val="16"/>
              </w:rPr>
            </w:pPr>
            <w:r>
              <w:rPr>
                <w:rFonts w:cs="Arial"/>
                <w:b/>
                <w:sz w:val="16"/>
                <w:szCs w:val="16"/>
              </w:rPr>
              <w:t>1.715</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DC676F" w:rsidRDefault="00DE1A3C" w:rsidP="00996F20">
            <w:pPr>
              <w:widowControl w:val="0"/>
              <w:spacing w:line="240" w:lineRule="exact"/>
              <w:ind w:right="170"/>
              <w:jc w:val="center"/>
              <w:rPr>
                <w:rFonts w:cs="Arial"/>
                <w:b/>
                <w:sz w:val="16"/>
                <w:szCs w:val="16"/>
              </w:rPr>
            </w:pPr>
            <w:r>
              <w:rPr>
                <w:rFonts w:cs="Arial"/>
                <w:b/>
                <w:sz w:val="16"/>
                <w:szCs w:val="16"/>
              </w:rPr>
              <w:t>-24,0</w:t>
            </w:r>
          </w:p>
        </w:tc>
        <w:tc>
          <w:tcPr>
            <w:tcW w:w="61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665097" w:rsidRPr="00DC676F" w:rsidRDefault="00E956BD" w:rsidP="00996F20">
            <w:pPr>
              <w:widowControl w:val="0"/>
              <w:spacing w:line="240" w:lineRule="exact"/>
              <w:ind w:right="170"/>
              <w:jc w:val="right"/>
              <w:rPr>
                <w:rFonts w:cs="Arial"/>
                <w:b/>
                <w:sz w:val="16"/>
                <w:szCs w:val="16"/>
              </w:rPr>
            </w:pPr>
            <w:r>
              <w:rPr>
                <w:rFonts w:cs="Arial"/>
                <w:b/>
                <w:sz w:val="16"/>
                <w:szCs w:val="16"/>
              </w:rPr>
              <w:t>7.153</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DC676F" w:rsidRDefault="00E956BD" w:rsidP="00996F20">
            <w:pPr>
              <w:widowControl w:val="0"/>
              <w:spacing w:line="240" w:lineRule="exact"/>
              <w:ind w:right="170"/>
              <w:jc w:val="center"/>
              <w:rPr>
                <w:rFonts w:cs="Arial"/>
                <w:b/>
                <w:color w:val="000000"/>
                <w:sz w:val="16"/>
                <w:szCs w:val="16"/>
              </w:rPr>
            </w:pPr>
            <w:r>
              <w:rPr>
                <w:rFonts w:cs="Arial"/>
                <w:b/>
                <w:color w:val="000000"/>
                <w:sz w:val="16"/>
                <w:szCs w:val="16"/>
              </w:rPr>
              <w:t>+3,1</w:t>
            </w:r>
          </w:p>
        </w:tc>
        <w:tc>
          <w:tcPr>
            <w:tcW w:w="686" w:type="pct"/>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bottom"/>
          </w:tcPr>
          <w:p w:rsidR="00665097" w:rsidRPr="00DC676F" w:rsidRDefault="00EE5F74" w:rsidP="00996F20">
            <w:pPr>
              <w:widowControl w:val="0"/>
              <w:spacing w:line="240" w:lineRule="exact"/>
              <w:ind w:right="170"/>
              <w:jc w:val="right"/>
              <w:rPr>
                <w:rFonts w:cs="Arial"/>
                <w:b/>
                <w:sz w:val="16"/>
                <w:szCs w:val="16"/>
              </w:rPr>
            </w:pPr>
            <w:r>
              <w:rPr>
                <w:rFonts w:cs="Arial"/>
                <w:b/>
                <w:sz w:val="16"/>
                <w:szCs w:val="16"/>
              </w:rPr>
              <w:t>14.938</w:t>
            </w:r>
          </w:p>
        </w:tc>
        <w:tc>
          <w:tcPr>
            <w:tcW w:w="700" w:type="pct"/>
            <w:tcBorders>
              <w:top w:val="single" w:sz="4" w:space="0" w:color="BFBFBF" w:themeColor="background1" w:themeShade="BF"/>
              <w:bottom w:val="single" w:sz="4" w:space="0" w:color="BFBFBF" w:themeColor="background1" w:themeShade="BF"/>
            </w:tcBorders>
            <w:vAlign w:val="bottom"/>
          </w:tcPr>
          <w:p w:rsidR="00665097" w:rsidRPr="00DC676F" w:rsidRDefault="00D32D6F" w:rsidP="00996F20">
            <w:pPr>
              <w:widowControl w:val="0"/>
              <w:spacing w:line="240" w:lineRule="exact"/>
              <w:ind w:right="170"/>
              <w:jc w:val="center"/>
              <w:rPr>
                <w:rFonts w:cs="Arial"/>
                <w:b/>
                <w:color w:val="000000"/>
                <w:sz w:val="16"/>
                <w:szCs w:val="16"/>
              </w:rPr>
            </w:pPr>
            <w:r>
              <w:rPr>
                <w:rFonts w:cs="Arial"/>
                <w:b/>
                <w:color w:val="000000"/>
                <w:sz w:val="16"/>
                <w:szCs w:val="16"/>
              </w:rPr>
              <w:t>-9,6</w:t>
            </w:r>
          </w:p>
        </w:tc>
      </w:tr>
    </w:tbl>
    <w:p w:rsidR="00665097" w:rsidRDefault="00665097" w:rsidP="00BB313D">
      <w:pPr>
        <w:widowControl w:val="0"/>
        <w:rPr>
          <w:rFonts w:cs="Arial"/>
          <w:i/>
          <w:highlight w:val="yellow"/>
        </w:rPr>
      </w:pPr>
    </w:p>
    <w:p w:rsidR="00665097" w:rsidRDefault="00665097" w:rsidP="00BB313D">
      <w:pPr>
        <w:widowControl w:val="0"/>
        <w:rPr>
          <w:rFonts w:cs="Arial"/>
          <w:b/>
          <w:color w:val="1F497D" w:themeColor="text2"/>
          <w:sz w:val="18"/>
          <w:szCs w:val="18"/>
        </w:rPr>
      </w:pPr>
      <w:r>
        <w:rPr>
          <w:rFonts w:cs="Arial"/>
          <w:b/>
          <w:color w:val="1F497D" w:themeColor="text2"/>
          <w:sz w:val="18"/>
          <w:szCs w:val="18"/>
        </w:rPr>
        <w:br w:type="page"/>
      </w:r>
    </w:p>
    <w:p w:rsidR="00665097" w:rsidRPr="00FC5187" w:rsidRDefault="00DE1512" w:rsidP="00BB313D">
      <w:pPr>
        <w:pStyle w:val="Textoindependiente"/>
        <w:widowControl w:val="0"/>
        <w:jc w:val="center"/>
        <w:rPr>
          <w:rFonts w:ascii="Arial" w:hAnsi="Arial" w:cs="Arial"/>
          <w:b/>
          <w:color w:val="1F497D" w:themeColor="text2"/>
          <w:sz w:val="18"/>
          <w:szCs w:val="18"/>
          <w:lang w:val="es-ES_tradnl"/>
        </w:rPr>
      </w:pPr>
      <w:bookmarkStart w:id="161" w:name="_Toc391999614"/>
      <w:bookmarkStart w:id="162" w:name="_Toc450119497"/>
      <w:r w:rsidRPr="00DE1512">
        <w:rPr>
          <w:rFonts w:ascii="Arial" w:hAnsi="Arial" w:cs="Arial"/>
          <w:b/>
          <w:color w:val="1F497D" w:themeColor="text2"/>
          <w:sz w:val="18"/>
          <w:szCs w:val="18"/>
          <w:lang w:val="es-ES_tradnl"/>
        </w:rPr>
        <w:lastRenderedPageBreak/>
        <w:t>Cuadro 1.</w:t>
      </w:r>
      <w:r w:rsidR="00771A61" w:rsidRPr="00DE1512">
        <w:rPr>
          <w:rFonts w:ascii="Arial" w:hAnsi="Arial" w:cs="Arial"/>
          <w:b/>
          <w:color w:val="1F497D" w:themeColor="text2"/>
          <w:sz w:val="18"/>
          <w:szCs w:val="18"/>
          <w:lang w:val="es-ES_tradnl"/>
        </w:rPr>
        <w:fldChar w:fldCharType="begin"/>
      </w:r>
      <w:r w:rsidRPr="00DE1512">
        <w:rPr>
          <w:rFonts w:ascii="Arial" w:hAnsi="Arial" w:cs="Arial"/>
          <w:b/>
          <w:color w:val="1F497D" w:themeColor="text2"/>
          <w:sz w:val="18"/>
          <w:szCs w:val="18"/>
          <w:lang w:val="es-ES_tradnl"/>
        </w:rPr>
        <w:instrText xml:space="preserve"> SEQ Cuadro_1. \* ARABIC </w:instrText>
      </w:r>
      <w:r w:rsidR="00771A61" w:rsidRPr="00DE1512">
        <w:rPr>
          <w:rFonts w:ascii="Arial" w:hAnsi="Arial" w:cs="Arial"/>
          <w:b/>
          <w:color w:val="1F497D" w:themeColor="text2"/>
          <w:sz w:val="18"/>
          <w:szCs w:val="18"/>
          <w:lang w:val="es-ES_tradnl"/>
        </w:rPr>
        <w:fldChar w:fldCharType="separate"/>
      </w:r>
      <w:r w:rsidR="00FC71A9">
        <w:rPr>
          <w:rFonts w:ascii="Arial" w:hAnsi="Arial" w:cs="Arial"/>
          <w:b/>
          <w:noProof/>
          <w:color w:val="1F497D" w:themeColor="text2"/>
          <w:sz w:val="18"/>
          <w:szCs w:val="18"/>
          <w:lang w:val="es-ES_tradnl"/>
        </w:rPr>
        <w:t>42</w:t>
      </w:r>
      <w:r w:rsidR="00771A61" w:rsidRPr="00DE1512">
        <w:rPr>
          <w:rFonts w:ascii="Arial" w:hAnsi="Arial" w:cs="Arial"/>
          <w:b/>
          <w:color w:val="1F497D" w:themeColor="text2"/>
          <w:sz w:val="18"/>
          <w:szCs w:val="18"/>
          <w:lang w:val="es-ES_tradnl"/>
        </w:rPr>
        <w:fldChar w:fldCharType="end"/>
      </w:r>
      <w:r w:rsidRPr="00DE1512">
        <w:rPr>
          <w:rFonts w:ascii="Arial" w:hAnsi="Arial" w:cs="Arial"/>
          <w:b/>
          <w:color w:val="1F497D" w:themeColor="text2"/>
          <w:sz w:val="18"/>
          <w:szCs w:val="18"/>
          <w:lang w:val="es-ES_tradnl"/>
        </w:rPr>
        <w:t xml:space="preserve"> </w:t>
      </w:r>
      <w:r w:rsidR="00C86565" w:rsidRPr="00C86565">
        <w:rPr>
          <w:rFonts w:ascii="Arial" w:hAnsi="Arial" w:cs="Arial"/>
          <w:b/>
          <w:color w:val="1F497D" w:themeColor="text2"/>
          <w:sz w:val="18"/>
          <w:szCs w:val="18"/>
          <w:lang w:val="es-ES_tradnl"/>
        </w:rPr>
        <w:t xml:space="preserve"> </w:t>
      </w:r>
      <w:r w:rsidR="00665097" w:rsidRPr="00FC5187">
        <w:rPr>
          <w:rFonts w:ascii="Arial" w:hAnsi="Arial" w:cs="Arial"/>
          <w:b/>
          <w:color w:val="1F497D" w:themeColor="text2"/>
          <w:sz w:val="18"/>
          <w:szCs w:val="18"/>
          <w:lang w:val="es-ES_tradnl"/>
        </w:rPr>
        <w:t>DISTRIBUCIÓN SECTORIAL DE LOS EMPLEOS DE LA ECONOMÍA SOCIAL POR TERRITORIO HISTÓRICO.</w:t>
      </w:r>
      <w:r w:rsidR="000C43BF">
        <w:rPr>
          <w:rFonts w:ascii="Arial" w:hAnsi="Arial" w:cs="Arial"/>
          <w:b/>
          <w:color w:val="1F497D" w:themeColor="text2"/>
          <w:sz w:val="18"/>
          <w:szCs w:val="18"/>
          <w:lang w:val="es-ES_tradnl"/>
        </w:rPr>
        <w:t xml:space="preserve"> </w:t>
      </w:r>
      <w:r w:rsidR="00665097" w:rsidRPr="00FC5187">
        <w:rPr>
          <w:rFonts w:ascii="Arial" w:hAnsi="Arial" w:cs="Arial"/>
          <w:b/>
          <w:color w:val="1F497D" w:themeColor="text2"/>
          <w:sz w:val="18"/>
          <w:szCs w:val="18"/>
          <w:lang w:val="es-ES_tradnl"/>
        </w:rPr>
        <w:t>(% importancia relativa respecto al Total de la Economía Vasca). 201</w:t>
      </w:r>
      <w:bookmarkEnd w:id="161"/>
      <w:r w:rsidR="00154417">
        <w:rPr>
          <w:rFonts w:ascii="Arial" w:hAnsi="Arial" w:cs="Arial"/>
          <w:b/>
          <w:color w:val="1F497D" w:themeColor="text2"/>
          <w:sz w:val="18"/>
          <w:szCs w:val="18"/>
          <w:lang w:val="es-ES_tradnl"/>
        </w:rPr>
        <w:t>4</w:t>
      </w:r>
      <w:bookmarkEnd w:id="162"/>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202"/>
        <w:gridCol w:w="2580"/>
        <w:gridCol w:w="2580"/>
        <w:gridCol w:w="2578"/>
      </w:tblGrid>
      <w:tr w:rsidR="00665097"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lang w:val="es-ES_tradnl"/>
              </w:rPr>
              <w:t>CAE</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Economía Social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Total Economía Vasca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 de Importancia Relativa</w:t>
            </w:r>
          </w:p>
        </w:tc>
      </w:tr>
      <w:tr w:rsidR="00154417" w:rsidRPr="00FC5187" w:rsidTr="00D122F5">
        <w:trPr>
          <w:jc w:val="center"/>
        </w:trPr>
        <w:tc>
          <w:tcPr>
            <w:tcW w:w="1107" w:type="pct"/>
            <w:tcBorders>
              <w:top w:val="single" w:sz="4" w:space="0" w:color="BFBFBF" w:themeColor="background1" w:themeShade="BF"/>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Primario</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154417" w:rsidRPr="007F7230" w:rsidRDefault="00154417" w:rsidP="00BB313D">
            <w:pPr>
              <w:widowControl w:val="0"/>
              <w:spacing w:line="240" w:lineRule="exact"/>
              <w:ind w:right="170"/>
              <w:jc w:val="right"/>
              <w:rPr>
                <w:rFonts w:cs="Arial"/>
                <w:color w:val="000000"/>
                <w:sz w:val="16"/>
                <w:szCs w:val="16"/>
              </w:rPr>
            </w:pPr>
            <w:r w:rsidRPr="007F7230">
              <w:rPr>
                <w:rFonts w:cs="Arial"/>
                <w:color w:val="000000"/>
                <w:sz w:val="16"/>
                <w:szCs w:val="16"/>
              </w:rPr>
              <w:t>171</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9.000</w:t>
            </w:r>
          </w:p>
        </w:tc>
        <w:tc>
          <w:tcPr>
            <w:tcW w:w="1297" w:type="pct"/>
            <w:tcBorders>
              <w:top w:val="single" w:sz="4" w:space="0" w:color="BFBFBF" w:themeColor="background1" w:themeShade="BF"/>
              <w:left w:val="single" w:sz="4" w:space="0" w:color="BFBFBF" w:themeColor="background1" w:themeShade="BF"/>
            </w:tcBorders>
            <w:hideMark/>
          </w:tcPr>
          <w:p w:rsidR="00154417" w:rsidRPr="00FC5187" w:rsidRDefault="00E94BAC" w:rsidP="00BB313D">
            <w:pPr>
              <w:widowControl w:val="0"/>
              <w:spacing w:line="240" w:lineRule="exact"/>
              <w:ind w:right="170"/>
              <w:jc w:val="right"/>
              <w:rPr>
                <w:rFonts w:cs="Arial"/>
                <w:sz w:val="16"/>
                <w:szCs w:val="16"/>
              </w:rPr>
            </w:pPr>
            <w:r>
              <w:rPr>
                <w:rFonts w:cs="Arial"/>
                <w:sz w:val="16"/>
                <w:szCs w:val="16"/>
              </w:rPr>
              <w:t>1,9</w:t>
            </w:r>
          </w:p>
        </w:tc>
      </w:tr>
      <w:tr w:rsidR="00154417" w:rsidRPr="00FC5187" w:rsidTr="00D122F5">
        <w:trPr>
          <w:jc w:val="center"/>
        </w:trPr>
        <w:tc>
          <w:tcPr>
            <w:tcW w:w="1107" w:type="pct"/>
            <w:tcBorders>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Industria</w:t>
            </w:r>
          </w:p>
        </w:tc>
        <w:tc>
          <w:tcPr>
            <w:tcW w:w="1298" w:type="pct"/>
            <w:tcBorders>
              <w:left w:val="single" w:sz="4" w:space="0" w:color="BFBFBF" w:themeColor="background1" w:themeShade="BF"/>
              <w:right w:val="single" w:sz="4" w:space="0" w:color="BFBFBF" w:themeColor="background1" w:themeShade="BF"/>
            </w:tcBorders>
            <w:vAlign w:val="bottom"/>
            <w:hideMark/>
          </w:tcPr>
          <w:p w:rsidR="00154417" w:rsidRPr="007F7230" w:rsidRDefault="00154417" w:rsidP="00BB313D">
            <w:pPr>
              <w:widowControl w:val="0"/>
              <w:spacing w:line="240" w:lineRule="exact"/>
              <w:ind w:right="170"/>
              <w:jc w:val="right"/>
              <w:rPr>
                <w:rFonts w:cs="Arial"/>
                <w:color w:val="000000"/>
                <w:sz w:val="16"/>
                <w:szCs w:val="16"/>
              </w:rPr>
            </w:pPr>
            <w:r w:rsidRPr="007F7230">
              <w:rPr>
                <w:rFonts w:cs="Arial"/>
                <w:color w:val="000000"/>
                <w:sz w:val="16"/>
                <w:szCs w:val="16"/>
              </w:rPr>
              <w:t>23.807</w:t>
            </w:r>
          </w:p>
        </w:tc>
        <w:tc>
          <w:tcPr>
            <w:tcW w:w="1298" w:type="pct"/>
            <w:tcBorders>
              <w:left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196.200</w:t>
            </w:r>
          </w:p>
        </w:tc>
        <w:tc>
          <w:tcPr>
            <w:tcW w:w="1297" w:type="pct"/>
            <w:tcBorders>
              <w:left w:val="single" w:sz="4" w:space="0" w:color="BFBFBF" w:themeColor="background1" w:themeShade="BF"/>
            </w:tcBorders>
            <w:hideMark/>
          </w:tcPr>
          <w:p w:rsidR="00154417" w:rsidRPr="00FC5187" w:rsidRDefault="00505813" w:rsidP="00BB313D">
            <w:pPr>
              <w:widowControl w:val="0"/>
              <w:spacing w:line="240" w:lineRule="exact"/>
              <w:ind w:right="170"/>
              <w:jc w:val="right"/>
              <w:rPr>
                <w:rFonts w:cs="Arial"/>
                <w:sz w:val="16"/>
                <w:szCs w:val="16"/>
              </w:rPr>
            </w:pPr>
            <w:r>
              <w:rPr>
                <w:rFonts w:cs="Arial"/>
                <w:sz w:val="16"/>
                <w:szCs w:val="16"/>
              </w:rPr>
              <w:t>12,1</w:t>
            </w:r>
          </w:p>
        </w:tc>
      </w:tr>
      <w:tr w:rsidR="00154417" w:rsidRPr="00FC5187" w:rsidTr="00D122F5">
        <w:trPr>
          <w:jc w:val="center"/>
        </w:trPr>
        <w:tc>
          <w:tcPr>
            <w:tcW w:w="1107" w:type="pct"/>
            <w:tcBorders>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Construcción</w:t>
            </w:r>
          </w:p>
        </w:tc>
        <w:tc>
          <w:tcPr>
            <w:tcW w:w="1298" w:type="pct"/>
            <w:tcBorders>
              <w:left w:val="single" w:sz="4" w:space="0" w:color="BFBFBF" w:themeColor="background1" w:themeShade="BF"/>
              <w:right w:val="single" w:sz="4" w:space="0" w:color="BFBFBF" w:themeColor="background1" w:themeShade="BF"/>
            </w:tcBorders>
            <w:vAlign w:val="bottom"/>
            <w:hideMark/>
          </w:tcPr>
          <w:p w:rsidR="00154417" w:rsidRPr="007F7230" w:rsidRDefault="00154417" w:rsidP="00BB313D">
            <w:pPr>
              <w:widowControl w:val="0"/>
              <w:spacing w:line="240" w:lineRule="exact"/>
              <w:ind w:right="170"/>
              <w:jc w:val="right"/>
              <w:rPr>
                <w:rFonts w:cs="Arial"/>
                <w:color w:val="000000"/>
                <w:sz w:val="16"/>
                <w:szCs w:val="16"/>
              </w:rPr>
            </w:pPr>
            <w:r w:rsidRPr="007F7230">
              <w:rPr>
                <w:rFonts w:cs="Arial"/>
                <w:color w:val="000000"/>
                <w:sz w:val="16"/>
                <w:szCs w:val="16"/>
              </w:rPr>
              <w:t>1.599</w:t>
            </w:r>
          </w:p>
        </w:tc>
        <w:tc>
          <w:tcPr>
            <w:tcW w:w="1298" w:type="pct"/>
            <w:tcBorders>
              <w:left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47.000</w:t>
            </w:r>
          </w:p>
        </w:tc>
        <w:tc>
          <w:tcPr>
            <w:tcW w:w="1297" w:type="pct"/>
            <w:tcBorders>
              <w:left w:val="single" w:sz="4" w:space="0" w:color="BFBFBF" w:themeColor="background1" w:themeShade="BF"/>
            </w:tcBorders>
            <w:hideMark/>
          </w:tcPr>
          <w:p w:rsidR="00154417" w:rsidRPr="00FC5187" w:rsidRDefault="00505813" w:rsidP="00BB313D">
            <w:pPr>
              <w:widowControl w:val="0"/>
              <w:spacing w:line="240" w:lineRule="exact"/>
              <w:ind w:right="170"/>
              <w:jc w:val="right"/>
              <w:rPr>
                <w:rFonts w:cs="Arial"/>
                <w:sz w:val="16"/>
                <w:szCs w:val="16"/>
              </w:rPr>
            </w:pPr>
            <w:r>
              <w:rPr>
                <w:rFonts w:cs="Arial"/>
                <w:sz w:val="16"/>
                <w:szCs w:val="16"/>
              </w:rPr>
              <w:t>3,4</w:t>
            </w:r>
          </w:p>
        </w:tc>
      </w:tr>
      <w:tr w:rsidR="00154417" w:rsidRPr="00FC5187" w:rsidTr="00D122F5">
        <w:trPr>
          <w:jc w:val="center"/>
        </w:trPr>
        <w:tc>
          <w:tcPr>
            <w:tcW w:w="1107" w:type="pct"/>
            <w:tcBorders>
              <w:bottom w:val="single" w:sz="4" w:space="0" w:color="BFBFBF" w:themeColor="background1" w:themeShade="BF"/>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Servicios</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54417" w:rsidRPr="007F7230" w:rsidRDefault="00154417" w:rsidP="00BB313D">
            <w:pPr>
              <w:widowControl w:val="0"/>
              <w:spacing w:line="240" w:lineRule="exact"/>
              <w:ind w:right="170"/>
              <w:jc w:val="right"/>
              <w:rPr>
                <w:rFonts w:cs="Arial"/>
                <w:color w:val="000000"/>
                <w:sz w:val="16"/>
                <w:szCs w:val="16"/>
              </w:rPr>
            </w:pPr>
            <w:r w:rsidRPr="007F7230">
              <w:rPr>
                <w:rFonts w:cs="Arial"/>
                <w:color w:val="000000"/>
                <w:sz w:val="16"/>
                <w:szCs w:val="16"/>
              </w:rPr>
              <w:t>29.005</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640.000</w:t>
            </w:r>
          </w:p>
        </w:tc>
        <w:tc>
          <w:tcPr>
            <w:tcW w:w="1297" w:type="pct"/>
            <w:tcBorders>
              <w:left w:val="single" w:sz="4" w:space="0" w:color="BFBFBF" w:themeColor="background1" w:themeShade="BF"/>
              <w:bottom w:val="single" w:sz="4" w:space="0" w:color="BFBFBF" w:themeColor="background1" w:themeShade="BF"/>
            </w:tcBorders>
            <w:hideMark/>
          </w:tcPr>
          <w:p w:rsidR="00154417" w:rsidRPr="00FC5187" w:rsidRDefault="00505813" w:rsidP="00BB313D">
            <w:pPr>
              <w:widowControl w:val="0"/>
              <w:spacing w:line="240" w:lineRule="exact"/>
              <w:ind w:right="170"/>
              <w:jc w:val="right"/>
              <w:rPr>
                <w:rFonts w:cs="Arial"/>
                <w:sz w:val="16"/>
                <w:szCs w:val="16"/>
              </w:rPr>
            </w:pPr>
            <w:r>
              <w:rPr>
                <w:rFonts w:cs="Arial"/>
                <w:sz w:val="16"/>
                <w:szCs w:val="16"/>
              </w:rPr>
              <w:t>4,5</w:t>
            </w:r>
          </w:p>
        </w:tc>
      </w:tr>
      <w:tr w:rsidR="00154417"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FC5187" w:rsidRDefault="00154417" w:rsidP="00BB313D">
            <w:pPr>
              <w:widowControl w:val="0"/>
              <w:spacing w:line="240" w:lineRule="exact"/>
              <w:rPr>
                <w:rFonts w:cs="Arial"/>
                <w:b/>
                <w:bCs/>
                <w:sz w:val="16"/>
                <w:szCs w:val="16"/>
              </w:rPr>
            </w:pPr>
            <w:r w:rsidRPr="00FC5187">
              <w:rPr>
                <w:rFonts w:cs="Arial"/>
                <w:b/>
                <w:bCs/>
                <w:sz w:val="16"/>
                <w:szCs w:val="16"/>
              </w:rPr>
              <w:t>TOTAL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6F773D" w:rsidRDefault="00154417" w:rsidP="00BB313D">
            <w:pPr>
              <w:widowControl w:val="0"/>
              <w:spacing w:line="240" w:lineRule="exact"/>
              <w:ind w:right="170"/>
              <w:jc w:val="right"/>
              <w:rPr>
                <w:rFonts w:cs="Arial"/>
                <w:b/>
                <w:bCs/>
                <w:color w:val="000000"/>
                <w:sz w:val="16"/>
                <w:szCs w:val="16"/>
              </w:rPr>
            </w:pPr>
            <w:r>
              <w:rPr>
                <w:rFonts w:cs="Arial"/>
                <w:b/>
                <w:bCs/>
                <w:color w:val="000000"/>
                <w:sz w:val="16"/>
                <w:szCs w:val="16"/>
              </w:rPr>
              <w:t>54.582</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b/>
                <w:bCs/>
                <w:sz w:val="16"/>
                <w:szCs w:val="16"/>
              </w:rPr>
            </w:pPr>
            <w:r>
              <w:rPr>
                <w:rFonts w:cs="Arial"/>
                <w:b/>
                <w:bCs/>
                <w:sz w:val="16"/>
                <w:szCs w:val="16"/>
              </w:rPr>
              <w:t>892.200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54417" w:rsidRPr="00FC5187" w:rsidRDefault="00891C6F" w:rsidP="00BB313D">
            <w:pPr>
              <w:widowControl w:val="0"/>
              <w:spacing w:line="240" w:lineRule="exact"/>
              <w:ind w:right="170"/>
              <w:jc w:val="right"/>
              <w:rPr>
                <w:rFonts w:cs="Arial"/>
                <w:b/>
                <w:bCs/>
                <w:sz w:val="16"/>
                <w:szCs w:val="16"/>
              </w:rPr>
            </w:pPr>
            <w:r>
              <w:rPr>
                <w:rFonts w:cs="Arial"/>
                <w:b/>
                <w:bCs/>
                <w:snapToGrid w:val="0"/>
                <w:sz w:val="16"/>
                <w:szCs w:val="16"/>
              </w:rPr>
              <w:t>6,1</w:t>
            </w:r>
          </w:p>
        </w:tc>
      </w:tr>
      <w:tr w:rsidR="00665097" w:rsidRPr="00FC5187" w:rsidTr="00D122F5">
        <w:trPr>
          <w:jc w:val="center"/>
        </w:trPr>
        <w:tc>
          <w:tcPr>
            <w:tcW w:w="1107"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cs="Arial"/>
                <w:sz w:val="16"/>
                <w:szCs w:val="16"/>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c>
          <w:tcPr>
            <w:tcW w:w="1297"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r>
      <w:tr w:rsidR="00665097"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lang w:val="es-ES_tradnl"/>
              </w:rPr>
              <w:t>ÁLAVA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Economía Social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Total Economía Vasca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 de Importancia Relativa</w:t>
            </w:r>
          </w:p>
        </w:tc>
      </w:tr>
      <w:tr w:rsidR="00154417" w:rsidRPr="00FC5187" w:rsidTr="00D122F5">
        <w:trPr>
          <w:jc w:val="center"/>
        </w:trPr>
        <w:tc>
          <w:tcPr>
            <w:tcW w:w="1107" w:type="pct"/>
            <w:tcBorders>
              <w:top w:val="single" w:sz="4" w:space="0" w:color="BFBFBF" w:themeColor="background1" w:themeShade="BF"/>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Primario</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54417" w:rsidRPr="006F773D" w:rsidRDefault="00154417" w:rsidP="00BB313D">
            <w:pPr>
              <w:widowControl w:val="0"/>
              <w:spacing w:line="240" w:lineRule="exact"/>
              <w:ind w:right="170"/>
              <w:jc w:val="right"/>
              <w:rPr>
                <w:rFonts w:cs="Arial"/>
                <w:color w:val="000000"/>
                <w:sz w:val="16"/>
                <w:szCs w:val="16"/>
              </w:rPr>
            </w:pPr>
            <w:r>
              <w:rPr>
                <w:rFonts w:cs="Arial"/>
                <w:color w:val="000000"/>
                <w:sz w:val="16"/>
                <w:szCs w:val="16"/>
              </w:rPr>
              <w:t>59</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3.100</w:t>
            </w:r>
          </w:p>
        </w:tc>
        <w:tc>
          <w:tcPr>
            <w:tcW w:w="1297" w:type="pct"/>
            <w:tcBorders>
              <w:top w:val="single" w:sz="4" w:space="0" w:color="BFBFBF" w:themeColor="background1" w:themeShade="BF"/>
              <w:left w:val="single" w:sz="4" w:space="0" w:color="BFBFBF" w:themeColor="background1" w:themeShade="BF"/>
            </w:tcBorders>
            <w:hideMark/>
          </w:tcPr>
          <w:p w:rsidR="00154417" w:rsidRPr="00FC5187" w:rsidRDefault="00200982" w:rsidP="00BB313D">
            <w:pPr>
              <w:widowControl w:val="0"/>
              <w:spacing w:line="240" w:lineRule="exact"/>
              <w:ind w:right="170"/>
              <w:jc w:val="right"/>
              <w:rPr>
                <w:rFonts w:cs="Arial"/>
                <w:sz w:val="16"/>
                <w:szCs w:val="16"/>
              </w:rPr>
            </w:pPr>
            <w:r>
              <w:rPr>
                <w:rFonts w:cs="Arial"/>
                <w:sz w:val="16"/>
                <w:szCs w:val="16"/>
              </w:rPr>
              <w:t>1,9</w:t>
            </w:r>
          </w:p>
        </w:tc>
      </w:tr>
      <w:tr w:rsidR="00154417" w:rsidRPr="00FC5187" w:rsidTr="00D122F5">
        <w:trPr>
          <w:jc w:val="center"/>
        </w:trPr>
        <w:tc>
          <w:tcPr>
            <w:tcW w:w="1107" w:type="pct"/>
            <w:tcBorders>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Industria</w:t>
            </w:r>
          </w:p>
        </w:tc>
        <w:tc>
          <w:tcPr>
            <w:tcW w:w="1298" w:type="pct"/>
            <w:tcBorders>
              <w:left w:val="single" w:sz="4" w:space="0" w:color="BFBFBF" w:themeColor="background1" w:themeShade="BF"/>
              <w:right w:val="single" w:sz="4" w:space="0" w:color="BFBFBF" w:themeColor="background1" w:themeShade="BF"/>
            </w:tcBorders>
            <w:hideMark/>
          </w:tcPr>
          <w:p w:rsidR="00154417" w:rsidRPr="006F773D" w:rsidRDefault="00154417" w:rsidP="00BB313D">
            <w:pPr>
              <w:widowControl w:val="0"/>
              <w:spacing w:line="240" w:lineRule="exact"/>
              <w:ind w:right="170"/>
              <w:jc w:val="right"/>
              <w:rPr>
                <w:rFonts w:cs="Arial"/>
                <w:color w:val="000000"/>
                <w:sz w:val="16"/>
                <w:szCs w:val="16"/>
              </w:rPr>
            </w:pPr>
            <w:r>
              <w:rPr>
                <w:rFonts w:cs="Arial"/>
                <w:color w:val="000000"/>
                <w:sz w:val="16"/>
                <w:szCs w:val="16"/>
              </w:rPr>
              <w:t>1.715</w:t>
            </w:r>
          </w:p>
        </w:tc>
        <w:tc>
          <w:tcPr>
            <w:tcW w:w="1298" w:type="pct"/>
            <w:tcBorders>
              <w:left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34.300</w:t>
            </w:r>
          </w:p>
        </w:tc>
        <w:tc>
          <w:tcPr>
            <w:tcW w:w="1297" w:type="pct"/>
            <w:tcBorders>
              <w:left w:val="single" w:sz="4" w:space="0" w:color="BFBFBF" w:themeColor="background1" w:themeShade="BF"/>
            </w:tcBorders>
            <w:hideMark/>
          </w:tcPr>
          <w:p w:rsidR="00154417" w:rsidRPr="00FC5187" w:rsidRDefault="004D212F" w:rsidP="00BB313D">
            <w:pPr>
              <w:widowControl w:val="0"/>
              <w:spacing w:line="240" w:lineRule="exact"/>
              <w:ind w:right="170"/>
              <w:jc w:val="right"/>
              <w:rPr>
                <w:rFonts w:cs="Arial"/>
                <w:sz w:val="16"/>
                <w:szCs w:val="16"/>
              </w:rPr>
            </w:pPr>
            <w:r>
              <w:rPr>
                <w:rFonts w:cs="Arial"/>
                <w:sz w:val="16"/>
                <w:szCs w:val="16"/>
              </w:rPr>
              <w:t>5,0</w:t>
            </w:r>
          </w:p>
        </w:tc>
      </w:tr>
      <w:tr w:rsidR="00154417" w:rsidRPr="00FC5187" w:rsidTr="00D122F5">
        <w:trPr>
          <w:jc w:val="center"/>
        </w:trPr>
        <w:tc>
          <w:tcPr>
            <w:tcW w:w="1107" w:type="pct"/>
            <w:tcBorders>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Construcción</w:t>
            </w:r>
          </w:p>
        </w:tc>
        <w:tc>
          <w:tcPr>
            <w:tcW w:w="1298" w:type="pct"/>
            <w:tcBorders>
              <w:left w:val="single" w:sz="4" w:space="0" w:color="BFBFBF" w:themeColor="background1" w:themeShade="BF"/>
              <w:right w:val="single" w:sz="4" w:space="0" w:color="BFBFBF" w:themeColor="background1" w:themeShade="BF"/>
            </w:tcBorders>
            <w:hideMark/>
          </w:tcPr>
          <w:p w:rsidR="00154417" w:rsidRPr="006F773D" w:rsidRDefault="00154417" w:rsidP="00BB313D">
            <w:pPr>
              <w:widowControl w:val="0"/>
              <w:spacing w:line="240" w:lineRule="exact"/>
              <w:ind w:right="170"/>
              <w:jc w:val="right"/>
              <w:rPr>
                <w:rFonts w:cs="Arial"/>
                <w:color w:val="000000"/>
                <w:sz w:val="16"/>
                <w:szCs w:val="16"/>
              </w:rPr>
            </w:pPr>
            <w:r>
              <w:rPr>
                <w:rFonts w:cs="Arial"/>
                <w:color w:val="000000"/>
                <w:sz w:val="16"/>
                <w:szCs w:val="16"/>
              </w:rPr>
              <w:t>196</w:t>
            </w:r>
          </w:p>
        </w:tc>
        <w:tc>
          <w:tcPr>
            <w:tcW w:w="1298" w:type="pct"/>
            <w:tcBorders>
              <w:left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6.900</w:t>
            </w:r>
          </w:p>
        </w:tc>
        <w:tc>
          <w:tcPr>
            <w:tcW w:w="1297" w:type="pct"/>
            <w:tcBorders>
              <w:left w:val="single" w:sz="4" w:space="0" w:color="BFBFBF" w:themeColor="background1" w:themeShade="BF"/>
            </w:tcBorders>
            <w:hideMark/>
          </w:tcPr>
          <w:p w:rsidR="00154417" w:rsidRPr="00FC5187" w:rsidRDefault="0006553E" w:rsidP="00BB313D">
            <w:pPr>
              <w:widowControl w:val="0"/>
              <w:spacing w:line="240" w:lineRule="exact"/>
              <w:ind w:right="170"/>
              <w:jc w:val="right"/>
              <w:rPr>
                <w:rFonts w:cs="Arial"/>
                <w:sz w:val="16"/>
                <w:szCs w:val="16"/>
              </w:rPr>
            </w:pPr>
            <w:r>
              <w:rPr>
                <w:rFonts w:cs="Arial"/>
                <w:sz w:val="16"/>
                <w:szCs w:val="16"/>
              </w:rPr>
              <w:t>2,8</w:t>
            </w:r>
          </w:p>
        </w:tc>
      </w:tr>
      <w:tr w:rsidR="00154417" w:rsidRPr="00FC5187" w:rsidTr="00D122F5">
        <w:trPr>
          <w:jc w:val="center"/>
        </w:trPr>
        <w:tc>
          <w:tcPr>
            <w:tcW w:w="1107" w:type="pct"/>
            <w:tcBorders>
              <w:bottom w:val="single" w:sz="4" w:space="0" w:color="BFBFBF" w:themeColor="background1" w:themeShade="BF"/>
              <w:right w:val="single" w:sz="4" w:space="0" w:color="BFBFBF" w:themeColor="background1" w:themeShade="BF"/>
            </w:tcBorders>
            <w:hideMark/>
          </w:tcPr>
          <w:p w:rsidR="00154417" w:rsidRPr="00FC5187" w:rsidRDefault="00154417" w:rsidP="00BB313D">
            <w:pPr>
              <w:widowControl w:val="0"/>
              <w:spacing w:line="240" w:lineRule="exact"/>
              <w:rPr>
                <w:rFonts w:cs="Arial"/>
                <w:sz w:val="16"/>
                <w:szCs w:val="16"/>
              </w:rPr>
            </w:pPr>
            <w:r w:rsidRPr="00FC5187">
              <w:rPr>
                <w:rFonts w:cs="Arial"/>
                <w:sz w:val="16"/>
                <w:szCs w:val="16"/>
              </w:rPr>
              <w:t>Servicios</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6F773D" w:rsidRDefault="00154417" w:rsidP="00BB313D">
            <w:pPr>
              <w:widowControl w:val="0"/>
              <w:spacing w:line="240" w:lineRule="exact"/>
              <w:ind w:right="170"/>
              <w:jc w:val="right"/>
              <w:rPr>
                <w:rFonts w:cs="Arial"/>
                <w:color w:val="000000"/>
                <w:sz w:val="16"/>
                <w:szCs w:val="16"/>
              </w:rPr>
            </w:pPr>
            <w:r>
              <w:rPr>
                <w:rFonts w:cs="Arial"/>
                <w:color w:val="000000"/>
                <w:sz w:val="16"/>
                <w:szCs w:val="16"/>
              </w:rPr>
              <w:t>3.600</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FC5187" w:rsidRDefault="009970B4" w:rsidP="00BB313D">
            <w:pPr>
              <w:widowControl w:val="0"/>
              <w:spacing w:line="240" w:lineRule="exact"/>
              <w:ind w:right="170"/>
              <w:jc w:val="right"/>
              <w:rPr>
                <w:rFonts w:cs="Arial"/>
                <w:sz w:val="16"/>
                <w:szCs w:val="16"/>
              </w:rPr>
            </w:pPr>
            <w:r>
              <w:rPr>
                <w:rFonts w:cs="Arial"/>
                <w:sz w:val="16"/>
                <w:szCs w:val="16"/>
              </w:rPr>
              <w:t>91.400</w:t>
            </w:r>
          </w:p>
        </w:tc>
        <w:tc>
          <w:tcPr>
            <w:tcW w:w="1297" w:type="pct"/>
            <w:tcBorders>
              <w:left w:val="single" w:sz="4" w:space="0" w:color="BFBFBF" w:themeColor="background1" w:themeShade="BF"/>
              <w:bottom w:val="single" w:sz="4" w:space="0" w:color="BFBFBF" w:themeColor="background1" w:themeShade="BF"/>
            </w:tcBorders>
            <w:hideMark/>
          </w:tcPr>
          <w:p w:rsidR="00154417" w:rsidRPr="00FC5187" w:rsidRDefault="0006553E" w:rsidP="00BB313D">
            <w:pPr>
              <w:widowControl w:val="0"/>
              <w:spacing w:line="240" w:lineRule="exact"/>
              <w:ind w:right="170"/>
              <w:jc w:val="right"/>
              <w:rPr>
                <w:rFonts w:cs="Arial"/>
                <w:sz w:val="16"/>
                <w:szCs w:val="16"/>
              </w:rPr>
            </w:pPr>
            <w:r>
              <w:rPr>
                <w:rFonts w:cs="Arial"/>
                <w:sz w:val="16"/>
                <w:szCs w:val="16"/>
              </w:rPr>
              <w:t>3,9</w:t>
            </w:r>
          </w:p>
        </w:tc>
      </w:tr>
      <w:tr w:rsidR="00154417"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FC5187" w:rsidRDefault="00154417" w:rsidP="00BB313D">
            <w:pPr>
              <w:widowControl w:val="0"/>
              <w:spacing w:line="240" w:lineRule="exact"/>
              <w:rPr>
                <w:rFonts w:cs="Arial"/>
                <w:b/>
                <w:bCs/>
                <w:sz w:val="16"/>
                <w:szCs w:val="16"/>
              </w:rPr>
            </w:pPr>
            <w:r w:rsidRPr="00FC5187">
              <w:rPr>
                <w:rFonts w:cs="Arial"/>
                <w:b/>
                <w:bCs/>
                <w:sz w:val="16"/>
                <w:szCs w:val="16"/>
              </w:rPr>
              <w:t>TOTAL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6F773D" w:rsidRDefault="00154417" w:rsidP="00BB313D">
            <w:pPr>
              <w:widowControl w:val="0"/>
              <w:spacing w:line="240" w:lineRule="exact"/>
              <w:ind w:right="170"/>
              <w:jc w:val="right"/>
              <w:rPr>
                <w:rFonts w:cs="Arial"/>
                <w:b/>
                <w:bCs/>
                <w:color w:val="000000"/>
                <w:sz w:val="16"/>
                <w:szCs w:val="16"/>
              </w:rPr>
            </w:pPr>
            <w:r>
              <w:rPr>
                <w:rFonts w:cs="Arial"/>
                <w:b/>
                <w:bCs/>
                <w:color w:val="000000"/>
                <w:sz w:val="16"/>
                <w:szCs w:val="16"/>
              </w:rPr>
              <w:t>5.571</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154417" w:rsidRPr="00FC5187" w:rsidRDefault="00F472EA" w:rsidP="00BB313D">
            <w:pPr>
              <w:widowControl w:val="0"/>
              <w:spacing w:line="240" w:lineRule="exact"/>
              <w:ind w:right="170"/>
              <w:jc w:val="right"/>
              <w:rPr>
                <w:rFonts w:cs="Arial"/>
                <w:b/>
                <w:bCs/>
                <w:sz w:val="16"/>
                <w:szCs w:val="16"/>
              </w:rPr>
            </w:pPr>
            <w:r>
              <w:rPr>
                <w:rFonts w:cs="Arial"/>
                <w:b/>
                <w:bCs/>
                <w:sz w:val="16"/>
                <w:szCs w:val="16"/>
              </w:rPr>
              <w:t>135.600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154417" w:rsidRPr="00FC5187" w:rsidRDefault="0006553E" w:rsidP="00BB313D">
            <w:pPr>
              <w:widowControl w:val="0"/>
              <w:spacing w:line="240" w:lineRule="exact"/>
              <w:ind w:right="170"/>
              <w:jc w:val="right"/>
              <w:rPr>
                <w:rFonts w:cs="Arial"/>
                <w:b/>
                <w:bCs/>
                <w:sz w:val="16"/>
                <w:szCs w:val="16"/>
              </w:rPr>
            </w:pPr>
            <w:r>
              <w:rPr>
                <w:rFonts w:cs="Arial"/>
                <w:b/>
                <w:bCs/>
                <w:sz w:val="16"/>
                <w:szCs w:val="16"/>
              </w:rPr>
              <w:t>4,1</w:t>
            </w:r>
          </w:p>
        </w:tc>
      </w:tr>
      <w:tr w:rsidR="00665097" w:rsidRPr="00FC5187" w:rsidTr="00D122F5">
        <w:trPr>
          <w:jc w:val="center"/>
        </w:trPr>
        <w:tc>
          <w:tcPr>
            <w:tcW w:w="1107"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cs="Arial"/>
                <w:sz w:val="16"/>
                <w:szCs w:val="16"/>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c>
          <w:tcPr>
            <w:tcW w:w="1297"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r>
      <w:tr w:rsidR="00665097"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lang w:val="es-ES_tradnl"/>
              </w:rPr>
              <w:t>BIZKAIA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Economía Social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Total Economía Vasca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 de Importancia Relativa</w:t>
            </w:r>
          </w:p>
        </w:tc>
      </w:tr>
      <w:tr w:rsidR="00924D23" w:rsidRPr="00FC5187" w:rsidTr="00D122F5">
        <w:trPr>
          <w:jc w:val="center"/>
        </w:trPr>
        <w:tc>
          <w:tcPr>
            <w:tcW w:w="1107" w:type="pct"/>
            <w:tcBorders>
              <w:top w:val="single" w:sz="4" w:space="0" w:color="BFBFBF" w:themeColor="background1" w:themeShade="BF"/>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Primario</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101</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2.700</w:t>
            </w:r>
          </w:p>
        </w:tc>
        <w:tc>
          <w:tcPr>
            <w:tcW w:w="1297" w:type="pct"/>
            <w:tcBorders>
              <w:top w:val="single" w:sz="4" w:space="0" w:color="BFBFBF" w:themeColor="background1" w:themeShade="BF"/>
              <w:left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3,7</w:t>
            </w:r>
          </w:p>
        </w:tc>
      </w:tr>
      <w:tr w:rsidR="00924D23" w:rsidRPr="00FC5187" w:rsidTr="00D122F5">
        <w:trPr>
          <w:jc w:val="center"/>
        </w:trPr>
        <w:tc>
          <w:tcPr>
            <w:tcW w:w="1107" w:type="pct"/>
            <w:tcBorders>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Industria</w:t>
            </w:r>
          </w:p>
        </w:tc>
        <w:tc>
          <w:tcPr>
            <w:tcW w:w="1298" w:type="pct"/>
            <w:tcBorders>
              <w:left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7.153</w:t>
            </w:r>
          </w:p>
        </w:tc>
        <w:tc>
          <w:tcPr>
            <w:tcW w:w="1298" w:type="pct"/>
            <w:tcBorders>
              <w:left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89.300</w:t>
            </w:r>
          </w:p>
        </w:tc>
        <w:tc>
          <w:tcPr>
            <w:tcW w:w="1297" w:type="pct"/>
            <w:tcBorders>
              <w:left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8,0</w:t>
            </w:r>
          </w:p>
        </w:tc>
      </w:tr>
      <w:tr w:rsidR="00924D23" w:rsidRPr="00FC5187" w:rsidTr="00D122F5">
        <w:trPr>
          <w:jc w:val="center"/>
        </w:trPr>
        <w:tc>
          <w:tcPr>
            <w:tcW w:w="1107" w:type="pct"/>
            <w:tcBorders>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Construcción</w:t>
            </w:r>
          </w:p>
        </w:tc>
        <w:tc>
          <w:tcPr>
            <w:tcW w:w="1298" w:type="pct"/>
            <w:tcBorders>
              <w:left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850</w:t>
            </w:r>
          </w:p>
        </w:tc>
        <w:tc>
          <w:tcPr>
            <w:tcW w:w="1298" w:type="pct"/>
            <w:tcBorders>
              <w:left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25.900</w:t>
            </w:r>
          </w:p>
        </w:tc>
        <w:tc>
          <w:tcPr>
            <w:tcW w:w="1297" w:type="pct"/>
            <w:tcBorders>
              <w:left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3,3</w:t>
            </w:r>
          </w:p>
        </w:tc>
      </w:tr>
      <w:tr w:rsidR="00924D23" w:rsidRPr="00FC5187" w:rsidTr="00D122F5">
        <w:trPr>
          <w:jc w:val="center"/>
        </w:trPr>
        <w:tc>
          <w:tcPr>
            <w:tcW w:w="1107" w:type="pct"/>
            <w:tcBorders>
              <w:bottom w:val="single" w:sz="4" w:space="0" w:color="BFBFBF" w:themeColor="background1" w:themeShade="BF"/>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Servicios</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13.207</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338.300</w:t>
            </w:r>
          </w:p>
        </w:tc>
        <w:tc>
          <w:tcPr>
            <w:tcW w:w="1297" w:type="pct"/>
            <w:tcBorders>
              <w:left w:val="single" w:sz="4" w:space="0" w:color="BFBFBF" w:themeColor="background1" w:themeShade="BF"/>
              <w:bottom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3,9</w:t>
            </w:r>
          </w:p>
        </w:tc>
      </w:tr>
      <w:tr w:rsidR="00924D23"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FC5187" w:rsidRDefault="00924D23" w:rsidP="00BB313D">
            <w:pPr>
              <w:widowControl w:val="0"/>
              <w:spacing w:line="240" w:lineRule="exact"/>
              <w:rPr>
                <w:rFonts w:cs="Arial"/>
                <w:b/>
                <w:bCs/>
                <w:sz w:val="16"/>
                <w:szCs w:val="16"/>
              </w:rPr>
            </w:pPr>
            <w:r w:rsidRPr="00FC5187">
              <w:rPr>
                <w:rFonts w:cs="Arial"/>
                <w:b/>
                <w:bCs/>
                <w:sz w:val="16"/>
                <w:szCs w:val="16"/>
              </w:rPr>
              <w:t>TOTAL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b/>
                <w:bCs/>
                <w:color w:val="000000"/>
                <w:sz w:val="16"/>
                <w:szCs w:val="16"/>
              </w:rPr>
            </w:pPr>
            <w:r>
              <w:rPr>
                <w:rFonts w:cs="Arial"/>
                <w:b/>
                <w:bCs/>
                <w:color w:val="000000"/>
                <w:sz w:val="16"/>
                <w:szCs w:val="16"/>
              </w:rPr>
              <w:t>21.312</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FC5187" w:rsidRDefault="00F472EA" w:rsidP="00BB313D">
            <w:pPr>
              <w:widowControl w:val="0"/>
              <w:spacing w:line="240" w:lineRule="exact"/>
              <w:ind w:right="170"/>
              <w:jc w:val="right"/>
              <w:rPr>
                <w:rFonts w:cs="Arial"/>
                <w:b/>
                <w:bCs/>
                <w:sz w:val="16"/>
                <w:szCs w:val="16"/>
              </w:rPr>
            </w:pPr>
            <w:r>
              <w:rPr>
                <w:rFonts w:cs="Arial"/>
                <w:b/>
                <w:bCs/>
                <w:sz w:val="16"/>
                <w:szCs w:val="16"/>
              </w:rPr>
              <w:t>456.100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b/>
                <w:bCs/>
                <w:sz w:val="16"/>
                <w:szCs w:val="16"/>
              </w:rPr>
            </w:pPr>
            <w:r>
              <w:rPr>
                <w:rFonts w:cs="Arial"/>
                <w:b/>
                <w:bCs/>
                <w:sz w:val="16"/>
                <w:szCs w:val="16"/>
              </w:rPr>
              <w:t>4,7</w:t>
            </w:r>
          </w:p>
        </w:tc>
      </w:tr>
      <w:tr w:rsidR="00665097" w:rsidRPr="00FC5187" w:rsidTr="00D122F5">
        <w:trPr>
          <w:jc w:val="center"/>
        </w:trPr>
        <w:tc>
          <w:tcPr>
            <w:tcW w:w="1107"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cs="Arial"/>
                <w:sz w:val="16"/>
                <w:szCs w:val="16"/>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c>
          <w:tcPr>
            <w:tcW w:w="1298"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c>
          <w:tcPr>
            <w:tcW w:w="1297" w:type="pct"/>
            <w:tcBorders>
              <w:top w:val="single" w:sz="4" w:space="0" w:color="BFBFBF" w:themeColor="background1" w:themeShade="BF"/>
              <w:bottom w:val="single" w:sz="4" w:space="0" w:color="BFBFBF" w:themeColor="background1" w:themeShade="BF"/>
            </w:tcBorders>
            <w:noWrap/>
            <w:hideMark/>
          </w:tcPr>
          <w:p w:rsidR="00665097" w:rsidRPr="00FC5187" w:rsidRDefault="00665097" w:rsidP="00BB313D">
            <w:pPr>
              <w:widowControl w:val="0"/>
              <w:spacing w:line="240" w:lineRule="exact"/>
              <w:rPr>
                <w:rFonts w:ascii="Calibri" w:hAnsi="Calibri"/>
              </w:rPr>
            </w:pPr>
          </w:p>
        </w:tc>
      </w:tr>
      <w:tr w:rsidR="00665097"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lang w:val="es-ES_tradnl"/>
              </w:rPr>
              <w:t>GIPUZKOA</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Economía Social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Total Economía Vasca</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FC5187" w:rsidRDefault="00665097" w:rsidP="00BB313D">
            <w:pPr>
              <w:widowControl w:val="0"/>
              <w:spacing w:line="240" w:lineRule="exact"/>
              <w:jc w:val="center"/>
              <w:rPr>
                <w:rFonts w:cs="Arial"/>
                <w:b/>
                <w:bCs/>
                <w:sz w:val="16"/>
                <w:szCs w:val="16"/>
              </w:rPr>
            </w:pPr>
            <w:r w:rsidRPr="00FC5187">
              <w:rPr>
                <w:rFonts w:cs="Arial"/>
                <w:b/>
                <w:bCs/>
                <w:sz w:val="16"/>
                <w:szCs w:val="16"/>
              </w:rPr>
              <w:t>% de Importancia Relativa</w:t>
            </w:r>
          </w:p>
        </w:tc>
      </w:tr>
      <w:tr w:rsidR="00924D23" w:rsidRPr="00FC5187" w:rsidTr="00D122F5">
        <w:trPr>
          <w:jc w:val="center"/>
        </w:trPr>
        <w:tc>
          <w:tcPr>
            <w:tcW w:w="1107" w:type="pct"/>
            <w:tcBorders>
              <w:top w:val="single" w:sz="4" w:space="0" w:color="BFBFBF" w:themeColor="background1" w:themeShade="BF"/>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Primario</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11</w:t>
            </w:r>
          </w:p>
        </w:tc>
        <w:tc>
          <w:tcPr>
            <w:tcW w:w="1298"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3.300</w:t>
            </w:r>
          </w:p>
        </w:tc>
        <w:tc>
          <w:tcPr>
            <w:tcW w:w="1297" w:type="pct"/>
            <w:tcBorders>
              <w:top w:val="single" w:sz="4" w:space="0" w:color="BFBFBF" w:themeColor="background1" w:themeShade="BF"/>
              <w:left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0,3</w:t>
            </w:r>
          </w:p>
        </w:tc>
      </w:tr>
      <w:tr w:rsidR="00924D23" w:rsidRPr="00FC5187" w:rsidTr="00D122F5">
        <w:trPr>
          <w:jc w:val="center"/>
        </w:trPr>
        <w:tc>
          <w:tcPr>
            <w:tcW w:w="1107" w:type="pct"/>
            <w:tcBorders>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Industria</w:t>
            </w:r>
          </w:p>
        </w:tc>
        <w:tc>
          <w:tcPr>
            <w:tcW w:w="1298" w:type="pct"/>
            <w:tcBorders>
              <w:left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14.938</w:t>
            </w:r>
          </w:p>
        </w:tc>
        <w:tc>
          <w:tcPr>
            <w:tcW w:w="1298" w:type="pct"/>
            <w:tcBorders>
              <w:left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72.600</w:t>
            </w:r>
          </w:p>
        </w:tc>
        <w:tc>
          <w:tcPr>
            <w:tcW w:w="1297" w:type="pct"/>
            <w:tcBorders>
              <w:left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20,6</w:t>
            </w:r>
          </w:p>
        </w:tc>
      </w:tr>
      <w:tr w:rsidR="00924D23" w:rsidRPr="00FC5187" w:rsidTr="00D122F5">
        <w:trPr>
          <w:jc w:val="center"/>
        </w:trPr>
        <w:tc>
          <w:tcPr>
            <w:tcW w:w="1107" w:type="pct"/>
            <w:tcBorders>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Construcción</w:t>
            </w:r>
          </w:p>
        </w:tc>
        <w:tc>
          <w:tcPr>
            <w:tcW w:w="1298" w:type="pct"/>
            <w:tcBorders>
              <w:left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552</w:t>
            </w:r>
          </w:p>
        </w:tc>
        <w:tc>
          <w:tcPr>
            <w:tcW w:w="1298" w:type="pct"/>
            <w:tcBorders>
              <w:left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14.200</w:t>
            </w:r>
          </w:p>
        </w:tc>
        <w:tc>
          <w:tcPr>
            <w:tcW w:w="1297" w:type="pct"/>
            <w:tcBorders>
              <w:left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3,9</w:t>
            </w:r>
          </w:p>
        </w:tc>
      </w:tr>
      <w:tr w:rsidR="00924D23" w:rsidRPr="00FC5187" w:rsidTr="00D122F5">
        <w:trPr>
          <w:jc w:val="center"/>
        </w:trPr>
        <w:tc>
          <w:tcPr>
            <w:tcW w:w="1107" w:type="pct"/>
            <w:tcBorders>
              <w:bottom w:val="single" w:sz="4" w:space="0" w:color="BFBFBF" w:themeColor="background1" w:themeShade="BF"/>
              <w:right w:val="single" w:sz="4" w:space="0" w:color="BFBFBF" w:themeColor="background1" w:themeShade="BF"/>
            </w:tcBorders>
            <w:hideMark/>
          </w:tcPr>
          <w:p w:rsidR="00924D23" w:rsidRPr="00FC5187" w:rsidRDefault="00924D23" w:rsidP="00BB313D">
            <w:pPr>
              <w:widowControl w:val="0"/>
              <w:spacing w:line="240" w:lineRule="exact"/>
              <w:rPr>
                <w:rFonts w:cs="Arial"/>
                <w:sz w:val="16"/>
                <w:szCs w:val="16"/>
              </w:rPr>
            </w:pPr>
            <w:r w:rsidRPr="00FC5187">
              <w:rPr>
                <w:rFonts w:cs="Arial"/>
                <w:sz w:val="16"/>
                <w:szCs w:val="16"/>
              </w:rPr>
              <w:t>Servicios</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color w:val="000000"/>
                <w:sz w:val="16"/>
                <w:szCs w:val="16"/>
              </w:rPr>
            </w:pPr>
            <w:r>
              <w:rPr>
                <w:rFonts w:cs="Arial"/>
                <w:color w:val="000000"/>
                <w:sz w:val="16"/>
                <w:szCs w:val="16"/>
              </w:rPr>
              <w:t>12.199</w:t>
            </w:r>
          </w:p>
        </w:tc>
        <w:tc>
          <w:tcPr>
            <w:tcW w:w="1298"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FC5187" w:rsidRDefault="009970B4" w:rsidP="00BB313D">
            <w:pPr>
              <w:widowControl w:val="0"/>
              <w:spacing w:line="240" w:lineRule="exact"/>
              <w:ind w:right="170"/>
              <w:jc w:val="right"/>
              <w:rPr>
                <w:rFonts w:cs="Arial"/>
                <w:sz w:val="16"/>
                <w:szCs w:val="16"/>
              </w:rPr>
            </w:pPr>
            <w:r>
              <w:rPr>
                <w:rFonts w:cs="Arial"/>
                <w:sz w:val="16"/>
                <w:szCs w:val="16"/>
              </w:rPr>
              <w:t>210.400</w:t>
            </w:r>
          </w:p>
        </w:tc>
        <w:tc>
          <w:tcPr>
            <w:tcW w:w="1297" w:type="pct"/>
            <w:tcBorders>
              <w:left w:val="single" w:sz="4" w:space="0" w:color="BFBFBF" w:themeColor="background1" w:themeShade="BF"/>
              <w:bottom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sz w:val="16"/>
                <w:szCs w:val="16"/>
              </w:rPr>
            </w:pPr>
            <w:r>
              <w:rPr>
                <w:rFonts w:cs="Arial"/>
                <w:sz w:val="16"/>
                <w:szCs w:val="16"/>
              </w:rPr>
              <w:t>5,8</w:t>
            </w:r>
          </w:p>
        </w:tc>
      </w:tr>
      <w:tr w:rsidR="00924D23" w:rsidRPr="00FC5187" w:rsidTr="00D122F5">
        <w:trPr>
          <w:jc w:val="center"/>
        </w:trPr>
        <w:tc>
          <w:tcPr>
            <w:tcW w:w="1107"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FC5187" w:rsidRDefault="00924D23" w:rsidP="00BB313D">
            <w:pPr>
              <w:widowControl w:val="0"/>
              <w:spacing w:line="240" w:lineRule="exact"/>
              <w:rPr>
                <w:rFonts w:cs="Arial"/>
                <w:b/>
                <w:bCs/>
                <w:sz w:val="16"/>
                <w:szCs w:val="16"/>
              </w:rPr>
            </w:pPr>
            <w:r w:rsidRPr="00FC5187">
              <w:rPr>
                <w:rFonts w:cs="Arial"/>
                <w:b/>
                <w:bCs/>
                <w:sz w:val="16"/>
                <w:szCs w:val="16"/>
              </w:rPr>
              <w:t>TOTAL</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6F773D" w:rsidRDefault="00924D23" w:rsidP="00BB313D">
            <w:pPr>
              <w:widowControl w:val="0"/>
              <w:spacing w:line="240" w:lineRule="exact"/>
              <w:ind w:right="170"/>
              <w:jc w:val="right"/>
              <w:rPr>
                <w:rFonts w:cs="Arial"/>
                <w:b/>
                <w:bCs/>
                <w:color w:val="000000"/>
                <w:sz w:val="16"/>
                <w:szCs w:val="16"/>
              </w:rPr>
            </w:pPr>
            <w:r>
              <w:rPr>
                <w:rFonts w:cs="Arial"/>
                <w:b/>
                <w:bCs/>
                <w:color w:val="000000"/>
                <w:sz w:val="16"/>
                <w:szCs w:val="16"/>
              </w:rPr>
              <w:t>27.699</w:t>
            </w:r>
          </w:p>
        </w:tc>
        <w:tc>
          <w:tcPr>
            <w:tcW w:w="12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24D23" w:rsidRPr="00FC5187" w:rsidRDefault="00F472EA" w:rsidP="00BB313D">
            <w:pPr>
              <w:widowControl w:val="0"/>
              <w:spacing w:line="240" w:lineRule="exact"/>
              <w:ind w:right="170"/>
              <w:jc w:val="right"/>
              <w:rPr>
                <w:rFonts w:cs="Arial"/>
                <w:b/>
                <w:bCs/>
                <w:sz w:val="16"/>
                <w:szCs w:val="16"/>
              </w:rPr>
            </w:pPr>
            <w:r>
              <w:rPr>
                <w:rFonts w:cs="Arial"/>
                <w:b/>
                <w:bCs/>
                <w:sz w:val="16"/>
                <w:szCs w:val="16"/>
              </w:rPr>
              <w:t>300.500</w:t>
            </w:r>
          </w:p>
        </w:tc>
        <w:tc>
          <w:tcPr>
            <w:tcW w:w="129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924D23" w:rsidRPr="00FC5187" w:rsidRDefault="002E7E8D" w:rsidP="00BB313D">
            <w:pPr>
              <w:widowControl w:val="0"/>
              <w:spacing w:line="240" w:lineRule="exact"/>
              <w:ind w:right="170"/>
              <w:jc w:val="right"/>
              <w:rPr>
                <w:rFonts w:cs="Arial"/>
                <w:b/>
                <w:bCs/>
                <w:sz w:val="16"/>
                <w:szCs w:val="16"/>
              </w:rPr>
            </w:pPr>
            <w:r>
              <w:rPr>
                <w:rFonts w:cs="Arial"/>
                <w:b/>
                <w:bCs/>
                <w:sz w:val="16"/>
                <w:szCs w:val="16"/>
              </w:rPr>
              <w:t>9,2</w:t>
            </w:r>
          </w:p>
        </w:tc>
      </w:tr>
    </w:tbl>
    <w:p w:rsidR="00665097" w:rsidRPr="00DC7DAD" w:rsidRDefault="00665097" w:rsidP="00BB313D">
      <w:pPr>
        <w:widowControl w:val="0"/>
        <w:rPr>
          <w:rFonts w:cs="Arial"/>
          <w:i/>
          <w:color w:val="000000"/>
          <w:sz w:val="16"/>
          <w:szCs w:val="16"/>
        </w:rPr>
      </w:pPr>
      <w:r w:rsidRPr="00DC7DAD">
        <w:rPr>
          <w:rFonts w:cs="Arial"/>
          <w:i/>
          <w:color w:val="000000"/>
          <w:sz w:val="16"/>
          <w:szCs w:val="16"/>
        </w:rPr>
        <w:t xml:space="preserve">Fuente para la comparación: Encuesta de Población en Relación </w:t>
      </w:r>
      <w:r w:rsidR="00924D23">
        <w:rPr>
          <w:rFonts w:cs="Arial"/>
          <w:i/>
          <w:color w:val="000000"/>
          <w:sz w:val="16"/>
          <w:szCs w:val="16"/>
        </w:rPr>
        <w:t xml:space="preserve">con la Actividad PRA </w:t>
      </w:r>
      <w:proofErr w:type="spellStart"/>
      <w:r w:rsidR="00924D23">
        <w:rPr>
          <w:rFonts w:cs="Arial"/>
          <w:i/>
          <w:color w:val="000000"/>
          <w:sz w:val="16"/>
          <w:szCs w:val="16"/>
        </w:rPr>
        <w:t>Eustat</w:t>
      </w:r>
      <w:proofErr w:type="spellEnd"/>
      <w:r w:rsidR="00924D23">
        <w:rPr>
          <w:rFonts w:cs="Arial"/>
          <w:i/>
          <w:color w:val="000000"/>
          <w:sz w:val="16"/>
          <w:szCs w:val="16"/>
        </w:rPr>
        <w:t xml:space="preserve"> 2014</w:t>
      </w:r>
    </w:p>
    <w:p w:rsidR="00665097" w:rsidRPr="00C56CCF" w:rsidRDefault="00665097" w:rsidP="00BB313D">
      <w:pPr>
        <w:pStyle w:val="Textoindependiente"/>
        <w:widowControl w:val="0"/>
        <w:spacing w:line="312" w:lineRule="auto"/>
        <w:rPr>
          <w:rFonts w:ascii="Tahoma" w:hAnsi="Tahoma" w:cs="Tahoma"/>
          <w:sz w:val="22"/>
          <w:szCs w:val="22"/>
          <w:lang w:val="es-ES_tradnl"/>
        </w:rPr>
      </w:pPr>
    </w:p>
    <w:p w:rsidR="00665097" w:rsidRDefault="00665097" w:rsidP="00BB313D">
      <w:pPr>
        <w:widowControl w:val="0"/>
        <w:spacing w:line="240" w:lineRule="auto"/>
        <w:rPr>
          <w:rFonts w:cs="Arial"/>
          <w:b/>
          <w:color w:val="000080"/>
        </w:rPr>
      </w:pPr>
    </w:p>
    <w:p w:rsidR="00665097" w:rsidRPr="007F1968" w:rsidRDefault="00665097" w:rsidP="00BB313D">
      <w:pPr>
        <w:pStyle w:val="Ttulo1"/>
        <w:keepNext w:val="0"/>
        <w:ind w:left="708" w:hanging="708"/>
        <w:rPr>
          <w:color w:val="1F497D" w:themeColor="text2"/>
          <w:sz w:val="22"/>
          <w:szCs w:val="22"/>
        </w:rPr>
      </w:pPr>
      <w:bookmarkStart w:id="163" w:name="_Toc391999519"/>
      <w:bookmarkStart w:id="164" w:name="_Toc450118912"/>
      <w:r w:rsidRPr="007F1968">
        <w:rPr>
          <w:color w:val="1F497D" w:themeColor="text2"/>
          <w:sz w:val="22"/>
          <w:szCs w:val="22"/>
        </w:rPr>
        <w:t>3.2.-</w:t>
      </w:r>
      <w:r w:rsidRPr="007F1968">
        <w:rPr>
          <w:color w:val="1F497D" w:themeColor="text2"/>
          <w:sz w:val="22"/>
          <w:szCs w:val="22"/>
        </w:rPr>
        <w:tab/>
        <w:t>EL PERFIL TERRITORIAL DEL VAB Y LA PRODUCTIVIDAD APARENTE</w:t>
      </w:r>
      <w:bookmarkEnd w:id="163"/>
      <w:bookmarkEnd w:id="164"/>
    </w:p>
    <w:p w:rsidR="00665097" w:rsidRPr="00FC5187" w:rsidRDefault="00665097" w:rsidP="00BB313D">
      <w:pPr>
        <w:pStyle w:val="Textoindependiente"/>
        <w:widowControl w:val="0"/>
        <w:spacing w:line="312" w:lineRule="auto"/>
        <w:rPr>
          <w:rFonts w:ascii="Arial" w:hAnsi="Arial" w:cs="Arial"/>
          <w:color w:val="1F497D" w:themeColor="text2"/>
          <w:sz w:val="20"/>
        </w:rPr>
      </w:pPr>
    </w:p>
    <w:p w:rsidR="00665097" w:rsidRPr="00FC5187" w:rsidRDefault="00DE1512" w:rsidP="00BB313D">
      <w:pPr>
        <w:pStyle w:val="Textoindependiente"/>
        <w:widowControl w:val="0"/>
        <w:jc w:val="center"/>
        <w:rPr>
          <w:rFonts w:ascii="Arial" w:hAnsi="Arial" w:cs="Arial"/>
          <w:b/>
          <w:color w:val="1F497D" w:themeColor="text2"/>
          <w:sz w:val="18"/>
          <w:szCs w:val="18"/>
          <w:lang w:val="es-ES_tradnl"/>
        </w:rPr>
      </w:pPr>
      <w:bookmarkStart w:id="165" w:name="_Toc391999660"/>
      <w:bookmarkStart w:id="166" w:name="_Toc450120001"/>
      <w:r w:rsidRPr="00DE1512">
        <w:rPr>
          <w:rFonts w:ascii="Arial" w:hAnsi="Arial" w:cs="Arial"/>
          <w:b/>
          <w:color w:val="1F497D" w:themeColor="text2"/>
          <w:sz w:val="18"/>
          <w:szCs w:val="18"/>
          <w:lang w:val="es-ES_tradnl"/>
        </w:rPr>
        <w:t>Gráfico 1.</w:t>
      </w:r>
      <w:r w:rsidR="00771A61" w:rsidRPr="00DE1512">
        <w:rPr>
          <w:rFonts w:ascii="Arial" w:hAnsi="Arial" w:cs="Arial"/>
          <w:b/>
          <w:color w:val="1F497D" w:themeColor="text2"/>
          <w:sz w:val="18"/>
          <w:szCs w:val="18"/>
          <w:lang w:val="es-ES_tradnl"/>
        </w:rPr>
        <w:fldChar w:fldCharType="begin"/>
      </w:r>
      <w:r w:rsidRPr="00DE1512">
        <w:rPr>
          <w:rFonts w:ascii="Arial" w:hAnsi="Arial" w:cs="Arial"/>
          <w:b/>
          <w:color w:val="1F497D" w:themeColor="text2"/>
          <w:sz w:val="18"/>
          <w:szCs w:val="18"/>
          <w:lang w:val="es-ES_tradnl"/>
        </w:rPr>
        <w:instrText xml:space="preserve"> SEQ Gráfico_1. \* ARABIC </w:instrText>
      </w:r>
      <w:r w:rsidR="00771A61" w:rsidRPr="00DE1512">
        <w:rPr>
          <w:rFonts w:ascii="Arial" w:hAnsi="Arial" w:cs="Arial"/>
          <w:b/>
          <w:color w:val="1F497D" w:themeColor="text2"/>
          <w:sz w:val="18"/>
          <w:szCs w:val="18"/>
          <w:lang w:val="es-ES_tradnl"/>
        </w:rPr>
        <w:fldChar w:fldCharType="separate"/>
      </w:r>
      <w:r w:rsidR="00FC71A9">
        <w:rPr>
          <w:rFonts w:ascii="Arial" w:hAnsi="Arial" w:cs="Arial"/>
          <w:b/>
          <w:noProof/>
          <w:color w:val="1F497D" w:themeColor="text2"/>
          <w:sz w:val="18"/>
          <w:szCs w:val="18"/>
          <w:lang w:val="es-ES_tradnl"/>
        </w:rPr>
        <w:t>13</w:t>
      </w:r>
      <w:r w:rsidR="00771A61" w:rsidRPr="00DE1512">
        <w:rPr>
          <w:rFonts w:ascii="Arial" w:hAnsi="Arial" w:cs="Arial"/>
          <w:b/>
          <w:color w:val="1F497D" w:themeColor="text2"/>
          <w:sz w:val="18"/>
          <w:szCs w:val="18"/>
          <w:lang w:val="es-ES_tradnl"/>
        </w:rPr>
        <w:fldChar w:fldCharType="end"/>
      </w:r>
      <w:r w:rsidR="00D10020" w:rsidRPr="00D10020">
        <w:rPr>
          <w:rFonts w:ascii="Arial" w:hAnsi="Arial" w:cs="Arial"/>
          <w:b/>
          <w:color w:val="1F497D" w:themeColor="text2"/>
          <w:sz w:val="18"/>
          <w:szCs w:val="18"/>
          <w:lang w:val="es-ES_tradnl"/>
        </w:rPr>
        <w:t xml:space="preserve"> </w:t>
      </w:r>
      <w:r w:rsidR="00665097" w:rsidRPr="00FC5187">
        <w:rPr>
          <w:rFonts w:ascii="Arial" w:hAnsi="Arial" w:cs="Arial"/>
          <w:b/>
          <w:color w:val="1F497D" w:themeColor="text2"/>
          <w:sz w:val="18"/>
          <w:szCs w:val="18"/>
          <w:lang w:val="es-ES_tradnl"/>
        </w:rPr>
        <w:t>EVOLUCIÓN DE LA DISTRIBUCIÓN TERRITORIAL DEL</w:t>
      </w:r>
      <w:r w:rsidR="002E7E8D">
        <w:rPr>
          <w:rFonts w:ascii="Arial" w:hAnsi="Arial" w:cs="Arial"/>
          <w:b/>
          <w:color w:val="1F497D" w:themeColor="text2"/>
          <w:sz w:val="18"/>
          <w:szCs w:val="18"/>
          <w:lang w:val="es-ES_tradnl"/>
        </w:rPr>
        <w:t xml:space="preserve"> VAB DE LA ECONOMÍA SOCIAL. 2012</w:t>
      </w:r>
      <w:r w:rsidR="00665097" w:rsidRPr="00FC5187">
        <w:rPr>
          <w:rFonts w:ascii="Arial" w:hAnsi="Arial" w:cs="Arial"/>
          <w:b/>
          <w:color w:val="1F497D" w:themeColor="text2"/>
          <w:sz w:val="18"/>
          <w:szCs w:val="18"/>
          <w:lang w:val="es-ES_tradnl"/>
        </w:rPr>
        <w:t>-201</w:t>
      </w:r>
      <w:bookmarkEnd w:id="165"/>
      <w:r w:rsidR="002E7E8D">
        <w:rPr>
          <w:rFonts w:ascii="Arial" w:hAnsi="Arial" w:cs="Arial"/>
          <w:b/>
          <w:color w:val="1F497D" w:themeColor="text2"/>
          <w:sz w:val="18"/>
          <w:szCs w:val="18"/>
          <w:lang w:val="es-ES_tradnl"/>
        </w:rPr>
        <w:t>4</w:t>
      </w:r>
      <w:bookmarkEnd w:id="166"/>
    </w:p>
    <w:p w:rsidR="00665097" w:rsidRPr="00270E74" w:rsidRDefault="002E7E8D" w:rsidP="00BB313D">
      <w:pPr>
        <w:pStyle w:val="Textoindependiente"/>
        <w:widowControl w:val="0"/>
        <w:spacing w:line="312" w:lineRule="auto"/>
        <w:rPr>
          <w:rFonts w:ascii="Arial" w:hAnsi="Arial" w:cs="Arial"/>
          <w:b/>
          <w:i/>
          <w:sz w:val="16"/>
          <w:szCs w:val="16"/>
          <w:highlight w:val="yellow"/>
          <w:lang w:val="es-ES_tradnl"/>
        </w:rPr>
      </w:pPr>
      <w:r>
        <w:rPr>
          <w:rFonts w:ascii="Arial" w:hAnsi="Arial" w:cs="Arial"/>
          <w:b/>
          <w:i/>
          <w:noProof/>
          <w:sz w:val="16"/>
          <w:szCs w:val="16"/>
        </w:rPr>
        <w:drawing>
          <wp:anchor distT="0" distB="0" distL="114300" distR="114300" simplePos="0" relativeHeight="251739136" behindDoc="0" locked="0" layoutInCell="1" allowOverlap="1">
            <wp:simplePos x="0" y="0"/>
            <wp:positionH relativeFrom="column">
              <wp:posOffset>3007360</wp:posOffset>
            </wp:positionH>
            <wp:positionV relativeFrom="paragraph">
              <wp:posOffset>132080</wp:posOffset>
            </wp:positionV>
            <wp:extent cx="2752725" cy="1828800"/>
            <wp:effectExtent l="0" t="0" r="0" b="0"/>
            <wp:wrapNone/>
            <wp:docPr id="7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Pr>
          <w:rFonts w:ascii="Arial" w:hAnsi="Arial" w:cs="Arial"/>
          <w:b/>
          <w:i/>
          <w:noProof/>
          <w:sz w:val="16"/>
          <w:szCs w:val="16"/>
        </w:rPr>
        <w:drawing>
          <wp:anchor distT="0" distB="0" distL="114300" distR="114300" simplePos="0" relativeHeight="251740160" behindDoc="0" locked="0" layoutInCell="1" allowOverlap="1">
            <wp:simplePos x="0" y="0"/>
            <wp:positionH relativeFrom="column">
              <wp:posOffset>92710</wp:posOffset>
            </wp:positionH>
            <wp:positionV relativeFrom="paragraph">
              <wp:posOffset>132080</wp:posOffset>
            </wp:positionV>
            <wp:extent cx="2752725" cy="1828800"/>
            <wp:effectExtent l="0" t="0" r="0" b="0"/>
            <wp:wrapNone/>
            <wp:docPr id="75" name="Objeto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rPr>
      </w:pPr>
    </w:p>
    <w:p w:rsidR="00665097" w:rsidRDefault="00665097" w:rsidP="00BB313D">
      <w:pPr>
        <w:widowControl w:val="0"/>
        <w:jc w:val="center"/>
        <w:rPr>
          <w:rFonts w:cs="Arial"/>
          <w:highlight w:val="yellow"/>
        </w:rPr>
      </w:pPr>
    </w:p>
    <w:p w:rsidR="00665097" w:rsidRDefault="00665097" w:rsidP="00BB313D">
      <w:pPr>
        <w:widowControl w:val="0"/>
        <w:rPr>
          <w:lang w:val="es-ES_tradnl"/>
        </w:rPr>
      </w:pPr>
    </w:p>
    <w:p w:rsidR="00D06470" w:rsidRDefault="00D06470" w:rsidP="00BB313D">
      <w:pPr>
        <w:widowControl w:val="0"/>
        <w:spacing w:after="200" w:line="276" w:lineRule="auto"/>
        <w:jc w:val="left"/>
        <w:rPr>
          <w:rFonts w:cs="Arial"/>
          <w:b/>
          <w:color w:val="1F497D" w:themeColor="text2"/>
          <w:sz w:val="18"/>
          <w:szCs w:val="18"/>
        </w:rPr>
      </w:pPr>
      <w:bookmarkStart w:id="167" w:name="_Toc391999615"/>
      <w:r>
        <w:rPr>
          <w:rFonts w:cs="Arial"/>
          <w:b/>
          <w:color w:val="1F497D" w:themeColor="text2"/>
          <w:sz w:val="18"/>
          <w:szCs w:val="18"/>
        </w:rPr>
        <w:br w:type="page"/>
      </w:r>
    </w:p>
    <w:p w:rsidR="00665097" w:rsidRPr="00C86565" w:rsidRDefault="00DE1512" w:rsidP="00BB313D">
      <w:pPr>
        <w:pStyle w:val="Textoindependiente2"/>
        <w:widowControl w:val="0"/>
        <w:spacing w:after="0" w:line="240" w:lineRule="auto"/>
        <w:jc w:val="center"/>
        <w:rPr>
          <w:rFonts w:cs="Arial"/>
          <w:b/>
          <w:color w:val="1F497D" w:themeColor="text2"/>
          <w:sz w:val="18"/>
          <w:szCs w:val="18"/>
        </w:rPr>
      </w:pPr>
      <w:bookmarkStart w:id="168" w:name="_Toc450119498"/>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FC5187">
        <w:rPr>
          <w:rFonts w:cs="Arial"/>
          <w:b/>
          <w:color w:val="1F497D" w:themeColor="text2"/>
          <w:sz w:val="18"/>
          <w:szCs w:val="18"/>
        </w:rPr>
        <w:t>DISTRIBUCIÓN TERRITORIAL DEL VAB DE LA ECONOMÍA S</w:t>
      </w:r>
      <w:r w:rsidR="00767FD1">
        <w:rPr>
          <w:rFonts w:cs="Arial"/>
          <w:b/>
          <w:color w:val="1F497D" w:themeColor="text2"/>
          <w:sz w:val="18"/>
          <w:szCs w:val="18"/>
        </w:rPr>
        <w:t>OCIAL SEGÚN FORMA JURÍDICA. 2014</w:t>
      </w:r>
      <w:r w:rsidR="00665097">
        <w:rPr>
          <w:rFonts w:cs="Arial"/>
          <w:b/>
          <w:color w:val="1F497D" w:themeColor="text2"/>
          <w:sz w:val="18"/>
          <w:szCs w:val="18"/>
        </w:rPr>
        <w:t xml:space="preserve"> </w:t>
      </w:r>
      <w:r w:rsidR="00665097" w:rsidRPr="00FC5187">
        <w:rPr>
          <w:rFonts w:cs="Arial"/>
          <w:b/>
          <w:color w:val="1F497D" w:themeColor="text2"/>
          <w:sz w:val="18"/>
          <w:szCs w:val="18"/>
        </w:rPr>
        <w:t>(c</w:t>
      </w:r>
      <w:r w:rsidR="00DA23E1">
        <w:rPr>
          <w:rFonts w:cs="Arial"/>
          <w:b/>
          <w:color w:val="1F497D" w:themeColor="text2"/>
          <w:sz w:val="18"/>
          <w:szCs w:val="18"/>
        </w:rPr>
        <w:t>ifras absolutas en</w:t>
      </w:r>
      <w:r w:rsidR="00665097" w:rsidRPr="00FC5187">
        <w:rPr>
          <w:rFonts w:cs="Arial"/>
          <w:b/>
          <w:color w:val="1F497D" w:themeColor="text2"/>
          <w:sz w:val="18"/>
          <w:szCs w:val="18"/>
        </w:rPr>
        <w:t xml:space="preserve"> Euros. </w:t>
      </w:r>
      <w:r w:rsidR="00665097" w:rsidRPr="00C86565">
        <w:rPr>
          <w:rFonts w:cs="Arial"/>
          <w:b/>
          <w:color w:val="1F497D" w:themeColor="text2"/>
          <w:sz w:val="18"/>
          <w:szCs w:val="18"/>
        </w:rPr>
        <w:t>% v</w:t>
      </w:r>
      <w:r w:rsidR="00490B03">
        <w:rPr>
          <w:rFonts w:cs="Arial"/>
          <w:b/>
          <w:color w:val="1F497D" w:themeColor="text2"/>
          <w:sz w:val="18"/>
          <w:szCs w:val="18"/>
        </w:rPr>
        <w:t>er</w:t>
      </w:r>
      <w:r w:rsidR="00DA23E1">
        <w:rPr>
          <w:rFonts w:cs="Arial"/>
          <w:b/>
          <w:color w:val="1F497D" w:themeColor="text2"/>
          <w:sz w:val="18"/>
          <w:szCs w:val="18"/>
        </w:rPr>
        <w:t>ticales</w:t>
      </w:r>
      <w:r w:rsidR="00665097" w:rsidRPr="00C86565">
        <w:rPr>
          <w:rFonts w:cs="Arial"/>
          <w:b/>
          <w:color w:val="1F497D" w:themeColor="text2"/>
          <w:sz w:val="18"/>
          <w:szCs w:val="18"/>
        </w:rPr>
        <w:t>)</w:t>
      </w:r>
      <w:bookmarkEnd w:id="167"/>
      <w:bookmarkEnd w:id="168"/>
    </w:p>
    <w:tbl>
      <w:tblPr>
        <w:tblW w:w="9940" w:type="dxa"/>
        <w:jc w:val="center"/>
        <w:tblLook w:val="04A0" w:firstRow="1" w:lastRow="0" w:firstColumn="1" w:lastColumn="0" w:noHBand="0" w:noVBand="1"/>
      </w:tblPr>
      <w:tblGrid>
        <w:gridCol w:w="1132"/>
        <w:gridCol w:w="1415"/>
        <w:gridCol w:w="854"/>
        <w:gridCol w:w="1415"/>
        <w:gridCol w:w="854"/>
        <w:gridCol w:w="1281"/>
        <w:gridCol w:w="854"/>
        <w:gridCol w:w="1281"/>
        <w:gridCol w:w="854"/>
      </w:tblGrid>
      <w:tr w:rsidR="00665097" w:rsidRPr="00506010" w:rsidTr="00175D09">
        <w:trPr>
          <w:jc w:val="center"/>
        </w:trPr>
        <w:tc>
          <w:tcPr>
            <w:tcW w:w="1128"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394209" w:rsidRDefault="00665097" w:rsidP="00BB313D">
            <w:pPr>
              <w:widowControl w:val="0"/>
              <w:spacing w:line="240" w:lineRule="exact"/>
              <w:jc w:val="center"/>
              <w:rPr>
                <w:rFonts w:cs="Arial"/>
                <w:b/>
                <w:sz w:val="16"/>
                <w:szCs w:val="16"/>
              </w:rPr>
            </w:pP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Pr>
                <w:rFonts w:cs="Arial"/>
                <w:b/>
                <w:bCs/>
                <w:sz w:val="16"/>
                <w:szCs w:val="16"/>
              </w:rPr>
              <w:t>CAE</w:t>
            </w: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1E5608">
            <w:pPr>
              <w:widowControl w:val="0"/>
              <w:spacing w:line="240" w:lineRule="exact"/>
              <w:jc w:val="center"/>
              <w:rPr>
                <w:rFonts w:cs="Arial"/>
                <w:b/>
                <w:bCs/>
                <w:sz w:val="16"/>
                <w:szCs w:val="16"/>
              </w:rPr>
            </w:pPr>
            <w:proofErr w:type="spellStart"/>
            <w:r w:rsidRPr="00506010">
              <w:rPr>
                <w:rFonts w:cs="Arial"/>
                <w:b/>
                <w:bCs/>
                <w:sz w:val="16"/>
                <w:szCs w:val="16"/>
              </w:rPr>
              <w:t>S.</w:t>
            </w:r>
            <w:r>
              <w:rPr>
                <w:rFonts w:cs="Arial"/>
                <w:b/>
                <w:bCs/>
                <w:sz w:val="16"/>
                <w:szCs w:val="16"/>
              </w:rPr>
              <w:t>Coop</w:t>
            </w:r>
            <w:proofErr w:type="spellEnd"/>
            <w:r w:rsidRPr="00506010">
              <w:rPr>
                <w:rFonts w:cs="Arial"/>
                <w:b/>
                <w:bCs/>
                <w:sz w:val="16"/>
                <w:szCs w:val="16"/>
              </w:rPr>
              <w:t>.</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sidRPr="00506010">
              <w:rPr>
                <w:rFonts w:cs="Arial"/>
                <w:b/>
                <w:bCs/>
                <w:sz w:val="16"/>
                <w:szCs w:val="16"/>
                <w:lang w:val="en-GB"/>
              </w:rPr>
              <w:t>S.A.L.es</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sidRPr="00506010">
              <w:rPr>
                <w:rFonts w:cs="Arial"/>
                <w:b/>
                <w:bCs/>
                <w:sz w:val="16"/>
                <w:szCs w:val="16"/>
                <w:lang w:val="en-GB"/>
              </w:rPr>
              <w:t>S.L.L.es</w:t>
            </w:r>
          </w:p>
        </w:tc>
      </w:tr>
      <w:tr w:rsidR="00665097" w:rsidRPr="00506010" w:rsidTr="00175D09">
        <w:trPr>
          <w:jc w:val="center"/>
        </w:trPr>
        <w:tc>
          <w:tcPr>
            <w:tcW w:w="1128" w:type="dxa"/>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rPr>
                <w:rFonts w:cs="Arial"/>
                <w:sz w:val="16"/>
                <w:szCs w:val="16"/>
              </w:rPr>
            </w:pP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r>
      <w:tr w:rsidR="00855B86" w:rsidRPr="00506010" w:rsidTr="00175D09">
        <w:trPr>
          <w:jc w:val="center"/>
        </w:trPr>
        <w:tc>
          <w:tcPr>
            <w:tcW w:w="1128" w:type="dxa"/>
            <w:tcBorders>
              <w:right w:val="single" w:sz="4" w:space="0" w:color="BFBFBF" w:themeColor="background1" w:themeShade="BF"/>
            </w:tcBorders>
            <w:hideMark/>
          </w:tcPr>
          <w:p w:rsidR="00855B86" w:rsidRPr="008369DF" w:rsidRDefault="00855B86" w:rsidP="00BB313D">
            <w:pPr>
              <w:widowControl w:val="0"/>
              <w:spacing w:line="240" w:lineRule="exact"/>
              <w:rPr>
                <w:rFonts w:cs="Arial"/>
                <w:color w:val="000000"/>
                <w:sz w:val="16"/>
                <w:szCs w:val="16"/>
              </w:rPr>
            </w:pPr>
            <w:r w:rsidRPr="008369DF">
              <w:rPr>
                <w:rFonts w:cs="Arial"/>
                <w:color w:val="000000"/>
                <w:sz w:val="16"/>
                <w:szCs w:val="16"/>
              </w:rPr>
              <w:t>Álava</w:t>
            </w:r>
          </w:p>
        </w:tc>
        <w:tc>
          <w:tcPr>
            <w:tcW w:w="1410" w:type="dxa"/>
            <w:tcBorders>
              <w:left w:val="single" w:sz="4" w:space="0" w:color="BFBFBF" w:themeColor="background1" w:themeShade="BF"/>
            </w:tcBorders>
            <w:vAlign w:val="bottom"/>
            <w:hideMark/>
          </w:tcPr>
          <w:p w:rsidR="00855B86" w:rsidRPr="00C26E74" w:rsidRDefault="00C26E74" w:rsidP="00BB313D">
            <w:pPr>
              <w:widowControl w:val="0"/>
              <w:spacing w:line="240" w:lineRule="exact"/>
              <w:ind w:right="170"/>
              <w:jc w:val="right"/>
              <w:rPr>
                <w:rFonts w:cs="Arial"/>
                <w:color w:val="000000"/>
                <w:sz w:val="16"/>
                <w:szCs w:val="16"/>
              </w:rPr>
            </w:pPr>
            <w:r w:rsidRPr="00C26E74">
              <w:rPr>
                <w:rFonts w:cs="Arial"/>
                <w:color w:val="000000"/>
                <w:sz w:val="16"/>
                <w:szCs w:val="16"/>
              </w:rPr>
              <w:t>296.017.324</w:t>
            </w:r>
          </w:p>
        </w:tc>
        <w:tc>
          <w:tcPr>
            <w:tcW w:w="851" w:type="dxa"/>
            <w:tcBorders>
              <w:right w:val="single" w:sz="4" w:space="0" w:color="BFBFBF" w:themeColor="background1" w:themeShade="BF"/>
            </w:tcBorders>
            <w:vAlign w:val="bottom"/>
            <w:hideMark/>
          </w:tcPr>
          <w:p w:rsidR="00855B86" w:rsidRPr="008369DF" w:rsidRDefault="00C6486C" w:rsidP="00BB313D">
            <w:pPr>
              <w:widowControl w:val="0"/>
              <w:spacing w:line="240" w:lineRule="exact"/>
              <w:ind w:right="170"/>
              <w:jc w:val="right"/>
              <w:rPr>
                <w:rFonts w:cs="Arial"/>
                <w:color w:val="000000"/>
                <w:sz w:val="16"/>
                <w:szCs w:val="16"/>
              </w:rPr>
            </w:pPr>
            <w:r>
              <w:rPr>
                <w:rFonts w:cs="Arial"/>
                <w:color w:val="000000"/>
                <w:sz w:val="16"/>
                <w:szCs w:val="16"/>
              </w:rPr>
              <w:t>11,3</w:t>
            </w:r>
          </w:p>
        </w:tc>
        <w:tc>
          <w:tcPr>
            <w:tcW w:w="1410" w:type="dxa"/>
            <w:tcBorders>
              <w:left w:val="single" w:sz="4" w:space="0" w:color="BFBFBF" w:themeColor="background1" w:themeShade="BF"/>
            </w:tcBorders>
            <w:vAlign w:val="bottom"/>
            <w:hideMark/>
          </w:tcPr>
          <w:p w:rsidR="00855B86" w:rsidRPr="0053163A" w:rsidRDefault="0053163A" w:rsidP="00BB313D">
            <w:pPr>
              <w:widowControl w:val="0"/>
              <w:spacing w:line="240" w:lineRule="exact"/>
              <w:ind w:right="170"/>
              <w:jc w:val="right"/>
              <w:rPr>
                <w:rFonts w:cs="Arial"/>
                <w:color w:val="000000"/>
                <w:sz w:val="16"/>
                <w:szCs w:val="16"/>
              </w:rPr>
            </w:pPr>
            <w:r w:rsidRPr="0053163A">
              <w:rPr>
                <w:rFonts w:cs="Arial"/>
                <w:color w:val="000000"/>
                <w:sz w:val="16"/>
                <w:szCs w:val="16"/>
              </w:rPr>
              <w:t>278.799.906</w:t>
            </w:r>
          </w:p>
        </w:tc>
        <w:tc>
          <w:tcPr>
            <w:tcW w:w="851" w:type="dxa"/>
            <w:tcBorders>
              <w:right w:val="single" w:sz="4" w:space="0" w:color="BFBFBF" w:themeColor="background1" w:themeShade="BF"/>
            </w:tcBorders>
            <w:vAlign w:val="bottom"/>
            <w:hideMark/>
          </w:tcPr>
          <w:p w:rsidR="00855B86" w:rsidRPr="008369DF" w:rsidRDefault="00E067C7" w:rsidP="00BB313D">
            <w:pPr>
              <w:widowControl w:val="0"/>
              <w:spacing w:line="240" w:lineRule="exact"/>
              <w:ind w:right="170"/>
              <w:jc w:val="right"/>
              <w:rPr>
                <w:rFonts w:cs="Arial"/>
                <w:color w:val="000000"/>
                <w:sz w:val="16"/>
                <w:szCs w:val="16"/>
              </w:rPr>
            </w:pPr>
            <w:r>
              <w:rPr>
                <w:rFonts w:cs="Arial"/>
                <w:color w:val="000000"/>
                <w:sz w:val="16"/>
                <w:szCs w:val="16"/>
              </w:rPr>
              <w:t>11,8</w:t>
            </w:r>
          </w:p>
        </w:tc>
        <w:tc>
          <w:tcPr>
            <w:tcW w:w="1276" w:type="dxa"/>
            <w:tcBorders>
              <w:left w:val="single" w:sz="4" w:space="0" w:color="BFBFBF" w:themeColor="background1" w:themeShade="BF"/>
            </w:tcBorders>
            <w:vAlign w:val="bottom"/>
            <w:hideMark/>
          </w:tcPr>
          <w:p w:rsidR="00855B86" w:rsidRPr="004528F2" w:rsidRDefault="004528F2" w:rsidP="00BB313D">
            <w:pPr>
              <w:widowControl w:val="0"/>
              <w:spacing w:line="240" w:lineRule="exact"/>
              <w:ind w:right="170"/>
              <w:jc w:val="right"/>
              <w:rPr>
                <w:rFonts w:cs="Arial"/>
                <w:color w:val="000000"/>
                <w:sz w:val="16"/>
                <w:szCs w:val="16"/>
              </w:rPr>
            </w:pPr>
            <w:r w:rsidRPr="004528F2">
              <w:rPr>
                <w:rFonts w:cs="Arial"/>
                <w:color w:val="000000"/>
                <w:sz w:val="16"/>
                <w:szCs w:val="16"/>
              </w:rPr>
              <w:t>8.004.499</w:t>
            </w:r>
          </w:p>
        </w:tc>
        <w:tc>
          <w:tcPr>
            <w:tcW w:w="851" w:type="dxa"/>
            <w:tcBorders>
              <w:right w:val="single" w:sz="4" w:space="0" w:color="BFBFBF" w:themeColor="background1" w:themeShade="BF"/>
            </w:tcBorders>
            <w:vAlign w:val="bottom"/>
            <w:hideMark/>
          </w:tcPr>
          <w:p w:rsidR="00855B86" w:rsidRPr="008369DF" w:rsidRDefault="00E067C7" w:rsidP="00BB313D">
            <w:pPr>
              <w:widowControl w:val="0"/>
              <w:spacing w:line="240" w:lineRule="exact"/>
              <w:ind w:right="170"/>
              <w:jc w:val="right"/>
              <w:rPr>
                <w:rFonts w:cs="Arial"/>
                <w:color w:val="000000"/>
                <w:sz w:val="16"/>
                <w:szCs w:val="16"/>
              </w:rPr>
            </w:pPr>
            <w:r>
              <w:rPr>
                <w:rFonts w:cs="Arial"/>
                <w:color w:val="000000"/>
                <w:sz w:val="16"/>
                <w:szCs w:val="16"/>
              </w:rPr>
              <w:t>6,0</w:t>
            </w:r>
          </w:p>
        </w:tc>
        <w:tc>
          <w:tcPr>
            <w:tcW w:w="1276" w:type="dxa"/>
            <w:tcBorders>
              <w:left w:val="single" w:sz="4" w:space="0" w:color="BFBFBF" w:themeColor="background1" w:themeShade="BF"/>
            </w:tcBorders>
            <w:vAlign w:val="bottom"/>
            <w:hideMark/>
          </w:tcPr>
          <w:p w:rsidR="00855B86" w:rsidRPr="004528F2" w:rsidRDefault="004528F2" w:rsidP="00BB313D">
            <w:pPr>
              <w:widowControl w:val="0"/>
              <w:spacing w:line="240" w:lineRule="exact"/>
              <w:ind w:right="170"/>
              <w:jc w:val="right"/>
              <w:rPr>
                <w:rFonts w:cs="Arial"/>
                <w:color w:val="000000"/>
                <w:sz w:val="16"/>
                <w:szCs w:val="16"/>
              </w:rPr>
            </w:pPr>
            <w:r w:rsidRPr="004528F2">
              <w:rPr>
                <w:rFonts w:cs="Arial"/>
                <w:color w:val="000000"/>
                <w:sz w:val="16"/>
                <w:szCs w:val="16"/>
              </w:rPr>
              <w:t>9.212.919</w:t>
            </w:r>
          </w:p>
        </w:tc>
        <w:tc>
          <w:tcPr>
            <w:tcW w:w="851" w:type="dxa"/>
            <w:vAlign w:val="bottom"/>
            <w:hideMark/>
          </w:tcPr>
          <w:p w:rsidR="00855B86" w:rsidRPr="008369DF" w:rsidRDefault="00EE4EFC" w:rsidP="00BB313D">
            <w:pPr>
              <w:widowControl w:val="0"/>
              <w:spacing w:line="240" w:lineRule="exact"/>
              <w:ind w:right="170"/>
              <w:jc w:val="right"/>
              <w:rPr>
                <w:rFonts w:cs="Arial"/>
                <w:color w:val="000000"/>
                <w:sz w:val="16"/>
                <w:szCs w:val="16"/>
              </w:rPr>
            </w:pPr>
            <w:r>
              <w:rPr>
                <w:rFonts w:cs="Arial"/>
                <w:color w:val="000000"/>
                <w:sz w:val="16"/>
                <w:szCs w:val="16"/>
              </w:rPr>
              <w:t>7,5</w:t>
            </w:r>
          </w:p>
        </w:tc>
      </w:tr>
      <w:tr w:rsidR="00855B86" w:rsidRPr="00506010" w:rsidTr="00175D09">
        <w:trPr>
          <w:jc w:val="center"/>
        </w:trPr>
        <w:tc>
          <w:tcPr>
            <w:tcW w:w="1128" w:type="dxa"/>
            <w:tcBorders>
              <w:right w:val="single" w:sz="4" w:space="0" w:color="BFBFBF" w:themeColor="background1" w:themeShade="BF"/>
            </w:tcBorders>
            <w:hideMark/>
          </w:tcPr>
          <w:p w:rsidR="00855B86" w:rsidRPr="008369DF" w:rsidRDefault="00855B86" w:rsidP="00BB313D">
            <w:pPr>
              <w:widowControl w:val="0"/>
              <w:spacing w:line="240" w:lineRule="exact"/>
              <w:rPr>
                <w:rFonts w:cs="Arial"/>
                <w:color w:val="000000"/>
                <w:sz w:val="16"/>
                <w:szCs w:val="16"/>
              </w:rPr>
            </w:pPr>
            <w:proofErr w:type="spellStart"/>
            <w:r w:rsidRPr="008369DF">
              <w:rPr>
                <w:rFonts w:cs="Arial"/>
                <w:color w:val="000000"/>
                <w:sz w:val="16"/>
                <w:szCs w:val="16"/>
              </w:rPr>
              <w:t>Bizkaia</w:t>
            </w:r>
            <w:proofErr w:type="spellEnd"/>
          </w:p>
        </w:tc>
        <w:tc>
          <w:tcPr>
            <w:tcW w:w="1410" w:type="dxa"/>
            <w:tcBorders>
              <w:left w:val="single" w:sz="4" w:space="0" w:color="BFBFBF" w:themeColor="background1" w:themeShade="BF"/>
            </w:tcBorders>
            <w:vAlign w:val="bottom"/>
            <w:hideMark/>
          </w:tcPr>
          <w:p w:rsidR="00855B86" w:rsidRPr="0019420F" w:rsidRDefault="00C26E74" w:rsidP="00BB313D">
            <w:pPr>
              <w:widowControl w:val="0"/>
              <w:spacing w:line="240" w:lineRule="exact"/>
              <w:ind w:right="170"/>
              <w:jc w:val="right"/>
              <w:rPr>
                <w:rFonts w:cs="Arial"/>
                <w:color w:val="000000"/>
                <w:sz w:val="16"/>
                <w:szCs w:val="16"/>
              </w:rPr>
            </w:pPr>
            <w:r w:rsidRPr="00C26E74">
              <w:rPr>
                <w:rFonts w:cs="Arial"/>
                <w:color w:val="000000"/>
                <w:sz w:val="16"/>
                <w:szCs w:val="16"/>
              </w:rPr>
              <w:t>919.932.636</w:t>
            </w:r>
            <w:r>
              <w:rPr>
                <w:rFonts w:cs="Arial"/>
                <w:color w:val="000000"/>
                <w:sz w:val="16"/>
                <w:szCs w:val="16"/>
              </w:rPr>
              <w:t xml:space="preserve"> </w:t>
            </w:r>
          </w:p>
        </w:tc>
        <w:tc>
          <w:tcPr>
            <w:tcW w:w="851" w:type="dxa"/>
            <w:tcBorders>
              <w:right w:val="single" w:sz="4" w:space="0" w:color="BFBFBF" w:themeColor="background1" w:themeShade="BF"/>
            </w:tcBorders>
            <w:vAlign w:val="bottom"/>
            <w:hideMark/>
          </w:tcPr>
          <w:p w:rsidR="00855B86" w:rsidRPr="008369DF" w:rsidRDefault="00C6486C" w:rsidP="00BB313D">
            <w:pPr>
              <w:widowControl w:val="0"/>
              <w:spacing w:line="240" w:lineRule="exact"/>
              <w:ind w:right="170"/>
              <w:jc w:val="right"/>
              <w:rPr>
                <w:rFonts w:cs="Arial"/>
                <w:color w:val="000000"/>
                <w:sz w:val="16"/>
                <w:szCs w:val="16"/>
              </w:rPr>
            </w:pPr>
            <w:r>
              <w:rPr>
                <w:rFonts w:cs="Arial"/>
                <w:color w:val="000000"/>
                <w:sz w:val="16"/>
                <w:szCs w:val="16"/>
              </w:rPr>
              <w:t>35,2</w:t>
            </w:r>
          </w:p>
        </w:tc>
        <w:tc>
          <w:tcPr>
            <w:tcW w:w="1410" w:type="dxa"/>
            <w:tcBorders>
              <w:left w:val="single" w:sz="4" w:space="0" w:color="BFBFBF" w:themeColor="background1" w:themeShade="BF"/>
            </w:tcBorders>
            <w:vAlign w:val="bottom"/>
            <w:hideMark/>
          </w:tcPr>
          <w:p w:rsidR="00855B86" w:rsidRPr="008369DF" w:rsidRDefault="0053163A" w:rsidP="00BB313D">
            <w:pPr>
              <w:widowControl w:val="0"/>
              <w:spacing w:line="240" w:lineRule="exact"/>
              <w:ind w:right="170"/>
              <w:jc w:val="right"/>
              <w:rPr>
                <w:rFonts w:cs="Arial"/>
                <w:color w:val="000000"/>
                <w:sz w:val="16"/>
                <w:szCs w:val="16"/>
              </w:rPr>
            </w:pPr>
            <w:r w:rsidRPr="0053163A">
              <w:rPr>
                <w:rFonts w:cs="Arial"/>
                <w:color w:val="000000"/>
                <w:sz w:val="16"/>
                <w:szCs w:val="16"/>
              </w:rPr>
              <w:t>796.490.373</w:t>
            </w:r>
          </w:p>
        </w:tc>
        <w:tc>
          <w:tcPr>
            <w:tcW w:w="851" w:type="dxa"/>
            <w:tcBorders>
              <w:right w:val="single" w:sz="4" w:space="0" w:color="BFBFBF" w:themeColor="background1" w:themeShade="BF"/>
            </w:tcBorders>
            <w:vAlign w:val="bottom"/>
            <w:hideMark/>
          </w:tcPr>
          <w:p w:rsidR="00855B86" w:rsidRPr="008369DF" w:rsidRDefault="00E067C7" w:rsidP="00BB313D">
            <w:pPr>
              <w:widowControl w:val="0"/>
              <w:spacing w:line="240" w:lineRule="exact"/>
              <w:ind w:right="170"/>
              <w:jc w:val="right"/>
              <w:rPr>
                <w:rFonts w:cs="Arial"/>
                <w:color w:val="000000"/>
                <w:sz w:val="16"/>
                <w:szCs w:val="16"/>
              </w:rPr>
            </w:pPr>
            <w:r>
              <w:rPr>
                <w:rFonts w:cs="Arial"/>
                <w:color w:val="000000"/>
                <w:sz w:val="16"/>
                <w:szCs w:val="16"/>
              </w:rPr>
              <w:t>33,8</w:t>
            </w:r>
          </w:p>
        </w:tc>
        <w:tc>
          <w:tcPr>
            <w:tcW w:w="1276" w:type="dxa"/>
            <w:tcBorders>
              <w:left w:val="single" w:sz="4" w:space="0" w:color="BFBFBF" w:themeColor="background1" w:themeShade="BF"/>
            </w:tcBorders>
            <w:vAlign w:val="bottom"/>
            <w:hideMark/>
          </w:tcPr>
          <w:p w:rsidR="00855B86" w:rsidRPr="00761B75" w:rsidRDefault="00761B75" w:rsidP="00BB313D">
            <w:pPr>
              <w:widowControl w:val="0"/>
              <w:spacing w:line="240" w:lineRule="exact"/>
              <w:ind w:right="170"/>
              <w:jc w:val="right"/>
              <w:rPr>
                <w:rFonts w:cs="Arial"/>
                <w:color w:val="000000"/>
                <w:sz w:val="16"/>
                <w:szCs w:val="16"/>
              </w:rPr>
            </w:pPr>
            <w:r w:rsidRPr="00761B75">
              <w:rPr>
                <w:rFonts w:cs="Arial"/>
                <w:color w:val="000000"/>
                <w:sz w:val="16"/>
                <w:szCs w:val="16"/>
              </w:rPr>
              <w:t>65.217.236</w:t>
            </w:r>
          </w:p>
        </w:tc>
        <w:tc>
          <w:tcPr>
            <w:tcW w:w="851" w:type="dxa"/>
            <w:tcBorders>
              <w:right w:val="single" w:sz="4" w:space="0" w:color="BFBFBF" w:themeColor="background1" w:themeShade="BF"/>
            </w:tcBorders>
            <w:vAlign w:val="bottom"/>
            <w:hideMark/>
          </w:tcPr>
          <w:p w:rsidR="00855B86" w:rsidRPr="008369DF" w:rsidRDefault="00E067C7" w:rsidP="00BB313D">
            <w:pPr>
              <w:widowControl w:val="0"/>
              <w:spacing w:line="240" w:lineRule="exact"/>
              <w:ind w:right="170"/>
              <w:jc w:val="right"/>
              <w:rPr>
                <w:rFonts w:cs="Arial"/>
                <w:color w:val="000000"/>
                <w:sz w:val="16"/>
                <w:szCs w:val="16"/>
              </w:rPr>
            </w:pPr>
            <w:r>
              <w:rPr>
                <w:rFonts w:cs="Arial"/>
                <w:color w:val="000000"/>
                <w:sz w:val="16"/>
                <w:szCs w:val="16"/>
              </w:rPr>
              <w:t>48,8</w:t>
            </w:r>
          </w:p>
        </w:tc>
        <w:tc>
          <w:tcPr>
            <w:tcW w:w="1276" w:type="dxa"/>
            <w:tcBorders>
              <w:left w:val="single" w:sz="4" w:space="0" w:color="BFBFBF" w:themeColor="background1" w:themeShade="BF"/>
            </w:tcBorders>
            <w:vAlign w:val="bottom"/>
            <w:hideMark/>
          </w:tcPr>
          <w:p w:rsidR="00855B86" w:rsidRPr="008369DF" w:rsidRDefault="00BE3456" w:rsidP="00BB313D">
            <w:pPr>
              <w:widowControl w:val="0"/>
              <w:spacing w:line="240" w:lineRule="exact"/>
              <w:ind w:right="170"/>
              <w:jc w:val="right"/>
              <w:rPr>
                <w:rFonts w:cs="Arial"/>
                <w:color w:val="000000"/>
                <w:sz w:val="16"/>
                <w:szCs w:val="16"/>
              </w:rPr>
            </w:pPr>
            <w:r w:rsidRPr="00BE3456">
              <w:rPr>
                <w:rFonts w:cs="Arial"/>
                <w:color w:val="000000"/>
                <w:sz w:val="16"/>
                <w:szCs w:val="16"/>
              </w:rPr>
              <w:t>58.225.027</w:t>
            </w:r>
          </w:p>
        </w:tc>
        <w:tc>
          <w:tcPr>
            <w:tcW w:w="851" w:type="dxa"/>
            <w:vAlign w:val="bottom"/>
            <w:hideMark/>
          </w:tcPr>
          <w:p w:rsidR="00855B86" w:rsidRPr="008369DF" w:rsidRDefault="00EE4EFC" w:rsidP="00BB313D">
            <w:pPr>
              <w:widowControl w:val="0"/>
              <w:spacing w:line="240" w:lineRule="exact"/>
              <w:ind w:right="170"/>
              <w:jc w:val="right"/>
              <w:rPr>
                <w:rFonts w:cs="Arial"/>
                <w:color w:val="000000"/>
                <w:sz w:val="16"/>
                <w:szCs w:val="16"/>
              </w:rPr>
            </w:pPr>
            <w:r>
              <w:rPr>
                <w:rFonts w:cs="Arial"/>
                <w:color w:val="000000"/>
                <w:sz w:val="16"/>
                <w:szCs w:val="16"/>
              </w:rPr>
              <w:t>47,5</w:t>
            </w:r>
          </w:p>
        </w:tc>
      </w:tr>
      <w:tr w:rsidR="00855B86" w:rsidRPr="00506010" w:rsidTr="00175D09">
        <w:trPr>
          <w:jc w:val="center"/>
        </w:trPr>
        <w:tc>
          <w:tcPr>
            <w:tcW w:w="1128" w:type="dxa"/>
            <w:tcBorders>
              <w:bottom w:val="single" w:sz="4" w:space="0" w:color="BFBFBF" w:themeColor="background1" w:themeShade="BF"/>
              <w:right w:val="single" w:sz="4" w:space="0" w:color="BFBFBF" w:themeColor="background1" w:themeShade="BF"/>
            </w:tcBorders>
            <w:hideMark/>
          </w:tcPr>
          <w:p w:rsidR="00855B86" w:rsidRPr="008369DF" w:rsidRDefault="00855B86" w:rsidP="00BB313D">
            <w:pPr>
              <w:widowControl w:val="0"/>
              <w:spacing w:line="240" w:lineRule="exact"/>
              <w:rPr>
                <w:rFonts w:cs="Arial"/>
                <w:color w:val="000000"/>
                <w:sz w:val="16"/>
                <w:szCs w:val="16"/>
              </w:rPr>
            </w:pPr>
            <w:proofErr w:type="spellStart"/>
            <w:r w:rsidRPr="008369DF">
              <w:rPr>
                <w:rFonts w:cs="Arial"/>
                <w:color w:val="000000"/>
                <w:sz w:val="16"/>
                <w:szCs w:val="16"/>
              </w:rPr>
              <w:t>Gipuzkoa</w:t>
            </w:r>
            <w:proofErr w:type="spellEnd"/>
          </w:p>
        </w:tc>
        <w:tc>
          <w:tcPr>
            <w:tcW w:w="1410" w:type="dxa"/>
            <w:tcBorders>
              <w:left w:val="single" w:sz="4" w:space="0" w:color="BFBFBF" w:themeColor="background1" w:themeShade="BF"/>
              <w:bottom w:val="single" w:sz="4" w:space="0" w:color="BFBFBF" w:themeColor="background1" w:themeShade="BF"/>
            </w:tcBorders>
            <w:vAlign w:val="bottom"/>
            <w:hideMark/>
          </w:tcPr>
          <w:p w:rsidR="00855B86" w:rsidRPr="0019420F" w:rsidRDefault="0019420F" w:rsidP="00BB313D">
            <w:pPr>
              <w:widowControl w:val="0"/>
              <w:spacing w:line="240" w:lineRule="exact"/>
              <w:ind w:right="170"/>
              <w:jc w:val="right"/>
              <w:rPr>
                <w:rFonts w:cs="Arial"/>
                <w:color w:val="000000"/>
                <w:sz w:val="16"/>
                <w:szCs w:val="16"/>
              </w:rPr>
            </w:pPr>
            <w:r w:rsidRPr="0019420F">
              <w:rPr>
                <w:rFonts w:cs="Arial"/>
                <w:color w:val="000000"/>
                <w:sz w:val="16"/>
                <w:szCs w:val="16"/>
              </w:rPr>
              <w:t>1.399.178.307</w:t>
            </w:r>
          </w:p>
        </w:tc>
        <w:tc>
          <w:tcPr>
            <w:tcW w:w="851" w:type="dxa"/>
            <w:tcBorders>
              <w:bottom w:val="single" w:sz="4" w:space="0" w:color="BFBFBF" w:themeColor="background1" w:themeShade="BF"/>
              <w:right w:val="single" w:sz="4" w:space="0" w:color="BFBFBF" w:themeColor="background1" w:themeShade="BF"/>
            </w:tcBorders>
            <w:vAlign w:val="bottom"/>
            <w:hideMark/>
          </w:tcPr>
          <w:p w:rsidR="00855B86" w:rsidRPr="008369DF" w:rsidRDefault="00C6486C" w:rsidP="00BB313D">
            <w:pPr>
              <w:widowControl w:val="0"/>
              <w:spacing w:line="240" w:lineRule="exact"/>
              <w:ind w:right="170"/>
              <w:jc w:val="right"/>
              <w:rPr>
                <w:rFonts w:cs="Arial"/>
                <w:color w:val="000000"/>
                <w:sz w:val="16"/>
                <w:szCs w:val="16"/>
              </w:rPr>
            </w:pPr>
            <w:r>
              <w:rPr>
                <w:rFonts w:cs="Arial"/>
                <w:color w:val="000000"/>
                <w:sz w:val="16"/>
                <w:szCs w:val="16"/>
              </w:rPr>
              <w:t>53,5</w:t>
            </w:r>
          </w:p>
        </w:tc>
        <w:tc>
          <w:tcPr>
            <w:tcW w:w="1410" w:type="dxa"/>
            <w:tcBorders>
              <w:left w:val="single" w:sz="4" w:space="0" w:color="BFBFBF" w:themeColor="background1" w:themeShade="BF"/>
              <w:bottom w:val="single" w:sz="4" w:space="0" w:color="BFBFBF" w:themeColor="background1" w:themeShade="BF"/>
            </w:tcBorders>
            <w:vAlign w:val="bottom"/>
            <w:hideMark/>
          </w:tcPr>
          <w:p w:rsidR="00855B86" w:rsidRPr="008369DF" w:rsidRDefault="0053163A" w:rsidP="00BB313D">
            <w:pPr>
              <w:widowControl w:val="0"/>
              <w:spacing w:line="240" w:lineRule="exact"/>
              <w:ind w:right="170"/>
              <w:jc w:val="right"/>
              <w:rPr>
                <w:rFonts w:cs="Arial"/>
                <w:color w:val="000000"/>
                <w:sz w:val="16"/>
                <w:szCs w:val="16"/>
              </w:rPr>
            </w:pPr>
            <w:r w:rsidRPr="0053163A">
              <w:rPr>
                <w:rFonts w:cs="Arial"/>
                <w:color w:val="000000"/>
                <w:sz w:val="16"/>
                <w:szCs w:val="16"/>
              </w:rPr>
              <w:t>1.283.594.676</w:t>
            </w:r>
          </w:p>
        </w:tc>
        <w:tc>
          <w:tcPr>
            <w:tcW w:w="851" w:type="dxa"/>
            <w:tcBorders>
              <w:bottom w:val="single" w:sz="4" w:space="0" w:color="BFBFBF" w:themeColor="background1" w:themeShade="BF"/>
              <w:right w:val="single" w:sz="4" w:space="0" w:color="BFBFBF" w:themeColor="background1" w:themeShade="BF"/>
            </w:tcBorders>
            <w:vAlign w:val="bottom"/>
            <w:hideMark/>
          </w:tcPr>
          <w:p w:rsidR="00855B86" w:rsidRPr="008369DF" w:rsidRDefault="00E067C7" w:rsidP="00BB313D">
            <w:pPr>
              <w:widowControl w:val="0"/>
              <w:spacing w:line="240" w:lineRule="exact"/>
              <w:ind w:right="170"/>
              <w:jc w:val="right"/>
              <w:rPr>
                <w:rFonts w:cs="Arial"/>
                <w:color w:val="000000"/>
                <w:sz w:val="16"/>
                <w:szCs w:val="16"/>
              </w:rPr>
            </w:pPr>
            <w:r>
              <w:rPr>
                <w:rFonts w:cs="Arial"/>
                <w:color w:val="000000"/>
                <w:sz w:val="16"/>
                <w:szCs w:val="16"/>
              </w:rPr>
              <w:t>54,4</w:t>
            </w:r>
          </w:p>
        </w:tc>
        <w:tc>
          <w:tcPr>
            <w:tcW w:w="1276" w:type="dxa"/>
            <w:tcBorders>
              <w:left w:val="single" w:sz="4" w:space="0" w:color="BFBFBF" w:themeColor="background1" w:themeShade="BF"/>
              <w:bottom w:val="single" w:sz="4" w:space="0" w:color="BFBFBF" w:themeColor="background1" w:themeShade="BF"/>
            </w:tcBorders>
            <w:vAlign w:val="bottom"/>
            <w:hideMark/>
          </w:tcPr>
          <w:p w:rsidR="00855B86" w:rsidRPr="00761B75" w:rsidRDefault="00761B75" w:rsidP="00BB313D">
            <w:pPr>
              <w:widowControl w:val="0"/>
              <w:spacing w:line="240" w:lineRule="exact"/>
              <w:ind w:right="170"/>
              <w:jc w:val="right"/>
              <w:rPr>
                <w:rFonts w:cs="Arial"/>
                <w:color w:val="000000"/>
                <w:sz w:val="16"/>
                <w:szCs w:val="16"/>
              </w:rPr>
            </w:pPr>
            <w:r w:rsidRPr="00761B75">
              <w:rPr>
                <w:rFonts w:cs="Arial"/>
                <w:color w:val="000000"/>
                <w:sz w:val="16"/>
                <w:szCs w:val="16"/>
              </w:rPr>
              <w:t>60.420.456</w:t>
            </w:r>
          </w:p>
        </w:tc>
        <w:tc>
          <w:tcPr>
            <w:tcW w:w="851" w:type="dxa"/>
            <w:tcBorders>
              <w:bottom w:val="single" w:sz="4" w:space="0" w:color="BFBFBF" w:themeColor="background1" w:themeShade="BF"/>
              <w:right w:val="single" w:sz="4" w:space="0" w:color="BFBFBF" w:themeColor="background1" w:themeShade="BF"/>
            </w:tcBorders>
            <w:vAlign w:val="bottom"/>
            <w:hideMark/>
          </w:tcPr>
          <w:p w:rsidR="00855B86" w:rsidRPr="008369DF" w:rsidRDefault="00E067C7" w:rsidP="00BB313D">
            <w:pPr>
              <w:widowControl w:val="0"/>
              <w:spacing w:line="240" w:lineRule="exact"/>
              <w:ind w:right="170"/>
              <w:jc w:val="right"/>
              <w:rPr>
                <w:rFonts w:cs="Arial"/>
                <w:color w:val="000000"/>
                <w:sz w:val="16"/>
                <w:szCs w:val="16"/>
              </w:rPr>
            </w:pPr>
            <w:r>
              <w:rPr>
                <w:rFonts w:cs="Arial"/>
                <w:color w:val="000000"/>
                <w:sz w:val="16"/>
                <w:szCs w:val="16"/>
              </w:rPr>
              <w:t>45,2</w:t>
            </w:r>
          </w:p>
        </w:tc>
        <w:tc>
          <w:tcPr>
            <w:tcW w:w="1276" w:type="dxa"/>
            <w:tcBorders>
              <w:left w:val="single" w:sz="4" w:space="0" w:color="BFBFBF" w:themeColor="background1" w:themeShade="BF"/>
              <w:bottom w:val="single" w:sz="4" w:space="0" w:color="BFBFBF" w:themeColor="background1" w:themeShade="BF"/>
            </w:tcBorders>
            <w:vAlign w:val="bottom"/>
            <w:hideMark/>
          </w:tcPr>
          <w:p w:rsidR="00855B86" w:rsidRPr="008369DF" w:rsidRDefault="00BE3456" w:rsidP="00BB313D">
            <w:pPr>
              <w:widowControl w:val="0"/>
              <w:spacing w:line="240" w:lineRule="exact"/>
              <w:ind w:right="170"/>
              <w:jc w:val="right"/>
              <w:rPr>
                <w:rFonts w:cs="Arial"/>
                <w:color w:val="000000"/>
                <w:sz w:val="16"/>
                <w:szCs w:val="16"/>
              </w:rPr>
            </w:pPr>
            <w:r w:rsidRPr="00BE3456">
              <w:rPr>
                <w:rFonts w:cs="Arial"/>
                <w:color w:val="000000"/>
                <w:sz w:val="16"/>
                <w:szCs w:val="16"/>
              </w:rPr>
              <w:t>55.163.175</w:t>
            </w:r>
          </w:p>
        </w:tc>
        <w:tc>
          <w:tcPr>
            <w:tcW w:w="851" w:type="dxa"/>
            <w:tcBorders>
              <w:bottom w:val="single" w:sz="4" w:space="0" w:color="BFBFBF" w:themeColor="background1" w:themeShade="BF"/>
            </w:tcBorders>
            <w:vAlign w:val="bottom"/>
            <w:hideMark/>
          </w:tcPr>
          <w:p w:rsidR="00855B86" w:rsidRPr="008369DF" w:rsidRDefault="00EE4EFC" w:rsidP="00BB313D">
            <w:pPr>
              <w:widowControl w:val="0"/>
              <w:spacing w:line="240" w:lineRule="exact"/>
              <w:ind w:right="170"/>
              <w:jc w:val="right"/>
              <w:rPr>
                <w:rFonts w:cs="Arial"/>
                <w:color w:val="000000"/>
                <w:sz w:val="16"/>
                <w:szCs w:val="16"/>
              </w:rPr>
            </w:pPr>
            <w:r>
              <w:rPr>
                <w:rFonts w:cs="Arial"/>
                <w:color w:val="000000"/>
                <w:sz w:val="16"/>
                <w:szCs w:val="16"/>
              </w:rPr>
              <w:t>45,0</w:t>
            </w:r>
          </w:p>
        </w:tc>
      </w:tr>
      <w:tr w:rsidR="00665097" w:rsidRPr="00506010" w:rsidTr="00175D09">
        <w:trPr>
          <w:jc w:val="center"/>
        </w:trPr>
        <w:tc>
          <w:tcPr>
            <w:tcW w:w="1128" w:type="dxa"/>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8369DF" w:rsidRDefault="00665097" w:rsidP="00BB313D">
            <w:pPr>
              <w:widowControl w:val="0"/>
              <w:spacing w:line="240" w:lineRule="exact"/>
              <w:rPr>
                <w:rFonts w:cs="Arial"/>
                <w:b/>
                <w:bCs/>
                <w:color w:val="000000"/>
                <w:sz w:val="16"/>
                <w:szCs w:val="16"/>
              </w:rPr>
            </w:pPr>
            <w:r w:rsidRPr="008369DF">
              <w:rPr>
                <w:rFonts w:cs="Arial"/>
                <w:b/>
                <w:bCs/>
                <w:color w:val="000000"/>
                <w:sz w:val="16"/>
                <w:szCs w:val="16"/>
              </w:rPr>
              <w:t>TOTAL</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65097" w:rsidRPr="008369DF" w:rsidRDefault="007A6FC1" w:rsidP="00BB313D">
            <w:pPr>
              <w:widowControl w:val="0"/>
              <w:spacing w:line="240" w:lineRule="exact"/>
              <w:ind w:right="170"/>
              <w:jc w:val="right"/>
              <w:rPr>
                <w:rFonts w:cs="Arial"/>
                <w:b/>
                <w:bCs/>
                <w:color w:val="000000"/>
                <w:sz w:val="16"/>
                <w:szCs w:val="16"/>
              </w:rPr>
            </w:pPr>
            <w:r w:rsidRPr="000A1B5B">
              <w:rPr>
                <w:rFonts w:cs="Arial"/>
                <w:b/>
                <w:bCs/>
                <w:color w:val="000000"/>
                <w:sz w:val="16"/>
                <w:szCs w:val="16"/>
              </w:rPr>
              <w:t>2.615.128.266</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65097" w:rsidRPr="008369DF" w:rsidRDefault="00665097" w:rsidP="00BB313D">
            <w:pPr>
              <w:widowControl w:val="0"/>
              <w:spacing w:line="240" w:lineRule="exact"/>
              <w:ind w:right="170"/>
              <w:jc w:val="right"/>
              <w:rPr>
                <w:rFonts w:cs="Arial"/>
                <w:b/>
                <w:bCs/>
                <w:color w:val="000000"/>
                <w:sz w:val="16"/>
                <w:szCs w:val="16"/>
              </w:rPr>
            </w:pPr>
            <w:r w:rsidRPr="008369DF">
              <w:rPr>
                <w:rFonts w:cs="Arial"/>
                <w:b/>
                <w:bCs/>
                <w:color w:val="000000"/>
                <w:sz w:val="16"/>
                <w:szCs w:val="16"/>
              </w:rPr>
              <w:t>100</w:t>
            </w:r>
            <w:r w:rsidR="007F441F">
              <w:rPr>
                <w:rFonts w:cs="Arial"/>
                <w:b/>
                <w:bCs/>
                <w:color w:val="000000"/>
                <w:sz w:val="16"/>
                <w:szCs w:val="16"/>
              </w:rPr>
              <w:t>,0</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65097" w:rsidRPr="00E067C7" w:rsidRDefault="00E067C7" w:rsidP="00BB313D">
            <w:pPr>
              <w:widowControl w:val="0"/>
              <w:spacing w:line="240" w:lineRule="exact"/>
              <w:ind w:right="170"/>
              <w:jc w:val="right"/>
              <w:rPr>
                <w:rFonts w:cs="Arial"/>
                <w:b/>
                <w:bCs/>
                <w:color w:val="000000"/>
                <w:sz w:val="16"/>
                <w:szCs w:val="16"/>
              </w:rPr>
            </w:pPr>
            <w:r w:rsidRPr="00E067C7">
              <w:rPr>
                <w:rFonts w:cs="Arial"/>
                <w:b/>
                <w:bCs/>
                <w:color w:val="000000"/>
                <w:sz w:val="16"/>
                <w:szCs w:val="16"/>
              </w:rPr>
              <w:t>2.358.884.955</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65097" w:rsidRPr="008369DF" w:rsidRDefault="00665097" w:rsidP="00BB313D">
            <w:pPr>
              <w:widowControl w:val="0"/>
              <w:spacing w:line="240" w:lineRule="exact"/>
              <w:ind w:right="170"/>
              <w:jc w:val="right"/>
              <w:rPr>
                <w:rFonts w:cs="Arial"/>
                <w:b/>
                <w:bCs/>
                <w:color w:val="000000"/>
                <w:sz w:val="16"/>
                <w:szCs w:val="16"/>
              </w:rPr>
            </w:pPr>
            <w:r w:rsidRPr="008369DF">
              <w:rPr>
                <w:rFonts w:cs="Arial"/>
                <w:b/>
                <w:bCs/>
                <w:color w:val="000000"/>
                <w:sz w:val="16"/>
                <w:szCs w:val="16"/>
              </w:rPr>
              <w:t>100</w:t>
            </w:r>
            <w:r w:rsidR="007F441F">
              <w:rPr>
                <w:rFonts w:cs="Arial"/>
                <w:b/>
                <w:bCs/>
                <w:color w:val="000000"/>
                <w:sz w:val="16"/>
                <w:szCs w:val="16"/>
              </w:rPr>
              <w:t>,0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65097" w:rsidRPr="00E067C7" w:rsidRDefault="00E067C7" w:rsidP="00BB313D">
            <w:pPr>
              <w:widowControl w:val="0"/>
              <w:spacing w:line="240" w:lineRule="exact"/>
              <w:ind w:right="170"/>
              <w:jc w:val="right"/>
              <w:rPr>
                <w:rFonts w:cs="Arial"/>
                <w:b/>
                <w:bCs/>
                <w:color w:val="000000"/>
                <w:sz w:val="16"/>
                <w:szCs w:val="16"/>
              </w:rPr>
            </w:pPr>
            <w:r w:rsidRPr="00E067C7">
              <w:rPr>
                <w:rFonts w:cs="Arial"/>
                <w:b/>
                <w:bCs/>
                <w:color w:val="000000"/>
                <w:sz w:val="16"/>
                <w:szCs w:val="16"/>
              </w:rPr>
              <w:t>133.642.191</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665097" w:rsidRPr="008369DF" w:rsidRDefault="00665097" w:rsidP="00BB313D">
            <w:pPr>
              <w:widowControl w:val="0"/>
              <w:spacing w:line="240" w:lineRule="exact"/>
              <w:ind w:right="170"/>
              <w:jc w:val="right"/>
              <w:rPr>
                <w:rFonts w:cs="Arial"/>
                <w:b/>
                <w:bCs/>
                <w:color w:val="000000"/>
                <w:sz w:val="16"/>
                <w:szCs w:val="16"/>
              </w:rPr>
            </w:pPr>
            <w:r w:rsidRPr="00E067C7">
              <w:rPr>
                <w:rFonts w:cs="Arial"/>
                <w:b/>
                <w:bCs/>
                <w:color w:val="000000"/>
                <w:sz w:val="16"/>
                <w:szCs w:val="16"/>
              </w:rPr>
              <w:t>100</w:t>
            </w:r>
            <w:r w:rsidR="007F441F">
              <w:rPr>
                <w:rFonts w:cs="Arial"/>
                <w:b/>
                <w:bCs/>
                <w:color w:val="000000"/>
                <w:sz w:val="16"/>
                <w:szCs w:val="16"/>
              </w:rPr>
              <w:t>,0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665097" w:rsidRPr="00E067C7" w:rsidRDefault="00E067C7" w:rsidP="00BB313D">
            <w:pPr>
              <w:widowControl w:val="0"/>
              <w:spacing w:line="240" w:lineRule="exact"/>
              <w:ind w:right="170"/>
              <w:jc w:val="right"/>
              <w:rPr>
                <w:rFonts w:cs="Arial"/>
                <w:b/>
                <w:bCs/>
                <w:color w:val="000000"/>
                <w:sz w:val="16"/>
                <w:szCs w:val="16"/>
              </w:rPr>
            </w:pPr>
            <w:r w:rsidRPr="00E067C7">
              <w:rPr>
                <w:rFonts w:cs="Arial"/>
                <w:b/>
                <w:bCs/>
                <w:color w:val="000000"/>
                <w:sz w:val="16"/>
                <w:szCs w:val="16"/>
              </w:rPr>
              <w:t>122.601.121</w:t>
            </w:r>
          </w:p>
        </w:tc>
        <w:tc>
          <w:tcPr>
            <w:tcW w:w="851" w:type="dxa"/>
            <w:tcBorders>
              <w:top w:val="single" w:sz="4" w:space="0" w:color="BFBFBF" w:themeColor="background1" w:themeShade="BF"/>
              <w:bottom w:val="single" w:sz="4" w:space="0" w:color="BFBFBF" w:themeColor="background1" w:themeShade="BF"/>
            </w:tcBorders>
            <w:vAlign w:val="bottom"/>
            <w:hideMark/>
          </w:tcPr>
          <w:p w:rsidR="00665097" w:rsidRPr="008369DF" w:rsidRDefault="00665097" w:rsidP="00BB313D">
            <w:pPr>
              <w:widowControl w:val="0"/>
              <w:spacing w:line="240" w:lineRule="exact"/>
              <w:ind w:right="170"/>
              <w:jc w:val="right"/>
              <w:rPr>
                <w:rFonts w:cs="Arial"/>
                <w:b/>
                <w:bCs/>
                <w:color w:val="000000"/>
                <w:sz w:val="16"/>
                <w:szCs w:val="16"/>
              </w:rPr>
            </w:pPr>
            <w:r w:rsidRPr="00E067C7">
              <w:rPr>
                <w:rFonts w:cs="Arial"/>
                <w:b/>
                <w:bCs/>
                <w:color w:val="000000"/>
                <w:sz w:val="16"/>
                <w:szCs w:val="16"/>
              </w:rPr>
              <w:t>100</w:t>
            </w:r>
            <w:r w:rsidR="007F441F">
              <w:rPr>
                <w:rFonts w:cs="Arial"/>
                <w:b/>
                <w:bCs/>
                <w:color w:val="000000"/>
                <w:sz w:val="16"/>
                <w:szCs w:val="16"/>
              </w:rPr>
              <w:t>,0</w:t>
            </w:r>
          </w:p>
        </w:tc>
      </w:tr>
    </w:tbl>
    <w:p w:rsidR="00665097" w:rsidRDefault="00665097" w:rsidP="00BB313D">
      <w:pPr>
        <w:widowControl w:val="0"/>
      </w:pPr>
    </w:p>
    <w:p w:rsidR="001C63DE" w:rsidRPr="00D45F7B" w:rsidRDefault="001C63DE" w:rsidP="00BB313D">
      <w:pPr>
        <w:widowControl w:val="0"/>
      </w:pPr>
    </w:p>
    <w:p w:rsidR="00665097" w:rsidRPr="00FC5187" w:rsidRDefault="00DE1512" w:rsidP="00BB313D">
      <w:pPr>
        <w:widowControl w:val="0"/>
        <w:spacing w:line="240" w:lineRule="auto"/>
        <w:jc w:val="center"/>
        <w:rPr>
          <w:rFonts w:cs="Arial"/>
          <w:b/>
          <w:color w:val="1F497D" w:themeColor="text2"/>
          <w:sz w:val="18"/>
          <w:szCs w:val="18"/>
        </w:rPr>
      </w:pPr>
      <w:bookmarkStart w:id="169" w:name="_Toc391999616"/>
      <w:bookmarkStart w:id="170" w:name="_Toc450119499"/>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FC5187">
        <w:rPr>
          <w:rFonts w:cs="Arial"/>
          <w:b/>
          <w:color w:val="1F497D" w:themeColor="text2"/>
          <w:sz w:val="18"/>
          <w:szCs w:val="18"/>
        </w:rPr>
        <w:t>DISTRIBUCIÓN TERRITORIAL DEL VAB SEGÚN FORMA JURÍDICA.</w:t>
      </w:r>
      <w:r w:rsidR="002207C5">
        <w:rPr>
          <w:rFonts w:cs="Arial"/>
          <w:b/>
          <w:color w:val="1F497D" w:themeColor="text2"/>
          <w:sz w:val="18"/>
          <w:szCs w:val="18"/>
        </w:rPr>
        <w:t xml:space="preserve"> 2014</w:t>
      </w:r>
      <w:r w:rsidR="00665097" w:rsidRPr="00FC5187">
        <w:rPr>
          <w:rFonts w:cs="Arial"/>
          <w:b/>
          <w:color w:val="1F497D" w:themeColor="text2"/>
          <w:sz w:val="18"/>
          <w:szCs w:val="18"/>
        </w:rPr>
        <w:t xml:space="preserve"> (</w:t>
      </w:r>
      <w:r w:rsidR="00153402">
        <w:rPr>
          <w:rFonts w:cs="Arial"/>
          <w:b/>
          <w:color w:val="1F497D" w:themeColor="text2"/>
          <w:sz w:val="18"/>
          <w:szCs w:val="18"/>
        </w:rPr>
        <w:t>% horizontales</w:t>
      </w:r>
      <w:r w:rsidR="00665097" w:rsidRPr="00FC5187">
        <w:rPr>
          <w:rFonts w:cs="Arial"/>
          <w:b/>
          <w:color w:val="1F497D" w:themeColor="text2"/>
          <w:sz w:val="18"/>
          <w:szCs w:val="18"/>
        </w:rPr>
        <w:t>)</w:t>
      </w:r>
      <w:bookmarkEnd w:id="169"/>
      <w:bookmarkEnd w:id="170"/>
    </w:p>
    <w:tbl>
      <w:tblPr>
        <w:tblW w:w="9940" w:type="dxa"/>
        <w:jc w:val="center"/>
        <w:tblCellMar>
          <w:left w:w="70" w:type="dxa"/>
          <w:right w:w="70" w:type="dxa"/>
        </w:tblCellMar>
        <w:tblLook w:val="04A0" w:firstRow="1" w:lastRow="0" w:firstColumn="1" w:lastColumn="0" w:noHBand="0" w:noVBand="1"/>
      </w:tblPr>
      <w:tblGrid>
        <w:gridCol w:w="2626"/>
        <w:gridCol w:w="1829"/>
        <w:gridCol w:w="1829"/>
        <w:gridCol w:w="1829"/>
        <w:gridCol w:w="1827"/>
      </w:tblGrid>
      <w:tr w:rsidR="00665097" w:rsidRPr="00955A80" w:rsidTr="00D122F5">
        <w:trPr>
          <w:trHeight w:val="20"/>
          <w:jc w:val="center"/>
        </w:trPr>
        <w:tc>
          <w:tcPr>
            <w:tcW w:w="1321" w:type="pct"/>
            <w:tcBorders>
              <w:top w:val="single" w:sz="8" w:space="0" w:color="BFBFBF"/>
              <w:left w:val="nil"/>
              <w:bottom w:val="single" w:sz="8" w:space="0" w:color="BFBFBF"/>
              <w:right w:val="single" w:sz="8" w:space="0" w:color="BFBFBF"/>
            </w:tcBorders>
            <w:shd w:val="clear" w:color="000000" w:fill="DBE5F1"/>
            <w:hideMark/>
          </w:tcPr>
          <w:p w:rsidR="00665097" w:rsidRPr="00955A80" w:rsidRDefault="00665097" w:rsidP="00BB313D">
            <w:pPr>
              <w:widowControl w:val="0"/>
              <w:spacing w:line="240" w:lineRule="exact"/>
              <w:rPr>
                <w:rFonts w:ascii="Calibri" w:hAnsi="Calibri"/>
                <w:color w:val="000000"/>
              </w:rPr>
            </w:pPr>
            <w:r w:rsidRPr="00955A80">
              <w:rPr>
                <w:rFonts w:ascii="Calibri" w:hAnsi="Calibri"/>
                <w:color w:val="000000"/>
              </w:rPr>
              <w:t> </w:t>
            </w:r>
          </w:p>
        </w:tc>
        <w:tc>
          <w:tcPr>
            <w:tcW w:w="920" w:type="pct"/>
            <w:tcBorders>
              <w:top w:val="single" w:sz="8" w:space="0" w:color="BFBFBF"/>
              <w:left w:val="nil"/>
              <w:bottom w:val="single" w:sz="8" w:space="0" w:color="BFBFBF"/>
              <w:right w:val="single" w:sz="8" w:space="0" w:color="BFBFBF"/>
            </w:tcBorders>
            <w:shd w:val="clear" w:color="000000" w:fill="DBE5F1"/>
            <w:hideMark/>
          </w:tcPr>
          <w:p w:rsidR="00665097" w:rsidRPr="00955A80" w:rsidRDefault="00665097" w:rsidP="00BB313D">
            <w:pPr>
              <w:widowControl w:val="0"/>
              <w:spacing w:line="240" w:lineRule="exact"/>
              <w:jc w:val="center"/>
              <w:rPr>
                <w:rFonts w:cs="Arial"/>
                <w:b/>
                <w:bCs/>
                <w:color w:val="000000"/>
                <w:sz w:val="16"/>
                <w:szCs w:val="16"/>
              </w:rPr>
            </w:pPr>
            <w:r w:rsidRPr="00955A80">
              <w:rPr>
                <w:rFonts w:cs="Arial"/>
                <w:b/>
                <w:bCs/>
                <w:color w:val="000000"/>
                <w:sz w:val="16"/>
                <w:szCs w:val="16"/>
              </w:rPr>
              <w:t>TOTAL</w:t>
            </w:r>
          </w:p>
        </w:tc>
        <w:tc>
          <w:tcPr>
            <w:tcW w:w="920" w:type="pct"/>
            <w:tcBorders>
              <w:top w:val="single" w:sz="8" w:space="0" w:color="BFBFBF"/>
              <w:left w:val="nil"/>
              <w:bottom w:val="single" w:sz="8" w:space="0" w:color="BFBFBF"/>
              <w:right w:val="single" w:sz="8" w:space="0" w:color="BFBFBF"/>
            </w:tcBorders>
            <w:shd w:val="clear" w:color="000000" w:fill="DBE5F1"/>
            <w:hideMark/>
          </w:tcPr>
          <w:p w:rsidR="00665097" w:rsidRPr="00955A80" w:rsidRDefault="00665097" w:rsidP="001E5608">
            <w:pPr>
              <w:widowControl w:val="0"/>
              <w:spacing w:line="240" w:lineRule="exact"/>
              <w:jc w:val="center"/>
              <w:rPr>
                <w:rFonts w:cs="Arial"/>
                <w:b/>
                <w:bCs/>
                <w:color w:val="000000"/>
                <w:sz w:val="16"/>
                <w:szCs w:val="16"/>
              </w:rPr>
            </w:pPr>
            <w:proofErr w:type="spellStart"/>
            <w:r w:rsidRPr="00955A80">
              <w:rPr>
                <w:rFonts w:cs="Arial"/>
                <w:b/>
                <w:bCs/>
                <w:color w:val="000000"/>
                <w:sz w:val="16"/>
                <w:szCs w:val="16"/>
              </w:rPr>
              <w:t>S.Coop</w:t>
            </w:r>
            <w:proofErr w:type="spellEnd"/>
            <w:r w:rsidRPr="00955A80">
              <w:rPr>
                <w:rFonts w:cs="Arial"/>
                <w:b/>
                <w:bCs/>
                <w:color w:val="000000"/>
                <w:sz w:val="16"/>
                <w:szCs w:val="16"/>
              </w:rPr>
              <w:t>.</w:t>
            </w:r>
          </w:p>
        </w:tc>
        <w:tc>
          <w:tcPr>
            <w:tcW w:w="920" w:type="pct"/>
            <w:tcBorders>
              <w:top w:val="single" w:sz="8" w:space="0" w:color="BFBFBF"/>
              <w:left w:val="nil"/>
              <w:bottom w:val="single" w:sz="8" w:space="0" w:color="BFBFBF"/>
              <w:right w:val="single" w:sz="8" w:space="0" w:color="BFBFBF"/>
            </w:tcBorders>
            <w:shd w:val="clear" w:color="000000" w:fill="DBE5F1"/>
            <w:hideMark/>
          </w:tcPr>
          <w:p w:rsidR="00665097" w:rsidRPr="00955A80" w:rsidRDefault="00665097" w:rsidP="00BB313D">
            <w:pPr>
              <w:widowControl w:val="0"/>
              <w:spacing w:line="240" w:lineRule="exact"/>
              <w:jc w:val="center"/>
              <w:rPr>
                <w:rFonts w:cs="Arial"/>
                <w:b/>
                <w:bCs/>
                <w:color w:val="000000"/>
                <w:sz w:val="16"/>
                <w:szCs w:val="16"/>
              </w:rPr>
            </w:pPr>
            <w:r w:rsidRPr="00955A80">
              <w:rPr>
                <w:rFonts w:cs="Arial"/>
                <w:b/>
                <w:bCs/>
                <w:color w:val="000000"/>
                <w:sz w:val="16"/>
                <w:szCs w:val="16"/>
              </w:rPr>
              <w:t>S.A.L.es</w:t>
            </w:r>
          </w:p>
        </w:tc>
        <w:tc>
          <w:tcPr>
            <w:tcW w:w="920" w:type="pct"/>
            <w:tcBorders>
              <w:top w:val="single" w:sz="8" w:space="0" w:color="BFBFBF"/>
              <w:left w:val="nil"/>
              <w:bottom w:val="single" w:sz="8" w:space="0" w:color="BFBFBF"/>
              <w:right w:val="nil"/>
            </w:tcBorders>
            <w:shd w:val="clear" w:color="000000" w:fill="DBE5F1"/>
            <w:hideMark/>
          </w:tcPr>
          <w:p w:rsidR="00665097" w:rsidRPr="00955A80" w:rsidRDefault="00665097" w:rsidP="00BB313D">
            <w:pPr>
              <w:widowControl w:val="0"/>
              <w:spacing w:line="240" w:lineRule="exact"/>
              <w:jc w:val="center"/>
              <w:rPr>
                <w:rFonts w:cs="Arial"/>
                <w:b/>
                <w:bCs/>
                <w:color w:val="000000"/>
                <w:sz w:val="16"/>
                <w:szCs w:val="16"/>
              </w:rPr>
            </w:pPr>
            <w:r w:rsidRPr="00955A80">
              <w:rPr>
                <w:rFonts w:cs="Arial"/>
                <w:b/>
                <w:bCs/>
                <w:color w:val="000000"/>
                <w:sz w:val="16"/>
                <w:szCs w:val="16"/>
              </w:rPr>
              <w:t>S.L.L.es</w:t>
            </w:r>
          </w:p>
        </w:tc>
      </w:tr>
      <w:tr w:rsidR="00665097" w:rsidRPr="00955A80" w:rsidTr="00D122F5">
        <w:trPr>
          <w:trHeight w:val="20"/>
          <w:jc w:val="center"/>
        </w:trPr>
        <w:tc>
          <w:tcPr>
            <w:tcW w:w="1321" w:type="pct"/>
            <w:tcBorders>
              <w:top w:val="nil"/>
              <w:left w:val="nil"/>
              <w:bottom w:val="nil"/>
              <w:right w:val="single" w:sz="8" w:space="0" w:color="BFBFBF"/>
            </w:tcBorders>
            <w:shd w:val="clear" w:color="auto" w:fill="auto"/>
            <w:hideMark/>
          </w:tcPr>
          <w:p w:rsidR="00665097" w:rsidRPr="00955A80" w:rsidRDefault="00665097" w:rsidP="00BB313D">
            <w:pPr>
              <w:widowControl w:val="0"/>
              <w:spacing w:line="240" w:lineRule="exact"/>
              <w:rPr>
                <w:rFonts w:cs="Arial"/>
                <w:color w:val="000000"/>
                <w:sz w:val="16"/>
                <w:szCs w:val="16"/>
              </w:rPr>
            </w:pPr>
            <w:r w:rsidRPr="00955A80">
              <w:rPr>
                <w:rFonts w:cs="Arial"/>
                <w:color w:val="000000"/>
                <w:sz w:val="16"/>
                <w:szCs w:val="16"/>
              </w:rPr>
              <w:t xml:space="preserve">Álava </w:t>
            </w:r>
          </w:p>
        </w:tc>
        <w:tc>
          <w:tcPr>
            <w:tcW w:w="920" w:type="pct"/>
            <w:tcBorders>
              <w:top w:val="nil"/>
              <w:left w:val="nil"/>
              <w:bottom w:val="nil"/>
              <w:right w:val="single" w:sz="8" w:space="0" w:color="BFBFBF"/>
            </w:tcBorders>
            <w:shd w:val="clear" w:color="auto" w:fill="auto"/>
            <w:vAlign w:val="bottom"/>
            <w:hideMark/>
          </w:tcPr>
          <w:p w:rsidR="00665097" w:rsidRPr="00955A80" w:rsidRDefault="00665097" w:rsidP="00BB313D">
            <w:pPr>
              <w:widowControl w:val="0"/>
              <w:spacing w:line="240" w:lineRule="exact"/>
              <w:ind w:right="170"/>
              <w:jc w:val="right"/>
              <w:rPr>
                <w:rFonts w:cs="Arial"/>
                <w:color w:val="000000"/>
                <w:sz w:val="16"/>
                <w:szCs w:val="16"/>
              </w:rPr>
            </w:pPr>
            <w:r w:rsidRPr="00955A80">
              <w:rPr>
                <w:rFonts w:cs="Arial"/>
                <w:color w:val="000000"/>
                <w:sz w:val="16"/>
                <w:szCs w:val="16"/>
              </w:rPr>
              <w:t>100</w:t>
            </w:r>
            <w:r w:rsidR="007F441F">
              <w:rPr>
                <w:rFonts w:cs="Arial"/>
                <w:color w:val="000000"/>
                <w:sz w:val="16"/>
                <w:szCs w:val="16"/>
              </w:rPr>
              <w:t>,0</w:t>
            </w:r>
          </w:p>
        </w:tc>
        <w:tc>
          <w:tcPr>
            <w:tcW w:w="920" w:type="pct"/>
            <w:tcBorders>
              <w:top w:val="nil"/>
              <w:left w:val="nil"/>
              <w:bottom w:val="nil"/>
              <w:right w:val="single" w:sz="8" w:space="0" w:color="BFBFBF"/>
            </w:tcBorders>
            <w:shd w:val="clear" w:color="auto" w:fill="auto"/>
            <w:vAlign w:val="bottom"/>
            <w:hideMark/>
          </w:tcPr>
          <w:p w:rsidR="00665097" w:rsidRPr="00955A80" w:rsidRDefault="00702115" w:rsidP="00BB313D">
            <w:pPr>
              <w:widowControl w:val="0"/>
              <w:spacing w:line="240" w:lineRule="exact"/>
              <w:ind w:right="170"/>
              <w:jc w:val="right"/>
              <w:rPr>
                <w:rFonts w:cs="Arial"/>
                <w:color w:val="000000"/>
                <w:sz w:val="16"/>
                <w:szCs w:val="16"/>
              </w:rPr>
            </w:pPr>
            <w:r>
              <w:rPr>
                <w:rFonts w:cs="Arial"/>
                <w:color w:val="000000"/>
                <w:sz w:val="16"/>
                <w:szCs w:val="16"/>
              </w:rPr>
              <w:t>94,2</w:t>
            </w:r>
          </w:p>
        </w:tc>
        <w:tc>
          <w:tcPr>
            <w:tcW w:w="920" w:type="pct"/>
            <w:tcBorders>
              <w:top w:val="nil"/>
              <w:left w:val="nil"/>
              <w:bottom w:val="nil"/>
              <w:right w:val="single" w:sz="8" w:space="0" w:color="BFBFBF"/>
            </w:tcBorders>
            <w:shd w:val="clear" w:color="auto" w:fill="auto"/>
            <w:vAlign w:val="bottom"/>
            <w:hideMark/>
          </w:tcPr>
          <w:p w:rsidR="00665097" w:rsidRPr="00955A80" w:rsidRDefault="00702115" w:rsidP="00BB313D">
            <w:pPr>
              <w:widowControl w:val="0"/>
              <w:spacing w:line="240" w:lineRule="exact"/>
              <w:ind w:right="170"/>
              <w:jc w:val="right"/>
              <w:rPr>
                <w:rFonts w:cs="Arial"/>
                <w:color w:val="000000"/>
                <w:sz w:val="16"/>
                <w:szCs w:val="16"/>
              </w:rPr>
            </w:pPr>
            <w:r>
              <w:rPr>
                <w:rFonts w:cs="Arial"/>
                <w:color w:val="000000"/>
                <w:sz w:val="16"/>
                <w:szCs w:val="16"/>
              </w:rPr>
              <w:t>2,7</w:t>
            </w:r>
          </w:p>
        </w:tc>
        <w:tc>
          <w:tcPr>
            <w:tcW w:w="920" w:type="pct"/>
            <w:tcBorders>
              <w:top w:val="nil"/>
              <w:left w:val="nil"/>
              <w:bottom w:val="nil"/>
              <w:right w:val="nil"/>
            </w:tcBorders>
            <w:shd w:val="clear" w:color="auto" w:fill="auto"/>
            <w:vAlign w:val="bottom"/>
            <w:hideMark/>
          </w:tcPr>
          <w:p w:rsidR="00665097" w:rsidRPr="00955A80" w:rsidRDefault="00702115" w:rsidP="00BB313D">
            <w:pPr>
              <w:widowControl w:val="0"/>
              <w:spacing w:line="240" w:lineRule="exact"/>
              <w:ind w:right="170"/>
              <w:jc w:val="right"/>
              <w:rPr>
                <w:rFonts w:cs="Arial"/>
                <w:color w:val="000000"/>
                <w:sz w:val="16"/>
                <w:szCs w:val="16"/>
              </w:rPr>
            </w:pPr>
            <w:r>
              <w:rPr>
                <w:rFonts w:cs="Arial"/>
                <w:color w:val="000000"/>
                <w:sz w:val="16"/>
                <w:szCs w:val="16"/>
              </w:rPr>
              <w:t>3,1</w:t>
            </w:r>
          </w:p>
        </w:tc>
      </w:tr>
      <w:tr w:rsidR="00665097" w:rsidRPr="00955A80" w:rsidTr="00D122F5">
        <w:trPr>
          <w:trHeight w:val="20"/>
          <w:jc w:val="center"/>
        </w:trPr>
        <w:tc>
          <w:tcPr>
            <w:tcW w:w="1321" w:type="pct"/>
            <w:tcBorders>
              <w:top w:val="nil"/>
              <w:left w:val="nil"/>
              <w:bottom w:val="nil"/>
              <w:right w:val="single" w:sz="8" w:space="0" w:color="BFBFBF"/>
            </w:tcBorders>
            <w:shd w:val="clear" w:color="auto" w:fill="auto"/>
            <w:hideMark/>
          </w:tcPr>
          <w:p w:rsidR="00665097" w:rsidRPr="00955A80" w:rsidRDefault="00665097" w:rsidP="00BB313D">
            <w:pPr>
              <w:widowControl w:val="0"/>
              <w:spacing w:line="240" w:lineRule="exact"/>
              <w:rPr>
                <w:rFonts w:cs="Arial"/>
                <w:color w:val="000000"/>
                <w:sz w:val="16"/>
                <w:szCs w:val="16"/>
              </w:rPr>
            </w:pPr>
            <w:proofErr w:type="spellStart"/>
            <w:r w:rsidRPr="00955A80">
              <w:rPr>
                <w:rFonts w:cs="Arial"/>
                <w:color w:val="000000"/>
                <w:sz w:val="16"/>
                <w:szCs w:val="16"/>
              </w:rPr>
              <w:t>Bizkaia</w:t>
            </w:r>
            <w:proofErr w:type="spellEnd"/>
          </w:p>
        </w:tc>
        <w:tc>
          <w:tcPr>
            <w:tcW w:w="920" w:type="pct"/>
            <w:tcBorders>
              <w:top w:val="nil"/>
              <w:left w:val="nil"/>
              <w:bottom w:val="nil"/>
              <w:right w:val="single" w:sz="8" w:space="0" w:color="BFBFBF"/>
            </w:tcBorders>
            <w:shd w:val="clear" w:color="auto" w:fill="auto"/>
            <w:vAlign w:val="bottom"/>
            <w:hideMark/>
          </w:tcPr>
          <w:p w:rsidR="00665097" w:rsidRPr="00955A80" w:rsidRDefault="00665097" w:rsidP="00BB313D">
            <w:pPr>
              <w:widowControl w:val="0"/>
              <w:spacing w:line="240" w:lineRule="exact"/>
              <w:ind w:right="170"/>
              <w:jc w:val="right"/>
              <w:rPr>
                <w:rFonts w:cs="Arial"/>
                <w:color w:val="000000"/>
                <w:sz w:val="16"/>
                <w:szCs w:val="16"/>
              </w:rPr>
            </w:pPr>
            <w:r w:rsidRPr="00955A80">
              <w:rPr>
                <w:rFonts w:cs="Arial"/>
                <w:color w:val="000000"/>
                <w:sz w:val="16"/>
                <w:szCs w:val="16"/>
              </w:rPr>
              <w:t>100</w:t>
            </w:r>
            <w:r w:rsidR="007F441F">
              <w:rPr>
                <w:rFonts w:cs="Arial"/>
                <w:color w:val="000000"/>
                <w:sz w:val="16"/>
                <w:szCs w:val="16"/>
              </w:rPr>
              <w:t>,0</w:t>
            </w:r>
          </w:p>
        </w:tc>
        <w:tc>
          <w:tcPr>
            <w:tcW w:w="920" w:type="pct"/>
            <w:tcBorders>
              <w:top w:val="nil"/>
              <w:left w:val="nil"/>
              <w:bottom w:val="nil"/>
              <w:right w:val="single" w:sz="8" w:space="0" w:color="BFBFBF"/>
            </w:tcBorders>
            <w:shd w:val="clear" w:color="auto" w:fill="auto"/>
            <w:vAlign w:val="bottom"/>
            <w:hideMark/>
          </w:tcPr>
          <w:p w:rsidR="00665097" w:rsidRPr="00955A80" w:rsidRDefault="004B5AF7" w:rsidP="00BB313D">
            <w:pPr>
              <w:widowControl w:val="0"/>
              <w:spacing w:line="240" w:lineRule="exact"/>
              <w:ind w:right="170"/>
              <w:jc w:val="right"/>
              <w:rPr>
                <w:rFonts w:cs="Arial"/>
                <w:color w:val="000000"/>
                <w:sz w:val="16"/>
                <w:szCs w:val="16"/>
              </w:rPr>
            </w:pPr>
            <w:r>
              <w:rPr>
                <w:rFonts w:cs="Arial"/>
                <w:color w:val="000000"/>
                <w:sz w:val="16"/>
                <w:szCs w:val="16"/>
              </w:rPr>
              <w:t>86,6</w:t>
            </w:r>
          </w:p>
        </w:tc>
        <w:tc>
          <w:tcPr>
            <w:tcW w:w="920" w:type="pct"/>
            <w:tcBorders>
              <w:top w:val="nil"/>
              <w:left w:val="nil"/>
              <w:bottom w:val="nil"/>
              <w:right w:val="single" w:sz="8" w:space="0" w:color="BFBFBF"/>
            </w:tcBorders>
            <w:shd w:val="clear" w:color="auto" w:fill="auto"/>
            <w:vAlign w:val="bottom"/>
            <w:hideMark/>
          </w:tcPr>
          <w:p w:rsidR="00665097" w:rsidRPr="00955A80" w:rsidRDefault="004B5AF7" w:rsidP="00BB313D">
            <w:pPr>
              <w:widowControl w:val="0"/>
              <w:spacing w:line="240" w:lineRule="exact"/>
              <w:ind w:right="170"/>
              <w:jc w:val="right"/>
              <w:rPr>
                <w:rFonts w:cs="Arial"/>
                <w:color w:val="000000"/>
                <w:sz w:val="16"/>
                <w:szCs w:val="16"/>
              </w:rPr>
            </w:pPr>
            <w:r>
              <w:rPr>
                <w:rFonts w:cs="Arial"/>
                <w:color w:val="000000"/>
                <w:sz w:val="16"/>
                <w:szCs w:val="16"/>
              </w:rPr>
              <w:t>7,1</w:t>
            </w:r>
          </w:p>
        </w:tc>
        <w:tc>
          <w:tcPr>
            <w:tcW w:w="920" w:type="pct"/>
            <w:tcBorders>
              <w:top w:val="nil"/>
              <w:left w:val="nil"/>
              <w:bottom w:val="nil"/>
              <w:right w:val="nil"/>
            </w:tcBorders>
            <w:shd w:val="clear" w:color="auto" w:fill="auto"/>
            <w:vAlign w:val="bottom"/>
            <w:hideMark/>
          </w:tcPr>
          <w:p w:rsidR="00665097" w:rsidRPr="00955A80" w:rsidRDefault="004B5AF7" w:rsidP="00BB313D">
            <w:pPr>
              <w:widowControl w:val="0"/>
              <w:spacing w:line="240" w:lineRule="exact"/>
              <w:ind w:right="170"/>
              <w:jc w:val="right"/>
              <w:rPr>
                <w:rFonts w:cs="Arial"/>
                <w:color w:val="000000"/>
                <w:sz w:val="16"/>
                <w:szCs w:val="16"/>
              </w:rPr>
            </w:pPr>
            <w:r>
              <w:rPr>
                <w:rFonts w:cs="Arial"/>
                <w:color w:val="000000"/>
                <w:sz w:val="16"/>
                <w:szCs w:val="16"/>
              </w:rPr>
              <w:t>6,3</w:t>
            </w:r>
          </w:p>
        </w:tc>
      </w:tr>
      <w:tr w:rsidR="00665097" w:rsidRPr="00955A80" w:rsidTr="00D122F5">
        <w:trPr>
          <w:trHeight w:val="20"/>
          <w:jc w:val="center"/>
        </w:trPr>
        <w:tc>
          <w:tcPr>
            <w:tcW w:w="1321" w:type="pct"/>
            <w:tcBorders>
              <w:top w:val="nil"/>
              <w:left w:val="nil"/>
              <w:bottom w:val="single" w:sz="8" w:space="0" w:color="BFBFBF"/>
              <w:right w:val="single" w:sz="8" w:space="0" w:color="BFBFBF"/>
            </w:tcBorders>
            <w:shd w:val="clear" w:color="auto" w:fill="auto"/>
            <w:hideMark/>
          </w:tcPr>
          <w:p w:rsidR="00665097" w:rsidRPr="00955A80" w:rsidRDefault="00665097" w:rsidP="00BB313D">
            <w:pPr>
              <w:widowControl w:val="0"/>
              <w:spacing w:line="240" w:lineRule="exact"/>
              <w:rPr>
                <w:rFonts w:cs="Arial"/>
                <w:color w:val="000000"/>
                <w:sz w:val="16"/>
                <w:szCs w:val="16"/>
              </w:rPr>
            </w:pPr>
            <w:proofErr w:type="spellStart"/>
            <w:r w:rsidRPr="00955A80">
              <w:rPr>
                <w:rFonts w:cs="Arial"/>
                <w:color w:val="000000"/>
                <w:sz w:val="16"/>
                <w:szCs w:val="16"/>
              </w:rPr>
              <w:t>Gipuzkoa</w:t>
            </w:r>
            <w:proofErr w:type="spellEnd"/>
          </w:p>
        </w:tc>
        <w:tc>
          <w:tcPr>
            <w:tcW w:w="920" w:type="pct"/>
            <w:tcBorders>
              <w:top w:val="nil"/>
              <w:left w:val="nil"/>
              <w:bottom w:val="single" w:sz="8" w:space="0" w:color="BFBFBF"/>
              <w:right w:val="single" w:sz="8" w:space="0" w:color="BFBFBF"/>
            </w:tcBorders>
            <w:shd w:val="clear" w:color="auto" w:fill="auto"/>
            <w:vAlign w:val="bottom"/>
            <w:hideMark/>
          </w:tcPr>
          <w:p w:rsidR="00665097" w:rsidRPr="00955A80" w:rsidRDefault="00665097" w:rsidP="00BB313D">
            <w:pPr>
              <w:widowControl w:val="0"/>
              <w:spacing w:line="240" w:lineRule="exact"/>
              <w:ind w:right="170"/>
              <w:jc w:val="right"/>
              <w:rPr>
                <w:rFonts w:cs="Arial"/>
                <w:color w:val="000000"/>
                <w:sz w:val="16"/>
                <w:szCs w:val="16"/>
              </w:rPr>
            </w:pPr>
            <w:r w:rsidRPr="00955A80">
              <w:rPr>
                <w:rFonts w:cs="Arial"/>
                <w:color w:val="000000"/>
                <w:sz w:val="16"/>
                <w:szCs w:val="16"/>
              </w:rPr>
              <w:t>100</w:t>
            </w:r>
            <w:r w:rsidR="007F441F">
              <w:rPr>
                <w:rFonts w:cs="Arial"/>
                <w:color w:val="000000"/>
                <w:sz w:val="16"/>
                <w:szCs w:val="16"/>
              </w:rPr>
              <w:t>,0</w:t>
            </w:r>
          </w:p>
        </w:tc>
        <w:tc>
          <w:tcPr>
            <w:tcW w:w="920" w:type="pct"/>
            <w:tcBorders>
              <w:top w:val="nil"/>
              <w:left w:val="nil"/>
              <w:bottom w:val="single" w:sz="8" w:space="0" w:color="BFBFBF"/>
              <w:right w:val="single" w:sz="8" w:space="0" w:color="BFBFBF"/>
            </w:tcBorders>
            <w:shd w:val="clear" w:color="auto" w:fill="auto"/>
            <w:vAlign w:val="bottom"/>
            <w:hideMark/>
          </w:tcPr>
          <w:p w:rsidR="00665097" w:rsidRPr="00955A80" w:rsidRDefault="004B5AF7" w:rsidP="00BB313D">
            <w:pPr>
              <w:widowControl w:val="0"/>
              <w:spacing w:line="240" w:lineRule="exact"/>
              <w:ind w:right="170"/>
              <w:jc w:val="right"/>
              <w:rPr>
                <w:rFonts w:cs="Arial"/>
                <w:color w:val="000000"/>
                <w:sz w:val="16"/>
                <w:szCs w:val="16"/>
              </w:rPr>
            </w:pPr>
            <w:r>
              <w:rPr>
                <w:rFonts w:cs="Arial"/>
                <w:color w:val="000000"/>
                <w:sz w:val="16"/>
                <w:szCs w:val="16"/>
              </w:rPr>
              <w:t>91,7</w:t>
            </w:r>
          </w:p>
        </w:tc>
        <w:tc>
          <w:tcPr>
            <w:tcW w:w="920" w:type="pct"/>
            <w:tcBorders>
              <w:top w:val="nil"/>
              <w:left w:val="nil"/>
              <w:bottom w:val="single" w:sz="8" w:space="0" w:color="BFBFBF"/>
              <w:right w:val="single" w:sz="8" w:space="0" w:color="BFBFBF"/>
            </w:tcBorders>
            <w:shd w:val="clear" w:color="auto" w:fill="auto"/>
            <w:vAlign w:val="bottom"/>
            <w:hideMark/>
          </w:tcPr>
          <w:p w:rsidR="00665097" w:rsidRPr="00955A80" w:rsidRDefault="004B5AF7" w:rsidP="00BB313D">
            <w:pPr>
              <w:widowControl w:val="0"/>
              <w:spacing w:line="240" w:lineRule="exact"/>
              <w:ind w:right="170"/>
              <w:jc w:val="right"/>
              <w:rPr>
                <w:rFonts w:cs="Arial"/>
                <w:color w:val="000000"/>
                <w:sz w:val="16"/>
                <w:szCs w:val="16"/>
              </w:rPr>
            </w:pPr>
            <w:r>
              <w:rPr>
                <w:rFonts w:cs="Arial"/>
                <w:color w:val="000000"/>
                <w:sz w:val="16"/>
                <w:szCs w:val="16"/>
              </w:rPr>
              <w:t>4,3</w:t>
            </w:r>
          </w:p>
        </w:tc>
        <w:tc>
          <w:tcPr>
            <w:tcW w:w="920" w:type="pct"/>
            <w:tcBorders>
              <w:top w:val="nil"/>
              <w:left w:val="nil"/>
              <w:bottom w:val="single" w:sz="8" w:space="0" w:color="BFBFBF"/>
              <w:right w:val="nil"/>
            </w:tcBorders>
            <w:shd w:val="clear" w:color="auto" w:fill="auto"/>
            <w:vAlign w:val="bottom"/>
            <w:hideMark/>
          </w:tcPr>
          <w:p w:rsidR="00665097" w:rsidRPr="00955A80" w:rsidRDefault="004B5AF7" w:rsidP="00BB313D">
            <w:pPr>
              <w:widowControl w:val="0"/>
              <w:spacing w:line="240" w:lineRule="exact"/>
              <w:ind w:right="170"/>
              <w:jc w:val="right"/>
              <w:rPr>
                <w:rFonts w:cs="Arial"/>
                <w:color w:val="000000"/>
                <w:sz w:val="16"/>
                <w:szCs w:val="16"/>
              </w:rPr>
            </w:pPr>
            <w:r>
              <w:rPr>
                <w:rFonts w:cs="Arial"/>
                <w:color w:val="000000"/>
                <w:sz w:val="16"/>
                <w:szCs w:val="16"/>
              </w:rPr>
              <w:t>3,9</w:t>
            </w:r>
          </w:p>
        </w:tc>
      </w:tr>
      <w:tr w:rsidR="00665097" w:rsidRPr="00955A80" w:rsidTr="00D122F5">
        <w:trPr>
          <w:trHeight w:val="20"/>
          <w:jc w:val="center"/>
        </w:trPr>
        <w:tc>
          <w:tcPr>
            <w:tcW w:w="1321" w:type="pct"/>
            <w:tcBorders>
              <w:top w:val="nil"/>
              <w:left w:val="nil"/>
              <w:bottom w:val="single" w:sz="8" w:space="0" w:color="BFBFBF"/>
              <w:right w:val="single" w:sz="8" w:space="0" w:color="BFBFBF"/>
            </w:tcBorders>
            <w:shd w:val="clear" w:color="auto" w:fill="auto"/>
            <w:hideMark/>
          </w:tcPr>
          <w:p w:rsidR="00665097" w:rsidRPr="00955A80" w:rsidRDefault="00665097" w:rsidP="00BB313D">
            <w:pPr>
              <w:widowControl w:val="0"/>
              <w:spacing w:line="240" w:lineRule="exact"/>
              <w:rPr>
                <w:rFonts w:cs="Arial"/>
                <w:b/>
                <w:bCs/>
                <w:color w:val="000000"/>
                <w:sz w:val="16"/>
                <w:szCs w:val="16"/>
              </w:rPr>
            </w:pPr>
            <w:r w:rsidRPr="00955A80">
              <w:rPr>
                <w:rFonts w:cs="Arial"/>
                <w:b/>
                <w:bCs/>
                <w:color w:val="000000"/>
                <w:sz w:val="16"/>
                <w:szCs w:val="16"/>
                <w:lang w:val="en-GB"/>
              </w:rPr>
              <w:t>TOTAL</w:t>
            </w:r>
          </w:p>
        </w:tc>
        <w:tc>
          <w:tcPr>
            <w:tcW w:w="920" w:type="pct"/>
            <w:tcBorders>
              <w:top w:val="nil"/>
              <w:left w:val="nil"/>
              <w:bottom w:val="single" w:sz="8" w:space="0" w:color="BFBFBF"/>
              <w:right w:val="single" w:sz="8" w:space="0" w:color="BFBFBF"/>
            </w:tcBorders>
            <w:shd w:val="clear" w:color="auto" w:fill="auto"/>
            <w:vAlign w:val="bottom"/>
            <w:hideMark/>
          </w:tcPr>
          <w:p w:rsidR="00665097" w:rsidRPr="00955A80" w:rsidRDefault="00665097" w:rsidP="00BB313D">
            <w:pPr>
              <w:widowControl w:val="0"/>
              <w:spacing w:line="240" w:lineRule="exact"/>
              <w:ind w:right="170"/>
              <w:jc w:val="right"/>
              <w:rPr>
                <w:rFonts w:cs="Arial"/>
                <w:b/>
                <w:bCs/>
                <w:color w:val="000000"/>
                <w:sz w:val="16"/>
                <w:szCs w:val="16"/>
              </w:rPr>
            </w:pPr>
            <w:r w:rsidRPr="00955A80">
              <w:rPr>
                <w:rFonts w:cs="Arial"/>
                <w:b/>
                <w:bCs/>
                <w:color w:val="000000"/>
                <w:sz w:val="16"/>
                <w:szCs w:val="16"/>
              </w:rPr>
              <w:t>100</w:t>
            </w:r>
            <w:r w:rsidR="007F441F">
              <w:rPr>
                <w:rFonts w:cs="Arial"/>
                <w:b/>
                <w:bCs/>
                <w:color w:val="000000"/>
                <w:sz w:val="16"/>
                <w:szCs w:val="16"/>
              </w:rPr>
              <w:t>,0</w:t>
            </w:r>
          </w:p>
        </w:tc>
        <w:tc>
          <w:tcPr>
            <w:tcW w:w="920" w:type="pct"/>
            <w:tcBorders>
              <w:top w:val="nil"/>
              <w:left w:val="nil"/>
              <w:bottom w:val="single" w:sz="8" w:space="0" w:color="BFBFBF"/>
              <w:right w:val="single" w:sz="8" w:space="0" w:color="BFBFBF"/>
            </w:tcBorders>
            <w:shd w:val="clear" w:color="auto" w:fill="auto"/>
            <w:vAlign w:val="bottom"/>
            <w:hideMark/>
          </w:tcPr>
          <w:p w:rsidR="00665097" w:rsidRPr="00955A80" w:rsidRDefault="0038279F" w:rsidP="00BB313D">
            <w:pPr>
              <w:widowControl w:val="0"/>
              <w:spacing w:line="240" w:lineRule="exact"/>
              <w:ind w:right="170"/>
              <w:jc w:val="right"/>
              <w:rPr>
                <w:rFonts w:cs="Arial"/>
                <w:b/>
                <w:bCs/>
                <w:color w:val="000000"/>
                <w:sz w:val="16"/>
                <w:szCs w:val="16"/>
              </w:rPr>
            </w:pPr>
            <w:r>
              <w:rPr>
                <w:rFonts w:cs="Arial"/>
                <w:b/>
                <w:bCs/>
                <w:color w:val="000000"/>
                <w:sz w:val="16"/>
                <w:szCs w:val="16"/>
              </w:rPr>
              <w:t>90,2</w:t>
            </w:r>
          </w:p>
        </w:tc>
        <w:tc>
          <w:tcPr>
            <w:tcW w:w="920" w:type="pct"/>
            <w:tcBorders>
              <w:top w:val="nil"/>
              <w:left w:val="nil"/>
              <w:bottom w:val="single" w:sz="8" w:space="0" w:color="BFBFBF"/>
              <w:right w:val="single" w:sz="8" w:space="0" w:color="BFBFBF"/>
            </w:tcBorders>
            <w:shd w:val="clear" w:color="auto" w:fill="auto"/>
            <w:vAlign w:val="bottom"/>
            <w:hideMark/>
          </w:tcPr>
          <w:p w:rsidR="00665097" w:rsidRPr="00955A80" w:rsidRDefault="0038279F" w:rsidP="00BB313D">
            <w:pPr>
              <w:widowControl w:val="0"/>
              <w:spacing w:line="240" w:lineRule="exact"/>
              <w:ind w:right="170"/>
              <w:jc w:val="right"/>
              <w:rPr>
                <w:rFonts w:cs="Arial"/>
                <w:b/>
                <w:bCs/>
                <w:color w:val="000000"/>
                <w:sz w:val="16"/>
                <w:szCs w:val="16"/>
              </w:rPr>
            </w:pPr>
            <w:r>
              <w:rPr>
                <w:rFonts w:cs="Arial"/>
                <w:b/>
                <w:bCs/>
                <w:color w:val="000000"/>
                <w:sz w:val="16"/>
                <w:szCs w:val="16"/>
              </w:rPr>
              <w:t>5,1</w:t>
            </w:r>
          </w:p>
        </w:tc>
        <w:tc>
          <w:tcPr>
            <w:tcW w:w="920" w:type="pct"/>
            <w:tcBorders>
              <w:top w:val="nil"/>
              <w:left w:val="nil"/>
              <w:bottom w:val="single" w:sz="8" w:space="0" w:color="BFBFBF"/>
              <w:right w:val="nil"/>
            </w:tcBorders>
            <w:shd w:val="clear" w:color="auto" w:fill="auto"/>
            <w:vAlign w:val="bottom"/>
            <w:hideMark/>
          </w:tcPr>
          <w:p w:rsidR="00665097" w:rsidRPr="00955A80" w:rsidRDefault="00AD1039" w:rsidP="00BB313D">
            <w:pPr>
              <w:widowControl w:val="0"/>
              <w:spacing w:line="240" w:lineRule="exact"/>
              <w:ind w:right="170"/>
              <w:jc w:val="right"/>
              <w:rPr>
                <w:rFonts w:cs="Arial"/>
                <w:b/>
                <w:bCs/>
                <w:color w:val="000000"/>
                <w:sz w:val="16"/>
                <w:szCs w:val="16"/>
              </w:rPr>
            </w:pPr>
            <w:r>
              <w:rPr>
                <w:rFonts w:cs="Arial"/>
                <w:b/>
                <w:bCs/>
                <w:color w:val="000000"/>
                <w:sz w:val="16"/>
                <w:szCs w:val="16"/>
              </w:rPr>
              <w:t>4,7</w:t>
            </w:r>
          </w:p>
        </w:tc>
      </w:tr>
    </w:tbl>
    <w:p w:rsidR="00665097" w:rsidRDefault="00665097" w:rsidP="00BB313D">
      <w:pPr>
        <w:widowControl w:val="0"/>
      </w:pPr>
    </w:p>
    <w:p w:rsidR="001C63DE" w:rsidRDefault="001C63DE"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71" w:name="_Toc391999617"/>
      <w:bookmarkStart w:id="172" w:name="_Toc45011950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FC5187">
        <w:rPr>
          <w:rFonts w:cs="Arial"/>
          <w:b/>
          <w:color w:val="1F497D" w:themeColor="text2"/>
          <w:sz w:val="18"/>
          <w:szCs w:val="18"/>
        </w:rPr>
        <w:t xml:space="preserve">DISTRIBUCIÓN SECTORIAL DEL VAB DE LA ECONOMÍA SOCIAL </w:t>
      </w:r>
      <w:r w:rsidR="000A1B5B">
        <w:rPr>
          <w:rFonts w:cs="Arial"/>
          <w:b/>
          <w:color w:val="1F497D" w:themeColor="text2"/>
          <w:sz w:val="18"/>
          <w:szCs w:val="18"/>
        </w:rPr>
        <w:t>POR TERRITORIO HISTÓRICO. 2014</w:t>
      </w:r>
      <w:r w:rsidR="00665097">
        <w:rPr>
          <w:rFonts w:cs="Arial"/>
          <w:b/>
          <w:color w:val="1F497D" w:themeColor="text2"/>
          <w:sz w:val="18"/>
          <w:szCs w:val="18"/>
        </w:rPr>
        <w:t xml:space="preserve"> </w:t>
      </w:r>
      <w:r w:rsidR="00490B03">
        <w:rPr>
          <w:rFonts w:cs="Arial"/>
          <w:b/>
          <w:color w:val="1F497D" w:themeColor="text2"/>
          <w:sz w:val="18"/>
          <w:szCs w:val="18"/>
        </w:rPr>
        <w:t xml:space="preserve">(cifras </w:t>
      </w:r>
      <w:r w:rsidR="00665097" w:rsidRPr="00FC5187">
        <w:rPr>
          <w:rFonts w:cs="Arial"/>
          <w:b/>
          <w:color w:val="1F497D" w:themeColor="text2"/>
          <w:sz w:val="18"/>
          <w:szCs w:val="18"/>
        </w:rPr>
        <w:t>a</w:t>
      </w:r>
      <w:r w:rsidR="00490B03">
        <w:rPr>
          <w:rFonts w:cs="Arial"/>
          <w:b/>
          <w:color w:val="1F497D" w:themeColor="text2"/>
          <w:sz w:val="18"/>
          <w:szCs w:val="18"/>
        </w:rPr>
        <w:t>bsolutas</w:t>
      </w:r>
      <w:r w:rsidR="00665097" w:rsidRPr="00FC5187">
        <w:rPr>
          <w:rFonts w:cs="Arial"/>
          <w:b/>
          <w:color w:val="1F497D" w:themeColor="text2"/>
          <w:sz w:val="18"/>
          <w:szCs w:val="18"/>
        </w:rPr>
        <w:t xml:space="preserve"> en Euros, % v</w:t>
      </w:r>
      <w:r w:rsidR="00490B03">
        <w:rPr>
          <w:rFonts w:cs="Arial"/>
          <w:b/>
          <w:color w:val="1F497D" w:themeColor="text2"/>
          <w:sz w:val="18"/>
          <w:szCs w:val="18"/>
        </w:rPr>
        <w:t>er</w:t>
      </w:r>
      <w:r w:rsidR="00DA23E1">
        <w:rPr>
          <w:rFonts w:cs="Arial"/>
          <w:b/>
          <w:color w:val="1F497D" w:themeColor="text2"/>
          <w:sz w:val="18"/>
          <w:szCs w:val="18"/>
        </w:rPr>
        <w:t>ticales</w:t>
      </w:r>
      <w:r w:rsidR="00665097" w:rsidRPr="00FC5187">
        <w:rPr>
          <w:rFonts w:cs="Arial"/>
          <w:b/>
          <w:color w:val="1F497D" w:themeColor="text2"/>
          <w:sz w:val="18"/>
          <w:szCs w:val="18"/>
        </w:rPr>
        <w:t>)</w:t>
      </w:r>
      <w:bookmarkEnd w:id="171"/>
      <w:bookmarkEnd w:id="172"/>
    </w:p>
    <w:tbl>
      <w:tblPr>
        <w:tblW w:w="0" w:type="auto"/>
        <w:jc w:val="center"/>
        <w:tblInd w:w="-1293" w:type="dxa"/>
        <w:tblLook w:val="04A0" w:firstRow="1" w:lastRow="0" w:firstColumn="1" w:lastColumn="0" w:noHBand="0" w:noVBand="1"/>
      </w:tblPr>
      <w:tblGrid>
        <w:gridCol w:w="1150"/>
        <w:gridCol w:w="1410"/>
        <w:gridCol w:w="851"/>
        <w:gridCol w:w="1276"/>
        <w:gridCol w:w="851"/>
        <w:gridCol w:w="1276"/>
        <w:gridCol w:w="851"/>
        <w:gridCol w:w="1410"/>
        <w:gridCol w:w="851"/>
      </w:tblGrid>
      <w:tr w:rsidR="00665097" w:rsidRPr="00506010" w:rsidTr="00C86565">
        <w:trPr>
          <w:jc w:val="center"/>
        </w:trPr>
        <w:tc>
          <w:tcPr>
            <w:tcW w:w="1150"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394209" w:rsidRDefault="00665097" w:rsidP="00BB313D">
            <w:pPr>
              <w:widowControl w:val="0"/>
              <w:spacing w:line="240" w:lineRule="exact"/>
              <w:jc w:val="center"/>
              <w:rPr>
                <w:rFonts w:cs="Arial"/>
                <w:b/>
                <w:sz w:val="16"/>
                <w:szCs w:val="16"/>
              </w:rPr>
            </w:pPr>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Pr>
                <w:rFonts w:cs="Arial"/>
                <w:b/>
                <w:bCs/>
                <w:sz w:val="16"/>
                <w:szCs w:val="16"/>
              </w:rPr>
              <w:t>CAE</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r>
              <w:rPr>
                <w:rFonts w:cs="Arial"/>
                <w:b/>
                <w:bCs/>
                <w:sz w:val="16"/>
                <w:szCs w:val="16"/>
              </w:rPr>
              <w:t>Álava</w:t>
            </w:r>
          </w:p>
        </w:tc>
        <w:tc>
          <w:tcPr>
            <w:tcW w:w="21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proofErr w:type="spellStart"/>
            <w:r>
              <w:rPr>
                <w:rFonts w:cs="Arial"/>
                <w:b/>
                <w:bCs/>
                <w:sz w:val="16"/>
                <w:szCs w:val="16"/>
                <w:lang w:val="en-GB"/>
              </w:rPr>
              <w:t>Bizkaia</w:t>
            </w:r>
            <w:proofErr w:type="spellEnd"/>
          </w:p>
        </w:tc>
        <w:tc>
          <w:tcPr>
            <w:tcW w:w="2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jc w:val="center"/>
              <w:rPr>
                <w:rFonts w:cs="Arial"/>
                <w:b/>
                <w:bCs/>
                <w:sz w:val="16"/>
                <w:szCs w:val="16"/>
              </w:rPr>
            </w:pPr>
            <w:proofErr w:type="spellStart"/>
            <w:r>
              <w:rPr>
                <w:rFonts w:cs="Arial"/>
                <w:b/>
                <w:bCs/>
                <w:sz w:val="16"/>
                <w:szCs w:val="16"/>
                <w:lang w:val="en-GB"/>
              </w:rPr>
              <w:t>Gipuzkoa</w:t>
            </w:r>
            <w:proofErr w:type="spellEnd"/>
          </w:p>
        </w:tc>
      </w:tr>
      <w:tr w:rsidR="00665097" w:rsidRPr="00506010" w:rsidTr="00C86565">
        <w:trPr>
          <w:jc w:val="center"/>
        </w:trPr>
        <w:tc>
          <w:tcPr>
            <w:tcW w:w="1150" w:type="dxa"/>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665097" w:rsidP="00BB313D">
            <w:pPr>
              <w:widowControl w:val="0"/>
              <w:spacing w:line="240" w:lineRule="exact"/>
              <w:rPr>
                <w:rFonts w:cs="Arial"/>
                <w:sz w:val="16"/>
                <w:szCs w:val="16"/>
              </w:rPr>
            </w:pP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490B03" w:rsidP="00BB313D">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dxa"/>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506010" w:rsidRDefault="00153402" w:rsidP="00BB313D">
            <w:pPr>
              <w:widowControl w:val="0"/>
              <w:spacing w:line="240" w:lineRule="exact"/>
              <w:jc w:val="center"/>
              <w:rPr>
                <w:rFonts w:cs="Arial"/>
                <w:b/>
                <w:bCs/>
                <w:sz w:val="16"/>
                <w:szCs w:val="16"/>
              </w:rPr>
            </w:pPr>
            <w:r>
              <w:rPr>
                <w:rFonts w:cs="Arial"/>
                <w:b/>
                <w:bCs/>
                <w:sz w:val="16"/>
                <w:szCs w:val="16"/>
              </w:rPr>
              <w:t>% ver.</w:t>
            </w:r>
          </w:p>
        </w:tc>
      </w:tr>
      <w:tr w:rsidR="002F332E" w:rsidRPr="00A4338C" w:rsidTr="00C86565">
        <w:trPr>
          <w:jc w:val="center"/>
        </w:trPr>
        <w:tc>
          <w:tcPr>
            <w:tcW w:w="1150" w:type="dxa"/>
            <w:tcBorders>
              <w:right w:val="single" w:sz="4" w:space="0" w:color="BFBFBF" w:themeColor="background1" w:themeShade="BF"/>
            </w:tcBorders>
            <w:hideMark/>
          </w:tcPr>
          <w:p w:rsidR="002F332E" w:rsidRPr="00096800" w:rsidRDefault="002F332E" w:rsidP="00BB313D">
            <w:pPr>
              <w:widowControl w:val="0"/>
              <w:spacing w:line="240" w:lineRule="exact"/>
              <w:rPr>
                <w:rFonts w:cs="Arial"/>
                <w:color w:val="000000"/>
                <w:sz w:val="16"/>
                <w:szCs w:val="16"/>
              </w:rPr>
            </w:pPr>
            <w:r w:rsidRPr="00096800">
              <w:rPr>
                <w:rFonts w:cs="Arial"/>
                <w:color w:val="000000"/>
                <w:sz w:val="16"/>
                <w:szCs w:val="16"/>
              </w:rPr>
              <w:t>Primario</w:t>
            </w:r>
          </w:p>
        </w:tc>
        <w:tc>
          <w:tcPr>
            <w:tcW w:w="1410" w:type="dxa"/>
            <w:tcBorders>
              <w:left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3.746.194</w:t>
            </w:r>
          </w:p>
        </w:tc>
        <w:tc>
          <w:tcPr>
            <w:tcW w:w="851" w:type="dxa"/>
            <w:tcBorders>
              <w:right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0,1</w:t>
            </w:r>
          </w:p>
        </w:tc>
        <w:tc>
          <w:tcPr>
            <w:tcW w:w="1276" w:type="dxa"/>
            <w:tcBorders>
              <w:lef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2.080.032</w:t>
            </w:r>
          </w:p>
        </w:tc>
        <w:tc>
          <w:tcPr>
            <w:tcW w:w="851" w:type="dxa"/>
            <w:tcBorders>
              <w:right w:val="single" w:sz="4" w:space="0" w:color="BFBFBF" w:themeColor="background1" w:themeShade="BF"/>
            </w:tcBorders>
            <w:vAlign w:val="bottom"/>
            <w:hideMark/>
          </w:tcPr>
          <w:p w:rsidR="002F332E" w:rsidRPr="000A1B5B" w:rsidRDefault="002F332E" w:rsidP="00BB313D">
            <w:pPr>
              <w:widowControl w:val="0"/>
              <w:spacing w:line="240" w:lineRule="exact"/>
              <w:ind w:right="170"/>
              <w:jc w:val="right"/>
              <w:rPr>
                <w:rFonts w:cs="Arial"/>
                <w:color w:val="000000"/>
                <w:sz w:val="16"/>
                <w:szCs w:val="16"/>
              </w:rPr>
            </w:pPr>
            <w:r w:rsidRPr="000A1B5B">
              <w:rPr>
                <w:rFonts w:cs="Arial"/>
                <w:color w:val="000000"/>
                <w:sz w:val="16"/>
                <w:szCs w:val="16"/>
              </w:rPr>
              <w:t>0,7</w:t>
            </w:r>
          </w:p>
        </w:tc>
        <w:tc>
          <w:tcPr>
            <w:tcW w:w="1276" w:type="dxa"/>
            <w:tcBorders>
              <w:lef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1.556.219</w:t>
            </w:r>
          </w:p>
        </w:tc>
        <w:tc>
          <w:tcPr>
            <w:tcW w:w="851" w:type="dxa"/>
            <w:tcBorders>
              <w:righ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0,2</w:t>
            </w:r>
          </w:p>
        </w:tc>
        <w:tc>
          <w:tcPr>
            <w:tcW w:w="1410" w:type="dxa"/>
            <w:tcBorders>
              <w:left w:val="single" w:sz="4" w:space="0" w:color="BFBFBF" w:themeColor="background1" w:themeShade="BF"/>
            </w:tcBorders>
            <w:vAlign w:val="bottom"/>
            <w:hideMark/>
          </w:tcPr>
          <w:p w:rsidR="002F332E" w:rsidRPr="008974D2" w:rsidRDefault="002F332E" w:rsidP="00BB313D">
            <w:pPr>
              <w:widowControl w:val="0"/>
              <w:spacing w:line="240" w:lineRule="exact"/>
              <w:ind w:right="170"/>
              <w:jc w:val="right"/>
              <w:rPr>
                <w:rFonts w:cs="Arial"/>
                <w:color w:val="000000"/>
                <w:sz w:val="16"/>
                <w:szCs w:val="16"/>
              </w:rPr>
            </w:pPr>
            <w:r w:rsidRPr="008974D2">
              <w:rPr>
                <w:rFonts w:cs="Arial"/>
                <w:color w:val="000000"/>
                <w:sz w:val="16"/>
                <w:szCs w:val="16"/>
              </w:rPr>
              <w:t>109.943</w:t>
            </w:r>
          </w:p>
        </w:tc>
        <w:tc>
          <w:tcPr>
            <w:tcW w:w="851" w:type="dxa"/>
            <w:vAlign w:val="bottom"/>
            <w:hideMark/>
          </w:tcPr>
          <w:p w:rsidR="002F332E" w:rsidRPr="00F8262A" w:rsidRDefault="002F332E" w:rsidP="00BB313D">
            <w:pPr>
              <w:widowControl w:val="0"/>
              <w:spacing w:line="240" w:lineRule="exact"/>
              <w:ind w:right="170"/>
              <w:jc w:val="right"/>
              <w:rPr>
                <w:rFonts w:cs="Arial"/>
                <w:color w:val="000000"/>
                <w:sz w:val="16"/>
                <w:szCs w:val="16"/>
              </w:rPr>
            </w:pPr>
            <w:r w:rsidRPr="00F8262A">
              <w:rPr>
                <w:rFonts w:cs="Arial"/>
                <w:color w:val="000000"/>
                <w:sz w:val="16"/>
                <w:szCs w:val="16"/>
              </w:rPr>
              <w:t>0,0</w:t>
            </w:r>
          </w:p>
        </w:tc>
      </w:tr>
      <w:tr w:rsidR="002F332E" w:rsidRPr="00A4338C" w:rsidTr="00C86565">
        <w:trPr>
          <w:jc w:val="center"/>
        </w:trPr>
        <w:tc>
          <w:tcPr>
            <w:tcW w:w="1150" w:type="dxa"/>
            <w:tcBorders>
              <w:right w:val="single" w:sz="4" w:space="0" w:color="BFBFBF" w:themeColor="background1" w:themeShade="BF"/>
            </w:tcBorders>
            <w:hideMark/>
          </w:tcPr>
          <w:p w:rsidR="002F332E" w:rsidRPr="00096800" w:rsidRDefault="002F332E" w:rsidP="00BB313D">
            <w:pPr>
              <w:widowControl w:val="0"/>
              <w:spacing w:line="240" w:lineRule="exact"/>
              <w:rPr>
                <w:rFonts w:cs="Arial"/>
                <w:color w:val="000000"/>
                <w:sz w:val="16"/>
                <w:szCs w:val="16"/>
              </w:rPr>
            </w:pPr>
            <w:r w:rsidRPr="00096800">
              <w:rPr>
                <w:rFonts w:cs="Arial"/>
                <w:color w:val="000000"/>
                <w:sz w:val="16"/>
                <w:szCs w:val="16"/>
              </w:rPr>
              <w:t>Industria</w:t>
            </w:r>
          </w:p>
        </w:tc>
        <w:tc>
          <w:tcPr>
            <w:tcW w:w="1410" w:type="dxa"/>
            <w:tcBorders>
              <w:left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1.334.363.683</w:t>
            </w:r>
          </w:p>
        </w:tc>
        <w:tc>
          <w:tcPr>
            <w:tcW w:w="851" w:type="dxa"/>
            <w:tcBorders>
              <w:right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51,0</w:t>
            </w:r>
          </w:p>
        </w:tc>
        <w:tc>
          <w:tcPr>
            <w:tcW w:w="1276" w:type="dxa"/>
            <w:tcBorders>
              <w:lef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87.793.072</w:t>
            </w:r>
          </w:p>
        </w:tc>
        <w:tc>
          <w:tcPr>
            <w:tcW w:w="851" w:type="dxa"/>
            <w:tcBorders>
              <w:right w:val="single" w:sz="4" w:space="0" w:color="BFBFBF" w:themeColor="background1" w:themeShade="BF"/>
            </w:tcBorders>
            <w:vAlign w:val="bottom"/>
            <w:hideMark/>
          </w:tcPr>
          <w:p w:rsidR="002F332E" w:rsidRPr="000A1B5B" w:rsidRDefault="002F332E" w:rsidP="00BB313D">
            <w:pPr>
              <w:widowControl w:val="0"/>
              <w:spacing w:line="240" w:lineRule="exact"/>
              <w:ind w:right="170"/>
              <w:jc w:val="right"/>
              <w:rPr>
                <w:rFonts w:cs="Arial"/>
                <w:color w:val="000000"/>
                <w:sz w:val="16"/>
                <w:szCs w:val="16"/>
              </w:rPr>
            </w:pPr>
            <w:r w:rsidRPr="000A1B5B">
              <w:rPr>
                <w:rFonts w:cs="Arial"/>
                <w:color w:val="000000"/>
                <w:sz w:val="16"/>
                <w:szCs w:val="16"/>
              </w:rPr>
              <w:t>29,7</w:t>
            </w:r>
          </w:p>
        </w:tc>
        <w:tc>
          <w:tcPr>
            <w:tcW w:w="1276" w:type="dxa"/>
            <w:tcBorders>
              <w:lef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357.549.815</w:t>
            </w:r>
          </w:p>
        </w:tc>
        <w:tc>
          <w:tcPr>
            <w:tcW w:w="851" w:type="dxa"/>
            <w:tcBorders>
              <w:righ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38,9</w:t>
            </w:r>
          </w:p>
        </w:tc>
        <w:tc>
          <w:tcPr>
            <w:tcW w:w="1410" w:type="dxa"/>
            <w:tcBorders>
              <w:left w:val="single" w:sz="4" w:space="0" w:color="BFBFBF" w:themeColor="background1" w:themeShade="BF"/>
            </w:tcBorders>
            <w:vAlign w:val="bottom"/>
            <w:hideMark/>
          </w:tcPr>
          <w:p w:rsidR="002F332E" w:rsidRPr="008974D2" w:rsidRDefault="002F332E" w:rsidP="00BB313D">
            <w:pPr>
              <w:widowControl w:val="0"/>
              <w:spacing w:line="240" w:lineRule="exact"/>
              <w:ind w:right="170"/>
              <w:jc w:val="right"/>
              <w:rPr>
                <w:rFonts w:cs="Arial"/>
                <w:color w:val="000000"/>
                <w:sz w:val="16"/>
                <w:szCs w:val="16"/>
              </w:rPr>
            </w:pPr>
            <w:r w:rsidRPr="008974D2">
              <w:rPr>
                <w:rFonts w:cs="Arial"/>
                <w:color w:val="000000"/>
                <w:sz w:val="16"/>
                <w:szCs w:val="16"/>
              </w:rPr>
              <w:t>889.020.797</w:t>
            </w:r>
          </w:p>
        </w:tc>
        <w:tc>
          <w:tcPr>
            <w:tcW w:w="851" w:type="dxa"/>
            <w:vAlign w:val="bottom"/>
            <w:hideMark/>
          </w:tcPr>
          <w:p w:rsidR="002F332E" w:rsidRPr="00F8262A" w:rsidRDefault="002F332E" w:rsidP="00BB313D">
            <w:pPr>
              <w:widowControl w:val="0"/>
              <w:spacing w:line="240" w:lineRule="exact"/>
              <w:ind w:right="170"/>
              <w:jc w:val="right"/>
              <w:rPr>
                <w:rFonts w:cs="Arial"/>
                <w:color w:val="000000"/>
                <w:sz w:val="16"/>
                <w:szCs w:val="16"/>
              </w:rPr>
            </w:pPr>
            <w:r w:rsidRPr="00F8262A">
              <w:rPr>
                <w:rFonts w:cs="Arial"/>
                <w:color w:val="000000"/>
                <w:sz w:val="16"/>
                <w:szCs w:val="16"/>
              </w:rPr>
              <w:t>63,5</w:t>
            </w:r>
          </w:p>
        </w:tc>
      </w:tr>
      <w:tr w:rsidR="002F332E" w:rsidRPr="00A4338C" w:rsidTr="00C86565">
        <w:trPr>
          <w:jc w:val="center"/>
        </w:trPr>
        <w:tc>
          <w:tcPr>
            <w:tcW w:w="1150" w:type="dxa"/>
            <w:tcBorders>
              <w:right w:val="single" w:sz="4" w:space="0" w:color="BFBFBF" w:themeColor="background1" w:themeShade="BF"/>
            </w:tcBorders>
            <w:hideMark/>
          </w:tcPr>
          <w:p w:rsidR="002F332E" w:rsidRPr="00096800" w:rsidRDefault="002F332E" w:rsidP="00BB313D">
            <w:pPr>
              <w:widowControl w:val="0"/>
              <w:spacing w:line="240" w:lineRule="exact"/>
              <w:rPr>
                <w:rFonts w:cs="Arial"/>
                <w:color w:val="000000"/>
                <w:sz w:val="16"/>
                <w:szCs w:val="16"/>
              </w:rPr>
            </w:pPr>
            <w:r w:rsidRPr="00096800">
              <w:rPr>
                <w:rFonts w:cs="Arial"/>
                <w:color w:val="000000"/>
                <w:sz w:val="16"/>
                <w:szCs w:val="16"/>
              </w:rPr>
              <w:t>Construcción</w:t>
            </w:r>
          </w:p>
        </w:tc>
        <w:tc>
          <w:tcPr>
            <w:tcW w:w="1410" w:type="dxa"/>
            <w:tcBorders>
              <w:left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49.863.700</w:t>
            </w:r>
          </w:p>
        </w:tc>
        <w:tc>
          <w:tcPr>
            <w:tcW w:w="851" w:type="dxa"/>
            <w:tcBorders>
              <w:right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1,9</w:t>
            </w:r>
          </w:p>
        </w:tc>
        <w:tc>
          <w:tcPr>
            <w:tcW w:w="1276" w:type="dxa"/>
            <w:tcBorders>
              <w:lef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4.499.048</w:t>
            </w:r>
          </w:p>
        </w:tc>
        <w:tc>
          <w:tcPr>
            <w:tcW w:w="851" w:type="dxa"/>
            <w:tcBorders>
              <w:right w:val="single" w:sz="4" w:space="0" w:color="BFBFBF" w:themeColor="background1" w:themeShade="BF"/>
            </w:tcBorders>
            <w:vAlign w:val="bottom"/>
            <w:hideMark/>
          </w:tcPr>
          <w:p w:rsidR="002F332E" w:rsidRPr="000A1B5B" w:rsidRDefault="002F332E" w:rsidP="00BB313D">
            <w:pPr>
              <w:widowControl w:val="0"/>
              <w:spacing w:line="240" w:lineRule="exact"/>
              <w:ind w:right="170"/>
              <w:jc w:val="right"/>
              <w:rPr>
                <w:rFonts w:cs="Arial"/>
                <w:color w:val="000000"/>
                <w:sz w:val="16"/>
                <w:szCs w:val="16"/>
              </w:rPr>
            </w:pPr>
            <w:r w:rsidRPr="000A1B5B">
              <w:rPr>
                <w:rFonts w:cs="Arial"/>
                <w:color w:val="000000"/>
                <w:sz w:val="16"/>
                <w:szCs w:val="16"/>
              </w:rPr>
              <w:t>1,5</w:t>
            </w:r>
          </w:p>
        </w:tc>
        <w:tc>
          <w:tcPr>
            <w:tcW w:w="1276" w:type="dxa"/>
            <w:tcBorders>
              <w:lef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29.044.332</w:t>
            </w:r>
          </w:p>
        </w:tc>
        <w:tc>
          <w:tcPr>
            <w:tcW w:w="851" w:type="dxa"/>
            <w:tcBorders>
              <w:righ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3,2</w:t>
            </w:r>
          </w:p>
        </w:tc>
        <w:tc>
          <w:tcPr>
            <w:tcW w:w="1410" w:type="dxa"/>
            <w:tcBorders>
              <w:left w:val="single" w:sz="4" w:space="0" w:color="BFBFBF" w:themeColor="background1" w:themeShade="BF"/>
            </w:tcBorders>
            <w:vAlign w:val="bottom"/>
            <w:hideMark/>
          </w:tcPr>
          <w:p w:rsidR="002F332E" w:rsidRPr="008974D2" w:rsidRDefault="002F332E" w:rsidP="00BB313D">
            <w:pPr>
              <w:widowControl w:val="0"/>
              <w:spacing w:line="240" w:lineRule="exact"/>
              <w:ind w:right="170"/>
              <w:jc w:val="right"/>
              <w:rPr>
                <w:rFonts w:cs="Arial"/>
                <w:color w:val="000000"/>
                <w:sz w:val="16"/>
                <w:szCs w:val="16"/>
              </w:rPr>
            </w:pPr>
            <w:r w:rsidRPr="008974D2">
              <w:rPr>
                <w:rFonts w:cs="Arial"/>
                <w:color w:val="000000"/>
                <w:sz w:val="16"/>
                <w:szCs w:val="16"/>
              </w:rPr>
              <w:t>16.320.320</w:t>
            </w:r>
          </w:p>
        </w:tc>
        <w:tc>
          <w:tcPr>
            <w:tcW w:w="851" w:type="dxa"/>
            <w:vAlign w:val="bottom"/>
            <w:hideMark/>
          </w:tcPr>
          <w:p w:rsidR="002F332E" w:rsidRPr="00F8262A" w:rsidRDefault="002F332E" w:rsidP="00BB313D">
            <w:pPr>
              <w:widowControl w:val="0"/>
              <w:spacing w:line="240" w:lineRule="exact"/>
              <w:ind w:right="170"/>
              <w:jc w:val="right"/>
              <w:rPr>
                <w:rFonts w:cs="Arial"/>
                <w:color w:val="000000"/>
                <w:sz w:val="16"/>
                <w:szCs w:val="16"/>
              </w:rPr>
            </w:pPr>
            <w:r w:rsidRPr="00F8262A">
              <w:rPr>
                <w:rFonts w:cs="Arial"/>
                <w:color w:val="000000"/>
                <w:sz w:val="16"/>
                <w:szCs w:val="16"/>
              </w:rPr>
              <w:t>1,2</w:t>
            </w:r>
          </w:p>
        </w:tc>
      </w:tr>
      <w:tr w:rsidR="002F332E" w:rsidRPr="00A4338C" w:rsidTr="00C86565">
        <w:trPr>
          <w:jc w:val="center"/>
        </w:trPr>
        <w:tc>
          <w:tcPr>
            <w:tcW w:w="1150" w:type="dxa"/>
            <w:tcBorders>
              <w:bottom w:val="single" w:sz="4" w:space="0" w:color="BFBFBF" w:themeColor="background1" w:themeShade="BF"/>
              <w:right w:val="single" w:sz="4" w:space="0" w:color="BFBFBF" w:themeColor="background1" w:themeShade="BF"/>
            </w:tcBorders>
            <w:hideMark/>
          </w:tcPr>
          <w:p w:rsidR="002F332E" w:rsidRPr="00096800" w:rsidRDefault="002F332E" w:rsidP="00BB313D">
            <w:pPr>
              <w:widowControl w:val="0"/>
              <w:spacing w:line="240" w:lineRule="exact"/>
              <w:rPr>
                <w:rFonts w:cs="Arial"/>
                <w:color w:val="000000"/>
                <w:sz w:val="16"/>
                <w:szCs w:val="16"/>
              </w:rPr>
            </w:pPr>
            <w:r w:rsidRPr="00096800">
              <w:rPr>
                <w:rFonts w:cs="Arial"/>
                <w:color w:val="000000"/>
                <w:sz w:val="16"/>
                <w:szCs w:val="16"/>
              </w:rPr>
              <w:t xml:space="preserve">Servicios </w:t>
            </w:r>
          </w:p>
        </w:tc>
        <w:tc>
          <w:tcPr>
            <w:tcW w:w="1410" w:type="dxa"/>
            <w:tcBorders>
              <w:left w:val="single" w:sz="4" w:space="0" w:color="BFBFBF" w:themeColor="background1" w:themeShade="BF"/>
              <w:bottom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1.227.154.689</w:t>
            </w:r>
          </w:p>
        </w:tc>
        <w:tc>
          <w:tcPr>
            <w:tcW w:w="851" w:type="dxa"/>
            <w:tcBorders>
              <w:bottom w:val="single" w:sz="4" w:space="0" w:color="BFBFBF" w:themeColor="background1" w:themeShade="BF"/>
              <w:right w:val="single" w:sz="4" w:space="0" w:color="BFBFBF" w:themeColor="background1" w:themeShade="BF"/>
            </w:tcBorders>
            <w:vAlign w:val="bottom"/>
            <w:hideMark/>
          </w:tcPr>
          <w:p w:rsidR="002F332E" w:rsidRPr="002F332E" w:rsidRDefault="002F332E" w:rsidP="00BB313D">
            <w:pPr>
              <w:widowControl w:val="0"/>
              <w:spacing w:line="240" w:lineRule="exact"/>
              <w:ind w:right="170"/>
              <w:jc w:val="right"/>
              <w:rPr>
                <w:rFonts w:cs="Arial"/>
                <w:color w:val="000000"/>
                <w:sz w:val="16"/>
                <w:szCs w:val="16"/>
              </w:rPr>
            </w:pPr>
            <w:r w:rsidRPr="002F332E">
              <w:rPr>
                <w:rFonts w:cs="Arial"/>
                <w:color w:val="000000"/>
                <w:sz w:val="16"/>
                <w:szCs w:val="16"/>
              </w:rPr>
              <w:t>46,9</w:t>
            </w:r>
          </w:p>
        </w:tc>
        <w:tc>
          <w:tcPr>
            <w:tcW w:w="1276" w:type="dxa"/>
            <w:tcBorders>
              <w:left w:val="single" w:sz="4" w:space="0" w:color="BFBFBF" w:themeColor="background1" w:themeShade="BF"/>
              <w:bottom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201.645.172</w:t>
            </w:r>
          </w:p>
        </w:tc>
        <w:tc>
          <w:tcPr>
            <w:tcW w:w="851" w:type="dxa"/>
            <w:tcBorders>
              <w:bottom w:val="single" w:sz="4" w:space="0" w:color="BFBFBF" w:themeColor="background1" w:themeShade="BF"/>
              <w:right w:val="single" w:sz="4" w:space="0" w:color="BFBFBF" w:themeColor="background1" w:themeShade="BF"/>
            </w:tcBorders>
            <w:vAlign w:val="bottom"/>
            <w:hideMark/>
          </w:tcPr>
          <w:p w:rsidR="002F332E" w:rsidRPr="000A1B5B" w:rsidRDefault="002F332E" w:rsidP="00BB313D">
            <w:pPr>
              <w:widowControl w:val="0"/>
              <w:spacing w:line="240" w:lineRule="exact"/>
              <w:ind w:right="170"/>
              <w:jc w:val="right"/>
              <w:rPr>
                <w:rFonts w:cs="Arial"/>
                <w:color w:val="000000"/>
                <w:sz w:val="16"/>
                <w:szCs w:val="16"/>
              </w:rPr>
            </w:pPr>
            <w:r w:rsidRPr="000A1B5B">
              <w:rPr>
                <w:rFonts w:cs="Arial"/>
                <w:color w:val="000000"/>
                <w:sz w:val="16"/>
                <w:szCs w:val="16"/>
              </w:rPr>
              <w:t>68,1</w:t>
            </w:r>
          </w:p>
        </w:tc>
        <w:tc>
          <w:tcPr>
            <w:tcW w:w="1276" w:type="dxa"/>
            <w:tcBorders>
              <w:left w:val="single" w:sz="4" w:space="0" w:color="BFBFBF" w:themeColor="background1" w:themeShade="BF"/>
              <w:bottom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531.782.270</w:t>
            </w:r>
          </w:p>
        </w:tc>
        <w:tc>
          <w:tcPr>
            <w:tcW w:w="851" w:type="dxa"/>
            <w:tcBorders>
              <w:bottom w:val="single" w:sz="4" w:space="0" w:color="BFBFBF" w:themeColor="background1" w:themeShade="BF"/>
              <w:right w:val="single" w:sz="4" w:space="0" w:color="BFBFBF" w:themeColor="background1" w:themeShade="BF"/>
            </w:tcBorders>
            <w:vAlign w:val="bottom"/>
            <w:hideMark/>
          </w:tcPr>
          <w:p w:rsidR="002F332E" w:rsidRPr="00A4338C" w:rsidRDefault="002F332E" w:rsidP="00BB313D">
            <w:pPr>
              <w:widowControl w:val="0"/>
              <w:spacing w:line="240" w:lineRule="exact"/>
              <w:ind w:right="170"/>
              <w:jc w:val="right"/>
              <w:rPr>
                <w:rFonts w:cs="Arial"/>
                <w:color w:val="000000"/>
                <w:sz w:val="16"/>
                <w:szCs w:val="16"/>
              </w:rPr>
            </w:pPr>
            <w:r w:rsidRPr="00A4338C">
              <w:rPr>
                <w:rFonts w:cs="Arial"/>
                <w:color w:val="000000"/>
                <w:sz w:val="16"/>
                <w:szCs w:val="16"/>
              </w:rPr>
              <w:t>57,8</w:t>
            </w:r>
          </w:p>
        </w:tc>
        <w:tc>
          <w:tcPr>
            <w:tcW w:w="1410" w:type="dxa"/>
            <w:tcBorders>
              <w:left w:val="single" w:sz="4" w:space="0" w:color="BFBFBF" w:themeColor="background1" w:themeShade="BF"/>
              <w:bottom w:val="single" w:sz="4" w:space="0" w:color="BFBFBF" w:themeColor="background1" w:themeShade="BF"/>
            </w:tcBorders>
            <w:vAlign w:val="bottom"/>
            <w:hideMark/>
          </w:tcPr>
          <w:p w:rsidR="002F332E" w:rsidRPr="008974D2" w:rsidRDefault="002F332E" w:rsidP="00BB313D">
            <w:pPr>
              <w:widowControl w:val="0"/>
              <w:spacing w:line="240" w:lineRule="exact"/>
              <w:ind w:right="170"/>
              <w:jc w:val="right"/>
              <w:rPr>
                <w:rFonts w:cs="Arial"/>
                <w:color w:val="000000"/>
                <w:sz w:val="16"/>
                <w:szCs w:val="16"/>
              </w:rPr>
            </w:pPr>
            <w:r w:rsidRPr="008974D2">
              <w:rPr>
                <w:rFonts w:cs="Arial"/>
                <w:color w:val="000000"/>
                <w:sz w:val="16"/>
                <w:szCs w:val="16"/>
              </w:rPr>
              <w:t>493.727.248</w:t>
            </w:r>
          </w:p>
        </w:tc>
        <w:tc>
          <w:tcPr>
            <w:tcW w:w="851" w:type="dxa"/>
            <w:tcBorders>
              <w:bottom w:val="single" w:sz="4" w:space="0" w:color="BFBFBF" w:themeColor="background1" w:themeShade="BF"/>
            </w:tcBorders>
            <w:vAlign w:val="bottom"/>
            <w:hideMark/>
          </w:tcPr>
          <w:p w:rsidR="002F332E" w:rsidRPr="00F8262A" w:rsidRDefault="002F332E" w:rsidP="00BB313D">
            <w:pPr>
              <w:widowControl w:val="0"/>
              <w:spacing w:line="240" w:lineRule="exact"/>
              <w:ind w:right="170"/>
              <w:jc w:val="right"/>
              <w:rPr>
                <w:rFonts w:cs="Arial"/>
                <w:color w:val="000000"/>
                <w:sz w:val="16"/>
                <w:szCs w:val="16"/>
              </w:rPr>
            </w:pPr>
            <w:r w:rsidRPr="00F8262A">
              <w:rPr>
                <w:rFonts w:cs="Arial"/>
                <w:color w:val="000000"/>
                <w:sz w:val="16"/>
                <w:szCs w:val="16"/>
              </w:rPr>
              <w:t>35,3</w:t>
            </w:r>
          </w:p>
        </w:tc>
      </w:tr>
      <w:tr w:rsidR="008974D2" w:rsidRPr="00506010" w:rsidTr="00C86565">
        <w:trPr>
          <w:jc w:val="center"/>
        </w:trPr>
        <w:tc>
          <w:tcPr>
            <w:tcW w:w="1150" w:type="dxa"/>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8974D2" w:rsidRPr="00096800" w:rsidRDefault="008974D2" w:rsidP="00BB313D">
            <w:pPr>
              <w:widowControl w:val="0"/>
              <w:spacing w:line="240" w:lineRule="exact"/>
              <w:rPr>
                <w:rFonts w:cs="Arial"/>
                <w:b/>
                <w:bCs/>
                <w:color w:val="000000"/>
                <w:sz w:val="16"/>
                <w:szCs w:val="16"/>
              </w:rPr>
            </w:pPr>
            <w:r w:rsidRPr="00096800">
              <w:rPr>
                <w:rFonts w:cs="Arial"/>
                <w:b/>
                <w:bCs/>
                <w:color w:val="000000"/>
                <w:sz w:val="16"/>
                <w:szCs w:val="16"/>
              </w:rPr>
              <w:t>TOTAL</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8974D2" w:rsidRPr="00096800" w:rsidRDefault="000A1B5B" w:rsidP="00BB313D">
            <w:pPr>
              <w:widowControl w:val="0"/>
              <w:spacing w:line="240" w:lineRule="exact"/>
              <w:ind w:right="170"/>
              <w:jc w:val="right"/>
              <w:rPr>
                <w:rFonts w:cs="Arial"/>
                <w:b/>
                <w:bCs/>
                <w:color w:val="000000"/>
                <w:sz w:val="16"/>
                <w:szCs w:val="16"/>
              </w:rPr>
            </w:pPr>
            <w:r w:rsidRPr="000A1B5B">
              <w:rPr>
                <w:rFonts w:cs="Arial"/>
                <w:b/>
                <w:bCs/>
                <w:color w:val="000000"/>
                <w:sz w:val="16"/>
                <w:szCs w:val="16"/>
              </w:rPr>
              <w:t>2.615.128.266</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8974D2" w:rsidRPr="00096800" w:rsidRDefault="008974D2" w:rsidP="00BB313D">
            <w:pPr>
              <w:widowControl w:val="0"/>
              <w:spacing w:line="240" w:lineRule="exact"/>
              <w:ind w:right="170"/>
              <w:jc w:val="right"/>
              <w:rPr>
                <w:rFonts w:cs="Arial"/>
                <w:b/>
                <w:bCs/>
                <w:color w:val="000000"/>
                <w:sz w:val="16"/>
                <w:szCs w:val="16"/>
              </w:rPr>
            </w:pPr>
            <w:r w:rsidRPr="00096800">
              <w:rPr>
                <w:rFonts w:cs="Arial"/>
                <w:b/>
                <w:bCs/>
                <w:color w:val="000000"/>
                <w:sz w:val="16"/>
                <w:szCs w:val="16"/>
              </w:rPr>
              <w:t>100</w:t>
            </w:r>
            <w:r w:rsidR="007F441F">
              <w:rPr>
                <w:rFonts w:cs="Arial"/>
                <w:b/>
                <w:bCs/>
                <w:color w:val="000000"/>
                <w:sz w:val="16"/>
                <w:szCs w:val="16"/>
              </w:rPr>
              <w:t>,0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8974D2" w:rsidRPr="00096800" w:rsidRDefault="00A4338C" w:rsidP="00BB313D">
            <w:pPr>
              <w:widowControl w:val="0"/>
              <w:spacing w:line="240" w:lineRule="exact"/>
              <w:ind w:right="170"/>
              <w:jc w:val="right"/>
              <w:rPr>
                <w:rFonts w:cs="Arial"/>
                <w:b/>
                <w:bCs/>
                <w:color w:val="000000"/>
                <w:sz w:val="16"/>
                <w:szCs w:val="16"/>
              </w:rPr>
            </w:pPr>
            <w:r w:rsidRPr="00A4338C">
              <w:rPr>
                <w:rFonts w:cs="Arial"/>
                <w:b/>
                <w:bCs/>
                <w:color w:val="000000"/>
                <w:sz w:val="16"/>
                <w:szCs w:val="16"/>
              </w:rPr>
              <w:t>296.017.324</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8974D2" w:rsidRPr="00096800" w:rsidRDefault="008974D2" w:rsidP="00BB313D">
            <w:pPr>
              <w:widowControl w:val="0"/>
              <w:spacing w:line="240" w:lineRule="exact"/>
              <w:ind w:right="170"/>
              <w:jc w:val="right"/>
              <w:rPr>
                <w:rFonts w:cs="Arial"/>
                <w:b/>
                <w:bCs/>
                <w:color w:val="000000"/>
                <w:sz w:val="16"/>
                <w:szCs w:val="16"/>
              </w:rPr>
            </w:pPr>
            <w:r w:rsidRPr="00096800">
              <w:rPr>
                <w:rFonts w:cs="Arial"/>
                <w:b/>
                <w:bCs/>
                <w:color w:val="000000"/>
                <w:sz w:val="16"/>
                <w:szCs w:val="16"/>
              </w:rPr>
              <w:t>100</w:t>
            </w:r>
            <w:r w:rsidR="007F441F">
              <w:rPr>
                <w:rFonts w:cs="Arial"/>
                <w:b/>
                <w:bCs/>
                <w:color w:val="000000"/>
                <w:sz w:val="16"/>
                <w:szCs w:val="16"/>
              </w:rPr>
              <w:t>,0</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8974D2" w:rsidRPr="00A4338C" w:rsidRDefault="00A4338C" w:rsidP="00BB313D">
            <w:pPr>
              <w:widowControl w:val="0"/>
              <w:spacing w:line="240" w:lineRule="exact"/>
              <w:ind w:right="170"/>
              <w:jc w:val="right"/>
              <w:rPr>
                <w:rFonts w:cs="Arial"/>
                <w:b/>
                <w:bCs/>
                <w:color w:val="000000"/>
                <w:sz w:val="16"/>
                <w:szCs w:val="16"/>
              </w:rPr>
            </w:pPr>
            <w:r w:rsidRPr="00A4338C">
              <w:rPr>
                <w:rFonts w:cs="Arial"/>
                <w:b/>
                <w:bCs/>
                <w:color w:val="000000"/>
                <w:sz w:val="16"/>
                <w:szCs w:val="16"/>
              </w:rPr>
              <w:t>919.932.636</w:t>
            </w:r>
          </w:p>
        </w:tc>
        <w:tc>
          <w:tcPr>
            <w:tcW w:w="85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8974D2" w:rsidRPr="00096800" w:rsidRDefault="008974D2" w:rsidP="00BB313D">
            <w:pPr>
              <w:widowControl w:val="0"/>
              <w:spacing w:line="240" w:lineRule="exact"/>
              <w:ind w:right="170"/>
              <w:jc w:val="right"/>
              <w:rPr>
                <w:rFonts w:cs="Arial"/>
                <w:b/>
                <w:bCs/>
                <w:color w:val="000000"/>
                <w:sz w:val="16"/>
                <w:szCs w:val="16"/>
              </w:rPr>
            </w:pPr>
            <w:r w:rsidRPr="00096800">
              <w:rPr>
                <w:rFonts w:cs="Arial"/>
                <w:b/>
                <w:bCs/>
                <w:color w:val="000000"/>
                <w:sz w:val="16"/>
                <w:szCs w:val="16"/>
              </w:rPr>
              <w:t>100</w:t>
            </w:r>
            <w:r w:rsidR="007F441F">
              <w:rPr>
                <w:rFonts w:cs="Arial"/>
                <w:b/>
                <w:bCs/>
                <w:color w:val="000000"/>
                <w:sz w:val="16"/>
                <w:szCs w:val="16"/>
              </w:rPr>
              <w:t>,0</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8974D2" w:rsidRPr="00A4338C" w:rsidRDefault="00F8262A" w:rsidP="00BB313D">
            <w:pPr>
              <w:widowControl w:val="0"/>
              <w:spacing w:line="240" w:lineRule="exact"/>
              <w:ind w:right="170"/>
              <w:jc w:val="right"/>
              <w:rPr>
                <w:rFonts w:cs="Arial"/>
                <w:b/>
                <w:bCs/>
                <w:color w:val="000000"/>
                <w:sz w:val="16"/>
                <w:szCs w:val="16"/>
              </w:rPr>
            </w:pPr>
            <w:r w:rsidRPr="00F8262A">
              <w:rPr>
                <w:rFonts w:cs="Arial"/>
                <w:b/>
                <w:bCs/>
                <w:color w:val="000000"/>
                <w:sz w:val="16"/>
                <w:szCs w:val="16"/>
              </w:rPr>
              <w:t>1.399.178.307</w:t>
            </w:r>
          </w:p>
        </w:tc>
        <w:tc>
          <w:tcPr>
            <w:tcW w:w="851" w:type="dxa"/>
            <w:tcBorders>
              <w:top w:val="single" w:sz="4" w:space="0" w:color="BFBFBF" w:themeColor="background1" w:themeShade="BF"/>
              <w:bottom w:val="single" w:sz="4" w:space="0" w:color="BFBFBF" w:themeColor="background1" w:themeShade="BF"/>
            </w:tcBorders>
            <w:vAlign w:val="bottom"/>
            <w:hideMark/>
          </w:tcPr>
          <w:p w:rsidR="008974D2" w:rsidRPr="00096800" w:rsidRDefault="008974D2" w:rsidP="00BB313D">
            <w:pPr>
              <w:widowControl w:val="0"/>
              <w:spacing w:line="240" w:lineRule="exact"/>
              <w:ind w:right="170"/>
              <w:jc w:val="right"/>
              <w:rPr>
                <w:rFonts w:cs="Arial"/>
                <w:b/>
                <w:bCs/>
                <w:color w:val="000000"/>
                <w:sz w:val="16"/>
                <w:szCs w:val="16"/>
              </w:rPr>
            </w:pPr>
            <w:r w:rsidRPr="00096800">
              <w:rPr>
                <w:rFonts w:cs="Arial"/>
                <w:b/>
                <w:bCs/>
                <w:color w:val="000000"/>
                <w:sz w:val="16"/>
                <w:szCs w:val="16"/>
              </w:rPr>
              <w:t>100</w:t>
            </w:r>
            <w:r w:rsidR="007F441F">
              <w:rPr>
                <w:rFonts w:cs="Arial"/>
                <w:b/>
                <w:bCs/>
                <w:color w:val="000000"/>
                <w:sz w:val="16"/>
                <w:szCs w:val="16"/>
              </w:rPr>
              <w:t>,0</w:t>
            </w:r>
          </w:p>
        </w:tc>
      </w:tr>
    </w:tbl>
    <w:p w:rsidR="00665097" w:rsidRDefault="00665097" w:rsidP="00BB313D">
      <w:pPr>
        <w:widowControl w:val="0"/>
      </w:pPr>
    </w:p>
    <w:p w:rsidR="001C63DE" w:rsidRDefault="001C63DE"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73" w:name="_Toc391999618"/>
      <w:bookmarkStart w:id="174" w:name="_Toc450119501"/>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46</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FC5187">
        <w:rPr>
          <w:rFonts w:cs="Arial"/>
          <w:b/>
          <w:color w:val="1F497D" w:themeColor="text2"/>
          <w:sz w:val="18"/>
          <w:szCs w:val="18"/>
        </w:rPr>
        <w:t>PRODUCTIVIDAD APARENT</w:t>
      </w:r>
      <w:r w:rsidR="00AD1039">
        <w:rPr>
          <w:rFonts w:cs="Arial"/>
          <w:b/>
          <w:color w:val="1F497D" w:themeColor="text2"/>
          <w:sz w:val="18"/>
          <w:szCs w:val="18"/>
        </w:rPr>
        <w:t>E POR TERRITORIO HISTÓRICO. 2010-2014</w:t>
      </w:r>
      <w:r w:rsidR="000C43BF">
        <w:rPr>
          <w:rFonts w:cs="Arial"/>
          <w:b/>
          <w:color w:val="1F497D" w:themeColor="text2"/>
          <w:sz w:val="18"/>
          <w:szCs w:val="18"/>
        </w:rPr>
        <w:t xml:space="preserve"> </w:t>
      </w:r>
      <w:r w:rsidR="00665097" w:rsidRPr="00FC5187">
        <w:rPr>
          <w:rFonts w:cs="Arial"/>
          <w:b/>
          <w:color w:val="1F497D" w:themeColor="text2"/>
          <w:sz w:val="18"/>
          <w:szCs w:val="18"/>
        </w:rPr>
        <w:t>(Miles de Euros/Empleado)</w:t>
      </w:r>
      <w:bookmarkEnd w:id="173"/>
      <w:bookmarkEnd w:id="174"/>
    </w:p>
    <w:tbl>
      <w:tblPr>
        <w:tblW w:w="9940" w:type="dxa"/>
        <w:jc w:val="center"/>
        <w:tblCellMar>
          <w:left w:w="70" w:type="dxa"/>
          <w:right w:w="70" w:type="dxa"/>
        </w:tblCellMar>
        <w:tblLook w:val="04A0" w:firstRow="1" w:lastRow="0" w:firstColumn="1" w:lastColumn="0" w:noHBand="0" w:noVBand="1"/>
      </w:tblPr>
      <w:tblGrid>
        <w:gridCol w:w="2074"/>
        <w:gridCol w:w="1967"/>
        <w:gridCol w:w="1967"/>
        <w:gridCol w:w="1966"/>
        <w:gridCol w:w="1966"/>
      </w:tblGrid>
      <w:tr w:rsidR="00665097" w:rsidRPr="00955A80" w:rsidTr="00D122F5">
        <w:trPr>
          <w:jc w:val="center"/>
        </w:trPr>
        <w:tc>
          <w:tcPr>
            <w:tcW w:w="1043" w:type="pct"/>
            <w:tcBorders>
              <w:top w:val="single" w:sz="8" w:space="0" w:color="BFBFBF"/>
              <w:left w:val="nil"/>
              <w:bottom w:val="single" w:sz="8" w:space="0" w:color="BFBFBF"/>
              <w:right w:val="single" w:sz="8" w:space="0" w:color="BFBFBF"/>
            </w:tcBorders>
            <w:shd w:val="clear" w:color="000000" w:fill="DBE5F1"/>
            <w:hideMark/>
          </w:tcPr>
          <w:p w:rsidR="00665097" w:rsidRPr="00955A80" w:rsidRDefault="00665097" w:rsidP="00BB313D">
            <w:pPr>
              <w:widowControl w:val="0"/>
              <w:spacing w:line="240" w:lineRule="exact"/>
              <w:rPr>
                <w:rFonts w:ascii="Calibri" w:hAnsi="Calibri"/>
                <w:color w:val="000000"/>
              </w:rPr>
            </w:pPr>
            <w:r w:rsidRPr="00955A80">
              <w:rPr>
                <w:rFonts w:ascii="Calibri" w:hAnsi="Calibri"/>
                <w:color w:val="000000"/>
              </w:rPr>
              <w:t> </w:t>
            </w:r>
          </w:p>
        </w:tc>
        <w:tc>
          <w:tcPr>
            <w:tcW w:w="989" w:type="pct"/>
            <w:tcBorders>
              <w:top w:val="single" w:sz="8" w:space="0" w:color="BFBFBF"/>
              <w:left w:val="nil"/>
              <w:bottom w:val="single" w:sz="8" w:space="0" w:color="BFBFBF"/>
              <w:right w:val="single" w:sz="8" w:space="0" w:color="BFBFBF"/>
            </w:tcBorders>
            <w:shd w:val="clear" w:color="000000" w:fill="DBE5F1"/>
            <w:hideMark/>
          </w:tcPr>
          <w:p w:rsidR="00665097" w:rsidRPr="00506010" w:rsidRDefault="00665097" w:rsidP="00BB313D">
            <w:pPr>
              <w:widowControl w:val="0"/>
              <w:spacing w:line="240" w:lineRule="exact"/>
              <w:jc w:val="center"/>
              <w:rPr>
                <w:rFonts w:cs="Arial"/>
                <w:b/>
                <w:bCs/>
                <w:sz w:val="16"/>
                <w:szCs w:val="16"/>
              </w:rPr>
            </w:pPr>
            <w:r>
              <w:rPr>
                <w:rFonts w:cs="Arial"/>
                <w:b/>
                <w:bCs/>
                <w:sz w:val="16"/>
                <w:szCs w:val="16"/>
              </w:rPr>
              <w:t>Álava</w:t>
            </w:r>
          </w:p>
        </w:tc>
        <w:tc>
          <w:tcPr>
            <w:tcW w:w="989" w:type="pct"/>
            <w:tcBorders>
              <w:top w:val="single" w:sz="8" w:space="0" w:color="BFBFBF"/>
              <w:left w:val="nil"/>
              <w:bottom w:val="single" w:sz="8" w:space="0" w:color="BFBFBF"/>
              <w:right w:val="single" w:sz="8" w:space="0" w:color="BFBFBF"/>
            </w:tcBorders>
            <w:shd w:val="clear" w:color="000000" w:fill="DBE5F1"/>
            <w:hideMark/>
          </w:tcPr>
          <w:p w:rsidR="00665097" w:rsidRPr="00506010" w:rsidRDefault="00665097" w:rsidP="00BB313D">
            <w:pPr>
              <w:widowControl w:val="0"/>
              <w:spacing w:line="240" w:lineRule="exact"/>
              <w:jc w:val="center"/>
              <w:rPr>
                <w:rFonts w:cs="Arial"/>
                <w:b/>
                <w:bCs/>
                <w:sz w:val="16"/>
                <w:szCs w:val="16"/>
              </w:rPr>
            </w:pPr>
            <w:proofErr w:type="spellStart"/>
            <w:r>
              <w:rPr>
                <w:rFonts w:cs="Arial"/>
                <w:b/>
                <w:bCs/>
                <w:sz w:val="16"/>
                <w:szCs w:val="16"/>
                <w:lang w:val="en-GB"/>
              </w:rPr>
              <w:t>Bizkaia</w:t>
            </w:r>
            <w:proofErr w:type="spellEnd"/>
          </w:p>
        </w:tc>
        <w:tc>
          <w:tcPr>
            <w:tcW w:w="989" w:type="pct"/>
            <w:tcBorders>
              <w:top w:val="single" w:sz="8" w:space="0" w:color="BFBFBF"/>
              <w:left w:val="nil"/>
              <w:bottom w:val="single" w:sz="8" w:space="0" w:color="BFBFBF"/>
              <w:right w:val="single" w:sz="8" w:space="0" w:color="BFBFBF"/>
            </w:tcBorders>
            <w:shd w:val="clear" w:color="000000" w:fill="DBE5F1"/>
            <w:hideMark/>
          </w:tcPr>
          <w:p w:rsidR="00665097" w:rsidRPr="00506010" w:rsidRDefault="00665097" w:rsidP="00BB313D">
            <w:pPr>
              <w:widowControl w:val="0"/>
              <w:spacing w:line="240" w:lineRule="exact"/>
              <w:jc w:val="center"/>
              <w:rPr>
                <w:rFonts w:cs="Arial"/>
                <w:b/>
                <w:bCs/>
                <w:sz w:val="16"/>
                <w:szCs w:val="16"/>
              </w:rPr>
            </w:pPr>
            <w:proofErr w:type="spellStart"/>
            <w:r>
              <w:rPr>
                <w:rFonts w:cs="Arial"/>
                <w:b/>
                <w:bCs/>
                <w:sz w:val="16"/>
                <w:szCs w:val="16"/>
                <w:lang w:val="en-GB"/>
              </w:rPr>
              <w:t>Gipuzkoa</w:t>
            </w:r>
            <w:proofErr w:type="spellEnd"/>
          </w:p>
        </w:tc>
        <w:tc>
          <w:tcPr>
            <w:tcW w:w="989" w:type="pct"/>
            <w:tcBorders>
              <w:top w:val="single" w:sz="8" w:space="0" w:color="BFBFBF"/>
              <w:left w:val="nil"/>
              <w:bottom w:val="single" w:sz="8" w:space="0" w:color="BFBFBF"/>
              <w:right w:val="nil"/>
            </w:tcBorders>
            <w:shd w:val="clear" w:color="000000" w:fill="DBE5F1"/>
            <w:hideMark/>
          </w:tcPr>
          <w:p w:rsidR="00665097" w:rsidRPr="00955A80" w:rsidRDefault="00665097" w:rsidP="00BB313D">
            <w:pPr>
              <w:widowControl w:val="0"/>
              <w:spacing w:line="240" w:lineRule="exact"/>
              <w:jc w:val="center"/>
              <w:rPr>
                <w:rFonts w:cs="Arial"/>
                <w:b/>
                <w:bCs/>
                <w:color w:val="000000"/>
                <w:sz w:val="16"/>
                <w:szCs w:val="16"/>
              </w:rPr>
            </w:pPr>
            <w:r>
              <w:rPr>
                <w:rFonts w:cs="Arial"/>
                <w:b/>
                <w:bCs/>
                <w:color w:val="000000"/>
                <w:sz w:val="16"/>
                <w:szCs w:val="16"/>
              </w:rPr>
              <w:t>CAE</w:t>
            </w:r>
          </w:p>
        </w:tc>
      </w:tr>
      <w:tr w:rsidR="00DA2B11" w:rsidRPr="00955A80" w:rsidTr="00D122F5">
        <w:trPr>
          <w:jc w:val="center"/>
        </w:trPr>
        <w:tc>
          <w:tcPr>
            <w:tcW w:w="1043" w:type="pct"/>
            <w:tcBorders>
              <w:top w:val="nil"/>
              <w:left w:val="nil"/>
              <w:bottom w:val="nil"/>
              <w:right w:val="single" w:sz="8" w:space="0" w:color="BFBFBF"/>
            </w:tcBorders>
            <w:shd w:val="clear" w:color="auto" w:fill="auto"/>
            <w:hideMark/>
          </w:tcPr>
          <w:p w:rsidR="00DA2B11" w:rsidRPr="00955A80" w:rsidRDefault="00DA2B11" w:rsidP="00BB313D">
            <w:pPr>
              <w:widowControl w:val="0"/>
              <w:spacing w:line="240" w:lineRule="exact"/>
              <w:ind w:right="170"/>
              <w:rPr>
                <w:rFonts w:cs="Arial"/>
                <w:color w:val="000000"/>
                <w:sz w:val="16"/>
                <w:szCs w:val="16"/>
              </w:rPr>
            </w:pPr>
            <w:r>
              <w:rPr>
                <w:rFonts w:cs="Arial"/>
                <w:color w:val="000000"/>
                <w:sz w:val="16"/>
                <w:szCs w:val="16"/>
              </w:rPr>
              <w:t>2010</w:t>
            </w:r>
          </w:p>
        </w:tc>
        <w:tc>
          <w:tcPr>
            <w:tcW w:w="989" w:type="pct"/>
            <w:tcBorders>
              <w:top w:val="nil"/>
              <w:left w:val="nil"/>
              <w:bottom w:val="nil"/>
              <w:right w:val="single" w:sz="8" w:space="0" w:color="BFBFBF"/>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52.465</w:t>
            </w:r>
          </w:p>
        </w:tc>
        <w:tc>
          <w:tcPr>
            <w:tcW w:w="989" w:type="pct"/>
            <w:tcBorders>
              <w:top w:val="nil"/>
              <w:left w:val="nil"/>
              <w:bottom w:val="nil"/>
              <w:right w:val="single" w:sz="8" w:space="0" w:color="BFBFBF"/>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41.175</w:t>
            </w:r>
          </w:p>
        </w:tc>
        <w:tc>
          <w:tcPr>
            <w:tcW w:w="989" w:type="pct"/>
            <w:tcBorders>
              <w:top w:val="nil"/>
              <w:left w:val="nil"/>
              <w:bottom w:val="nil"/>
              <w:right w:val="single" w:sz="8" w:space="0" w:color="BFBFBF"/>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50.857</w:t>
            </w:r>
          </w:p>
        </w:tc>
        <w:tc>
          <w:tcPr>
            <w:tcW w:w="989" w:type="pct"/>
            <w:tcBorders>
              <w:top w:val="nil"/>
              <w:left w:val="nil"/>
              <w:bottom w:val="nil"/>
              <w:right w:val="nil"/>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47.126</w:t>
            </w:r>
          </w:p>
        </w:tc>
      </w:tr>
      <w:tr w:rsidR="00DA2B11" w:rsidRPr="00955A80" w:rsidTr="00D122F5">
        <w:trPr>
          <w:jc w:val="center"/>
        </w:trPr>
        <w:tc>
          <w:tcPr>
            <w:tcW w:w="1043" w:type="pct"/>
            <w:tcBorders>
              <w:top w:val="nil"/>
              <w:left w:val="nil"/>
              <w:bottom w:val="nil"/>
              <w:right w:val="single" w:sz="8" w:space="0" w:color="BFBFBF"/>
            </w:tcBorders>
            <w:shd w:val="clear" w:color="auto" w:fill="auto"/>
            <w:hideMark/>
          </w:tcPr>
          <w:p w:rsidR="00DA2B11" w:rsidRPr="00955A80" w:rsidRDefault="00DA2B11" w:rsidP="00BB313D">
            <w:pPr>
              <w:widowControl w:val="0"/>
              <w:spacing w:line="240" w:lineRule="exact"/>
              <w:ind w:right="170"/>
              <w:rPr>
                <w:rFonts w:cs="Arial"/>
                <w:color w:val="000000"/>
                <w:sz w:val="16"/>
                <w:szCs w:val="16"/>
              </w:rPr>
            </w:pPr>
            <w:r>
              <w:rPr>
                <w:rFonts w:cs="Arial"/>
                <w:color w:val="000000"/>
                <w:sz w:val="16"/>
                <w:szCs w:val="16"/>
              </w:rPr>
              <w:t>2012</w:t>
            </w:r>
          </w:p>
        </w:tc>
        <w:tc>
          <w:tcPr>
            <w:tcW w:w="989" w:type="pct"/>
            <w:tcBorders>
              <w:top w:val="nil"/>
              <w:left w:val="nil"/>
              <w:bottom w:val="nil"/>
              <w:right w:val="single" w:sz="8" w:space="0" w:color="BFBFBF"/>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51.321</w:t>
            </w:r>
          </w:p>
        </w:tc>
        <w:tc>
          <w:tcPr>
            <w:tcW w:w="989" w:type="pct"/>
            <w:tcBorders>
              <w:top w:val="nil"/>
              <w:left w:val="nil"/>
              <w:bottom w:val="nil"/>
              <w:right w:val="single" w:sz="8" w:space="0" w:color="BFBFBF"/>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39.361</w:t>
            </w:r>
          </w:p>
        </w:tc>
        <w:tc>
          <w:tcPr>
            <w:tcW w:w="989" w:type="pct"/>
            <w:tcBorders>
              <w:top w:val="nil"/>
              <w:left w:val="nil"/>
              <w:bottom w:val="nil"/>
              <w:right w:val="single" w:sz="8" w:space="0" w:color="BFBFBF"/>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52.409</w:t>
            </w:r>
          </w:p>
        </w:tc>
        <w:tc>
          <w:tcPr>
            <w:tcW w:w="989" w:type="pct"/>
            <w:tcBorders>
              <w:top w:val="nil"/>
              <w:left w:val="nil"/>
              <w:bottom w:val="nil"/>
              <w:right w:val="nil"/>
            </w:tcBorders>
            <w:shd w:val="clear" w:color="auto" w:fill="auto"/>
            <w:hideMark/>
          </w:tcPr>
          <w:p w:rsidR="00DA2B11" w:rsidRPr="00096800" w:rsidRDefault="00DA2B11" w:rsidP="00BB313D">
            <w:pPr>
              <w:widowControl w:val="0"/>
              <w:spacing w:line="240" w:lineRule="exact"/>
              <w:ind w:right="170"/>
              <w:jc w:val="right"/>
              <w:rPr>
                <w:rFonts w:cs="Arial"/>
                <w:color w:val="000000"/>
                <w:sz w:val="16"/>
                <w:szCs w:val="16"/>
              </w:rPr>
            </w:pPr>
            <w:r w:rsidRPr="00096800">
              <w:rPr>
                <w:rFonts w:cs="Arial"/>
                <w:color w:val="000000"/>
                <w:sz w:val="16"/>
                <w:szCs w:val="16"/>
              </w:rPr>
              <w:t>47.364</w:t>
            </w:r>
          </w:p>
        </w:tc>
      </w:tr>
      <w:tr w:rsidR="00DA2B11" w:rsidRPr="00955A80" w:rsidTr="00D122F5">
        <w:trPr>
          <w:jc w:val="center"/>
        </w:trPr>
        <w:tc>
          <w:tcPr>
            <w:tcW w:w="1043" w:type="pct"/>
            <w:tcBorders>
              <w:top w:val="nil"/>
              <w:left w:val="nil"/>
              <w:bottom w:val="single" w:sz="8" w:space="0" w:color="BFBFBF"/>
              <w:right w:val="single" w:sz="8" w:space="0" w:color="BFBFBF"/>
            </w:tcBorders>
            <w:shd w:val="clear" w:color="auto" w:fill="auto"/>
            <w:hideMark/>
          </w:tcPr>
          <w:p w:rsidR="00DA2B11" w:rsidRPr="00955A80" w:rsidRDefault="00DA2B11" w:rsidP="00BB313D">
            <w:pPr>
              <w:widowControl w:val="0"/>
              <w:spacing w:line="240" w:lineRule="exact"/>
              <w:ind w:right="170"/>
              <w:rPr>
                <w:rFonts w:cs="Arial"/>
                <w:color w:val="000000"/>
                <w:sz w:val="16"/>
                <w:szCs w:val="16"/>
              </w:rPr>
            </w:pPr>
            <w:r>
              <w:rPr>
                <w:rFonts w:cs="Arial"/>
                <w:color w:val="000000"/>
                <w:sz w:val="16"/>
                <w:szCs w:val="16"/>
              </w:rPr>
              <w:t>2014</w:t>
            </w:r>
          </w:p>
        </w:tc>
        <w:tc>
          <w:tcPr>
            <w:tcW w:w="989" w:type="pct"/>
            <w:tcBorders>
              <w:top w:val="nil"/>
              <w:left w:val="nil"/>
              <w:bottom w:val="single" w:sz="8" w:space="0" w:color="BFBFBF"/>
              <w:right w:val="single" w:sz="8" w:space="0" w:color="BFBFBF"/>
            </w:tcBorders>
            <w:shd w:val="clear" w:color="auto" w:fill="auto"/>
            <w:hideMark/>
          </w:tcPr>
          <w:p w:rsidR="00DA2B11" w:rsidRPr="00096800" w:rsidRDefault="00247A4F" w:rsidP="00BB313D">
            <w:pPr>
              <w:widowControl w:val="0"/>
              <w:spacing w:line="240" w:lineRule="exact"/>
              <w:ind w:right="170"/>
              <w:jc w:val="right"/>
              <w:rPr>
                <w:rFonts w:cs="Arial"/>
                <w:color w:val="000000"/>
                <w:sz w:val="16"/>
                <w:szCs w:val="16"/>
              </w:rPr>
            </w:pPr>
            <w:r w:rsidRPr="00247A4F">
              <w:rPr>
                <w:rFonts w:cs="Arial"/>
                <w:color w:val="000000"/>
                <w:sz w:val="16"/>
                <w:szCs w:val="16"/>
              </w:rPr>
              <w:t>53.135</w:t>
            </w:r>
          </w:p>
        </w:tc>
        <w:tc>
          <w:tcPr>
            <w:tcW w:w="989" w:type="pct"/>
            <w:tcBorders>
              <w:top w:val="nil"/>
              <w:left w:val="nil"/>
              <w:bottom w:val="single" w:sz="8" w:space="0" w:color="BFBFBF"/>
              <w:right w:val="single" w:sz="8" w:space="0" w:color="BFBFBF"/>
            </w:tcBorders>
            <w:shd w:val="clear" w:color="auto" w:fill="auto"/>
            <w:hideMark/>
          </w:tcPr>
          <w:p w:rsidR="00DA2B11" w:rsidRPr="00334CC6" w:rsidRDefault="00334CC6" w:rsidP="00BB313D">
            <w:pPr>
              <w:widowControl w:val="0"/>
              <w:spacing w:line="240" w:lineRule="exact"/>
              <w:ind w:right="170"/>
              <w:jc w:val="right"/>
              <w:rPr>
                <w:rFonts w:cs="Arial"/>
                <w:color w:val="000000"/>
                <w:sz w:val="16"/>
                <w:szCs w:val="16"/>
              </w:rPr>
            </w:pPr>
            <w:r w:rsidRPr="00334CC6">
              <w:rPr>
                <w:rFonts w:cs="Arial"/>
                <w:color w:val="000000"/>
                <w:sz w:val="16"/>
                <w:szCs w:val="16"/>
              </w:rPr>
              <w:t>43.165</w:t>
            </w:r>
          </w:p>
        </w:tc>
        <w:tc>
          <w:tcPr>
            <w:tcW w:w="989" w:type="pct"/>
            <w:tcBorders>
              <w:top w:val="nil"/>
              <w:left w:val="nil"/>
              <w:bottom w:val="single" w:sz="8" w:space="0" w:color="BFBFBF"/>
              <w:right w:val="single" w:sz="8" w:space="0" w:color="BFBFBF"/>
            </w:tcBorders>
            <w:shd w:val="clear" w:color="auto" w:fill="auto"/>
            <w:hideMark/>
          </w:tcPr>
          <w:p w:rsidR="00DA2B11" w:rsidRPr="00334CC6" w:rsidRDefault="00334CC6" w:rsidP="00BB313D">
            <w:pPr>
              <w:widowControl w:val="0"/>
              <w:spacing w:line="240" w:lineRule="exact"/>
              <w:ind w:right="170"/>
              <w:jc w:val="right"/>
              <w:rPr>
                <w:rFonts w:cs="Arial"/>
                <w:color w:val="000000"/>
                <w:sz w:val="16"/>
                <w:szCs w:val="16"/>
              </w:rPr>
            </w:pPr>
            <w:r w:rsidRPr="00334CC6">
              <w:rPr>
                <w:rFonts w:cs="Arial"/>
                <w:color w:val="000000"/>
                <w:sz w:val="16"/>
                <w:szCs w:val="16"/>
              </w:rPr>
              <w:t>50.514</w:t>
            </w:r>
          </w:p>
        </w:tc>
        <w:tc>
          <w:tcPr>
            <w:tcW w:w="989" w:type="pct"/>
            <w:tcBorders>
              <w:top w:val="nil"/>
              <w:left w:val="nil"/>
              <w:bottom w:val="single" w:sz="8" w:space="0" w:color="BFBFBF"/>
              <w:right w:val="nil"/>
            </w:tcBorders>
            <w:shd w:val="clear" w:color="auto" w:fill="auto"/>
            <w:hideMark/>
          </w:tcPr>
          <w:p w:rsidR="00DA2B11" w:rsidRPr="00815039" w:rsidRDefault="00815039" w:rsidP="00BB313D">
            <w:pPr>
              <w:widowControl w:val="0"/>
              <w:spacing w:line="240" w:lineRule="exact"/>
              <w:ind w:right="170"/>
              <w:jc w:val="right"/>
              <w:rPr>
                <w:rFonts w:cs="Arial"/>
                <w:color w:val="000000"/>
                <w:sz w:val="16"/>
                <w:szCs w:val="16"/>
              </w:rPr>
            </w:pPr>
            <w:r w:rsidRPr="00815039">
              <w:rPr>
                <w:rFonts w:cs="Arial"/>
                <w:color w:val="000000"/>
                <w:sz w:val="16"/>
                <w:szCs w:val="16"/>
              </w:rPr>
              <w:t>47.912</w:t>
            </w:r>
          </w:p>
        </w:tc>
      </w:tr>
    </w:tbl>
    <w:p w:rsidR="00665097" w:rsidRDefault="00665097" w:rsidP="00BB313D">
      <w:pPr>
        <w:widowControl w:val="0"/>
      </w:pPr>
    </w:p>
    <w:p w:rsidR="001C63DE" w:rsidRDefault="001C63DE"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175" w:name="_Toc391999619"/>
      <w:bookmarkStart w:id="176" w:name="_Toc450119502"/>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47</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FC5187">
        <w:rPr>
          <w:rFonts w:cs="Arial"/>
          <w:b/>
          <w:color w:val="1F497D" w:themeColor="text2"/>
          <w:sz w:val="18"/>
          <w:szCs w:val="18"/>
        </w:rPr>
        <w:t>PRODUCTIVIDAD APARENTE TERRITO</w:t>
      </w:r>
      <w:r w:rsidR="00815039">
        <w:rPr>
          <w:rFonts w:cs="Arial"/>
          <w:b/>
          <w:color w:val="1F497D" w:themeColor="text2"/>
          <w:sz w:val="18"/>
          <w:szCs w:val="18"/>
        </w:rPr>
        <w:t xml:space="preserve">RIAL SEGÚN FORMA JURÍDICA. 2014 </w:t>
      </w:r>
      <w:r w:rsidR="00665097" w:rsidRPr="00FC5187">
        <w:rPr>
          <w:rFonts w:cs="Arial"/>
          <w:b/>
          <w:color w:val="1F497D" w:themeColor="text2"/>
          <w:sz w:val="18"/>
          <w:szCs w:val="18"/>
        </w:rPr>
        <w:t>(Euros/Empleado)</w:t>
      </w:r>
      <w:bookmarkEnd w:id="175"/>
      <w:bookmarkEnd w:id="176"/>
    </w:p>
    <w:tbl>
      <w:tblPr>
        <w:tblW w:w="9940" w:type="dxa"/>
        <w:jc w:val="center"/>
        <w:tblCellMar>
          <w:left w:w="70" w:type="dxa"/>
          <w:right w:w="70" w:type="dxa"/>
        </w:tblCellMar>
        <w:tblLook w:val="04A0" w:firstRow="1" w:lastRow="0" w:firstColumn="1" w:lastColumn="0" w:noHBand="0" w:noVBand="1"/>
      </w:tblPr>
      <w:tblGrid>
        <w:gridCol w:w="2074"/>
        <w:gridCol w:w="1967"/>
        <w:gridCol w:w="1967"/>
        <w:gridCol w:w="1966"/>
        <w:gridCol w:w="1966"/>
      </w:tblGrid>
      <w:tr w:rsidR="00665097" w:rsidRPr="00955A80" w:rsidTr="00D122F5">
        <w:trPr>
          <w:jc w:val="center"/>
        </w:trPr>
        <w:tc>
          <w:tcPr>
            <w:tcW w:w="1043" w:type="pct"/>
            <w:tcBorders>
              <w:top w:val="single" w:sz="8" w:space="0" w:color="BFBFBF"/>
              <w:left w:val="nil"/>
              <w:bottom w:val="single" w:sz="8" w:space="0" w:color="BFBFBF"/>
              <w:right w:val="single" w:sz="8" w:space="0" w:color="BFBFBF"/>
            </w:tcBorders>
            <w:shd w:val="clear" w:color="000000" w:fill="DBE5F1"/>
            <w:hideMark/>
          </w:tcPr>
          <w:p w:rsidR="00665097" w:rsidRPr="00955A80" w:rsidRDefault="00665097" w:rsidP="00996F20">
            <w:pPr>
              <w:widowControl w:val="0"/>
              <w:spacing w:line="240" w:lineRule="exact"/>
              <w:rPr>
                <w:rFonts w:ascii="Calibri" w:hAnsi="Calibri"/>
                <w:color w:val="000000"/>
              </w:rPr>
            </w:pPr>
            <w:r w:rsidRPr="00955A80">
              <w:rPr>
                <w:rFonts w:ascii="Calibri" w:hAnsi="Calibri"/>
                <w:color w:val="000000"/>
              </w:rPr>
              <w:t> </w:t>
            </w:r>
          </w:p>
        </w:tc>
        <w:tc>
          <w:tcPr>
            <w:tcW w:w="989" w:type="pct"/>
            <w:tcBorders>
              <w:top w:val="single" w:sz="8" w:space="0" w:color="BFBFBF"/>
              <w:left w:val="nil"/>
              <w:bottom w:val="single" w:sz="8" w:space="0" w:color="BFBFBF"/>
              <w:right w:val="single" w:sz="8" w:space="0" w:color="BFBFBF"/>
            </w:tcBorders>
            <w:shd w:val="clear" w:color="000000" w:fill="DBE5F1"/>
            <w:hideMark/>
          </w:tcPr>
          <w:p w:rsidR="00665097" w:rsidRPr="00506010" w:rsidRDefault="00665097" w:rsidP="00996F20">
            <w:pPr>
              <w:widowControl w:val="0"/>
              <w:spacing w:line="240" w:lineRule="exact"/>
              <w:jc w:val="center"/>
              <w:rPr>
                <w:rFonts w:cs="Arial"/>
                <w:b/>
                <w:bCs/>
                <w:sz w:val="16"/>
                <w:szCs w:val="16"/>
              </w:rPr>
            </w:pPr>
            <w:r>
              <w:rPr>
                <w:rFonts w:cs="Arial"/>
                <w:b/>
                <w:bCs/>
                <w:sz w:val="16"/>
                <w:szCs w:val="16"/>
              </w:rPr>
              <w:t>Álava</w:t>
            </w:r>
          </w:p>
        </w:tc>
        <w:tc>
          <w:tcPr>
            <w:tcW w:w="989" w:type="pct"/>
            <w:tcBorders>
              <w:top w:val="single" w:sz="8" w:space="0" w:color="BFBFBF"/>
              <w:left w:val="nil"/>
              <w:bottom w:val="single" w:sz="8" w:space="0" w:color="BFBFBF"/>
              <w:right w:val="single" w:sz="8" w:space="0" w:color="BFBFBF"/>
            </w:tcBorders>
            <w:shd w:val="clear" w:color="000000" w:fill="DBE5F1"/>
            <w:hideMark/>
          </w:tcPr>
          <w:p w:rsidR="00665097" w:rsidRPr="00506010" w:rsidRDefault="00665097" w:rsidP="00996F20">
            <w:pPr>
              <w:widowControl w:val="0"/>
              <w:spacing w:line="240" w:lineRule="exact"/>
              <w:jc w:val="center"/>
              <w:rPr>
                <w:rFonts w:cs="Arial"/>
                <w:b/>
                <w:bCs/>
                <w:sz w:val="16"/>
                <w:szCs w:val="16"/>
              </w:rPr>
            </w:pPr>
            <w:proofErr w:type="spellStart"/>
            <w:r>
              <w:rPr>
                <w:rFonts w:cs="Arial"/>
                <w:b/>
                <w:bCs/>
                <w:sz w:val="16"/>
                <w:szCs w:val="16"/>
                <w:lang w:val="en-GB"/>
              </w:rPr>
              <w:t>Bizkaia</w:t>
            </w:r>
            <w:proofErr w:type="spellEnd"/>
          </w:p>
        </w:tc>
        <w:tc>
          <w:tcPr>
            <w:tcW w:w="989" w:type="pct"/>
            <w:tcBorders>
              <w:top w:val="single" w:sz="8" w:space="0" w:color="BFBFBF"/>
              <w:left w:val="nil"/>
              <w:bottom w:val="single" w:sz="8" w:space="0" w:color="BFBFBF"/>
              <w:right w:val="single" w:sz="8" w:space="0" w:color="BFBFBF"/>
            </w:tcBorders>
            <w:shd w:val="clear" w:color="000000" w:fill="DBE5F1"/>
            <w:hideMark/>
          </w:tcPr>
          <w:p w:rsidR="00665097" w:rsidRPr="00506010" w:rsidRDefault="00665097" w:rsidP="00996F20">
            <w:pPr>
              <w:widowControl w:val="0"/>
              <w:spacing w:line="240" w:lineRule="exact"/>
              <w:jc w:val="center"/>
              <w:rPr>
                <w:rFonts w:cs="Arial"/>
                <w:b/>
                <w:bCs/>
                <w:sz w:val="16"/>
                <w:szCs w:val="16"/>
              </w:rPr>
            </w:pPr>
            <w:proofErr w:type="spellStart"/>
            <w:r>
              <w:rPr>
                <w:rFonts w:cs="Arial"/>
                <w:b/>
                <w:bCs/>
                <w:sz w:val="16"/>
                <w:szCs w:val="16"/>
                <w:lang w:val="en-GB"/>
              </w:rPr>
              <w:t>Gipuzkoa</w:t>
            </w:r>
            <w:proofErr w:type="spellEnd"/>
          </w:p>
        </w:tc>
        <w:tc>
          <w:tcPr>
            <w:tcW w:w="989" w:type="pct"/>
            <w:tcBorders>
              <w:top w:val="single" w:sz="8" w:space="0" w:color="BFBFBF"/>
              <w:left w:val="nil"/>
              <w:bottom w:val="single" w:sz="8" w:space="0" w:color="BFBFBF"/>
              <w:right w:val="nil"/>
            </w:tcBorders>
            <w:shd w:val="clear" w:color="000000" w:fill="DBE5F1"/>
            <w:hideMark/>
          </w:tcPr>
          <w:p w:rsidR="00665097" w:rsidRPr="00955A80" w:rsidRDefault="00665097" w:rsidP="00996F20">
            <w:pPr>
              <w:widowControl w:val="0"/>
              <w:spacing w:line="240" w:lineRule="exact"/>
              <w:jc w:val="center"/>
              <w:rPr>
                <w:rFonts w:cs="Arial"/>
                <w:b/>
                <w:bCs/>
                <w:color w:val="000000"/>
                <w:sz w:val="16"/>
                <w:szCs w:val="16"/>
              </w:rPr>
            </w:pPr>
            <w:r>
              <w:rPr>
                <w:rFonts w:cs="Arial"/>
                <w:b/>
                <w:bCs/>
                <w:color w:val="000000"/>
                <w:sz w:val="16"/>
                <w:szCs w:val="16"/>
              </w:rPr>
              <w:t>CAE</w:t>
            </w:r>
          </w:p>
        </w:tc>
      </w:tr>
      <w:tr w:rsidR="00665097" w:rsidRPr="00626E8F" w:rsidTr="00D122F5">
        <w:trPr>
          <w:jc w:val="center"/>
        </w:trPr>
        <w:tc>
          <w:tcPr>
            <w:tcW w:w="1043" w:type="pct"/>
            <w:tcBorders>
              <w:top w:val="nil"/>
              <w:left w:val="nil"/>
              <w:bottom w:val="nil"/>
              <w:right w:val="single" w:sz="8" w:space="0" w:color="BFBFBF"/>
            </w:tcBorders>
            <w:shd w:val="clear" w:color="auto" w:fill="auto"/>
            <w:vAlign w:val="center"/>
            <w:hideMark/>
          </w:tcPr>
          <w:p w:rsidR="00665097" w:rsidRPr="00930BC0" w:rsidRDefault="00665097" w:rsidP="001E5608">
            <w:pPr>
              <w:widowControl w:val="0"/>
              <w:spacing w:line="240" w:lineRule="exact"/>
              <w:rPr>
                <w:rFonts w:cs="Arial"/>
                <w:color w:val="000000"/>
                <w:sz w:val="16"/>
                <w:szCs w:val="16"/>
              </w:rPr>
            </w:pPr>
            <w:proofErr w:type="spellStart"/>
            <w:r w:rsidRPr="00930BC0">
              <w:rPr>
                <w:rFonts w:cs="Arial"/>
                <w:color w:val="000000"/>
                <w:sz w:val="16"/>
                <w:szCs w:val="16"/>
                <w:lang w:val="en-GB"/>
              </w:rPr>
              <w:t>S.Coop</w:t>
            </w:r>
            <w:proofErr w:type="spellEnd"/>
            <w:r w:rsidRPr="00930BC0">
              <w:rPr>
                <w:rFonts w:cs="Arial"/>
                <w:color w:val="000000"/>
                <w:sz w:val="16"/>
                <w:szCs w:val="16"/>
                <w:lang w:val="en-GB"/>
              </w:rPr>
              <w:t>.</w:t>
            </w:r>
          </w:p>
        </w:tc>
        <w:tc>
          <w:tcPr>
            <w:tcW w:w="989" w:type="pct"/>
            <w:tcBorders>
              <w:top w:val="nil"/>
              <w:left w:val="nil"/>
              <w:bottom w:val="nil"/>
              <w:right w:val="single" w:sz="8" w:space="0" w:color="BFBFBF"/>
            </w:tcBorders>
            <w:shd w:val="clear" w:color="auto" w:fill="auto"/>
            <w:vAlign w:val="center"/>
            <w:hideMark/>
          </w:tcPr>
          <w:p w:rsidR="00665097" w:rsidRPr="00A31669" w:rsidRDefault="00A31669" w:rsidP="00AA5E58">
            <w:pPr>
              <w:widowControl w:val="0"/>
              <w:spacing w:line="240" w:lineRule="exact"/>
              <w:ind w:right="170"/>
              <w:jc w:val="right"/>
              <w:rPr>
                <w:rFonts w:cs="Arial"/>
                <w:color w:val="000000"/>
                <w:sz w:val="16"/>
                <w:szCs w:val="16"/>
              </w:rPr>
            </w:pPr>
            <w:r w:rsidRPr="00A31669">
              <w:rPr>
                <w:rFonts w:cs="Arial"/>
                <w:color w:val="000000"/>
                <w:sz w:val="16"/>
                <w:szCs w:val="16"/>
              </w:rPr>
              <w:t>55.771</w:t>
            </w:r>
          </w:p>
        </w:tc>
        <w:tc>
          <w:tcPr>
            <w:tcW w:w="989" w:type="pct"/>
            <w:tcBorders>
              <w:top w:val="nil"/>
              <w:left w:val="nil"/>
              <w:bottom w:val="nil"/>
              <w:right w:val="single" w:sz="8" w:space="0" w:color="BFBFBF"/>
            </w:tcBorders>
            <w:shd w:val="clear" w:color="auto" w:fill="auto"/>
            <w:vAlign w:val="center"/>
            <w:hideMark/>
          </w:tcPr>
          <w:p w:rsidR="00665097" w:rsidRPr="00777AB4" w:rsidRDefault="00777AB4" w:rsidP="00AA5E58">
            <w:pPr>
              <w:widowControl w:val="0"/>
              <w:spacing w:line="240" w:lineRule="exact"/>
              <w:ind w:right="170"/>
              <w:jc w:val="right"/>
              <w:rPr>
                <w:rFonts w:cs="Arial"/>
                <w:color w:val="000000"/>
                <w:sz w:val="16"/>
                <w:szCs w:val="16"/>
              </w:rPr>
            </w:pPr>
            <w:r w:rsidRPr="00777AB4">
              <w:rPr>
                <w:rFonts w:cs="Arial"/>
                <w:color w:val="000000"/>
                <w:sz w:val="16"/>
                <w:szCs w:val="16"/>
              </w:rPr>
              <w:t>44.139</w:t>
            </w:r>
          </w:p>
        </w:tc>
        <w:tc>
          <w:tcPr>
            <w:tcW w:w="989" w:type="pct"/>
            <w:tcBorders>
              <w:top w:val="nil"/>
              <w:left w:val="nil"/>
              <w:bottom w:val="nil"/>
              <w:right w:val="single" w:sz="8" w:space="0" w:color="BFBFBF"/>
            </w:tcBorders>
            <w:shd w:val="clear" w:color="auto" w:fill="auto"/>
            <w:vAlign w:val="center"/>
            <w:hideMark/>
          </w:tcPr>
          <w:p w:rsidR="00665097" w:rsidRPr="00777AB4" w:rsidRDefault="00777AB4" w:rsidP="00AA5E58">
            <w:pPr>
              <w:widowControl w:val="0"/>
              <w:spacing w:line="240" w:lineRule="exact"/>
              <w:ind w:right="170"/>
              <w:jc w:val="right"/>
              <w:rPr>
                <w:rFonts w:cs="Arial"/>
                <w:color w:val="000000"/>
                <w:sz w:val="16"/>
                <w:szCs w:val="16"/>
              </w:rPr>
            </w:pPr>
            <w:r w:rsidRPr="00777AB4">
              <w:rPr>
                <w:rFonts w:cs="Arial"/>
                <w:color w:val="000000"/>
                <w:sz w:val="16"/>
                <w:szCs w:val="16"/>
              </w:rPr>
              <w:t>52.869</w:t>
            </w:r>
          </w:p>
        </w:tc>
        <w:tc>
          <w:tcPr>
            <w:tcW w:w="989" w:type="pct"/>
            <w:tcBorders>
              <w:top w:val="nil"/>
              <w:left w:val="nil"/>
              <w:bottom w:val="nil"/>
              <w:right w:val="nil"/>
            </w:tcBorders>
            <w:shd w:val="clear" w:color="auto" w:fill="auto"/>
            <w:vAlign w:val="center"/>
            <w:hideMark/>
          </w:tcPr>
          <w:p w:rsidR="00665097" w:rsidRPr="00626E8F" w:rsidRDefault="00626E8F" w:rsidP="00AA5E58">
            <w:pPr>
              <w:widowControl w:val="0"/>
              <w:spacing w:line="240" w:lineRule="exact"/>
              <w:ind w:right="170"/>
              <w:jc w:val="right"/>
              <w:rPr>
                <w:rFonts w:cs="Arial"/>
                <w:color w:val="000000"/>
                <w:sz w:val="16"/>
                <w:szCs w:val="16"/>
              </w:rPr>
            </w:pPr>
            <w:r w:rsidRPr="00626E8F">
              <w:rPr>
                <w:rFonts w:cs="Arial"/>
                <w:color w:val="000000"/>
                <w:sz w:val="16"/>
                <w:szCs w:val="16"/>
              </w:rPr>
              <w:t>49.848</w:t>
            </w:r>
          </w:p>
        </w:tc>
      </w:tr>
      <w:tr w:rsidR="00996F20" w:rsidRPr="00626E8F" w:rsidTr="00D122F5">
        <w:trPr>
          <w:trHeight w:val="233"/>
          <w:jc w:val="center"/>
        </w:trPr>
        <w:tc>
          <w:tcPr>
            <w:tcW w:w="1043" w:type="pct"/>
            <w:tcBorders>
              <w:top w:val="nil"/>
              <w:left w:val="nil"/>
              <w:bottom w:val="nil"/>
              <w:right w:val="single" w:sz="8" w:space="0" w:color="BFBFBF"/>
            </w:tcBorders>
            <w:shd w:val="clear" w:color="auto" w:fill="auto"/>
            <w:vAlign w:val="center"/>
            <w:hideMark/>
          </w:tcPr>
          <w:p w:rsidR="00996F20" w:rsidRPr="00930BC0" w:rsidRDefault="00AA5E58" w:rsidP="00996F20">
            <w:pPr>
              <w:widowControl w:val="0"/>
              <w:spacing w:line="240" w:lineRule="exact"/>
              <w:rPr>
                <w:rFonts w:cs="Arial"/>
                <w:color w:val="000000"/>
                <w:sz w:val="16"/>
                <w:szCs w:val="16"/>
                <w:lang w:val="en-GB"/>
              </w:rPr>
            </w:pPr>
            <w:r w:rsidRPr="00930BC0">
              <w:rPr>
                <w:rFonts w:cs="Arial"/>
                <w:color w:val="000000"/>
                <w:sz w:val="16"/>
                <w:szCs w:val="16"/>
                <w:lang w:val="en-GB"/>
              </w:rPr>
              <w:t>S.A.L.es</w:t>
            </w:r>
          </w:p>
        </w:tc>
        <w:tc>
          <w:tcPr>
            <w:tcW w:w="989" w:type="pct"/>
            <w:tcBorders>
              <w:top w:val="nil"/>
              <w:left w:val="nil"/>
              <w:bottom w:val="nil"/>
              <w:right w:val="single" w:sz="8" w:space="0" w:color="BFBFBF"/>
            </w:tcBorders>
            <w:shd w:val="clear" w:color="auto" w:fill="auto"/>
            <w:vAlign w:val="center"/>
            <w:hideMark/>
          </w:tcPr>
          <w:p w:rsidR="00996F20" w:rsidRPr="00A31669" w:rsidRDefault="00996F20" w:rsidP="00AA5E58">
            <w:pPr>
              <w:widowControl w:val="0"/>
              <w:spacing w:line="240" w:lineRule="exact"/>
              <w:ind w:right="170"/>
              <w:jc w:val="right"/>
              <w:rPr>
                <w:rFonts w:cs="Arial"/>
                <w:color w:val="000000"/>
                <w:sz w:val="16"/>
                <w:szCs w:val="16"/>
              </w:rPr>
            </w:pPr>
            <w:r w:rsidRPr="00A31669">
              <w:rPr>
                <w:rFonts w:cs="Arial"/>
                <w:color w:val="000000"/>
                <w:sz w:val="16"/>
                <w:szCs w:val="16"/>
              </w:rPr>
              <w:t>41.690</w:t>
            </w:r>
          </w:p>
        </w:tc>
        <w:tc>
          <w:tcPr>
            <w:tcW w:w="989" w:type="pct"/>
            <w:tcBorders>
              <w:top w:val="nil"/>
              <w:left w:val="nil"/>
              <w:bottom w:val="nil"/>
              <w:right w:val="single" w:sz="8" w:space="0" w:color="BFBFBF"/>
            </w:tcBorders>
            <w:shd w:val="clear" w:color="auto" w:fill="auto"/>
            <w:vAlign w:val="center"/>
            <w:hideMark/>
          </w:tcPr>
          <w:p w:rsidR="00996F20" w:rsidRPr="00777AB4" w:rsidRDefault="00996F20" w:rsidP="00AA5E58">
            <w:pPr>
              <w:widowControl w:val="0"/>
              <w:spacing w:line="240" w:lineRule="exact"/>
              <w:ind w:right="170"/>
              <w:jc w:val="right"/>
              <w:rPr>
                <w:rFonts w:cs="Arial"/>
                <w:color w:val="000000"/>
                <w:sz w:val="16"/>
                <w:szCs w:val="16"/>
              </w:rPr>
            </w:pPr>
            <w:r w:rsidRPr="00777AB4">
              <w:rPr>
                <w:rFonts w:cs="Arial"/>
                <w:color w:val="000000"/>
                <w:sz w:val="16"/>
                <w:szCs w:val="16"/>
              </w:rPr>
              <w:t>43.133</w:t>
            </w:r>
          </w:p>
        </w:tc>
        <w:tc>
          <w:tcPr>
            <w:tcW w:w="989" w:type="pct"/>
            <w:tcBorders>
              <w:top w:val="nil"/>
              <w:left w:val="nil"/>
              <w:bottom w:val="nil"/>
              <w:right w:val="single" w:sz="8" w:space="0" w:color="BFBFBF"/>
            </w:tcBorders>
            <w:shd w:val="clear" w:color="auto" w:fill="auto"/>
            <w:vAlign w:val="center"/>
            <w:hideMark/>
          </w:tcPr>
          <w:p w:rsidR="00996F20" w:rsidRPr="00777AB4" w:rsidRDefault="00996F20" w:rsidP="00AA5E58">
            <w:pPr>
              <w:widowControl w:val="0"/>
              <w:spacing w:line="240" w:lineRule="exact"/>
              <w:ind w:right="170"/>
              <w:jc w:val="right"/>
              <w:rPr>
                <w:rFonts w:cs="Arial"/>
                <w:color w:val="000000"/>
                <w:sz w:val="16"/>
                <w:szCs w:val="16"/>
              </w:rPr>
            </w:pPr>
            <w:r w:rsidRPr="00777AB4">
              <w:rPr>
                <w:rFonts w:cs="Arial"/>
                <w:color w:val="000000"/>
                <w:sz w:val="16"/>
                <w:szCs w:val="16"/>
              </w:rPr>
              <w:t>40.991</w:t>
            </w:r>
          </w:p>
        </w:tc>
        <w:tc>
          <w:tcPr>
            <w:tcW w:w="989" w:type="pct"/>
            <w:tcBorders>
              <w:top w:val="nil"/>
              <w:left w:val="nil"/>
              <w:right w:val="nil"/>
            </w:tcBorders>
            <w:shd w:val="clear" w:color="auto" w:fill="auto"/>
            <w:vAlign w:val="center"/>
            <w:hideMark/>
          </w:tcPr>
          <w:p w:rsidR="00996F20" w:rsidRPr="00626E8F" w:rsidRDefault="00996F20" w:rsidP="00AA5E58">
            <w:pPr>
              <w:widowControl w:val="0"/>
              <w:spacing w:line="240" w:lineRule="exact"/>
              <w:ind w:right="170"/>
              <w:jc w:val="right"/>
              <w:rPr>
                <w:rFonts w:cs="Arial"/>
                <w:color w:val="000000"/>
                <w:sz w:val="16"/>
                <w:szCs w:val="16"/>
              </w:rPr>
            </w:pPr>
            <w:r w:rsidRPr="00626E8F">
              <w:rPr>
                <w:rFonts w:cs="Arial"/>
                <w:color w:val="000000"/>
                <w:sz w:val="16"/>
                <w:szCs w:val="16"/>
              </w:rPr>
              <w:t>42.066</w:t>
            </w:r>
          </w:p>
        </w:tc>
      </w:tr>
      <w:tr w:rsidR="00AA5E58" w:rsidRPr="00626E8F" w:rsidTr="00D122F5">
        <w:trPr>
          <w:trHeight w:val="233"/>
          <w:jc w:val="center"/>
        </w:trPr>
        <w:tc>
          <w:tcPr>
            <w:tcW w:w="1043" w:type="pct"/>
            <w:tcBorders>
              <w:top w:val="nil"/>
              <w:left w:val="nil"/>
              <w:bottom w:val="nil"/>
              <w:right w:val="single" w:sz="8" w:space="0" w:color="BFBFBF"/>
            </w:tcBorders>
            <w:shd w:val="clear" w:color="auto" w:fill="auto"/>
            <w:vAlign w:val="center"/>
            <w:hideMark/>
          </w:tcPr>
          <w:p w:rsidR="00AA5E58" w:rsidRPr="00930BC0" w:rsidRDefault="00AA5E58" w:rsidP="001E5608">
            <w:pPr>
              <w:widowControl w:val="0"/>
              <w:spacing w:line="240" w:lineRule="exact"/>
              <w:rPr>
                <w:rFonts w:cs="Arial"/>
                <w:color w:val="000000"/>
                <w:sz w:val="16"/>
                <w:szCs w:val="16"/>
              </w:rPr>
            </w:pPr>
            <w:r w:rsidRPr="00930BC0">
              <w:rPr>
                <w:rFonts w:cs="Arial"/>
                <w:color w:val="000000"/>
                <w:sz w:val="16"/>
                <w:szCs w:val="16"/>
                <w:lang w:val="en-GB"/>
              </w:rPr>
              <w:t>S.L.L.es</w:t>
            </w:r>
          </w:p>
        </w:tc>
        <w:tc>
          <w:tcPr>
            <w:tcW w:w="989" w:type="pct"/>
            <w:tcBorders>
              <w:top w:val="nil"/>
              <w:left w:val="nil"/>
              <w:bottom w:val="nil"/>
              <w:right w:val="single" w:sz="8" w:space="0" w:color="BFBFBF"/>
            </w:tcBorders>
            <w:shd w:val="clear" w:color="auto" w:fill="auto"/>
            <w:vAlign w:val="center"/>
            <w:hideMark/>
          </w:tcPr>
          <w:p w:rsidR="00AA5E58" w:rsidRPr="00A31669" w:rsidRDefault="00AA5E58" w:rsidP="00AA5E58">
            <w:pPr>
              <w:widowControl w:val="0"/>
              <w:spacing w:line="240" w:lineRule="exact"/>
              <w:ind w:right="170"/>
              <w:jc w:val="right"/>
              <w:rPr>
                <w:rFonts w:cs="Arial"/>
                <w:color w:val="000000"/>
                <w:sz w:val="16"/>
                <w:szCs w:val="16"/>
              </w:rPr>
            </w:pPr>
            <w:r w:rsidRPr="00A31669">
              <w:rPr>
                <w:rFonts w:cs="Arial"/>
                <w:color w:val="000000"/>
                <w:sz w:val="16"/>
                <w:szCs w:val="16"/>
              </w:rPr>
              <w:t>24.245</w:t>
            </w:r>
          </w:p>
        </w:tc>
        <w:tc>
          <w:tcPr>
            <w:tcW w:w="989" w:type="pct"/>
            <w:tcBorders>
              <w:top w:val="nil"/>
              <w:left w:val="nil"/>
              <w:bottom w:val="nil"/>
              <w:right w:val="single" w:sz="8" w:space="0" w:color="BFBFBF"/>
            </w:tcBorders>
            <w:shd w:val="clear" w:color="auto" w:fill="auto"/>
            <w:vAlign w:val="center"/>
            <w:hideMark/>
          </w:tcPr>
          <w:p w:rsidR="00AA5E58" w:rsidRPr="00777AB4" w:rsidRDefault="00AA5E58" w:rsidP="00AA5E58">
            <w:pPr>
              <w:widowControl w:val="0"/>
              <w:spacing w:line="240" w:lineRule="exact"/>
              <w:ind w:right="170"/>
              <w:jc w:val="right"/>
              <w:rPr>
                <w:rFonts w:cs="Arial"/>
                <w:color w:val="000000"/>
                <w:sz w:val="16"/>
                <w:szCs w:val="16"/>
              </w:rPr>
            </w:pPr>
            <w:r w:rsidRPr="00777AB4">
              <w:rPr>
                <w:rFonts w:cs="Arial"/>
                <w:color w:val="000000"/>
                <w:sz w:val="16"/>
                <w:szCs w:val="16"/>
              </w:rPr>
              <w:t>33.158</w:t>
            </w:r>
          </w:p>
        </w:tc>
        <w:tc>
          <w:tcPr>
            <w:tcW w:w="989" w:type="pct"/>
            <w:tcBorders>
              <w:top w:val="nil"/>
              <w:left w:val="nil"/>
              <w:bottom w:val="nil"/>
              <w:right w:val="single" w:sz="8" w:space="0" w:color="BFBFBF"/>
            </w:tcBorders>
            <w:shd w:val="clear" w:color="auto" w:fill="auto"/>
            <w:vAlign w:val="center"/>
            <w:hideMark/>
          </w:tcPr>
          <w:p w:rsidR="00AA5E58" w:rsidRPr="00777AB4" w:rsidRDefault="00AA5E58" w:rsidP="00AA5E58">
            <w:pPr>
              <w:widowControl w:val="0"/>
              <w:spacing w:line="240" w:lineRule="exact"/>
              <w:ind w:right="170"/>
              <w:jc w:val="right"/>
              <w:rPr>
                <w:rFonts w:cs="Arial"/>
                <w:color w:val="000000"/>
                <w:sz w:val="16"/>
                <w:szCs w:val="16"/>
              </w:rPr>
            </w:pPr>
            <w:r w:rsidRPr="00777AB4">
              <w:rPr>
                <w:rFonts w:cs="Arial"/>
                <w:color w:val="000000"/>
                <w:sz w:val="16"/>
                <w:szCs w:val="16"/>
              </w:rPr>
              <w:t>28.332</w:t>
            </w:r>
          </w:p>
        </w:tc>
        <w:tc>
          <w:tcPr>
            <w:tcW w:w="989" w:type="pct"/>
            <w:tcBorders>
              <w:top w:val="nil"/>
              <w:left w:val="nil"/>
              <w:right w:val="nil"/>
            </w:tcBorders>
            <w:shd w:val="clear" w:color="auto" w:fill="auto"/>
            <w:vAlign w:val="center"/>
            <w:hideMark/>
          </w:tcPr>
          <w:p w:rsidR="00AA5E58" w:rsidRPr="00930BC0" w:rsidRDefault="00AA5E58" w:rsidP="00AA5E58">
            <w:pPr>
              <w:widowControl w:val="0"/>
              <w:spacing w:line="240" w:lineRule="exact"/>
              <w:ind w:right="170"/>
              <w:jc w:val="right"/>
              <w:rPr>
                <w:rFonts w:cs="Arial"/>
                <w:color w:val="000000"/>
                <w:sz w:val="16"/>
                <w:szCs w:val="16"/>
              </w:rPr>
            </w:pPr>
            <w:r w:rsidRPr="00626E8F">
              <w:rPr>
                <w:rFonts w:cs="Arial"/>
                <w:color w:val="000000"/>
                <w:sz w:val="16"/>
                <w:szCs w:val="16"/>
              </w:rPr>
              <w:t>30.035</w:t>
            </w:r>
          </w:p>
        </w:tc>
      </w:tr>
      <w:tr w:rsidR="00AA5E58" w:rsidRPr="00955A80" w:rsidTr="00D122F5">
        <w:trPr>
          <w:jc w:val="center"/>
        </w:trPr>
        <w:tc>
          <w:tcPr>
            <w:tcW w:w="1043" w:type="pct"/>
            <w:tcBorders>
              <w:top w:val="single" w:sz="4" w:space="0" w:color="BFBFBF" w:themeColor="background1" w:themeShade="BF"/>
              <w:left w:val="nil"/>
              <w:bottom w:val="single" w:sz="8" w:space="0" w:color="BFBFBF"/>
              <w:right w:val="single" w:sz="8" w:space="0" w:color="BFBFBF"/>
            </w:tcBorders>
            <w:shd w:val="clear" w:color="auto" w:fill="auto"/>
            <w:vAlign w:val="center"/>
          </w:tcPr>
          <w:p w:rsidR="00AA5E58" w:rsidRPr="00930BC0" w:rsidRDefault="00AA5E58" w:rsidP="00996F20">
            <w:pPr>
              <w:widowControl w:val="0"/>
              <w:spacing w:line="240" w:lineRule="exact"/>
              <w:rPr>
                <w:rFonts w:cs="Arial"/>
                <w:b/>
                <w:bCs/>
                <w:color w:val="000000"/>
                <w:sz w:val="16"/>
                <w:szCs w:val="16"/>
              </w:rPr>
            </w:pPr>
            <w:r w:rsidRPr="00930BC0">
              <w:rPr>
                <w:rFonts w:cs="Arial"/>
                <w:b/>
                <w:bCs/>
                <w:color w:val="000000"/>
                <w:sz w:val="16"/>
                <w:szCs w:val="16"/>
              </w:rPr>
              <w:t>TOTAL</w:t>
            </w:r>
          </w:p>
        </w:tc>
        <w:tc>
          <w:tcPr>
            <w:tcW w:w="989" w:type="pct"/>
            <w:tcBorders>
              <w:top w:val="single" w:sz="4" w:space="0" w:color="BFBFBF" w:themeColor="background1" w:themeShade="BF"/>
              <w:left w:val="nil"/>
              <w:bottom w:val="single" w:sz="8" w:space="0" w:color="BFBFBF"/>
              <w:right w:val="single" w:sz="8" w:space="0" w:color="BFBFBF"/>
            </w:tcBorders>
            <w:shd w:val="clear" w:color="auto" w:fill="auto"/>
            <w:vAlign w:val="center"/>
          </w:tcPr>
          <w:p w:rsidR="00AA5E58" w:rsidRPr="00930BC0" w:rsidRDefault="00AA5E58" w:rsidP="00AA5E58">
            <w:pPr>
              <w:widowControl w:val="0"/>
              <w:spacing w:line="240" w:lineRule="exact"/>
              <w:ind w:right="170"/>
              <w:jc w:val="right"/>
              <w:rPr>
                <w:rFonts w:cs="Arial"/>
                <w:b/>
                <w:bCs/>
                <w:color w:val="000000"/>
                <w:sz w:val="16"/>
                <w:szCs w:val="16"/>
              </w:rPr>
            </w:pPr>
            <w:r w:rsidRPr="00A31669">
              <w:rPr>
                <w:rFonts w:cs="Arial"/>
                <w:b/>
                <w:bCs/>
                <w:color w:val="000000"/>
                <w:sz w:val="16"/>
                <w:szCs w:val="16"/>
              </w:rPr>
              <w:t>53.135</w:t>
            </w:r>
          </w:p>
        </w:tc>
        <w:tc>
          <w:tcPr>
            <w:tcW w:w="989" w:type="pct"/>
            <w:tcBorders>
              <w:top w:val="single" w:sz="4" w:space="0" w:color="BFBFBF" w:themeColor="background1" w:themeShade="BF"/>
              <w:left w:val="nil"/>
              <w:bottom w:val="single" w:sz="8" w:space="0" w:color="BFBFBF"/>
              <w:right w:val="single" w:sz="8" w:space="0" w:color="BFBFBF"/>
            </w:tcBorders>
            <w:shd w:val="clear" w:color="auto" w:fill="auto"/>
          </w:tcPr>
          <w:p w:rsidR="00AA5E58" w:rsidRPr="00A31669" w:rsidRDefault="00AA5E58" w:rsidP="00AA5E58">
            <w:pPr>
              <w:widowControl w:val="0"/>
              <w:spacing w:line="240" w:lineRule="exact"/>
              <w:ind w:right="170"/>
              <w:jc w:val="right"/>
              <w:rPr>
                <w:rFonts w:cs="Arial"/>
                <w:b/>
                <w:bCs/>
                <w:color w:val="000000"/>
                <w:sz w:val="16"/>
                <w:szCs w:val="16"/>
              </w:rPr>
            </w:pPr>
            <w:r w:rsidRPr="00A31669">
              <w:rPr>
                <w:rFonts w:cs="Arial"/>
                <w:b/>
                <w:bCs/>
                <w:color w:val="000000"/>
                <w:sz w:val="16"/>
                <w:szCs w:val="16"/>
              </w:rPr>
              <w:t>43.165</w:t>
            </w:r>
          </w:p>
        </w:tc>
        <w:tc>
          <w:tcPr>
            <w:tcW w:w="989" w:type="pct"/>
            <w:tcBorders>
              <w:top w:val="single" w:sz="4" w:space="0" w:color="BFBFBF" w:themeColor="background1" w:themeShade="BF"/>
              <w:left w:val="nil"/>
              <w:bottom w:val="single" w:sz="8" w:space="0" w:color="BFBFBF"/>
              <w:right w:val="single" w:sz="8" w:space="0" w:color="BFBFBF"/>
            </w:tcBorders>
            <w:shd w:val="clear" w:color="auto" w:fill="auto"/>
          </w:tcPr>
          <w:p w:rsidR="00AA5E58" w:rsidRPr="00A31669" w:rsidRDefault="00AA5E58" w:rsidP="00AA5E58">
            <w:pPr>
              <w:widowControl w:val="0"/>
              <w:spacing w:line="240" w:lineRule="exact"/>
              <w:ind w:right="170"/>
              <w:jc w:val="right"/>
              <w:rPr>
                <w:rFonts w:cs="Arial"/>
                <w:b/>
                <w:bCs/>
                <w:color w:val="000000"/>
                <w:sz w:val="16"/>
                <w:szCs w:val="16"/>
              </w:rPr>
            </w:pPr>
            <w:r w:rsidRPr="00A31669">
              <w:rPr>
                <w:rFonts w:cs="Arial"/>
                <w:b/>
                <w:bCs/>
                <w:color w:val="000000"/>
                <w:sz w:val="16"/>
                <w:szCs w:val="16"/>
              </w:rPr>
              <w:t>50.514</w:t>
            </w:r>
          </w:p>
        </w:tc>
        <w:tc>
          <w:tcPr>
            <w:tcW w:w="989" w:type="pct"/>
            <w:tcBorders>
              <w:top w:val="single" w:sz="4" w:space="0" w:color="BFBFBF" w:themeColor="background1" w:themeShade="BF"/>
              <w:left w:val="nil"/>
              <w:bottom w:val="single" w:sz="8" w:space="0" w:color="BFBFBF"/>
              <w:right w:val="nil"/>
            </w:tcBorders>
            <w:shd w:val="clear" w:color="auto" w:fill="auto"/>
          </w:tcPr>
          <w:p w:rsidR="00AA5E58" w:rsidRPr="00A31669" w:rsidRDefault="00AA5E58" w:rsidP="00AA5E58">
            <w:pPr>
              <w:widowControl w:val="0"/>
              <w:spacing w:line="240" w:lineRule="exact"/>
              <w:ind w:right="170"/>
              <w:jc w:val="right"/>
              <w:rPr>
                <w:rFonts w:cs="Arial"/>
                <w:b/>
                <w:bCs/>
                <w:color w:val="000000"/>
                <w:sz w:val="16"/>
                <w:szCs w:val="16"/>
              </w:rPr>
            </w:pPr>
            <w:r w:rsidRPr="00A31669">
              <w:rPr>
                <w:rFonts w:cs="Arial"/>
                <w:b/>
                <w:bCs/>
                <w:color w:val="000000"/>
                <w:sz w:val="16"/>
                <w:szCs w:val="16"/>
              </w:rPr>
              <w:t>47.912</w:t>
            </w:r>
          </w:p>
        </w:tc>
      </w:tr>
    </w:tbl>
    <w:p w:rsidR="00665097" w:rsidRDefault="00665097" w:rsidP="00BB313D">
      <w:pPr>
        <w:widowControl w:val="0"/>
        <w:spacing w:line="240" w:lineRule="auto"/>
        <w:jc w:val="center"/>
        <w:rPr>
          <w:rFonts w:cs="Arial"/>
          <w:b/>
          <w:color w:val="1F497D" w:themeColor="text2"/>
          <w:sz w:val="18"/>
          <w:szCs w:val="18"/>
        </w:rPr>
      </w:pPr>
    </w:p>
    <w:p w:rsidR="00665097" w:rsidRDefault="00665097" w:rsidP="00BB313D">
      <w:pPr>
        <w:pStyle w:val="Textoindependiente"/>
        <w:widowControl w:val="0"/>
        <w:rPr>
          <w:rFonts w:ascii="Arial" w:eastAsiaTheme="minorHAnsi" w:hAnsi="Arial" w:cs="Arial"/>
          <w:b/>
          <w:color w:val="1F497D" w:themeColor="text2"/>
          <w:sz w:val="18"/>
          <w:szCs w:val="18"/>
          <w:lang w:eastAsia="en-US"/>
        </w:rPr>
      </w:pPr>
    </w:p>
    <w:p w:rsidR="00665097" w:rsidRDefault="00665097" w:rsidP="00BB313D">
      <w:pPr>
        <w:pStyle w:val="Textoindependiente"/>
        <w:widowControl w:val="0"/>
        <w:rPr>
          <w:rFonts w:ascii="Arial" w:hAnsi="Arial" w:cs="Arial"/>
          <w:sz w:val="20"/>
          <w:lang w:val="es-ES_tradnl"/>
        </w:rPr>
      </w:pPr>
    </w:p>
    <w:p w:rsidR="00665097" w:rsidRDefault="00665097" w:rsidP="00BB313D">
      <w:pPr>
        <w:pStyle w:val="Ttulo6"/>
        <w:keepNext w:val="0"/>
        <w:widowControl w:val="0"/>
        <w:spacing w:line="240" w:lineRule="auto"/>
        <w:jc w:val="center"/>
        <w:rPr>
          <w:rFonts w:ascii="Arial" w:hAnsi="Arial" w:cs="Arial"/>
          <w:sz w:val="2"/>
          <w:szCs w:val="2"/>
        </w:rPr>
      </w:pPr>
    </w:p>
    <w:p w:rsidR="007F1968" w:rsidRDefault="00665097" w:rsidP="00BB313D">
      <w:pPr>
        <w:pStyle w:val="Ttulo1"/>
        <w:keepNext w:val="0"/>
        <w:ind w:left="708" w:hanging="708"/>
        <w:rPr>
          <w:rFonts w:cs="Arial"/>
          <w:b w:val="0"/>
          <w:color w:val="000080"/>
          <w:sz w:val="24"/>
          <w:szCs w:val="24"/>
        </w:rPr>
      </w:pPr>
      <w:r>
        <w:rPr>
          <w:rFonts w:cs="Arial"/>
          <w:b w:val="0"/>
          <w:color w:val="000080"/>
          <w:sz w:val="24"/>
          <w:szCs w:val="24"/>
        </w:rPr>
        <w:br w:type="page"/>
      </w:r>
    </w:p>
    <w:p w:rsidR="00665097" w:rsidRPr="007F1968" w:rsidRDefault="00665097" w:rsidP="00BB313D">
      <w:pPr>
        <w:pStyle w:val="Ttulo1"/>
        <w:keepNext w:val="0"/>
        <w:ind w:left="708" w:hanging="708"/>
        <w:rPr>
          <w:color w:val="1F497D" w:themeColor="text2"/>
          <w:sz w:val="26"/>
          <w:szCs w:val="26"/>
        </w:rPr>
      </w:pPr>
      <w:bookmarkStart w:id="177" w:name="_Toc391999520"/>
      <w:bookmarkStart w:id="178" w:name="_Toc450118913"/>
      <w:r w:rsidRPr="007F1968">
        <w:rPr>
          <w:color w:val="1F497D" w:themeColor="text2"/>
          <w:sz w:val="26"/>
          <w:szCs w:val="26"/>
        </w:rPr>
        <w:lastRenderedPageBreak/>
        <w:t>4.-</w:t>
      </w:r>
      <w:r w:rsidRPr="007F1968">
        <w:rPr>
          <w:color w:val="1F497D" w:themeColor="text2"/>
          <w:sz w:val="26"/>
          <w:szCs w:val="26"/>
        </w:rPr>
        <w:tab/>
        <w:t>EXPORTACIONES DE LA ECONOMÍA SOCIAL</w:t>
      </w:r>
      <w:bookmarkEnd w:id="177"/>
      <w:bookmarkEnd w:id="178"/>
    </w:p>
    <w:p w:rsidR="00665097" w:rsidRDefault="00665097" w:rsidP="00BB313D">
      <w:pPr>
        <w:widowControl w:val="0"/>
        <w:rPr>
          <w:lang w:val="es-ES_tradnl"/>
        </w:rPr>
      </w:pPr>
    </w:p>
    <w:p w:rsidR="00A6385B" w:rsidRPr="00FC5187" w:rsidRDefault="00A6385B" w:rsidP="00BB313D">
      <w:pPr>
        <w:widowControl w:val="0"/>
        <w:rPr>
          <w:lang w:val="es-ES_tradnl"/>
        </w:rPr>
      </w:pPr>
    </w:p>
    <w:p w:rsidR="00665097" w:rsidRPr="00DE1512" w:rsidRDefault="00DE1512" w:rsidP="00BB313D">
      <w:pPr>
        <w:pStyle w:val="Textoindependiente"/>
        <w:widowControl w:val="0"/>
        <w:jc w:val="center"/>
        <w:rPr>
          <w:rFonts w:ascii="Arial" w:eastAsiaTheme="minorHAnsi" w:hAnsi="Arial" w:cs="Arial"/>
          <w:b/>
          <w:color w:val="1F497D" w:themeColor="text2"/>
          <w:sz w:val="18"/>
          <w:szCs w:val="18"/>
          <w:lang w:eastAsia="en-US"/>
        </w:rPr>
      </w:pPr>
      <w:bookmarkStart w:id="179" w:name="_Toc391999661"/>
      <w:bookmarkStart w:id="180" w:name="_Toc450120002"/>
      <w:r w:rsidRPr="00DE1512">
        <w:rPr>
          <w:rFonts w:ascii="Arial" w:eastAsiaTheme="minorHAnsi" w:hAnsi="Arial" w:cs="Arial"/>
          <w:b/>
          <w:color w:val="1F497D" w:themeColor="text2"/>
          <w:sz w:val="18"/>
          <w:szCs w:val="18"/>
          <w:lang w:eastAsia="en-US"/>
        </w:rPr>
        <w:t>Gráfico 1.</w:t>
      </w:r>
      <w:r w:rsidR="00771A61" w:rsidRPr="00DE1512">
        <w:rPr>
          <w:rFonts w:ascii="Arial" w:eastAsiaTheme="minorHAnsi" w:hAnsi="Arial" w:cs="Arial"/>
          <w:b/>
          <w:color w:val="1F497D" w:themeColor="text2"/>
          <w:sz w:val="18"/>
          <w:szCs w:val="18"/>
          <w:lang w:eastAsia="en-US"/>
        </w:rPr>
        <w:fldChar w:fldCharType="begin"/>
      </w:r>
      <w:r w:rsidRPr="00DE1512">
        <w:rPr>
          <w:rFonts w:ascii="Arial" w:eastAsiaTheme="minorHAnsi" w:hAnsi="Arial" w:cs="Arial"/>
          <w:b/>
          <w:color w:val="1F497D" w:themeColor="text2"/>
          <w:sz w:val="18"/>
          <w:szCs w:val="18"/>
          <w:lang w:eastAsia="en-US"/>
        </w:rPr>
        <w:instrText xml:space="preserve"> SEQ Gráfico_1. \* ARABIC </w:instrText>
      </w:r>
      <w:r w:rsidR="00771A61" w:rsidRPr="00DE1512">
        <w:rPr>
          <w:rFonts w:ascii="Arial" w:eastAsiaTheme="minorHAnsi" w:hAnsi="Arial" w:cs="Arial"/>
          <w:b/>
          <w:color w:val="1F497D" w:themeColor="text2"/>
          <w:sz w:val="18"/>
          <w:szCs w:val="18"/>
          <w:lang w:eastAsia="en-US"/>
        </w:rPr>
        <w:fldChar w:fldCharType="separate"/>
      </w:r>
      <w:r w:rsidR="00FC71A9">
        <w:rPr>
          <w:rFonts w:ascii="Arial" w:eastAsiaTheme="minorHAnsi" w:hAnsi="Arial" w:cs="Arial"/>
          <w:b/>
          <w:noProof/>
          <w:color w:val="1F497D" w:themeColor="text2"/>
          <w:sz w:val="18"/>
          <w:szCs w:val="18"/>
          <w:lang w:eastAsia="en-US"/>
        </w:rPr>
        <w:t>14</w:t>
      </w:r>
      <w:r w:rsidR="00771A61" w:rsidRPr="00DE1512">
        <w:rPr>
          <w:rFonts w:ascii="Arial" w:eastAsiaTheme="minorHAnsi" w:hAnsi="Arial" w:cs="Arial"/>
          <w:b/>
          <w:color w:val="1F497D" w:themeColor="text2"/>
          <w:sz w:val="18"/>
          <w:szCs w:val="18"/>
          <w:lang w:eastAsia="en-US"/>
        </w:rPr>
        <w:fldChar w:fldCharType="end"/>
      </w:r>
      <w:r>
        <w:rPr>
          <w:rFonts w:ascii="Arial" w:eastAsiaTheme="minorHAnsi" w:hAnsi="Arial" w:cs="Arial"/>
          <w:b/>
          <w:color w:val="1F497D" w:themeColor="text2"/>
          <w:sz w:val="18"/>
          <w:szCs w:val="18"/>
          <w:lang w:eastAsia="en-US"/>
        </w:rPr>
        <w:t xml:space="preserve"> </w:t>
      </w:r>
      <w:r w:rsidR="00665097" w:rsidRPr="00DE1512">
        <w:rPr>
          <w:rFonts w:ascii="Arial" w:eastAsiaTheme="minorHAnsi" w:hAnsi="Arial" w:cs="Arial"/>
          <w:b/>
          <w:color w:val="1F497D" w:themeColor="text2"/>
          <w:sz w:val="18"/>
          <w:szCs w:val="18"/>
          <w:lang w:eastAsia="en-US"/>
        </w:rPr>
        <w:t>EVOLUCIÓN DEL GRADO DE APERTURA A LOS MERCADOS EXTERIORES (volumen de exportaciones sobre facturación total). 1994-201</w:t>
      </w:r>
      <w:bookmarkEnd w:id="179"/>
      <w:r w:rsidR="00624BDD" w:rsidRPr="00DE1512">
        <w:rPr>
          <w:rFonts w:ascii="Arial" w:eastAsiaTheme="minorHAnsi" w:hAnsi="Arial" w:cs="Arial"/>
          <w:b/>
          <w:color w:val="1F497D" w:themeColor="text2"/>
          <w:sz w:val="18"/>
          <w:szCs w:val="18"/>
          <w:lang w:eastAsia="en-US"/>
        </w:rPr>
        <w:t>4</w:t>
      </w:r>
      <w:bookmarkEnd w:id="180"/>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Default="00E968C7" w:rsidP="00BB313D">
      <w:pPr>
        <w:pStyle w:val="Textoindependiente"/>
        <w:widowControl w:val="0"/>
        <w:spacing w:line="312" w:lineRule="auto"/>
        <w:jc w:val="center"/>
        <w:rPr>
          <w:rFonts w:ascii="Arial" w:hAnsi="Arial" w:cs="Arial"/>
          <w:b/>
          <w:color w:val="1F497D" w:themeColor="text2"/>
          <w:sz w:val="18"/>
          <w:szCs w:val="18"/>
          <w:lang w:val="es-ES_tradnl"/>
        </w:rPr>
      </w:pPr>
      <w:r>
        <w:rPr>
          <w:rFonts w:ascii="Arial" w:hAnsi="Arial" w:cs="Arial"/>
          <w:b/>
          <w:noProof/>
          <w:color w:val="1F497D" w:themeColor="text2"/>
          <w:sz w:val="18"/>
          <w:szCs w:val="18"/>
        </w:rPr>
        <w:drawing>
          <wp:anchor distT="0" distB="0" distL="114300" distR="114300" simplePos="0" relativeHeight="251768832" behindDoc="0" locked="0" layoutInCell="1" allowOverlap="1">
            <wp:simplePos x="0" y="0"/>
            <wp:positionH relativeFrom="column">
              <wp:posOffset>-43815</wp:posOffset>
            </wp:positionH>
            <wp:positionV relativeFrom="paragraph">
              <wp:posOffset>7620</wp:posOffset>
            </wp:positionV>
            <wp:extent cx="5553075" cy="1828800"/>
            <wp:effectExtent l="0" t="0" r="0" b="0"/>
            <wp:wrapNone/>
            <wp:docPr id="20"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Pr="00FC518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Default="00665097" w:rsidP="00BB313D">
      <w:pPr>
        <w:pStyle w:val="Textoindependiente"/>
        <w:widowControl w:val="0"/>
        <w:spacing w:line="312" w:lineRule="auto"/>
        <w:rPr>
          <w:rFonts w:ascii="Tahoma" w:hAnsi="Tahoma" w:cs="Arial"/>
          <w:b/>
          <w:i/>
          <w:sz w:val="16"/>
          <w:szCs w:val="16"/>
          <w:lang w:val="es-ES_tradnl"/>
        </w:rPr>
      </w:pPr>
    </w:p>
    <w:p w:rsidR="00665097" w:rsidRDefault="00665097" w:rsidP="00BB313D">
      <w:pPr>
        <w:pStyle w:val="Textoindependiente"/>
        <w:widowControl w:val="0"/>
        <w:spacing w:line="312" w:lineRule="auto"/>
        <w:rPr>
          <w:rFonts w:ascii="Tahoma" w:hAnsi="Tahoma" w:cs="Arial"/>
          <w:b/>
          <w:i/>
          <w:sz w:val="16"/>
          <w:szCs w:val="16"/>
          <w:lang w:val="es-ES_tradnl"/>
        </w:rPr>
      </w:pPr>
    </w:p>
    <w:p w:rsidR="00665097" w:rsidRDefault="00665097" w:rsidP="00BB313D">
      <w:pPr>
        <w:widowControl w:val="0"/>
        <w:rPr>
          <w:lang w:val="es-ES_tradnl"/>
        </w:rPr>
      </w:pPr>
    </w:p>
    <w:p w:rsidR="00A6385B" w:rsidRDefault="00A6385B" w:rsidP="00BB313D">
      <w:pPr>
        <w:widowControl w:val="0"/>
        <w:rPr>
          <w:lang w:val="es-ES_tradnl"/>
        </w:rPr>
      </w:pPr>
    </w:p>
    <w:p w:rsidR="00A6385B" w:rsidRPr="00204766" w:rsidRDefault="00A6385B" w:rsidP="00BB313D">
      <w:pPr>
        <w:widowControl w:val="0"/>
        <w:rPr>
          <w:lang w:val="es-ES_tradnl"/>
        </w:rPr>
      </w:pPr>
    </w:p>
    <w:p w:rsidR="00665097" w:rsidRPr="00204766" w:rsidRDefault="00DE1512" w:rsidP="00BB313D">
      <w:pPr>
        <w:widowControl w:val="0"/>
        <w:spacing w:line="240" w:lineRule="auto"/>
        <w:jc w:val="center"/>
        <w:rPr>
          <w:rFonts w:cs="Arial"/>
          <w:b/>
          <w:color w:val="1F497D" w:themeColor="text2"/>
          <w:sz w:val="18"/>
          <w:szCs w:val="18"/>
          <w:lang w:val="es-ES_tradnl"/>
        </w:rPr>
      </w:pPr>
      <w:bookmarkStart w:id="181" w:name="_Toc391999662"/>
      <w:bookmarkStart w:id="182" w:name="_Toc450120003"/>
      <w:r w:rsidRPr="00DE1512">
        <w:rPr>
          <w:rFonts w:cs="Arial"/>
          <w:b/>
          <w:color w:val="1F497D" w:themeColor="text2"/>
          <w:sz w:val="18"/>
          <w:szCs w:val="18"/>
        </w:rPr>
        <w:t>Gráfico 1.</w:t>
      </w:r>
      <w:r w:rsidR="00771A61" w:rsidRPr="00DE1512">
        <w:rPr>
          <w:rFonts w:cs="Arial"/>
          <w:b/>
          <w:color w:val="1F497D" w:themeColor="text2"/>
          <w:sz w:val="18"/>
          <w:szCs w:val="18"/>
        </w:rPr>
        <w:fldChar w:fldCharType="begin"/>
      </w:r>
      <w:r w:rsidRPr="00DE1512">
        <w:rPr>
          <w:rFonts w:cs="Arial"/>
          <w:b/>
          <w:color w:val="1F497D" w:themeColor="text2"/>
          <w:sz w:val="18"/>
          <w:szCs w:val="18"/>
        </w:rPr>
        <w:instrText xml:space="preserve"> SEQ Gráfico_1. \* ARABIC </w:instrText>
      </w:r>
      <w:r w:rsidR="00771A61" w:rsidRPr="00DE1512">
        <w:rPr>
          <w:rFonts w:cs="Arial"/>
          <w:b/>
          <w:color w:val="1F497D" w:themeColor="text2"/>
          <w:sz w:val="18"/>
          <w:szCs w:val="18"/>
        </w:rPr>
        <w:fldChar w:fldCharType="separate"/>
      </w:r>
      <w:r w:rsidR="00FC71A9">
        <w:rPr>
          <w:rFonts w:cs="Arial"/>
          <w:b/>
          <w:noProof/>
          <w:color w:val="1F497D" w:themeColor="text2"/>
          <w:sz w:val="18"/>
          <w:szCs w:val="18"/>
        </w:rPr>
        <w:t>15</w:t>
      </w:r>
      <w:r w:rsidR="00771A61" w:rsidRPr="00DE1512">
        <w:rPr>
          <w:rFonts w:cs="Arial"/>
          <w:b/>
          <w:color w:val="1F497D" w:themeColor="text2"/>
          <w:sz w:val="18"/>
          <w:szCs w:val="18"/>
        </w:rPr>
        <w:fldChar w:fldCharType="end"/>
      </w:r>
      <w:r w:rsidR="00D10020" w:rsidRPr="00851DBC">
        <w:rPr>
          <w:rFonts w:cs="Arial"/>
          <w:b/>
          <w:color w:val="1F497D" w:themeColor="text2"/>
          <w:sz w:val="18"/>
          <w:szCs w:val="18"/>
        </w:rPr>
        <w:t xml:space="preserve"> </w:t>
      </w:r>
      <w:r w:rsidR="00665097" w:rsidRPr="00851DBC">
        <w:rPr>
          <w:rFonts w:cs="Arial"/>
          <w:b/>
          <w:color w:val="1F497D" w:themeColor="text2"/>
          <w:sz w:val="18"/>
          <w:szCs w:val="18"/>
          <w:lang w:val="es-ES_tradnl"/>
        </w:rPr>
        <w:t>EVOLUCIÓN DEL PESO RELATIVO DE LAS EXPORTACIONES SOBRE LA FACTURACIÓN TOTAL EN LAS EMPRESAS EXPORTADORAS. 2004 - 201</w:t>
      </w:r>
      <w:bookmarkEnd w:id="181"/>
      <w:r w:rsidR="00851DBC" w:rsidRPr="00851DBC">
        <w:rPr>
          <w:rFonts w:cs="Arial"/>
          <w:b/>
          <w:color w:val="1F497D" w:themeColor="text2"/>
          <w:sz w:val="18"/>
          <w:szCs w:val="18"/>
          <w:lang w:val="es-ES_tradnl"/>
        </w:rPr>
        <w:t>4</w:t>
      </w:r>
      <w:bookmarkEnd w:id="182"/>
    </w:p>
    <w:p w:rsidR="00665097" w:rsidRDefault="00E968C7" w:rsidP="00BB313D">
      <w:pPr>
        <w:widowControl w:val="0"/>
        <w:rPr>
          <w:rFonts w:cs="Arial"/>
          <w:lang w:val="es-ES_tradnl"/>
        </w:rPr>
      </w:pPr>
      <w:r w:rsidRPr="00E968C7">
        <w:rPr>
          <w:rFonts w:cs="Arial"/>
          <w:noProof/>
          <w:lang w:eastAsia="es-ES"/>
        </w:rPr>
        <w:drawing>
          <wp:anchor distT="0" distB="0" distL="114300" distR="114300" simplePos="0" relativeHeight="251770880" behindDoc="0" locked="0" layoutInCell="1" allowOverlap="1">
            <wp:simplePos x="0" y="0"/>
            <wp:positionH relativeFrom="column">
              <wp:posOffset>118110</wp:posOffset>
            </wp:positionH>
            <wp:positionV relativeFrom="paragraph">
              <wp:posOffset>106680</wp:posOffset>
            </wp:positionV>
            <wp:extent cx="5505450" cy="1419225"/>
            <wp:effectExtent l="0" t="0" r="0" b="0"/>
            <wp:wrapNone/>
            <wp:docPr id="22"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665097" w:rsidRDefault="00665097" w:rsidP="00BB313D">
      <w:pPr>
        <w:widowControl w:val="0"/>
        <w:rPr>
          <w:rFonts w:cs="Arial"/>
          <w:lang w:val="es-ES_tradnl"/>
        </w:rPr>
      </w:pPr>
    </w:p>
    <w:p w:rsidR="00665097" w:rsidRDefault="00665097" w:rsidP="00BB313D">
      <w:pPr>
        <w:widowControl w:val="0"/>
        <w:rPr>
          <w:rFonts w:cs="Arial"/>
          <w:lang w:val="es-ES_tradnl"/>
        </w:rPr>
      </w:pPr>
    </w:p>
    <w:p w:rsidR="00665097" w:rsidRDefault="00665097" w:rsidP="00BB313D">
      <w:pPr>
        <w:widowControl w:val="0"/>
        <w:rPr>
          <w:rFonts w:cs="Arial"/>
          <w:lang w:val="es-ES_tradnl"/>
        </w:rPr>
      </w:pPr>
    </w:p>
    <w:p w:rsidR="00665097" w:rsidRDefault="00665097" w:rsidP="00BB313D">
      <w:pPr>
        <w:widowControl w:val="0"/>
        <w:rPr>
          <w:rFonts w:cs="Arial"/>
          <w:lang w:val="es-ES_tradnl"/>
        </w:rPr>
      </w:pPr>
    </w:p>
    <w:p w:rsidR="00665097" w:rsidRDefault="00665097" w:rsidP="00BB313D">
      <w:pPr>
        <w:widowControl w:val="0"/>
        <w:rPr>
          <w:rFonts w:cs="Arial"/>
          <w:lang w:val="es-ES_tradnl"/>
        </w:rPr>
      </w:pPr>
    </w:p>
    <w:p w:rsidR="00665097" w:rsidRDefault="00665097" w:rsidP="00BB313D">
      <w:pPr>
        <w:widowControl w:val="0"/>
        <w:rPr>
          <w:rFonts w:cs="Arial"/>
          <w:lang w:val="es-ES_tradnl"/>
        </w:rPr>
      </w:pPr>
    </w:p>
    <w:p w:rsidR="00A6385B" w:rsidRDefault="00A6385B" w:rsidP="00BB313D">
      <w:pPr>
        <w:widowControl w:val="0"/>
        <w:rPr>
          <w:rFonts w:cs="Arial"/>
        </w:rPr>
      </w:pPr>
    </w:p>
    <w:p w:rsidR="00A6385B" w:rsidRDefault="00A6385B" w:rsidP="00BB313D">
      <w:pPr>
        <w:widowControl w:val="0"/>
        <w:rPr>
          <w:rFonts w:cs="Arial"/>
        </w:rPr>
      </w:pPr>
    </w:p>
    <w:p w:rsidR="00665097" w:rsidRPr="00D10020" w:rsidRDefault="00DE1512" w:rsidP="00BB313D">
      <w:pPr>
        <w:pStyle w:val="Textoindependiente"/>
        <w:widowControl w:val="0"/>
        <w:jc w:val="center"/>
        <w:rPr>
          <w:rFonts w:ascii="Arial" w:eastAsiaTheme="minorHAnsi" w:hAnsi="Arial" w:cs="Arial"/>
          <w:b/>
          <w:color w:val="1F497D" w:themeColor="text2"/>
          <w:sz w:val="18"/>
          <w:szCs w:val="18"/>
          <w:lang w:val="es-ES_tradnl" w:eastAsia="en-US"/>
        </w:rPr>
      </w:pPr>
      <w:bookmarkStart w:id="183" w:name="_Toc391999663"/>
      <w:bookmarkStart w:id="184" w:name="_Toc450120004"/>
      <w:r w:rsidRPr="00DE1512">
        <w:rPr>
          <w:rFonts w:ascii="Arial" w:eastAsiaTheme="minorHAnsi" w:hAnsi="Arial" w:cs="Arial"/>
          <w:b/>
          <w:color w:val="1F497D" w:themeColor="text2"/>
          <w:sz w:val="18"/>
          <w:szCs w:val="18"/>
          <w:lang w:eastAsia="en-US"/>
        </w:rPr>
        <w:t>Gráfico 1.</w:t>
      </w:r>
      <w:r w:rsidR="00771A61" w:rsidRPr="00DE1512">
        <w:rPr>
          <w:rFonts w:ascii="Arial" w:eastAsiaTheme="minorHAnsi" w:hAnsi="Arial" w:cs="Arial"/>
          <w:b/>
          <w:color w:val="1F497D" w:themeColor="text2"/>
          <w:sz w:val="18"/>
          <w:szCs w:val="18"/>
          <w:lang w:eastAsia="en-US"/>
        </w:rPr>
        <w:fldChar w:fldCharType="begin"/>
      </w:r>
      <w:r w:rsidRPr="00DE1512">
        <w:rPr>
          <w:rFonts w:ascii="Arial" w:eastAsiaTheme="minorHAnsi" w:hAnsi="Arial" w:cs="Arial"/>
          <w:b/>
          <w:color w:val="1F497D" w:themeColor="text2"/>
          <w:sz w:val="18"/>
          <w:szCs w:val="18"/>
          <w:lang w:eastAsia="en-US"/>
        </w:rPr>
        <w:instrText xml:space="preserve"> SEQ Gráfico_1. \* ARABIC </w:instrText>
      </w:r>
      <w:r w:rsidR="00771A61" w:rsidRPr="00DE1512">
        <w:rPr>
          <w:rFonts w:ascii="Arial" w:eastAsiaTheme="minorHAnsi" w:hAnsi="Arial" w:cs="Arial"/>
          <w:b/>
          <w:color w:val="1F497D" w:themeColor="text2"/>
          <w:sz w:val="18"/>
          <w:szCs w:val="18"/>
          <w:lang w:eastAsia="en-US"/>
        </w:rPr>
        <w:fldChar w:fldCharType="separate"/>
      </w:r>
      <w:r w:rsidR="00FC71A9">
        <w:rPr>
          <w:rFonts w:ascii="Arial" w:eastAsiaTheme="minorHAnsi" w:hAnsi="Arial" w:cs="Arial"/>
          <w:b/>
          <w:noProof/>
          <w:color w:val="1F497D" w:themeColor="text2"/>
          <w:sz w:val="18"/>
          <w:szCs w:val="18"/>
          <w:lang w:eastAsia="en-US"/>
        </w:rPr>
        <w:t>16</w:t>
      </w:r>
      <w:r w:rsidR="00771A61" w:rsidRPr="00DE1512">
        <w:rPr>
          <w:rFonts w:ascii="Arial" w:eastAsiaTheme="minorHAnsi" w:hAnsi="Arial" w:cs="Arial"/>
          <w:b/>
          <w:color w:val="1F497D" w:themeColor="text2"/>
          <w:sz w:val="18"/>
          <w:szCs w:val="18"/>
          <w:lang w:eastAsia="en-US"/>
        </w:rPr>
        <w:fldChar w:fldCharType="end"/>
      </w:r>
      <w:r w:rsidR="00D10020">
        <w:rPr>
          <w:rFonts w:ascii="Arial" w:eastAsiaTheme="minorHAnsi" w:hAnsi="Arial" w:cs="Arial"/>
          <w:b/>
          <w:color w:val="1F497D" w:themeColor="text2"/>
          <w:sz w:val="18"/>
          <w:szCs w:val="18"/>
          <w:lang w:val="es-ES_tradnl" w:eastAsia="en-US"/>
        </w:rPr>
        <w:t xml:space="preserve"> </w:t>
      </w:r>
      <w:r w:rsidR="00665097" w:rsidRPr="00D10020">
        <w:rPr>
          <w:rFonts w:ascii="Arial" w:eastAsiaTheme="minorHAnsi" w:hAnsi="Arial" w:cs="Arial"/>
          <w:b/>
          <w:color w:val="1F497D" w:themeColor="text2"/>
          <w:sz w:val="18"/>
          <w:szCs w:val="18"/>
          <w:lang w:val="es-ES_tradnl" w:eastAsia="en-US"/>
        </w:rPr>
        <w:t>DESTINO DE LAS EXPORTACIONES DE LAS EMPR</w:t>
      </w:r>
      <w:r w:rsidR="00A54975">
        <w:rPr>
          <w:rFonts w:ascii="Arial" w:eastAsiaTheme="minorHAnsi" w:hAnsi="Arial" w:cs="Arial"/>
          <w:b/>
          <w:color w:val="1F497D" w:themeColor="text2"/>
          <w:sz w:val="18"/>
          <w:szCs w:val="18"/>
          <w:lang w:val="es-ES_tradnl" w:eastAsia="en-US"/>
        </w:rPr>
        <w:t>ESAS DE LA ECONOMÍA SOCIAL. 2014</w:t>
      </w:r>
      <w:r w:rsidR="00D10020">
        <w:rPr>
          <w:rFonts w:ascii="Arial" w:eastAsiaTheme="minorHAnsi" w:hAnsi="Arial" w:cs="Arial"/>
          <w:b/>
          <w:color w:val="1F497D" w:themeColor="text2"/>
          <w:sz w:val="18"/>
          <w:szCs w:val="18"/>
          <w:lang w:val="es-ES_tradnl" w:eastAsia="en-US"/>
        </w:rPr>
        <w:t xml:space="preserve"> </w:t>
      </w:r>
      <w:r w:rsidR="00665097" w:rsidRPr="00D10020">
        <w:rPr>
          <w:rFonts w:ascii="Arial" w:eastAsiaTheme="minorHAnsi" w:hAnsi="Arial" w:cs="Arial"/>
          <w:b/>
          <w:color w:val="1F497D" w:themeColor="text2"/>
          <w:sz w:val="18"/>
          <w:szCs w:val="18"/>
          <w:lang w:val="es-ES_tradnl" w:eastAsia="en-US"/>
        </w:rPr>
        <w:t>(% del total de exportaciones según destino)</w:t>
      </w:r>
      <w:bookmarkEnd w:id="183"/>
      <w:bookmarkEnd w:id="184"/>
    </w:p>
    <w:p w:rsidR="00665097" w:rsidRPr="00D10020" w:rsidRDefault="00D10020" w:rsidP="00BB313D">
      <w:pPr>
        <w:pStyle w:val="Textoindependiente"/>
        <w:widowControl w:val="0"/>
        <w:spacing w:line="312" w:lineRule="auto"/>
        <w:rPr>
          <w:rFonts w:ascii="Arial" w:eastAsiaTheme="minorHAnsi" w:hAnsi="Arial" w:cs="Arial"/>
          <w:b/>
          <w:color w:val="1F497D" w:themeColor="text2"/>
          <w:sz w:val="18"/>
          <w:szCs w:val="18"/>
          <w:lang w:val="es-ES_tradnl" w:eastAsia="en-US"/>
        </w:rPr>
      </w:pPr>
      <w:r>
        <w:rPr>
          <w:rFonts w:ascii="Arial" w:eastAsiaTheme="minorHAnsi" w:hAnsi="Arial" w:cs="Arial"/>
          <w:b/>
          <w:noProof/>
          <w:color w:val="1F497D" w:themeColor="text2"/>
          <w:sz w:val="18"/>
          <w:szCs w:val="18"/>
        </w:rPr>
        <w:drawing>
          <wp:anchor distT="0" distB="0" distL="114300" distR="114300" simplePos="0" relativeHeight="251729920" behindDoc="0" locked="0" layoutInCell="1" allowOverlap="1">
            <wp:simplePos x="0" y="0"/>
            <wp:positionH relativeFrom="column">
              <wp:posOffset>539115</wp:posOffset>
            </wp:positionH>
            <wp:positionV relativeFrom="paragraph">
              <wp:posOffset>52070</wp:posOffset>
            </wp:positionV>
            <wp:extent cx="4857750" cy="2428875"/>
            <wp:effectExtent l="0" t="0" r="0" b="0"/>
            <wp:wrapNone/>
            <wp:docPr id="81" name="Objeto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b/>
          <w:i/>
          <w:noProof/>
          <w:sz w:val="20"/>
        </w:rPr>
      </w:pPr>
    </w:p>
    <w:p w:rsidR="00665097" w:rsidRDefault="00665097" w:rsidP="00BB313D">
      <w:pPr>
        <w:pStyle w:val="Textoindependiente"/>
        <w:widowControl w:val="0"/>
        <w:spacing w:line="312" w:lineRule="auto"/>
        <w:rPr>
          <w:rFonts w:ascii="Arial" w:hAnsi="Arial" w:cs="Arial"/>
          <w:b/>
          <w:i/>
          <w:noProof/>
          <w:sz w:val="20"/>
        </w:rPr>
      </w:pPr>
    </w:p>
    <w:p w:rsidR="00665097" w:rsidRDefault="00665097" w:rsidP="00BB313D">
      <w:pPr>
        <w:pStyle w:val="Textoindependiente"/>
        <w:widowControl w:val="0"/>
        <w:spacing w:line="312" w:lineRule="auto"/>
        <w:rPr>
          <w:rFonts w:ascii="Arial" w:hAnsi="Arial" w:cs="Arial"/>
          <w:b/>
          <w:i/>
          <w:noProof/>
          <w:sz w:val="20"/>
        </w:rPr>
      </w:pPr>
    </w:p>
    <w:p w:rsidR="00665097" w:rsidRDefault="00665097" w:rsidP="00BB313D">
      <w:pPr>
        <w:pStyle w:val="Textoindependiente"/>
        <w:widowControl w:val="0"/>
        <w:spacing w:line="312" w:lineRule="auto"/>
        <w:rPr>
          <w:rFonts w:ascii="Arial" w:hAnsi="Arial" w:cs="Arial"/>
          <w:sz w:val="20"/>
        </w:rPr>
      </w:pPr>
    </w:p>
    <w:p w:rsidR="00665097" w:rsidRDefault="00665097" w:rsidP="00BB313D">
      <w:pPr>
        <w:pStyle w:val="Textoindependiente"/>
        <w:widowControl w:val="0"/>
        <w:spacing w:line="312" w:lineRule="auto"/>
        <w:rPr>
          <w:rFonts w:ascii="Arial" w:hAnsi="Arial" w:cs="Arial"/>
          <w:sz w:val="20"/>
        </w:rPr>
      </w:pPr>
    </w:p>
    <w:p w:rsidR="00665097" w:rsidRDefault="00665097" w:rsidP="00BB313D">
      <w:pPr>
        <w:pStyle w:val="Textoindependiente"/>
        <w:widowControl w:val="0"/>
        <w:tabs>
          <w:tab w:val="left" w:pos="0"/>
        </w:tabs>
        <w:spacing w:line="312" w:lineRule="auto"/>
        <w:rPr>
          <w:rFonts w:ascii="Arial" w:hAnsi="Arial" w:cs="Arial"/>
          <w:sz w:val="20"/>
          <w:lang w:val="es-ES_tradnl"/>
        </w:rPr>
      </w:pPr>
      <w:r>
        <w:rPr>
          <w:rFonts w:ascii="Arial" w:hAnsi="Arial" w:cs="Arial"/>
          <w:sz w:val="20"/>
          <w:lang w:val="es-ES_tradnl"/>
        </w:rPr>
        <w:br w:type="page"/>
      </w:r>
    </w:p>
    <w:p w:rsidR="00665097" w:rsidRPr="00C67386" w:rsidRDefault="00DE1512" w:rsidP="00BB313D">
      <w:pPr>
        <w:widowControl w:val="0"/>
        <w:spacing w:line="240" w:lineRule="auto"/>
        <w:jc w:val="center"/>
        <w:rPr>
          <w:rFonts w:cs="Arial"/>
          <w:b/>
          <w:color w:val="1F497D" w:themeColor="text2"/>
          <w:sz w:val="18"/>
          <w:szCs w:val="18"/>
        </w:rPr>
      </w:pPr>
      <w:bookmarkStart w:id="185" w:name="_Toc391999620"/>
      <w:bookmarkStart w:id="186" w:name="_Toc450119503"/>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C67386">
        <w:rPr>
          <w:rFonts w:cs="Arial"/>
          <w:b/>
          <w:color w:val="1F497D" w:themeColor="text2"/>
          <w:sz w:val="18"/>
          <w:szCs w:val="18"/>
        </w:rPr>
        <w:t xml:space="preserve">VOLUMEN DE EXPORTACIONES POR ZONAS Y EVOLUCIÓN. </w:t>
      </w:r>
      <w:r w:rsidR="00C42DDC">
        <w:rPr>
          <w:rFonts w:cs="Arial"/>
          <w:b/>
          <w:color w:val="1F497D" w:themeColor="text2"/>
          <w:sz w:val="18"/>
          <w:szCs w:val="18"/>
        </w:rPr>
        <w:t xml:space="preserve">2008, 2010, </w:t>
      </w:r>
      <w:r w:rsidR="00665097" w:rsidRPr="00C67386">
        <w:rPr>
          <w:rFonts w:cs="Arial"/>
          <w:b/>
          <w:color w:val="1F497D" w:themeColor="text2"/>
          <w:sz w:val="18"/>
          <w:szCs w:val="18"/>
        </w:rPr>
        <w:t>2012</w:t>
      </w:r>
      <w:bookmarkEnd w:id="185"/>
      <w:r w:rsidR="00C42DDC">
        <w:rPr>
          <w:rFonts w:cs="Arial"/>
          <w:b/>
          <w:color w:val="1F497D" w:themeColor="text2"/>
          <w:sz w:val="18"/>
          <w:szCs w:val="18"/>
        </w:rPr>
        <w:t xml:space="preserve"> y 2014</w:t>
      </w:r>
      <w:bookmarkEnd w:id="186"/>
    </w:p>
    <w:tbl>
      <w:tblPr>
        <w:tblW w:w="9940" w:type="dxa"/>
        <w:jc w:val="center"/>
        <w:tblLayout w:type="fixed"/>
        <w:tblLook w:val="04A0" w:firstRow="1" w:lastRow="0" w:firstColumn="1" w:lastColumn="0" w:noHBand="0" w:noVBand="1"/>
      </w:tblPr>
      <w:tblGrid>
        <w:gridCol w:w="1077"/>
        <w:gridCol w:w="1427"/>
        <w:gridCol w:w="1427"/>
        <w:gridCol w:w="1427"/>
        <w:gridCol w:w="1427"/>
        <w:gridCol w:w="1051"/>
        <w:gridCol w:w="1052"/>
        <w:gridCol w:w="1052"/>
      </w:tblGrid>
      <w:tr w:rsidR="00C42DDC" w:rsidRPr="00C67386" w:rsidTr="00175D09">
        <w:trPr>
          <w:jc w:val="center"/>
        </w:trPr>
        <w:tc>
          <w:tcPr>
            <w:tcW w:w="107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C42DDC" w:rsidRPr="00C67386" w:rsidRDefault="00C42DDC" w:rsidP="00B438BB">
            <w:pPr>
              <w:widowControl w:val="0"/>
              <w:spacing w:line="240" w:lineRule="exact"/>
              <w:rPr>
                <w:rFonts w:cs="Arial"/>
                <w:b/>
                <w:bCs/>
                <w:sz w:val="16"/>
                <w:szCs w:val="16"/>
              </w:rPr>
            </w:pP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42DDC" w:rsidRPr="00C67386" w:rsidRDefault="00C42DDC" w:rsidP="00B438BB">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r w:rsidRPr="00C67386">
              <w:rPr>
                <w:rFonts w:cs="Arial"/>
                <w:b/>
                <w:bCs/>
                <w:sz w:val="16"/>
                <w:szCs w:val="16"/>
              </w:rPr>
              <w:t xml:space="preserve"> 2008</w:t>
            </w: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42DDC" w:rsidRPr="00C67386" w:rsidRDefault="00C42DDC" w:rsidP="00B438BB">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r w:rsidRPr="00C67386">
              <w:rPr>
                <w:rFonts w:cs="Arial"/>
                <w:b/>
                <w:bCs/>
                <w:sz w:val="16"/>
                <w:szCs w:val="16"/>
              </w:rPr>
              <w:t xml:space="preserve"> 2010</w:t>
            </w: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C42DDC" w:rsidRPr="00C67386" w:rsidRDefault="00C42DDC" w:rsidP="00B438BB">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r w:rsidRPr="00C67386">
              <w:rPr>
                <w:rFonts w:cs="Arial"/>
                <w:b/>
                <w:bCs/>
                <w:sz w:val="16"/>
                <w:szCs w:val="16"/>
              </w:rPr>
              <w:t xml:space="preserve"> 2012</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C42DDC" w:rsidRPr="00C67386" w:rsidRDefault="00C42DDC" w:rsidP="00B438BB">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r w:rsidRPr="00C67386">
              <w:rPr>
                <w:rFonts w:cs="Arial"/>
                <w:b/>
                <w:bCs/>
                <w:sz w:val="16"/>
                <w:szCs w:val="16"/>
              </w:rPr>
              <w:t xml:space="preserve"> 201</w:t>
            </w:r>
            <w:r>
              <w:rPr>
                <w:rFonts w:cs="Arial"/>
                <w:b/>
                <w:bCs/>
                <w:sz w:val="16"/>
                <w:szCs w:val="16"/>
              </w:rPr>
              <w:t>4</w:t>
            </w:r>
          </w:p>
        </w:tc>
        <w:tc>
          <w:tcPr>
            <w:tcW w:w="10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C42DDC" w:rsidRPr="00C67386" w:rsidRDefault="00C42DDC" w:rsidP="00B438BB">
            <w:pPr>
              <w:widowControl w:val="0"/>
              <w:spacing w:line="240" w:lineRule="exact"/>
              <w:jc w:val="center"/>
              <w:rPr>
                <w:rFonts w:cs="Arial"/>
                <w:b/>
                <w:bCs/>
                <w:sz w:val="16"/>
                <w:szCs w:val="16"/>
              </w:rPr>
            </w:pPr>
            <w:r>
              <w:rPr>
                <w:rFonts w:cs="Arial"/>
                <w:b/>
                <w:bCs/>
                <w:sz w:val="16"/>
                <w:szCs w:val="16"/>
              </w:rPr>
              <w:t>%</w:t>
            </w:r>
            <w:r w:rsidRPr="00C67386">
              <w:rPr>
                <w:rFonts w:cs="Arial"/>
                <w:b/>
                <w:bCs/>
                <w:sz w:val="16"/>
                <w:szCs w:val="16"/>
              </w:rPr>
              <w:t>∆10/08</w:t>
            </w:r>
          </w:p>
        </w:tc>
        <w:tc>
          <w:tcPr>
            <w:tcW w:w="104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C42DDC" w:rsidRPr="00C67386" w:rsidRDefault="00C42DDC" w:rsidP="00B438BB">
            <w:pPr>
              <w:widowControl w:val="0"/>
              <w:spacing w:line="240" w:lineRule="exact"/>
              <w:jc w:val="center"/>
              <w:rPr>
                <w:rFonts w:cs="Arial"/>
                <w:b/>
                <w:bCs/>
                <w:sz w:val="16"/>
                <w:szCs w:val="16"/>
              </w:rPr>
            </w:pPr>
            <w:r>
              <w:rPr>
                <w:rFonts w:cs="Arial"/>
                <w:b/>
                <w:bCs/>
                <w:sz w:val="16"/>
                <w:szCs w:val="16"/>
              </w:rPr>
              <w:t>%</w:t>
            </w:r>
            <w:r w:rsidRPr="00C67386">
              <w:rPr>
                <w:rFonts w:cs="Arial"/>
                <w:b/>
                <w:bCs/>
                <w:sz w:val="16"/>
                <w:szCs w:val="16"/>
              </w:rPr>
              <w:t>∆12/10</w:t>
            </w:r>
          </w:p>
        </w:tc>
        <w:tc>
          <w:tcPr>
            <w:tcW w:w="104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C42DDC" w:rsidRDefault="00C42DDC" w:rsidP="00B438BB">
            <w:pPr>
              <w:widowControl w:val="0"/>
              <w:spacing w:line="240" w:lineRule="exact"/>
              <w:jc w:val="center"/>
              <w:rPr>
                <w:rFonts w:cs="Arial"/>
                <w:b/>
                <w:bCs/>
                <w:sz w:val="16"/>
                <w:szCs w:val="16"/>
              </w:rPr>
            </w:pPr>
            <w:r>
              <w:rPr>
                <w:rFonts w:cs="Arial"/>
                <w:b/>
                <w:bCs/>
                <w:sz w:val="16"/>
                <w:szCs w:val="16"/>
              </w:rPr>
              <w:t>%</w:t>
            </w:r>
            <w:r w:rsidRPr="00C67386">
              <w:rPr>
                <w:rFonts w:cs="Arial"/>
                <w:b/>
                <w:bCs/>
                <w:sz w:val="16"/>
                <w:szCs w:val="16"/>
              </w:rPr>
              <w:t>∆</w:t>
            </w:r>
            <w:r>
              <w:rPr>
                <w:rFonts w:cs="Arial"/>
                <w:b/>
                <w:bCs/>
                <w:sz w:val="16"/>
                <w:szCs w:val="16"/>
              </w:rPr>
              <w:t>14</w:t>
            </w:r>
            <w:r w:rsidRPr="00C67386">
              <w:rPr>
                <w:rFonts w:cs="Arial"/>
                <w:b/>
                <w:bCs/>
                <w:sz w:val="16"/>
                <w:szCs w:val="16"/>
              </w:rPr>
              <w:t>/1</w:t>
            </w:r>
            <w:r>
              <w:rPr>
                <w:rFonts w:cs="Arial"/>
                <w:b/>
                <w:bCs/>
                <w:sz w:val="16"/>
                <w:szCs w:val="16"/>
              </w:rPr>
              <w:t>2</w:t>
            </w:r>
          </w:p>
        </w:tc>
      </w:tr>
      <w:tr w:rsidR="0074546E" w:rsidRPr="00C67386" w:rsidTr="00175D09">
        <w:trPr>
          <w:jc w:val="center"/>
        </w:trPr>
        <w:tc>
          <w:tcPr>
            <w:tcW w:w="1070" w:type="dxa"/>
            <w:tcBorders>
              <w:top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rPr>
                <w:rFonts w:cs="Arial"/>
                <w:sz w:val="16"/>
                <w:szCs w:val="16"/>
              </w:rPr>
            </w:pPr>
            <w:r w:rsidRPr="00C67386">
              <w:rPr>
                <w:rFonts w:cs="Arial"/>
                <w:sz w:val="16"/>
                <w:szCs w:val="16"/>
              </w:rPr>
              <w:t>Europa</w:t>
            </w:r>
          </w:p>
        </w:tc>
        <w:tc>
          <w:tcPr>
            <w:tcW w:w="1417" w:type="dxa"/>
            <w:tcBorders>
              <w:top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bCs/>
                <w:sz w:val="16"/>
                <w:szCs w:val="16"/>
              </w:rPr>
              <w:t>1.959.861.909</w:t>
            </w:r>
          </w:p>
        </w:tc>
        <w:tc>
          <w:tcPr>
            <w:tcW w:w="1417" w:type="dxa"/>
            <w:tcBorders>
              <w:top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1.397.054.639</w:t>
            </w:r>
          </w:p>
        </w:tc>
        <w:tc>
          <w:tcPr>
            <w:tcW w:w="1417" w:type="dxa"/>
            <w:tcBorders>
              <w:top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1.588.386.617</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74546E" w:rsidRPr="004A7912" w:rsidRDefault="0074546E" w:rsidP="00B438BB">
            <w:pPr>
              <w:widowControl w:val="0"/>
              <w:spacing w:line="240" w:lineRule="exact"/>
              <w:ind w:right="113"/>
              <w:jc w:val="right"/>
              <w:rPr>
                <w:rFonts w:cs="Arial"/>
                <w:sz w:val="16"/>
                <w:szCs w:val="16"/>
              </w:rPr>
            </w:pPr>
            <w:r w:rsidRPr="004A7912">
              <w:rPr>
                <w:rFonts w:cs="Arial"/>
                <w:sz w:val="16"/>
                <w:szCs w:val="16"/>
              </w:rPr>
              <w:t>1.695.499.875</w:t>
            </w:r>
          </w:p>
        </w:tc>
        <w:tc>
          <w:tcPr>
            <w:tcW w:w="1044" w:type="dxa"/>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-28,70</w:t>
            </w:r>
          </w:p>
        </w:tc>
        <w:tc>
          <w:tcPr>
            <w:tcW w:w="1045" w:type="dxa"/>
            <w:tcBorders>
              <w:top w:val="single" w:sz="4" w:space="0" w:color="BFBFBF" w:themeColor="background1" w:themeShade="BF"/>
              <w:lef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13,7</w:t>
            </w:r>
          </w:p>
        </w:tc>
        <w:tc>
          <w:tcPr>
            <w:tcW w:w="1045" w:type="dxa"/>
            <w:tcBorders>
              <w:top w:val="single" w:sz="4" w:space="0" w:color="BFBFBF" w:themeColor="background1" w:themeShade="BF"/>
              <w:left w:val="single" w:sz="4" w:space="0" w:color="BFBFBF" w:themeColor="background1" w:themeShade="BF"/>
            </w:tcBorders>
          </w:tcPr>
          <w:p w:rsidR="0074546E" w:rsidRPr="0074546E" w:rsidRDefault="0074546E" w:rsidP="00B438BB">
            <w:pPr>
              <w:spacing w:line="240" w:lineRule="exact"/>
              <w:jc w:val="right"/>
              <w:rPr>
                <w:rFonts w:cs="Arial"/>
                <w:sz w:val="16"/>
                <w:szCs w:val="16"/>
              </w:rPr>
            </w:pPr>
            <w:r w:rsidRPr="00B86D4F">
              <w:rPr>
                <w:rFonts w:cs="Arial"/>
                <w:sz w:val="16"/>
                <w:szCs w:val="16"/>
              </w:rPr>
              <w:t>6,7</w:t>
            </w:r>
          </w:p>
        </w:tc>
      </w:tr>
      <w:tr w:rsidR="0074546E" w:rsidRPr="00C67386" w:rsidTr="00175D09">
        <w:trPr>
          <w:jc w:val="center"/>
        </w:trPr>
        <w:tc>
          <w:tcPr>
            <w:tcW w:w="1070" w:type="dxa"/>
            <w:tcBorders>
              <w:right w:val="single" w:sz="4" w:space="0" w:color="BFBFBF" w:themeColor="background1" w:themeShade="BF"/>
            </w:tcBorders>
            <w:hideMark/>
          </w:tcPr>
          <w:p w:rsidR="0074546E" w:rsidRPr="00C67386" w:rsidRDefault="0074546E" w:rsidP="00B438BB">
            <w:pPr>
              <w:widowControl w:val="0"/>
              <w:spacing w:line="240" w:lineRule="exact"/>
              <w:rPr>
                <w:rFonts w:cs="Arial"/>
                <w:sz w:val="16"/>
                <w:szCs w:val="16"/>
              </w:rPr>
            </w:pPr>
            <w:r w:rsidRPr="00C67386">
              <w:rPr>
                <w:rFonts w:cs="Arial"/>
                <w:sz w:val="16"/>
                <w:szCs w:val="16"/>
              </w:rPr>
              <w:t>Asia</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bCs/>
                <w:sz w:val="16"/>
                <w:szCs w:val="16"/>
              </w:rPr>
              <w:t>189.287.966</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370.036.555</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440.345.111</w:t>
            </w:r>
          </w:p>
        </w:tc>
        <w:tc>
          <w:tcPr>
            <w:tcW w:w="1417" w:type="dxa"/>
            <w:tcBorders>
              <w:left w:val="single" w:sz="4" w:space="0" w:color="BFBFBF" w:themeColor="background1" w:themeShade="BF"/>
              <w:right w:val="single" w:sz="4" w:space="0" w:color="BFBFBF" w:themeColor="background1" w:themeShade="BF"/>
            </w:tcBorders>
            <w:hideMark/>
          </w:tcPr>
          <w:p w:rsidR="0074546E" w:rsidRPr="004A7912" w:rsidRDefault="0074546E" w:rsidP="00B438BB">
            <w:pPr>
              <w:widowControl w:val="0"/>
              <w:spacing w:line="240" w:lineRule="exact"/>
              <w:ind w:right="113"/>
              <w:jc w:val="right"/>
              <w:rPr>
                <w:rFonts w:cs="Arial"/>
                <w:sz w:val="16"/>
                <w:szCs w:val="16"/>
              </w:rPr>
            </w:pPr>
            <w:r w:rsidRPr="004A7912">
              <w:rPr>
                <w:rFonts w:cs="Arial"/>
                <w:sz w:val="16"/>
                <w:szCs w:val="16"/>
              </w:rPr>
              <w:t>400.880.770</w:t>
            </w:r>
          </w:p>
        </w:tc>
        <w:tc>
          <w:tcPr>
            <w:tcW w:w="1044" w:type="dxa"/>
            <w:tcBorders>
              <w:left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95,50</w:t>
            </w:r>
          </w:p>
        </w:tc>
        <w:tc>
          <w:tcPr>
            <w:tcW w:w="1045" w:type="dxa"/>
            <w:tcBorders>
              <w:lef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19,0</w:t>
            </w:r>
          </w:p>
        </w:tc>
        <w:tc>
          <w:tcPr>
            <w:tcW w:w="1045" w:type="dxa"/>
            <w:tcBorders>
              <w:left w:val="single" w:sz="4" w:space="0" w:color="BFBFBF" w:themeColor="background1" w:themeShade="BF"/>
            </w:tcBorders>
          </w:tcPr>
          <w:p w:rsidR="0074546E" w:rsidRPr="0074546E" w:rsidRDefault="0074546E" w:rsidP="00B438BB">
            <w:pPr>
              <w:spacing w:line="240" w:lineRule="exact"/>
              <w:jc w:val="right"/>
              <w:rPr>
                <w:rFonts w:cs="Arial"/>
                <w:sz w:val="16"/>
                <w:szCs w:val="16"/>
              </w:rPr>
            </w:pPr>
            <w:r w:rsidRPr="00B86D4F">
              <w:rPr>
                <w:rFonts w:cs="Arial"/>
                <w:sz w:val="16"/>
                <w:szCs w:val="16"/>
              </w:rPr>
              <w:t>-9,0</w:t>
            </w:r>
          </w:p>
        </w:tc>
      </w:tr>
      <w:tr w:rsidR="0074546E" w:rsidRPr="00C67386" w:rsidTr="00175D09">
        <w:trPr>
          <w:jc w:val="center"/>
        </w:trPr>
        <w:tc>
          <w:tcPr>
            <w:tcW w:w="1070" w:type="dxa"/>
            <w:tcBorders>
              <w:right w:val="single" w:sz="4" w:space="0" w:color="BFBFBF" w:themeColor="background1" w:themeShade="BF"/>
            </w:tcBorders>
            <w:hideMark/>
          </w:tcPr>
          <w:p w:rsidR="0074546E" w:rsidRPr="00C67386" w:rsidRDefault="0074546E" w:rsidP="00B438BB">
            <w:pPr>
              <w:widowControl w:val="0"/>
              <w:spacing w:line="240" w:lineRule="exact"/>
              <w:rPr>
                <w:rFonts w:cs="Arial"/>
                <w:sz w:val="16"/>
                <w:szCs w:val="16"/>
              </w:rPr>
            </w:pPr>
            <w:r w:rsidRPr="00C67386">
              <w:rPr>
                <w:rFonts w:cs="Arial"/>
                <w:sz w:val="16"/>
                <w:szCs w:val="16"/>
              </w:rPr>
              <w:t>EEUU</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bCs/>
                <w:sz w:val="16"/>
                <w:szCs w:val="16"/>
              </w:rPr>
              <w:t>24.409.658</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148.965.042</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193.840.989</w:t>
            </w:r>
          </w:p>
        </w:tc>
        <w:tc>
          <w:tcPr>
            <w:tcW w:w="1417" w:type="dxa"/>
            <w:tcBorders>
              <w:left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4A7912">
              <w:rPr>
                <w:rFonts w:cs="Arial"/>
                <w:sz w:val="16"/>
                <w:szCs w:val="16"/>
              </w:rPr>
              <w:t>202.273.272</w:t>
            </w:r>
          </w:p>
        </w:tc>
        <w:tc>
          <w:tcPr>
            <w:tcW w:w="1044" w:type="dxa"/>
            <w:tcBorders>
              <w:left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510,30</w:t>
            </w:r>
          </w:p>
        </w:tc>
        <w:tc>
          <w:tcPr>
            <w:tcW w:w="1045" w:type="dxa"/>
            <w:tcBorders>
              <w:lef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30,1</w:t>
            </w:r>
          </w:p>
        </w:tc>
        <w:tc>
          <w:tcPr>
            <w:tcW w:w="1045" w:type="dxa"/>
            <w:tcBorders>
              <w:left w:val="single" w:sz="4" w:space="0" w:color="BFBFBF" w:themeColor="background1" w:themeShade="BF"/>
            </w:tcBorders>
          </w:tcPr>
          <w:p w:rsidR="0074546E" w:rsidRPr="0074546E" w:rsidRDefault="0074546E" w:rsidP="00B438BB">
            <w:pPr>
              <w:spacing w:line="240" w:lineRule="exact"/>
              <w:jc w:val="right"/>
              <w:rPr>
                <w:rFonts w:cs="Arial"/>
                <w:sz w:val="16"/>
                <w:szCs w:val="16"/>
              </w:rPr>
            </w:pPr>
            <w:r w:rsidRPr="00B86D4F">
              <w:rPr>
                <w:rFonts w:cs="Arial"/>
                <w:sz w:val="16"/>
                <w:szCs w:val="16"/>
              </w:rPr>
              <w:t>4,4</w:t>
            </w:r>
          </w:p>
        </w:tc>
      </w:tr>
      <w:tr w:rsidR="0074546E" w:rsidRPr="00C67386" w:rsidTr="00175D09">
        <w:trPr>
          <w:jc w:val="center"/>
        </w:trPr>
        <w:tc>
          <w:tcPr>
            <w:tcW w:w="1070" w:type="dxa"/>
            <w:tcBorders>
              <w:right w:val="single" w:sz="4" w:space="0" w:color="BFBFBF" w:themeColor="background1" w:themeShade="BF"/>
            </w:tcBorders>
            <w:hideMark/>
          </w:tcPr>
          <w:p w:rsidR="0074546E" w:rsidRPr="00C67386" w:rsidRDefault="0074546E" w:rsidP="00B438BB">
            <w:pPr>
              <w:widowControl w:val="0"/>
              <w:spacing w:line="240" w:lineRule="exact"/>
              <w:rPr>
                <w:rFonts w:cs="Arial"/>
                <w:sz w:val="16"/>
                <w:szCs w:val="16"/>
              </w:rPr>
            </w:pPr>
            <w:r w:rsidRPr="00C67386">
              <w:rPr>
                <w:rFonts w:cs="Arial"/>
                <w:bCs/>
                <w:sz w:val="16"/>
                <w:szCs w:val="16"/>
              </w:rPr>
              <w:t>Sudamérica</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bCs/>
                <w:sz w:val="16"/>
                <w:szCs w:val="16"/>
              </w:rPr>
              <w:t>166.542.425</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210.994.736</w:t>
            </w:r>
          </w:p>
        </w:tc>
        <w:tc>
          <w:tcPr>
            <w:tcW w:w="1417" w:type="dxa"/>
            <w:tcBorders>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295.090.191</w:t>
            </w:r>
          </w:p>
        </w:tc>
        <w:tc>
          <w:tcPr>
            <w:tcW w:w="1417" w:type="dxa"/>
            <w:tcBorders>
              <w:left w:val="single" w:sz="4" w:space="0" w:color="BFBFBF" w:themeColor="background1" w:themeShade="BF"/>
              <w:right w:val="single" w:sz="4" w:space="0" w:color="BFBFBF" w:themeColor="background1" w:themeShade="BF"/>
            </w:tcBorders>
            <w:hideMark/>
          </w:tcPr>
          <w:p w:rsidR="0074546E" w:rsidRPr="004A7912" w:rsidRDefault="0074546E" w:rsidP="00B438BB">
            <w:pPr>
              <w:widowControl w:val="0"/>
              <w:spacing w:line="240" w:lineRule="exact"/>
              <w:ind w:right="113"/>
              <w:jc w:val="right"/>
              <w:rPr>
                <w:rFonts w:cs="Arial"/>
                <w:sz w:val="16"/>
                <w:szCs w:val="16"/>
              </w:rPr>
            </w:pPr>
            <w:r w:rsidRPr="004A7912">
              <w:rPr>
                <w:rFonts w:cs="Arial"/>
                <w:sz w:val="16"/>
                <w:szCs w:val="16"/>
              </w:rPr>
              <w:t>212.963.623</w:t>
            </w:r>
          </w:p>
        </w:tc>
        <w:tc>
          <w:tcPr>
            <w:tcW w:w="1044" w:type="dxa"/>
            <w:tcBorders>
              <w:left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26,70</w:t>
            </w:r>
          </w:p>
        </w:tc>
        <w:tc>
          <w:tcPr>
            <w:tcW w:w="1045" w:type="dxa"/>
            <w:tcBorders>
              <w:lef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39,9</w:t>
            </w:r>
          </w:p>
        </w:tc>
        <w:tc>
          <w:tcPr>
            <w:tcW w:w="1045" w:type="dxa"/>
            <w:tcBorders>
              <w:left w:val="single" w:sz="4" w:space="0" w:color="BFBFBF" w:themeColor="background1" w:themeShade="BF"/>
            </w:tcBorders>
          </w:tcPr>
          <w:p w:rsidR="0074546E" w:rsidRPr="0074546E" w:rsidRDefault="0074546E" w:rsidP="00B438BB">
            <w:pPr>
              <w:spacing w:line="240" w:lineRule="exact"/>
              <w:jc w:val="right"/>
              <w:rPr>
                <w:rFonts w:cs="Arial"/>
                <w:sz w:val="16"/>
                <w:szCs w:val="16"/>
              </w:rPr>
            </w:pPr>
            <w:r w:rsidRPr="00B86D4F">
              <w:rPr>
                <w:rFonts w:cs="Arial"/>
                <w:sz w:val="16"/>
                <w:szCs w:val="16"/>
              </w:rPr>
              <w:t>-27,8</w:t>
            </w:r>
          </w:p>
        </w:tc>
      </w:tr>
      <w:tr w:rsidR="0074546E" w:rsidRPr="00C67386" w:rsidTr="00175D09">
        <w:trPr>
          <w:jc w:val="center"/>
        </w:trPr>
        <w:tc>
          <w:tcPr>
            <w:tcW w:w="1070" w:type="dxa"/>
            <w:tcBorders>
              <w:bottom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rPr>
                <w:rFonts w:cs="Arial"/>
                <w:sz w:val="16"/>
                <w:szCs w:val="16"/>
              </w:rPr>
            </w:pPr>
            <w:r w:rsidRPr="00C67386">
              <w:rPr>
                <w:rFonts w:cs="Arial"/>
                <w:bCs/>
                <w:sz w:val="16"/>
                <w:szCs w:val="16"/>
              </w:rPr>
              <w:t>Otros</w:t>
            </w:r>
          </w:p>
        </w:tc>
        <w:tc>
          <w:tcPr>
            <w:tcW w:w="1417" w:type="dxa"/>
            <w:tcBorders>
              <w:bottom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bCs/>
                <w:sz w:val="16"/>
                <w:szCs w:val="16"/>
              </w:rPr>
              <w:t>85.507.342</w:t>
            </w:r>
          </w:p>
        </w:tc>
        <w:tc>
          <w:tcPr>
            <w:tcW w:w="1417" w:type="dxa"/>
            <w:tcBorders>
              <w:bottom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123.433.888</w:t>
            </w:r>
          </w:p>
        </w:tc>
        <w:tc>
          <w:tcPr>
            <w:tcW w:w="1417" w:type="dxa"/>
            <w:tcBorders>
              <w:bottom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155.592.307</w:t>
            </w:r>
          </w:p>
        </w:tc>
        <w:tc>
          <w:tcPr>
            <w:tcW w:w="1417"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B94109">
              <w:rPr>
                <w:rFonts w:cs="Arial"/>
                <w:sz w:val="16"/>
                <w:szCs w:val="16"/>
              </w:rPr>
              <w:t>141.853.065</w:t>
            </w:r>
          </w:p>
        </w:tc>
        <w:tc>
          <w:tcPr>
            <w:tcW w:w="1044" w:type="dxa"/>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44,40</w:t>
            </w:r>
          </w:p>
        </w:tc>
        <w:tc>
          <w:tcPr>
            <w:tcW w:w="1045" w:type="dxa"/>
            <w:tcBorders>
              <w:left w:val="single" w:sz="4" w:space="0" w:color="BFBFBF" w:themeColor="background1" w:themeShade="BF"/>
              <w:bottom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sz w:val="16"/>
                <w:szCs w:val="16"/>
              </w:rPr>
            </w:pPr>
            <w:r w:rsidRPr="00C67386">
              <w:rPr>
                <w:rFonts w:cs="Arial"/>
                <w:sz w:val="16"/>
                <w:szCs w:val="16"/>
              </w:rPr>
              <w:t>26,1</w:t>
            </w:r>
          </w:p>
        </w:tc>
        <w:tc>
          <w:tcPr>
            <w:tcW w:w="1045" w:type="dxa"/>
            <w:tcBorders>
              <w:left w:val="single" w:sz="4" w:space="0" w:color="BFBFBF" w:themeColor="background1" w:themeShade="BF"/>
              <w:bottom w:val="single" w:sz="4" w:space="0" w:color="BFBFBF" w:themeColor="background1" w:themeShade="BF"/>
            </w:tcBorders>
          </w:tcPr>
          <w:p w:rsidR="0074546E" w:rsidRPr="0074546E" w:rsidRDefault="0074546E" w:rsidP="00B438BB">
            <w:pPr>
              <w:spacing w:line="240" w:lineRule="exact"/>
              <w:jc w:val="right"/>
              <w:rPr>
                <w:rFonts w:cs="Arial"/>
                <w:sz w:val="16"/>
                <w:szCs w:val="16"/>
              </w:rPr>
            </w:pPr>
            <w:r w:rsidRPr="00B86D4F">
              <w:rPr>
                <w:rFonts w:cs="Arial"/>
                <w:sz w:val="16"/>
                <w:szCs w:val="16"/>
              </w:rPr>
              <w:t>-8,8</w:t>
            </w:r>
          </w:p>
        </w:tc>
      </w:tr>
      <w:tr w:rsidR="0074546E" w:rsidRPr="00C67386" w:rsidTr="00175D09">
        <w:trPr>
          <w:jc w:val="center"/>
        </w:trPr>
        <w:tc>
          <w:tcPr>
            <w:tcW w:w="1070" w:type="dxa"/>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rPr>
                <w:rFonts w:cs="Arial"/>
                <w:b/>
                <w:bCs/>
                <w:sz w:val="16"/>
                <w:szCs w:val="16"/>
              </w:rPr>
            </w:pPr>
            <w:r w:rsidRPr="00C67386">
              <w:rPr>
                <w:rFonts w:cs="Arial"/>
                <w:b/>
                <w:bCs/>
                <w:sz w:val="16"/>
                <w:szCs w:val="16"/>
              </w:rPr>
              <w:t>TOTAL</w:t>
            </w: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b/>
                <w:bCs/>
                <w:sz w:val="16"/>
                <w:szCs w:val="16"/>
              </w:rPr>
            </w:pPr>
            <w:r w:rsidRPr="00C67386">
              <w:rPr>
                <w:rFonts w:cs="Arial"/>
                <w:b/>
                <w:bCs/>
                <w:sz w:val="16"/>
                <w:szCs w:val="16"/>
              </w:rPr>
              <w:t>2.425.609.299</w:t>
            </w: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b/>
                <w:bCs/>
                <w:sz w:val="16"/>
                <w:szCs w:val="16"/>
              </w:rPr>
            </w:pPr>
            <w:r w:rsidRPr="00C67386">
              <w:rPr>
                <w:rFonts w:cs="Arial"/>
                <w:b/>
                <w:bCs/>
                <w:sz w:val="16"/>
                <w:szCs w:val="16"/>
              </w:rPr>
              <w:t>2.250.484.862</w:t>
            </w: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74546E" w:rsidRPr="00C67386" w:rsidRDefault="0074546E" w:rsidP="00B438BB">
            <w:pPr>
              <w:widowControl w:val="0"/>
              <w:spacing w:line="240" w:lineRule="exact"/>
              <w:ind w:right="113"/>
              <w:jc w:val="right"/>
              <w:rPr>
                <w:rFonts w:cs="Arial"/>
                <w:b/>
                <w:bCs/>
                <w:sz w:val="16"/>
                <w:szCs w:val="16"/>
              </w:rPr>
            </w:pPr>
            <w:r w:rsidRPr="00C67386">
              <w:rPr>
                <w:rFonts w:cs="Arial"/>
                <w:b/>
                <w:bCs/>
                <w:sz w:val="16"/>
                <w:szCs w:val="16"/>
              </w:rPr>
              <w:t>2.673.255.215</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b/>
                <w:bCs/>
                <w:sz w:val="16"/>
                <w:szCs w:val="16"/>
              </w:rPr>
            </w:pPr>
            <w:r w:rsidRPr="004A7912">
              <w:rPr>
                <w:rFonts w:cs="Arial"/>
                <w:b/>
                <w:bCs/>
                <w:sz w:val="16"/>
                <w:szCs w:val="16"/>
              </w:rPr>
              <w:t>2.653.470.604</w:t>
            </w:r>
          </w:p>
        </w:tc>
        <w:tc>
          <w:tcPr>
            <w:tcW w:w="10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b/>
                <w:bCs/>
                <w:sz w:val="16"/>
                <w:szCs w:val="16"/>
              </w:rPr>
            </w:pPr>
            <w:r w:rsidRPr="00C67386">
              <w:rPr>
                <w:rFonts w:cs="Arial"/>
                <w:b/>
                <w:bCs/>
                <w:sz w:val="16"/>
                <w:szCs w:val="16"/>
              </w:rPr>
              <w:t>-7,20</w:t>
            </w:r>
          </w:p>
        </w:tc>
        <w:tc>
          <w:tcPr>
            <w:tcW w:w="1045" w:type="dxa"/>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74546E" w:rsidRPr="00C67386" w:rsidRDefault="0074546E" w:rsidP="00B438BB">
            <w:pPr>
              <w:widowControl w:val="0"/>
              <w:spacing w:line="240" w:lineRule="exact"/>
              <w:ind w:right="113"/>
              <w:jc w:val="right"/>
              <w:rPr>
                <w:rFonts w:cs="Arial"/>
                <w:b/>
                <w:bCs/>
                <w:sz w:val="16"/>
                <w:szCs w:val="16"/>
              </w:rPr>
            </w:pPr>
            <w:r w:rsidRPr="00C67386">
              <w:rPr>
                <w:rFonts w:cs="Arial"/>
                <w:b/>
                <w:bCs/>
                <w:sz w:val="16"/>
                <w:szCs w:val="16"/>
              </w:rPr>
              <w:t>18,8</w:t>
            </w:r>
          </w:p>
        </w:tc>
        <w:tc>
          <w:tcPr>
            <w:tcW w:w="1045"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74546E" w:rsidRPr="0074546E" w:rsidRDefault="0074546E" w:rsidP="00B438BB">
            <w:pPr>
              <w:spacing w:line="240" w:lineRule="exact"/>
              <w:jc w:val="right"/>
              <w:rPr>
                <w:rFonts w:eastAsia="Times New Roman" w:cs="Arial"/>
                <w:b/>
                <w:bCs/>
                <w:color w:val="000000"/>
                <w:sz w:val="16"/>
                <w:szCs w:val="16"/>
                <w:lang w:eastAsia="es-ES"/>
              </w:rPr>
            </w:pPr>
            <w:r>
              <w:rPr>
                <w:rFonts w:eastAsia="Times New Roman" w:cs="Arial"/>
                <w:b/>
                <w:bCs/>
                <w:color w:val="000000"/>
                <w:sz w:val="16"/>
                <w:szCs w:val="16"/>
                <w:lang w:eastAsia="es-ES"/>
              </w:rPr>
              <w:t>-0,7</w:t>
            </w:r>
          </w:p>
        </w:tc>
      </w:tr>
    </w:tbl>
    <w:p w:rsidR="00665097" w:rsidRDefault="00665097" w:rsidP="00BB313D">
      <w:pPr>
        <w:widowControl w:val="0"/>
        <w:rPr>
          <w:lang w:val="es-ES_tradnl"/>
        </w:rPr>
      </w:pPr>
    </w:p>
    <w:p w:rsidR="0074546E" w:rsidRDefault="0074546E" w:rsidP="00BB313D">
      <w:pPr>
        <w:widowControl w:val="0"/>
        <w:rPr>
          <w:lang w:val="es-ES_tradnl"/>
        </w:rPr>
      </w:pPr>
    </w:p>
    <w:p w:rsidR="00665097" w:rsidRDefault="00DE1512" w:rsidP="00BB313D">
      <w:pPr>
        <w:widowControl w:val="0"/>
        <w:spacing w:line="240" w:lineRule="auto"/>
        <w:jc w:val="center"/>
        <w:rPr>
          <w:rFonts w:cs="Arial"/>
          <w:b/>
          <w:color w:val="1F497D" w:themeColor="text2"/>
          <w:sz w:val="18"/>
          <w:szCs w:val="18"/>
        </w:rPr>
      </w:pPr>
      <w:bookmarkStart w:id="187" w:name="_Toc391999621"/>
      <w:bookmarkStart w:id="188" w:name="_Toc450119504"/>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49</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665097" w:rsidRPr="00C67386">
        <w:rPr>
          <w:rFonts w:cs="Arial"/>
          <w:b/>
          <w:color w:val="1F497D" w:themeColor="text2"/>
          <w:sz w:val="18"/>
          <w:szCs w:val="18"/>
        </w:rPr>
        <w:t>EVOLUCIÓN VENTAS INTERN</w:t>
      </w:r>
      <w:r w:rsidR="0074546E">
        <w:rPr>
          <w:rFonts w:cs="Arial"/>
          <w:b/>
          <w:color w:val="1F497D" w:themeColor="text2"/>
          <w:sz w:val="18"/>
          <w:szCs w:val="18"/>
        </w:rPr>
        <w:t>AS VS. VENTAS EXTERNAS 2012</w:t>
      </w:r>
      <w:r w:rsidR="00665097">
        <w:rPr>
          <w:rFonts w:cs="Arial"/>
          <w:b/>
          <w:color w:val="1F497D" w:themeColor="text2"/>
          <w:sz w:val="18"/>
          <w:szCs w:val="18"/>
        </w:rPr>
        <w:t xml:space="preserve"> </w:t>
      </w:r>
      <w:r w:rsidR="00663AE9">
        <w:rPr>
          <w:rFonts w:cs="Arial"/>
          <w:b/>
          <w:color w:val="1F497D" w:themeColor="text2"/>
          <w:sz w:val="18"/>
          <w:szCs w:val="18"/>
        </w:rPr>
        <w:t>–</w:t>
      </w:r>
      <w:r w:rsidR="00665097">
        <w:rPr>
          <w:rFonts w:cs="Arial"/>
          <w:b/>
          <w:color w:val="1F497D" w:themeColor="text2"/>
          <w:sz w:val="18"/>
          <w:szCs w:val="18"/>
        </w:rPr>
        <w:t xml:space="preserve"> 201</w:t>
      </w:r>
      <w:bookmarkEnd w:id="187"/>
      <w:r w:rsidR="0074546E">
        <w:rPr>
          <w:rFonts w:cs="Arial"/>
          <w:b/>
          <w:color w:val="1F497D" w:themeColor="text2"/>
          <w:sz w:val="18"/>
          <w:szCs w:val="18"/>
        </w:rPr>
        <w:t>4</w:t>
      </w:r>
      <w:bookmarkEnd w:id="188"/>
    </w:p>
    <w:tbl>
      <w:tblPr>
        <w:tblW w:w="9940" w:type="dxa"/>
        <w:jc w:val="center"/>
        <w:tblCellMar>
          <w:left w:w="70" w:type="dxa"/>
          <w:right w:w="70" w:type="dxa"/>
        </w:tblCellMar>
        <w:tblLook w:val="04A0" w:firstRow="1" w:lastRow="0" w:firstColumn="1" w:lastColumn="0" w:noHBand="0" w:noVBand="1"/>
      </w:tblPr>
      <w:tblGrid>
        <w:gridCol w:w="3699"/>
        <w:gridCol w:w="1610"/>
        <w:gridCol w:w="1610"/>
        <w:gridCol w:w="1545"/>
        <w:gridCol w:w="1476"/>
      </w:tblGrid>
      <w:tr w:rsidR="00663AE9" w:rsidRPr="00663AE9" w:rsidTr="00175D09">
        <w:trPr>
          <w:jc w:val="center"/>
        </w:trPr>
        <w:tc>
          <w:tcPr>
            <w:tcW w:w="3103" w:type="dxa"/>
            <w:tcBorders>
              <w:top w:val="single" w:sz="8" w:space="0" w:color="BFBFBF"/>
              <w:left w:val="nil"/>
              <w:bottom w:val="single" w:sz="8" w:space="0" w:color="BFBFBF"/>
              <w:right w:val="single" w:sz="8" w:space="0" w:color="BFBFBF"/>
            </w:tcBorders>
            <w:shd w:val="clear" w:color="000000" w:fill="DBE5F1"/>
            <w:hideMark/>
          </w:tcPr>
          <w:p w:rsidR="00663AE9" w:rsidRPr="00663AE9" w:rsidRDefault="00663AE9" w:rsidP="00B438BB">
            <w:pPr>
              <w:spacing w:line="240" w:lineRule="exact"/>
              <w:rPr>
                <w:rFonts w:ascii="Calibri" w:eastAsia="Times New Roman" w:hAnsi="Calibri" w:cs="Times New Roman"/>
                <w:color w:val="000000"/>
                <w:szCs w:val="20"/>
                <w:lang w:eastAsia="es-ES"/>
              </w:rPr>
            </w:pPr>
            <w:r w:rsidRPr="00663AE9">
              <w:rPr>
                <w:rFonts w:ascii="Calibri" w:eastAsia="Times New Roman" w:hAnsi="Calibri" w:cs="Times New Roman"/>
                <w:color w:val="000000"/>
                <w:szCs w:val="20"/>
                <w:lang w:eastAsia="es-ES"/>
              </w:rPr>
              <w:t> </w:t>
            </w:r>
          </w:p>
        </w:tc>
        <w:tc>
          <w:tcPr>
            <w:tcW w:w="1164" w:type="dxa"/>
            <w:tcBorders>
              <w:top w:val="single" w:sz="8" w:space="0" w:color="BFBFBF"/>
              <w:left w:val="nil"/>
              <w:bottom w:val="single" w:sz="8" w:space="0" w:color="BFBFBF"/>
              <w:right w:val="single" w:sz="8" w:space="0" w:color="BFBFBF"/>
            </w:tcBorders>
            <w:shd w:val="clear" w:color="000000" w:fill="DBE5F1"/>
            <w:vAlign w:val="bottom"/>
            <w:hideMark/>
          </w:tcPr>
          <w:p w:rsidR="00663AE9" w:rsidRPr="00663AE9" w:rsidRDefault="00663AE9" w:rsidP="00B438BB">
            <w:pPr>
              <w:spacing w:line="240" w:lineRule="exact"/>
              <w:jc w:val="center"/>
              <w:rPr>
                <w:rFonts w:eastAsia="Times New Roman" w:cs="Arial"/>
                <w:b/>
                <w:bCs/>
                <w:color w:val="000000"/>
                <w:sz w:val="16"/>
                <w:szCs w:val="16"/>
                <w:lang w:eastAsia="es-ES"/>
              </w:rPr>
            </w:pPr>
            <w:r w:rsidRPr="00663AE9">
              <w:rPr>
                <w:rFonts w:eastAsia="Times New Roman" w:cs="Arial"/>
                <w:b/>
                <w:bCs/>
                <w:color w:val="000000"/>
                <w:sz w:val="16"/>
                <w:szCs w:val="16"/>
                <w:lang w:eastAsia="es-ES"/>
              </w:rPr>
              <w:t>2012</w:t>
            </w:r>
          </w:p>
        </w:tc>
        <w:tc>
          <w:tcPr>
            <w:tcW w:w="1339" w:type="dxa"/>
            <w:tcBorders>
              <w:top w:val="single" w:sz="8" w:space="0" w:color="BFBFBF"/>
              <w:left w:val="nil"/>
              <w:bottom w:val="single" w:sz="8" w:space="0" w:color="BFBFBF"/>
              <w:right w:val="single" w:sz="8" w:space="0" w:color="BFBFBF"/>
            </w:tcBorders>
            <w:shd w:val="clear" w:color="000000" w:fill="DBE5F1"/>
            <w:vAlign w:val="bottom"/>
            <w:hideMark/>
          </w:tcPr>
          <w:p w:rsidR="00663AE9" w:rsidRPr="00663AE9" w:rsidRDefault="00663AE9" w:rsidP="00B438BB">
            <w:pPr>
              <w:spacing w:line="240" w:lineRule="exact"/>
              <w:jc w:val="center"/>
              <w:rPr>
                <w:rFonts w:eastAsia="Times New Roman" w:cs="Arial"/>
                <w:b/>
                <w:bCs/>
                <w:color w:val="000000"/>
                <w:sz w:val="16"/>
                <w:szCs w:val="16"/>
                <w:lang w:eastAsia="es-ES"/>
              </w:rPr>
            </w:pPr>
            <w:r w:rsidRPr="00663AE9">
              <w:rPr>
                <w:rFonts w:eastAsia="Times New Roman" w:cs="Arial"/>
                <w:b/>
                <w:bCs/>
                <w:color w:val="000000"/>
                <w:sz w:val="16"/>
                <w:szCs w:val="16"/>
                <w:lang w:eastAsia="es-ES"/>
              </w:rPr>
              <w:t>2014</w:t>
            </w:r>
          </w:p>
        </w:tc>
        <w:tc>
          <w:tcPr>
            <w:tcW w:w="1296" w:type="dxa"/>
            <w:tcBorders>
              <w:top w:val="single" w:sz="8" w:space="0" w:color="BFBFBF"/>
              <w:left w:val="nil"/>
              <w:bottom w:val="single" w:sz="8" w:space="0" w:color="BFBFBF"/>
              <w:right w:val="single" w:sz="8" w:space="0" w:color="BFBFBF"/>
            </w:tcBorders>
            <w:shd w:val="clear" w:color="000000" w:fill="DBE5F1"/>
            <w:vAlign w:val="bottom"/>
            <w:hideMark/>
          </w:tcPr>
          <w:p w:rsidR="00663AE9" w:rsidRPr="00663AE9" w:rsidRDefault="00663AE9" w:rsidP="00B438BB">
            <w:pPr>
              <w:spacing w:line="240" w:lineRule="exact"/>
              <w:jc w:val="center"/>
              <w:rPr>
                <w:rFonts w:eastAsia="Times New Roman" w:cs="Arial"/>
                <w:b/>
                <w:bCs/>
                <w:color w:val="000000"/>
                <w:sz w:val="16"/>
                <w:szCs w:val="16"/>
                <w:lang w:eastAsia="es-ES"/>
              </w:rPr>
            </w:pPr>
            <w:r w:rsidRPr="00663AE9">
              <w:rPr>
                <w:rFonts w:eastAsia="Times New Roman" w:cs="Arial"/>
                <w:b/>
                <w:bCs/>
                <w:color w:val="000000"/>
                <w:sz w:val="16"/>
                <w:szCs w:val="16"/>
                <w:lang w:val="pt-BR" w:eastAsia="es-ES"/>
              </w:rPr>
              <w:t>%∆14/12</w:t>
            </w:r>
          </w:p>
        </w:tc>
        <w:tc>
          <w:tcPr>
            <w:tcW w:w="1238" w:type="dxa"/>
            <w:tcBorders>
              <w:top w:val="single" w:sz="8" w:space="0" w:color="BFBFBF"/>
              <w:left w:val="nil"/>
              <w:bottom w:val="single" w:sz="8" w:space="0" w:color="BFBFBF"/>
            </w:tcBorders>
            <w:shd w:val="clear" w:color="000000" w:fill="DBE5F1"/>
            <w:vAlign w:val="bottom"/>
            <w:hideMark/>
          </w:tcPr>
          <w:p w:rsidR="00663AE9" w:rsidRPr="00663AE9" w:rsidRDefault="00663AE9" w:rsidP="00B438BB">
            <w:pPr>
              <w:spacing w:line="240" w:lineRule="exact"/>
              <w:jc w:val="center"/>
              <w:rPr>
                <w:rFonts w:eastAsia="Times New Roman" w:cs="Arial"/>
                <w:b/>
                <w:bCs/>
                <w:color w:val="000000"/>
                <w:sz w:val="16"/>
                <w:szCs w:val="16"/>
                <w:lang w:eastAsia="es-ES"/>
              </w:rPr>
            </w:pPr>
            <w:proofErr w:type="spellStart"/>
            <w:proofErr w:type="gramStart"/>
            <w:r w:rsidRPr="00663AE9">
              <w:rPr>
                <w:rFonts w:eastAsia="Times New Roman" w:cs="Arial"/>
                <w:b/>
                <w:bCs/>
                <w:color w:val="000000"/>
                <w:sz w:val="16"/>
                <w:szCs w:val="16"/>
                <w:lang w:val="pt-BR" w:eastAsia="es-ES"/>
              </w:rPr>
              <w:t>c.a</w:t>
            </w:r>
            <w:proofErr w:type="spellEnd"/>
            <w:r w:rsidRPr="00663AE9">
              <w:rPr>
                <w:rFonts w:eastAsia="Times New Roman" w:cs="Arial"/>
                <w:b/>
                <w:bCs/>
                <w:color w:val="000000"/>
                <w:sz w:val="16"/>
                <w:szCs w:val="16"/>
                <w:lang w:val="pt-BR" w:eastAsia="es-ES"/>
              </w:rPr>
              <w:t>.</w:t>
            </w:r>
            <w:proofErr w:type="gramEnd"/>
            <w:r w:rsidRPr="00663AE9">
              <w:rPr>
                <w:rFonts w:eastAsia="Times New Roman" w:cs="Arial"/>
                <w:b/>
                <w:bCs/>
                <w:color w:val="000000"/>
                <w:sz w:val="16"/>
                <w:szCs w:val="16"/>
                <w:lang w:val="pt-BR" w:eastAsia="es-ES"/>
              </w:rPr>
              <w:t xml:space="preserve"> ∆14/12</w:t>
            </w:r>
          </w:p>
        </w:tc>
      </w:tr>
      <w:tr w:rsidR="00663AE9" w:rsidRPr="00663AE9" w:rsidTr="00175D09">
        <w:trPr>
          <w:jc w:val="center"/>
        </w:trPr>
        <w:tc>
          <w:tcPr>
            <w:tcW w:w="3103" w:type="dxa"/>
            <w:tcBorders>
              <w:top w:val="nil"/>
              <w:left w:val="nil"/>
              <w:bottom w:val="nil"/>
              <w:right w:val="single" w:sz="8" w:space="0" w:color="BFBFBF"/>
            </w:tcBorders>
            <w:shd w:val="clear" w:color="auto" w:fill="auto"/>
            <w:hideMark/>
          </w:tcPr>
          <w:p w:rsidR="00663AE9" w:rsidRPr="00663AE9" w:rsidRDefault="00663AE9" w:rsidP="00B438BB">
            <w:pPr>
              <w:spacing w:line="240" w:lineRule="exact"/>
              <w:rPr>
                <w:rFonts w:eastAsia="Times New Roman" w:cs="Arial"/>
                <w:b/>
                <w:bCs/>
                <w:color w:val="000000"/>
                <w:sz w:val="16"/>
                <w:szCs w:val="16"/>
                <w:lang w:eastAsia="es-ES"/>
              </w:rPr>
            </w:pPr>
            <w:r w:rsidRPr="00663AE9">
              <w:rPr>
                <w:rFonts w:eastAsia="Times New Roman" w:cs="Arial"/>
                <w:b/>
                <w:bCs/>
                <w:color w:val="000000"/>
                <w:sz w:val="16"/>
                <w:szCs w:val="16"/>
                <w:lang w:eastAsia="es-ES"/>
              </w:rPr>
              <w:t>Facturación global</w:t>
            </w:r>
          </w:p>
        </w:tc>
        <w:tc>
          <w:tcPr>
            <w:tcW w:w="1164"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8.283.006.345</w:t>
            </w:r>
          </w:p>
        </w:tc>
        <w:tc>
          <w:tcPr>
            <w:tcW w:w="1339"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7.690.772.395</w:t>
            </w:r>
          </w:p>
        </w:tc>
        <w:tc>
          <w:tcPr>
            <w:tcW w:w="1296"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-7,1</w:t>
            </w:r>
          </w:p>
        </w:tc>
        <w:tc>
          <w:tcPr>
            <w:tcW w:w="1238" w:type="dxa"/>
            <w:tcBorders>
              <w:top w:val="nil"/>
              <w:left w:val="nil"/>
              <w:bottom w:val="nil"/>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-592.233.950</w:t>
            </w:r>
          </w:p>
        </w:tc>
      </w:tr>
      <w:tr w:rsidR="00663AE9" w:rsidRPr="00663AE9" w:rsidTr="00175D09">
        <w:trPr>
          <w:jc w:val="center"/>
        </w:trPr>
        <w:tc>
          <w:tcPr>
            <w:tcW w:w="3103" w:type="dxa"/>
            <w:tcBorders>
              <w:top w:val="nil"/>
              <w:left w:val="nil"/>
              <w:bottom w:val="nil"/>
              <w:right w:val="single" w:sz="8" w:space="0" w:color="BFBFBF"/>
            </w:tcBorders>
            <w:shd w:val="clear" w:color="auto" w:fill="auto"/>
            <w:hideMark/>
          </w:tcPr>
          <w:p w:rsidR="00663AE9" w:rsidRPr="00663AE9" w:rsidRDefault="00663AE9" w:rsidP="00B438BB">
            <w:pPr>
              <w:spacing w:line="240" w:lineRule="exact"/>
              <w:rPr>
                <w:rFonts w:eastAsia="Times New Roman" w:cs="Arial"/>
                <w:b/>
                <w:bCs/>
                <w:color w:val="000000"/>
                <w:sz w:val="16"/>
                <w:szCs w:val="16"/>
                <w:lang w:eastAsia="es-ES"/>
              </w:rPr>
            </w:pPr>
            <w:r w:rsidRPr="00663AE9">
              <w:rPr>
                <w:rFonts w:eastAsia="Times New Roman" w:cs="Arial"/>
                <w:b/>
                <w:bCs/>
                <w:color w:val="000000"/>
                <w:sz w:val="16"/>
                <w:szCs w:val="16"/>
                <w:lang w:eastAsia="es-ES"/>
              </w:rPr>
              <w:t>Facturación de las No exportadoras</w:t>
            </w:r>
          </w:p>
        </w:tc>
        <w:tc>
          <w:tcPr>
            <w:tcW w:w="1164"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3.806.223.169</w:t>
            </w:r>
          </w:p>
        </w:tc>
        <w:tc>
          <w:tcPr>
            <w:tcW w:w="1339"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3.621.137.910</w:t>
            </w:r>
          </w:p>
        </w:tc>
        <w:tc>
          <w:tcPr>
            <w:tcW w:w="1296"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-4,9</w:t>
            </w:r>
          </w:p>
        </w:tc>
        <w:tc>
          <w:tcPr>
            <w:tcW w:w="1238" w:type="dxa"/>
            <w:tcBorders>
              <w:top w:val="nil"/>
              <w:left w:val="nil"/>
              <w:bottom w:val="nil"/>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-185.085.259</w:t>
            </w:r>
          </w:p>
        </w:tc>
      </w:tr>
      <w:tr w:rsidR="00663AE9" w:rsidRPr="00663AE9" w:rsidTr="00175D09">
        <w:trPr>
          <w:jc w:val="center"/>
        </w:trPr>
        <w:tc>
          <w:tcPr>
            <w:tcW w:w="3103" w:type="dxa"/>
            <w:tcBorders>
              <w:top w:val="nil"/>
              <w:left w:val="nil"/>
              <w:bottom w:val="nil"/>
              <w:right w:val="single" w:sz="8" w:space="0" w:color="BFBFBF"/>
            </w:tcBorders>
            <w:shd w:val="clear" w:color="auto" w:fill="auto"/>
            <w:hideMark/>
          </w:tcPr>
          <w:p w:rsidR="00663AE9" w:rsidRPr="00663AE9" w:rsidRDefault="00663AE9" w:rsidP="00B438BB">
            <w:pPr>
              <w:spacing w:line="240" w:lineRule="exact"/>
              <w:rPr>
                <w:rFonts w:eastAsia="Times New Roman" w:cs="Arial"/>
                <w:b/>
                <w:bCs/>
                <w:color w:val="000000"/>
                <w:sz w:val="16"/>
                <w:szCs w:val="16"/>
                <w:lang w:eastAsia="es-ES"/>
              </w:rPr>
            </w:pPr>
            <w:r w:rsidRPr="00663AE9">
              <w:rPr>
                <w:rFonts w:eastAsia="Times New Roman" w:cs="Arial"/>
                <w:b/>
                <w:bCs/>
                <w:color w:val="000000"/>
                <w:sz w:val="16"/>
                <w:szCs w:val="16"/>
                <w:lang w:eastAsia="es-ES"/>
              </w:rPr>
              <w:t>Facturación de las exportadoras</w:t>
            </w:r>
          </w:p>
        </w:tc>
        <w:tc>
          <w:tcPr>
            <w:tcW w:w="1164"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4.476.783.176</w:t>
            </w:r>
          </w:p>
        </w:tc>
        <w:tc>
          <w:tcPr>
            <w:tcW w:w="1339"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4.069.634.485</w:t>
            </w:r>
          </w:p>
        </w:tc>
        <w:tc>
          <w:tcPr>
            <w:tcW w:w="1296"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-9,1</w:t>
            </w:r>
          </w:p>
        </w:tc>
        <w:tc>
          <w:tcPr>
            <w:tcW w:w="1238" w:type="dxa"/>
            <w:tcBorders>
              <w:top w:val="nil"/>
              <w:left w:val="nil"/>
              <w:bottom w:val="nil"/>
            </w:tcBorders>
            <w:shd w:val="clear" w:color="auto" w:fill="auto"/>
            <w:vAlign w:val="bottom"/>
            <w:hideMark/>
          </w:tcPr>
          <w:p w:rsidR="00663AE9" w:rsidRPr="00663AE9" w:rsidRDefault="00663AE9" w:rsidP="00DB6D48">
            <w:pPr>
              <w:spacing w:line="240" w:lineRule="exact"/>
              <w:ind w:right="186"/>
              <w:jc w:val="right"/>
              <w:rPr>
                <w:rFonts w:eastAsia="Times New Roman" w:cs="Arial"/>
                <w:b/>
                <w:bCs/>
                <w:color w:val="000000"/>
                <w:sz w:val="16"/>
                <w:szCs w:val="16"/>
                <w:lang w:eastAsia="es-ES"/>
              </w:rPr>
            </w:pPr>
            <w:r w:rsidRPr="00663AE9">
              <w:rPr>
                <w:rFonts w:eastAsia="Times New Roman" w:cs="Arial"/>
                <w:b/>
                <w:bCs/>
                <w:color w:val="000000"/>
                <w:sz w:val="16"/>
                <w:szCs w:val="16"/>
                <w:lang w:eastAsia="es-ES"/>
              </w:rPr>
              <w:t>-407.148.691</w:t>
            </w:r>
          </w:p>
        </w:tc>
      </w:tr>
      <w:tr w:rsidR="00663AE9" w:rsidRPr="00663AE9" w:rsidTr="00175D09">
        <w:trPr>
          <w:jc w:val="center"/>
        </w:trPr>
        <w:tc>
          <w:tcPr>
            <w:tcW w:w="3103" w:type="dxa"/>
            <w:tcBorders>
              <w:top w:val="nil"/>
              <w:left w:val="nil"/>
              <w:bottom w:val="nil"/>
              <w:right w:val="single" w:sz="8" w:space="0" w:color="BFBFBF"/>
            </w:tcBorders>
            <w:shd w:val="clear" w:color="auto" w:fill="auto"/>
            <w:hideMark/>
          </w:tcPr>
          <w:p w:rsidR="00663AE9" w:rsidRPr="00663AE9" w:rsidRDefault="00663AE9" w:rsidP="00B438BB">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a)Ventas internas</w:t>
            </w:r>
          </w:p>
        </w:tc>
        <w:tc>
          <w:tcPr>
            <w:tcW w:w="1164"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1.803.527.961</w:t>
            </w:r>
          </w:p>
        </w:tc>
        <w:tc>
          <w:tcPr>
            <w:tcW w:w="1339"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1.416.163.881</w:t>
            </w:r>
          </w:p>
        </w:tc>
        <w:tc>
          <w:tcPr>
            <w:tcW w:w="1296"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-21,5</w:t>
            </w:r>
          </w:p>
        </w:tc>
        <w:tc>
          <w:tcPr>
            <w:tcW w:w="1238" w:type="dxa"/>
            <w:tcBorders>
              <w:top w:val="nil"/>
              <w:left w:val="nil"/>
              <w:bottom w:val="nil"/>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-387.364.080</w:t>
            </w:r>
          </w:p>
        </w:tc>
      </w:tr>
      <w:tr w:rsidR="00663AE9" w:rsidRPr="00663AE9" w:rsidTr="00175D09">
        <w:trPr>
          <w:jc w:val="center"/>
        </w:trPr>
        <w:tc>
          <w:tcPr>
            <w:tcW w:w="3103" w:type="dxa"/>
            <w:tcBorders>
              <w:top w:val="nil"/>
              <w:left w:val="nil"/>
              <w:bottom w:val="nil"/>
              <w:right w:val="single" w:sz="8" w:space="0" w:color="BFBFBF"/>
            </w:tcBorders>
            <w:shd w:val="clear" w:color="auto" w:fill="auto"/>
            <w:hideMark/>
          </w:tcPr>
          <w:p w:rsidR="00663AE9" w:rsidRPr="00663AE9" w:rsidRDefault="00663AE9" w:rsidP="00B438BB">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b)Ventas externas:  Exportaciones</w:t>
            </w:r>
          </w:p>
        </w:tc>
        <w:tc>
          <w:tcPr>
            <w:tcW w:w="1164"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2.673.255.215</w:t>
            </w:r>
          </w:p>
        </w:tc>
        <w:tc>
          <w:tcPr>
            <w:tcW w:w="1339"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2.653.470.604</w:t>
            </w:r>
          </w:p>
        </w:tc>
        <w:tc>
          <w:tcPr>
            <w:tcW w:w="1296"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-0,7</w:t>
            </w:r>
          </w:p>
        </w:tc>
        <w:tc>
          <w:tcPr>
            <w:tcW w:w="1238" w:type="dxa"/>
            <w:tcBorders>
              <w:top w:val="nil"/>
              <w:left w:val="nil"/>
              <w:bottom w:val="nil"/>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-19.784.611</w:t>
            </w:r>
          </w:p>
        </w:tc>
      </w:tr>
      <w:tr w:rsidR="00663AE9" w:rsidRPr="00663AE9" w:rsidTr="00175D09">
        <w:trPr>
          <w:jc w:val="center"/>
        </w:trPr>
        <w:tc>
          <w:tcPr>
            <w:tcW w:w="3103" w:type="dxa"/>
            <w:tcBorders>
              <w:top w:val="nil"/>
              <w:left w:val="nil"/>
              <w:bottom w:val="nil"/>
              <w:right w:val="single" w:sz="8" w:space="0" w:color="BFBFBF"/>
            </w:tcBorders>
            <w:shd w:val="clear" w:color="auto" w:fill="auto"/>
            <w:hideMark/>
          </w:tcPr>
          <w:p w:rsidR="00663AE9" w:rsidRPr="00663AE9" w:rsidRDefault="00663AE9" w:rsidP="00B438BB">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b.1. Exportaciones Europa</w:t>
            </w:r>
          </w:p>
        </w:tc>
        <w:tc>
          <w:tcPr>
            <w:tcW w:w="1164"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1.588.386.617</w:t>
            </w:r>
          </w:p>
        </w:tc>
        <w:tc>
          <w:tcPr>
            <w:tcW w:w="1339"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1.695.499.875</w:t>
            </w:r>
          </w:p>
        </w:tc>
        <w:tc>
          <w:tcPr>
            <w:tcW w:w="1296" w:type="dxa"/>
            <w:tcBorders>
              <w:top w:val="nil"/>
              <w:left w:val="nil"/>
              <w:bottom w:val="nil"/>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6,7</w:t>
            </w:r>
          </w:p>
        </w:tc>
        <w:tc>
          <w:tcPr>
            <w:tcW w:w="1238" w:type="dxa"/>
            <w:tcBorders>
              <w:top w:val="nil"/>
              <w:left w:val="nil"/>
              <w:bottom w:val="nil"/>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107.113.258</w:t>
            </w:r>
          </w:p>
        </w:tc>
      </w:tr>
      <w:tr w:rsidR="00663AE9" w:rsidRPr="00663AE9" w:rsidTr="00175D09">
        <w:trPr>
          <w:jc w:val="center"/>
        </w:trPr>
        <w:tc>
          <w:tcPr>
            <w:tcW w:w="3103" w:type="dxa"/>
            <w:tcBorders>
              <w:top w:val="nil"/>
              <w:left w:val="nil"/>
              <w:bottom w:val="single" w:sz="8" w:space="0" w:color="BFBFBF"/>
              <w:right w:val="single" w:sz="8" w:space="0" w:color="BFBFBF"/>
            </w:tcBorders>
            <w:shd w:val="clear" w:color="auto" w:fill="auto"/>
            <w:hideMark/>
          </w:tcPr>
          <w:p w:rsidR="00663AE9" w:rsidRPr="00663AE9" w:rsidRDefault="00663AE9" w:rsidP="00B438BB">
            <w:pPr>
              <w:spacing w:line="240" w:lineRule="exact"/>
              <w:rPr>
                <w:rFonts w:eastAsia="Times New Roman" w:cs="Arial"/>
                <w:color w:val="000000"/>
                <w:sz w:val="16"/>
                <w:szCs w:val="16"/>
                <w:lang w:eastAsia="es-ES"/>
              </w:rPr>
            </w:pPr>
            <w:r w:rsidRPr="00663AE9">
              <w:rPr>
                <w:rFonts w:eastAsia="Times New Roman" w:cs="Arial"/>
                <w:color w:val="000000"/>
                <w:sz w:val="16"/>
                <w:szCs w:val="16"/>
                <w:lang w:eastAsia="es-ES"/>
              </w:rPr>
              <w:t>b.2. Exportaciones Resto del Mundo</w:t>
            </w:r>
          </w:p>
        </w:tc>
        <w:tc>
          <w:tcPr>
            <w:tcW w:w="1164" w:type="dxa"/>
            <w:tcBorders>
              <w:top w:val="nil"/>
              <w:left w:val="nil"/>
              <w:bottom w:val="single" w:sz="8" w:space="0" w:color="BFBFBF"/>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1.084.868.598</w:t>
            </w:r>
          </w:p>
        </w:tc>
        <w:tc>
          <w:tcPr>
            <w:tcW w:w="1339" w:type="dxa"/>
            <w:tcBorders>
              <w:top w:val="nil"/>
              <w:left w:val="nil"/>
              <w:bottom w:val="single" w:sz="8" w:space="0" w:color="BFBFBF"/>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957.970.729</w:t>
            </w:r>
          </w:p>
        </w:tc>
        <w:tc>
          <w:tcPr>
            <w:tcW w:w="1296" w:type="dxa"/>
            <w:tcBorders>
              <w:top w:val="nil"/>
              <w:left w:val="nil"/>
              <w:bottom w:val="single" w:sz="8" w:space="0" w:color="BFBFBF"/>
              <w:right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-11,7</w:t>
            </w:r>
          </w:p>
        </w:tc>
        <w:tc>
          <w:tcPr>
            <w:tcW w:w="1238" w:type="dxa"/>
            <w:tcBorders>
              <w:top w:val="nil"/>
              <w:left w:val="nil"/>
              <w:bottom w:val="single" w:sz="8" w:space="0" w:color="BFBFBF"/>
            </w:tcBorders>
            <w:shd w:val="clear" w:color="auto" w:fill="auto"/>
            <w:vAlign w:val="bottom"/>
            <w:hideMark/>
          </w:tcPr>
          <w:p w:rsidR="00663AE9" w:rsidRPr="00663AE9" w:rsidRDefault="00663AE9" w:rsidP="00DB6D48">
            <w:pPr>
              <w:spacing w:line="240" w:lineRule="exact"/>
              <w:ind w:right="186"/>
              <w:jc w:val="right"/>
              <w:rPr>
                <w:rFonts w:eastAsia="Times New Roman" w:cs="Arial"/>
                <w:color w:val="000000"/>
                <w:sz w:val="16"/>
                <w:szCs w:val="16"/>
                <w:lang w:eastAsia="es-ES"/>
              </w:rPr>
            </w:pPr>
            <w:r w:rsidRPr="00663AE9">
              <w:rPr>
                <w:rFonts w:eastAsia="Times New Roman" w:cs="Arial"/>
                <w:color w:val="000000"/>
                <w:sz w:val="16"/>
                <w:szCs w:val="16"/>
                <w:lang w:eastAsia="es-ES"/>
              </w:rPr>
              <w:t>-126.897.869</w:t>
            </w:r>
          </w:p>
        </w:tc>
      </w:tr>
    </w:tbl>
    <w:p w:rsidR="001C63DE" w:rsidRPr="007F1968" w:rsidRDefault="001C63DE" w:rsidP="00BB313D">
      <w:pPr>
        <w:widowControl w:val="0"/>
        <w:rPr>
          <w:lang w:val="es-ES_tradnl"/>
        </w:rPr>
      </w:pPr>
    </w:p>
    <w:p w:rsidR="00665097" w:rsidRPr="007F1968" w:rsidRDefault="00665097" w:rsidP="00BB313D">
      <w:pPr>
        <w:pStyle w:val="Ttulo1"/>
        <w:keepNext w:val="0"/>
        <w:ind w:left="708" w:hanging="708"/>
        <w:rPr>
          <w:color w:val="1F497D" w:themeColor="text2"/>
          <w:sz w:val="22"/>
          <w:szCs w:val="22"/>
        </w:rPr>
      </w:pPr>
      <w:bookmarkStart w:id="189" w:name="_Toc391999521"/>
      <w:bookmarkStart w:id="190" w:name="_Toc450118914"/>
      <w:r w:rsidRPr="007F1968">
        <w:rPr>
          <w:color w:val="1F497D" w:themeColor="text2"/>
          <w:sz w:val="22"/>
          <w:szCs w:val="22"/>
        </w:rPr>
        <w:t xml:space="preserve">4.1.- </w:t>
      </w:r>
      <w:r w:rsidRPr="007F1968">
        <w:rPr>
          <w:color w:val="1F497D" w:themeColor="text2"/>
          <w:sz w:val="22"/>
          <w:szCs w:val="22"/>
        </w:rPr>
        <w:tab/>
        <w:t>EXPORTACIONES SEGÚN SECTOR DE ACTIVIDAD, FORMA JURÍDICA Y TAMAÑO EMPRESARIAL</w:t>
      </w:r>
      <w:bookmarkEnd w:id="189"/>
      <w:bookmarkEnd w:id="190"/>
    </w:p>
    <w:p w:rsidR="00665097" w:rsidRDefault="00665097" w:rsidP="00BB313D">
      <w:pPr>
        <w:widowControl w:val="0"/>
        <w:rPr>
          <w:lang w:val="es-ES_tradnl"/>
        </w:rPr>
      </w:pPr>
    </w:p>
    <w:p w:rsidR="00665097" w:rsidRPr="00C67386" w:rsidRDefault="00DE1512" w:rsidP="00BB313D">
      <w:pPr>
        <w:pStyle w:val="Textoindependiente"/>
        <w:widowControl w:val="0"/>
        <w:jc w:val="center"/>
        <w:rPr>
          <w:rFonts w:ascii="Arial" w:hAnsi="Arial" w:cs="Arial"/>
          <w:b/>
          <w:color w:val="1F497D" w:themeColor="text2"/>
          <w:sz w:val="18"/>
          <w:szCs w:val="18"/>
          <w:lang w:val="es-ES_tradnl"/>
        </w:rPr>
      </w:pPr>
      <w:bookmarkStart w:id="191" w:name="_Toc391999622"/>
      <w:bookmarkStart w:id="192" w:name="_Toc450119505"/>
      <w:r w:rsidRPr="00DE1512">
        <w:rPr>
          <w:rFonts w:ascii="Arial" w:hAnsi="Arial" w:cs="Arial"/>
          <w:b/>
          <w:color w:val="1F497D" w:themeColor="text2"/>
          <w:sz w:val="18"/>
          <w:szCs w:val="18"/>
          <w:lang w:val="es-ES_tradnl"/>
        </w:rPr>
        <w:t>Cuadro 1.</w:t>
      </w:r>
      <w:r w:rsidR="00771A61" w:rsidRPr="00DE1512">
        <w:rPr>
          <w:rFonts w:ascii="Arial" w:hAnsi="Arial" w:cs="Arial"/>
          <w:b/>
          <w:color w:val="1F497D" w:themeColor="text2"/>
          <w:sz w:val="18"/>
          <w:szCs w:val="18"/>
          <w:lang w:val="es-ES_tradnl"/>
        </w:rPr>
        <w:fldChar w:fldCharType="begin"/>
      </w:r>
      <w:r w:rsidRPr="00DE1512">
        <w:rPr>
          <w:rFonts w:ascii="Arial" w:hAnsi="Arial" w:cs="Arial"/>
          <w:b/>
          <w:color w:val="1F497D" w:themeColor="text2"/>
          <w:sz w:val="18"/>
          <w:szCs w:val="18"/>
          <w:lang w:val="es-ES_tradnl"/>
        </w:rPr>
        <w:instrText xml:space="preserve"> SEQ Cuadro_1. \* ARABIC </w:instrText>
      </w:r>
      <w:r w:rsidR="00771A61" w:rsidRPr="00DE1512">
        <w:rPr>
          <w:rFonts w:ascii="Arial" w:hAnsi="Arial" w:cs="Arial"/>
          <w:b/>
          <w:color w:val="1F497D" w:themeColor="text2"/>
          <w:sz w:val="18"/>
          <w:szCs w:val="18"/>
          <w:lang w:val="es-ES_tradnl"/>
        </w:rPr>
        <w:fldChar w:fldCharType="separate"/>
      </w:r>
      <w:r w:rsidR="00FC71A9">
        <w:rPr>
          <w:rFonts w:ascii="Arial" w:hAnsi="Arial" w:cs="Arial"/>
          <w:b/>
          <w:noProof/>
          <w:color w:val="1F497D" w:themeColor="text2"/>
          <w:sz w:val="18"/>
          <w:szCs w:val="18"/>
          <w:lang w:val="es-ES_tradnl"/>
        </w:rPr>
        <w:t>50</w:t>
      </w:r>
      <w:r w:rsidR="00771A61" w:rsidRPr="00DE1512">
        <w:rPr>
          <w:rFonts w:ascii="Arial" w:hAnsi="Arial" w:cs="Arial"/>
          <w:b/>
          <w:color w:val="1F497D" w:themeColor="text2"/>
          <w:sz w:val="18"/>
          <w:szCs w:val="18"/>
          <w:lang w:val="es-ES_tradnl"/>
        </w:rPr>
        <w:fldChar w:fldCharType="end"/>
      </w:r>
      <w:r w:rsidRPr="00DE1512">
        <w:rPr>
          <w:rFonts w:ascii="Arial" w:hAnsi="Arial" w:cs="Arial"/>
          <w:b/>
          <w:color w:val="1F497D" w:themeColor="text2"/>
          <w:sz w:val="18"/>
          <w:szCs w:val="18"/>
          <w:lang w:val="es-ES_tradnl"/>
        </w:rPr>
        <w:t xml:space="preserve"> </w:t>
      </w:r>
      <w:r w:rsidR="00C86565" w:rsidRPr="00C86565">
        <w:rPr>
          <w:rFonts w:ascii="Arial" w:hAnsi="Arial" w:cs="Arial"/>
          <w:b/>
          <w:color w:val="1F497D" w:themeColor="text2"/>
          <w:sz w:val="18"/>
          <w:szCs w:val="18"/>
          <w:lang w:val="es-ES_tradnl"/>
        </w:rPr>
        <w:t xml:space="preserve"> </w:t>
      </w:r>
      <w:r w:rsidR="00665097" w:rsidRPr="00C67386">
        <w:rPr>
          <w:rFonts w:ascii="Arial" w:hAnsi="Arial" w:cs="Arial"/>
          <w:b/>
          <w:color w:val="1F497D" w:themeColor="text2"/>
          <w:sz w:val="18"/>
          <w:szCs w:val="18"/>
          <w:lang w:val="es-ES_tradnl"/>
        </w:rPr>
        <w:t>DISTRIBUCIÓN SECTORIAL DE LAS EXPORTACIONES DE LA ECONOMÍA SOCIAL. (</w:t>
      </w:r>
      <w:proofErr w:type="gramStart"/>
      <w:r w:rsidR="00490B03">
        <w:rPr>
          <w:rFonts w:ascii="Arial" w:hAnsi="Arial" w:cs="Arial"/>
          <w:b/>
          <w:color w:val="1F497D" w:themeColor="text2"/>
          <w:sz w:val="18"/>
          <w:szCs w:val="18"/>
          <w:lang w:val="es-ES_tradnl"/>
        </w:rPr>
        <w:t>cifras</w:t>
      </w:r>
      <w:proofErr w:type="gramEnd"/>
      <w:r w:rsidR="00490B03">
        <w:rPr>
          <w:rFonts w:ascii="Arial" w:hAnsi="Arial" w:cs="Arial"/>
          <w:b/>
          <w:color w:val="1F497D" w:themeColor="text2"/>
          <w:sz w:val="18"/>
          <w:szCs w:val="18"/>
          <w:lang w:val="es-ES_tradnl"/>
        </w:rPr>
        <w:t xml:space="preserve"> absolutas</w:t>
      </w:r>
      <w:r w:rsidR="00665097" w:rsidRPr="00C67386">
        <w:rPr>
          <w:rFonts w:ascii="Arial" w:hAnsi="Arial" w:cs="Arial"/>
          <w:b/>
          <w:color w:val="1F497D" w:themeColor="text2"/>
          <w:sz w:val="18"/>
          <w:szCs w:val="18"/>
          <w:lang w:val="es-ES_tradnl"/>
        </w:rPr>
        <w:t xml:space="preserve"> en miles de Euros, % v</w:t>
      </w:r>
      <w:r w:rsidR="00490B03">
        <w:rPr>
          <w:rFonts w:ascii="Arial" w:hAnsi="Arial" w:cs="Arial"/>
          <w:b/>
          <w:color w:val="1F497D" w:themeColor="text2"/>
          <w:sz w:val="18"/>
          <w:szCs w:val="18"/>
          <w:lang w:val="es-ES_tradnl"/>
        </w:rPr>
        <w:t>er</w:t>
      </w:r>
      <w:r w:rsidR="00DA23E1">
        <w:rPr>
          <w:rFonts w:ascii="Arial" w:hAnsi="Arial" w:cs="Arial"/>
          <w:b/>
          <w:color w:val="1F497D" w:themeColor="text2"/>
          <w:sz w:val="18"/>
          <w:szCs w:val="18"/>
          <w:lang w:val="es-ES_tradnl"/>
        </w:rPr>
        <w:t>ticales</w:t>
      </w:r>
      <w:r w:rsidR="00665097" w:rsidRPr="00C67386">
        <w:rPr>
          <w:rFonts w:ascii="Arial" w:hAnsi="Arial" w:cs="Arial"/>
          <w:b/>
          <w:color w:val="1F497D" w:themeColor="text2"/>
          <w:sz w:val="18"/>
          <w:szCs w:val="18"/>
          <w:lang w:val="es-ES_tradnl"/>
        </w:rPr>
        <w:t>) Y PESO RELATIVO SOBRE LA CIFRA DE NEGOCIOS. 201</w:t>
      </w:r>
      <w:bookmarkEnd w:id="191"/>
      <w:r w:rsidR="00E702B7">
        <w:rPr>
          <w:rFonts w:ascii="Arial" w:hAnsi="Arial" w:cs="Arial"/>
          <w:b/>
          <w:color w:val="1F497D" w:themeColor="text2"/>
          <w:sz w:val="18"/>
          <w:szCs w:val="18"/>
          <w:lang w:val="es-ES_tradnl"/>
        </w:rPr>
        <w:t>4</w:t>
      </w:r>
      <w:bookmarkEnd w:id="192"/>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622"/>
        <w:gridCol w:w="2622"/>
        <w:gridCol w:w="1692"/>
        <w:gridCol w:w="3004"/>
      </w:tblGrid>
      <w:tr w:rsidR="00665097" w:rsidRPr="00C67386" w:rsidTr="00D122F5">
        <w:trPr>
          <w:jc w:val="center"/>
        </w:trPr>
        <w:tc>
          <w:tcPr>
            <w:tcW w:w="1319"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C67386" w:rsidRDefault="00665097" w:rsidP="00B438BB">
            <w:pPr>
              <w:widowControl w:val="0"/>
              <w:spacing w:line="240" w:lineRule="exact"/>
              <w:jc w:val="center"/>
              <w:rPr>
                <w:rFonts w:cs="Arial"/>
                <w:b/>
                <w:bCs/>
                <w:sz w:val="16"/>
                <w:szCs w:val="16"/>
              </w:rPr>
            </w:pPr>
          </w:p>
        </w:tc>
        <w:tc>
          <w:tcPr>
            <w:tcW w:w="217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C67386" w:rsidRDefault="00665097" w:rsidP="00B438BB">
            <w:pPr>
              <w:widowControl w:val="0"/>
              <w:spacing w:line="240" w:lineRule="exact"/>
              <w:jc w:val="center"/>
              <w:rPr>
                <w:rFonts w:cs="Arial"/>
                <w:b/>
                <w:bCs/>
                <w:sz w:val="16"/>
                <w:szCs w:val="16"/>
              </w:rPr>
            </w:pPr>
            <w:r w:rsidRPr="00C67386">
              <w:rPr>
                <w:rFonts w:cs="Arial"/>
                <w:b/>
                <w:bCs/>
                <w:sz w:val="16"/>
                <w:szCs w:val="16"/>
              </w:rPr>
              <w:t>Exportaciones</w:t>
            </w:r>
          </w:p>
        </w:tc>
        <w:tc>
          <w:tcPr>
            <w:tcW w:w="151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665097" w:rsidRPr="00C67386" w:rsidRDefault="00665097" w:rsidP="00B438BB">
            <w:pPr>
              <w:widowControl w:val="0"/>
              <w:spacing w:line="240" w:lineRule="exact"/>
              <w:jc w:val="center"/>
              <w:rPr>
                <w:rFonts w:cs="Arial"/>
                <w:b/>
                <w:bCs/>
                <w:sz w:val="16"/>
                <w:szCs w:val="16"/>
                <w:lang w:val="pt-BR"/>
              </w:rPr>
            </w:pPr>
            <w:r w:rsidRPr="00C67386">
              <w:rPr>
                <w:rFonts w:cs="Arial"/>
                <w:b/>
                <w:bCs/>
                <w:sz w:val="16"/>
                <w:szCs w:val="16"/>
                <w:lang w:val="pt-BR"/>
              </w:rPr>
              <w:t xml:space="preserve">Peso relativo s/cifra de </w:t>
            </w:r>
            <w:proofErr w:type="spellStart"/>
            <w:r w:rsidRPr="00C67386">
              <w:rPr>
                <w:rFonts w:cs="Arial"/>
                <w:b/>
                <w:bCs/>
                <w:sz w:val="16"/>
                <w:szCs w:val="16"/>
                <w:lang w:val="pt-BR"/>
              </w:rPr>
              <w:t>negocios</w:t>
            </w:r>
            <w:proofErr w:type="spellEnd"/>
          </w:p>
        </w:tc>
      </w:tr>
      <w:tr w:rsidR="00665097" w:rsidRPr="00C67386" w:rsidTr="00D122F5">
        <w:trPr>
          <w:jc w:val="center"/>
        </w:trPr>
        <w:tc>
          <w:tcPr>
            <w:tcW w:w="1319" w:type="pct"/>
            <w:vMerge/>
            <w:tcBorders>
              <w:bottom w:val="single" w:sz="4" w:space="0" w:color="BFBFBF" w:themeColor="background1" w:themeShade="BF"/>
              <w:right w:val="single" w:sz="4" w:space="0" w:color="BFBFBF" w:themeColor="background1" w:themeShade="BF"/>
            </w:tcBorders>
          </w:tcPr>
          <w:p w:rsidR="00665097" w:rsidRPr="00C67386" w:rsidRDefault="00665097" w:rsidP="00B438BB">
            <w:pPr>
              <w:widowControl w:val="0"/>
              <w:spacing w:line="240" w:lineRule="exact"/>
              <w:rPr>
                <w:rFonts w:cs="Arial"/>
                <w:b/>
                <w:bCs/>
                <w:sz w:val="16"/>
                <w:szCs w:val="16"/>
                <w:lang w:val="pt-BR"/>
              </w:rPr>
            </w:pPr>
          </w:p>
        </w:tc>
        <w:tc>
          <w:tcPr>
            <w:tcW w:w="1319"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C67386" w:rsidRDefault="00490B03" w:rsidP="00B438BB">
            <w:pPr>
              <w:widowControl w:val="0"/>
              <w:spacing w:line="240" w:lineRule="exact"/>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851" w:type="pct"/>
            <w:tcBorders>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C67386" w:rsidRDefault="00153402" w:rsidP="00B438BB">
            <w:pPr>
              <w:widowControl w:val="0"/>
              <w:spacing w:line="240" w:lineRule="exact"/>
              <w:jc w:val="center"/>
              <w:rPr>
                <w:rFonts w:cs="Arial"/>
                <w:b/>
                <w:bCs/>
                <w:sz w:val="16"/>
                <w:szCs w:val="16"/>
              </w:rPr>
            </w:pPr>
            <w:r>
              <w:rPr>
                <w:rFonts w:cs="Arial"/>
                <w:b/>
                <w:bCs/>
                <w:sz w:val="16"/>
                <w:szCs w:val="16"/>
              </w:rPr>
              <w:t>% ver.</w:t>
            </w:r>
          </w:p>
        </w:tc>
        <w:tc>
          <w:tcPr>
            <w:tcW w:w="1511"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C67386" w:rsidRDefault="00665097" w:rsidP="00B438BB">
            <w:pPr>
              <w:widowControl w:val="0"/>
              <w:spacing w:line="240" w:lineRule="exact"/>
              <w:jc w:val="center"/>
              <w:rPr>
                <w:rFonts w:cs="Arial"/>
                <w:b/>
                <w:bCs/>
                <w:sz w:val="16"/>
                <w:szCs w:val="16"/>
              </w:rPr>
            </w:pPr>
            <w:r w:rsidRPr="00C67386">
              <w:rPr>
                <w:rFonts w:cs="Arial"/>
                <w:b/>
                <w:bCs/>
                <w:sz w:val="16"/>
                <w:szCs w:val="16"/>
              </w:rPr>
              <w:t>%</w:t>
            </w:r>
          </w:p>
        </w:tc>
      </w:tr>
      <w:tr w:rsidR="00665097" w:rsidRPr="00C67386" w:rsidTr="00D122F5">
        <w:trPr>
          <w:jc w:val="center"/>
        </w:trPr>
        <w:tc>
          <w:tcPr>
            <w:tcW w:w="1319" w:type="pct"/>
            <w:tcBorders>
              <w:right w:val="single" w:sz="4" w:space="0" w:color="BFBFBF" w:themeColor="background1" w:themeShade="BF"/>
            </w:tcBorders>
          </w:tcPr>
          <w:p w:rsidR="00665097" w:rsidRPr="00C67386" w:rsidRDefault="00665097" w:rsidP="00B438BB">
            <w:pPr>
              <w:widowControl w:val="0"/>
              <w:spacing w:line="240" w:lineRule="exact"/>
              <w:rPr>
                <w:rFonts w:cs="Arial"/>
                <w:sz w:val="16"/>
                <w:szCs w:val="16"/>
              </w:rPr>
            </w:pPr>
            <w:r w:rsidRPr="00C67386">
              <w:rPr>
                <w:rFonts w:cs="Arial"/>
                <w:sz w:val="16"/>
                <w:szCs w:val="16"/>
              </w:rPr>
              <w:t>Industria (*)</w:t>
            </w:r>
          </w:p>
        </w:tc>
        <w:tc>
          <w:tcPr>
            <w:tcW w:w="1319" w:type="pct"/>
            <w:tcBorders>
              <w:left w:val="single" w:sz="4" w:space="0" w:color="BFBFBF" w:themeColor="background1" w:themeShade="BF"/>
            </w:tcBorders>
          </w:tcPr>
          <w:p w:rsidR="00665097" w:rsidRPr="0091120C" w:rsidRDefault="004D1F3B" w:rsidP="00B438BB">
            <w:pPr>
              <w:widowControl w:val="0"/>
              <w:spacing w:line="240" w:lineRule="exact"/>
              <w:ind w:right="284"/>
              <w:jc w:val="right"/>
              <w:rPr>
                <w:rFonts w:cs="Arial"/>
                <w:bCs/>
                <w:sz w:val="16"/>
                <w:szCs w:val="16"/>
              </w:rPr>
            </w:pPr>
            <w:r w:rsidRPr="0091120C">
              <w:rPr>
                <w:rFonts w:cs="Arial"/>
                <w:bCs/>
                <w:sz w:val="16"/>
                <w:szCs w:val="16"/>
              </w:rPr>
              <w:t>2.627.706.611</w:t>
            </w:r>
          </w:p>
        </w:tc>
        <w:tc>
          <w:tcPr>
            <w:tcW w:w="851" w:type="pct"/>
            <w:tcBorders>
              <w:right w:val="single" w:sz="4" w:space="0" w:color="BFBFBF" w:themeColor="background1" w:themeShade="BF"/>
            </w:tcBorders>
          </w:tcPr>
          <w:p w:rsidR="00665097" w:rsidRPr="004D1F3B" w:rsidRDefault="0091120C" w:rsidP="00B438BB">
            <w:pPr>
              <w:widowControl w:val="0"/>
              <w:spacing w:line="240" w:lineRule="exact"/>
              <w:ind w:right="284"/>
              <w:jc w:val="right"/>
              <w:rPr>
                <w:rFonts w:eastAsia="Times New Roman" w:cs="Arial"/>
                <w:color w:val="000000"/>
                <w:sz w:val="16"/>
                <w:szCs w:val="16"/>
                <w:lang w:eastAsia="es-ES"/>
              </w:rPr>
            </w:pPr>
            <w:r>
              <w:rPr>
                <w:rFonts w:eastAsia="Times New Roman" w:cs="Arial"/>
                <w:color w:val="000000"/>
                <w:sz w:val="16"/>
                <w:szCs w:val="16"/>
                <w:lang w:eastAsia="es-ES"/>
              </w:rPr>
              <w:t>99,1</w:t>
            </w:r>
          </w:p>
        </w:tc>
        <w:tc>
          <w:tcPr>
            <w:tcW w:w="1511" w:type="pct"/>
            <w:tcBorders>
              <w:left w:val="single" w:sz="4" w:space="0" w:color="BFBFBF" w:themeColor="background1" w:themeShade="BF"/>
            </w:tcBorders>
          </w:tcPr>
          <w:p w:rsidR="00665097" w:rsidRPr="00C67386" w:rsidRDefault="005D01CB" w:rsidP="00B438BB">
            <w:pPr>
              <w:widowControl w:val="0"/>
              <w:spacing w:line="240" w:lineRule="exact"/>
              <w:jc w:val="center"/>
              <w:rPr>
                <w:rFonts w:cs="Arial"/>
                <w:sz w:val="16"/>
                <w:szCs w:val="16"/>
              </w:rPr>
            </w:pPr>
            <w:r>
              <w:rPr>
                <w:rFonts w:cs="Arial"/>
                <w:sz w:val="16"/>
                <w:szCs w:val="16"/>
              </w:rPr>
              <w:t>62,8</w:t>
            </w:r>
          </w:p>
        </w:tc>
      </w:tr>
      <w:tr w:rsidR="00665097" w:rsidRPr="00C67386" w:rsidTr="00D122F5">
        <w:trPr>
          <w:jc w:val="center"/>
        </w:trPr>
        <w:tc>
          <w:tcPr>
            <w:tcW w:w="1319" w:type="pct"/>
            <w:tcBorders>
              <w:bottom w:val="single" w:sz="4" w:space="0" w:color="BFBFBF" w:themeColor="background1" w:themeShade="BF"/>
              <w:right w:val="single" w:sz="4" w:space="0" w:color="BFBFBF" w:themeColor="background1" w:themeShade="BF"/>
            </w:tcBorders>
          </w:tcPr>
          <w:p w:rsidR="00665097" w:rsidRPr="00C67386" w:rsidRDefault="00665097" w:rsidP="00B438BB">
            <w:pPr>
              <w:widowControl w:val="0"/>
              <w:spacing w:line="240" w:lineRule="exact"/>
              <w:rPr>
                <w:rFonts w:cs="Arial"/>
                <w:sz w:val="16"/>
                <w:szCs w:val="16"/>
              </w:rPr>
            </w:pPr>
            <w:r w:rsidRPr="00C67386">
              <w:rPr>
                <w:rFonts w:cs="Arial"/>
                <w:sz w:val="16"/>
                <w:szCs w:val="16"/>
              </w:rPr>
              <w:t xml:space="preserve">Servicios </w:t>
            </w:r>
          </w:p>
        </w:tc>
        <w:tc>
          <w:tcPr>
            <w:tcW w:w="1319" w:type="pct"/>
            <w:tcBorders>
              <w:left w:val="single" w:sz="4" w:space="0" w:color="BFBFBF" w:themeColor="background1" w:themeShade="BF"/>
              <w:bottom w:val="single" w:sz="4" w:space="0" w:color="BFBFBF" w:themeColor="background1" w:themeShade="BF"/>
            </w:tcBorders>
          </w:tcPr>
          <w:p w:rsidR="00665097" w:rsidRPr="0091120C" w:rsidRDefault="004D1F3B" w:rsidP="00B438BB">
            <w:pPr>
              <w:widowControl w:val="0"/>
              <w:spacing w:line="240" w:lineRule="exact"/>
              <w:ind w:right="284"/>
              <w:jc w:val="right"/>
              <w:rPr>
                <w:rFonts w:cs="Arial"/>
                <w:bCs/>
                <w:sz w:val="16"/>
                <w:szCs w:val="16"/>
              </w:rPr>
            </w:pPr>
            <w:r w:rsidRPr="0091120C">
              <w:rPr>
                <w:rFonts w:cs="Arial"/>
                <w:bCs/>
                <w:sz w:val="16"/>
                <w:szCs w:val="16"/>
              </w:rPr>
              <w:t>23.396.935</w:t>
            </w:r>
          </w:p>
        </w:tc>
        <w:tc>
          <w:tcPr>
            <w:tcW w:w="851" w:type="pct"/>
            <w:tcBorders>
              <w:bottom w:val="single" w:sz="4" w:space="0" w:color="BFBFBF" w:themeColor="background1" w:themeShade="BF"/>
              <w:right w:val="single" w:sz="4" w:space="0" w:color="BFBFBF" w:themeColor="background1" w:themeShade="BF"/>
            </w:tcBorders>
          </w:tcPr>
          <w:p w:rsidR="00665097" w:rsidRPr="004D1F3B" w:rsidRDefault="0091120C" w:rsidP="00B438BB">
            <w:pPr>
              <w:widowControl w:val="0"/>
              <w:spacing w:line="240" w:lineRule="exact"/>
              <w:ind w:right="284"/>
              <w:jc w:val="right"/>
              <w:rPr>
                <w:rFonts w:eastAsia="Times New Roman" w:cs="Arial"/>
                <w:color w:val="000000"/>
                <w:sz w:val="16"/>
                <w:szCs w:val="16"/>
                <w:lang w:eastAsia="es-ES"/>
              </w:rPr>
            </w:pPr>
            <w:r>
              <w:rPr>
                <w:rFonts w:eastAsia="Times New Roman" w:cs="Arial"/>
                <w:color w:val="000000"/>
                <w:sz w:val="16"/>
                <w:szCs w:val="16"/>
                <w:lang w:eastAsia="es-ES"/>
              </w:rPr>
              <w:t>0,9</w:t>
            </w:r>
          </w:p>
        </w:tc>
        <w:tc>
          <w:tcPr>
            <w:tcW w:w="1511" w:type="pct"/>
            <w:tcBorders>
              <w:left w:val="single" w:sz="4" w:space="0" w:color="BFBFBF" w:themeColor="background1" w:themeShade="BF"/>
              <w:bottom w:val="single" w:sz="4" w:space="0" w:color="BFBFBF" w:themeColor="background1" w:themeShade="BF"/>
            </w:tcBorders>
          </w:tcPr>
          <w:p w:rsidR="00665097" w:rsidRPr="00C67386" w:rsidRDefault="005D01CB" w:rsidP="00B438BB">
            <w:pPr>
              <w:widowControl w:val="0"/>
              <w:spacing w:line="240" w:lineRule="exact"/>
              <w:jc w:val="center"/>
              <w:rPr>
                <w:rFonts w:cs="Arial"/>
                <w:sz w:val="16"/>
                <w:szCs w:val="16"/>
              </w:rPr>
            </w:pPr>
            <w:r>
              <w:rPr>
                <w:rFonts w:cs="Arial"/>
                <w:sz w:val="16"/>
                <w:szCs w:val="16"/>
              </w:rPr>
              <w:t>0,7</w:t>
            </w:r>
          </w:p>
        </w:tc>
      </w:tr>
      <w:tr w:rsidR="00665097" w:rsidRPr="00C67386" w:rsidTr="00D122F5">
        <w:trPr>
          <w:jc w:val="center"/>
        </w:trPr>
        <w:tc>
          <w:tcPr>
            <w:tcW w:w="131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C67386" w:rsidRDefault="00665097" w:rsidP="00B438BB">
            <w:pPr>
              <w:widowControl w:val="0"/>
              <w:spacing w:line="240" w:lineRule="exact"/>
              <w:rPr>
                <w:rFonts w:cs="Arial"/>
                <w:b/>
                <w:bCs/>
                <w:sz w:val="16"/>
                <w:szCs w:val="16"/>
              </w:rPr>
            </w:pPr>
            <w:r w:rsidRPr="00C67386">
              <w:rPr>
                <w:rFonts w:cs="Arial"/>
                <w:b/>
                <w:bCs/>
                <w:sz w:val="16"/>
                <w:szCs w:val="16"/>
                <w:lang w:val="es-ES_tradnl"/>
              </w:rPr>
              <w:t>TOTAL</w:t>
            </w:r>
          </w:p>
        </w:tc>
        <w:tc>
          <w:tcPr>
            <w:tcW w:w="1319"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65097" w:rsidRPr="00C67386" w:rsidRDefault="00665097" w:rsidP="00B438BB">
            <w:pPr>
              <w:widowControl w:val="0"/>
              <w:spacing w:line="240" w:lineRule="exact"/>
              <w:ind w:right="284"/>
              <w:jc w:val="right"/>
              <w:rPr>
                <w:rFonts w:cs="Arial"/>
                <w:sz w:val="16"/>
                <w:szCs w:val="16"/>
              </w:rPr>
            </w:pPr>
            <w:r w:rsidRPr="00C67386">
              <w:rPr>
                <w:rFonts w:cs="Arial"/>
                <w:b/>
                <w:bCs/>
                <w:sz w:val="16"/>
                <w:szCs w:val="16"/>
              </w:rPr>
              <w:t>2.6</w:t>
            </w:r>
            <w:r w:rsidR="00A73507">
              <w:rPr>
                <w:rFonts w:cs="Arial"/>
                <w:b/>
                <w:bCs/>
                <w:sz w:val="16"/>
                <w:szCs w:val="16"/>
              </w:rPr>
              <w:t>51.103.546</w:t>
            </w:r>
          </w:p>
        </w:tc>
        <w:tc>
          <w:tcPr>
            <w:tcW w:w="851"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C67386" w:rsidRDefault="00665097" w:rsidP="00B438BB">
            <w:pPr>
              <w:widowControl w:val="0"/>
              <w:spacing w:line="240" w:lineRule="exact"/>
              <w:ind w:right="284"/>
              <w:jc w:val="right"/>
              <w:rPr>
                <w:rFonts w:cs="Arial"/>
                <w:b/>
                <w:bCs/>
                <w:sz w:val="16"/>
                <w:szCs w:val="16"/>
              </w:rPr>
            </w:pPr>
            <w:r w:rsidRPr="00C67386">
              <w:rPr>
                <w:rFonts w:cs="Arial"/>
                <w:b/>
                <w:bCs/>
                <w:sz w:val="16"/>
                <w:szCs w:val="16"/>
              </w:rPr>
              <w:t>100</w:t>
            </w:r>
            <w:r w:rsidR="00A917B1">
              <w:rPr>
                <w:rFonts w:cs="Arial"/>
                <w:b/>
                <w:bCs/>
                <w:sz w:val="16"/>
                <w:szCs w:val="16"/>
              </w:rPr>
              <w:t>,0</w:t>
            </w:r>
          </w:p>
        </w:tc>
        <w:tc>
          <w:tcPr>
            <w:tcW w:w="151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65097" w:rsidRPr="00C67386" w:rsidRDefault="00665097" w:rsidP="00B438BB">
            <w:pPr>
              <w:widowControl w:val="0"/>
              <w:spacing w:line="240" w:lineRule="exact"/>
              <w:jc w:val="center"/>
              <w:rPr>
                <w:rFonts w:cs="Arial"/>
                <w:sz w:val="16"/>
                <w:szCs w:val="16"/>
              </w:rPr>
            </w:pPr>
            <w:r w:rsidRPr="00C67386">
              <w:rPr>
                <w:rFonts w:cs="Arial"/>
                <w:b/>
                <w:bCs/>
                <w:sz w:val="16"/>
                <w:szCs w:val="16"/>
              </w:rPr>
              <w:t>3</w:t>
            </w:r>
            <w:r w:rsidR="00297A45">
              <w:rPr>
                <w:rFonts w:cs="Arial"/>
                <w:b/>
                <w:bCs/>
                <w:sz w:val="16"/>
                <w:szCs w:val="16"/>
              </w:rPr>
              <w:t>4,5</w:t>
            </w:r>
          </w:p>
        </w:tc>
      </w:tr>
    </w:tbl>
    <w:p w:rsidR="00665097" w:rsidRDefault="00665097" w:rsidP="00BB313D">
      <w:pPr>
        <w:pStyle w:val="Textoindependiente3"/>
        <w:widowControl w:val="0"/>
        <w:spacing w:line="312" w:lineRule="auto"/>
        <w:rPr>
          <w:rFonts w:ascii="Arial" w:hAnsi="Arial" w:cs="Arial"/>
          <w:szCs w:val="16"/>
        </w:rPr>
      </w:pPr>
      <w:r>
        <w:rPr>
          <w:rFonts w:ascii="Arial" w:hAnsi="Arial" w:cs="Arial"/>
          <w:szCs w:val="16"/>
        </w:rPr>
        <w:t>(*) No incluye Construcción.</w:t>
      </w:r>
    </w:p>
    <w:p w:rsidR="00A6385B" w:rsidRDefault="00A6385B" w:rsidP="00BB313D">
      <w:pPr>
        <w:pStyle w:val="Textoindependiente"/>
        <w:widowControl w:val="0"/>
        <w:spacing w:line="312" w:lineRule="auto"/>
        <w:rPr>
          <w:rFonts w:ascii="Arial" w:hAnsi="Arial" w:cs="Arial"/>
          <w:sz w:val="20"/>
          <w:lang w:val="es-ES_tradnl"/>
        </w:rPr>
      </w:pPr>
    </w:p>
    <w:p w:rsidR="00665097" w:rsidRDefault="00DE1512" w:rsidP="00BB313D">
      <w:pPr>
        <w:widowControl w:val="0"/>
        <w:spacing w:line="240" w:lineRule="auto"/>
        <w:jc w:val="center"/>
        <w:rPr>
          <w:rFonts w:cs="Arial"/>
          <w:b/>
          <w:color w:val="1F497D" w:themeColor="text2"/>
          <w:sz w:val="18"/>
          <w:szCs w:val="18"/>
        </w:rPr>
      </w:pPr>
      <w:bookmarkStart w:id="193" w:name="_Toc391999623"/>
      <w:bookmarkStart w:id="194" w:name="_Toc45011950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C67386">
        <w:rPr>
          <w:rFonts w:cs="Arial"/>
          <w:b/>
          <w:color w:val="1F497D" w:themeColor="text2"/>
          <w:sz w:val="18"/>
          <w:szCs w:val="18"/>
        </w:rPr>
        <w:t>DISTRIBUCIÓN SECTORIAL DE LAS EXPORTACIONES DE LA ECONOMÍA SOCIAL SEGÚN FORMA JURÍDICA. (</w:t>
      </w:r>
      <w:proofErr w:type="gramStart"/>
      <w:r w:rsidR="00490B03">
        <w:rPr>
          <w:rFonts w:cs="Arial"/>
          <w:b/>
          <w:color w:val="1F497D" w:themeColor="text2"/>
          <w:sz w:val="18"/>
          <w:szCs w:val="18"/>
        </w:rPr>
        <w:t>cifras</w:t>
      </w:r>
      <w:proofErr w:type="gramEnd"/>
      <w:r w:rsidR="00490B03">
        <w:rPr>
          <w:rFonts w:cs="Arial"/>
          <w:b/>
          <w:color w:val="1F497D" w:themeColor="text2"/>
          <w:sz w:val="18"/>
          <w:szCs w:val="18"/>
        </w:rPr>
        <w:t xml:space="preserve"> absolutas</w:t>
      </w:r>
      <w:r w:rsidR="00665097" w:rsidRPr="00C67386">
        <w:rPr>
          <w:rFonts w:cs="Arial"/>
          <w:b/>
          <w:color w:val="1F497D" w:themeColor="text2"/>
          <w:sz w:val="18"/>
          <w:szCs w:val="18"/>
        </w:rPr>
        <w:t xml:space="preserve"> en millones de Euros. y % h</w:t>
      </w:r>
      <w:r w:rsidR="00490B03">
        <w:rPr>
          <w:rFonts w:cs="Arial"/>
          <w:b/>
          <w:color w:val="1F497D" w:themeColor="text2"/>
          <w:sz w:val="18"/>
          <w:szCs w:val="18"/>
        </w:rPr>
        <w:t>or</w:t>
      </w:r>
      <w:r w:rsidR="00DA23E1">
        <w:rPr>
          <w:rFonts w:cs="Arial"/>
          <w:b/>
          <w:color w:val="1F497D" w:themeColor="text2"/>
          <w:sz w:val="18"/>
          <w:szCs w:val="18"/>
        </w:rPr>
        <w:t>izontales</w:t>
      </w:r>
      <w:r w:rsidR="00665097" w:rsidRPr="00C67386">
        <w:rPr>
          <w:rFonts w:cs="Arial"/>
          <w:b/>
          <w:color w:val="1F497D" w:themeColor="text2"/>
          <w:sz w:val="18"/>
          <w:szCs w:val="18"/>
        </w:rPr>
        <w:t>). 201</w:t>
      </w:r>
      <w:bookmarkEnd w:id="193"/>
      <w:r w:rsidR="005D01CB">
        <w:rPr>
          <w:rFonts w:cs="Arial"/>
          <w:b/>
          <w:color w:val="1F497D" w:themeColor="text2"/>
          <w:sz w:val="18"/>
          <w:szCs w:val="18"/>
        </w:rPr>
        <w:t>4</w:t>
      </w:r>
      <w:bookmarkEnd w:id="194"/>
    </w:p>
    <w:tbl>
      <w:tblPr>
        <w:tblW w:w="9940" w:type="dxa"/>
        <w:jc w:val="center"/>
        <w:tblLook w:val="04A0" w:firstRow="1" w:lastRow="0" w:firstColumn="1" w:lastColumn="0" w:noHBand="0" w:noVBand="1"/>
      </w:tblPr>
      <w:tblGrid>
        <w:gridCol w:w="1261"/>
        <w:gridCol w:w="1796"/>
        <w:gridCol w:w="730"/>
        <w:gridCol w:w="1524"/>
        <w:gridCol w:w="671"/>
        <w:gridCol w:w="1301"/>
        <w:gridCol w:w="664"/>
        <w:gridCol w:w="1301"/>
        <w:gridCol w:w="692"/>
      </w:tblGrid>
      <w:tr w:rsidR="00665097" w:rsidRPr="00C67386" w:rsidTr="00D122F5">
        <w:trPr>
          <w:jc w:val="center"/>
        </w:trPr>
        <w:tc>
          <w:tcPr>
            <w:tcW w:w="646"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C67386" w:rsidRDefault="00665097" w:rsidP="00A33F7A">
            <w:pPr>
              <w:widowControl w:val="0"/>
              <w:spacing w:line="240" w:lineRule="auto"/>
              <w:rPr>
                <w:rFonts w:cs="Arial"/>
                <w:sz w:val="16"/>
                <w:szCs w:val="16"/>
              </w:rPr>
            </w:pPr>
          </w:p>
        </w:tc>
        <w:tc>
          <w:tcPr>
            <w:tcW w:w="125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C67386" w:rsidRDefault="00665097" w:rsidP="00A33F7A">
            <w:pPr>
              <w:widowControl w:val="0"/>
              <w:spacing w:line="240" w:lineRule="auto"/>
              <w:jc w:val="center"/>
              <w:rPr>
                <w:rFonts w:cs="Arial"/>
                <w:b/>
                <w:bCs/>
                <w:sz w:val="16"/>
                <w:szCs w:val="16"/>
              </w:rPr>
            </w:pPr>
            <w:r w:rsidRPr="00C67386">
              <w:rPr>
                <w:rFonts w:cs="Arial"/>
                <w:b/>
                <w:bCs/>
                <w:sz w:val="16"/>
                <w:szCs w:val="16"/>
                <w:lang w:val="en-GB"/>
              </w:rPr>
              <w:t>TOTAL</w:t>
            </w:r>
          </w:p>
        </w:tc>
        <w:tc>
          <w:tcPr>
            <w:tcW w:w="112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C67386" w:rsidRDefault="00665097" w:rsidP="00A33F7A">
            <w:pPr>
              <w:widowControl w:val="0"/>
              <w:spacing w:line="240" w:lineRule="auto"/>
              <w:jc w:val="center"/>
              <w:rPr>
                <w:rFonts w:cs="Arial"/>
                <w:b/>
                <w:bCs/>
                <w:sz w:val="16"/>
                <w:szCs w:val="16"/>
              </w:rPr>
            </w:pPr>
            <w:proofErr w:type="spellStart"/>
            <w:r w:rsidRPr="00C67386">
              <w:rPr>
                <w:rFonts w:cs="Arial"/>
                <w:b/>
                <w:bCs/>
                <w:sz w:val="16"/>
                <w:szCs w:val="16"/>
                <w:lang w:val="en-GB"/>
              </w:rPr>
              <w:t>S.Coop</w:t>
            </w:r>
            <w:proofErr w:type="spellEnd"/>
            <w:r w:rsidRPr="00C67386">
              <w:rPr>
                <w:rFonts w:cs="Arial"/>
                <w:b/>
                <w:bCs/>
                <w:sz w:val="16"/>
                <w:szCs w:val="16"/>
                <w:lang w:val="en-GB"/>
              </w:rPr>
              <w:t>.</w:t>
            </w:r>
          </w:p>
        </w:tc>
        <w:tc>
          <w:tcPr>
            <w:tcW w:w="96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C67386" w:rsidRDefault="00665097" w:rsidP="00A33F7A">
            <w:pPr>
              <w:widowControl w:val="0"/>
              <w:spacing w:line="240" w:lineRule="auto"/>
              <w:jc w:val="center"/>
              <w:rPr>
                <w:rFonts w:cs="Arial"/>
                <w:b/>
                <w:bCs/>
                <w:sz w:val="16"/>
                <w:szCs w:val="16"/>
              </w:rPr>
            </w:pPr>
            <w:r w:rsidRPr="00C67386">
              <w:rPr>
                <w:rFonts w:cs="Arial"/>
                <w:b/>
                <w:bCs/>
                <w:sz w:val="16"/>
                <w:szCs w:val="16"/>
                <w:lang w:val="en-GB"/>
              </w:rPr>
              <w:t>S.A.L.es</w:t>
            </w:r>
          </w:p>
        </w:tc>
        <w:tc>
          <w:tcPr>
            <w:tcW w:w="101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C67386" w:rsidRDefault="00665097" w:rsidP="00A33F7A">
            <w:pPr>
              <w:widowControl w:val="0"/>
              <w:spacing w:line="240" w:lineRule="auto"/>
              <w:jc w:val="center"/>
              <w:rPr>
                <w:rFonts w:cs="Arial"/>
                <w:b/>
                <w:bCs/>
                <w:sz w:val="16"/>
                <w:szCs w:val="16"/>
              </w:rPr>
            </w:pPr>
            <w:r w:rsidRPr="00C67386">
              <w:rPr>
                <w:rFonts w:cs="Arial"/>
                <w:b/>
                <w:bCs/>
                <w:sz w:val="16"/>
                <w:szCs w:val="16"/>
                <w:lang w:val="en-GB"/>
              </w:rPr>
              <w:t>S.L.L.es</w:t>
            </w:r>
          </w:p>
        </w:tc>
      </w:tr>
      <w:tr w:rsidR="00665097" w:rsidRPr="00C67386" w:rsidTr="00D122F5">
        <w:trPr>
          <w:jc w:val="center"/>
        </w:trPr>
        <w:tc>
          <w:tcPr>
            <w:tcW w:w="646"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C67386" w:rsidRDefault="00665097" w:rsidP="00A33F7A">
            <w:pPr>
              <w:widowControl w:val="0"/>
              <w:spacing w:line="240" w:lineRule="auto"/>
              <w:rPr>
                <w:rFonts w:cs="Arial"/>
                <w:sz w:val="16"/>
                <w:szCs w:val="16"/>
              </w:rPr>
            </w:pP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C67386" w:rsidRDefault="007B26BF" w:rsidP="00A33F7A">
            <w:pPr>
              <w:widowControl w:val="0"/>
              <w:spacing w:line="240" w:lineRule="auto"/>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3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C67386" w:rsidRDefault="00153402" w:rsidP="00A33F7A">
            <w:pPr>
              <w:widowControl w:val="0"/>
              <w:spacing w:line="240" w:lineRule="auto"/>
              <w:jc w:val="center"/>
              <w:rPr>
                <w:rFonts w:cs="Arial"/>
                <w:b/>
                <w:bCs/>
                <w:sz w:val="16"/>
                <w:szCs w:val="16"/>
              </w:rPr>
            </w:pPr>
            <w:r>
              <w:rPr>
                <w:rFonts w:cs="Arial"/>
                <w:b/>
                <w:bCs/>
                <w:sz w:val="16"/>
                <w:szCs w:val="16"/>
              </w:rPr>
              <w:t xml:space="preserve">% </w:t>
            </w:r>
            <w:proofErr w:type="spellStart"/>
            <w:r>
              <w:rPr>
                <w:rFonts w:cs="Arial"/>
                <w:b/>
                <w:bCs/>
                <w:sz w:val="16"/>
                <w:szCs w:val="16"/>
              </w:rPr>
              <w:t>hor</w:t>
            </w:r>
            <w:proofErr w:type="spellEnd"/>
            <w:r>
              <w:rPr>
                <w:rFonts w:cs="Arial"/>
                <w:b/>
                <w:bCs/>
                <w:sz w:val="16"/>
                <w:szCs w:val="16"/>
              </w:rPr>
              <w:t>.</w:t>
            </w:r>
          </w:p>
        </w:tc>
        <w:tc>
          <w:tcPr>
            <w:tcW w:w="7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C67386" w:rsidRDefault="007B26BF" w:rsidP="00A33F7A">
            <w:pPr>
              <w:widowControl w:val="0"/>
              <w:spacing w:line="240" w:lineRule="auto"/>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3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C67386" w:rsidRDefault="00153402" w:rsidP="00A33F7A">
            <w:pPr>
              <w:widowControl w:val="0"/>
              <w:spacing w:line="240" w:lineRule="auto"/>
              <w:jc w:val="center"/>
              <w:rPr>
                <w:rFonts w:cs="Arial"/>
                <w:b/>
                <w:bCs/>
                <w:sz w:val="16"/>
                <w:szCs w:val="16"/>
              </w:rPr>
            </w:pPr>
            <w:r>
              <w:rPr>
                <w:rFonts w:cs="Arial"/>
                <w:b/>
                <w:bCs/>
                <w:sz w:val="16"/>
                <w:szCs w:val="16"/>
              </w:rPr>
              <w:t xml:space="preserve">% </w:t>
            </w:r>
            <w:proofErr w:type="spellStart"/>
            <w:r>
              <w:rPr>
                <w:rFonts w:cs="Arial"/>
                <w:b/>
                <w:bCs/>
                <w:sz w:val="16"/>
                <w:szCs w:val="16"/>
              </w:rPr>
              <w:t>hor</w:t>
            </w:r>
            <w:proofErr w:type="spellEnd"/>
            <w:r>
              <w:rPr>
                <w:rFonts w:cs="Arial"/>
                <w:b/>
                <w:bCs/>
                <w:sz w:val="16"/>
                <w:szCs w:val="16"/>
              </w:rPr>
              <w:t>.</w:t>
            </w:r>
          </w:p>
        </w:tc>
        <w:tc>
          <w:tcPr>
            <w:tcW w:w="61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C67386" w:rsidRDefault="007B26BF" w:rsidP="00A33F7A">
            <w:pPr>
              <w:widowControl w:val="0"/>
              <w:spacing w:line="240" w:lineRule="auto"/>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345"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665097" w:rsidRPr="00C67386" w:rsidRDefault="00153402" w:rsidP="00A33F7A">
            <w:pPr>
              <w:widowControl w:val="0"/>
              <w:spacing w:line="240" w:lineRule="auto"/>
              <w:jc w:val="center"/>
              <w:rPr>
                <w:rFonts w:cs="Arial"/>
                <w:b/>
                <w:bCs/>
                <w:sz w:val="16"/>
                <w:szCs w:val="16"/>
              </w:rPr>
            </w:pPr>
            <w:r>
              <w:rPr>
                <w:rFonts w:cs="Arial"/>
                <w:b/>
                <w:bCs/>
                <w:sz w:val="16"/>
                <w:szCs w:val="16"/>
              </w:rPr>
              <w:t xml:space="preserve">% </w:t>
            </w:r>
            <w:proofErr w:type="spellStart"/>
            <w:r>
              <w:rPr>
                <w:rFonts w:cs="Arial"/>
                <w:b/>
                <w:bCs/>
                <w:sz w:val="16"/>
                <w:szCs w:val="16"/>
              </w:rPr>
              <w:t>hor</w:t>
            </w:r>
            <w:proofErr w:type="spellEnd"/>
            <w:r>
              <w:rPr>
                <w:rFonts w:cs="Arial"/>
                <w:b/>
                <w:bCs/>
                <w:sz w:val="16"/>
                <w:szCs w:val="16"/>
              </w:rPr>
              <w:t>.</w:t>
            </w:r>
          </w:p>
        </w:tc>
        <w:tc>
          <w:tcPr>
            <w:tcW w:w="65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C67386" w:rsidRDefault="007B26BF" w:rsidP="00A33F7A">
            <w:pPr>
              <w:widowControl w:val="0"/>
              <w:spacing w:line="240" w:lineRule="auto"/>
              <w:jc w:val="center"/>
              <w:rPr>
                <w:rFonts w:cs="Arial"/>
                <w:b/>
                <w:bCs/>
                <w:sz w:val="16"/>
                <w:szCs w:val="16"/>
              </w:rPr>
            </w:pPr>
            <w:proofErr w:type="spellStart"/>
            <w:r>
              <w:rPr>
                <w:rFonts w:cs="Arial"/>
                <w:b/>
                <w:bCs/>
                <w:sz w:val="16"/>
                <w:szCs w:val="16"/>
              </w:rPr>
              <w:t>Abs</w:t>
            </w:r>
            <w:proofErr w:type="spellEnd"/>
            <w:r>
              <w:rPr>
                <w:rFonts w:cs="Arial"/>
                <w:b/>
                <w:bCs/>
                <w:sz w:val="16"/>
                <w:szCs w:val="16"/>
              </w:rPr>
              <w:t>.</w:t>
            </w:r>
          </w:p>
        </w:tc>
        <w:tc>
          <w:tcPr>
            <w:tcW w:w="360"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665097" w:rsidRPr="00C67386" w:rsidRDefault="00153402" w:rsidP="00A33F7A">
            <w:pPr>
              <w:widowControl w:val="0"/>
              <w:spacing w:line="240" w:lineRule="auto"/>
              <w:jc w:val="center"/>
              <w:rPr>
                <w:rFonts w:cs="Arial"/>
                <w:b/>
                <w:bCs/>
                <w:sz w:val="16"/>
                <w:szCs w:val="16"/>
              </w:rPr>
            </w:pPr>
            <w:r>
              <w:rPr>
                <w:rFonts w:cs="Arial"/>
                <w:b/>
                <w:bCs/>
                <w:sz w:val="16"/>
                <w:szCs w:val="16"/>
              </w:rPr>
              <w:t xml:space="preserve">% </w:t>
            </w:r>
            <w:proofErr w:type="spellStart"/>
            <w:r>
              <w:rPr>
                <w:rFonts w:cs="Arial"/>
                <w:b/>
                <w:bCs/>
                <w:sz w:val="16"/>
                <w:szCs w:val="16"/>
              </w:rPr>
              <w:t>hor</w:t>
            </w:r>
            <w:proofErr w:type="spellEnd"/>
            <w:r>
              <w:rPr>
                <w:rFonts w:cs="Arial"/>
                <w:b/>
                <w:bCs/>
                <w:sz w:val="16"/>
                <w:szCs w:val="16"/>
              </w:rPr>
              <w:t>.</w:t>
            </w:r>
          </w:p>
        </w:tc>
      </w:tr>
      <w:tr w:rsidR="004F4ECF" w:rsidRPr="00C67386" w:rsidTr="00D122F5">
        <w:trPr>
          <w:jc w:val="center"/>
        </w:trPr>
        <w:tc>
          <w:tcPr>
            <w:tcW w:w="646" w:type="pct"/>
            <w:tcBorders>
              <w:top w:val="single" w:sz="4" w:space="0" w:color="BFBFBF" w:themeColor="background1" w:themeShade="BF"/>
              <w:right w:val="single" w:sz="4" w:space="0" w:color="BFBFBF" w:themeColor="background1" w:themeShade="BF"/>
            </w:tcBorders>
            <w:hideMark/>
          </w:tcPr>
          <w:p w:rsidR="004F4ECF" w:rsidRPr="00C67386" w:rsidRDefault="004F4ECF" w:rsidP="00B438BB">
            <w:pPr>
              <w:widowControl w:val="0"/>
              <w:spacing w:line="240" w:lineRule="exact"/>
              <w:rPr>
                <w:rFonts w:cs="Arial"/>
                <w:sz w:val="16"/>
                <w:szCs w:val="16"/>
              </w:rPr>
            </w:pPr>
            <w:r w:rsidRPr="00C67386">
              <w:rPr>
                <w:rFonts w:cs="Arial"/>
                <w:sz w:val="16"/>
                <w:szCs w:val="16"/>
              </w:rPr>
              <w:t>Industria</w:t>
            </w:r>
          </w:p>
        </w:tc>
        <w:tc>
          <w:tcPr>
            <w:tcW w:w="915" w:type="pct"/>
            <w:tcBorders>
              <w:top w:val="single" w:sz="4" w:space="0" w:color="BFBFBF" w:themeColor="background1" w:themeShade="BF"/>
              <w:left w:val="single" w:sz="4" w:space="0" w:color="BFBFBF" w:themeColor="background1" w:themeShade="BF"/>
            </w:tcBorders>
            <w:noWrap/>
            <w:hideMark/>
          </w:tcPr>
          <w:p w:rsidR="004F4ECF" w:rsidRPr="0091120C" w:rsidRDefault="004F4ECF" w:rsidP="00B438BB">
            <w:pPr>
              <w:widowControl w:val="0"/>
              <w:spacing w:line="240" w:lineRule="exact"/>
              <w:ind w:right="284"/>
              <w:jc w:val="right"/>
              <w:rPr>
                <w:rFonts w:cs="Arial"/>
                <w:bCs/>
                <w:sz w:val="16"/>
                <w:szCs w:val="16"/>
              </w:rPr>
            </w:pPr>
            <w:r w:rsidRPr="0091120C">
              <w:rPr>
                <w:rFonts w:cs="Arial"/>
                <w:bCs/>
                <w:sz w:val="16"/>
                <w:szCs w:val="16"/>
              </w:rPr>
              <w:t>2.627.706.611</w:t>
            </w:r>
          </w:p>
        </w:tc>
        <w:tc>
          <w:tcPr>
            <w:tcW w:w="336" w:type="pct"/>
            <w:tcBorders>
              <w:top w:val="single" w:sz="4" w:space="0" w:color="BFBFBF" w:themeColor="background1" w:themeShade="BF"/>
              <w:right w:val="single" w:sz="4" w:space="0" w:color="BFBFBF" w:themeColor="background1" w:themeShade="BF"/>
            </w:tcBorders>
            <w:hideMark/>
          </w:tcPr>
          <w:p w:rsidR="004F4ECF" w:rsidRPr="00C67386" w:rsidRDefault="004F4ECF" w:rsidP="00B438BB">
            <w:pPr>
              <w:widowControl w:val="0"/>
              <w:spacing w:line="240" w:lineRule="exact"/>
              <w:ind w:right="113"/>
              <w:jc w:val="right"/>
              <w:rPr>
                <w:rFonts w:cs="Arial"/>
                <w:sz w:val="16"/>
                <w:szCs w:val="16"/>
              </w:rPr>
            </w:pPr>
            <w:r w:rsidRPr="00C67386">
              <w:rPr>
                <w:rFonts w:cs="Arial"/>
                <w:sz w:val="16"/>
                <w:szCs w:val="16"/>
              </w:rPr>
              <w:t>100</w:t>
            </w:r>
            <w:r w:rsidR="007F441F">
              <w:rPr>
                <w:rFonts w:cs="Arial"/>
                <w:sz w:val="16"/>
                <w:szCs w:val="16"/>
              </w:rPr>
              <w:t>,0</w:t>
            </w:r>
          </w:p>
        </w:tc>
        <w:tc>
          <w:tcPr>
            <w:tcW w:w="767" w:type="pct"/>
            <w:tcBorders>
              <w:top w:val="single" w:sz="4" w:space="0" w:color="BFBFBF" w:themeColor="background1" w:themeShade="BF"/>
              <w:left w:val="single" w:sz="4" w:space="0" w:color="BFBFBF" w:themeColor="background1" w:themeShade="BF"/>
            </w:tcBorders>
            <w:noWrap/>
            <w:hideMark/>
          </w:tcPr>
          <w:p w:rsidR="004F4ECF" w:rsidRPr="00DD782A" w:rsidRDefault="00DD782A" w:rsidP="00B438BB">
            <w:pPr>
              <w:widowControl w:val="0"/>
              <w:spacing w:line="240" w:lineRule="exact"/>
              <w:ind w:right="284"/>
              <w:jc w:val="right"/>
              <w:rPr>
                <w:rFonts w:cs="Arial"/>
                <w:bCs/>
                <w:sz w:val="16"/>
                <w:szCs w:val="16"/>
              </w:rPr>
            </w:pPr>
            <w:r w:rsidRPr="00DD782A">
              <w:rPr>
                <w:rFonts w:cs="Arial"/>
                <w:bCs/>
                <w:sz w:val="16"/>
                <w:szCs w:val="16"/>
              </w:rPr>
              <w:t>2.507.631.393</w:t>
            </w:r>
          </w:p>
        </w:tc>
        <w:tc>
          <w:tcPr>
            <w:tcW w:w="359" w:type="pct"/>
            <w:tcBorders>
              <w:top w:val="single" w:sz="4" w:space="0" w:color="BFBFBF" w:themeColor="background1" w:themeShade="BF"/>
              <w:right w:val="single" w:sz="4" w:space="0" w:color="BFBFBF" w:themeColor="background1" w:themeShade="BF"/>
            </w:tcBorders>
            <w:hideMark/>
          </w:tcPr>
          <w:p w:rsidR="004F4ECF" w:rsidRPr="00C67386" w:rsidRDefault="00630FFA" w:rsidP="00B438BB">
            <w:pPr>
              <w:widowControl w:val="0"/>
              <w:spacing w:line="240" w:lineRule="exact"/>
              <w:ind w:right="113"/>
              <w:jc w:val="right"/>
              <w:rPr>
                <w:rFonts w:cs="Arial"/>
                <w:sz w:val="16"/>
                <w:szCs w:val="16"/>
              </w:rPr>
            </w:pPr>
            <w:r>
              <w:rPr>
                <w:rFonts w:cs="Arial"/>
                <w:sz w:val="16"/>
                <w:szCs w:val="16"/>
              </w:rPr>
              <w:t>95,4</w:t>
            </w:r>
          </w:p>
        </w:tc>
        <w:tc>
          <w:tcPr>
            <w:tcW w:w="619" w:type="pct"/>
            <w:tcBorders>
              <w:top w:val="single" w:sz="4" w:space="0" w:color="BFBFBF" w:themeColor="background1" w:themeShade="BF"/>
              <w:left w:val="single" w:sz="4" w:space="0" w:color="BFBFBF" w:themeColor="background1" w:themeShade="BF"/>
            </w:tcBorders>
            <w:noWrap/>
            <w:hideMark/>
          </w:tcPr>
          <w:p w:rsidR="004F4ECF" w:rsidRPr="00630FFA" w:rsidRDefault="00630FFA" w:rsidP="00B438BB">
            <w:pPr>
              <w:widowControl w:val="0"/>
              <w:spacing w:line="240" w:lineRule="exact"/>
              <w:ind w:right="284"/>
              <w:jc w:val="right"/>
              <w:rPr>
                <w:rFonts w:cs="Arial"/>
                <w:bCs/>
                <w:sz w:val="16"/>
                <w:szCs w:val="16"/>
              </w:rPr>
            </w:pPr>
            <w:r w:rsidRPr="00630FFA">
              <w:rPr>
                <w:rFonts w:cs="Arial"/>
                <w:bCs/>
                <w:sz w:val="16"/>
                <w:szCs w:val="16"/>
              </w:rPr>
              <w:t>94.616.531</w:t>
            </w:r>
          </w:p>
        </w:tc>
        <w:tc>
          <w:tcPr>
            <w:tcW w:w="345" w:type="pct"/>
            <w:tcBorders>
              <w:top w:val="single" w:sz="4" w:space="0" w:color="BFBFBF" w:themeColor="background1" w:themeShade="BF"/>
              <w:right w:val="single" w:sz="4" w:space="0" w:color="BFBFBF" w:themeColor="background1" w:themeShade="BF"/>
            </w:tcBorders>
            <w:hideMark/>
          </w:tcPr>
          <w:p w:rsidR="004F4ECF" w:rsidRPr="00C67386" w:rsidRDefault="00243227" w:rsidP="00B438BB">
            <w:pPr>
              <w:widowControl w:val="0"/>
              <w:spacing w:line="240" w:lineRule="exact"/>
              <w:ind w:right="113"/>
              <w:jc w:val="right"/>
              <w:rPr>
                <w:rFonts w:cs="Arial"/>
                <w:sz w:val="16"/>
                <w:szCs w:val="16"/>
              </w:rPr>
            </w:pPr>
            <w:r>
              <w:rPr>
                <w:rFonts w:cs="Arial"/>
                <w:sz w:val="16"/>
                <w:szCs w:val="16"/>
              </w:rPr>
              <w:t>3,6</w:t>
            </w:r>
          </w:p>
        </w:tc>
        <w:tc>
          <w:tcPr>
            <w:tcW w:w="654" w:type="pct"/>
            <w:tcBorders>
              <w:top w:val="single" w:sz="4" w:space="0" w:color="BFBFBF" w:themeColor="background1" w:themeShade="BF"/>
              <w:left w:val="single" w:sz="4" w:space="0" w:color="BFBFBF" w:themeColor="background1" w:themeShade="BF"/>
            </w:tcBorders>
            <w:noWrap/>
            <w:hideMark/>
          </w:tcPr>
          <w:p w:rsidR="004F4ECF" w:rsidRPr="008B108D" w:rsidRDefault="008B108D" w:rsidP="00B438BB">
            <w:pPr>
              <w:widowControl w:val="0"/>
              <w:spacing w:line="240" w:lineRule="exact"/>
              <w:ind w:right="284"/>
              <w:jc w:val="right"/>
              <w:rPr>
                <w:rFonts w:cs="Arial"/>
                <w:bCs/>
                <w:sz w:val="16"/>
                <w:szCs w:val="16"/>
              </w:rPr>
            </w:pPr>
            <w:r w:rsidRPr="008B108D">
              <w:rPr>
                <w:rFonts w:cs="Arial"/>
                <w:bCs/>
                <w:sz w:val="16"/>
                <w:szCs w:val="16"/>
              </w:rPr>
              <w:t>25.458.688</w:t>
            </w:r>
          </w:p>
        </w:tc>
        <w:tc>
          <w:tcPr>
            <w:tcW w:w="360" w:type="pct"/>
            <w:tcBorders>
              <w:top w:val="single" w:sz="4" w:space="0" w:color="BFBFBF" w:themeColor="background1" w:themeShade="BF"/>
            </w:tcBorders>
            <w:hideMark/>
          </w:tcPr>
          <w:p w:rsidR="004F4ECF" w:rsidRPr="00C67386" w:rsidRDefault="008B108D" w:rsidP="00B438BB">
            <w:pPr>
              <w:widowControl w:val="0"/>
              <w:spacing w:line="240" w:lineRule="exact"/>
              <w:ind w:right="113"/>
              <w:jc w:val="right"/>
              <w:rPr>
                <w:rFonts w:cs="Arial"/>
                <w:sz w:val="16"/>
                <w:szCs w:val="16"/>
              </w:rPr>
            </w:pPr>
            <w:r>
              <w:rPr>
                <w:rFonts w:cs="Arial"/>
                <w:sz w:val="16"/>
                <w:szCs w:val="16"/>
              </w:rPr>
              <w:t>1,0</w:t>
            </w:r>
          </w:p>
        </w:tc>
      </w:tr>
      <w:tr w:rsidR="004F4ECF" w:rsidRPr="00C67386" w:rsidTr="00D122F5">
        <w:trPr>
          <w:jc w:val="center"/>
        </w:trPr>
        <w:tc>
          <w:tcPr>
            <w:tcW w:w="646" w:type="pct"/>
            <w:tcBorders>
              <w:bottom w:val="single" w:sz="4" w:space="0" w:color="BFBFBF" w:themeColor="background1" w:themeShade="BF"/>
              <w:right w:val="single" w:sz="4" w:space="0" w:color="BFBFBF" w:themeColor="background1" w:themeShade="BF"/>
            </w:tcBorders>
            <w:hideMark/>
          </w:tcPr>
          <w:p w:rsidR="004F4ECF" w:rsidRPr="00C67386" w:rsidRDefault="004F4ECF" w:rsidP="00B438BB">
            <w:pPr>
              <w:widowControl w:val="0"/>
              <w:spacing w:line="240" w:lineRule="exact"/>
              <w:rPr>
                <w:rFonts w:cs="Arial"/>
                <w:sz w:val="16"/>
                <w:szCs w:val="16"/>
              </w:rPr>
            </w:pPr>
            <w:r w:rsidRPr="00C67386">
              <w:rPr>
                <w:rFonts w:cs="Arial"/>
                <w:sz w:val="16"/>
                <w:szCs w:val="16"/>
              </w:rPr>
              <w:t xml:space="preserve">Servicios </w:t>
            </w:r>
          </w:p>
        </w:tc>
        <w:tc>
          <w:tcPr>
            <w:tcW w:w="915" w:type="pct"/>
            <w:tcBorders>
              <w:left w:val="single" w:sz="4" w:space="0" w:color="BFBFBF" w:themeColor="background1" w:themeShade="BF"/>
              <w:bottom w:val="single" w:sz="4" w:space="0" w:color="BFBFBF" w:themeColor="background1" w:themeShade="BF"/>
            </w:tcBorders>
            <w:noWrap/>
            <w:hideMark/>
          </w:tcPr>
          <w:p w:rsidR="004F4ECF" w:rsidRPr="0091120C" w:rsidRDefault="004F4ECF" w:rsidP="00B438BB">
            <w:pPr>
              <w:widowControl w:val="0"/>
              <w:spacing w:line="240" w:lineRule="exact"/>
              <w:ind w:right="284"/>
              <w:jc w:val="right"/>
              <w:rPr>
                <w:rFonts w:cs="Arial"/>
                <w:bCs/>
                <w:sz w:val="16"/>
                <w:szCs w:val="16"/>
              </w:rPr>
            </w:pPr>
            <w:r w:rsidRPr="0091120C">
              <w:rPr>
                <w:rFonts w:cs="Arial"/>
                <w:bCs/>
                <w:sz w:val="16"/>
                <w:szCs w:val="16"/>
              </w:rPr>
              <w:t>23.396.935</w:t>
            </w:r>
          </w:p>
        </w:tc>
        <w:tc>
          <w:tcPr>
            <w:tcW w:w="336" w:type="pct"/>
            <w:tcBorders>
              <w:bottom w:val="single" w:sz="4" w:space="0" w:color="BFBFBF" w:themeColor="background1" w:themeShade="BF"/>
              <w:right w:val="single" w:sz="4" w:space="0" w:color="BFBFBF" w:themeColor="background1" w:themeShade="BF"/>
            </w:tcBorders>
            <w:hideMark/>
          </w:tcPr>
          <w:p w:rsidR="004F4ECF" w:rsidRPr="00C67386" w:rsidRDefault="004F4ECF" w:rsidP="00B438BB">
            <w:pPr>
              <w:widowControl w:val="0"/>
              <w:spacing w:line="240" w:lineRule="exact"/>
              <w:ind w:right="113"/>
              <w:jc w:val="right"/>
              <w:rPr>
                <w:rFonts w:cs="Arial"/>
                <w:sz w:val="16"/>
                <w:szCs w:val="16"/>
              </w:rPr>
            </w:pPr>
            <w:r w:rsidRPr="00C67386">
              <w:rPr>
                <w:rFonts w:cs="Arial"/>
                <w:sz w:val="16"/>
                <w:szCs w:val="16"/>
              </w:rPr>
              <w:t>100</w:t>
            </w:r>
            <w:r w:rsidR="007F441F">
              <w:rPr>
                <w:rFonts w:cs="Arial"/>
                <w:sz w:val="16"/>
                <w:szCs w:val="16"/>
              </w:rPr>
              <w:t>,0</w:t>
            </w:r>
          </w:p>
        </w:tc>
        <w:tc>
          <w:tcPr>
            <w:tcW w:w="767" w:type="pct"/>
            <w:tcBorders>
              <w:left w:val="single" w:sz="4" w:space="0" w:color="BFBFBF" w:themeColor="background1" w:themeShade="BF"/>
              <w:bottom w:val="single" w:sz="4" w:space="0" w:color="BFBFBF" w:themeColor="background1" w:themeShade="BF"/>
            </w:tcBorders>
            <w:noWrap/>
            <w:hideMark/>
          </w:tcPr>
          <w:p w:rsidR="004F4ECF" w:rsidRPr="00DD782A" w:rsidRDefault="00DD782A" w:rsidP="00B438BB">
            <w:pPr>
              <w:widowControl w:val="0"/>
              <w:spacing w:line="240" w:lineRule="exact"/>
              <w:ind w:right="284"/>
              <w:jc w:val="right"/>
              <w:rPr>
                <w:rFonts w:cs="Arial"/>
                <w:bCs/>
                <w:sz w:val="16"/>
                <w:szCs w:val="16"/>
              </w:rPr>
            </w:pPr>
            <w:r w:rsidRPr="00DD782A">
              <w:rPr>
                <w:rFonts w:cs="Arial"/>
                <w:bCs/>
                <w:sz w:val="16"/>
                <w:szCs w:val="16"/>
              </w:rPr>
              <w:t>22.114.943</w:t>
            </w:r>
          </w:p>
        </w:tc>
        <w:tc>
          <w:tcPr>
            <w:tcW w:w="359" w:type="pct"/>
            <w:tcBorders>
              <w:bottom w:val="single" w:sz="4" w:space="0" w:color="BFBFBF" w:themeColor="background1" w:themeShade="BF"/>
              <w:right w:val="single" w:sz="4" w:space="0" w:color="BFBFBF" w:themeColor="background1" w:themeShade="BF"/>
            </w:tcBorders>
            <w:hideMark/>
          </w:tcPr>
          <w:p w:rsidR="004F4ECF" w:rsidRPr="00C67386" w:rsidRDefault="00630FFA" w:rsidP="00B438BB">
            <w:pPr>
              <w:widowControl w:val="0"/>
              <w:spacing w:line="240" w:lineRule="exact"/>
              <w:ind w:right="113"/>
              <w:jc w:val="right"/>
              <w:rPr>
                <w:rFonts w:cs="Arial"/>
                <w:sz w:val="16"/>
                <w:szCs w:val="16"/>
              </w:rPr>
            </w:pPr>
            <w:r>
              <w:rPr>
                <w:rFonts w:cs="Arial"/>
                <w:sz w:val="16"/>
                <w:szCs w:val="16"/>
              </w:rPr>
              <w:t>94,5</w:t>
            </w:r>
          </w:p>
        </w:tc>
        <w:tc>
          <w:tcPr>
            <w:tcW w:w="619" w:type="pct"/>
            <w:tcBorders>
              <w:left w:val="single" w:sz="4" w:space="0" w:color="BFBFBF" w:themeColor="background1" w:themeShade="BF"/>
              <w:bottom w:val="single" w:sz="4" w:space="0" w:color="BFBFBF" w:themeColor="background1" w:themeShade="BF"/>
            </w:tcBorders>
            <w:noWrap/>
            <w:hideMark/>
          </w:tcPr>
          <w:p w:rsidR="004F4ECF" w:rsidRPr="00243227" w:rsidRDefault="00243227" w:rsidP="00B438BB">
            <w:pPr>
              <w:widowControl w:val="0"/>
              <w:spacing w:line="240" w:lineRule="exact"/>
              <w:ind w:right="284"/>
              <w:jc w:val="right"/>
              <w:rPr>
                <w:rFonts w:cs="Arial"/>
                <w:bCs/>
                <w:sz w:val="16"/>
                <w:szCs w:val="16"/>
              </w:rPr>
            </w:pPr>
            <w:r w:rsidRPr="00243227">
              <w:rPr>
                <w:rFonts w:cs="Arial"/>
                <w:bCs/>
                <w:sz w:val="16"/>
                <w:szCs w:val="16"/>
              </w:rPr>
              <w:t>995.743</w:t>
            </w:r>
          </w:p>
        </w:tc>
        <w:tc>
          <w:tcPr>
            <w:tcW w:w="345" w:type="pct"/>
            <w:tcBorders>
              <w:bottom w:val="single" w:sz="4" w:space="0" w:color="BFBFBF" w:themeColor="background1" w:themeShade="BF"/>
              <w:right w:val="single" w:sz="4" w:space="0" w:color="BFBFBF" w:themeColor="background1" w:themeShade="BF"/>
            </w:tcBorders>
            <w:hideMark/>
          </w:tcPr>
          <w:p w:rsidR="004F4ECF" w:rsidRPr="00C67386" w:rsidRDefault="00C004EB" w:rsidP="00B438BB">
            <w:pPr>
              <w:widowControl w:val="0"/>
              <w:spacing w:line="240" w:lineRule="exact"/>
              <w:ind w:right="113"/>
              <w:jc w:val="right"/>
              <w:rPr>
                <w:rFonts w:cs="Arial"/>
                <w:sz w:val="16"/>
                <w:szCs w:val="16"/>
              </w:rPr>
            </w:pPr>
            <w:r>
              <w:rPr>
                <w:rFonts w:cs="Arial"/>
                <w:sz w:val="16"/>
                <w:szCs w:val="16"/>
              </w:rPr>
              <w:t>4,3</w:t>
            </w:r>
          </w:p>
        </w:tc>
        <w:tc>
          <w:tcPr>
            <w:tcW w:w="654" w:type="pct"/>
            <w:tcBorders>
              <w:left w:val="single" w:sz="4" w:space="0" w:color="BFBFBF" w:themeColor="background1" w:themeShade="BF"/>
              <w:bottom w:val="single" w:sz="4" w:space="0" w:color="BFBFBF" w:themeColor="background1" w:themeShade="BF"/>
            </w:tcBorders>
            <w:noWrap/>
            <w:hideMark/>
          </w:tcPr>
          <w:p w:rsidR="004F4ECF" w:rsidRPr="008B108D" w:rsidRDefault="008B108D" w:rsidP="00B438BB">
            <w:pPr>
              <w:widowControl w:val="0"/>
              <w:spacing w:line="240" w:lineRule="exact"/>
              <w:ind w:right="284"/>
              <w:jc w:val="right"/>
              <w:rPr>
                <w:rFonts w:cs="Arial"/>
                <w:bCs/>
                <w:sz w:val="16"/>
                <w:szCs w:val="16"/>
              </w:rPr>
            </w:pPr>
            <w:r w:rsidRPr="008B108D">
              <w:rPr>
                <w:rFonts w:cs="Arial"/>
                <w:bCs/>
                <w:sz w:val="16"/>
                <w:szCs w:val="16"/>
              </w:rPr>
              <w:t>286.249</w:t>
            </w:r>
          </w:p>
        </w:tc>
        <w:tc>
          <w:tcPr>
            <w:tcW w:w="360" w:type="pct"/>
            <w:tcBorders>
              <w:bottom w:val="single" w:sz="4" w:space="0" w:color="BFBFBF" w:themeColor="background1" w:themeShade="BF"/>
            </w:tcBorders>
            <w:hideMark/>
          </w:tcPr>
          <w:p w:rsidR="004F4ECF" w:rsidRPr="00C67386" w:rsidRDefault="00D10F42" w:rsidP="00B438BB">
            <w:pPr>
              <w:widowControl w:val="0"/>
              <w:spacing w:line="240" w:lineRule="exact"/>
              <w:ind w:right="113"/>
              <w:jc w:val="right"/>
              <w:rPr>
                <w:rFonts w:cs="Arial"/>
                <w:sz w:val="16"/>
                <w:szCs w:val="16"/>
              </w:rPr>
            </w:pPr>
            <w:r>
              <w:rPr>
                <w:rFonts w:cs="Arial"/>
                <w:sz w:val="16"/>
                <w:szCs w:val="16"/>
              </w:rPr>
              <w:t>1,2</w:t>
            </w:r>
          </w:p>
        </w:tc>
      </w:tr>
      <w:tr w:rsidR="004F4ECF" w:rsidRPr="00C67386" w:rsidTr="00D122F5">
        <w:trPr>
          <w:jc w:val="center"/>
        </w:trPr>
        <w:tc>
          <w:tcPr>
            <w:tcW w:w="64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F4ECF" w:rsidRPr="00C67386" w:rsidRDefault="004F4ECF" w:rsidP="00B438BB">
            <w:pPr>
              <w:widowControl w:val="0"/>
              <w:spacing w:line="240" w:lineRule="exact"/>
              <w:rPr>
                <w:rFonts w:cs="Arial"/>
                <w:b/>
                <w:bCs/>
                <w:sz w:val="16"/>
                <w:szCs w:val="16"/>
              </w:rPr>
            </w:pPr>
            <w:r w:rsidRPr="00C67386">
              <w:rPr>
                <w:rFonts w:cs="Arial"/>
                <w:b/>
                <w:bCs/>
                <w:sz w:val="16"/>
                <w:szCs w:val="16"/>
              </w:rPr>
              <w:t>TOTAL</w:t>
            </w:r>
          </w:p>
        </w:tc>
        <w:tc>
          <w:tcPr>
            <w:tcW w:w="915"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F4ECF" w:rsidRPr="00C67386" w:rsidRDefault="004F4ECF" w:rsidP="00B438BB">
            <w:pPr>
              <w:widowControl w:val="0"/>
              <w:spacing w:line="240" w:lineRule="exact"/>
              <w:ind w:right="284"/>
              <w:jc w:val="right"/>
              <w:rPr>
                <w:rFonts w:cs="Arial"/>
                <w:sz w:val="16"/>
                <w:szCs w:val="16"/>
              </w:rPr>
            </w:pPr>
            <w:r w:rsidRPr="00C67386">
              <w:rPr>
                <w:rFonts w:cs="Arial"/>
                <w:b/>
                <w:bCs/>
                <w:sz w:val="16"/>
                <w:szCs w:val="16"/>
              </w:rPr>
              <w:t>2.6</w:t>
            </w:r>
            <w:r>
              <w:rPr>
                <w:rFonts w:cs="Arial"/>
                <w:b/>
                <w:bCs/>
                <w:sz w:val="16"/>
                <w:szCs w:val="16"/>
              </w:rPr>
              <w:t>51.103.546</w:t>
            </w:r>
          </w:p>
        </w:tc>
        <w:tc>
          <w:tcPr>
            <w:tcW w:w="336"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F4ECF" w:rsidRPr="00C67386" w:rsidRDefault="004F4ECF" w:rsidP="00B438BB">
            <w:pPr>
              <w:widowControl w:val="0"/>
              <w:spacing w:line="240" w:lineRule="exact"/>
              <w:ind w:right="113"/>
              <w:jc w:val="right"/>
              <w:rPr>
                <w:rFonts w:cs="Arial"/>
                <w:b/>
                <w:bCs/>
                <w:sz w:val="16"/>
                <w:szCs w:val="16"/>
              </w:rPr>
            </w:pPr>
            <w:r w:rsidRPr="00C67386">
              <w:rPr>
                <w:rFonts w:cs="Arial"/>
                <w:b/>
                <w:bCs/>
                <w:sz w:val="16"/>
                <w:szCs w:val="16"/>
              </w:rPr>
              <w:t>100</w:t>
            </w:r>
            <w:r w:rsidR="007F441F">
              <w:rPr>
                <w:rFonts w:cs="Arial"/>
                <w:b/>
                <w:bCs/>
                <w:sz w:val="16"/>
                <w:szCs w:val="16"/>
              </w:rPr>
              <w:t>,0</w:t>
            </w:r>
          </w:p>
        </w:tc>
        <w:tc>
          <w:tcPr>
            <w:tcW w:w="767"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F4ECF" w:rsidRPr="00C67386" w:rsidRDefault="00DD782A" w:rsidP="00B438BB">
            <w:pPr>
              <w:widowControl w:val="0"/>
              <w:spacing w:line="240" w:lineRule="exact"/>
              <w:ind w:right="284"/>
              <w:jc w:val="right"/>
              <w:rPr>
                <w:rFonts w:cs="Arial"/>
                <w:b/>
                <w:bCs/>
                <w:sz w:val="16"/>
                <w:szCs w:val="16"/>
              </w:rPr>
            </w:pPr>
            <w:r>
              <w:rPr>
                <w:rFonts w:cs="Arial"/>
                <w:b/>
                <w:bCs/>
                <w:sz w:val="16"/>
                <w:szCs w:val="16"/>
              </w:rPr>
              <w:t>2.529.746.336</w:t>
            </w:r>
          </w:p>
        </w:tc>
        <w:tc>
          <w:tcPr>
            <w:tcW w:w="35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F4ECF" w:rsidRPr="00C67386" w:rsidRDefault="00630FFA" w:rsidP="00B438BB">
            <w:pPr>
              <w:widowControl w:val="0"/>
              <w:spacing w:line="240" w:lineRule="exact"/>
              <w:ind w:right="113"/>
              <w:jc w:val="right"/>
              <w:rPr>
                <w:rFonts w:cs="Arial"/>
                <w:b/>
                <w:bCs/>
                <w:sz w:val="16"/>
                <w:szCs w:val="16"/>
              </w:rPr>
            </w:pPr>
            <w:r>
              <w:rPr>
                <w:rFonts w:cs="Arial"/>
                <w:b/>
                <w:bCs/>
                <w:sz w:val="16"/>
                <w:szCs w:val="16"/>
              </w:rPr>
              <w:t>95,4</w:t>
            </w:r>
          </w:p>
        </w:tc>
        <w:tc>
          <w:tcPr>
            <w:tcW w:w="619"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F4ECF" w:rsidRPr="00C67386" w:rsidRDefault="00243227" w:rsidP="00B438BB">
            <w:pPr>
              <w:widowControl w:val="0"/>
              <w:spacing w:line="240" w:lineRule="exact"/>
              <w:ind w:right="284"/>
              <w:jc w:val="right"/>
              <w:rPr>
                <w:rFonts w:cs="Arial"/>
                <w:b/>
                <w:bCs/>
                <w:sz w:val="16"/>
                <w:szCs w:val="16"/>
              </w:rPr>
            </w:pPr>
            <w:r>
              <w:rPr>
                <w:rFonts w:cs="Arial"/>
                <w:b/>
                <w:bCs/>
                <w:sz w:val="16"/>
                <w:szCs w:val="16"/>
              </w:rPr>
              <w:t>95.612.274</w:t>
            </w:r>
          </w:p>
        </w:tc>
        <w:tc>
          <w:tcPr>
            <w:tcW w:w="345"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4F4ECF" w:rsidRPr="00C67386" w:rsidRDefault="00C004EB" w:rsidP="00B438BB">
            <w:pPr>
              <w:widowControl w:val="0"/>
              <w:spacing w:line="240" w:lineRule="exact"/>
              <w:ind w:right="113"/>
              <w:jc w:val="right"/>
              <w:rPr>
                <w:rFonts w:cs="Arial"/>
                <w:b/>
                <w:bCs/>
                <w:sz w:val="16"/>
                <w:szCs w:val="16"/>
              </w:rPr>
            </w:pPr>
            <w:r>
              <w:rPr>
                <w:rFonts w:cs="Arial"/>
                <w:b/>
                <w:bCs/>
                <w:sz w:val="16"/>
                <w:szCs w:val="16"/>
              </w:rPr>
              <w:t>3,6</w:t>
            </w:r>
          </w:p>
        </w:tc>
        <w:tc>
          <w:tcPr>
            <w:tcW w:w="65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4F4ECF" w:rsidRPr="00C67386" w:rsidRDefault="008B108D" w:rsidP="00B438BB">
            <w:pPr>
              <w:widowControl w:val="0"/>
              <w:spacing w:line="240" w:lineRule="exact"/>
              <w:ind w:right="284"/>
              <w:jc w:val="right"/>
              <w:rPr>
                <w:rFonts w:cs="Arial"/>
                <w:b/>
                <w:bCs/>
                <w:sz w:val="16"/>
                <w:szCs w:val="16"/>
              </w:rPr>
            </w:pPr>
            <w:r>
              <w:rPr>
                <w:rFonts w:cs="Arial"/>
                <w:b/>
                <w:bCs/>
                <w:sz w:val="16"/>
                <w:szCs w:val="16"/>
              </w:rPr>
              <w:t>25.744.937</w:t>
            </w:r>
          </w:p>
        </w:tc>
        <w:tc>
          <w:tcPr>
            <w:tcW w:w="360" w:type="pct"/>
            <w:tcBorders>
              <w:top w:val="single" w:sz="4" w:space="0" w:color="BFBFBF" w:themeColor="background1" w:themeShade="BF"/>
              <w:bottom w:val="single" w:sz="4" w:space="0" w:color="BFBFBF" w:themeColor="background1" w:themeShade="BF"/>
            </w:tcBorders>
            <w:hideMark/>
          </w:tcPr>
          <w:p w:rsidR="004F4ECF" w:rsidRPr="00C67386" w:rsidRDefault="00D10F42" w:rsidP="00B438BB">
            <w:pPr>
              <w:widowControl w:val="0"/>
              <w:spacing w:line="240" w:lineRule="exact"/>
              <w:ind w:right="113"/>
              <w:jc w:val="right"/>
              <w:rPr>
                <w:rFonts w:cs="Arial"/>
                <w:b/>
                <w:bCs/>
                <w:sz w:val="16"/>
                <w:szCs w:val="16"/>
              </w:rPr>
            </w:pPr>
            <w:r>
              <w:rPr>
                <w:rFonts w:cs="Arial"/>
                <w:b/>
                <w:bCs/>
                <w:sz w:val="16"/>
                <w:szCs w:val="16"/>
              </w:rPr>
              <w:t>1,0</w:t>
            </w:r>
          </w:p>
        </w:tc>
      </w:tr>
    </w:tbl>
    <w:p w:rsidR="00665097" w:rsidRDefault="00665097" w:rsidP="00BB313D">
      <w:pPr>
        <w:pStyle w:val="Textoindependiente3"/>
        <w:widowControl w:val="0"/>
        <w:spacing w:line="312" w:lineRule="auto"/>
        <w:jc w:val="both"/>
        <w:rPr>
          <w:rFonts w:ascii="Tahoma" w:hAnsi="Tahoma" w:cs="Arial"/>
          <w:szCs w:val="16"/>
        </w:rPr>
      </w:pPr>
      <w:r w:rsidRPr="0039728D">
        <w:rPr>
          <w:rFonts w:ascii="Tahoma" w:hAnsi="Tahoma" w:cs="Arial"/>
          <w:szCs w:val="16"/>
        </w:rPr>
        <w:t>(*)</w:t>
      </w:r>
      <w:r>
        <w:rPr>
          <w:rFonts w:ascii="Tahoma" w:hAnsi="Tahoma" w:cs="Arial"/>
          <w:szCs w:val="16"/>
        </w:rPr>
        <w:t xml:space="preserve"> </w:t>
      </w:r>
      <w:r w:rsidRPr="0039728D">
        <w:rPr>
          <w:rFonts w:ascii="Tahoma" w:hAnsi="Tahoma" w:cs="Arial"/>
          <w:szCs w:val="16"/>
        </w:rPr>
        <w:t>No incluye Construcción.</w:t>
      </w:r>
    </w:p>
    <w:p w:rsidR="00665097" w:rsidRDefault="00665097" w:rsidP="00BB313D">
      <w:pPr>
        <w:pStyle w:val="Textoindependiente"/>
        <w:widowControl w:val="0"/>
        <w:spacing w:line="420" w:lineRule="auto"/>
        <w:rPr>
          <w:rFonts w:ascii="Arial" w:hAnsi="Arial" w:cs="Arial"/>
          <w:sz w:val="20"/>
          <w:lang w:val="es-ES_tradnl"/>
        </w:rPr>
      </w:pPr>
    </w:p>
    <w:p w:rsidR="00D06470" w:rsidRDefault="00D06470" w:rsidP="00BB313D">
      <w:pPr>
        <w:widowControl w:val="0"/>
        <w:spacing w:after="200" w:line="276" w:lineRule="auto"/>
        <w:jc w:val="left"/>
        <w:rPr>
          <w:rFonts w:eastAsia="Times New Roman" w:cs="Arial"/>
          <w:b/>
          <w:color w:val="1F497D" w:themeColor="text2"/>
          <w:sz w:val="18"/>
          <w:szCs w:val="18"/>
          <w:lang w:val="es-ES_tradnl" w:eastAsia="es-ES"/>
        </w:rPr>
      </w:pPr>
      <w:bookmarkStart w:id="195" w:name="_Toc391999664"/>
      <w:r>
        <w:rPr>
          <w:rFonts w:cs="Arial"/>
          <w:b/>
          <w:color w:val="1F497D" w:themeColor="text2"/>
          <w:sz w:val="18"/>
          <w:szCs w:val="18"/>
          <w:lang w:val="es-ES_tradnl"/>
        </w:rPr>
        <w:br w:type="page"/>
      </w:r>
    </w:p>
    <w:p w:rsidR="00665097" w:rsidRDefault="00DE1512" w:rsidP="00BB313D">
      <w:pPr>
        <w:pStyle w:val="Textoindependiente"/>
        <w:widowControl w:val="0"/>
        <w:jc w:val="center"/>
        <w:rPr>
          <w:rFonts w:ascii="Arial" w:hAnsi="Arial" w:cs="Arial"/>
          <w:b/>
          <w:color w:val="1F497D" w:themeColor="text2"/>
          <w:sz w:val="18"/>
          <w:szCs w:val="18"/>
          <w:lang w:val="es-ES_tradnl"/>
        </w:rPr>
      </w:pPr>
      <w:bookmarkStart w:id="196" w:name="_Toc450120005"/>
      <w:r w:rsidRPr="00DE1512">
        <w:rPr>
          <w:rFonts w:ascii="Arial" w:eastAsiaTheme="minorHAnsi" w:hAnsi="Arial" w:cs="Arial"/>
          <w:b/>
          <w:color w:val="1F497D" w:themeColor="text2"/>
          <w:sz w:val="18"/>
          <w:szCs w:val="18"/>
          <w:lang w:eastAsia="en-US"/>
        </w:rPr>
        <w:lastRenderedPageBreak/>
        <w:t>Gráfico 1.</w:t>
      </w:r>
      <w:r w:rsidR="00771A61" w:rsidRPr="00DE1512">
        <w:rPr>
          <w:rFonts w:ascii="Arial" w:eastAsiaTheme="minorHAnsi" w:hAnsi="Arial" w:cs="Arial"/>
          <w:b/>
          <w:color w:val="1F497D" w:themeColor="text2"/>
          <w:sz w:val="18"/>
          <w:szCs w:val="18"/>
          <w:lang w:eastAsia="en-US"/>
        </w:rPr>
        <w:fldChar w:fldCharType="begin"/>
      </w:r>
      <w:r w:rsidRPr="00DE1512">
        <w:rPr>
          <w:rFonts w:ascii="Arial" w:eastAsiaTheme="minorHAnsi" w:hAnsi="Arial" w:cs="Arial"/>
          <w:b/>
          <w:color w:val="1F497D" w:themeColor="text2"/>
          <w:sz w:val="18"/>
          <w:szCs w:val="18"/>
          <w:lang w:eastAsia="en-US"/>
        </w:rPr>
        <w:instrText xml:space="preserve"> SEQ Gráfico_1. \* ARABIC </w:instrText>
      </w:r>
      <w:r w:rsidR="00771A61" w:rsidRPr="00DE1512">
        <w:rPr>
          <w:rFonts w:ascii="Arial" w:eastAsiaTheme="minorHAnsi" w:hAnsi="Arial" w:cs="Arial"/>
          <w:b/>
          <w:color w:val="1F497D" w:themeColor="text2"/>
          <w:sz w:val="18"/>
          <w:szCs w:val="18"/>
          <w:lang w:eastAsia="en-US"/>
        </w:rPr>
        <w:fldChar w:fldCharType="separate"/>
      </w:r>
      <w:r w:rsidR="00FC71A9">
        <w:rPr>
          <w:rFonts w:ascii="Arial" w:eastAsiaTheme="minorHAnsi" w:hAnsi="Arial" w:cs="Arial"/>
          <w:b/>
          <w:noProof/>
          <w:color w:val="1F497D" w:themeColor="text2"/>
          <w:sz w:val="18"/>
          <w:szCs w:val="18"/>
          <w:lang w:eastAsia="en-US"/>
        </w:rPr>
        <w:t>17</w:t>
      </w:r>
      <w:r w:rsidR="00771A61" w:rsidRPr="00DE1512">
        <w:rPr>
          <w:rFonts w:ascii="Arial" w:eastAsiaTheme="minorHAnsi" w:hAnsi="Arial" w:cs="Arial"/>
          <w:b/>
          <w:color w:val="1F497D" w:themeColor="text2"/>
          <w:sz w:val="18"/>
          <w:szCs w:val="18"/>
          <w:lang w:eastAsia="en-US"/>
        </w:rPr>
        <w:fldChar w:fldCharType="end"/>
      </w:r>
      <w:r w:rsidR="00D10020" w:rsidRPr="00D10020">
        <w:rPr>
          <w:rFonts w:ascii="Arial" w:hAnsi="Arial" w:cs="Arial"/>
          <w:b/>
          <w:color w:val="1F497D" w:themeColor="text2"/>
          <w:sz w:val="18"/>
          <w:szCs w:val="18"/>
          <w:lang w:val="es-ES_tradnl"/>
        </w:rPr>
        <w:t xml:space="preserve"> </w:t>
      </w:r>
      <w:r w:rsidR="00665097" w:rsidRPr="0099431E">
        <w:rPr>
          <w:rFonts w:ascii="Arial" w:hAnsi="Arial" w:cs="Arial"/>
          <w:b/>
          <w:color w:val="1F497D" w:themeColor="text2"/>
          <w:sz w:val="18"/>
          <w:szCs w:val="18"/>
          <w:lang w:val="es-ES_tradnl"/>
        </w:rPr>
        <w:t xml:space="preserve">COMPARATIVA DEL PESO RELATIVO DE LAS EXPORTACIONES EN RELACIÓN A LA </w:t>
      </w:r>
      <w:r w:rsidR="000259AC">
        <w:rPr>
          <w:rFonts w:ascii="Arial" w:hAnsi="Arial" w:cs="Arial"/>
          <w:b/>
          <w:color w:val="1F497D" w:themeColor="text2"/>
          <w:sz w:val="18"/>
          <w:szCs w:val="18"/>
          <w:lang w:val="es-ES_tradnl"/>
        </w:rPr>
        <w:t>FACTURACIÓN 2012-2014</w:t>
      </w:r>
      <w:r w:rsidR="00665097" w:rsidRPr="0099431E">
        <w:rPr>
          <w:rFonts w:ascii="Arial" w:hAnsi="Arial" w:cs="Arial"/>
          <w:b/>
          <w:color w:val="1F497D" w:themeColor="text2"/>
          <w:sz w:val="18"/>
          <w:szCs w:val="18"/>
          <w:lang w:val="es-ES_tradnl"/>
        </w:rPr>
        <w:t>. (% de las exportaciones según facturación)</w:t>
      </w:r>
      <w:bookmarkEnd w:id="195"/>
      <w:bookmarkEnd w:id="196"/>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r>
        <w:rPr>
          <w:rFonts w:ascii="Arial" w:hAnsi="Arial" w:cs="Arial"/>
          <w:b/>
          <w:noProof/>
          <w:color w:val="1F497D" w:themeColor="text2"/>
          <w:sz w:val="18"/>
          <w:szCs w:val="18"/>
        </w:rPr>
        <w:drawing>
          <wp:anchor distT="0" distB="0" distL="114300" distR="114300" simplePos="0" relativeHeight="251730944" behindDoc="0" locked="0" layoutInCell="1" allowOverlap="1">
            <wp:simplePos x="0" y="0"/>
            <wp:positionH relativeFrom="column">
              <wp:posOffset>81915</wp:posOffset>
            </wp:positionH>
            <wp:positionV relativeFrom="paragraph">
              <wp:posOffset>63500</wp:posOffset>
            </wp:positionV>
            <wp:extent cx="5365750" cy="2352675"/>
            <wp:effectExtent l="0" t="0" r="0" b="0"/>
            <wp:wrapNone/>
            <wp:docPr id="82" name="Objeto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66509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Pr="00674977" w:rsidRDefault="00665097" w:rsidP="00BB313D">
      <w:pPr>
        <w:pStyle w:val="Textoindependiente"/>
        <w:widowControl w:val="0"/>
        <w:spacing w:line="312" w:lineRule="auto"/>
        <w:jc w:val="center"/>
        <w:rPr>
          <w:rFonts w:ascii="Arial" w:hAnsi="Arial" w:cs="Arial"/>
          <w:b/>
          <w:color w:val="1F497D" w:themeColor="text2"/>
          <w:sz w:val="18"/>
          <w:szCs w:val="18"/>
          <w:lang w:val="es-ES_tradnl"/>
        </w:rPr>
      </w:pPr>
    </w:p>
    <w:p w:rsidR="00665097" w:rsidRPr="00674977" w:rsidRDefault="00665097" w:rsidP="00BB313D">
      <w:pPr>
        <w:pStyle w:val="Textoindependiente"/>
        <w:widowControl w:val="0"/>
        <w:spacing w:line="312" w:lineRule="auto"/>
        <w:rPr>
          <w:rFonts w:ascii="Tahoma" w:hAnsi="Tahoma" w:cs="Arial"/>
          <w:b/>
          <w:i/>
          <w:color w:val="1F497D" w:themeColor="text2"/>
          <w:sz w:val="18"/>
          <w:szCs w:val="18"/>
          <w:lang w:val="es-ES_tradnl"/>
        </w:rPr>
      </w:pPr>
    </w:p>
    <w:p w:rsidR="00665097" w:rsidRDefault="00665097" w:rsidP="00BB313D">
      <w:pPr>
        <w:pStyle w:val="Textoindependiente"/>
        <w:widowControl w:val="0"/>
        <w:spacing w:line="312" w:lineRule="auto"/>
        <w:rPr>
          <w:rFonts w:ascii="Tahoma" w:hAnsi="Tahoma" w:cs="Arial"/>
          <w:b/>
          <w:i/>
          <w:noProof/>
          <w:sz w:val="16"/>
          <w:szCs w:val="16"/>
        </w:rPr>
      </w:pPr>
    </w:p>
    <w:p w:rsidR="00665097" w:rsidRDefault="00665097" w:rsidP="00BB313D">
      <w:pPr>
        <w:pStyle w:val="Encabezado"/>
        <w:widowControl w:val="0"/>
        <w:tabs>
          <w:tab w:val="clear" w:pos="4252"/>
          <w:tab w:val="clear" w:pos="8504"/>
        </w:tabs>
        <w:rPr>
          <w:rFonts w:cs="Arial"/>
          <w:lang w:val="es-ES_tradnl"/>
        </w:rPr>
      </w:pPr>
    </w:p>
    <w:p w:rsidR="00665097" w:rsidRDefault="00665097" w:rsidP="00BB313D">
      <w:pPr>
        <w:pStyle w:val="Encabezado"/>
        <w:widowControl w:val="0"/>
        <w:tabs>
          <w:tab w:val="clear" w:pos="4252"/>
          <w:tab w:val="clear" w:pos="8504"/>
        </w:tabs>
        <w:rPr>
          <w:rFonts w:cs="Arial"/>
          <w:lang w:val="es-ES_tradnl"/>
        </w:rPr>
      </w:pPr>
    </w:p>
    <w:p w:rsidR="00665097" w:rsidRDefault="00665097" w:rsidP="00BB313D">
      <w:pPr>
        <w:pStyle w:val="Encabezado"/>
        <w:widowControl w:val="0"/>
        <w:tabs>
          <w:tab w:val="clear" w:pos="4252"/>
          <w:tab w:val="clear" w:pos="8504"/>
        </w:tabs>
        <w:rPr>
          <w:rFonts w:cs="Arial"/>
          <w:lang w:val="es-ES_tradnl"/>
        </w:rPr>
      </w:pPr>
    </w:p>
    <w:p w:rsidR="00665097" w:rsidRDefault="00665097" w:rsidP="00BB313D">
      <w:pPr>
        <w:pStyle w:val="Encabezado"/>
        <w:widowControl w:val="0"/>
        <w:tabs>
          <w:tab w:val="clear" w:pos="4252"/>
          <w:tab w:val="clear" w:pos="8504"/>
        </w:tabs>
        <w:rPr>
          <w:rFonts w:cs="Arial"/>
          <w:lang w:val="es-ES_tradnl"/>
        </w:rPr>
      </w:pPr>
    </w:p>
    <w:p w:rsidR="00D06470" w:rsidRDefault="00D06470" w:rsidP="00BB313D">
      <w:pPr>
        <w:pStyle w:val="Encabezado"/>
        <w:widowControl w:val="0"/>
        <w:tabs>
          <w:tab w:val="clear" w:pos="4252"/>
          <w:tab w:val="clear" w:pos="8504"/>
        </w:tabs>
        <w:rPr>
          <w:rFonts w:cs="Arial"/>
          <w:lang w:val="es-ES_tradnl"/>
        </w:rPr>
      </w:pPr>
    </w:p>
    <w:p w:rsidR="00D06470" w:rsidRDefault="00D06470" w:rsidP="00BB313D">
      <w:pPr>
        <w:pStyle w:val="Encabezado"/>
        <w:widowControl w:val="0"/>
        <w:tabs>
          <w:tab w:val="clear" w:pos="4252"/>
          <w:tab w:val="clear" w:pos="8504"/>
        </w:tabs>
        <w:rPr>
          <w:rFonts w:cs="Arial"/>
          <w:lang w:val="es-ES_tradnl"/>
        </w:rPr>
      </w:pPr>
    </w:p>
    <w:p w:rsidR="00D06470" w:rsidRDefault="00D06470" w:rsidP="00BB313D">
      <w:pPr>
        <w:pStyle w:val="Encabezado"/>
        <w:widowControl w:val="0"/>
        <w:tabs>
          <w:tab w:val="clear" w:pos="4252"/>
          <w:tab w:val="clear" w:pos="8504"/>
        </w:tabs>
        <w:rPr>
          <w:rFonts w:cs="Arial"/>
          <w:lang w:val="es-ES_tradnl"/>
        </w:rPr>
      </w:pPr>
    </w:p>
    <w:p w:rsidR="00D06470" w:rsidRDefault="00D06470" w:rsidP="00BB313D">
      <w:pPr>
        <w:pStyle w:val="Encabezado"/>
        <w:widowControl w:val="0"/>
        <w:tabs>
          <w:tab w:val="clear" w:pos="4252"/>
          <w:tab w:val="clear" w:pos="8504"/>
        </w:tabs>
        <w:rPr>
          <w:rFonts w:cs="Arial"/>
          <w:lang w:val="es-ES_tradnl"/>
        </w:rPr>
      </w:pPr>
    </w:p>
    <w:p w:rsidR="00C86565" w:rsidRDefault="00C86565" w:rsidP="00BB313D">
      <w:pPr>
        <w:pStyle w:val="Encabezado"/>
        <w:widowControl w:val="0"/>
        <w:tabs>
          <w:tab w:val="clear" w:pos="4252"/>
          <w:tab w:val="clear" w:pos="8504"/>
        </w:tabs>
        <w:rPr>
          <w:rFonts w:cs="Arial"/>
          <w:lang w:val="es-ES_tradnl"/>
        </w:rPr>
      </w:pPr>
    </w:p>
    <w:p w:rsidR="00DA23E1" w:rsidRDefault="00DA23E1" w:rsidP="00BB313D">
      <w:pPr>
        <w:pStyle w:val="Encabezado"/>
        <w:widowControl w:val="0"/>
        <w:tabs>
          <w:tab w:val="clear" w:pos="4252"/>
          <w:tab w:val="clear" w:pos="8504"/>
        </w:tabs>
        <w:rPr>
          <w:rFonts w:cs="Arial"/>
          <w:lang w:val="es-ES_tradnl"/>
        </w:rPr>
      </w:pPr>
    </w:p>
    <w:p w:rsidR="00DA23E1" w:rsidRDefault="00DA23E1" w:rsidP="00BB313D">
      <w:pPr>
        <w:pStyle w:val="Encabezado"/>
        <w:widowControl w:val="0"/>
        <w:tabs>
          <w:tab w:val="clear" w:pos="4252"/>
          <w:tab w:val="clear" w:pos="8504"/>
        </w:tabs>
        <w:rPr>
          <w:rFonts w:cs="Arial"/>
          <w:lang w:val="es-ES_tradnl"/>
        </w:rPr>
      </w:pPr>
    </w:p>
    <w:p w:rsidR="00C86565" w:rsidRDefault="00C86565" w:rsidP="00BB313D">
      <w:pPr>
        <w:pStyle w:val="Encabezado"/>
        <w:widowControl w:val="0"/>
        <w:tabs>
          <w:tab w:val="clear" w:pos="4252"/>
          <w:tab w:val="clear" w:pos="8504"/>
        </w:tabs>
        <w:rPr>
          <w:rFonts w:cs="Arial"/>
          <w:lang w:val="es-ES_tradnl"/>
        </w:rPr>
      </w:pPr>
    </w:p>
    <w:p w:rsidR="00665097" w:rsidRPr="007227AB" w:rsidRDefault="00DE1512" w:rsidP="00BB313D">
      <w:pPr>
        <w:widowControl w:val="0"/>
        <w:spacing w:line="240" w:lineRule="auto"/>
        <w:jc w:val="center"/>
        <w:rPr>
          <w:rFonts w:cs="Arial"/>
          <w:b/>
          <w:color w:val="1F497D" w:themeColor="text2"/>
          <w:sz w:val="18"/>
          <w:szCs w:val="18"/>
        </w:rPr>
      </w:pPr>
      <w:bookmarkStart w:id="197" w:name="_Toc391999624"/>
      <w:bookmarkStart w:id="198" w:name="_Toc450119507"/>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105250">
        <w:rPr>
          <w:rFonts w:cs="Arial"/>
          <w:b/>
          <w:color w:val="1F497D" w:themeColor="text2"/>
          <w:sz w:val="18"/>
          <w:szCs w:val="18"/>
        </w:rPr>
        <w:t xml:space="preserve"> </w:t>
      </w:r>
      <w:r w:rsidR="00665097" w:rsidRPr="00105250">
        <w:rPr>
          <w:rFonts w:cs="Arial"/>
          <w:b/>
          <w:color w:val="1F497D" w:themeColor="text2"/>
          <w:sz w:val="18"/>
          <w:szCs w:val="18"/>
        </w:rPr>
        <w:t xml:space="preserve">VOLUMEN DE EXPORTACIÓN SEGÚN ESTRATO </w:t>
      </w:r>
      <w:r w:rsidR="00B371DD" w:rsidRPr="00105250">
        <w:rPr>
          <w:rFonts w:cs="Arial"/>
          <w:b/>
          <w:color w:val="1F497D" w:themeColor="text2"/>
          <w:sz w:val="18"/>
          <w:szCs w:val="18"/>
        </w:rPr>
        <w:t>DE EMPLEO Y FORMA JURÍDICA. 2014</w:t>
      </w:r>
      <w:r w:rsidR="000C43BF" w:rsidRPr="00105250">
        <w:rPr>
          <w:rFonts w:cs="Arial"/>
          <w:b/>
          <w:color w:val="1F497D" w:themeColor="text2"/>
          <w:sz w:val="18"/>
          <w:szCs w:val="18"/>
        </w:rPr>
        <w:t xml:space="preserve"> </w:t>
      </w:r>
      <w:r w:rsidR="00665097" w:rsidRPr="00105250">
        <w:rPr>
          <w:rFonts w:cs="Arial"/>
          <w:b/>
          <w:color w:val="1F497D" w:themeColor="text2"/>
          <w:sz w:val="18"/>
          <w:szCs w:val="18"/>
        </w:rPr>
        <w:t>(</w:t>
      </w:r>
      <w:r w:rsidR="00861162" w:rsidRPr="00105250">
        <w:rPr>
          <w:rFonts w:cs="Arial"/>
          <w:b/>
          <w:color w:val="1F497D" w:themeColor="text2"/>
          <w:sz w:val="18"/>
          <w:szCs w:val="18"/>
        </w:rPr>
        <w:t>cifras absolutas y % verticales</w:t>
      </w:r>
      <w:r w:rsidR="00665097" w:rsidRPr="00105250">
        <w:rPr>
          <w:rFonts w:cs="Arial"/>
          <w:b/>
          <w:color w:val="1F497D" w:themeColor="text2"/>
          <w:sz w:val="18"/>
          <w:szCs w:val="18"/>
        </w:rPr>
        <w:t>).</w:t>
      </w:r>
      <w:bookmarkEnd w:id="197"/>
      <w:bookmarkEnd w:id="198"/>
    </w:p>
    <w:tbl>
      <w:tblPr>
        <w:tblW w:w="9940" w:type="dxa"/>
        <w:jc w:val="center"/>
        <w:tblCellMar>
          <w:left w:w="70" w:type="dxa"/>
          <w:right w:w="70" w:type="dxa"/>
        </w:tblCellMar>
        <w:tblLook w:val="04A0" w:firstRow="1" w:lastRow="0" w:firstColumn="1" w:lastColumn="0" w:noHBand="0" w:noVBand="1"/>
      </w:tblPr>
      <w:tblGrid>
        <w:gridCol w:w="1795"/>
        <w:gridCol w:w="1387"/>
        <w:gridCol w:w="759"/>
        <w:gridCol w:w="1387"/>
        <w:gridCol w:w="759"/>
        <w:gridCol w:w="1167"/>
        <w:gridCol w:w="759"/>
        <w:gridCol w:w="1168"/>
        <w:gridCol w:w="759"/>
      </w:tblGrid>
      <w:tr w:rsidR="00763453" w:rsidRPr="007227AB" w:rsidTr="00175D09">
        <w:trPr>
          <w:jc w:val="center"/>
        </w:trPr>
        <w:tc>
          <w:tcPr>
            <w:tcW w:w="931"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665097" w:rsidRPr="007227AB" w:rsidRDefault="00665097" w:rsidP="00B438BB">
            <w:pPr>
              <w:widowControl w:val="0"/>
              <w:spacing w:line="240" w:lineRule="exact"/>
              <w:rPr>
                <w:rFonts w:ascii="Calibri" w:hAnsi="Calibri"/>
                <w:color w:val="000000"/>
              </w:rPr>
            </w:pPr>
            <w:r w:rsidRPr="007227AB">
              <w:rPr>
                <w:rFonts w:ascii="Calibri" w:hAnsi="Calibri"/>
                <w:color w:val="000000"/>
              </w:rPr>
              <w:t> </w:t>
            </w:r>
          </w:p>
        </w:tc>
        <w:tc>
          <w:tcPr>
            <w:tcW w:w="1074"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7227AB" w:rsidRDefault="00665097" w:rsidP="00B438BB">
            <w:pPr>
              <w:widowControl w:val="0"/>
              <w:spacing w:line="240" w:lineRule="exact"/>
              <w:jc w:val="center"/>
              <w:rPr>
                <w:rFonts w:cs="Arial"/>
                <w:b/>
                <w:bCs/>
                <w:color w:val="000000"/>
                <w:sz w:val="16"/>
                <w:szCs w:val="16"/>
              </w:rPr>
            </w:pPr>
            <w:r w:rsidRPr="007227AB">
              <w:rPr>
                <w:rFonts w:cs="Arial"/>
                <w:b/>
                <w:bCs/>
                <w:color w:val="000000"/>
                <w:sz w:val="16"/>
                <w:szCs w:val="16"/>
                <w:lang w:val="en-GB"/>
              </w:rPr>
              <w:t>TOTAL</w:t>
            </w:r>
          </w:p>
        </w:tc>
        <w:tc>
          <w:tcPr>
            <w:tcW w:w="1073"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7227AB" w:rsidRDefault="00665097" w:rsidP="00B438BB">
            <w:pPr>
              <w:widowControl w:val="0"/>
              <w:spacing w:line="240" w:lineRule="exact"/>
              <w:jc w:val="center"/>
              <w:rPr>
                <w:rFonts w:cs="Arial"/>
                <w:b/>
                <w:bCs/>
                <w:color w:val="000000"/>
                <w:sz w:val="16"/>
                <w:szCs w:val="16"/>
              </w:rPr>
            </w:pPr>
            <w:proofErr w:type="spellStart"/>
            <w:r w:rsidRPr="007227AB">
              <w:rPr>
                <w:rFonts w:cs="Arial"/>
                <w:b/>
                <w:bCs/>
                <w:color w:val="000000"/>
                <w:sz w:val="16"/>
                <w:szCs w:val="16"/>
                <w:lang w:val="en-GB"/>
              </w:rPr>
              <w:t>S.Coop</w:t>
            </w:r>
            <w:proofErr w:type="spellEnd"/>
            <w:r w:rsidRPr="007227AB">
              <w:rPr>
                <w:rFonts w:cs="Arial"/>
                <w:b/>
                <w:bCs/>
                <w:color w:val="000000"/>
                <w:sz w:val="16"/>
                <w:szCs w:val="16"/>
                <w:lang w:val="en-GB"/>
              </w:rPr>
              <w:t>.</w:t>
            </w:r>
          </w:p>
        </w:tc>
        <w:tc>
          <w:tcPr>
            <w:tcW w:w="962"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7227AB" w:rsidRDefault="00665097" w:rsidP="00B438BB">
            <w:pPr>
              <w:widowControl w:val="0"/>
              <w:spacing w:line="240" w:lineRule="exact"/>
              <w:jc w:val="center"/>
              <w:rPr>
                <w:rFonts w:cs="Arial"/>
                <w:b/>
                <w:bCs/>
                <w:color w:val="000000"/>
                <w:sz w:val="16"/>
                <w:szCs w:val="16"/>
              </w:rPr>
            </w:pPr>
            <w:r w:rsidRPr="007227AB">
              <w:rPr>
                <w:rFonts w:cs="Arial"/>
                <w:b/>
                <w:bCs/>
                <w:color w:val="000000"/>
                <w:sz w:val="16"/>
                <w:szCs w:val="16"/>
                <w:lang w:val="en-GB"/>
              </w:rPr>
              <w:t>S.A.L.es</w:t>
            </w:r>
          </w:p>
        </w:tc>
        <w:tc>
          <w:tcPr>
            <w:tcW w:w="960"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665097" w:rsidRPr="007227AB" w:rsidRDefault="00665097" w:rsidP="00B438BB">
            <w:pPr>
              <w:widowControl w:val="0"/>
              <w:spacing w:line="240" w:lineRule="exact"/>
              <w:jc w:val="center"/>
              <w:rPr>
                <w:rFonts w:cs="Arial"/>
                <w:b/>
                <w:bCs/>
                <w:color w:val="000000"/>
                <w:sz w:val="16"/>
                <w:szCs w:val="16"/>
              </w:rPr>
            </w:pPr>
            <w:r w:rsidRPr="007227AB">
              <w:rPr>
                <w:rFonts w:cs="Arial"/>
                <w:b/>
                <w:bCs/>
                <w:color w:val="000000"/>
                <w:sz w:val="16"/>
                <w:szCs w:val="16"/>
                <w:lang w:val="en-GB"/>
              </w:rPr>
              <w:t>S.L.L.es</w:t>
            </w:r>
          </w:p>
        </w:tc>
      </w:tr>
      <w:tr w:rsidR="00105250" w:rsidRPr="007227AB" w:rsidTr="00175D09">
        <w:trPr>
          <w:jc w:val="center"/>
        </w:trPr>
        <w:tc>
          <w:tcPr>
            <w:tcW w:w="931" w:type="pct"/>
            <w:vMerge/>
            <w:tcBorders>
              <w:top w:val="single" w:sz="8" w:space="0" w:color="BFBFBF"/>
              <w:left w:val="nil"/>
              <w:bottom w:val="single" w:sz="8" w:space="0" w:color="BFBFBF"/>
              <w:right w:val="single" w:sz="4" w:space="0" w:color="BFBFBF" w:themeColor="background1" w:themeShade="BF"/>
            </w:tcBorders>
            <w:vAlign w:val="center"/>
            <w:hideMark/>
          </w:tcPr>
          <w:p w:rsidR="00665097" w:rsidRPr="007227AB" w:rsidRDefault="00665097" w:rsidP="00B438BB">
            <w:pPr>
              <w:widowControl w:val="0"/>
              <w:spacing w:line="240" w:lineRule="exact"/>
              <w:rPr>
                <w:rFonts w:ascii="Calibri" w:hAnsi="Calibri"/>
                <w:color w:val="000000"/>
              </w:rPr>
            </w:pPr>
          </w:p>
        </w:tc>
        <w:tc>
          <w:tcPr>
            <w:tcW w:w="726" w:type="pct"/>
            <w:tcBorders>
              <w:top w:val="nil"/>
              <w:left w:val="single" w:sz="4" w:space="0" w:color="BFBFBF" w:themeColor="background1" w:themeShade="BF"/>
              <w:bottom w:val="single" w:sz="8" w:space="0" w:color="BFBFBF"/>
            </w:tcBorders>
            <w:shd w:val="clear" w:color="000000" w:fill="DBE5F1"/>
            <w:hideMark/>
          </w:tcPr>
          <w:p w:rsidR="00665097" w:rsidRPr="007227AB" w:rsidRDefault="007B26BF" w:rsidP="00B438BB">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47"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B438BB">
            <w:pPr>
              <w:widowControl w:val="0"/>
              <w:spacing w:line="240" w:lineRule="exact"/>
              <w:jc w:val="center"/>
              <w:rPr>
                <w:rFonts w:cs="Arial"/>
                <w:b/>
                <w:bCs/>
                <w:color w:val="000000"/>
                <w:sz w:val="16"/>
                <w:szCs w:val="16"/>
              </w:rPr>
            </w:pPr>
            <w:r>
              <w:rPr>
                <w:rFonts w:cs="Arial"/>
                <w:b/>
                <w:bCs/>
                <w:color w:val="000000"/>
                <w:sz w:val="16"/>
                <w:szCs w:val="16"/>
              </w:rPr>
              <w:t>% ver.</w:t>
            </w:r>
          </w:p>
        </w:tc>
        <w:tc>
          <w:tcPr>
            <w:tcW w:w="726" w:type="pct"/>
            <w:tcBorders>
              <w:top w:val="nil"/>
              <w:left w:val="single" w:sz="4" w:space="0" w:color="BFBFBF" w:themeColor="background1" w:themeShade="BF"/>
              <w:bottom w:val="single" w:sz="8" w:space="0" w:color="BFBFBF"/>
            </w:tcBorders>
            <w:shd w:val="clear" w:color="000000" w:fill="DBE5F1"/>
            <w:hideMark/>
          </w:tcPr>
          <w:p w:rsidR="00665097" w:rsidRPr="007227AB" w:rsidRDefault="007B26BF" w:rsidP="00B438BB">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47"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B438BB">
            <w:pPr>
              <w:widowControl w:val="0"/>
              <w:spacing w:line="240" w:lineRule="exact"/>
              <w:jc w:val="center"/>
              <w:rPr>
                <w:rFonts w:cs="Arial"/>
                <w:b/>
                <w:bCs/>
                <w:color w:val="000000"/>
                <w:sz w:val="16"/>
                <w:szCs w:val="16"/>
              </w:rPr>
            </w:pPr>
            <w:r>
              <w:rPr>
                <w:rFonts w:cs="Arial"/>
                <w:b/>
                <w:bCs/>
                <w:color w:val="000000"/>
                <w:sz w:val="16"/>
                <w:szCs w:val="16"/>
              </w:rPr>
              <w:t>% ver.</w:t>
            </w:r>
          </w:p>
        </w:tc>
        <w:tc>
          <w:tcPr>
            <w:tcW w:w="615" w:type="pct"/>
            <w:tcBorders>
              <w:top w:val="nil"/>
              <w:left w:val="single" w:sz="4" w:space="0" w:color="BFBFBF" w:themeColor="background1" w:themeShade="BF"/>
              <w:bottom w:val="single" w:sz="8" w:space="0" w:color="BFBFBF"/>
            </w:tcBorders>
            <w:shd w:val="clear" w:color="000000" w:fill="DBE5F1"/>
            <w:hideMark/>
          </w:tcPr>
          <w:p w:rsidR="00665097" w:rsidRPr="007227AB" w:rsidRDefault="007B26BF" w:rsidP="00B438BB">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47"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B438BB">
            <w:pPr>
              <w:widowControl w:val="0"/>
              <w:spacing w:line="240" w:lineRule="exact"/>
              <w:jc w:val="center"/>
              <w:rPr>
                <w:rFonts w:cs="Arial"/>
                <w:b/>
                <w:bCs/>
                <w:color w:val="000000"/>
                <w:sz w:val="16"/>
                <w:szCs w:val="16"/>
              </w:rPr>
            </w:pPr>
            <w:r>
              <w:rPr>
                <w:rFonts w:cs="Arial"/>
                <w:b/>
                <w:bCs/>
                <w:color w:val="000000"/>
                <w:sz w:val="16"/>
                <w:szCs w:val="16"/>
              </w:rPr>
              <w:t>% ver.</w:t>
            </w:r>
          </w:p>
        </w:tc>
        <w:tc>
          <w:tcPr>
            <w:tcW w:w="615" w:type="pct"/>
            <w:tcBorders>
              <w:top w:val="nil"/>
              <w:left w:val="single" w:sz="4" w:space="0" w:color="BFBFBF" w:themeColor="background1" w:themeShade="BF"/>
              <w:bottom w:val="single" w:sz="8" w:space="0" w:color="BFBFBF"/>
            </w:tcBorders>
            <w:shd w:val="clear" w:color="000000" w:fill="DBE5F1"/>
            <w:hideMark/>
          </w:tcPr>
          <w:p w:rsidR="00665097" w:rsidRPr="007227AB" w:rsidRDefault="007B26BF" w:rsidP="00B438BB">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46" w:type="pct"/>
            <w:tcBorders>
              <w:top w:val="nil"/>
              <w:left w:val="nil"/>
              <w:bottom w:val="single" w:sz="8" w:space="0" w:color="BFBFBF"/>
              <w:right w:val="nil"/>
            </w:tcBorders>
            <w:shd w:val="clear" w:color="000000" w:fill="DBE5F1"/>
            <w:hideMark/>
          </w:tcPr>
          <w:p w:rsidR="00665097" w:rsidRPr="007227AB" w:rsidRDefault="00153402" w:rsidP="00B438BB">
            <w:pPr>
              <w:widowControl w:val="0"/>
              <w:spacing w:line="240" w:lineRule="exact"/>
              <w:jc w:val="center"/>
              <w:rPr>
                <w:rFonts w:cs="Arial"/>
                <w:b/>
                <w:bCs/>
                <w:color w:val="000000"/>
                <w:sz w:val="16"/>
                <w:szCs w:val="16"/>
              </w:rPr>
            </w:pPr>
            <w:r>
              <w:rPr>
                <w:rFonts w:cs="Arial"/>
                <w:b/>
                <w:bCs/>
                <w:color w:val="000000"/>
                <w:sz w:val="16"/>
                <w:szCs w:val="16"/>
              </w:rPr>
              <w:t>% ver.</w:t>
            </w:r>
          </w:p>
        </w:tc>
      </w:tr>
      <w:tr w:rsidR="00763453" w:rsidRPr="007227AB" w:rsidTr="00175D09">
        <w:trPr>
          <w:jc w:val="center"/>
        </w:trPr>
        <w:tc>
          <w:tcPr>
            <w:tcW w:w="931" w:type="pct"/>
            <w:tcBorders>
              <w:top w:val="nil"/>
              <w:left w:val="nil"/>
              <w:bottom w:val="nil"/>
              <w:right w:val="single" w:sz="4" w:space="0" w:color="BFBFBF" w:themeColor="background1" w:themeShade="BF"/>
            </w:tcBorders>
            <w:shd w:val="clear" w:color="auto" w:fill="auto"/>
            <w:vAlign w:val="bottom"/>
            <w:hideMark/>
          </w:tcPr>
          <w:p w:rsidR="00763453" w:rsidRPr="007227AB" w:rsidRDefault="00763453" w:rsidP="00B438BB">
            <w:pPr>
              <w:widowControl w:val="0"/>
              <w:spacing w:line="240" w:lineRule="exact"/>
              <w:rPr>
                <w:rFonts w:cs="Arial"/>
                <w:color w:val="000000"/>
                <w:sz w:val="16"/>
                <w:szCs w:val="16"/>
              </w:rPr>
            </w:pPr>
            <w:r w:rsidRPr="007227AB">
              <w:rPr>
                <w:rFonts w:cs="Arial"/>
                <w:color w:val="000000"/>
                <w:sz w:val="16"/>
                <w:szCs w:val="16"/>
              </w:rPr>
              <w:t>Hasta 5 empleos</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3.654.352</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0,1</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2.790.746</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0,1</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79.650</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0,1</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783.956</w:t>
            </w:r>
          </w:p>
        </w:tc>
        <w:tc>
          <w:tcPr>
            <w:tcW w:w="346" w:type="pct"/>
            <w:tcBorders>
              <w:top w:val="nil"/>
              <w:left w:val="nil"/>
              <w:bottom w:val="nil"/>
              <w:right w:val="nil"/>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3,0</w:t>
            </w:r>
          </w:p>
        </w:tc>
      </w:tr>
      <w:tr w:rsidR="00763453" w:rsidRPr="007227AB" w:rsidTr="00175D09">
        <w:trPr>
          <w:jc w:val="center"/>
        </w:trPr>
        <w:tc>
          <w:tcPr>
            <w:tcW w:w="931" w:type="pct"/>
            <w:tcBorders>
              <w:top w:val="nil"/>
              <w:left w:val="nil"/>
              <w:bottom w:val="nil"/>
              <w:right w:val="single" w:sz="4" w:space="0" w:color="BFBFBF" w:themeColor="background1" w:themeShade="BF"/>
            </w:tcBorders>
            <w:shd w:val="clear" w:color="auto" w:fill="auto"/>
            <w:vAlign w:val="bottom"/>
            <w:hideMark/>
          </w:tcPr>
          <w:p w:rsidR="00763453" w:rsidRPr="007227AB" w:rsidRDefault="00763453" w:rsidP="00B438BB">
            <w:pPr>
              <w:widowControl w:val="0"/>
              <w:spacing w:line="240" w:lineRule="exact"/>
              <w:rPr>
                <w:rFonts w:cs="Arial"/>
                <w:color w:val="000000"/>
                <w:sz w:val="16"/>
                <w:szCs w:val="16"/>
              </w:rPr>
            </w:pPr>
            <w:r w:rsidRPr="007227AB">
              <w:rPr>
                <w:rFonts w:cs="Arial"/>
                <w:color w:val="000000"/>
                <w:sz w:val="16"/>
                <w:szCs w:val="16"/>
              </w:rPr>
              <w:t>De 6 a 15</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8.797.340</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0,3</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6.145.173</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0,2</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1.278.797</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1,3</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1.373.371</w:t>
            </w:r>
          </w:p>
        </w:tc>
        <w:tc>
          <w:tcPr>
            <w:tcW w:w="346" w:type="pct"/>
            <w:tcBorders>
              <w:top w:val="nil"/>
              <w:left w:val="nil"/>
              <w:bottom w:val="nil"/>
              <w:right w:val="nil"/>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5,3</w:t>
            </w:r>
          </w:p>
        </w:tc>
      </w:tr>
      <w:tr w:rsidR="00763453" w:rsidRPr="007227AB" w:rsidTr="00175D09">
        <w:trPr>
          <w:jc w:val="center"/>
        </w:trPr>
        <w:tc>
          <w:tcPr>
            <w:tcW w:w="931" w:type="pct"/>
            <w:tcBorders>
              <w:top w:val="nil"/>
              <w:left w:val="nil"/>
              <w:bottom w:val="nil"/>
              <w:right w:val="single" w:sz="4" w:space="0" w:color="BFBFBF" w:themeColor="background1" w:themeShade="BF"/>
            </w:tcBorders>
            <w:shd w:val="clear" w:color="auto" w:fill="auto"/>
            <w:vAlign w:val="bottom"/>
            <w:hideMark/>
          </w:tcPr>
          <w:p w:rsidR="00763453" w:rsidRPr="007227AB" w:rsidRDefault="00763453" w:rsidP="00B438BB">
            <w:pPr>
              <w:widowControl w:val="0"/>
              <w:spacing w:line="240" w:lineRule="exact"/>
              <w:rPr>
                <w:rFonts w:cs="Arial"/>
                <w:color w:val="000000"/>
                <w:sz w:val="16"/>
                <w:szCs w:val="16"/>
              </w:rPr>
            </w:pPr>
            <w:r w:rsidRPr="007227AB">
              <w:rPr>
                <w:rFonts w:cs="Arial"/>
                <w:color w:val="000000"/>
                <w:sz w:val="16"/>
                <w:szCs w:val="16"/>
              </w:rPr>
              <w:t>De 16 a 50</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102.762.698</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3,9</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63.199.663</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2,5</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26.670.135</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27,9</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12.892.901</w:t>
            </w:r>
          </w:p>
        </w:tc>
        <w:tc>
          <w:tcPr>
            <w:tcW w:w="346" w:type="pct"/>
            <w:tcBorders>
              <w:top w:val="nil"/>
              <w:left w:val="nil"/>
              <w:bottom w:val="nil"/>
              <w:right w:val="nil"/>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50,1</w:t>
            </w:r>
          </w:p>
        </w:tc>
      </w:tr>
      <w:tr w:rsidR="00763453" w:rsidRPr="007227AB" w:rsidTr="00175D09">
        <w:trPr>
          <w:jc w:val="center"/>
        </w:trPr>
        <w:tc>
          <w:tcPr>
            <w:tcW w:w="931" w:type="pct"/>
            <w:tcBorders>
              <w:top w:val="nil"/>
              <w:left w:val="nil"/>
              <w:bottom w:val="nil"/>
              <w:right w:val="single" w:sz="4" w:space="0" w:color="BFBFBF" w:themeColor="background1" w:themeShade="BF"/>
            </w:tcBorders>
            <w:shd w:val="clear" w:color="auto" w:fill="auto"/>
            <w:vAlign w:val="bottom"/>
            <w:hideMark/>
          </w:tcPr>
          <w:p w:rsidR="00763453" w:rsidRPr="007227AB" w:rsidRDefault="00763453" w:rsidP="00B438BB">
            <w:pPr>
              <w:widowControl w:val="0"/>
              <w:spacing w:line="240" w:lineRule="exact"/>
              <w:rPr>
                <w:rFonts w:cs="Arial"/>
                <w:color w:val="000000"/>
                <w:sz w:val="16"/>
                <w:szCs w:val="16"/>
              </w:rPr>
            </w:pPr>
            <w:r w:rsidRPr="007227AB">
              <w:rPr>
                <w:rFonts w:cs="Arial"/>
                <w:color w:val="000000"/>
                <w:sz w:val="16"/>
                <w:szCs w:val="16"/>
              </w:rPr>
              <w:t>De 51 a 100</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132.783.824</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5,0</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116.364.681</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4,6</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16.419.143</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17,2</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0</w:t>
            </w:r>
          </w:p>
        </w:tc>
        <w:tc>
          <w:tcPr>
            <w:tcW w:w="346" w:type="pct"/>
            <w:tcBorders>
              <w:top w:val="nil"/>
              <w:left w:val="nil"/>
              <w:bottom w:val="nil"/>
              <w:right w:val="nil"/>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0,0</w:t>
            </w:r>
          </w:p>
        </w:tc>
      </w:tr>
      <w:tr w:rsidR="00763453" w:rsidRPr="007227AB" w:rsidTr="00175D09">
        <w:trPr>
          <w:jc w:val="center"/>
        </w:trPr>
        <w:tc>
          <w:tcPr>
            <w:tcW w:w="931" w:type="pct"/>
            <w:tcBorders>
              <w:top w:val="nil"/>
              <w:left w:val="nil"/>
              <w:bottom w:val="nil"/>
              <w:right w:val="single" w:sz="4" w:space="0" w:color="BFBFBF" w:themeColor="background1" w:themeShade="BF"/>
            </w:tcBorders>
            <w:shd w:val="clear" w:color="auto" w:fill="auto"/>
            <w:vAlign w:val="bottom"/>
            <w:hideMark/>
          </w:tcPr>
          <w:p w:rsidR="00763453" w:rsidRPr="007227AB" w:rsidRDefault="00763453" w:rsidP="00B438BB">
            <w:pPr>
              <w:widowControl w:val="0"/>
              <w:spacing w:line="240" w:lineRule="exact"/>
              <w:rPr>
                <w:rFonts w:cs="Arial"/>
                <w:color w:val="000000"/>
                <w:sz w:val="16"/>
                <w:szCs w:val="16"/>
              </w:rPr>
            </w:pPr>
            <w:r w:rsidRPr="007227AB">
              <w:rPr>
                <w:rFonts w:cs="Arial"/>
                <w:color w:val="000000"/>
                <w:sz w:val="16"/>
                <w:szCs w:val="16"/>
              </w:rPr>
              <w:t>De 101 a 200</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376.334.624</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14,2</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351.689.597</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13,9</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13.950.318</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14,6</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10.694.709</w:t>
            </w:r>
          </w:p>
        </w:tc>
        <w:tc>
          <w:tcPr>
            <w:tcW w:w="346" w:type="pct"/>
            <w:tcBorders>
              <w:top w:val="nil"/>
              <w:left w:val="nil"/>
              <w:bottom w:val="nil"/>
              <w:right w:val="nil"/>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41,5</w:t>
            </w:r>
          </w:p>
        </w:tc>
      </w:tr>
      <w:tr w:rsidR="00763453" w:rsidRPr="007227AB" w:rsidTr="00175D09">
        <w:trPr>
          <w:jc w:val="center"/>
        </w:trPr>
        <w:tc>
          <w:tcPr>
            <w:tcW w:w="931" w:type="pct"/>
            <w:tcBorders>
              <w:top w:val="nil"/>
              <w:left w:val="nil"/>
              <w:bottom w:val="nil"/>
              <w:right w:val="single" w:sz="4" w:space="0" w:color="BFBFBF" w:themeColor="background1" w:themeShade="BF"/>
            </w:tcBorders>
            <w:shd w:val="clear" w:color="auto" w:fill="auto"/>
            <w:vAlign w:val="bottom"/>
            <w:hideMark/>
          </w:tcPr>
          <w:p w:rsidR="00763453" w:rsidRPr="007227AB" w:rsidRDefault="00763453" w:rsidP="00B438BB">
            <w:pPr>
              <w:widowControl w:val="0"/>
              <w:spacing w:line="240" w:lineRule="exact"/>
              <w:rPr>
                <w:rFonts w:cs="Arial"/>
                <w:color w:val="000000"/>
                <w:sz w:val="16"/>
                <w:szCs w:val="16"/>
              </w:rPr>
            </w:pPr>
            <w:r w:rsidRPr="007227AB">
              <w:rPr>
                <w:rFonts w:cs="Arial"/>
                <w:color w:val="000000"/>
                <w:sz w:val="16"/>
                <w:szCs w:val="16"/>
              </w:rPr>
              <w:t>De 201 a 500</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812.910.995</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30,6</w:t>
            </w:r>
          </w:p>
        </w:tc>
        <w:tc>
          <w:tcPr>
            <w:tcW w:w="726"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775.696.764</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30,6</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37.214.231</w:t>
            </w:r>
          </w:p>
        </w:tc>
        <w:tc>
          <w:tcPr>
            <w:tcW w:w="347" w:type="pct"/>
            <w:tcBorders>
              <w:top w:val="nil"/>
              <w:left w:val="nil"/>
              <w:bottom w:val="nil"/>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38,9</w:t>
            </w:r>
          </w:p>
        </w:tc>
        <w:tc>
          <w:tcPr>
            <w:tcW w:w="615" w:type="pct"/>
            <w:tcBorders>
              <w:top w:val="nil"/>
              <w:left w:val="single" w:sz="4" w:space="0" w:color="BFBFBF" w:themeColor="background1" w:themeShade="BF"/>
              <w:bottom w:val="nil"/>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0</w:t>
            </w:r>
          </w:p>
        </w:tc>
        <w:tc>
          <w:tcPr>
            <w:tcW w:w="346" w:type="pct"/>
            <w:tcBorders>
              <w:top w:val="nil"/>
              <w:left w:val="nil"/>
              <w:bottom w:val="nil"/>
              <w:right w:val="nil"/>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0,0</w:t>
            </w:r>
          </w:p>
        </w:tc>
      </w:tr>
      <w:tr w:rsidR="00763453" w:rsidRPr="007227AB" w:rsidTr="00175D09">
        <w:trPr>
          <w:jc w:val="center"/>
        </w:trPr>
        <w:tc>
          <w:tcPr>
            <w:tcW w:w="931"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rsidR="00763453" w:rsidRPr="007227AB" w:rsidRDefault="00763453" w:rsidP="00B438BB">
            <w:pPr>
              <w:widowControl w:val="0"/>
              <w:spacing w:line="240" w:lineRule="exact"/>
              <w:jc w:val="left"/>
              <w:rPr>
                <w:rFonts w:cs="Arial"/>
                <w:color w:val="000000"/>
                <w:sz w:val="16"/>
                <w:szCs w:val="16"/>
              </w:rPr>
            </w:pPr>
            <w:r w:rsidRPr="007227AB">
              <w:rPr>
                <w:rFonts w:cs="Arial"/>
                <w:color w:val="000000"/>
                <w:sz w:val="16"/>
                <w:szCs w:val="16"/>
              </w:rPr>
              <w:t>Más de 500 empleos</w:t>
            </w:r>
          </w:p>
        </w:tc>
        <w:tc>
          <w:tcPr>
            <w:tcW w:w="726" w:type="pct"/>
            <w:tcBorders>
              <w:top w:val="nil"/>
              <w:left w:val="single" w:sz="4" w:space="0" w:color="BFBFBF" w:themeColor="background1" w:themeShade="BF"/>
              <w:bottom w:val="single" w:sz="4" w:space="0" w:color="BFBFBF" w:themeColor="background1" w:themeShade="BF"/>
            </w:tcBorders>
            <w:shd w:val="clear" w:color="auto" w:fill="auto"/>
            <w:noWrap/>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1.216.226.770</w:t>
            </w:r>
          </w:p>
        </w:tc>
        <w:tc>
          <w:tcPr>
            <w:tcW w:w="347" w:type="pct"/>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45,8</w:t>
            </w:r>
          </w:p>
        </w:tc>
        <w:tc>
          <w:tcPr>
            <w:tcW w:w="726" w:type="pct"/>
            <w:tcBorders>
              <w:top w:val="nil"/>
              <w:left w:val="single" w:sz="4" w:space="0" w:color="BFBFBF" w:themeColor="background1" w:themeShade="BF"/>
              <w:bottom w:val="single" w:sz="4" w:space="0" w:color="BFBFBF" w:themeColor="background1" w:themeShade="BF"/>
            </w:tcBorders>
            <w:shd w:val="clear" w:color="auto" w:fill="auto"/>
            <w:noWrap/>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1.216.226.770</w:t>
            </w:r>
          </w:p>
        </w:tc>
        <w:tc>
          <w:tcPr>
            <w:tcW w:w="347" w:type="pct"/>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48,0</w:t>
            </w:r>
          </w:p>
        </w:tc>
        <w:tc>
          <w:tcPr>
            <w:tcW w:w="615" w:type="pct"/>
            <w:tcBorders>
              <w:top w:val="nil"/>
              <w:left w:val="single" w:sz="4" w:space="0" w:color="BFBFBF" w:themeColor="background1" w:themeShade="BF"/>
              <w:bottom w:val="single" w:sz="4" w:space="0" w:color="BFBFBF" w:themeColor="background1" w:themeShade="BF"/>
            </w:tcBorders>
            <w:shd w:val="clear" w:color="auto" w:fill="auto"/>
            <w:noWrap/>
            <w:vAlign w:val="center"/>
            <w:hideMark/>
          </w:tcPr>
          <w:p w:rsidR="00763453" w:rsidRPr="00105250" w:rsidRDefault="00763453" w:rsidP="00B438BB">
            <w:pPr>
              <w:widowControl w:val="0"/>
              <w:spacing w:line="240" w:lineRule="exact"/>
              <w:ind w:right="218"/>
              <w:jc w:val="right"/>
              <w:rPr>
                <w:rFonts w:cs="Arial"/>
                <w:bCs/>
                <w:sz w:val="16"/>
                <w:szCs w:val="16"/>
              </w:rPr>
            </w:pPr>
            <w:r w:rsidRPr="00105250">
              <w:rPr>
                <w:rFonts w:cs="Arial"/>
                <w:bCs/>
                <w:sz w:val="16"/>
                <w:szCs w:val="16"/>
              </w:rPr>
              <w:t>0</w:t>
            </w:r>
          </w:p>
        </w:tc>
        <w:tc>
          <w:tcPr>
            <w:tcW w:w="347" w:type="pct"/>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0,0</w:t>
            </w:r>
          </w:p>
        </w:tc>
        <w:tc>
          <w:tcPr>
            <w:tcW w:w="615" w:type="pct"/>
            <w:tcBorders>
              <w:top w:val="nil"/>
              <w:left w:val="single" w:sz="4" w:space="0" w:color="BFBFBF" w:themeColor="background1" w:themeShade="BF"/>
              <w:bottom w:val="single" w:sz="4" w:space="0" w:color="BFBFBF" w:themeColor="background1" w:themeShade="BF"/>
            </w:tcBorders>
            <w:shd w:val="clear" w:color="auto" w:fill="auto"/>
            <w:vAlign w:val="center"/>
            <w:hideMark/>
          </w:tcPr>
          <w:p w:rsidR="00763453" w:rsidRPr="00105250" w:rsidRDefault="00763453" w:rsidP="00B438BB">
            <w:pPr>
              <w:spacing w:line="240" w:lineRule="exact"/>
              <w:ind w:right="218"/>
              <w:jc w:val="right"/>
              <w:rPr>
                <w:rFonts w:cs="Arial"/>
                <w:bCs/>
                <w:sz w:val="16"/>
                <w:szCs w:val="16"/>
              </w:rPr>
            </w:pPr>
            <w:r w:rsidRPr="00105250">
              <w:rPr>
                <w:rFonts w:cs="Arial"/>
                <w:bCs/>
                <w:sz w:val="16"/>
                <w:szCs w:val="16"/>
              </w:rPr>
              <w:t>0</w:t>
            </w:r>
          </w:p>
        </w:tc>
        <w:tc>
          <w:tcPr>
            <w:tcW w:w="346" w:type="pct"/>
            <w:tcBorders>
              <w:top w:val="nil"/>
              <w:left w:val="nil"/>
              <w:bottom w:val="single" w:sz="4" w:space="0" w:color="BFBFBF" w:themeColor="background1" w:themeShade="BF"/>
              <w:right w:val="nil"/>
            </w:tcBorders>
            <w:shd w:val="clear" w:color="auto" w:fill="auto"/>
            <w:vAlign w:val="center"/>
            <w:hideMark/>
          </w:tcPr>
          <w:p w:rsidR="00763453" w:rsidRPr="00763453" w:rsidRDefault="00763453" w:rsidP="00B438BB">
            <w:pPr>
              <w:spacing w:line="240" w:lineRule="exact"/>
              <w:ind w:right="218"/>
              <w:jc w:val="right"/>
              <w:rPr>
                <w:rFonts w:cs="Arial"/>
                <w:bCs/>
                <w:sz w:val="16"/>
                <w:szCs w:val="16"/>
              </w:rPr>
            </w:pPr>
            <w:r w:rsidRPr="00763453">
              <w:rPr>
                <w:rFonts w:cs="Arial"/>
                <w:bCs/>
                <w:sz w:val="16"/>
                <w:szCs w:val="16"/>
              </w:rPr>
              <w:t>0,0</w:t>
            </w:r>
          </w:p>
        </w:tc>
      </w:tr>
      <w:tr w:rsidR="00105250" w:rsidRPr="007227AB" w:rsidTr="00175D09">
        <w:trPr>
          <w:jc w:val="center"/>
        </w:trPr>
        <w:tc>
          <w:tcPr>
            <w:tcW w:w="93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05250" w:rsidRPr="007227AB" w:rsidRDefault="00A33F7A" w:rsidP="00B438BB">
            <w:pPr>
              <w:widowControl w:val="0"/>
              <w:spacing w:line="240" w:lineRule="exact"/>
              <w:rPr>
                <w:rFonts w:cs="Arial"/>
                <w:b/>
                <w:bCs/>
                <w:color w:val="000000"/>
                <w:sz w:val="16"/>
                <w:szCs w:val="16"/>
              </w:rPr>
            </w:pPr>
            <w:r>
              <w:rPr>
                <w:rFonts w:cs="Arial"/>
                <w:b/>
                <w:bCs/>
                <w:color w:val="000000"/>
                <w:sz w:val="16"/>
                <w:szCs w:val="16"/>
              </w:rPr>
              <w:t>TOTAL</w:t>
            </w:r>
          </w:p>
        </w:tc>
        <w:tc>
          <w:tcPr>
            <w:tcW w:w="726"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105250" w:rsidRPr="00763453" w:rsidRDefault="00105250" w:rsidP="00B438BB">
            <w:pPr>
              <w:widowControl w:val="0"/>
              <w:spacing w:line="240" w:lineRule="exact"/>
              <w:ind w:right="218"/>
              <w:jc w:val="right"/>
              <w:rPr>
                <w:rFonts w:cs="Arial"/>
                <w:b/>
                <w:bCs/>
                <w:sz w:val="16"/>
                <w:szCs w:val="16"/>
              </w:rPr>
            </w:pPr>
            <w:r w:rsidRPr="00763453">
              <w:rPr>
                <w:rFonts w:cs="Arial"/>
                <w:b/>
                <w:bCs/>
                <w:sz w:val="16"/>
                <w:szCs w:val="16"/>
              </w:rPr>
              <w:t>2.653.470.604</w:t>
            </w:r>
          </w:p>
        </w:tc>
        <w:tc>
          <w:tcPr>
            <w:tcW w:w="347"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05250" w:rsidRPr="00763453" w:rsidRDefault="00105250" w:rsidP="00B438BB">
            <w:pPr>
              <w:widowControl w:val="0"/>
              <w:spacing w:line="240" w:lineRule="exact"/>
              <w:ind w:right="218"/>
              <w:jc w:val="right"/>
              <w:rPr>
                <w:rFonts w:cs="Arial"/>
                <w:b/>
                <w:bCs/>
                <w:sz w:val="16"/>
                <w:szCs w:val="16"/>
              </w:rPr>
            </w:pPr>
            <w:r w:rsidRPr="00763453">
              <w:rPr>
                <w:rFonts w:cs="Arial"/>
                <w:b/>
                <w:bCs/>
                <w:sz w:val="16"/>
                <w:szCs w:val="16"/>
              </w:rPr>
              <w:t>100</w:t>
            </w:r>
            <w:r w:rsidR="00A917B1">
              <w:rPr>
                <w:rFonts w:cs="Arial"/>
                <w:b/>
                <w:bCs/>
                <w:sz w:val="16"/>
                <w:szCs w:val="16"/>
              </w:rPr>
              <w:t>,0</w:t>
            </w:r>
          </w:p>
        </w:tc>
        <w:tc>
          <w:tcPr>
            <w:tcW w:w="726"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105250" w:rsidRPr="00763453" w:rsidRDefault="00105250" w:rsidP="00B438BB">
            <w:pPr>
              <w:widowControl w:val="0"/>
              <w:spacing w:line="240" w:lineRule="exact"/>
              <w:ind w:right="218"/>
              <w:jc w:val="right"/>
              <w:rPr>
                <w:rFonts w:cs="Arial"/>
                <w:b/>
                <w:bCs/>
                <w:sz w:val="16"/>
                <w:szCs w:val="16"/>
              </w:rPr>
            </w:pPr>
            <w:r w:rsidRPr="00763453">
              <w:rPr>
                <w:rFonts w:cs="Arial"/>
                <w:b/>
                <w:bCs/>
                <w:sz w:val="16"/>
                <w:szCs w:val="16"/>
              </w:rPr>
              <w:t>2.532.113.395</w:t>
            </w:r>
          </w:p>
        </w:tc>
        <w:tc>
          <w:tcPr>
            <w:tcW w:w="347"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05250" w:rsidRPr="00763453" w:rsidRDefault="00105250" w:rsidP="00B438BB">
            <w:pPr>
              <w:widowControl w:val="0"/>
              <w:spacing w:line="240" w:lineRule="exact"/>
              <w:ind w:right="218"/>
              <w:jc w:val="right"/>
              <w:rPr>
                <w:rFonts w:cs="Arial"/>
                <w:b/>
                <w:bCs/>
                <w:sz w:val="16"/>
                <w:szCs w:val="16"/>
              </w:rPr>
            </w:pPr>
            <w:r w:rsidRPr="00763453">
              <w:rPr>
                <w:rFonts w:cs="Arial"/>
                <w:b/>
                <w:bCs/>
                <w:sz w:val="16"/>
                <w:szCs w:val="16"/>
              </w:rPr>
              <w:t>100</w:t>
            </w:r>
            <w:r w:rsidR="00A917B1">
              <w:rPr>
                <w:rFonts w:cs="Arial"/>
                <w:b/>
                <w:bCs/>
                <w:sz w:val="16"/>
                <w:szCs w:val="16"/>
              </w:rPr>
              <w:t>,0</w:t>
            </w:r>
          </w:p>
        </w:tc>
        <w:tc>
          <w:tcPr>
            <w:tcW w:w="615"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105250" w:rsidRPr="00763453" w:rsidRDefault="00763453" w:rsidP="00B438BB">
            <w:pPr>
              <w:widowControl w:val="0"/>
              <w:spacing w:line="240" w:lineRule="exact"/>
              <w:ind w:right="218"/>
              <w:jc w:val="right"/>
              <w:rPr>
                <w:rFonts w:cs="Arial"/>
                <w:b/>
                <w:bCs/>
                <w:sz w:val="16"/>
                <w:szCs w:val="16"/>
              </w:rPr>
            </w:pPr>
            <w:r w:rsidRPr="00763453">
              <w:rPr>
                <w:rFonts w:cs="Arial"/>
                <w:b/>
                <w:bCs/>
                <w:sz w:val="16"/>
                <w:szCs w:val="16"/>
              </w:rPr>
              <w:t>95.612.274</w:t>
            </w:r>
          </w:p>
        </w:tc>
        <w:tc>
          <w:tcPr>
            <w:tcW w:w="347"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center"/>
            <w:hideMark/>
          </w:tcPr>
          <w:p w:rsidR="00105250" w:rsidRPr="00763453" w:rsidRDefault="00105250" w:rsidP="00B438BB">
            <w:pPr>
              <w:widowControl w:val="0"/>
              <w:spacing w:line="240" w:lineRule="exact"/>
              <w:ind w:right="218"/>
              <w:jc w:val="right"/>
              <w:rPr>
                <w:rFonts w:cs="Arial"/>
                <w:b/>
                <w:bCs/>
                <w:sz w:val="16"/>
                <w:szCs w:val="16"/>
              </w:rPr>
            </w:pPr>
            <w:r w:rsidRPr="00763453">
              <w:rPr>
                <w:rFonts w:cs="Arial"/>
                <w:b/>
                <w:bCs/>
                <w:sz w:val="16"/>
                <w:szCs w:val="16"/>
              </w:rPr>
              <w:t>100</w:t>
            </w:r>
            <w:r w:rsidR="00A917B1">
              <w:rPr>
                <w:rFonts w:cs="Arial"/>
                <w:b/>
                <w:bCs/>
                <w:sz w:val="16"/>
                <w:szCs w:val="16"/>
              </w:rPr>
              <w:t>,0</w:t>
            </w:r>
          </w:p>
        </w:tc>
        <w:tc>
          <w:tcPr>
            <w:tcW w:w="615"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center"/>
            <w:hideMark/>
          </w:tcPr>
          <w:p w:rsidR="00105250" w:rsidRPr="00763453" w:rsidRDefault="00763453" w:rsidP="00B438BB">
            <w:pPr>
              <w:widowControl w:val="0"/>
              <w:spacing w:line="240" w:lineRule="exact"/>
              <w:ind w:right="218"/>
              <w:jc w:val="right"/>
              <w:rPr>
                <w:rFonts w:cs="Arial"/>
                <w:b/>
                <w:bCs/>
                <w:sz w:val="16"/>
                <w:szCs w:val="16"/>
              </w:rPr>
            </w:pPr>
            <w:r w:rsidRPr="00763453">
              <w:rPr>
                <w:rFonts w:cs="Arial"/>
                <w:b/>
                <w:bCs/>
                <w:sz w:val="16"/>
                <w:szCs w:val="16"/>
              </w:rPr>
              <w:t>25.744.936</w:t>
            </w:r>
          </w:p>
        </w:tc>
        <w:tc>
          <w:tcPr>
            <w:tcW w:w="346" w:type="pct"/>
            <w:tcBorders>
              <w:top w:val="single" w:sz="4" w:space="0" w:color="BFBFBF" w:themeColor="background1" w:themeShade="BF"/>
              <w:left w:val="nil"/>
              <w:bottom w:val="single" w:sz="8" w:space="0" w:color="BFBFBF"/>
              <w:right w:val="nil"/>
            </w:tcBorders>
            <w:shd w:val="clear" w:color="auto" w:fill="auto"/>
            <w:vAlign w:val="center"/>
            <w:hideMark/>
          </w:tcPr>
          <w:p w:rsidR="00105250" w:rsidRPr="00763453" w:rsidRDefault="00105250" w:rsidP="00B438BB">
            <w:pPr>
              <w:widowControl w:val="0"/>
              <w:spacing w:line="240" w:lineRule="exact"/>
              <w:ind w:right="218"/>
              <w:jc w:val="right"/>
              <w:rPr>
                <w:rFonts w:cs="Arial"/>
                <w:b/>
                <w:bCs/>
                <w:sz w:val="16"/>
                <w:szCs w:val="16"/>
              </w:rPr>
            </w:pPr>
            <w:r w:rsidRPr="00763453">
              <w:rPr>
                <w:rFonts w:cs="Arial"/>
                <w:b/>
                <w:bCs/>
                <w:sz w:val="16"/>
                <w:szCs w:val="16"/>
              </w:rPr>
              <w:t>100</w:t>
            </w:r>
            <w:r w:rsidR="00A917B1">
              <w:rPr>
                <w:rFonts w:cs="Arial"/>
                <w:b/>
                <w:bCs/>
                <w:sz w:val="16"/>
                <w:szCs w:val="16"/>
              </w:rPr>
              <w:t>,0</w:t>
            </w:r>
          </w:p>
        </w:tc>
      </w:tr>
    </w:tbl>
    <w:p w:rsidR="00233942" w:rsidRDefault="00233942" w:rsidP="00BB313D">
      <w:pPr>
        <w:widowControl w:val="0"/>
        <w:rPr>
          <w:highlight w:val="yellow"/>
        </w:rPr>
      </w:pPr>
    </w:p>
    <w:p w:rsidR="001C63DE" w:rsidRDefault="001C63DE" w:rsidP="00BB313D">
      <w:pPr>
        <w:widowControl w:val="0"/>
        <w:rPr>
          <w:highlight w:val="yellow"/>
        </w:rPr>
      </w:pPr>
    </w:p>
    <w:p w:rsidR="00665097" w:rsidRPr="00F4159C" w:rsidRDefault="00DE1512" w:rsidP="00BB313D">
      <w:pPr>
        <w:pStyle w:val="Encabezado"/>
        <w:widowControl w:val="0"/>
        <w:tabs>
          <w:tab w:val="clear" w:pos="4252"/>
          <w:tab w:val="clear" w:pos="8504"/>
        </w:tabs>
        <w:jc w:val="center"/>
        <w:rPr>
          <w:rFonts w:cs="Arial"/>
          <w:b/>
          <w:color w:val="1F497D" w:themeColor="text2"/>
          <w:sz w:val="18"/>
          <w:szCs w:val="18"/>
          <w:lang w:val="es-ES_tradnl"/>
        </w:rPr>
      </w:pPr>
      <w:bookmarkStart w:id="199" w:name="_Toc391999625"/>
      <w:bookmarkStart w:id="200" w:name="_Toc450119508"/>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B70760">
        <w:rPr>
          <w:rFonts w:cs="Arial"/>
          <w:b/>
          <w:color w:val="1F497D" w:themeColor="text2"/>
          <w:sz w:val="18"/>
          <w:szCs w:val="18"/>
        </w:rPr>
        <w:t xml:space="preserve"> </w:t>
      </w:r>
      <w:r w:rsidR="00665097" w:rsidRPr="00B70760">
        <w:rPr>
          <w:rFonts w:cs="Arial"/>
          <w:b/>
          <w:color w:val="1F497D" w:themeColor="text2"/>
          <w:sz w:val="18"/>
          <w:szCs w:val="18"/>
          <w:lang w:val="es-ES_tradnl"/>
        </w:rPr>
        <w:t>PESO RELATIVO DEL VOLUMEN DE EXPORTACIÓN POR FORMA JURÍDICA Y ESTRATO DE EMPLEO (%</w:t>
      </w:r>
      <w:r w:rsidR="00153402" w:rsidRPr="00B70760">
        <w:rPr>
          <w:rFonts w:cs="Arial"/>
          <w:b/>
          <w:color w:val="1F497D" w:themeColor="text2"/>
          <w:sz w:val="18"/>
          <w:szCs w:val="18"/>
          <w:lang w:val="es-ES_tradnl"/>
        </w:rPr>
        <w:t xml:space="preserve"> </w:t>
      </w:r>
      <w:r w:rsidR="00665097" w:rsidRPr="00B70760">
        <w:rPr>
          <w:rFonts w:cs="Arial"/>
          <w:b/>
          <w:color w:val="1F497D" w:themeColor="text2"/>
          <w:sz w:val="18"/>
          <w:szCs w:val="18"/>
          <w:lang w:val="es-ES_tradnl"/>
        </w:rPr>
        <w:t>h</w:t>
      </w:r>
      <w:r w:rsidR="00153402" w:rsidRPr="00B70760">
        <w:rPr>
          <w:rFonts w:cs="Arial"/>
          <w:b/>
          <w:color w:val="1F497D" w:themeColor="text2"/>
          <w:sz w:val="18"/>
          <w:szCs w:val="18"/>
          <w:lang w:val="es-ES_tradnl"/>
        </w:rPr>
        <w:t>or</w:t>
      </w:r>
      <w:r w:rsidR="00DA23E1" w:rsidRPr="00B70760">
        <w:rPr>
          <w:rFonts w:cs="Arial"/>
          <w:b/>
          <w:color w:val="1F497D" w:themeColor="text2"/>
          <w:sz w:val="18"/>
          <w:szCs w:val="18"/>
          <w:lang w:val="es-ES_tradnl"/>
        </w:rPr>
        <w:t>izontales</w:t>
      </w:r>
      <w:r w:rsidR="00665097" w:rsidRPr="00B70760">
        <w:rPr>
          <w:rFonts w:cs="Arial"/>
          <w:b/>
          <w:color w:val="1F497D" w:themeColor="text2"/>
          <w:sz w:val="18"/>
          <w:szCs w:val="18"/>
          <w:lang w:val="es-ES_tradnl"/>
        </w:rPr>
        <w:t>). 201</w:t>
      </w:r>
      <w:bookmarkEnd w:id="199"/>
      <w:r w:rsidR="00B70760" w:rsidRPr="00B70760">
        <w:rPr>
          <w:rFonts w:cs="Arial"/>
          <w:b/>
          <w:color w:val="1F497D" w:themeColor="text2"/>
          <w:sz w:val="18"/>
          <w:szCs w:val="18"/>
          <w:lang w:val="es-ES_tradnl"/>
        </w:rPr>
        <w:t>4</w:t>
      </w:r>
      <w:bookmarkEnd w:id="200"/>
    </w:p>
    <w:tbl>
      <w:tblPr>
        <w:tblW w:w="9940" w:type="dxa"/>
        <w:jc w:val="center"/>
        <w:tblCellMar>
          <w:left w:w="70" w:type="dxa"/>
          <w:right w:w="70" w:type="dxa"/>
        </w:tblCellMar>
        <w:tblLook w:val="04A0" w:firstRow="1" w:lastRow="0" w:firstColumn="1" w:lastColumn="0" w:noHBand="0" w:noVBand="1"/>
      </w:tblPr>
      <w:tblGrid>
        <w:gridCol w:w="3319"/>
        <w:gridCol w:w="2207"/>
        <w:gridCol w:w="2207"/>
        <w:gridCol w:w="2207"/>
      </w:tblGrid>
      <w:tr w:rsidR="00FF2AEB" w:rsidRPr="00FF2AEB" w:rsidTr="00D122F5">
        <w:trPr>
          <w:jc w:val="center"/>
        </w:trPr>
        <w:tc>
          <w:tcPr>
            <w:tcW w:w="1804" w:type="dxa"/>
            <w:tcBorders>
              <w:top w:val="single" w:sz="8" w:space="0" w:color="BFBFBF"/>
              <w:left w:val="nil"/>
              <w:bottom w:val="single" w:sz="8" w:space="0" w:color="BFBFBF"/>
              <w:right w:val="single" w:sz="8" w:space="0" w:color="BFBFBF"/>
            </w:tcBorders>
            <w:shd w:val="clear" w:color="000000" w:fill="DBE5F1"/>
            <w:noWrap/>
            <w:hideMark/>
          </w:tcPr>
          <w:p w:rsidR="00FF2AEB" w:rsidRPr="00FF2AEB" w:rsidRDefault="00FF2AEB" w:rsidP="005627A1">
            <w:pPr>
              <w:spacing w:line="240" w:lineRule="exact"/>
              <w:rPr>
                <w:rFonts w:eastAsia="Times New Roman" w:cs="Arial"/>
                <w:b/>
                <w:bCs/>
                <w:color w:val="000000"/>
                <w:sz w:val="16"/>
                <w:szCs w:val="16"/>
                <w:lang w:eastAsia="es-ES"/>
              </w:rPr>
            </w:pPr>
            <w:r w:rsidRPr="00FF2AEB">
              <w:rPr>
                <w:rFonts w:eastAsia="Times New Roman" w:cs="Arial"/>
                <w:b/>
                <w:bCs/>
                <w:color w:val="000000"/>
                <w:sz w:val="16"/>
                <w:szCs w:val="16"/>
                <w:lang w:eastAsia="es-ES"/>
              </w:rPr>
              <w:t> </w:t>
            </w:r>
          </w:p>
        </w:tc>
        <w:tc>
          <w:tcPr>
            <w:tcW w:w="1200" w:type="dxa"/>
            <w:tcBorders>
              <w:top w:val="single" w:sz="8" w:space="0" w:color="BFBFBF"/>
              <w:left w:val="nil"/>
              <w:bottom w:val="single" w:sz="8" w:space="0" w:color="BFBFBF"/>
              <w:right w:val="single" w:sz="8" w:space="0" w:color="BFBFBF"/>
            </w:tcBorders>
            <w:shd w:val="clear" w:color="000000" w:fill="DBE5F1"/>
            <w:noWrap/>
            <w:hideMark/>
          </w:tcPr>
          <w:p w:rsidR="00FF2AEB" w:rsidRPr="00FF2AEB" w:rsidRDefault="00FF2AEB" w:rsidP="005627A1">
            <w:pPr>
              <w:spacing w:line="240" w:lineRule="exact"/>
              <w:jc w:val="center"/>
              <w:rPr>
                <w:rFonts w:eastAsia="Times New Roman" w:cs="Arial"/>
                <w:b/>
                <w:bCs/>
                <w:color w:val="000000"/>
                <w:sz w:val="16"/>
                <w:szCs w:val="16"/>
                <w:lang w:eastAsia="es-ES"/>
              </w:rPr>
            </w:pPr>
            <w:proofErr w:type="spellStart"/>
            <w:r w:rsidRPr="00FF2AEB">
              <w:rPr>
                <w:rFonts w:eastAsia="Times New Roman" w:cs="Arial"/>
                <w:b/>
                <w:bCs/>
                <w:color w:val="000000"/>
                <w:sz w:val="16"/>
                <w:szCs w:val="16"/>
                <w:lang w:val="en-GB" w:eastAsia="es-ES"/>
              </w:rPr>
              <w:t>S.Coop</w:t>
            </w:r>
            <w:proofErr w:type="spellEnd"/>
            <w:r w:rsidRPr="00FF2AEB">
              <w:rPr>
                <w:rFonts w:eastAsia="Times New Roman" w:cs="Arial"/>
                <w:b/>
                <w:bCs/>
                <w:color w:val="000000"/>
                <w:sz w:val="16"/>
                <w:szCs w:val="16"/>
                <w:lang w:val="en-GB" w:eastAsia="es-ES"/>
              </w:rPr>
              <w:t>.</w:t>
            </w:r>
          </w:p>
        </w:tc>
        <w:tc>
          <w:tcPr>
            <w:tcW w:w="1200" w:type="dxa"/>
            <w:tcBorders>
              <w:top w:val="single" w:sz="8" w:space="0" w:color="BFBFBF"/>
              <w:left w:val="nil"/>
              <w:bottom w:val="single" w:sz="8" w:space="0" w:color="BFBFBF"/>
              <w:right w:val="single" w:sz="8" w:space="0" w:color="BFBFBF"/>
            </w:tcBorders>
            <w:shd w:val="clear" w:color="000000" w:fill="DBE5F1"/>
            <w:hideMark/>
          </w:tcPr>
          <w:p w:rsidR="00FF2AEB" w:rsidRPr="00FF2AEB" w:rsidRDefault="00FF2AEB" w:rsidP="005627A1">
            <w:pPr>
              <w:spacing w:line="240" w:lineRule="exact"/>
              <w:jc w:val="center"/>
              <w:rPr>
                <w:rFonts w:eastAsia="Times New Roman" w:cs="Arial"/>
                <w:b/>
                <w:bCs/>
                <w:color w:val="000000"/>
                <w:sz w:val="16"/>
                <w:szCs w:val="16"/>
                <w:lang w:eastAsia="es-ES"/>
              </w:rPr>
            </w:pPr>
            <w:r w:rsidRPr="00FF2AEB">
              <w:rPr>
                <w:rFonts w:eastAsia="Times New Roman" w:cs="Arial"/>
                <w:b/>
                <w:bCs/>
                <w:color w:val="000000"/>
                <w:sz w:val="16"/>
                <w:szCs w:val="16"/>
                <w:lang w:val="en-GB" w:eastAsia="es-ES"/>
              </w:rPr>
              <w:t>S.A.L.es </w:t>
            </w:r>
          </w:p>
        </w:tc>
        <w:tc>
          <w:tcPr>
            <w:tcW w:w="1200" w:type="dxa"/>
            <w:tcBorders>
              <w:top w:val="single" w:sz="8" w:space="0" w:color="BFBFBF"/>
              <w:left w:val="nil"/>
              <w:bottom w:val="single" w:sz="8" w:space="0" w:color="BFBFBF"/>
              <w:right w:val="nil"/>
            </w:tcBorders>
            <w:shd w:val="clear" w:color="000000" w:fill="DBE5F1"/>
            <w:hideMark/>
          </w:tcPr>
          <w:p w:rsidR="00FF2AEB" w:rsidRPr="00FF2AEB" w:rsidRDefault="00FF2AEB" w:rsidP="005627A1">
            <w:pPr>
              <w:spacing w:line="240" w:lineRule="exact"/>
              <w:jc w:val="center"/>
              <w:rPr>
                <w:rFonts w:eastAsia="Times New Roman" w:cs="Arial"/>
                <w:b/>
                <w:bCs/>
                <w:color w:val="000000"/>
                <w:sz w:val="16"/>
                <w:szCs w:val="16"/>
                <w:lang w:eastAsia="es-ES"/>
              </w:rPr>
            </w:pPr>
            <w:r w:rsidRPr="00FF2AEB">
              <w:rPr>
                <w:rFonts w:eastAsia="Times New Roman" w:cs="Arial"/>
                <w:b/>
                <w:bCs/>
                <w:color w:val="000000"/>
                <w:sz w:val="16"/>
                <w:szCs w:val="16"/>
                <w:lang w:val="en-GB" w:eastAsia="es-ES"/>
              </w:rPr>
              <w:t>S.L.L.es</w:t>
            </w:r>
          </w:p>
        </w:tc>
      </w:tr>
      <w:tr w:rsidR="00FF2AEB" w:rsidRPr="00FF2AEB" w:rsidTr="00D122F5">
        <w:trPr>
          <w:jc w:val="center"/>
        </w:trPr>
        <w:tc>
          <w:tcPr>
            <w:tcW w:w="1804" w:type="dxa"/>
            <w:tcBorders>
              <w:top w:val="nil"/>
              <w:left w:val="nil"/>
              <w:bottom w:val="nil"/>
              <w:right w:val="single" w:sz="8" w:space="0" w:color="BFBFBF"/>
            </w:tcBorders>
            <w:shd w:val="clear" w:color="auto" w:fill="auto"/>
            <w:noWrap/>
            <w:hideMark/>
          </w:tcPr>
          <w:p w:rsidR="00FF2AEB" w:rsidRPr="00FF2AEB" w:rsidRDefault="00FF2AEB" w:rsidP="005627A1">
            <w:pPr>
              <w:spacing w:line="240" w:lineRule="exact"/>
              <w:rPr>
                <w:rFonts w:eastAsia="Times New Roman" w:cs="Arial"/>
                <w:color w:val="000000"/>
                <w:sz w:val="16"/>
                <w:szCs w:val="16"/>
                <w:lang w:eastAsia="es-ES"/>
              </w:rPr>
            </w:pPr>
            <w:r w:rsidRPr="00FF2AEB">
              <w:rPr>
                <w:rFonts w:eastAsia="Times New Roman" w:cs="Arial"/>
                <w:color w:val="000000"/>
                <w:sz w:val="16"/>
                <w:szCs w:val="16"/>
                <w:lang w:eastAsia="es-ES"/>
              </w:rPr>
              <w:t>Hasta 5 empleos</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76,4</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2,2</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21,5</w:t>
            </w:r>
          </w:p>
        </w:tc>
      </w:tr>
      <w:tr w:rsidR="00FF2AEB" w:rsidRPr="00FF2AEB" w:rsidTr="00D122F5">
        <w:trPr>
          <w:jc w:val="center"/>
        </w:trPr>
        <w:tc>
          <w:tcPr>
            <w:tcW w:w="1804" w:type="dxa"/>
            <w:tcBorders>
              <w:top w:val="nil"/>
              <w:left w:val="nil"/>
              <w:bottom w:val="nil"/>
              <w:right w:val="single" w:sz="8" w:space="0" w:color="BFBFBF"/>
            </w:tcBorders>
            <w:shd w:val="clear" w:color="auto" w:fill="auto"/>
            <w:noWrap/>
            <w:hideMark/>
          </w:tcPr>
          <w:p w:rsidR="00FF2AEB" w:rsidRPr="00FF2AEB" w:rsidRDefault="00FF2AEB" w:rsidP="005627A1">
            <w:pPr>
              <w:spacing w:line="240" w:lineRule="exact"/>
              <w:rPr>
                <w:rFonts w:eastAsia="Times New Roman" w:cs="Arial"/>
                <w:color w:val="000000"/>
                <w:sz w:val="16"/>
                <w:szCs w:val="16"/>
                <w:lang w:eastAsia="es-ES"/>
              </w:rPr>
            </w:pPr>
            <w:r w:rsidRPr="00FF2AEB">
              <w:rPr>
                <w:rFonts w:eastAsia="Times New Roman" w:cs="Arial"/>
                <w:color w:val="000000"/>
                <w:sz w:val="16"/>
                <w:szCs w:val="16"/>
                <w:lang w:eastAsia="es-ES"/>
              </w:rPr>
              <w:t>De 6 a 15</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69,9</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14,5</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15,6</w:t>
            </w:r>
          </w:p>
        </w:tc>
      </w:tr>
      <w:tr w:rsidR="00FF2AEB" w:rsidRPr="00FF2AEB" w:rsidTr="00D122F5">
        <w:trPr>
          <w:jc w:val="center"/>
        </w:trPr>
        <w:tc>
          <w:tcPr>
            <w:tcW w:w="1804" w:type="dxa"/>
            <w:tcBorders>
              <w:top w:val="nil"/>
              <w:left w:val="nil"/>
              <w:bottom w:val="nil"/>
              <w:right w:val="single" w:sz="8" w:space="0" w:color="BFBFBF"/>
            </w:tcBorders>
            <w:shd w:val="clear" w:color="auto" w:fill="auto"/>
            <w:noWrap/>
            <w:hideMark/>
          </w:tcPr>
          <w:p w:rsidR="00FF2AEB" w:rsidRPr="00FF2AEB" w:rsidRDefault="00FF2AEB" w:rsidP="005627A1">
            <w:pPr>
              <w:spacing w:line="240" w:lineRule="exact"/>
              <w:rPr>
                <w:rFonts w:eastAsia="Times New Roman" w:cs="Arial"/>
                <w:color w:val="000000"/>
                <w:sz w:val="16"/>
                <w:szCs w:val="16"/>
                <w:lang w:eastAsia="es-ES"/>
              </w:rPr>
            </w:pPr>
            <w:r w:rsidRPr="00FF2AEB">
              <w:rPr>
                <w:rFonts w:eastAsia="Times New Roman" w:cs="Arial"/>
                <w:color w:val="000000"/>
                <w:sz w:val="16"/>
                <w:szCs w:val="16"/>
                <w:lang w:eastAsia="es-ES"/>
              </w:rPr>
              <w:t>De 16 a 50</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61,5</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26,0</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12,5</w:t>
            </w:r>
          </w:p>
        </w:tc>
      </w:tr>
      <w:tr w:rsidR="00FF2AEB" w:rsidRPr="00FF2AEB" w:rsidTr="00D122F5">
        <w:trPr>
          <w:jc w:val="center"/>
        </w:trPr>
        <w:tc>
          <w:tcPr>
            <w:tcW w:w="1804" w:type="dxa"/>
            <w:tcBorders>
              <w:top w:val="nil"/>
              <w:left w:val="nil"/>
              <w:bottom w:val="nil"/>
              <w:right w:val="single" w:sz="8" w:space="0" w:color="BFBFBF"/>
            </w:tcBorders>
            <w:shd w:val="clear" w:color="auto" w:fill="auto"/>
            <w:noWrap/>
            <w:hideMark/>
          </w:tcPr>
          <w:p w:rsidR="00FF2AEB" w:rsidRPr="00FF2AEB" w:rsidRDefault="00FF2AEB" w:rsidP="005627A1">
            <w:pPr>
              <w:spacing w:line="240" w:lineRule="exact"/>
              <w:rPr>
                <w:rFonts w:eastAsia="Times New Roman" w:cs="Arial"/>
                <w:color w:val="000000"/>
                <w:sz w:val="16"/>
                <w:szCs w:val="16"/>
                <w:lang w:eastAsia="es-ES"/>
              </w:rPr>
            </w:pPr>
            <w:r w:rsidRPr="00FF2AEB">
              <w:rPr>
                <w:rFonts w:eastAsia="Times New Roman" w:cs="Arial"/>
                <w:color w:val="000000"/>
                <w:sz w:val="16"/>
                <w:szCs w:val="16"/>
                <w:lang w:eastAsia="es-ES"/>
              </w:rPr>
              <w:t>De 51 a 100</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87,6</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12,4</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0,0</w:t>
            </w:r>
          </w:p>
        </w:tc>
      </w:tr>
      <w:tr w:rsidR="00FF2AEB" w:rsidRPr="00FF2AEB" w:rsidTr="00D122F5">
        <w:trPr>
          <w:jc w:val="center"/>
        </w:trPr>
        <w:tc>
          <w:tcPr>
            <w:tcW w:w="1804" w:type="dxa"/>
            <w:tcBorders>
              <w:top w:val="nil"/>
              <w:left w:val="nil"/>
              <w:bottom w:val="nil"/>
              <w:right w:val="single" w:sz="8" w:space="0" w:color="BFBFBF"/>
            </w:tcBorders>
            <w:shd w:val="clear" w:color="auto" w:fill="auto"/>
            <w:noWrap/>
            <w:hideMark/>
          </w:tcPr>
          <w:p w:rsidR="00FF2AEB" w:rsidRPr="00FF2AEB" w:rsidRDefault="00FF2AEB" w:rsidP="005627A1">
            <w:pPr>
              <w:spacing w:line="240" w:lineRule="exact"/>
              <w:rPr>
                <w:rFonts w:eastAsia="Times New Roman" w:cs="Arial"/>
                <w:color w:val="000000"/>
                <w:sz w:val="16"/>
                <w:szCs w:val="16"/>
                <w:lang w:eastAsia="es-ES"/>
              </w:rPr>
            </w:pPr>
            <w:r w:rsidRPr="00FF2AEB">
              <w:rPr>
                <w:rFonts w:eastAsia="Times New Roman" w:cs="Arial"/>
                <w:color w:val="000000"/>
                <w:sz w:val="16"/>
                <w:szCs w:val="16"/>
                <w:lang w:eastAsia="es-ES"/>
              </w:rPr>
              <w:t>De 101 a 200</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93,5</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3,7</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2,8</w:t>
            </w:r>
          </w:p>
        </w:tc>
      </w:tr>
      <w:tr w:rsidR="00FF2AEB" w:rsidRPr="00FF2AEB" w:rsidTr="00D122F5">
        <w:trPr>
          <w:jc w:val="center"/>
        </w:trPr>
        <w:tc>
          <w:tcPr>
            <w:tcW w:w="1804" w:type="dxa"/>
            <w:tcBorders>
              <w:top w:val="nil"/>
              <w:left w:val="nil"/>
              <w:bottom w:val="nil"/>
              <w:right w:val="single" w:sz="8" w:space="0" w:color="BFBFBF"/>
            </w:tcBorders>
            <w:shd w:val="clear" w:color="auto" w:fill="auto"/>
            <w:noWrap/>
            <w:hideMark/>
          </w:tcPr>
          <w:p w:rsidR="00FF2AEB" w:rsidRPr="00FF2AEB" w:rsidRDefault="00FF2AEB" w:rsidP="005627A1">
            <w:pPr>
              <w:spacing w:line="240" w:lineRule="exact"/>
              <w:rPr>
                <w:rFonts w:eastAsia="Times New Roman" w:cs="Arial"/>
                <w:color w:val="000000"/>
                <w:sz w:val="16"/>
                <w:szCs w:val="16"/>
                <w:lang w:eastAsia="es-ES"/>
              </w:rPr>
            </w:pPr>
            <w:r w:rsidRPr="00FF2AEB">
              <w:rPr>
                <w:rFonts w:eastAsia="Times New Roman" w:cs="Arial"/>
                <w:color w:val="000000"/>
                <w:sz w:val="16"/>
                <w:szCs w:val="16"/>
                <w:lang w:eastAsia="es-ES"/>
              </w:rPr>
              <w:t>De 201 a 500</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95,4</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4,6</w:t>
            </w:r>
          </w:p>
        </w:tc>
        <w:tc>
          <w:tcPr>
            <w:tcW w:w="1200" w:type="dxa"/>
            <w:tcBorders>
              <w:top w:val="nil"/>
              <w:left w:val="nil"/>
              <w:bottom w:val="nil"/>
              <w:right w:val="single" w:sz="8" w:space="0" w:color="BFBFBF"/>
            </w:tcBorders>
            <w:shd w:val="clear" w:color="auto" w:fill="auto"/>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0,0</w:t>
            </w:r>
          </w:p>
        </w:tc>
      </w:tr>
      <w:tr w:rsidR="00FF2AEB" w:rsidRPr="00FF2AEB" w:rsidTr="00D122F5">
        <w:trPr>
          <w:jc w:val="center"/>
        </w:trPr>
        <w:tc>
          <w:tcPr>
            <w:tcW w:w="1804" w:type="dxa"/>
            <w:tcBorders>
              <w:top w:val="nil"/>
              <w:left w:val="nil"/>
              <w:bottom w:val="single" w:sz="8" w:space="0" w:color="BFBFBF"/>
              <w:right w:val="single" w:sz="8" w:space="0" w:color="BFBFBF"/>
            </w:tcBorders>
            <w:shd w:val="clear" w:color="auto" w:fill="auto"/>
            <w:vAlign w:val="bottom"/>
            <w:hideMark/>
          </w:tcPr>
          <w:p w:rsidR="00FF2AEB" w:rsidRPr="00FF2AEB" w:rsidRDefault="00FF2AEB" w:rsidP="005627A1">
            <w:pPr>
              <w:spacing w:line="240" w:lineRule="exact"/>
              <w:jc w:val="left"/>
              <w:rPr>
                <w:rFonts w:eastAsia="Times New Roman" w:cs="Arial"/>
                <w:color w:val="000000"/>
                <w:sz w:val="16"/>
                <w:szCs w:val="16"/>
                <w:lang w:eastAsia="es-ES"/>
              </w:rPr>
            </w:pPr>
            <w:r w:rsidRPr="00FF2AEB">
              <w:rPr>
                <w:rFonts w:eastAsia="Times New Roman" w:cs="Arial"/>
                <w:color w:val="000000"/>
                <w:sz w:val="16"/>
                <w:szCs w:val="16"/>
                <w:lang w:eastAsia="es-ES"/>
              </w:rPr>
              <w:t>Más de 500 empleos</w:t>
            </w:r>
          </w:p>
        </w:tc>
        <w:tc>
          <w:tcPr>
            <w:tcW w:w="1200" w:type="dxa"/>
            <w:tcBorders>
              <w:top w:val="nil"/>
              <w:left w:val="nil"/>
              <w:bottom w:val="single" w:sz="8" w:space="0" w:color="BFBFBF"/>
              <w:right w:val="single" w:sz="8" w:space="0" w:color="BFBFBF"/>
            </w:tcBorders>
            <w:shd w:val="clear" w:color="auto" w:fill="auto"/>
            <w:vAlign w:val="bottom"/>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100,0</w:t>
            </w:r>
          </w:p>
        </w:tc>
        <w:tc>
          <w:tcPr>
            <w:tcW w:w="1200" w:type="dxa"/>
            <w:tcBorders>
              <w:top w:val="nil"/>
              <w:left w:val="nil"/>
              <w:bottom w:val="single" w:sz="8" w:space="0" w:color="BFBFBF"/>
              <w:right w:val="single" w:sz="8" w:space="0" w:color="BFBFBF"/>
            </w:tcBorders>
            <w:shd w:val="clear" w:color="auto" w:fill="auto"/>
            <w:vAlign w:val="bottom"/>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0,0</w:t>
            </w:r>
          </w:p>
        </w:tc>
        <w:tc>
          <w:tcPr>
            <w:tcW w:w="1200" w:type="dxa"/>
            <w:tcBorders>
              <w:top w:val="nil"/>
              <w:left w:val="nil"/>
              <w:bottom w:val="single" w:sz="8" w:space="0" w:color="BFBFBF"/>
              <w:right w:val="single" w:sz="8" w:space="0" w:color="BFBFBF"/>
            </w:tcBorders>
            <w:shd w:val="clear" w:color="auto" w:fill="auto"/>
            <w:vAlign w:val="bottom"/>
            <w:hideMark/>
          </w:tcPr>
          <w:p w:rsidR="00FF2AEB" w:rsidRPr="00FF2AEB" w:rsidRDefault="00FF2AEB" w:rsidP="005627A1">
            <w:pPr>
              <w:spacing w:line="240" w:lineRule="exact"/>
              <w:ind w:right="231"/>
              <w:jc w:val="right"/>
              <w:rPr>
                <w:rFonts w:eastAsia="Times New Roman" w:cs="Arial"/>
                <w:color w:val="000000"/>
                <w:sz w:val="16"/>
                <w:szCs w:val="16"/>
                <w:lang w:eastAsia="es-ES"/>
              </w:rPr>
            </w:pPr>
            <w:r w:rsidRPr="00FF2AEB">
              <w:rPr>
                <w:rFonts w:eastAsia="Times New Roman" w:cs="Arial"/>
                <w:color w:val="000000"/>
                <w:sz w:val="16"/>
                <w:szCs w:val="16"/>
                <w:lang w:eastAsia="es-ES"/>
              </w:rPr>
              <w:t>0,0</w:t>
            </w:r>
          </w:p>
        </w:tc>
      </w:tr>
      <w:tr w:rsidR="00FF2AEB" w:rsidRPr="00FF2AEB" w:rsidTr="00D122F5">
        <w:trPr>
          <w:jc w:val="center"/>
        </w:trPr>
        <w:tc>
          <w:tcPr>
            <w:tcW w:w="1804" w:type="dxa"/>
            <w:tcBorders>
              <w:top w:val="nil"/>
              <w:left w:val="nil"/>
              <w:bottom w:val="single" w:sz="8" w:space="0" w:color="BFBFBF"/>
              <w:right w:val="single" w:sz="8" w:space="0" w:color="BFBFBF"/>
            </w:tcBorders>
            <w:shd w:val="clear" w:color="auto" w:fill="auto"/>
            <w:vAlign w:val="bottom"/>
            <w:hideMark/>
          </w:tcPr>
          <w:p w:rsidR="00FF2AEB" w:rsidRPr="00FF2AEB" w:rsidRDefault="00A33F7A" w:rsidP="005627A1">
            <w:pPr>
              <w:spacing w:line="240" w:lineRule="exact"/>
              <w:rPr>
                <w:rFonts w:eastAsia="Times New Roman" w:cs="Arial"/>
                <w:b/>
                <w:bCs/>
                <w:color w:val="000000"/>
                <w:sz w:val="16"/>
                <w:szCs w:val="16"/>
                <w:lang w:eastAsia="es-ES"/>
              </w:rPr>
            </w:pPr>
            <w:r>
              <w:rPr>
                <w:rFonts w:eastAsia="Times New Roman" w:cs="Arial"/>
                <w:b/>
                <w:bCs/>
                <w:color w:val="000000"/>
                <w:sz w:val="16"/>
                <w:szCs w:val="16"/>
                <w:lang w:eastAsia="es-ES"/>
              </w:rPr>
              <w:t>TOTAL</w:t>
            </w:r>
          </w:p>
        </w:tc>
        <w:tc>
          <w:tcPr>
            <w:tcW w:w="1200" w:type="dxa"/>
            <w:tcBorders>
              <w:top w:val="nil"/>
              <w:left w:val="nil"/>
              <w:bottom w:val="single" w:sz="8" w:space="0" w:color="BFBFBF"/>
              <w:right w:val="single" w:sz="8" w:space="0" w:color="BFBFBF"/>
            </w:tcBorders>
            <w:shd w:val="clear" w:color="auto" w:fill="auto"/>
            <w:vAlign w:val="bottom"/>
            <w:hideMark/>
          </w:tcPr>
          <w:p w:rsidR="00FF2AEB" w:rsidRPr="00FF2AEB" w:rsidRDefault="00FF2AEB" w:rsidP="005627A1">
            <w:pPr>
              <w:spacing w:line="240" w:lineRule="exact"/>
              <w:ind w:right="231"/>
              <w:jc w:val="right"/>
              <w:rPr>
                <w:rFonts w:eastAsia="Times New Roman" w:cs="Arial"/>
                <w:b/>
                <w:bCs/>
                <w:color w:val="000000"/>
                <w:sz w:val="16"/>
                <w:szCs w:val="16"/>
                <w:lang w:eastAsia="es-ES"/>
              </w:rPr>
            </w:pPr>
            <w:r w:rsidRPr="00FF2AEB">
              <w:rPr>
                <w:rFonts w:eastAsia="Times New Roman" w:cs="Arial"/>
                <w:b/>
                <w:bCs/>
                <w:color w:val="000000"/>
                <w:sz w:val="16"/>
                <w:szCs w:val="16"/>
                <w:lang w:eastAsia="es-ES"/>
              </w:rPr>
              <w:t>95,4</w:t>
            </w:r>
          </w:p>
        </w:tc>
        <w:tc>
          <w:tcPr>
            <w:tcW w:w="1200" w:type="dxa"/>
            <w:tcBorders>
              <w:top w:val="nil"/>
              <w:left w:val="nil"/>
              <w:bottom w:val="single" w:sz="8" w:space="0" w:color="BFBFBF"/>
              <w:right w:val="single" w:sz="8" w:space="0" w:color="BFBFBF"/>
            </w:tcBorders>
            <w:shd w:val="clear" w:color="auto" w:fill="auto"/>
            <w:vAlign w:val="bottom"/>
            <w:hideMark/>
          </w:tcPr>
          <w:p w:rsidR="00FF2AEB" w:rsidRPr="00FF2AEB" w:rsidRDefault="00FF2AEB" w:rsidP="005627A1">
            <w:pPr>
              <w:spacing w:line="240" w:lineRule="exact"/>
              <w:ind w:right="231"/>
              <w:jc w:val="right"/>
              <w:rPr>
                <w:rFonts w:eastAsia="Times New Roman" w:cs="Arial"/>
                <w:b/>
                <w:bCs/>
                <w:color w:val="000000"/>
                <w:sz w:val="16"/>
                <w:szCs w:val="16"/>
                <w:lang w:eastAsia="es-ES"/>
              </w:rPr>
            </w:pPr>
            <w:r w:rsidRPr="00FF2AEB">
              <w:rPr>
                <w:rFonts w:eastAsia="Times New Roman" w:cs="Arial"/>
                <w:b/>
                <w:bCs/>
                <w:color w:val="000000"/>
                <w:sz w:val="16"/>
                <w:szCs w:val="16"/>
                <w:lang w:eastAsia="es-ES"/>
              </w:rPr>
              <w:t>3,6</w:t>
            </w:r>
          </w:p>
        </w:tc>
        <w:tc>
          <w:tcPr>
            <w:tcW w:w="1200" w:type="dxa"/>
            <w:tcBorders>
              <w:top w:val="nil"/>
              <w:left w:val="nil"/>
              <w:bottom w:val="single" w:sz="8" w:space="0" w:color="BFBFBF"/>
              <w:right w:val="single" w:sz="8" w:space="0" w:color="BFBFBF"/>
            </w:tcBorders>
            <w:shd w:val="clear" w:color="auto" w:fill="auto"/>
            <w:vAlign w:val="bottom"/>
            <w:hideMark/>
          </w:tcPr>
          <w:p w:rsidR="00FF2AEB" w:rsidRPr="00FF2AEB" w:rsidRDefault="00FF2AEB" w:rsidP="005627A1">
            <w:pPr>
              <w:spacing w:line="240" w:lineRule="exact"/>
              <w:ind w:right="231"/>
              <w:jc w:val="right"/>
              <w:rPr>
                <w:rFonts w:eastAsia="Times New Roman" w:cs="Arial"/>
                <w:b/>
                <w:bCs/>
                <w:color w:val="000000"/>
                <w:sz w:val="16"/>
                <w:szCs w:val="16"/>
                <w:lang w:eastAsia="es-ES"/>
              </w:rPr>
            </w:pPr>
            <w:r w:rsidRPr="00FF2AEB">
              <w:rPr>
                <w:rFonts w:eastAsia="Times New Roman" w:cs="Arial"/>
                <w:b/>
                <w:bCs/>
                <w:color w:val="000000"/>
                <w:sz w:val="16"/>
                <w:szCs w:val="16"/>
                <w:lang w:eastAsia="es-ES"/>
              </w:rPr>
              <w:t>1,0</w:t>
            </w:r>
          </w:p>
        </w:tc>
      </w:tr>
    </w:tbl>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widowControl w:val="0"/>
        <w:spacing w:line="240" w:lineRule="auto"/>
        <w:rPr>
          <w:rFonts w:cs="Arial"/>
          <w:b/>
          <w:noProof/>
          <w:color w:val="1F497D" w:themeColor="text2"/>
          <w:sz w:val="18"/>
          <w:szCs w:val="18"/>
        </w:rPr>
      </w:pPr>
    </w:p>
    <w:p w:rsidR="00D06470" w:rsidRDefault="00D06470" w:rsidP="00BB313D">
      <w:pPr>
        <w:widowControl w:val="0"/>
        <w:spacing w:after="200" w:line="276" w:lineRule="auto"/>
        <w:jc w:val="left"/>
        <w:rPr>
          <w:rFonts w:eastAsia="Times New Roman" w:cs="Arial"/>
          <w:b/>
          <w:color w:val="1F497D" w:themeColor="text2"/>
          <w:sz w:val="18"/>
          <w:szCs w:val="18"/>
          <w:lang w:val="es-ES_tradnl" w:eastAsia="es-ES"/>
        </w:rPr>
      </w:pPr>
      <w:bookmarkStart w:id="201" w:name="_Toc391999665"/>
      <w:r>
        <w:rPr>
          <w:rFonts w:cs="Arial"/>
          <w:b/>
          <w:color w:val="1F497D" w:themeColor="text2"/>
          <w:sz w:val="18"/>
          <w:szCs w:val="18"/>
          <w:lang w:val="es-ES_tradnl"/>
        </w:rPr>
        <w:br w:type="page"/>
      </w:r>
    </w:p>
    <w:p w:rsidR="00665097" w:rsidRPr="00C67386" w:rsidRDefault="00DE1512" w:rsidP="00BB313D">
      <w:pPr>
        <w:pStyle w:val="Textoindependiente"/>
        <w:widowControl w:val="0"/>
        <w:jc w:val="center"/>
        <w:rPr>
          <w:rFonts w:ascii="Arial" w:hAnsi="Arial" w:cs="Arial"/>
          <w:b/>
          <w:color w:val="1F497D" w:themeColor="text2"/>
          <w:sz w:val="18"/>
          <w:szCs w:val="18"/>
          <w:lang w:val="es-ES_tradnl"/>
        </w:rPr>
      </w:pPr>
      <w:bookmarkStart w:id="202" w:name="_Toc450120006"/>
      <w:r w:rsidRPr="00DE1512">
        <w:rPr>
          <w:rFonts w:ascii="Arial" w:eastAsiaTheme="minorHAnsi" w:hAnsi="Arial" w:cs="Arial"/>
          <w:b/>
          <w:color w:val="1F497D" w:themeColor="text2"/>
          <w:sz w:val="18"/>
          <w:szCs w:val="18"/>
          <w:lang w:eastAsia="en-US"/>
        </w:rPr>
        <w:lastRenderedPageBreak/>
        <w:t>Gráfico 1.</w:t>
      </w:r>
      <w:r w:rsidR="00771A61" w:rsidRPr="00DE1512">
        <w:rPr>
          <w:rFonts w:ascii="Arial" w:eastAsiaTheme="minorHAnsi" w:hAnsi="Arial" w:cs="Arial"/>
          <w:b/>
          <w:color w:val="1F497D" w:themeColor="text2"/>
          <w:sz w:val="18"/>
          <w:szCs w:val="18"/>
          <w:lang w:eastAsia="en-US"/>
        </w:rPr>
        <w:fldChar w:fldCharType="begin"/>
      </w:r>
      <w:r w:rsidRPr="00DE1512">
        <w:rPr>
          <w:rFonts w:ascii="Arial" w:eastAsiaTheme="minorHAnsi" w:hAnsi="Arial" w:cs="Arial"/>
          <w:b/>
          <w:color w:val="1F497D" w:themeColor="text2"/>
          <w:sz w:val="18"/>
          <w:szCs w:val="18"/>
          <w:lang w:eastAsia="en-US"/>
        </w:rPr>
        <w:instrText xml:space="preserve"> SEQ Gráfico_1. \* ARABIC </w:instrText>
      </w:r>
      <w:r w:rsidR="00771A61" w:rsidRPr="00DE1512">
        <w:rPr>
          <w:rFonts w:ascii="Arial" w:eastAsiaTheme="minorHAnsi" w:hAnsi="Arial" w:cs="Arial"/>
          <w:b/>
          <w:color w:val="1F497D" w:themeColor="text2"/>
          <w:sz w:val="18"/>
          <w:szCs w:val="18"/>
          <w:lang w:eastAsia="en-US"/>
        </w:rPr>
        <w:fldChar w:fldCharType="separate"/>
      </w:r>
      <w:r w:rsidR="00FC71A9">
        <w:rPr>
          <w:rFonts w:ascii="Arial" w:eastAsiaTheme="minorHAnsi" w:hAnsi="Arial" w:cs="Arial"/>
          <w:b/>
          <w:noProof/>
          <w:color w:val="1F497D" w:themeColor="text2"/>
          <w:sz w:val="18"/>
          <w:szCs w:val="18"/>
          <w:lang w:eastAsia="en-US"/>
        </w:rPr>
        <w:t>18</w:t>
      </w:r>
      <w:r w:rsidR="00771A61" w:rsidRPr="00DE1512">
        <w:rPr>
          <w:rFonts w:ascii="Arial" w:eastAsiaTheme="minorHAnsi" w:hAnsi="Arial" w:cs="Arial"/>
          <w:b/>
          <w:color w:val="1F497D" w:themeColor="text2"/>
          <w:sz w:val="18"/>
          <w:szCs w:val="18"/>
          <w:lang w:eastAsia="en-US"/>
        </w:rPr>
        <w:fldChar w:fldCharType="end"/>
      </w:r>
      <w:r w:rsidR="00D10020" w:rsidRPr="00D10020">
        <w:rPr>
          <w:rFonts w:ascii="Arial" w:hAnsi="Arial" w:cs="Arial"/>
          <w:b/>
          <w:color w:val="1F497D" w:themeColor="text2"/>
          <w:sz w:val="18"/>
          <w:szCs w:val="18"/>
          <w:lang w:val="es-ES_tradnl"/>
        </w:rPr>
        <w:t xml:space="preserve"> </w:t>
      </w:r>
      <w:r w:rsidR="00665097" w:rsidRPr="00C67386">
        <w:rPr>
          <w:rFonts w:ascii="Arial" w:hAnsi="Arial" w:cs="Arial"/>
          <w:b/>
          <w:color w:val="1F497D" w:themeColor="text2"/>
          <w:sz w:val="18"/>
          <w:szCs w:val="18"/>
          <w:lang w:val="es-ES_tradnl"/>
        </w:rPr>
        <w:t>ORIGEN TERRITORIAL DE LAS EXPORTACIONES DE LAS EMPR</w:t>
      </w:r>
      <w:r w:rsidR="00FF2AEB">
        <w:rPr>
          <w:rFonts w:ascii="Arial" w:hAnsi="Arial" w:cs="Arial"/>
          <w:b/>
          <w:color w:val="1F497D" w:themeColor="text2"/>
          <w:sz w:val="18"/>
          <w:szCs w:val="18"/>
          <w:lang w:val="es-ES_tradnl"/>
        </w:rPr>
        <w:t>ESAS DE LA ECONOMÍA SOCIAL. 2014</w:t>
      </w:r>
      <w:r w:rsidR="00665097">
        <w:rPr>
          <w:rFonts w:ascii="Arial" w:hAnsi="Arial" w:cs="Arial"/>
          <w:b/>
          <w:color w:val="1F497D" w:themeColor="text2"/>
          <w:sz w:val="18"/>
          <w:szCs w:val="18"/>
          <w:lang w:val="es-ES_tradnl"/>
        </w:rPr>
        <w:t xml:space="preserve"> </w:t>
      </w:r>
      <w:r w:rsidR="00665097" w:rsidRPr="00C67386">
        <w:rPr>
          <w:rFonts w:ascii="Arial" w:hAnsi="Arial" w:cs="Arial"/>
          <w:b/>
          <w:color w:val="1F497D" w:themeColor="text2"/>
          <w:sz w:val="18"/>
          <w:szCs w:val="18"/>
          <w:lang w:val="es-ES_tradnl"/>
        </w:rPr>
        <w:t>(% del total de exportaciones según Territorio Histórico de origen)</w:t>
      </w:r>
      <w:bookmarkEnd w:id="201"/>
      <w:bookmarkEnd w:id="202"/>
    </w:p>
    <w:p w:rsidR="00665097" w:rsidRPr="00C67386" w:rsidRDefault="00665097" w:rsidP="00BB313D">
      <w:pPr>
        <w:pStyle w:val="Textoindependiente"/>
        <w:widowControl w:val="0"/>
        <w:spacing w:line="312" w:lineRule="auto"/>
        <w:rPr>
          <w:rFonts w:ascii="Arial" w:hAnsi="Arial" w:cs="Arial"/>
          <w:b/>
          <w:color w:val="1F497D" w:themeColor="text2"/>
          <w:sz w:val="18"/>
          <w:szCs w:val="18"/>
          <w:lang w:val="es-ES_tradnl"/>
        </w:rPr>
      </w:pPr>
      <w:r w:rsidRPr="00C67386">
        <w:rPr>
          <w:rFonts w:ascii="Arial" w:hAnsi="Arial" w:cs="Arial"/>
          <w:noProof/>
          <w:color w:val="1F497D" w:themeColor="text2"/>
          <w:sz w:val="18"/>
          <w:szCs w:val="18"/>
        </w:rPr>
        <w:drawing>
          <wp:anchor distT="0" distB="0" distL="114300" distR="114300" simplePos="0" relativeHeight="251731968" behindDoc="0" locked="0" layoutInCell="1" allowOverlap="1">
            <wp:simplePos x="0" y="0"/>
            <wp:positionH relativeFrom="column">
              <wp:posOffset>786765</wp:posOffset>
            </wp:positionH>
            <wp:positionV relativeFrom="paragraph">
              <wp:posOffset>19050</wp:posOffset>
            </wp:positionV>
            <wp:extent cx="3962400" cy="2628900"/>
            <wp:effectExtent l="0" t="0" r="0" b="0"/>
            <wp:wrapNone/>
            <wp:docPr id="83" name="Objeto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pStyle w:val="Textoindependiente"/>
        <w:widowControl w:val="0"/>
        <w:spacing w:line="312" w:lineRule="auto"/>
        <w:rPr>
          <w:rFonts w:ascii="Arial" w:hAnsi="Arial" w:cs="Arial"/>
          <w:sz w:val="20"/>
          <w:lang w:val="es-ES_tradnl"/>
        </w:rPr>
      </w:pPr>
    </w:p>
    <w:p w:rsidR="00665097" w:rsidRDefault="00665097" w:rsidP="00BB313D">
      <w:pPr>
        <w:widowControl w:val="0"/>
      </w:pPr>
    </w:p>
    <w:p w:rsidR="00665097" w:rsidRDefault="00665097" w:rsidP="00BB313D">
      <w:pPr>
        <w:widowControl w:val="0"/>
      </w:pPr>
    </w:p>
    <w:p w:rsidR="00665097" w:rsidRDefault="00665097" w:rsidP="00BB313D">
      <w:pPr>
        <w:widowControl w:val="0"/>
      </w:pPr>
    </w:p>
    <w:p w:rsidR="00665097" w:rsidRDefault="00665097" w:rsidP="00BB313D">
      <w:pPr>
        <w:widowControl w:val="0"/>
      </w:pPr>
    </w:p>
    <w:p w:rsidR="00665097" w:rsidRDefault="00665097" w:rsidP="00BB313D">
      <w:pPr>
        <w:pStyle w:val="Textoindependiente"/>
        <w:widowControl w:val="0"/>
        <w:spacing w:line="312" w:lineRule="auto"/>
        <w:ind w:left="708" w:hanging="708"/>
        <w:rPr>
          <w:rFonts w:ascii="Arial" w:hAnsi="Arial" w:cs="Arial"/>
          <w:b/>
          <w:color w:val="000080"/>
          <w:sz w:val="24"/>
          <w:szCs w:val="24"/>
        </w:rPr>
      </w:pPr>
    </w:p>
    <w:p w:rsidR="00665097" w:rsidRDefault="00665097" w:rsidP="00BB313D">
      <w:pPr>
        <w:pStyle w:val="Textoindependiente"/>
        <w:widowControl w:val="0"/>
        <w:spacing w:line="312" w:lineRule="auto"/>
        <w:ind w:left="708" w:hanging="708"/>
        <w:rPr>
          <w:rFonts w:ascii="Arial" w:hAnsi="Arial" w:cs="Arial"/>
          <w:b/>
          <w:color w:val="000080"/>
          <w:sz w:val="24"/>
          <w:szCs w:val="24"/>
        </w:rPr>
      </w:pPr>
    </w:p>
    <w:p w:rsidR="00DA23E1" w:rsidRDefault="00DA23E1" w:rsidP="00BB313D">
      <w:pPr>
        <w:pStyle w:val="Textoindependiente"/>
        <w:widowControl w:val="0"/>
        <w:spacing w:line="312" w:lineRule="auto"/>
        <w:ind w:left="708" w:hanging="708"/>
        <w:rPr>
          <w:rFonts w:ascii="Arial" w:hAnsi="Arial" w:cs="Arial"/>
          <w:b/>
          <w:color w:val="000080"/>
          <w:sz w:val="24"/>
          <w:szCs w:val="24"/>
        </w:rPr>
      </w:pPr>
    </w:p>
    <w:p w:rsidR="00DA23E1" w:rsidRDefault="00DA23E1" w:rsidP="00BB313D">
      <w:pPr>
        <w:widowControl w:val="0"/>
        <w:spacing w:after="200" w:line="276" w:lineRule="auto"/>
        <w:jc w:val="left"/>
        <w:rPr>
          <w:rFonts w:cs="Arial"/>
          <w:b/>
          <w:color w:val="1F497D" w:themeColor="text2"/>
          <w:sz w:val="24"/>
          <w:szCs w:val="24"/>
        </w:rPr>
      </w:pPr>
    </w:p>
    <w:p w:rsidR="00D06470" w:rsidRDefault="00D06470" w:rsidP="00BB313D">
      <w:pPr>
        <w:widowControl w:val="0"/>
        <w:spacing w:after="200" w:line="276" w:lineRule="auto"/>
        <w:jc w:val="left"/>
        <w:rPr>
          <w:rFonts w:cs="Arial"/>
          <w:b/>
          <w:color w:val="1F497D" w:themeColor="text2"/>
          <w:sz w:val="24"/>
          <w:szCs w:val="24"/>
        </w:rPr>
      </w:pPr>
      <w:r>
        <w:rPr>
          <w:rFonts w:cs="Arial"/>
          <w:b/>
          <w:color w:val="1F497D" w:themeColor="text2"/>
          <w:sz w:val="24"/>
          <w:szCs w:val="24"/>
        </w:rPr>
        <w:br w:type="page"/>
      </w:r>
    </w:p>
    <w:p w:rsidR="00665097" w:rsidRPr="007F1968" w:rsidRDefault="00665097" w:rsidP="00BB313D">
      <w:pPr>
        <w:pStyle w:val="Ttulo1"/>
        <w:keepNext w:val="0"/>
        <w:ind w:left="708" w:hanging="708"/>
        <w:rPr>
          <w:color w:val="1F497D" w:themeColor="text2"/>
          <w:sz w:val="26"/>
          <w:szCs w:val="26"/>
        </w:rPr>
      </w:pPr>
      <w:bookmarkStart w:id="203" w:name="_Toc391999522"/>
      <w:bookmarkStart w:id="204" w:name="_Toc450118915"/>
      <w:r w:rsidRPr="007F1968">
        <w:rPr>
          <w:color w:val="1F497D" w:themeColor="text2"/>
          <w:sz w:val="26"/>
          <w:szCs w:val="26"/>
        </w:rPr>
        <w:lastRenderedPageBreak/>
        <w:t>5.-</w:t>
      </w:r>
      <w:r w:rsidRPr="007F1968">
        <w:rPr>
          <w:color w:val="1F497D" w:themeColor="text2"/>
          <w:sz w:val="26"/>
          <w:szCs w:val="26"/>
        </w:rPr>
        <w:tab/>
        <w:t>OTRAS MAGNITUDES ECONÓMICAS DE LA ECONOMÍA SOCIAL</w:t>
      </w:r>
      <w:bookmarkEnd w:id="203"/>
      <w:bookmarkEnd w:id="204"/>
    </w:p>
    <w:p w:rsidR="00CA1FBB" w:rsidRPr="007F1968" w:rsidRDefault="00CA1FBB" w:rsidP="00BB313D">
      <w:pPr>
        <w:widowControl w:val="0"/>
      </w:pPr>
    </w:p>
    <w:p w:rsidR="00665097" w:rsidRPr="007F1968" w:rsidRDefault="00665097" w:rsidP="00BB313D">
      <w:pPr>
        <w:pStyle w:val="Ttulo1"/>
        <w:keepNext w:val="0"/>
        <w:ind w:left="708" w:hanging="708"/>
        <w:rPr>
          <w:color w:val="1F497D" w:themeColor="text2"/>
          <w:sz w:val="22"/>
          <w:szCs w:val="22"/>
        </w:rPr>
      </w:pPr>
      <w:bookmarkStart w:id="205" w:name="_Toc391999523"/>
      <w:bookmarkStart w:id="206" w:name="_Toc450118916"/>
      <w:r w:rsidRPr="007F1968">
        <w:rPr>
          <w:color w:val="1F497D" w:themeColor="text2"/>
          <w:sz w:val="22"/>
          <w:szCs w:val="22"/>
        </w:rPr>
        <w:t>5.1.-</w:t>
      </w:r>
      <w:r w:rsidRPr="007F1968">
        <w:rPr>
          <w:color w:val="1F497D" w:themeColor="text2"/>
          <w:sz w:val="22"/>
          <w:szCs w:val="22"/>
        </w:rPr>
        <w:tab/>
        <w:t>LA FINANCIACIÓN PROPIA DE LA ECONOMÍA SOCIAL</w:t>
      </w:r>
      <w:bookmarkEnd w:id="205"/>
      <w:bookmarkEnd w:id="206"/>
    </w:p>
    <w:p w:rsidR="00665097" w:rsidRPr="00E95A1F" w:rsidRDefault="00665097" w:rsidP="00BB313D">
      <w:pPr>
        <w:widowControl w:val="0"/>
        <w:rPr>
          <w:rFonts w:cs="Arial"/>
          <w:color w:val="1F497D" w:themeColor="text2"/>
        </w:rPr>
      </w:pPr>
    </w:p>
    <w:p w:rsidR="00665097" w:rsidRPr="00E95A1F" w:rsidRDefault="00DE1512" w:rsidP="00BB313D">
      <w:pPr>
        <w:widowControl w:val="0"/>
        <w:spacing w:line="240" w:lineRule="auto"/>
        <w:jc w:val="center"/>
        <w:rPr>
          <w:rFonts w:cs="Arial"/>
          <w:b/>
          <w:color w:val="1F497D" w:themeColor="text2"/>
          <w:sz w:val="18"/>
          <w:szCs w:val="18"/>
        </w:rPr>
      </w:pPr>
      <w:bookmarkStart w:id="207" w:name="_Toc391999626"/>
      <w:bookmarkStart w:id="208" w:name="_Toc450119509"/>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E95A1F">
        <w:rPr>
          <w:rFonts w:cs="Arial"/>
          <w:b/>
          <w:color w:val="1F497D" w:themeColor="text2"/>
          <w:sz w:val="18"/>
          <w:szCs w:val="18"/>
        </w:rPr>
        <w:t>DISTRIBUCIÓN SECTORIAL DE LOS FONDOS PRO</w:t>
      </w:r>
      <w:r w:rsidR="00B657B4">
        <w:rPr>
          <w:rFonts w:cs="Arial"/>
          <w:b/>
          <w:color w:val="1F497D" w:themeColor="text2"/>
          <w:sz w:val="18"/>
          <w:szCs w:val="18"/>
        </w:rPr>
        <w:t>PIOS DE LA ECONOMÍA SOCIAL. 2012 y 2014</w:t>
      </w:r>
      <w:r w:rsidR="00C86565">
        <w:rPr>
          <w:rFonts w:cs="Arial"/>
          <w:b/>
          <w:color w:val="1F497D" w:themeColor="text2"/>
          <w:sz w:val="18"/>
          <w:szCs w:val="18"/>
        </w:rPr>
        <w:t xml:space="preserve"> </w:t>
      </w:r>
      <w:r w:rsidR="00665097" w:rsidRPr="00E95A1F">
        <w:rPr>
          <w:rFonts w:cs="Arial"/>
          <w:b/>
          <w:color w:val="1F497D" w:themeColor="text2"/>
          <w:sz w:val="18"/>
          <w:szCs w:val="18"/>
        </w:rPr>
        <w:t xml:space="preserve"> (</w:t>
      </w:r>
      <w:r w:rsidR="007B26BF">
        <w:rPr>
          <w:rFonts w:cs="Arial"/>
          <w:b/>
          <w:color w:val="1F497D" w:themeColor="text2"/>
          <w:sz w:val="18"/>
          <w:szCs w:val="18"/>
        </w:rPr>
        <w:t>cifras absolutas y % verticales</w:t>
      </w:r>
      <w:r w:rsidR="00665097" w:rsidRPr="00E95A1F">
        <w:rPr>
          <w:rFonts w:cs="Arial"/>
          <w:b/>
          <w:color w:val="1F497D" w:themeColor="text2"/>
          <w:sz w:val="18"/>
          <w:szCs w:val="18"/>
        </w:rPr>
        <w:t>)</w:t>
      </w:r>
      <w:bookmarkEnd w:id="207"/>
      <w:bookmarkEnd w:id="208"/>
    </w:p>
    <w:tbl>
      <w:tblPr>
        <w:tblW w:w="9940" w:type="dxa"/>
        <w:jc w:val="center"/>
        <w:tblCellMar>
          <w:left w:w="70" w:type="dxa"/>
          <w:right w:w="70" w:type="dxa"/>
        </w:tblCellMar>
        <w:tblLook w:val="04A0" w:firstRow="1" w:lastRow="0" w:firstColumn="1" w:lastColumn="0" w:noHBand="0" w:noVBand="1"/>
      </w:tblPr>
      <w:tblGrid>
        <w:gridCol w:w="2142"/>
        <w:gridCol w:w="2195"/>
        <w:gridCol w:w="1509"/>
        <w:gridCol w:w="2046"/>
        <w:gridCol w:w="2048"/>
      </w:tblGrid>
      <w:tr w:rsidR="00665097" w:rsidRPr="00CF51A3" w:rsidTr="00175D09">
        <w:trPr>
          <w:jc w:val="center"/>
        </w:trPr>
        <w:tc>
          <w:tcPr>
            <w:tcW w:w="1078" w:type="pct"/>
            <w:tcBorders>
              <w:top w:val="single" w:sz="8" w:space="0" w:color="BFBFBF"/>
              <w:left w:val="nil"/>
              <w:bottom w:val="nil"/>
              <w:right w:val="single" w:sz="8" w:space="0" w:color="BFBFBF"/>
            </w:tcBorders>
            <w:shd w:val="clear" w:color="000000" w:fill="DBE5F1"/>
            <w:hideMark/>
          </w:tcPr>
          <w:p w:rsidR="00665097" w:rsidRPr="00CF51A3" w:rsidRDefault="00665097" w:rsidP="00BB313D">
            <w:pPr>
              <w:widowControl w:val="0"/>
              <w:spacing w:line="240" w:lineRule="exact"/>
              <w:rPr>
                <w:rFonts w:ascii="Calibri" w:hAnsi="Calibri"/>
                <w:color w:val="000000"/>
              </w:rPr>
            </w:pPr>
            <w:r w:rsidRPr="00CF51A3">
              <w:rPr>
                <w:rFonts w:ascii="Calibri" w:hAnsi="Calibri"/>
                <w:color w:val="000000"/>
              </w:rPr>
              <w:t> </w:t>
            </w:r>
          </w:p>
        </w:tc>
        <w:tc>
          <w:tcPr>
            <w:tcW w:w="1863" w:type="pct"/>
            <w:gridSpan w:val="2"/>
            <w:tcBorders>
              <w:top w:val="single" w:sz="8" w:space="0" w:color="BFBFBF"/>
              <w:left w:val="nil"/>
              <w:bottom w:val="single" w:sz="8" w:space="0" w:color="BFBFBF"/>
              <w:right w:val="single" w:sz="8" w:space="0" w:color="BFBFBF"/>
            </w:tcBorders>
            <w:shd w:val="clear" w:color="000000" w:fill="DBE5F1"/>
            <w:hideMark/>
          </w:tcPr>
          <w:p w:rsidR="00665097" w:rsidRPr="00CF51A3" w:rsidRDefault="00665097" w:rsidP="00BB313D">
            <w:pPr>
              <w:widowControl w:val="0"/>
              <w:spacing w:line="240" w:lineRule="exact"/>
              <w:jc w:val="center"/>
              <w:rPr>
                <w:rFonts w:cs="Arial"/>
                <w:b/>
                <w:bCs/>
                <w:color w:val="000000"/>
                <w:sz w:val="16"/>
                <w:szCs w:val="16"/>
              </w:rPr>
            </w:pPr>
            <w:r w:rsidRPr="00CF51A3">
              <w:rPr>
                <w:rFonts w:cs="Arial"/>
                <w:b/>
                <w:bCs/>
                <w:color w:val="000000"/>
                <w:sz w:val="16"/>
                <w:szCs w:val="16"/>
              </w:rPr>
              <w:t>201</w:t>
            </w:r>
            <w:r w:rsidR="00B657B4">
              <w:rPr>
                <w:rFonts w:cs="Arial"/>
                <w:b/>
                <w:bCs/>
                <w:color w:val="000000"/>
                <w:sz w:val="16"/>
                <w:szCs w:val="16"/>
              </w:rPr>
              <w:t>2</w:t>
            </w:r>
          </w:p>
        </w:tc>
        <w:tc>
          <w:tcPr>
            <w:tcW w:w="2059" w:type="pct"/>
            <w:gridSpan w:val="2"/>
            <w:tcBorders>
              <w:top w:val="single" w:sz="8" w:space="0" w:color="BFBFBF"/>
              <w:left w:val="nil"/>
              <w:bottom w:val="single" w:sz="8" w:space="0" w:color="BFBFBF"/>
              <w:right w:val="nil"/>
            </w:tcBorders>
            <w:shd w:val="clear" w:color="000000" w:fill="DBE5F1"/>
            <w:hideMark/>
          </w:tcPr>
          <w:p w:rsidR="00665097" w:rsidRPr="00CF51A3" w:rsidRDefault="00665097" w:rsidP="00BB313D">
            <w:pPr>
              <w:widowControl w:val="0"/>
              <w:spacing w:line="240" w:lineRule="exact"/>
              <w:jc w:val="center"/>
              <w:rPr>
                <w:rFonts w:cs="Arial"/>
                <w:b/>
                <w:bCs/>
                <w:color w:val="000000"/>
                <w:sz w:val="16"/>
                <w:szCs w:val="16"/>
              </w:rPr>
            </w:pPr>
            <w:r w:rsidRPr="00CF51A3">
              <w:rPr>
                <w:rFonts w:cs="Arial"/>
                <w:b/>
                <w:bCs/>
                <w:color w:val="000000"/>
                <w:sz w:val="16"/>
                <w:szCs w:val="16"/>
              </w:rPr>
              <w:t>201</w:t>
            </w:r>
            <w:r w:rsidR="00B657B4">
              <w:rPr>
                <w:rFonts w:cs="Arial"/>
                <w:b/>
                <w:bCs/>
                <w:color w:val="000000"/>
                <w:sz w:val="16"/>
                <w:szCs w:val="16"/>
              </w:rPr>
              <w:t>4</w:t>
            </w:r>
          </w:p>
        </w:tc>
      </w:tr>
      <w:tr w:rsidR="00665097" w:rsidRPr="00CF51A3" w:rsidTr="00A33F7A">
        <w:trPr>
          <w:jc w:val="center"/>
        </w:trPr>
        <w:tc>
          <w:tcPr>
            <w:tcW w:w="1078" w:type="pct"/>
            <w:tcBorders>
              <w:top w:val="nil"/>
              <w:left w:val="nil"/>
              <w:bottom w:val="single" w:sz="8" w:space="0" w:color="BFBFBF"/>
              <w:right w:val="single" w:sz="8" w:space="0" w:color="BFBFBF"/>
            </w:tcBorders>
            <w:shd w:val="clear" w:color="000000" w:fill="DBE5F1"/>
            <w:hideMark/>
          </w:tcPr>
          <w:p w:rsidR="00665097" w:rsidRPr="00CF51A3" w:rsidRDefault="00665097" w:rsidP="00BB313D">
            <w:pPr>
              <w:widowControl w:val="0"/>
              <w:spacing w:line="240" w:lineRule="exact"/>
              <w:rPr>
                <w:rFonts w:ascii="Calibri" w:hAnsi="Calibri"/>
                <w:color w:val="000000"/>
              </w:rPr>
            </w:pPr>
            <w:r w:rsidRPr="00CF51A3">
              <w:rPr>
                <w:rFonts w:ascii="Calibri" w:hAnsi="Calibri"/>
                <w:color w:val="000000"/>
              </w:rPr>
              <w:t> </w:t>
            </w:r>
          </w:p>
        </w:tc>
        <w:tc>
          <w:tcPr>
            <w:tcW w:w="1104" w:type="pct"/>
            <w:tcBorders>
              <w:top w:val="nil"/>
              <w:left w:val="nil"/>
              <w:bottom w:val="single" w:sz="8" w:space="0" w:color="BFBFBF"/>
              <w:right w:val="nil"/>
            </w:tcBorders>
            <w:shd w:val="clear" w:color="000000" w:fill="DBE5F1"/>
            <w:hideMark/>
          </w:tcPr>
          <w:p w:rsidR="00665097" w:rsidRPr="00CF51A3" w:rsidRDefault="00665097" w:rsidP="00BB313D">
            <w:pPr>
              <w:widowControl w:val="0"/>
              <w:spacing w:line="240" w:lineRule="exact"/>
              <w:jc w:val="center"/>
              <w:rPr>
                <w:rFonts w:cs="Arial"/>
                <w:b/>
                <w:bCs/>
                <w:color w:val="000000"/>
                <w:sz w:val="16"/>
                <w:szCs w:val="16"/>
              </w:rPr>
            </w:pPr>
            <w:r w:rsidRPr="00CF51A3">
              <w:rPr>
                <w:rFonts w:cs="Arial"/>
                <w:b/>
                <w:bCs/>
                <w:color w:val="000000"/>
                <w:sz w:val="16"/>
                <w:szCs w:val="16"/>
              </w:rPr>
              <w:t>Euros</w:t>
            </w:r>
          </w:p>
        </w:tc>
        <w:tc>
          <w:tcPr>
            <w:tcW w:w="759" w:type="pct"/>
            <w:tcBorders>
              <w:top w:val="nil"/>
              <w:left w:val="nil"/>
              <w:bottom w:val="single" w:sz="8" w:space="0" w:color="BFBFBF"/>
              <w:right w:val="single" w:sz="8" w:space="0" w:color="BFBFBF"/>
            </w:tcBorders>
            <w:shd w:val="clear" w:color="000000" w:fill="DBE5F1"/>
            <w:hideMark/>
          </w:tcPr>
          <w:p w:rsidR="00665097" w:rsidRPr="00CF51A3"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c>
          <w:tcPr>
            <w:tcW w:w="1029" w:type="pct"/>
            <w:tcBorders>
              <w:top w:val="nil"/>
              <w:left w:val="nil"/>
              <w:bottom w:val="single" w:sz="8" w:space="0" w:color="BFBFBF"/>
              <w:right w:val="nil"/>
            </w:tcBorders>
            <w:shd w:val="clear" w:color="000000" w:fill="DBE5F1"/>
            <w:hideMark/>
          </w:tcPr>
          <w:p w:rsidR="00665097" w:rsidRPr="00CF51A3" w:rsidRDefault="00665097" w:rsidP="00BB313D">
            <w:pPr>
              <w:widowControl w:val="0"/>
              <w:spacing w:line="240" w:lineRule="exact"/>
              <w:jc w:val="center"/>
              <w:rPr>
                <w:rFonts w:cs="Arial"/>
                <w:b/>
                <w:bCs/>
                <w:color w:val="000000"/>
                <w:sz w:val="16"/>
                <w:szCs w:val="16"/>
              </w:rPr>
            </w:pPr>
            <w:r w:rsidRPr="00CF51A3">
              <w:rPr>
                <w:rFonts w:cs="Arial"/>
                <w:b/>
                <w:bCs/>
                <w:color w:val="000000"/>
                <w:sz w:val="16"/>
                <w:szCs w:val="16"/>
              </w:rPr>
              <w:t>Euros</w:t>
            </w:r>
          </w:p>
        </w:tc>
        <w:tc>
          <w:tcPr>
            <w:tcW w:w="1030" w:type="pct"/>
            <w:tcBorders>
              <w:top w:val="nil"/>
              <w:left w:val="nil"/>
              <w:bottom w:val="single" w:sz="8" w:space="0" w:color="BFBFBF"/>
              <w:right w:val="nil"/>
            </w:tcBorders>
            <w:shd w:val="clear" w:color="000000" w:fill="DBE5F1"/>
            <w:hideMark/>
          </w:tcPr>
          <w:p w:rsidR="00665097" w:rsidRPr="00CF51A3"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r>
      <w:tr w:rsidR="00327E77" w:rsidRPr="00CF51A3" w:rsidTr="00A33F7A">
        <w:trPr>
          <w:jc w:val="center"/>
        </w:trPr>
        <w:tc>
          <w:tcPr>
            <w:tcW w:w="1078" w:type="pct"/>
            <w:tcBorders>
              <w:top w:val="nil"/>
              <w:left w:val="nil"/>
              <w:bottom w:val="nil"/>
              <w:right w:val="single" w:sz="8" w:space="0" w:color="BFBFBF"/>
            </w:tcBorders>
            <w:shd w:val="clear" w:color="auto" w:fill="auto"/>
            <w:noWrap/>
            <w:hideMark/>
          </w:tcPr>
          <w:p w:rsidR="00327E77" w:rsidRPr="00CF51A3" w:rsidRDefault="00327E77" w:rsidP="00BB313D">
            <w:pPr>
              <w:widowControl w:val="0"/>
              <w:spacing w:line="240" w:lineRule="exact"/>
              <w:rPr>
                <w:rFonts w:cs="Arial"/>
                <w:color w:val="000000"/>
                <w:sz w:val="16"/>
                <w:szCs w:val="16"/>
              </w:rPr>
            </w:pPr>
            <w:r w:rsidRPr="00CF51A3">
              <w:rPr>
                <w:rFonts w:cs="Arial"/>
                <w:color w:val="000000"/>
                <w:sz w:val="16"/>
                <w:szCs w:val="16"/>
              </w:rPr>
              <w:t>Primario</w:t>
            </w:r>
          </w:p>
        </w:tc>
        <w:tc>
          <w:tcPr>
            <w:tcW w:w="1104" w:type="pct"/>
            <w:tcBorders>
              <w:top w:val="nil"/>
              <w:left w:val="nil"/>
              <w:bottom w:val="nil"/>
              <w:right w:val="nil"/>
            </w:tcBorders>
            <w:shd w:val="clear" w:color="auto" w:fill="auto"/>
            <w:noWrap/>
            <w:hideMark/>
          </w:tcPr>
          <w:p w:rsidR="00327E77" w:rsidRPr="00327E77" w:rsidRDefault="00327E77" w:rsidP="00E520C4">
            <w:pPr>
              <w:widowControl w:val="0"/>
              <w:spacing w:line="240" w:lineRule="exact"/>
              <w:ind w:right="170"/>
              <w:jc w:val="right"/>
              <w:rPr>
                <w:rFonts w:cs="Arial"/>
                <w:sz w:val="16"/>
                <w:szCs w:val="16"/>
              </w:rPr>
            </w:pPr>
            <w:r w:rsidRPr="00327E77">
              <w:rPr>
                <w:rFonts w:cs="Arial"/>
                <w:sz w:val="16"/>
                <w:szCs w:val="16"/>
              </w:rPr>
              <w:t>6.219.052</w:t>
            </w:r>
          </w:p>
        </w:tc>
        <w:tc>
          <w:tcPr>
            <w:tcW w:w="759" w:type="pct"/>
            <w:tcBorders>
              <w:top w:val="nil"/>
              <w:left w:val="nil"/>
              <w:bottom w:val="nil"/>
              <w:right w:val="single" w:sz="8" w:space="0" w:color="BFBFBF"/>
            </w:tcBorders>
            <w:shd w:val="clear" w:color="auto" w:fill="auto"/>
            <w:hideMark/>
          </w:tcPr>
          <w:p w:rsidR="00327E77" w:rsidRPr="00CF51A3" w:rsidRDefault="00327E77" w:rsidP="00E520C4">
            <w:pPr>
              <w:widowControl w:val="0"/>
              <w:spacing w:line="240" w:lineRule="exact"/>
              <w:ind w:right="170"/>
              <w:jc w:val="right"/>
              <w:rPr>
                <w:rFonts w:cs="Arial"/>
                <w:color w:val="000000"/>
                <w:sz w:val="16"/>
                <w:szCs w:val="16"/>
              </w:rPr>
            </w:pPr>
            <w:r w:rsidRPr="00CF51A3">
              <w:rPr>
                <w:rFonts w:cs="Arial"/>
                <w:color w:val="000000"/>
                <w:sz w:val="16"/>
                <w:szCs w:val="16"/>
              </w:rPr>
              <w:t>0,1</w:t>
            </w:r>
          </w:p>
        </w:tc>
        <w:tc>
          <w:tcPr>
            <w:tcW w:w="1029" w:type="pct"/>
            <w:tcBorders>
              <w:top w:val="nil"/>
              <w:left w:val="nil"/>
              <w:bottom w:val="nil"/>
              <w:right w:val="nil"/>
            </w:tcBorders>
            <w:shd w:val="clear" w:color="auto" w:fill="auto"/>
            <w:noWrap/>
            <w:vAlign w:val="bottom"/>
            <w:hideMark/>
          </w:tcPr>
          <w:p w:rsidR="00327E77" w:rsidRPr="00327E77" w:rsidRDefault="00327E77" w:rsidP="00327E77">
            <w:pPr>
              <w:widowControl w:val="0"/>
              <w:spacing w:line="240" w:lineRule="exact"/>
              <w:ind w:right="170"/>
              <w:jc w:val="right"/>
              <w:rPr>
                <w:rFonts w:cs="Arial"/>
                <w:sz w:val="16"/>
                <w:szCs w:val="16"/>
              </w:rPr>
            </w:pPr>
            <w:r w:rsidRPr="00327E77">
              <w:rPr>
                <w:rFonts w:cs="Arial"/>
                <w:sz w:val="16"/>
                <w:szCs w:val="16"/>
              </w:rPr>
              <w:t>7.002.011</w:t>
            </w:r>
          </w:p>
        </w:tc>
        <w:tc>
          <w:tcPr>
            <w:tcW w:w="1030" w:type="pct"/>
            <w:tcBorders>
              <w:top w:val="nil"/>
              <w:left w:val="nil"/>
              <w:bottom w:val="nil"/>
              <w:right w:val="nil"/>
            </w:tcBorders>
            <w:shd w:val="clear" w:color="auto" w:fill="auto"/>
            <w:vAlign w:val="bottom"/>
            <w:hideMark/>
          </w:tcPr>
          <w:p w:rsidR="00327E77" w:rsidRPr="00327E77" w:rsidRDefault="00327E77" w:rsidP="00327E77">
            <w:pPr>
              <w:widowControl w:val="0"/>
              <w:spacing w:line="240" w:lineRule="exact"/>
              <w:ind w:right="170"/>
              <w:jc w:val="right"/>
              <w:rPr>
                <w:rFonts w:cs="Arial"/>
                <w:color w:val="000000"/>
                <w:sz w:val="16"/>
                <w:szCs w:val="16"/>
              </w:rPr>
            </w:pPr>
            <w:r w:rsidRPr="00327E77">
              <w:rPr>
                <w:rFonts w:cs="Arial"/>
                <w:color w:val="000000"/>
                <w:sz w:val="16"/>
                <w:szCs w:val="16"/>
              </w:rPr>
              <w:t>0,1</w:t>
            </w:r>
          </w:p>
        </w:tc>
      </w:tr>
      <w:tr w:rsidR="00327E77" w:rsidRPr="00CF51A3" w:rsidTr="00A33F7A">
        <w:trPr>
          <w:jc w:val="center"/>
        </w:trPr>
        <w:tc>
          <w:tcPr>
            <w:tcW w:w="1078" w:type="pct"/>
            <w:tcBorders>
              <w:top w:val="nil"/>
              <w:left w:val="nil"/>
              <w:bottom w:val="nil"/>
              <w:right w:val="single" w:sz="8" w:space="0" w:color="BFBFBF"/>
            </w:tcBorders>
            <w:shd w:val="clear" w:color="auto" w:fill="auto"/>
            <w:hideMark/>
          </w:tcPr>
          <w:p w:rsidR="00327E77" w:rsidRPr="00CF51A3" w:rsidRDefault="00327E77" w:rsidP="00BB313D">
            <w:pPr>
              <w:widowControl w:val="0"/>
              <w:spacing w:line="240" w:lineRule="exact"/>
              <w:rPr>
                <w:rFonts w:cs="Arial"/>
                <w:color w:val="000000"/>
                <w:sz w:val="16"/>
                <w:szCs w:val="16"/>
              </w:rPr>
            </w:pPr>
            <w:r w:rsidRPr="00CF51A3">
              <w:rPr>
                <w:rFonts w:cs="Arial"/>
                <w:color w:val="000000"/>
                <w:sz w:val="16"/>
                <w:szCs w:val="16"/>
              </w:rPr>
              <w:t xml:space="preserve">Industria </w:t>
            </w:r>
          </w:p>
        </w:tc>
        <w:tc>
          <w:tcPr>
            <w:tcW w:w="1104" w:type="pct"/>
            <w:tcBorders>
              <w:top w:val="nil"/>
              <w:left w:val="nil"/>
              <w:bottom w:val="nil"/>
              <w:right w:val="nil"/>
            </w:tcBorders>
            <w:shd w:val="clear" w:color="auto" w:fill="auto"/>
            <w:noWrap/>
            <w:hideMark/>
          </w:tcPr>
          <w:p w:rsidR="00327E77" w:rsidRPr="00327E77" w:rsidRDefault="00327E77" w:rsidP="00E520C4">
            <w:pPr>
              <w:widowControl w:val="0"/>
              <w:spacing w:line="240" w:lineRule="exact"/>
              <w:ind w:right="170"/>
              <w:jc w:val="right"/>
              <w:rPr>
                <w:rFonts w:cs="Arial"/>
                <w:sz w:val="16"/>
                <w:szCs w:val="16"/>
              </w:rPr>
            </w:pPr>
            <w:r w:rsidRPr="00327E77">
              <w:rPr>
                <w:rFonts w:cs="Arial"/>
                <w:sz w:val="16"/>
                <w:szCs w:val="16"/>
              </w:rPr>
              <w:t>2.428.715.928</w:t>
            </w:r>
          </w:p>
        </w:tc>
        <w:tc>
          <w:tcPr>
            <w:tcW w:w="759" w:type="pct"/>
            <w:tcBorders>
              <w:top w:val="nil"/>
              <w:left w:val="nil"/>
              <w:bottom w:val="nil"/>
              <w:right w:val="single" w:sz="8" w:space="0" w:color="BFBFBF"/>
            </w:tcBorders>
            <w:shd w:val="clear" w:color="auto" w:fill="auto"/>
            <w:hideMark/>
          </w:tcPr>
          <w:p w:rsidR="00327E77" w:rsidRPr="00CF51A3" w:rsidRDefault="00327E77" w:rsidP="00E520C4">
            <w:pPr>
              <w:widowControl w:val="0"/>
              <w:spacing w:line="240" w:lineRule="exact"/>
              <w:ind w:right="170"/>
              <w:jc w:val="right"/>
              <w:rPr>
                <w:rFonts w:cs="Arial"/>
                <w:color w:val="000000"/>
                <w:sz w:val="16"/>
                <w:szCs w:val="16"/>
              </w:rPr>
            </w:pPr>
            <w:r w:rsidRPr="00CF51A3">
              <w:rPr>
                <w:rFonts w:cs="Arial"/>
                <w:color w:val="000000"/>
                <w:sz w:val="16"/>
                <w:szCs w:val="16"/>
              </w:rPr>
              <w:t>42,5</w:t>
            </w:r>
          </w:p>
        </w:tc>
        <w:tc>
          <w:tcPr>
            <w:tcW w:w="1029" w:type="pct"/>
            <w:tcBorders>
              <w:top w:val="nil"/>
              <w:left w:val="nil"/>
              <w:bottom w:val="nil"/>
              <w:right w:val="nil"/>
            </w:tcBorders>
            <w:shd w:val="clear" w:color="auto" w:fill="auto"/>
            <w:noWrap/>
            <w:vAlign w:val="bottom"/>
            <w:hideMark/>
          </w:tcPr>
          <w:p w:rsidR="00327E77" w:rsidRPr="00327E77" w:rsidRDefault="00327E77" w:rsidP="00327E77">
            <w:pPr>
              <w:widowControl w:val="0"/>
              <w:spacing w:line="240" w:lineRule="exact"/>
              <w:ind w:right="170"/>
              <w:jc w:val="right"/>
              <w:rPr>
                <w:rFonts w:cs="Arial"/>
                <w:sz w:val="16"/>
                <w:szCs w:val="16"/>
              </w:rPr>
            </w:pPr>
            <w:r w:rsidRPr="00327E77">
              <w:rPr>
                <w:rFonts w:cs="Arial"/>
                <w:sz w:val="16"/>
                <w:szCs w:val="16"/>
              </w:rPr>
              <w:t>2.113.335.260</w:t>
            </w:r>
          </w:p>
        </w:tc>
        <w:tc>
          <w:tcPr>
            <w:tcW w:w="1030" w:type="pct"/>
            <w:tcBorders>
              <w:top w:val="nil"/>
              <w:left w:val="nil"/>
              <w:bottom w:val="nil"/>
              <w:right w:val="nil"/>
            </w:tcBorders>
            <w:shd w:val="clear" w:color="auto" w:fill="auto"/>
            <w:vAlign w:val="bottom"/>
            <w:hideMark/>
          </w:tcPr>
          <w:p w:rsidR="00327E77" w:rsidRPr="00327E77" w:rsidRDefault="00327E77" w:rsidP="00327E77">
            <w:pPr>
              <w:widowControl w:val="0"/>
              <w:spacing w:line="240" w:lineRule="exact"/>
              <w:ind w:right="170"/>
              <w:jc w:val="right"/>
              <w:rPr>
                <w:rFonts w:cs="Arial"/>
                <w:color w:val="000000"/>
                <w:sz w:val="16"/>
                <w:szCs w:val="16"/>
              </w:rPr>
            </w:pPr>
            <w:r w:rsidRPr="00327E77">
              <w:rPr>
                <w:rFonts w:cs="Arial"/>
                <w:color w:val="000000"/>
                <w:sz w:val="16"/>
                <w:szCs w:val="16"/>
              </w:rPr>
              <w:t>37,5</w:t>
            </w:r>
          </w:p>
        </w:tc>
      </w:tr>
      <w:tr w:rsidR="00327E77" w:rsidRPr="00CF51A3" w:rsidTr="00A33F7A">
        <w:trPr>
          <w:jc w:val="center"/>
        </w:trPr>
        <w:tc>
          <w:tcPr>
            <w:tcW w:w="1078" w:type="pct"/>
            <w:tcBorders>
              <w:top w:val="nil"/>
              <w:left w:val="nil"/>
              <w:bottom w:val="nil"/>
              <w:right w:val="single" w:sz="8" w:space="0" w:color="BFBFBF"/>
            </w:tcBorders>
            <w:shd w:val="clear" w:color="auto" w:fill="auto"/>
            <w:noWrap/>
            <w:hideMark/>
          </w:tcPr>
          <w:p w:rsidR="00327E77" w:rsidRPr="00CF51A3" w:rsidRDefault="00327E77" w:rsidP="00BB313D">
            <w:pPr>
              <w:widowControl w:val="0"/>
              <w:spacing w:line="240" w:lineRule="exact"/>
              <w:rPr>
                <w:rFonts w:cs="Arial"/>
                <w:color w:val="000000"/>
                <w:sz w:val="16"/>
                <w:szCs w:val="16"/>
              </w:rPr>
            </w:pPr>
            <w:r w:rsidRPr="00CF51A3">
              <w:rPr>
                <w:rFonts w:cs="Arial"/>
                <w:color w:val="000000"/>
                <w:sz w:val="16"/>
                <w:szCs w:val="16"/>
              </w:rPr>
              <w:t>Construcción</w:t>
            </w:r>
          </w:p>
        </w:tc>
        <w:tc>
          <w:tcPr>
            <w:tcW w:w="1104" w:type="pct"/>
            <w:tcBorders>
              <w:top w:val="nil"/>
              <w:left w:val="nil"/>
              <w:right w:val="nil"/>
            </w:tcBorders>
            <w:shd w:val="clear" w:color="auto" w:fill="auto"/>
            <w:noWrap/>
            <w:hideMark/>
          </w:tcPr>
          <w:p w:rsidR="00327E77" w:rsidRPr="00327E77" w:rsidRDefault="00327E77" w:rsidP="00E520C4">
            <w:pPr>
              <w:widowControl w:val="0"/>
              <w:spacing w:line="240" w:lineRule="exact"/>
              <w:ind w:right="170"/>
              <w:jc w:val="right"/>
              <w:rPr>
                <w:rFonts w:cs="Arial"/>
                <w:sz w:val="16"/>
                <w:szCs w:val="16"/>
              </w:rPr>
            </w:pPr>
            <w:r w:rsidRPr="00327E77">
              <w:rPr>
                <w:rFonts w:cs="Arial"/>
                <w:sz w:val="16"/>
                <w:szCs w:val="16"/>
              </w:rPr>
              <w:t>50.949.517</w:t>
            </w:r>
          </w:p>
        </w:tc>
        <w:tc>
          <w:tcPr>
            <w:tcW w:w="759" w:type="pct"/>
            <w:tcBorders>
              <w:top w:val="nil"/>
              <w:left w:val="nil"/>
              <w:bottom w:val="nil"/>
              <w:right w:val="single" w:sz="8" w:space="0" w:color="BFBFBF"/>
            </w:tcBorders>
            <w:shd w:val="clear" w:color="auto" w:fill="auto"/>
            <w:hideMark/>
          </w:tcPr>
          <w:p w:rsidR="00327E77" w:rsidRPr="00CF51A3" w:rsidRDefault="00327E77" w:rsidP="00E520C4">
            <w:pPr>
              <w:widowControl w:val="0"/>
              <w:spacing w:line="240" w:lineRule="exact"/>
              <w:ind w:right="170"/>
              <w:jc w:val="right"/>
              <w:rPr>
                <w:rFonts w:cs="Arial"/>
                <w:color w:val="000000"/>
                <w:sz w:val="16"/>
                <w:szCs w:val="16"/>
              </w:rPr>
            </w:pPr>
            <w:r w:rsidRPr="00CF51A3">
              <w:rPr>
                <w:rFonts w:cs="Arial"/>
                <w:color w:val="000000"/>
                <w:sz w:val="16"/>
                <w:szCs w:val="16"/>
              </w:rPr>
              <w:t>0,9</w:t>
            </w:r>
          </w:p>
        </w:tc>
        <w:tc>
          <w:tcPr>
            <w:tcW w:w="1029" w:type="pct"/>
            <w:tcBorders>
              <w:top w:val="nil"/>
              <w:left w:val="nil"/>
              <w:right w:val="nil"/>
            </w:tcBorders>
            <w:shd w:val="clear" w:color="auto" w:fill="auto"/>
            <w:noWrap/>
            <w:vAlign w:val="bottom"/>
            <w:hideMark/>
          </w:tcPr>
          <w:p w:rsidR="00327E77" w:rsidRPr="00327E77" w:rsidRDefault="00327E77" w:rsidP="00327E77">
            <w:pPr>
              <w:widowControl w:val="0"/>
              <w:spacing w:line="240" w:lineRule="exact"/>
              <w:ind w:right="170"/>
              <w:jc w:val="right"/>
              <w:rPr>
                <w:rFonts w:cs="Arial"/>
                <w:sz w:val="16"/>
                <w:szCs w:val="16"/>
              </w:rPr>
            </w:pPr>
            <w:r w:rsidRPr="00327E77">
              <w:rPr>
                <w:rFonts w:cs="Arial"/>
                <w:sz w:val="16"/>
                <w:szCs w:val="16"/>
              </w:rPr>
              <w:t>43.177.268</w:t>
            </w:r>
          </w:p>
        </w:tc>
        <w:tc>
          <w:tcPr>
            <w:tcW w:w="1030" w:type="pct"/>
            <w:tcBorders>
              <w:top w:val="nil"/>
              <w:left w:val="nil"/>
              <w:right w:val="nil"/>
            </w:tcBorders>
            <w:shd w:val="clear" w:color="auto" w:fill="auto"/>
            <w:vAlign w:val="bottom"/>
            <w:hideMark/>
          </w:tcPr>
          <w:p w:rsidR="00327E77" w:rsidRPr="00327E77" w:rsidRDefault="00327E77" w:rsidP="00327E77">
            <w:pPr>
              <w:widowControl w:val="0"/>
              <w:spacing w:line="240" w:lineRule="exact"/>
              <w:ind w:right="170"/>
              <w:jc w:val="right"/>
              <w:rPr>
                <w:rFonts w:cs="Arial"/>
                <w:color w:val="000000"/>
                <w:sz w:val="16"/>
                <w:szCs w:val="16"/>
              </w:rPr>
            </w:pPr>
            <w:r w:rsidRPr="00327E77">
              <w:rPr>
                <w:rFonts w:cs="Arial"/>
                <w:color w:val="000000"/>
                <w:sz w:val="16"/>
                <w:szCs w:val="16"/>
              </w:rPr>
              <w:t>0,8</w:t>
            </w:r>
          </w:p>
        </w:tc>
      </w:tr>
      <w:tr w:rsidR="00327E77" w:rsidRPr="00CF51A3" w:rsidTr="00A33F7A">
        <w:trPr>
          <w:jc w:val="center"/>
        </w:trPr>
        <w:tc>
          <w:tcPr>
            <w:tcW w:w="1078" w:type="pct"/>
            <w:tcBorders>
              <w:top w:val="nil"/>
              <w:left w:val="nil"/>
              <w:bottom w:val="single" w:sz="8" w:space="0" w:color="BFBFBF"/>
              <w:right w:val="single" w:sz="8" w:space="0" w:color="BFBFBF"/>
            </w:tcBorders>
            <w:shd w:val="clear" w:color="auto" w:fill="auto"/>
            <w:hideMark/>
          </w:tcPr>
          <w:p w:rsidR="00327E77" w:rsidRPr="00CF51A3" w:rsidRDefault="00327E77" w:rsidP="00BB313D">
            <w:pPr>
              <w:widowControl w:val="0"/>
              <w:spacing w:line="240" w:lineRule="exact"/>
              <w:rPr>
                <w:rFonts w:cs="Arial"/>
                <w:color w:val="000000"/>
                <w:sz w:val="16"/>
                <w:szCs w:val="16"/>
              </w:rPr>
            </w:pPr>
            <w:r w:rsidRPr="00CF51A3">
              <w:rPr>
                <w:rFonts w:cs="Arial"/>
                <w:color w:val="000000"/>
                <w:sz w:val="16"/>
                <w:szCs w:val="16"/>
              </w:rPr>
              <w:t xml:space="preserve">Servicios </w:t>
            </w:r>
          </w:p>
        </w:tc>
        <w:tc>
          <w:tcPr>
            <w:tcW w:w="1104" w:type="pct"/>
            <w:tcBorders>
              <w:top w:val="nil"/>
              <w:left w:val="nil"/>
              <w:bottom w:val="single" w:sz="8" w:space="0" w:color="BFBFBF"/>
            </w:tcBorders>
            <w:shd w:val="clear" w:color="auto" w:fill="auto"/>
            <w:hideMark/>
          </w:tcPr>
          <w:p w:rsidR="00327E77" w:rsidRPr="00327E77" w:rsidRDefault="00327E77" w:rsidP="00E520C4">
            <w:pPr>
              <w:widowControl w:val="0"/>
              <w:spacing w:line="240" w:lineRule="exact"/>
              <w:ind w:right="170"/>
              <w:jc w:val="right"/>
              <w:rPr>
                <w:rFonts w:cs="Arial"/>
                <w:sz w:val="16"/>
                <w:szCs w:val="16"/>
              </w:rPr>
            </w:pPr>
            <w:r w:rsidRPr="00327E77">
              <w:rPr>
                <w:rFonts w:cs="Arial"/>
                <w:sz w:val="16"/>
                <w:szCs w:val="16"/>
              </w:rPr>
              <w:t>3.227.551.120</w:t>
            </w:r>
          </w:p>
        </w:tc>
        <w:tc>
          <w:tcPr>
            <w:tcW w:w="759" w:type="pct"/>
            <w:tcBorders>
              <w:top w:val="nil"/>
              <w:left w:val="nil"/>
              <w:bottom w:val="single" w:sz="8" w:space="0" w:color="BFBFBF"/>
              <w:right w:val="single" w:sz="8" w:space="0" w:color="BFBFBF"/>
            </w:tcBorders>
            <w:shd w:val="clear" w:color="auto" w:fill="auto"/>
            <w:hideMark/>
          </w:tcPr>
          <w:p w:rsidR="00327E77" w:rsidRPr="00CF51A3" w:rsidRDefault="00327E77" w:rsidP="00E520C4">
            <w:pPr>
              <w:widowControl w:val="0"/>
              <w:spacing w:line="240" w:lineRule="exact"/>
              <w:ind w:right="170"/>
              <w:jc w:val="right"/>
              <w:rPr>
                <w:rFonts w:cs="Arial"/>
                <w:color w:val="000000"/>
                <w:sz w:val="16"/>
                <w:szCs w:val="16"/>
              </w:rPr>
            </w:pPr>
            <w:r w:rsidRPr="00CF51A3">
              <w:rPr>
                <w:rFonts w:cs="Arial"/>
                <w:color w:val="000000"/>
                <w:sz w:val="16"/>
                <w:szCs w:val="16"/>
              </w:rPr>
              <w:t>56,5</w:t>
            </w:r>
          </w:p>
        </w:tc>
        <w:tc>
          <w:tcPr>
            <w:tcW w:w="1029" w:type="pct"/>
            <w:tcBorders>
              <w:top w:val="nil"/>
              <w:left w:val="nil"/>
              <w:bottom w:val="single" w:sz="8" w:space="0" w:color="BFBFBF"/>
            </w:tcBorders>
            <w:shd w:val="clear" w:color="auto" w:fill="auto"/>
            <w:vAlign w:val="bottom"/>
            <w:hideMark/>
          </w:tcPr>
          <w:p w:rsidR="00327E77" w:rsidRPr="00327E77" w:rsidRDefault="00327E77" w:rsidP="00327E77">
            <w:pPr>
              <w:widowControl w:val="0"/>
              <w:spacing w:line="240" w:lineRule="exact"/>
              <w:ind w:right="170"/>
              <w:jc w:val="right"/>
              <w:rPr>
                <w:rFonts w:cs="Arial"/>
                <w:sz w:val="16"/>
                <w:szCs w:val="16"/>
              </w:rPr>
            </w:pPr>
            <w:r w:rsidRPr="00327E77">
              <w:rPr>
                <w:rFonts w:cs="Arial"/>
                <w:sz w:val="16"/>
                <w:szCs w:val="16"/>
              </w:rPr>
              <w:t>3.465.415.915</w:t>
            </w:r>
          </w:p>
        </w:tc>
        <w:tc>
          <w:tcPr>
            <w:tcW w:w="1030" w:type="pct"/>
            <w:tcBorders>
              <w:top w:val="nil"/>
              <w:left w:val="nil"/>
              <w:bottom w:val="single" w:sz="8" w:space="0" w:color="BFBFBF"/>
            </w:tcBorders>
            <w:shd w:val="clear" w:color="auto" w:fill="auto"/>
            <w:vAlign w:val="bottom"/>
            <w:hideMark/>
          </w:tcPr>
          <w:p w:rsidR="00327E77" w:rsidRPr="00327E77" w:rsidRDefault="00327E77" w:rsidP="00327E77">
            <w:pPr>
              <w:widowControl w:val="0"/>
              <w:spacing w:line="240" w:lineRule="exact"/>
              <w:ind w:right="170"/>
              <w:jc w:val="right"/>
              <w:rPr>
                <w:rFonts w:cs="Arial"/>
                <w:color w:val="000000"/>
                <w:sz w:val="16"/>
                <w:szCs w:val="16"/>
              </w:rPr>
            </w:pPr>
            <w:r w:rsidRPr="00327E77">
              <w:rPr>
                <w:rFonts w:cs="Arial"/>
                <w:color w:val="000000"/>
                <w:sz w:val="16"/>
                <w:szCs w:val="16"/>
              </w:rPr>
              <w:t>61,6</w:t>
            </w:r>
          </w:p>
        </w:tc>
      </w:tr>
      <w:tr w:rsidR="00327E77" w:rsidRPr="00CF51A3" w:rsidTr="00A33F7A">
        <w:trPr>
          <w:jc w:val="center"/>
        </w:trPr>
        <w:tc>
          <w:tcPr>
            <w:tcW w:w="1078" w:type="pct"/>
            <w:tcBorders>
              <w:top w:val="nil"/>
              <w:left w:val="nil"/>
              <w:bottom w:val="single" w:sz="8" w:space="0" w:color="BFBFBF"/>
              <w:right w:val="single" w:sz="8" w:space="0" w:color="BFBFBF"/>
            </w:tcBorders>
            <w:shd w:val="clear" w:color="auto" w:fill="auto"/>
            <w:hideMark/>
          </w:tcPr>
          <w:p w:rsidR="00327E77" w:rsidRPr="00CF51A3" w:rsidRDefault="00327E77" w:rsidP="00BB313D">
            <w:pPr>
              <w:widowControl w:val="0"/>
              <w:spacing w:line="240" w:lineRule="exact"/>
              <w:rPr>
                <w:rFonts w:cs="Arial"/>
                <w:b/>
                <w:bCs/>
                <w:color w:val="000000"/>
                <w:sz w:val="16"/>
                <w:szCs w:val="16"/>
              </w:rPr>
            </w:pPr>
            <w:r w:rsidRPr="00CF51A3">
              <w:rPr>
                <w:rFonts w:cs="Arial"/>
                <w:b/>
                <w:bCs/>
                <w:color w:val="000000"/>
                <w:sz w:val="16"/>
                <w:szCs w:val="16"/>
                <w:lang w:val="es-ES_tradnl"/>
              </w:rPr>
              <w:t>TOTAL</w:t>
            </w:r>
          </w:p>
        </w:tc>
        <w:tc>
          <w:tcPr>
            <w:tcW w:w="1104" w:type="pct"/>
            <w:tcBorders>
              <w:top w:val="nil"/>
              <w:left w:val="nil"/>
              <w:bottom w:val="single" w:sz="8" w:space="0" w:color="BFBFBF"/>
              <w:right w:val="nil"/>
            </w:tcBorders>
            <w:shd w:val="clear" w:color="auto" w:fill="auto"/>
            <w:hideMark/>
          </w:tcPr>
          <w:p w:rsidR="00327E77" w:rsidRPr="00CF51A3" w:rsidRDefault="00327E77" w:rsidP="00E520C4">
            <w:pPr>
              <w:widowControl w:val="0"/>
              <w:spacing w:line="240" w:lineRule="exact"/>
              <w:ind w:right="170"/>
              <w:jc w:val="right"/>
              <w:rPr>
                <w:rFonts w:cs="Arial"/>
                <w:b/>
                <w:bCs/>
                <w:color w:val="000000"/>
                <w:sz w:val="16"/>
                <w:szCs w:val="16"/>
              </w:rPr>
            </w:pPr>
            <w:r w:rsidRPr="00CF51A3">
              <w:rPr>
                <w:rFonts w:cs="Arial"/>
                <w:b/>
                <w:bCs/>
                <w:color w:val="000000"/>
                <w:sz w:val="16"/>
                <w:szCs w:val="16"/>
              </w:rPr>
              <w:t>5.713.435.617</w:t>
            </w:r>
          </w:p>
        </w:tc>
        <w:tc>
          <w:tcPr>
            <w:tcW w:w="759" w:type="pct"/>
            <w:tcBorders>
              <w:top w:val="nil"/>
              <w:left w:val="nil"/>
              <w:bottom w:val="single" w:sz="8" w:space="0" w:color="BFBFBF"/>
              <w:right w:val="single" w:sz="8" w:space="0" w:color="BFBFBF"/>
            </w:tcBorders>
            <w:shd w:val="clear" w:color="auto" w:fill="auto"/>
            <w:hideMark/>
          </w:tcPr>
          <w:p w:rsidR="00327E77" w:rsidRPr="00CF51A3" w:rsidRDefault="00327E77" w:rsidP="00E520C4">
            <w:pPr>
              <w:widowControl w:val="0"/>
              <w:spacing w:line="240" w:lineRule="exact"/>
              <w:ind w:right="170"/>
              <w:jc w:val="right"/>
              <w:rPr>
                <w:rFonts w:cs="Arial"/>
                <w:b/>
                <w:bCs/>
                <w:color w:val="000000"/>
                <w:sz w:val="16"/>
                <w:szCs w:val="16"/>
              </w:rPr>
            </w:pPr>
            <w:r w:rsidRPr="00CF51A3">
              <w:rPr>
                <w:rFonts w:cs="Arial"/>
                <w:b/>
                <w:bCs/>
                <w:color w:val="000000"/>
                <w:sz w:val="16"/>
                <w:szCs w:val="16"/>
              </w:rPr>
              <w:t>100</w:t>
            </w:r>
            <w:r w:rsidR="00A917B1">
              <w:rPr>
                <w:rFonts w:cs="Arial"/>
                <w:b/>
                <w:bCs/>
                <w:color w:val="000000"/>
                <w:sz w:val="16"/>
                <w:szCs w:val="16"/>
              </w:rPr>
              <w:t>,0</w:t>
            </w:r>
          </w:p>
        </w:tc>
        <w:tc>
          <w:tcPr>
            <w:tcW w:w="1029" w:type="pct"/>
            <w:tcBorders>
              <w:top w:val="nil"/>
              <w:left w:val="nil"/>
              <w:bottom w:val="single" w:sz="8" w:space="0" w:color="BFBFBF"/>
              <w:right w:val="nil"/>
            </w:tcBorders>
            <w:shd w:val="clear" w:color="auto" w:fill="auto"/>
            <w:vAlign w:val="bottom"/>
            <w:hideMark/>
          </w:tcPr>
          <w:p w:rsidR="00327E77" w:rsidRDefault="00327E77" w:rsidP="00327E77">
            <w:pPr>
              <w:widowControl w:val="0"/>
              <w:spacing w:line="240" w:lineRule="exact"/>
              <w:ind w:right="170"/>
              <w:jc w:val="right"/>
              <w:rPr>
                <w:rFonts w:ascii="Calibri" w:hAnsi="Calibri"/>
                <w:color w:val="000000"/>
                <w:sz w:val="18"/>
                <w:szCs w:val="18"/>
              </w:rPr>
            </w:pPr>
            <w:r w:rsidRPr="00327E77">
              <w:rPr>
                <w:rFonts w:cs="Arial"/>
                <w:b/>
                <w:bCs/>
                <w:color w:val="000000"/>
                <w:sz w:val="16"/>
                <w:szCs w:val="16"/>
              </w:rPr>
              <w:t>5.628.930.454</w:t>
            </w:r>
          </w:p>
        </w:tc>
        <w:tc>
          <w:tcPr>
            <w:tcW w:w="1030" w:type="pct"/>
            <w:tcBorders>
              <w:top w:val="nil"/>
              <w:left w:val="nil"/>
              <w:bottom w:val="single" w:sz="8" w:space="0" w:color="BFBFBF"/>
              <w:right w:val="nil"/>
            </w:tcBorders>
            <w:shd w:val="clear" w:color="auto" w:fill="auto"/>
            <w:hideMark/>
          </w:tcPr>
          <w:p w:rsidR="00327E77" w:rsidRPr="00CF51A3" w:rsidRDefault="00327E77" w:rsidP="00BB313D">
            <w:pPr>
              <w:widowControl w:val="0"/>
              <w:spacing w:line="240" w:lineRule="exact"/>
              <w:ind w:right="170"/>
              <w:jc w:val="right"/>
              <w:rPr>
                <w:rFonts w:cs="Arial"/>
                <w:b/>
                <w:bCs/>
                <w:color w:val="000000"/>
                <w:sz w:val="16"/>
                <w:szCs w:val="16"/>
              </w:rPr>
            </w:pPr>
            <w:r w:rsidRPr="00CF51A3">
              <w:rPr>
                <w:rFonts w:cs="Arial"/>
                <w:b/>
                <w:bCs/>
                <w:color w:val="000000"/>
                <w:sz w:val="16"/>
                <w:szCs w:val="16"/>
              </w:rPr>
              <w:t>100</w:t>
            </w:r>
            <w:r w:rsidR="00A917B1">
              <w:rPr>
                <w:rFonts w:cs="Arial"/>
                <w:b/>
                <w:bCs/>
                <w:color w:val="000000"/>
                <w:sz w:val="16"/>
                <w:szCs w:val="16"/>
              </w:rPr>
              <w:t>,0</w:t>
            </w:r>
          </w:p>
        </w:tc>
      </w:tr>
    </w:tbl>
    <w:p w:rsidR="00665097" w:rsidRDefault="00665097" w:rsidP="00BB313D">
      <w:pPr>
        <w:widowControl w:val="0"/>
        <w:rPr>
          <w:rFonts w:cs="Arial"/>
        </w:rPr>
      </w:pPr>
    </w:p>
    <w:p w:rsidR="00665097" w:rsidRPr="00E95A1F" w:rsidRDefault="00DE1512" w:rsidP="00BB313D">
      <w:pPr>
        <w:widowControl w:val="0"/>
        <w:spacing w:line="240" w:lineRule="auto"/>
        <w:jc w:val="center"/>
        <w:rPr>
          <w:rFonts w:cs="Arial"/>
          <w:b/>
          <w:color w:val="1F497D" w:themeColor="text2"/>
          <w:sz w:val="18"/>
          <w:szCs w:val="18"/>
        </w:rPr>
      </w:pPr>
      <w:bookmarkStart w:id="209" w:name="_Toc391999627"/>
      <w:bookmarkStart w:id="210" w:name="_Toc45011951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E95A1F">
        <w:rPr>
          <w:rFonts w:cs="Arial"/>
          <w:b/>
          <w:color w:val="1F497D" w:themeColor="text2"/>
          <w:sz w:val="18"/>
          <w:szCs w:val="18"/>
        </w:rPr>
        <w:t>DISTRIBUCIÓN SECTORIAL DE LOS FONDOS PROPIOS DE LA ECONOMÍA SOCIAL. REFERENCIA DE LA RENTABILIDAD SOBRE LOS FONDOS PROPIOS. (</w:t>
      </w:r>
      <w:proofErr w:type="gramStart"/>
      <w:r w:rsidR="00665097" w:rsidRPr="00E95A1F">
        <w:rPr>
          <w:rFonts w:cs="Arial"/>
          <w:b/>
          <w:color w:val="1F497D" w:themeColor="text2"/>
          <w:sz w:val="18"/>
          <w:szCs w:val="18"/>
        </w:rPr>
        <w:t>c</w:t>
      </w:r>
      <w:r w:rsidR="00DA23E1">
        <w:rPr>
          <w:rFonts w:cs="Arial"/>
          <w:b/>
          <w:color w:val="1F497D" w:themeColor="text2"/>
          <w:sz w:val="18"/>
          <w:szCs w:val="18"/>
        </w:rPr>
        <w:t>ifras</w:t>
      </w:r>
      <w:proofErr w:type="gramEnd"/>
      <w:r w:rsidR="00DA23E1">
        <w:rPr>
          <w:rFonts w:cs="Arial"/>
          <w:b/>
          <w:color w:val="1F497D" w:themeColor="text2"/>
          <w:sz w:val="18"/>
          <w:szCs w:val="18"/>
        </w:rPr>
        <w:t xml:space="preserve"> absolutas</w:t>
      </w:r>
      <w:r w:rsidR="00665097" w:rsidRPr="00E95A1F">
        <w:rPr>
          <w:rFonts w:cs="Arial"/>
          <w:b/>
          <w:color w:val="1F497D" w:themeColor="text2"/>
          <w:sz w:val="18"/>
          <w:szCs w:val="18"/>
        </w:rPr>
        <w:t xml:space="preserve"> en miles de Euros). 201</w:t>
      </w:r>
      <w:bookmarkEnd w:id="209"/>
      <w:r w:rsidR="00062A27">
        <w:rPr>
          <w:rFonts w:cs="Arial"/>
          <w:b/>
          <w:color w:val="1F497D" w:themeColor="text2"/>
          <w:sz w:val="18"/>
          <w:szCs w:val="18"/>
        </w:rPr>
        <w:t>4</w:t>
      </w:r>
      <w:bookmarkEnd w:id="210"/>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152"/>
        <w:gridCol w:w="3421"/>
        <w:gridCol w:w="2282"/>
        <w:gridCol w:w="2085"/>
      </w:tblGrid>
      <w:tr w:rsidR="00665097" w:rsidRPr="00E95A1F" w:rsidTr="00175D09">
        <w:trPr>
          <w:jc w:val="center"/>
        </w:trPr>
        <w:tc>
          <w:tcPr>
            <w:tcW w:w="1082"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1721" w:type="pct"/>
            <w:vMerge w:val="restar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665097" w:rsidRPr="00E95A1F" w:rsidRDefault="00665097" w:rsidP="00BB313D">
            <w:pPr>
              <w:widowControl w:val="0"/>
              <w:spacing w:line="240" w:lineRule="exact"/>
              <w:jc w:val="center"/>
              <w:rPr>
                <w:rFonts w:cs="Arial"/>
                <w:b/>
                <w:sz w:val="16"/>
                <w:szCs w:val="16"/>
              </w:rPr>
            </w:pPr>
            <w:r w:rsidRPr="00E95A1F">
              <w:rPr>
                <w:rFonts w:cs="Arial"/>
                <w:b/>
                <w:sz w:val="16"/>
                <w:szCs w:val="16"/>
              </w:rPr>
              <w:t>Fondos propios</w:t>
            </w:r>
          </w:p>
        </w:tc>
        <w:tc>
          <w:tcPr>
            <w:tcW w:w="219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r w:rsidRPr="00E95A1F">
              <w:rPr>
                <w:rFonts w:cs="Arial"/>
                <w:b/>
                <w:sz w:val="16"/>
                <w:szCs w:val="16"/>
              </w:rPr>
              <w:t>Rentabilidad s/fondos propios</w:t>
            </w:r>
          </w:p>
        </w:tc>
      </w:tr>
      <w:tr w:rsidR="00665097" w:rsidRPr="00E95A1F" w:rsidTr="00175D09">
        <w:trPr>
          <w:jc w:val="center"/>
        </w:trPr>
        <w:tc>
          <w:tcPr>
            <w:tcW w:w="1082"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1721" w:type="pct"/>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p>
        </w:tc>
        <w:tc>
          <w:tcPr>
            <w:tcW w:w="114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r w:rsidRPr="00E95A1F">
              <w:rPr>
                <w:rFonts w:cs="Arial"/>
                <w:b/>
                <w:sz w:val="16"/>
                <w:szCs w:val="16"/>
              </w:rPr>
              <w:t>201</w:t>
            </w:r>
            <w:r w:rsidR="00611589">
              <w:rPr>
                <w:rFonts w:cs="Arial"/>
                <w:b/>
                <w:sz w:val="16"/>
                <w:szCs w:val="16"/>
              </w:rPr>
              <w:t>2</w:t>
            </w:r>
          </w:p>
        </w:tc>
        <w:tc>
          <w:tcPr>
            <w:tcW w:w="104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r w:rsidRPr="00E95A1F">
              <w:rPr>
                <w:rFonts w:cs="Arial"/>
                <w:b/>
                <w:sz w:val="16"/>
                <w:szCs w:val="16"/>
              </w:rPr>
              <w:t>201</w:t>
            </w:r>
            <w:r w:rsidR="00C94466">
              <w:rPr>
                <w:rFonts w:cs="Arial"/>
                <w:b/>
                <w:sz w:val="16"/>
                <w:szCs w:val="16"/>
              </w:rPr>
              <w:t>4</w:t>
            </w:r>
          </w:p>
        </w:tc>
      </w:tr>
      <w:tr w:rsidR="00611589" w:rsidRPr="00E95A1F" w:rsidTr="00175D09">
        <w:trPr>
          <w:jc w:val="center"/>
        </w:trPr>
        <w:tc>
          <w:tcPr>
            <w:tcW w:w="1082" w:type="pct"/>
            <w:tcBorders>
              <w:top w:val="single" w:sz="4" w:space="0" w:color="BFBFBF" w:themeColor="background1" w:themeShade="BF"/>
              <w:right w:val="single" w:sz="4" w:space="0" w:color="BFBFBF" w:themeColor="background1" w:themeShade="BF"/>
            </w:tcBorders>
          </w:tcPr>
          <w:p w:rsidR="00611589" w:rsidRPr="00E95A1F" w:rsidRDefault="00611589" w:rsidP="00BB313D">
            <w:pPr>
              <w:widowControl w:val="0"/>
              <w:spacing w:line="240" w:lineRule="exact"/>
              <w:rPr>
                <w:rFonts w:cs="Arial"/>
                <w:sz w:val="16"/>
                <w:szCs w:val="16"/>
              </w:rPr>
            </w:pPr>
            <w:r w:rsidRPr="00E95A1F">
              <w:rPr>
                <w:rFonts w:cs="Arial"/>
                <w:sz w:val="16"/>
                <w:szCs w:val="16"/>
              </w:rPr>
              <w:t xml:space="preserve">Industria </w:t>
            </w:r>
            <w:r w:rsidRPr="00E95A1F">
              <w:rPr>
                <w:rFonts w:cs="Arial"/>
                <w:sz w:val="16"/>
                <w:szCs w:val="16"/>
                <w:vertAlign w:val="superscript"/>
              </w:rPr>
              <w:t>(1)</w:t>
            </w:r>
          </w:p>
        </w:tc>
        <w:tc>
          <w:tcPr>
            <w:tcW w:w="172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11589" w:rsidRPr="00E95A1F" w:rsidRDefault="00062A27" w:rsidP="001E5608">
            <w:pPr>
              <w:widowControl w:val="0"/>
              <w:spacing w:line="240" w:lineRule="exact"/>
              <w:ind w:right="170"/>
              <w:jc w:val="right"/>
              <w:rPr>
                <w:rFonts w:cs="Arial"/>
                <w:sz w:val="16"/>
                <w:szCs w:val="16"/>
              </w:rPr>
            </w:pPr>
            <w:r>
              <w:rPr>
                <w:rFonts w:cs="Arial"/>
                <w:sz w:val="16"/>
                <w:szCs w:val="16"/>
              </w:rPr>
              <w:t>2.156.512.528</w:t>
            </w:r>
          </w:p>
        </w:tc>
        <w:tc>
          <w:tcPr>
            <w:tcW w:w="1148" w:type="pct"/>
            <w:tcBorders>
              <w:top w:val="single" w:sz="4" w:space="0" w:color="BFBFBF" w:themeColor="background1" w:themeShade="BF"/>
              <w:left w:val="single" w:sz="4" w:space="0" w:color="BFBFBF" w:themeColor="background1" w:themeShade="BF"/>
            </w:tcBorders>
          </w:tcPr>
          <w:p w:rsidR="00611589" w:rsidRPr="00E95A1F" w:rsidRDefault="00611589" w:rsidP="00E520C4">
            <w:pPr>
              <w:widowControl w:val="0"/>
              <w:spacing w:line="240" w:lineRule="exact"/>
              <w:ind w:right="170"/>
              <w:jc w:val="right"/>
              <w:rPr>
                <w:rFonts w:cs="Arial"/>
                <w:sz w:val="16"/>
                <w:szCs w:val="16"/>
              </w:rPr>
            </w:pPr>
            <w:r w:rsidRPr="00E95A1F">
              <w:rPr>
                <w:rFonts w:cs="Arial"/>
                <w:sz w:val="16"/>
                <w:szCs w:val="16"/>
              </w:rPr>
              <w:t>4,3</w:t>
            </w:r>
          </w:p>
        </w:tc>
        <w:tc>
          <w:tcPr>
            <w:tcW w:w="1049" w:type="pct"/>
            <w:tcBorders>
              <w:top w:val="single" w:sz="4" w:space="0" w:color="BFBFBF" w:themeColor="background1" w:themeShade="BF"/>
            </w:tcBorders>
          </w:tcPr>
          <w:p w:rsidR="00611589" w:rsidRPr="00E95A1F" w:rsidRDefault="00062A27" w:rsidP="001E5608">
            <w:pPr>
              <w:widowControl w:val="0"/>
              <w:spacing w:line="240" w:lineRule="exact"/>
              <w:ind w:right="170"/>
              <w:jc w:val="right"/>
              <w:rPr>
                <w:rFonts w:cs="Arial"/>
                <w:sz w:val="16"/>
                <w:szCs w:val="16"/>
              </w:rPr>
            </w:pPr>
            <w:r>
              <w:rPr>
                <w:rFonts w:cs="Arial"/>
                <w:sz w:val="16"/>
                <w:szCs w:val="16"/>
              </w:rPr>
              <w:t>4,6</w:t>
            </w:r>
          </w:p>
        </w:tc>
      </w:tr>
      <w:tr w:rsidR="00611589" w:rsidRPr="00E95A1F" w:rsidTr="00175D09">
        <w:trPr>
          <w:jc w:val="center"/>
        </w:trPr>
        <w:tc>
          <w:tcPr>
            <w:tcW w:w="1082" w:type="pct"/>
            <w:tcBorders>
              <w:bottom w:val="single" w:sz="4" w:space="0" w:color="BFBFBF" w:themeColor="background1" w:themeShade="BF"/>
              <w:right w:val="single" w:sz="4" w:space="0" w:color="BFBFBF" w:themeColor="background1" w:themeShade="BF"/>
            </w:tcBorders>
          </w:tcPr>
          <w:p w:rsidR="00611589" w:rsidRPr="00E95A1F" w:rsidRDefault="00611589" w:rsidP="00BB313D">
            <w:pPr>
              <w:widowControl w:val="0"/>
              <w:spacing w:line="240" w:lineRule="exact"/>
              <w:rPr>
                <w:rFonts w:cs="Arial"/>
                <w:sz w:val="16"/>
                <w:szCs w:val="16"/>
              </w:rPr>
            </w:pPr>
            <w:r w:rsidRPr="00E95A1F">
              <w:rPr>
                <w:rFonts w:cs="Arial"/>
                <w:sz w:val="16"/>
                <w:szCs w:val="16"/>
              </w:rPr>
              <w:t>Servicios</w:t>
            </w:r>
          </w:p>
        </w:tc>
        <w:tc>
          <w:tcPr>
            <w:tcW w:w="17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11589" w:rsidRPr="00E95A1F" w:rsidRDefault="00611589" w:rsidP="001E5608">
            <w:pPr>
              <w:widowControl w:val="0"/>
              <w:spacing w:line="240" w:lineRule="exact"/>
              <w:ind w:right="170"/>
              <w:jc w:val="right"/>
              <w:rPr>
                <w:rFonts w:cs="Arial"/>
                <w:sz w:val="16"/>
                <w:szCs w:val="16"/>
              </w:rPr>
            </w:pPr>
            <w:r w:rsidRPr="00327E77">
              <w:rPr>
                <w:rFonts w:cs="Arial"/>
                <w:sz w:val="16"/>
                <w:szCs w:val="16"/>
              </w:rPr>
              <w:t>3.465.415.915</w:t>
            </w:r>
          </w:p>
        </w:tc>
        <w:tc>
          <w:tcPr>
            <w:tcW w:w="1148" w:type="pct"/>
            <w:tcBorders>
              <w:left w:val="single" w:sz="4" w:space="0" w:color="BFBFBF" w:themeColor="background1" w:themeShade="BF"/>
              <w:bottom w:val="single" w:sz="4" w:space="0" w:color="BFBFBF" w:themeColor="background1" w:themeShade="BF"/>
            </w:tcBorders>
          </w:tcPr>
          <w:p w:rsidR="00611589" w:rsidRPr="00E95A1F" w:rsidRDefault="00611589" w:rsidP="00E520C4">
            <w:pPr>
              <w:widowControl w:val="0"/>
              <w:spacing w:line="240" w:lineRule="exact"/>
              <w:ind w:right="170"/>
              <w:jc w:val="right"/>
              <w:rPr>
                <w:rFonts w:cs="Arial"/>
                <w:sz w:val="16"/>
                <w:szCs w:val="16"/>
              </w:rPr>
            </w:pPr>
            <w:r>
              <w:rPr>
                <w:rFonts w:cs="Arial"/>
                <w:sz w:val="16"/>
                <w:szCs w:val="16"/>
              </w:rPr>
              <w:t>-0,9</w:t>
            </w:r>
          </w:p>
        </w:tc>
        <w:tc>
          <w:tcPr>
            <w:tcW w:w="1049" w:type="pct"/>
            <w:tcBorders>
              <w:bottom w:val="single" w:sz="4" w:space="0" w:color="BFBFBF" w:themeColor="background1" w:themeShade="BF"/>
            </w:tcBorders>
          </w:tcPr>
          <w:p w:rsidR="00611589" w:rsidRPr="00E95A1F" w:rsidRDefault="00062A27" w:rsidP="001E5608">
            <w:pPr>
              <w:widowControl w:val="0"/>
              <w:spacing w:line="240" w:lineRule="exact"/>
              <w:ind w:right="170"/>
              <w:jc w:val="right"/>
              <w:rPr>
                <w:rFonts w:cs="Arial"/>
                <w:sz w:val="16"/>
                <w:szCs w:val="16"/>
              </w:rPr>
            </w:pPr>
            <w:r>
              <w:rPr>
                <w:rFonts w:cs="Arial"/>
                <w:sz w:val="16"/>
                <w:szCs w:val="16"/>
              </w:rPr>
              <w:t>-0,2</w:t>
            </w:r>
          </w:p>
        </w:tc>
      </w:tr>
      <w:tr w:rsidR="00611589" w:rsidRPr="006209F1" w:rsidTr="00175D09">
        <w:trPr>
          <w:jc w:val="center"/>
        </w:trPr>
        <w:tc>
          <w:tcPr>
            <w:tcW w:w="108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11589" w:rsidRPr="006209F1" w:rsidRDefault="00611589" w:rsidP="00BB313D">
            <w:pPr>
              <w:widowControl w:val="0"/>
              <w:spacing w:line="240" w:lineRule="exact"/>
              <w:rPr>
                <w:b/>
                <w:sz w:val="16"/>
                <w:szCs w:val="16"/>
              </w:rPr>
            </w:pPr>
            <w:bookmarkStart w:id="211" w:name="_Toc391565506"/>
            <w:r w:rsidRPr="006209F1">
              <w:rPr>
                <w:b/>
                <w:sz w:val="16"/>
                <w:szCs w:val="16"/>
              </w:rPr>
              <w:t>TOTAL</w:t>
            </w:r>
            <w:bookmarkEnd w:id="211"/>
          </w:p>
        </w:tc>
        <w:tc>
          <w:tcPr>
            <w:tcW w:w="17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11589" w:rsidRPr="006209F1" w:rsidRDefault="00611589" w:rsidP="001E5608">
            <w:pPr>
              <w:widowControl w:val="0"/>
              <w:spacing w:line="240" w:lineRule="exact"/>
              <w:ind w:right="170"/>
              <w:jc w:val="right"/>
              <w:rPr>
                <w:b/>
                <w:sz w:val="16"/>
                <w:szCs w:val="16"/>
              </w:rPr>
            </w:pPr>
            <w:r w:rsidRPr="00327E77">
              <w:rPr>
                <w:rFonts w:cs="Arial"/>
                <w:b/>
                <w:bCs/>
                <w:color w:val="000000"/>
                <w:sz w:val="16"/>
                <w:szCs w:val="16"/>
              </w:rPr>
              <w:t>5.628.930.454</w:t>
            </w:r>
          </w:p>
        </w:tc>
        <w:tc>
          <w:tcPr>
            <w:tcW w:w="1148"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11589" w:rsidRPr="006209F1" w:rsidRDefault="00611589" w:rsidP="00E520C4">
            <w:pPr>
              <w:widowControl w:val="0"/>
              <w:spacing w:line="240" w:lineRule="exact"/>
              <w:ind w:right="170"/>
              <w:jc w:val="right"/>
              <w:rPr>
                <w:b/>
                <w:sz w:val="16"/>
                <w:szCs w:val="16"/>
              </w:rPr>
            </w:pPr>
            <w:r w:rsidRPr="006209F1">
              <w:rPr>
                <w:b/>
                <w:sz w:val="16"/>
                <w:szCs w:val="16"/>
              </w:rPr>
              <w:t>1,4</w:t>
            </w:r>
          </w:p>
        </w:tc>
        <w:tc>
          <w:tcPr>
            <w:tcW w:w="1049" w:type="pct"/>
            <w:tcBorders>
              <w:top w:val="single" w:sz="4" w:space="0" w:color="BFBFBF" w:themeColor="background1" w:themeShade="BF"/>
              <w:bottom w:val="single" w:sz="4" w:space="0" w:color="BFBFBF" w:themeColor="background1" w:themeShade="BF"/>
            </w:tcBorders>
          </w:tcPr>
          <w:p w:rsidR="00611589" w:rsidRPr="006209F1" w:rsidRDefault="00062A27" w:rsidP="001E5608">
            <w:pPr>
              <w:widowControl w:val="0"/>
              <w:spacing w:line="240" w:lineRule="exact"/>
              <w:ind w:right="170"/>
              <w:jc w:val="right"/>
              <w:rPr>
                <w:b/>
                <w:sz w:val="16"/>
                <w:szCs w:val="16"/>
              </w:rPr>
            </w:pPr>
            <w:r>
              <w:rPr>
                <w:b/>
                <w:sz w:val="16"/>
                <w:szCs w:val="16"/>
              </w:rPr>
              <w:t>1,6</w:t>
            </w:r>
          </w:p>
        </w:tc>
      </w:tr>
    </w:tbl>
    <w:p w:rsidR="00665097" w:rsidRDefault="00665097" w:rsidP="00BB313D">
      <w:pPr>
        <w:pStyle w:val="Textoindependiente3"/>
        <w:widowControl w:val="0"/>
        <w:spacing w:line="312" w:lineRule="auto"/>
        <w:rPr>
          <w:rFonts w:ascii="Arial" w:hAnsi="Arial" w:cs="Arial"/>
          <w:szCs w:val="16"/>
        </w:rPr>
      </w:pPr>
      <w:r w:rsidRPr="006E5AAD">
        <w:rPr>
          <w:rFonts w:ascii="Arial" w:hAnsi="Arial" w:cs="Arial"/>
          <w:szCs w:val="16"/>
          <w:vertAlign w:val="superscript"/>
        </w:rPr>
        <w:t xml:space="preserve">(1)  </w:t>
      </w:r>
      <w:r w:rsidRPr="006E5AAD">
        <w:rPr>
          <w:rFonts w:ascii="Arial" w:hAnsi="Arial" w:cs="Arial"/>
          <w:szCs w:val="16"/>
        </w:rPr>
        <w:t>Incluye Construcción</w:t>
      </w:r>
    </w:p>
    <w:p w:rsidR="00665097" w:rsidRDefault="00665097" w:rsidP="00BB313D">
      <w:pPr>
        <w:widowControl w:val="0"/>
        <w:rPr>
          <w:rFonts w:cs="Arial"/>
        </w:rPr>
      </w:pPr>
    </w:p>
    <w:p w:rsidR="00CA1FBB" w:rsidRDefault="00CA1FBB" w:rsidP="00BB313D">
      <w:pPr>
        <w:widowControl w:val="0"/>
        <w:rPr>
          <w:rFonts w:cs="Arial"/>
        </w:rPr>
      </w:pPr>
    </w:p>
    <w:p w:rsidR="00665097" w:rsidRPr="00E95A1F" w:rsidRDefault="00DE1512" w:rsidP="00BB313D">
      <w:pPr>
        <w:widowControl w:val="0"/>
        <w:spacing w:line="240" w:lineRule="auto"/>
        <w:jc w:val="center"/>
        <w:rPr>
          <w:rFonts w:cs="Arial"/>
          <w:b/>
          <w:color w:val="1F497D" w:themeColor="text2"/>
          <w:sz w:val="18"/>
          <w:szCs w:val="18"/>
        </w:rPr>
      </w:pPr>
      <w:bookmarkStart w:id="212" w:name="_Toc391999666"/>
      <w:bookmarkStart w:id="213" w:name="_Toc450120007"/>
      <w:r w:rsidRPr="00DE1512">
        <w:rPr>
          <w:rFonts w:cs="Arial"/>
          <w:b/>
          <w:color w:val="1F497D" w:themeColor="text2"/>
          <w:sz w:val="18"/>
          <w:szCs w:val="18"/>
        </w:rPr>
        <w:t>Gráfico 1.</w:t>
      </w:r>
      <w:r w:rsidR="00771A61" w:rsidRPr="00DE1512">
        <w:rPr>
          <w:rFonts w:cs="Arial"/>
          <w:b/>
          <w:color w:val="1F497D" w:themeColor="text2"/>
          <w:sz w:val="18"/>
          <w:szCs w:val="18"/>
        </w:rPr>
        <w:fldChar w:fldCharType="begin"/>
      </w:r>
      <w:r w:rsidRPr="00DE1512">
        <w:rPr>
          <w:rFonts w:cs="Arial"/>
          <w:b/>
          <w:color w:val="1F497D" w:themeColor="text2"/>
          <w:sz w:val="18"/>
          <w:szCs w:val="18"/>
        </w:rPr>
        <w:instrText xml:space="preserve"> SEQ Gráfico_1. \* ARABIC </w:instrText>
      </w:r>
      <w:r w:rsidR="00771A61" w:rsidRPr="00DE1512">
        <w:rPr>
          <w:rFonts w:cs="Arial"/>
          <w:b/>
          <w:color w:val="1F497D" w:themeColor="text2"/>
          <w:sz w:val="18"/>
          <w:szCs w:val="18"/>
        </w:rPr>
        <w:fldChar w:fldCharType="separate"/>
      </w:r>
      <w:r w:rsidR="00FC71A9">
        <w:rPr>
          <w:rFonts w:cs="Arial"/>
          <w:b/>
          <w:noProof/>
          <w:color w:val="1F497D" w:themeColor="text2"/>
          <w:sz w:val="18"/>
          <w:szCs w:val="18"/>
        </w:rPr>
        <w:t>19</w:t>
      </w:r>
      <w:r w:rsidR="00771A61" w:rsidRPr="00DE1512">
        <w:rPr>
          <w:rFonts w:cs="Arial"/>
          <w:b/>
          <w:color w:val="1F497D" w:themeColor="text2"/>
          <w:sz w:val="18"/>
          <w:szCs w:val="18"/>
        </w:rPr>
        <w:fldChar w:fldCharType="end"/>
      </w:r>
      <w:r w:rsidR="00D10020">
        <w:rPr>
          <w:rFonts w:cs="Arial"/>
          <w:b/>
          <w:color w:val="1F497D" w:themeColor="text2"/>
          <w:sz w:val="18"/>
          <w:szCs w:val="18"/>
        </w:rPr>
        <w:t xml:space="preserve"> </w:t>
      </w:r>
      <w:r w:rsidR="00665097" w:rsidRPr="00E95A1F">
        <w:rPr>
          <w:rFonts w:cs="Arial"/>
          <w:b/>
          <w:color w:val="1F497D" w:themeColor="text2"/>
          <w:sz w:val="18"/>
          <w:szCs w:val="18"/>
        </w:rPr>
        <w:t>FONDOS PROPIOS PROMEDIO POR EMPLEO SEGÚN EL SECTOR DE ACTIVIDAD (Euros). 201</w:t>
      </w:r>
      <w:bookmarkEnd w:id="212"/>
      <w:r w:rsidR="00062A27">
        <w:rPr>
          <w:rFonts w:cs="Arial"/>
          <w:b/>
          <w:color w:val="1F497D" w:themeColor="text2"/>
          <w:sz w:val="18"/>
          <w:szCs w:val="18"/>
        </w:rPr>
        <w:t>4</w:t>
      </w:r>
      <w:bookmarkEnd w:id="213"/>
    </w:p>
    <w:p w:rsidR="00665097" w:rsidRDefault="00665097" w:rsidP="00BB313D">
      <w:pPr>
        <w:widowControl w:val="0"/>
        <w:rPr>
          <w:rFonts w:ascii="Tahoma" w:hAnsi="Tahoma" w:cs="Tahoma"/>
        </w:rPr>
      </w:pPr>
      <w:r>
        <w:rPr>
          <w:rFonts w:ascii="Tahoma" w:hAnsi="Tahoma" w:cs="Tahoma"/>
          <w:noProof/>
          <w:lang w:eastAsia="es-ES"/>
        </w:rPr>
        <w:drawing>
          <wp:anchor distT="0" distB="0" distL="114300" distR="114300" simplePos="0" relativeHeight="251732992" behindDoc="0" locked="0" layoutInCell="1" allowOverlap="1">
            <wp:simplePos x="0" y="0"/>
            <wp:positionH relativeFrom="column">
              <wp:posOffset>190500</wp:posOffset>
            </wp:positionH>
            <wp:positionV relativeFrom="paragraph">
              <wp:posOffset>11430</wp:posOffset>
            </wp:positionV>
            <wp:extent cx="4951095" cy="1825625"/>
            <wp:effectExtent l="0" t="0" r="0" b="0"/>
            <wp:wrapNone/>
            <wp:docPr id="84" name="Objeto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665097" w:rsidRDefault="00665097" w:rsidP="00BB313D">
      <w:pPr>
        <w:widowControl w:val="0"/>
        <w:rPr>
          <w:rFonts w:ascii="Tahoma" w:hAnsi="Tahoma" w:cs="Tahoma"/>
        </w:rPr>
      </w:pPr>
    </w:p>
    <w:p w:rsidR="00665097" w:rsidRDefault="00665097" w:rsidP="00BB313D">
      <w:pPr>
        <w:widowControl w:val="0"/>
        <w:rPr>
          <w:rFonts w:ascii="Tahoma" w:hAnsi="Tahoma" w:cs="Tahoma"/>
        </w:rPr>
      </w:pPr>
    </w:p>
    <w:p w:rsidR="00665097" w:rsidRDefault="00665097" w:rsidP="00BB313D">
      <w:pPr>
        <w:widowControl w:val="0"/>
        <w:rPr>
          <w:rFonts w:ascii="Tahoma" w:hAnsi="Tahoma" w:cs="Tahoma"/>
        </w:rPr>
      </w:pPr>
    </w:p>
    <w:p w:rsidR="00665097" w:rsidRDefault="00665097" w:rsidP="00BB313D">
      <w:pPr>
        <w:widowControl w:val="0"/>
        <w:rPr>
          <w:rFonts w:ascii="Tahoma" w:hAnsi="Tahoma" w:cs="Tahoma"/>
        </w:rPr>
      </w:pPr>
    </w:p>
    <w:p w:rsidR="00665097" w:rsidRDefault="00665097" w:rsidP="00BB313D">
      <w:pPr>
        <w:widowControl w:val="0"/>
        <w:rPr>
          <w:rFonts w:ascii="Tahoma" w:hAnsi="Tahoma" w:cs="Tahoma"/>
        </w:rPr>
      </w:pPr>
    </w:p>
    <w:p w:rsidR="00665097" w:rsidRDefault="00665097" w:rsidP="00BB313D">
      <w:pPr>
        <w:widowControl w:val="0"/>
        <w:rPr>
          <w:rFonts w:cs="Arial"/>
        </w:rPr>
      </w:pPr>
    </w:p>
    <w:p w:rsidR="00665097" w:rsidRDefault="00665097" w:rsidP="00BB313D">
      <w:pPr>
        <w:widowControl w:val="0"/>
        <w:shd w:val="clear" w:color="auto" w:fill="FFFFFF"/>
        <w:spacing w:line="240" w:lineRule="auto"/>
        <w:jc w:val="center"/>
        <w:rPr>
          <w:rFonts w:cs="Arial"/>
          <w:b/>
          <w:color w:val="1F497D" w:themeColor="text2"/>
          <w:sz w:val="18"/>
          <w:szCs w:val="18"/>
        </w:rPr>
      </w:pPr>
    </w:p>
    <w:p w:rsidR="00C86565" w:rsidRDefault="00C86565" w:rsidP="00BB313D">
      <w:pPr>
        <w:widowControl w:val="0"/>
      </w:pPr>
    </w:p>
    <w:p w:rsidR="00665097" w:rsidRDefault="00DE1512" w:rsidP="00BB313D">
      <w:pPr>
        <w:pStyle w:val="Textoindependiente3"/>
        <w:widowControl w:val="0"/>
        <w:shd w:val="clear" w:color="auto" w:fill="FFFFFF"/>
        <w:rPr>
          <w:rFonts w:ascii="Arial" w:hAnsi="Arial" w:cs="Arial"/>
          <w:b/>
          <w:color w:val="1F497D" w:themeColor="text2"/>
          <w:sz w:val="18"/>
          <w:szCs w:val="18"/>
        </w:rPr>
      </w:pPr>
      <w:bookmarkStart w:id="214" w:name="_Toc391999628"/>
      <w:bookmarkStart w:id="215" w:name="_Toc450119511"/>
      <w:r w:rsidRPr="00DE1512">
        <w:rPr>
          <w:rFonts w:ascii="Arial" w:hAnsi="Arial" w:cs="Arial"/>
          <w:b/>
          <w:color w:val="1F497D" w:themeColor="text2"/>
          <w:sz w:val="18"/>
          <w:szCs w:val="18"/>
        </w:rPr>
        <w:t>Cuadro 1.</w:t>
      </w:r>
      <w:r w:rsidR="00771A61" w:rsidRPr="00DE1512">
        <w:rPr>
          <w:rFonts w:ascii="Arial" w:hAnsi="Arial" w:cs="Arial"/>
          <w:b/>
          <w:color w:val="1F497D" w:themeColor="text2"/>
          <w:sz w:val="18"/>
          <w:szCs w:val="18"/>
        </w:rPr>
        <w:fldChar w:fldCharType="begin"/>
      </w:r>
      <w:r w:rsidRPr="00DE1512">
        <w:rPr>
          <w:rFonts w:ascii="Arial" w:hAnsi="Arial" w:cs="Arial"/>
          <w:b/>
          <w:color w:val="1F497D" w:themeColor="text2"/>
          <w:sz w:val="18"/>
          <w:szCs w:val="18"/>
        </w:rPr>
        <w:instrText xml:space="preserve"> SEQ Cuadro_1. \* ARABIC </w:instrText>
      </w:r>
      <w:r w:rsidR="00771A61" w:rsidRPr="00DE1512">
        <w:rPr>
          <w:rFonts w:ascii="Arial" w:hAnsi="Arial" w:cs="Arial"/>
          <w:b/>
          <w:color w:val="1F497D" w:themeColor="text2"/>
          <w:sz w:val="18"/>
          <w:szCs w:val="18"/>
        </w:rPr>
        <w:fldChar w:fldCharType="separate"/>
      </w:r>
      <w:r w:rsidR="00FC71A9">
        <w:rPr>
          <w:rFonts w:ascii="Arial" w:hAnsi="Arial" w:cs="Arial"/>
          <w:b/>
          <w:noProof/>
          <w:color w:val="1F497D" w:themeColor="text2"/>
          <w:sz w:val="18"/>
          <w:szCs w:val="18"/>
        </w:rPr>
        <w:t>56</w:t>
      </w:r>
      <w:r w:rsidR="00771A61" w:rsidRPr="00DE1512">
        <w:rPr>
          <w:rFonts w:ascii="Arial" w:hAnsi="Arial" w:cs="Arial"/>
          <w:b/>
          <w:color w:val="1F497D" w:themeColor="text2"/>
          <w:sz w:val="18"/>
          <w:szCs w:val="18"/>
        </w:rPr>
        <w:fldChar w:fldCharType="end"/>
      </w:r>
      <w:r w:rsidRPr="00DE1512">
        <w:rPr>
          <w:rFonts w:ascii="Arial" w:hAnsi="Arial" w:cs="Arial"/>
          <w:b/>
          <w:color w:val="1F497D" w:themeColor="text2"/>
          <w:sz w:val="18"/>
          <w:szCs w:val="18"/>
        </w:rPr>
        <w:t xml:space="preserve"> </w:t>
      </w:r>
      <w:r w:rsidR="00C86565" w:rsidRPr="00C86565">
        <w:rPr>
          <w:rFonts w:ascii="Arial" w:hAnsi="Arial" w:cs="Arial"/>
          <w:b/>
          <w:color w:val="1F497D" w:themeColor="text2"/>
          <w:sz w:val="18"/>
          <w:szCs w:val="18"/>
        </w:rPr>
        <w:t xml:space="preserve"> </w:t>
      </w:r>
      <w:r w:rsidR="00665097" w:rsidRPr="00E95A1F">
        <w:rPr>
          <w:rFonts w:ascii="Arial" w:hAnsi="Arial" w:cs="Arial"/>
          <w:b/>
          <w:color w:val="1F497D" w:themeColor="text2"/>
          <w:sz w:val="18"/>
          <w:szCs w:val="18"/>
        </w:rPr>
        <w:t>DISTRIBUCIÓN SECTORIAL DE LOS FONDOS PROPIOS DE LA ECONOMÍA S</w:t>
      </w:r>
      <w:r w:rsidR="00D426DB">
        <w:rPr>
          <w:rFonts w:ascii="Arial" w:hAnsi="Arial" w:cs="Arial"/>
          <w:b/>
          <w:color w:val="1F497D" w:themeColor="text2"/>
          <w:sz w:val="18"/>
          <w:szCs w:val="18"/>
        </w:rPr>
        <w:t>OCIAL SEGÚN FORMA JURÍDICA. 2014</w:t>
      </w:r>
      <w:r w:rsidR="00665097" w:rsidRPr="00E95A1F">
        <w:rPr>
          <w:rFonts w:ascii="Arial" w:hAnsi="Arial" w:cs="Arial"/>
          <w:b/>
          <w:color w:val="1F497D" w:themeColor="text2"/>
          <w:sz w:val="18"/>
          <w:szCs w:val="18"/>
        </w:rPr>
        <w:t xml:space="preserve"> (</w:t>
      </w:r>
      <w:r w:rsidR="00153402">
        <w:rPr>
          <w:rFonts w:ascii="Arial" w:hAnsi="Arial" w:cs="Arial"/>
          <w:b/>
          <w:color w:val="1F497D" w:themeColor="text2"/>
          <w:sz w:val="18"/>
          <w:szCs w:val="18"/>
        </w:rPr>
        <w:t>cifras absolutas</w:t>
      </w:r>
      <w:r w:rsidR="00665097" w:rsidRPr="00E95A1F">
        <w:rPr>
          <w:rFonts w:ascii="Arial" w:hAnsi="Arial" w:cs="Arial"/>
          <w:b/>
          <w:color w:val="1F497D" w:themeColor="text2"/>
          <w:sz w:val="18"/>
          <w:szCs w:val="18"/>
        </w:rPr>
        <w:t xml:space="preserve"> en Euros y % h</w:t>
      </w:r>
      <w:r w:rsidR="00153402">
        <w:rPr>
          <w:rFonts w:ascii="Arial" w:hAnsi="Arial" w:cs="Arial"/>
          <w:b/>
          <w:color w:val="1F497D" w:themeColor="text2"/>
          <w:sz w:val="18"/>
          <w:szCs w:val="18"/>
        </w:rPr>
        <w:t>orizontales</w:t>
      </w:r>
      <w:r w:rsidR="00665097" w:rsidRPr="00E95A1F">
        <w:rPr>
          <w:rFonts w:ascii="Arial" w:hAnsi="Arial" w:cs="Arial"/>
          <w:b/>
          <w:color w:val="1F497D" w:themeColor="text2"/>
          <w:sz w:val="18"/>
          <w:szCs w:val="18"/>
        </w:rPr>
        <w:t>)</w:t>
      </w:r>
      <w:bookmarkEnd w:id="214"/>
      <w:bookmarkEnd w:id="215"/>
    </w:p>
    <w:tbl>
      <w:tblPr>
        <w:tblW w:w="9940" w:type="dxa"/>
        <w:jc w:val="center"/>
        <w:tblCellMar>
          <w:left w:w="70" w:type="dxa"/>
          <w:right w:w="70" w:type="dxa"/>
        </w:tblCellMar>
        <w:tblLook w:val="04A0" w:firstRow="1" w:lastRow="0" w:firstColumn="1" w:lastColumn="0" w:noHBand="0" w:noVBand="1"/>
      </w:tblPr>
      <w:tblGrid>
        <w:gridCol w:w="1233"/>
        <w:gridCol w:w="1532"/>
        <w:gridCol w:w="817"/>
        <w:gridCol w:w="1533"/>
        <w:gridCol w:w="723"/>
        <w:gridCol w:w="1379"/>
        <w:gridCol w:w="723"/>
        <w:gridCol w:w="1277"/>
        <w:gridCol w:w="723"/>
      </w:tblGrid>
      <w:tr w:rsidR="006D6EAB" w:rsidRPr="006D6EAB" w:rsidTr="00175D09">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6D6EAB" w:rsidRPr="006D6EAB" w:rsidRDefault="006D6EAB" w:rsidP="005627A1">
            <w:pPr>
              <w:spacing w:line="240" w:lineRule="exact"/>
              <w:rPr>
                <w:rFonts w:ascii="Calibri" w:eastAsia="Times New Roman" w:hAnsi="Calibri" w:cs="Times New Roman"/>
                <w:color w:val="000000"/>
                <w:szCs w:val="20"/>
                <w:lang w:eastAsia="es-ES"/>
              </w:rPr>
            </w:pPr>
            <w:bookmarkStart w:id="216" w:name="_Toc391999629"/>
            <w:r w:rsidRPr="006D6EAB">
              <w:rPr>
                <w:rFonts w:ascii="Calibri" w:eastAsia="Times New Roman" w:hAnsi="Calibri" w:cs="Times New Roman"/>
                <w:color w:val="000000"/>
                <w:szCs w:val="20"/>
                <w:lang w:eastAsia="es-ES"/>
              </w:rPr>
              <w:t> </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6D6EAB" w:rsidRPr="006D6EAB" w:rsidRDefault="006D6EAB" w:rsidP="005627A1">
            <w:pPr>
              <w:spacing w:line="240" w:lineRule="exact"/>
              <w:jc w:val="center"/>
              <w:rPr>
                <w:rFonts w:eastAsia="Times New Roman" w:cs="Arial"/>
                <w:b/>
                <w:bCs/>
                <w:color w:val="000000"/>
                <w:sz w:val="16"/>
                <w:szCs w:val="16"/>
                <w:lang w:eastAsia="es-ES"/>
              </w:rPr>
            </w:pPr>
            <w:r w:rsidRPr="006D6EAB">
              <w:rPr>
                <w:rFonts w:eastAsia="Times New Roman" w:cs="Arial"/>
                <w:b/>
                <w:bCs/>
                <w:color w:val="000000"/>
                <w:sz w:val="16"/>
                <w:szCs w:val="16"/>
                <w:lang w:val="en-GB" w:eastAsia="es-ES"/>
              </w:rPr>
              <w:t>TOTAL</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6D6EAB" w:rsidRPr="006D6EAB" w:rsidRDefault="006D6EAB" w:rsidP="005627A1">
            <w:pPr>
              <w:spacing w:line="240" w:lineRule="exact"/>
              <w:jc w:val="center"/>
              <w:rPr>
                <w:rFonts w:eastAsia="Times New Roman" w:cs="Arial"/>
                <w:b/>
                <w:bCs/>
                <w:color w:val="000000"/>
                <w:sz w:val="16"/>
                <w:szCs w:val="16"/>
                <w:lang w:eastAsia="es-ES"/>
              </w:rPr>
            </w:pPr>
            <w:proofErr w:type="spellStart"/>
            <w:r w:rsidRPr="006D6EAB">
              <w:rPr>
                <w:rFonts w:eastAsia="Times New Roman" w:cs="Arial"/>
                <w:b/>
                <w:bCs/>
                <w:color w:val="000000"/>
                <w:sz w:val="16"/>
                <w:szCs w:val="16"/>
                <w:lang w:val="en-GB" w:eastAsia="es-ES"/>
              </w:rPr>
              <w:t>S.Coop</w:t>
            </w:r>
            <w:proofErr w:type="spellEnd"/>
            <w:r w:rsidRPr="006D6EAB">
              <w:rPr>
                <w:rFonts w:eastAsia="Times New Roman" w:cs="Arial"/>
                <w:b/>
                <w:bCs/>
                <w:color w:val="000000"/>
                <w:sz w:val="16"/>
                <w:szCs w:val="16"/>
                <w:lang w:val="en-GB" w:eastAsia="es-ES"/>
              </w:rPr>
              <w:t>.</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6D6EAB" w:rsidRPr="006D6EAB" w:rsidRDefault="006D6EAB" w:rsidP="005627A1">
            <w:pPr>
              <w:spacing w:line="240" w:lineRule="exact"/>
              <w:jc w:val="center"/>
              <w:rPr>
                <w:rFonts w:eastAsia="Times New Roman" w:cs="Arial"/>
                <w:b/>
                <w:bCs/>
                <w:color w:val="000000"/>
                <w:sz w:val="16"/>
                <w:szCs w:val="16"/>
                <w:lang w:eastAsia="es-ES"/>
              </w:rPr>
            </w:pPr>
            <w:r w:rsidRPr="006D6EAB">
              <w:rPr>
                <w:rFonts w:eastAsia="Times New Roman" w:cs="Arial"/>
                <w:b/>
                <w:bCs/>
                <w:color w:val="000000"/>
                <w:sz w:val="16"/>
                <w:szCs w:val="16"/>
                <w:lang w:val="en-GB" w:eastAsia="es-ES"/>
              </w:rPr>
              <w:t>S.A.L.es</w:t>
            </w:r>
          </w:p>
        </w:tc>
        <w:tc>
          <w:tcPr>
            <w:tcW w:w="0" w:type="auto"/>
            <w:gridSpan w:val="2"/>
            <w:tcBorders>
              <w:top w:val="single" w:sz="8" w:space="0" w:color="BFBFBF"/>
              <w:left w:val="nil"/>
              <w:bottom w:val="single" w:sz="8" w:space="0" w:color="BFBFBF"/>
              <w:right w:val="nil"/>
            </w:tcBorders>
            <w:shd w:val="clear" w:color="000000" w:fill="DBE5F1"/>
            <w:hideMark/>
          </w:tcPr>
          <w:p w:rsidR="006D6EAB" w:rsidRPr="006D6EAB" w:rsidRDefault="006D6EAB" w:rsidP="005627A1">
            <w:pPr>
              <w:spacing w:line="240" w:lineRule="exact"/>
              <w:jc w:val="center"/>
              <w:rPr>
                <w:rFonts w:eastAsia="Times New Roman" w:cs="Arial"/>
                <w:b/>
                <w:bCs/>
                <w:color w:val="000000"/>
                <w:sz w:val="16"/>
                <w:szCs w:val="16"/>
                <w:lang w:eastAsia="es-ES"/>
              </w:rPr>
            </w:pPr>
            <w:r w:rsidRPr="006D6EAB">
              <w:rPr>
                <w:rFonts w:eastAsia="Times New Roman" w:cs="Arial"/>
                <w:b/>
                <w:bCs/>
                <w:color w:val="000000"/>
                <w:sz w:val="16"/>
                <w:szCs w:val="16"/>
                <w:lang w:val="en-GB" w:eastAsia="es-ES"/>
              </w:rPr>
              <w:t>S.L.L.es</w:t>
            </w:r>
          </w:p>
        </w:tc>
      </w:tr>
      <w:tr w:rsidR="006D6EAB" w:rsidRPr="006D6EAB" w:rsidTr="00175D09">
        <w:trPr>
          <w:jc w:val="center"/>
        </w:trPr>
        <w:tc>
          <w:tcPr>
            <w:tcW w:w="0" w:type="auto"/>
            <w:vMerge/>
            <w:tcBorders>
              <w:top w:val="single" w:sz="8" w:space="0" w:color="BFBFBF"/>
              <w:left w:val="nil"/>
              <w:bottom w:val="single" w:sz="8" w:space="0" w:color="BFBFBF"/>
              <w:right w:val="single" w:sz="8" w:space="0" w:color="BFBFBF"/>
            </w:tcBorders>
            <w:vAlign w:val="center"/>
            <w:hideMark/>
          </w:tcPr>
          <w:p w:rsidR="006D6EAB" w:rsidRPr="006D6EAB" w:rsidRDefault="006D6EAB" w:rsidP="005627A1">
            <w:pPr>
              <w:spacing w:line="240" w:lineRule="exact"/>
              <w:jc w:val="left"/>
              <w:rPr>
                <w:rFonts w:ascii="Calibri" w:eastAsia="Times New Roman" w:hAnsi="Calibri" w:cs="Times New Roman"/>
                <w:color w:val="000000"/>
                <w:szCs w:val="20"/>
                <w:lang w:eastAsia="es-ES"/>
              </w:rPr>
            </w:pPr>
          </w:p>
        </w:tc>
        <w:tc>
          <w:tcPr>
            <w:tcW w:w="0" w:type="auto"/>
            <w:tcBorders>
              <w:top w:val="nil"/>
              <w:left w:val="nil"/>
              <w:bottom w:val="single" w:sz="8" w:space="0" w:color="BFBFBF"/>
              <w:right w:val="nil"/>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proofErr w:type="spellStart"/>
            <w:r w:rsidRPr="006D6EAB">
              <w:rPr>
                <w:rFonts w:eastAsia="Times New Roman" w:cs="Arial"/>
                <w:b/>
                <w:bCs/>
                <w:color w:val="000000"/>
                <w:sz w:val="16"/>
                <w:szCs w:val="16"/>
                <w:lang w:eastAsia="es-ES"/>
              </w:rPr>
              <w:t>Abs</w:t>
            </w:r>
            <w:proofErr w:type="spellEnd"/>
            <w:r w:rsidRPr="006D6EAB">
              <w:rPr>
                <w:rFonts w:eastAsia="Times New Roman" w:cs="Arial"/>
                <w:b/>
                <w:bCs/>
                <w:color w:val="000000"/>
                <w:sz w:val="16"/>
                <w:szCs w:val="16"/>
                <w:lang w:eastAsia="es-ES"/>
              </w:rPr>
              <w:t>.</w:t>
            </w:r>
          </w:p>
        </w:tc>
        <w:tc>
          <w:tcPr>
            <w:tcW w:w="0" w:type="auto"/>
            <w:tcBorders>
              <w:top w:val="nil"/>
              <w:left w:val="nil"/>
              <w:bottom w:val="single" w:sz="8" w:space="0" w:color="BFBFBF"/>
              <w:right w:val="single" w:sz="8" w:space="0" w:color="BFBFBF"/>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r w:rsidRPr="006D6EAB">
              <w:rPr>
                <w:rFonts w:eastAsia="Times New Roman" w:cs="Arial"/>
                <w:b/>
                <w:bCs/>
                <w:color w:val="000000"/>
                <w:sz w:val="16"/>
                <w:szCs w:val="16"/>
                <w:lang w:eastAsia="es-ES"/>
              </w:rPr>
              <w:t xml:space="preserve">% </w:t>
            </w:r>
            <w:proofErr w:type="spellStart"/>
            <w:r w:rsidRPr="006D6EAB">
              <w:rPr>
                <w:rFonts w:eastAsia="Times New Roman" w:cs="Arial"/>
                <w:b/>
                <w:bCs/>
                <w:color w:val="000000"/>
                <w:sz w:val="16"/>
                <w:szCs w:val="16"/>
                <w:lang w:eastAsia="es-ES"/>
              </w:rPr>
              <w:t>hor</w:t>
            </w:r>
            <w:proofErr w:type="spellEnd"/>
            <w:r w:rsidRPr="006D6EAB">
              <w:rPr>
                <w:rFonts w:eastAsia="Times New Roman" w:cs="Arial"/>
                <w:b/>
                <w:bCs/>
                <w:color w:val="000000"/>
                <w:sz w:val="16"/>
                <w:szCs w:val="16"/>
                <w:lang w:eastAsia="es-ES"/>
              </w:rPr>
              <w:t>.</w:t>
            </w:r>
          </w:p>
        </w:tc>
        <w:tc>
          <w:tcPr>
            <w:tcW w:w="0" w:type="auto"/>
            <w:tcBorders>
              <w:top w:val="nil"/>
              <w:left w:val="nil"/>
              <w:bottom w:val="single" w:sz="8" w:space="0" w:color="BFBFBF"/>
              <w:right w:val="nil"/>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proofErr w:type="spellStart"/>
            <w:r w:rsidRPr="006D6EAB">
              <w:rPr>
                <w:rFonts w:eastAsia="Times New Roman" w:cs="Arial"/>
                <w:b/>
                <w:bCs/>
                <w:color w:val="000000"/>
                <w:sz w:val="16"/>
                <w:szCs w:val="16"/>
                <w:lang w:eastAsia="es-ES"/>
              </w:rPr>
              <w:t>Abs</w:t>
            </w:r>
            <w:proofErr w:type="spellEnd"/>
            <w:r w:rsidRPr="006D6EAB">
              <w:rPr>
                <w:rFonts w:eastAsia="Times New Roman" w:cs="Arial"/>
                <w:b/>
                <w:bCs/>
                <w:color w:val="000000"/>
                <w:sz w:val="16"/>
                <w:szCs w:val="16"/>
                <w:lang w:eastAsia="es-ES"/>
              </w:rPr>
              <w:t>.</w:t>
            </w:r>
          </w:p>
        </w:tc>
        <w:tc>
          <w:tcPr>
            <w:tcW w:w="0" w:type="auto"/>
            <w:tcBorders>
              <w:top w:val="nil"/>
              <w:left w:val="nil"/>
              <w:bottom w:val="single" w:sz="8" w:space="0" w:color="BFBFBF"/>
              <w:right w:val="single" w:sz="8" w:space="0" w:color="BFBFBF"/>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r w:rsidRPr="006D6EAB">
              <w:rPr>
                <w:rFonts w:eastAsia="Times New Roman" w:cs="Arial"/>
                <w:b/>
                <w:bCs/>
                <w:color w:val="000000"/>
                <w:sz w:val="16"/>
                <w:szCs w:val="16"/>
                <w:lang w:eastAsia="es-ES"/>
              </w:rPr>
              <w:t xml:space="preserve">% </w:t>
            </w:r>
            <w:proofErr w:type="spellStart"/>
            <w:r w:rsidRPr="006D6EAB">
              <w:rPr>
                <w:rFonts w:eastAsia="Times New Roman" w:cs="Arial"/>
                <w:b/>
                <w:bCs/>
                <w:color w:val="000000"/>
                <w:sz w:val="16"/>
                <w:szCs w:val="16"/>
                <w:lang w:eastAsia="es-ES"/>
              </w:rPr>
              <w:t>hor</w:t>
            </w:r>
            <w:proofErr w:type="spellEnd"/>
            <w:r w:rsidRPr="006D6EAB">
              <w:rPr>
                <w:rFonts w:eastAsia="Times New Roman" w:cs="Arial"/>
                <w:b/>
                <w:bCs/>
                <w:color w:val="000000"/>
                <w:sz w:val="16"/>
                <w:szCs w:val="16"/>
                <w:lang w:eastAsia="es-ES"/>
              </w:rPr>
              <w:t>.</w:t>
            </w:r>
          </w:p>
        </w:tc>
        <w:tc>
          <w:tcPr>
            <w:tcW w:w="0" w:type="auto"/>
            <w:tcBorders>
              <w:top w:val="nil"/>
              <w:left w:val="nil"/>
              <w:bottom w:val="single" w:sz="8" w:space="0" w:color="BFBFBF"/>
              <w:right w:val="nil"/>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proofErr w:type="spellStart"/>
            <w:r w:rsidRPr="006D6EAB">
              <w:rPr>
                <w:rFonts w:eastAsia="Times New Roman" w:cs="Arial"/>
                <w:b/>
                <w:bCs/>
                <w:color w:val="000000"/>
                <w:sz w:val="16"/>
                <w:szCs w:val="16"/>
                <w:lang w:eastAsia="es-ES"/>
              </w:rPr>
              <w:t>Abs</w:t>
            </w:r>
            <w:proofErr w:type="spellEnd"/>
            <w:r w:rsidRPr="006D6EAB">
              <w:rPr>
                <w:rFonts w:eastAsia="Times New Roman" w:cs="Arial"/>
                <w:b/>
                <w:bCs/>
                <w:color w:val="000000"/>
                <w:sz w:val="16"/>
                <w:szCs w:val="16"/>
                <w:lang w:eastAsia="es-ES"/>
              </w:rPr>
              <w:t>.</w:t>
            </w:r>
          </w:p>
        </w:tc>
        <w:tc>
          <w:tcPr>
            <w:tcW w:w="0" w:type="auto"/>
            <w:tcBorders>
              <w:top w:val="nil"/>
              <w:left w:val="nil"/>
              <w:bottom w:val="single" w:sz="8" w:space="0" w:color="BFBFBF"/>
              <w:right w:val="single" w:sz="8" w:space="0" w:color="BFBFBF"/>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r w:rsidRPr="006D6EAB">
              <w:rPr>
                <w:rFonts w:eastAsia="Times New Roman" w:cs="Arial"/>
                <w:b/>
                <w:bCs/>
                <w:color w:val="000000"/>
                <w:sz w:val="16"/>
                <w:szCs w:val="16"/>
                <w:lang w:eastAsia="es-ES"/>
              </w:rPr>
              <w:t xml:space="preserve">% </w:t>
            </w:r>
            <w:proofErr w:type="spellStart"/>
            <w:r w:rsidRPr="006D6EAB">
              <w:rPr>
                <w:rFonts w:eastAsia="Times New Roman" w:cs="Arial"/>
                <w:b/>
                <w:bCs/>
                <w:color w:val="000000"/>
                <w:sz w:val="16"/>
                <w:szCs w:val="16"/>
                <w:lang w:eastAsia="es-ES"/>
              </w:rPr>
              <w:t>hor</w:t>
            </w:r>
            <w:proofErr w:type="spellEnd"/>
            <w:r w:rsidRPr="006D6EAB">
              <w:rPr>
                <w:rFonts w:eastAsia="Times New Roman" w:cs="Arial"/>
                <w:b/>
                <w:bCs/>
                <w:color w:val="000000"/>
                <w:sz w:val="16"/>
                <w:szCs w:val="16"/>
                <w:lang w:eastAsia="es-ES"/>
              </w:rPr>
              <w:t>.</w:t>
            </w:r>
          </w:p>
        </w:tc>
        <w:tc>
          <w:tcPr>
            <w:tcW w:w="0" w:type="auto"/>
            <w:tcBorders>
              <w:top w:val="nil"/>
              <w:left w:val="nil"/>
              <w:bottom w:val="single" w:sz="8" w:space="0" w:color="BFBFBF"/>
              <w:right w:val="nil"/>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proofErr w:type="spellStart"/>
            <w:r w:rsidRPr="006D6EAB">
              <w:rPr>
                <w:rFonts w:eastAsia="Times New Roman" w:cs="Arial"/>
                <w:b/>
                <w:bCs/>
                <w:color w:val="000000"/>
                <w:sz w:val="16"/>
                <w:szCs w:val="16"/>
                <w:lang w:eastAsia="es-ES"/>
              </w:rPr>
              <w:t>Abs</w:t>
            </w:r>
            <w:proofErr w:type="spellEnd"/>
            <w:r w:rsidRPr="006D6EAB">
              <w:rPr>
                <w:rFonts w:eastAsia="Times New Roman" w:cs="Arial"/>
                <w:b/>
                <w:bCs/>
                <w:color w:val="000000"/>
                <w:sz w:val="16"/>
                <w:szCs w:val="16"/>
                <w:lang w:eastAsia="es-ES"/>
              </w:rPr>
              <w:t>.</w:t>
            </w:r>
          </w:p>
        </w:tc>
        <w:tc>
          <w:tcPr>
            <w:tcW w:w="0" w:type="auto"/>
            <w:tcBorders>
              <w:top w:val="nil"/>
              <w:left w:val="nil"/>
              <w:bottom w:val="single" w:sz="8" w:space="0" w:color="BFBFBF"/>
              <w:right w:val="nil"/>
            </w:tcBorders>
            <w:shd w:val="clear" w:color="000000" w:fill="DBE5F1"/>
            <w:vAlign w:val="bottom"/>
            <w:hideMark/>
          </w:tcPr>
          <w:p w:rsidR="006D6EAB" w:rsidRPr="006D6EAB" w:rsidRDefault="006D6EAB" w:rsidP="005627A1">
            <w:pPr>
              <w:spacing w:line="240" w:lineRule="exact"/>
              <w:jc w:val="center"/>
              <w:rPr>
                <w:rFonts w:eastAsia="Times New Roman" w:cs="Arial"/>
                <w:b/>
                <w:bCs/>
                <w:color w:val="000000"/>
                <w:sz w:val="16"/>
                <w:szCs w:val="16"/>
                <w:lang w:eastAsia="es-ES"/>
              </w:rPr>
            </w:pPr>
            <w:r w:rsidRPr="006D6EAB">
              <w:rPr>
                <w:rFonts w:eastAsia="Times New Roman" w:cs="Arial"/>
                <w:b/>
                <w:bCs/>
                <w:color w:val="000000"/>
                <w:sz w:val="16"/>
                <w:szCs w:val="16"/>
                <w:lang w:eastAsia="es-ES"/>
              </w:rPr>
              <w:t xml:space="preserve">% </w:t>
            </w:r>
            <w:proofErr w:type="spellStart"/>
            <w:r w:rsidRPr="006D6EAB">
              <w:rPr>
                <w:rFonts w:eastAsia="Times New Roman" w:cs="Arial"/>
                <w:b/>
                <w:bCs/>
                <w:color w:val="000000"/>
                <w:sz w:val="16"/>
                <w:szCs w:val="16"/>
                <w:lang w:eastAsia="es-ES"/>
              </w:rPr>
              <w:t>hor</w:t>
            </w:r>
            <w:proofErr w:type="spellEnd"/>
            <w:r w:rsidRPr="006D6EAB">
              <w:rPr>
                <w:rFonts w:eastAsia="Times New Roman" w:cs="Arial"/>
                <w:b/>
                <w:bCs/>
                <w:color w:val="000000"/>
                <w:sz w:val="16"/>
                <w:szCs w:val="16"/>
                <w:lang w:eastAsia="es-ES"/>
              </w:rPr>
              <w:t>.</w:t>
            </w:r>
          </w:p>
        </w:tc>
      </w:tr>
      <w:tr w:rsidR="00E520C4" w:rsidRPr="006D6EAB" w:rsidTr="00175D09">
        <w:trPr>
          <w:jc w:val="center"/>
        </w:trPr>
        <w:tc>
          <w:tcPr>
            <w:tcW w:w="0" w:type="auto"/>
            <w:tcBorders>
              <w:top w:val="nil"/>
              <w:left w:val="nil"/>
              <w:bottom w:val="nil"/>
              <w:right w:val="single" w:sz="8" w:space="0" w:color="BFBFBF"/>
            </w:tcBorders>
            <w:shd w:val="clear" w:color="auto" w:fill="auto"/>
            <w:hideMark/>
          </w:tcPr>
          <w:p w:rsidR="006D6EAB" w:rsidRPr="006D6EAB" w:rsidRDefault="006D6EAB" w:rsidP="005627A1">
            <w:pPr>
              <w:spacing w:line="240" w:lineRule="exact"/>
              <w:rPr>
                <w:rFonts w:eastAsia="Times New Roman" w:cs="Arial"/>
                <w:color w:val="000000"/>
                <w:sz w:val="16"/>
                <w:szCs w:val="16"/>
                <w:lang w:eastAsia="es-ES"/>
              </w:rPr>
            </w:pPr>
            <w:r w:rsidRPr="006D6EAB">
              <w:rPr>
                <w:rFonts w:eastAsia="Times New Roman" w:cs="Arial"/>
                <w:color w:val="000000"/>
                <w:sz w:val="16"/>
                <w:szCs w:val="16"/>
                <w:lang w:eastAsia="es-ES"/>
              </w:rPr>
              <w:t>Primario</w:t>
            </w:r>
          </w:p>
        </w:tc>
        <w:tc>
          <w:tcPr>
            <w:tcW w:w="0" w:type="auto"/>
            <w:tcBorders>
              <w:top w:val="nil"/>
              <w:left w:val="nil"/>
              <w:bottom w:val="nil"/>
              <w:right w:val="nil"/>
            </w:tcBorders>
            <w:shd w:val="clear" w:color="auto" w:fill="auto"/>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7.002.011</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100</w:t>
            </w:r>
            <w:r w:rsidR="007F441F">
              <w:rPr>
                <w:rFonts w:cs="Arial"/>
                <w:color w:val="000000"/>
                <w:sz w:val="16"/>
                <w:szCs w:val="16"/>
              </w:rPr>
              <w:t>,0</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5.864.951</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83,8</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0</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0,0</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1.137.060</w:t>
            </w:r>
          </w:p>
        </w:tc>
        <w:tc>
          <w:tcPr>
            <w:tcW w:w="0" w:type="auto"/>
            <w:tcBorders>
              <w:top w:val="single" w:sz="8" w:space="0" w:color="BFBFBF"/>
              <w:left w:val="nil"/>
              <w:bottom w:val="nil"/>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16,2</w:t>
            </w:r>
          </w:p>
        </w:tc>
      </w:tr>
      <w:tr w:rsidR="00E520C4" w:rsidRPr="006D6EAB" w:rsidTr="00175D09">
        <w:trPr>
          <w:jc w:val="center"/>
        </w:trPr>
        <w:tc>
          <w:tcPr>
            <w:tcW w:w="0" w:type="auto"/>
            <w:tcBorders>
              <w:top w:val="nil"/>
              <w:left w:val="nil"/>
              <w:bottom w:val="nil"/>
              <w:right w:val="single" w:sz="8" w:space="0" w:color="BFBFBF"/>
            </w:tcBorders>
            <w:shd w:val="clear" w:color="auto" w:fill="auto"/>
            <w:hideMark/>
          </w:tcPr>
          <w:p w:rsidR="006D6EAB" w:rsidRPr="006D6EAB" w:rsidRDefault="006D6EAB" w:rsidP="005627A1">
            <w:pPr>
              <w:spacing w:line="240" w:lineRule="exact"/>
              <w:rPr>
                <w:rFonts w:eastAsia="Times New Roman" w:cs="Arial"/>
                <w:color w:val="000000"/>
                <w:sz w:val="16"/>
                <w:szCs w:val="16"/>
                <w:lang w:eastAsia="es-ES"/>
              </w:rPr>
            </w:pPr>
            <w:r w:rsidRPr="006D6EAB">
              <w:rPr>
                <w:rFonts w:eastAsia="Times New Roman" w:cs="Arial"/>
                <w:color w:val="000000"/>
                <w:sz w:val="16"/>
                <w:szCs w:val="16"/>
                <w:lang w:eastAsia="es-ES"/>
              </w:rPr>
              <w:t>Industria</w:t>
            </w:r>
          </w:p>
        </w:tc>
        <w:tc>
          <w:tcPr>
            <w:tcW w:w="0" w:type="auto"/>
            <w:tcBorders>
              <w:top w:val="nil"/>
              <w:left w:val="nil"/>
              <w:bottom w:val="nil"/>
              <w:right w:val="nil"/>
            </w:tcBorders>
            <w:shd w:val="clear" w:color="auto" w:fill="auto"/>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2.113.335.260</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100</w:t>
            </w:r>
            <w:r w:rsidR="007F441F">
              <w:rPr>
                <w:rFonts w:cs="Arial"/>
                <w:color w:val="000000"/>
                <w:sz w:val="16"/>
                <w:szCs w:val="16"/>
              </w:rPr>
              <w:t>,0</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1.950.954.349</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92,3</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106.594.490</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5,0</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55.786.421</w:t>
            </w:r>
          </w:p>
        </w:tc>
        <w:tc>
          <w:tcPr>
            <w:tcW w:w="0" w:type="auto"/>
            <w:tcBorders>
              <w:top w:val="nil"/>
              <w:left w:val="nil"/>
              <w:bottom w:val="nil"/>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2,6</w:t>
            </w:r>
          </w:p>
        </w:tc>
      </w:tr>
      <w:tr w:rsidR="00E520C4" w:rsidRPr="006D6EAB" w:rsidTr="00175D09">
        <w:trPr>
          <w:jc w:val="center"/>
        </w:trPr>
        <w:tc>
          <w:tcPr>
            <w:tcW w:w="0" w:type="auto"/>
            <w:tcBorders>
              <w:top w:val="nil"/>
              <w:left w:val="nil"/>
              <w:bottom w:val="nil"/>
              <w:right w:val="single" w:sz="8" w:space="0" w:color="BFBFBF"/>
            </w:tcBorders>
            <w:shd w:val="clear" w:color="auto" w:fill="auto"/>
            <w:vAlign w:val="bottom"/>
            <w:hideMark/>
          </w:tcPr>
          <w:p w:rsidR="006D6EAB" w:rsidRPr="006D6EAB" w:rsidRDefault="006D6EAB" w:rsidP="005627A1">
            <w:pPr>
              <w:spacing w:line="240" w:lineRule="exact"/>
              <w:rPr>
                <w:rFonts w:eastAsia="Times New Roman" w:cs="Arial"/>
                <w:color w:val="000000"/>
                <w:sz w:val="16"/>
                <w:szCs w:val="16"/>
                <w:lang w:eastAsia="es-ES"/>
              </w:rPr>
            </w:pPr>
            <w:r w:rsidRPr="006D6EAB">
              <w:rPr>
                <w:rFonts w:eastAsia="Times New Roman" w:cs="Arial"/>
                <w:color w:val="000000"/>
                <w:sz w:val="16"/>
                <w:szCs w:val="16"/>
                <w:lang w:eastAsia="es-ES"/>
              </w:rPr>
              <w:t>Construcción</w:t>
            </w:r>
          </w:p>
        </w:tc>
        <w:tc>
          <w:tcPr>
            <w:tcW w:w="0" w:type="auto"/>
            <w:tcBorders>
              <w:top w:val="nil"/>
              <w:left w:val="nil"/>
              <w:bottom w:val="nil"/>
              <w:right w:val="nil"/>
            </w:tcBorders>
            <w:shd w:val="clear" w:color="auto" w:fill="auto"/>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43.177.268</w:t>
            </w:r>
          </w:p>
        </w:tc>
        <w:tc>
          <w:tcPr>
            <w:tcW w:w="0" w:type="auto"/>
            <w:tcBorders>
              <w:top w:val="nil"/>
              <w:left w:val="nil"/>
              <w:bottom w:val="nil"/>
              <w:right w:val="single" w:sz="8" w:space="0" w:color="BFBFBF"/>
            </w:tcBorders>
            <w:shd w:val="clear" w:color="auto" w:fill="auto"/>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100</w:t>
            </w:r>
            <w:r w:rsidR="007F441F">
              <w:rPr>
                <w:rFonts w:cs="Arial"/>
                <w:color w:val="000000"/>
                <w:sz w:val="16"/>
                <w:szCs w:val="16"/>
              </w:rPr>
              <w:t>,0</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30.517.895</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70,7</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6.438.623</w:t>
            </w:r>
          </w:p>
        </w:tc>
        <w:tc>
          <w:tcPr>
            <w:tcW w:w="0" w:type="auto"/>
            <w:tcBorders>
              <w:top w:val="nil"/>
              <w:left w:val="nil"/>
              <w:bottom w:val="nil"/>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14,9</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6.220.750</w:t>
            </w:r>
          </w:p>
        </w:tc>
        <w:tc>
          <w:tcPr>
            <w:tcW w:w="0" w:type="auto"/>
            <w:tcBorders>
              <w:top w:val="nil"/>
              <w:left w:val="nil"/>
              <w:bottom w:val="nil"/>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14,4</w:t>
            </w:r>
          </w:p>
        </w:tc>
      </w:tr>
      <w:tr w:rsidR="00E520C4" w:rsidRPr="006D6EAB" w:rsidTr="00D508DF">
        <w:trPr>
          <w:jc w:val="center"/>
        </w:trPr>
        <w:tc>
          <w:tcPr>
            <w:tcW w:w="0" w:type="auto"/>
            <w:tcBorders>
              <w:top w:val="nil"/>
              <w:left w:val="nil"/>
              <w:bottom w:val="nil"/>
              <w:right w:val="single" w:sz="8" w:space="0" w:color="BFBFBF"/>
            </w:tcBorders>
            <w:shd w:val="clear" w:color="auto" w:fill="auto"/>
            <w:hideMark/>
          </w:tcPr>
          <w:p w:rsidR="006D6EAB" w:rsidRPr="006D6EAB" w:rsidRDefault="006D6EAB" w:rsidP="005627A1">
            <w:pPr>
              <w:spacing w:line="240" w:lineRule="exact"/>
              <w:rPr>
                <w:rFonts w:eastAsia="Times New Roman" w:cs="Arial"/>
                <w:color w:val="000000"/>
                <w:sz w:val="16"/>
                <w:szCs w:val="16"/>
                <w:lang w:eastAsia="es-ES"/>
              </w:rPr>
            </w:pPr>
            <w:r w:rsidRPr="006D6EAB">
              <w:rPr>
                <w:rFonts w:eastAsia="Times New Roman" w:cs="Arial"/>
                <w:color w:val="000000"/>
                <w:sz w:val="16"/>
                <w:szCs w:val="16"/>
                <w:lang w:eastAsia="es-ES"/>
              </w:rPr>
              <w:t>Servicios</w:t>
            </w:r>
          </w:p>
        </w:tc>
        <w:tc>
          <w:tcPr>
            <w:tcW w:w="0" w:type="auto"/>
            <w:tcBorders>
              <w:top w:val="nil"/>
              <w:left w:val="nil"/>
              <w:bottom w:val="nil"/>
              <w:right w:val="nil"/>
            </w:tcBorders>
            <w:shd w:val="clear" w:color="auto" w:fill="auto"/>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3.465.415.915</w:t>
            </w:r>
          </w:p>
        </w:tc>
        <w:tc>
          <w:tcPr>
            <w:tcW w:w="0" w:type="auto"/>
            <w:tcBorders>
              <w:top w:val="nil"/>
              <w:left w:val="nil"/>
              <w:bottom w:val="single" w:sz="8" w:space="0" w:color="BFBFBF"/>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100</w:t>
            </w:r>
            <w:r w:rsidR="007F441F">
              <w:rPr>
                <w:rFonts w:cs="Arial"/>
                <w:color w:val="000000"/>
                <w:sz w:val="16"/>
                <w:szCs w:val="16"/>
              </w:rPr>
              <w:t>,0</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3.428.847.701</w:t>
            </w:r>
          </w:p>
        </w:tc>
        <w:tc>
          <w:tcPr>
            <w:tcW w:w="0" w:type="auto"/>
            <w:tcBorders>
              <w:top w:val="nil"/>
              <w:left w:val="nil"/>
              <w:bottom w:val="single" w:sz="8" w:space="0" w:color="BFBFBF"/>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98,9</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16.410.264</w:t>
            </w:r>
          </w:p>
        </w:tc>
        <w:tc>
          <w:tcPr>
            <w:tcW w:w="0" w:type="auto"/>
            <w:tcBorders>
              <w:top w:val="nil"/>
              <w:left w:val="nil"/>
              <w:bottom w:val="single" w:sz="8" w:space="0" w:color="BFBFBF"/>
              <w:right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0,5</w:t>
            </w:r>
          </w:p>
        </w:tc>
        <w:tc>
          <w:tcPr>
            <w:tcW w:w="0" w:type="auto"/>
            <w:tcBorders>
              <w:top w:val="nil"/>
              <w:left w:val="nil"/>
              <w:bottom w:val="nil"/>
              <w:right w:val="nil"/>
            </w:tcBorders>
            <w:shd w:val="clear" w:color="auto" w:fill="auto"/>
            <w:noWrap/>
            <w:vAlign w:val="bottom"/>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20.157.950</w:t>
            </w:r>
          </w:p>
        </w:tc>
        <w:tc>
          <w:tcPr>
            <w:tcW w:w="0" w:type="auto"/>
            <w:tcBorders>
              <w:top w:val="nil"/>
              <w:left w:val="nil"/>
              <w:bottom w:val="single" w:sz="8" w:space="0" w:color="BFBFBF"/>
            </w:tcBorders>
            <w:shd w:val="clear" w:color="auto" w:fill="auto"/>
            <w:hideMark/>
          </w:tcPr>
          <w:p w:rsidR="006D6EAB" w:rsidRPr="006D6EAB" w:rsidRDefault="006D6EAB" w:rsidP="005627A1">
            <w:pPr>
              <w:widowControl w:val="0"/>
              <w:spacing w:line="240" w:lineRule="exact"/>
              <w:ind w:right="170"/>
              <w:jc w:val="right"/>
              <w:rPr>
                <w:rFonts w:cs="Arial"/>
                <w:color w:val="000000"/>
                <w:sz w:val="16"/>
                <w:szCs w:val="16"/>
              </w:rPr>
            </w:pPr>
            <w:r w:rsidRPr="006D6EAB">
              <w:rPr>
                <w:rFonts w:cs="Arial"/>
                <w:color w:val="000000"/>
                <w:sz w:val="16"/>
                <w:szCs w:val="16"/>
              </w:rPr>
              <w:t>0,6</w:t>
            </w:r>
          </w:p>
        </w:tc>
      </w:tr>
      <w:tr w:rsidR="00E520C4" w:rsidRPr="006D6EAB" w:rsidTr="00D508DF">
        <w:trPr>
          <w:jc w:val="center"/>
        </w:trPr>
        <w:tc>
          <w:tcPr>
            <w:tcW w:w="0" w:type="auto"/>
            <w:tcBorders>
              <w:top w:val="single" w:sz="8" w:space="0" w:color="BFBFBF"/>
              <w:left w:val="nil"/>
              <w:bottom w:val="single" w:sz="8" w:space="0" w:color="BFBFBF"/>
              <w:right w:val="single" w:sz="8" w:space="0" w:color="BFBFBF"/>
            </w:tcBorders>
            <w:shd w:val="clear" w:color="auto" w:fill="auto"/>
            <w:vAlign w:val="bottom"/>
            <w:hideMark/>
          </w:tcPr>
          <w:p w:rsidR="006D6EAB" w:rsidRPr="006D6EAB" w:rsidRDefault="006D6EAB" w:rsidP="005627A1">
            <w:pPr>
              <w:spacing w:line="240" w:lineRule="exact"/>
              <w:rPr>
                <w:rFonts w:eastAsia="Times New Roman" w:cs="Arial"/>
                <w:b/>
                <w:bCs/>
                <w:color w:val="000000"/>
                <w:sz w:val="16"/>
                <w:szCs w:val="16"/>
                <w:lang w:eastAsia="es-ES"/>
              </w:rPr>
            </w:pPr>
            <w:r w:rsidRPr="006D6EAB">
              <w:rPr>
                <w:rFonts w:eastAsia="Times New Roman" w:cs="Arial"/>
                <w:b/>
                <w:bCs/>
                <w:color w:val="000000"/>
                <w:sz w:val="16"/>
                <w:szCs w:val="16"/>
                <w:lang w:eastAsia="es-ES"/>
              </w:rPr>
              <w:t>TOTAL</w:t>
            </w:r>
          </w:p>
        </w:tc>
        <w:tc>
          <w:tcPr>
            <w:tcW w:w="0" w:type="auto"/>
            <w:tcBorders>
              <w:top w:val="single" w:sz="8" w:space="0" w:color="BFBFBF"/>
              <w:left w:val="nil"/>
              <w:bottom w:val="single" w:sz="8" w:space="0" w:color="BFBFBF"/>
              <w:right w:val="nil"/>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5.628.930.454</w:t>
            </w:r>
          </w:p>
        </w:tc>
        <w:tc>
          <w:tcPr>
            <w:tcW w:w="0" w:type="auto"/>
            <w:tcBorders>
              <w:top w:val="single" w:sz="8" w:space="0" w:color="BFBFBF"/>
              <w:left w:val="nil"/>
              <w:bottom w:val="single" w:sz="8" w:space="0" w:color="BFBFBF"/>
              <w:right w:val="single" w:sz="4" w:space="0" w:color="BFBFBF" w:themeColor="background1" w:themeShade="BF"/>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100</w:t>
            </w:r>
            <w:r w:rsidR="007F441F">
              <w:rPr>
                <w:rFonts w:eastAsia="Times New Roman" w:cs="Arial"/>
                <w:b/>
                <w:bCs/>
                <w:color w:val="000000"/>
                <w:sz w:val="16"/>
                <w:szCs w:val="16"/>
                <w:lang w:eastAsia="es-ES"/>
              </w:rPr>
              <w:t>,0</w:t>
            </w:r>
          </w:p>
        </w:tc>
        <w:tc>
          <w:tcPr>
            <w:tcW w:w="0" w:type="auto"/>
            <w:tcBorders>
              <w:top w:val="single" w:sz="8" w:space="0" w:color="BFBFBF"/>
              <w:left w:val="single" w:sz="4" w:space="0" w:color="BFBFBF" w:themeColor="background1" w:themeShade="BF"/>
              <w:bottom w:val="single" w:sz="8" w:space="0" w:color="BFBFBF"/>
              <w:right w:val="nil"/>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5.416.184.896</w:t>
            </w:r>
          </w:p>
        </w:tc>
        <w:tc>
          <w:tcPr>
            <w:tcW w:w="0" w:type="auto"/>
            <w:tcBorders>
              <w:top w:val="single" w:sz="8" w:space="0" w:color="BFBFBF"/>
              <w:left w:val="nil"/>
              <w:bottom w:val="single" w:sz="8" w:space="0" w:color="BFBFBF"/>
              <w:right w:val="single" w:sz="4" w:space="0" w:color="BFBFBF" w:themeColor="background1" w:themeShade="BF"/>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96,2</w:t>
            </w:r>
          </w:p>
        </w:tc>
        <w:tc>
          <w:tcPr>
            <w:tcW w:w="0" w:type="auto"/>
            <w:tcBorders>
              <w:top w:val="single" w:sz="8" w:space="0" w:color="BFBFBF"/>
              <w:left w:val="single" w:sz="4" w:space="0" w:color="BFBFBF" w:themeColor="background1" w:themeShade="BF"/>
              <w:bottom w:val="single" w:sz="8" w:space="0" w:color="BFBFBF"/>
              <w:right w:val="nil"/>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129.443.377</w:t>
            </w:r>
          </w:p>
        </w:tc>
        <w:tc>
          <w:tcPr>
            <w:tcW w:w="0" w:type="auto"/>
            <w:tcBorders>
              <w:top w:val="single" w:sz="8" w:space="0" w:color="BFBFBF"/>
              <w:left w:val="nil"/>
              <w:bottom w:val="single" w:sz="8" w:space="0" w:color="BFBFBF"/>
              <w:right w:val="single" w:sz="4" w:space="0" w:color="BFBFBF" w:themeColor="background1" w:themeShade="BF"/>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2,3</w:t>
            </w:r>
          </w:p>
        </w:tc>
        <w:tc>
          <w:tcPr>
            <w:tcW w:w="0" w:type="auto"/>
            <w:tcBorders>
              <w:top w:val="single" w:sz="8" w:space="0" w:color="BFBFBF"/>
              <w:left w:val="single" w:sz="4" w:space="0" w:color="BFBFBF" w:themeColor="background1" w:themeShade="BF"/>
              <w:bottom w:val="single" w:sz="8" w:space="0" w:color="BFBFBF"/>
              <w:right w:val="nil"/>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83.302.181</w:t>
            </w:r>
          </w:p>
        </w:tc>
        <w:tc>
          <w:tcPr>
            <w:tcW w:w="0" w:type="auto"/>
            <w:tcBorders>
              <w:top w:val="single" w:sz="8" w:space="0" w:color="BFBFBF"/>
              <w:left w:val="nil"/>
              <w:bottom w:val="single" w:sz="8" w:space="0" w:color="BFBFBF"/>
              <w:right w:val="nil"/>
            </w:tcBorders>
            <w:shd w:val="clear" w:color="auto" w:fill="auto"/>
            <w:vAlign w:val="bottom"/>
            <w:hideMark/>
          </w:tcPr>
          <w:p w:rsidR="006D6EAB" w:rsidRPr="006D6EAB" w:rsidRDefault="006D6EAB" w:rsidP="005627A1">
            <w:pPr>
              <w:spacing w:line="240" w:lineRule="exact"/>
              <w:ind w:right="170"/>
              <w:jc w:val="right"/>
              <w:rPr>
                <w:rFonts w:eastAsia="Times New Roman" w:cs="Arial"/>
                <w:b/>
                <w:bCs/>
                <w:color w:val="000000"/>
                <w:sz w:val="16"/>
                <w:szCs w:val="16"/>
                <w:lang w:eastAsia="es-ES"/>
              </w:rPr>
            </w:pPr>
            <w:r w:rsidRPr="006D6EAB">
              <w:rPr>
                <w:rFonts w:eastAsia="Times New Roman" w:cs="Arial"/>
                <w:b/>
                <w:bCs/>
                <w:color w:val="000000"/>
                <w:sz w:val="16"/>
                <w:szCs w:val="16"/>
                <w:lang w:eastAsia="es-ES"/>
              </w:rPr>
              <w:t>1,5</w:t>
            </w:r>
          </w:p>
        </w:tc>
      </w:tr>
    </w:tbl>
    <w:p w:rsidR="00D06470" w:rsidRDefault="00D06470" w:rsidP="00BB313D">
      <w:pPr>
        <w:pStyle w:val="Textoindependiente3"/>
        <w:widowControl w:val="0"/>
        <w:rPr>
          <w:rFonts w:ascii="Arial" w:hAnsi="Arial" w:cs="Arial"/>
          <w:b/>
          <w:color w:val="1F497D" w:themeColor="text2"/>
          <w:sz w:val="18"/>
          <w:szCs w:val="18"/>
        </w:rPr>
      </w:pPr>
    </w:p>
    <w:p w:rsidR="00D06470" w:rsidRDefault="00D06470" w:rsidP="00BB313D">
      <w:pPr>
        <w:widowControl w:val="0"/>
        <w:spacing w:after="200" w:line="276" w:lineRule="auto"/>
        <w:jc w:val="left"/>
        <w:rPr>
          <w:rFonts w:eastAsia="Times New Roman" w:cs="Arial"/>
          <w:b/>
          <w:color w:val="1F497D" w:themeColor="text2"/>
          <w:sz w:val="18"/>
          <w:szCs w:val="18"/>
          <w:lang w:eastAsia="es-ES"/>
        </w:rPr>
      </w:pPr>
      <w:r>
        <w:rPr>
          <w:rFonts w:cs="Arial"/>
          <w:b/>
          <w:color w:val="1F497D" w:themeColor="text2"/>
          <w:sz w:val="18"/>
          <w:szCs w:val="18"/>
        </w:rPr>
        <w:br w:type="page"/>
      </w:r>
    </w:p>
    <w:p w:rsidR="00665097" w:rsidRDefault="00DE1512" w:rsidP="00BB313D">
      <w:pPr>
        <w:pStyle w:val="Textoindependiente3"/>
        <w:widowControl w:val="0"/>
        <w:rPr>
          <w:rFonts w:ascii="Arial" w:hAnsi="Arial" w:cs="Arial"/>
          <w:b/>
          <w:color w:val="1F497D" w:themeColor="text2"/>
          <w:sz w:val="18"/>
          <w:szCs w:val="18"/>
        </w:rPr>
      </w:pPr>
      <w:bookmarkStart w:id="217" w:name="_Toc450119512"/>
      <w:r w:rsidRPr="00DE1512">
        <w:rPr>
          <w:rFonts w:ascii="Arial" w:hAnsi="Arial" w:cs="Arial"/>
          <w:b/>
          <w:color w:val="1F497D" w:themeColor="text2"/>
          <w:sz w:val="18"/>
          <w:szCs w:val="18"/>
        </w:rPr>
        <w:lastRenderedPageBreak/>
        <w:t>Cuadro 1.</w:t>
      </w:r>
      <w:r w:rsidR="00771A61" w:rsidRPr="00DE1512">
        <w:rPr>
          <w:rFonts w:ascii="Arial" w:hAnsi="Arial" w:cs="Arial"/>
          <w:b/>
          <w:color w:val="1F497D" w:themeColor="text2"/>
          <w:sz w:val="18"/>
          <w:szCs w:val="18"/>
        </w:rPr>
        <w:fldChar w:fldCharType="begin"/>
      </w:r>
      <w:r w:rsidRPr="00DE1512">
        <w:rPr>
          <w:rFonts w:ascii="Arial" w:hAnsi="Arial" w:cs="Arial"/>
          <w:b/>
          <w:color w:val="1F497D" w:themeColor="text2"/>
          <w:sz w:val="18"/>
          <w:szCs w:val="18"/>
        </w:rPr>
        <w:instrText xml:space="preserve"> SEQ Cuadro_1. \* ARABIC </w:instrText>
      </w:r>
      <w:r w:rsidR="00771A61" w:rsidRPr="00DE1512">
        <w:rPr>
          <w:rFonts w:ascii="Arial" w:hAnsi="Arial" w:cs="Arial"/>
          <w:b/>
          <w:color w:val="1F497D" w:themeColor="text2"/>
          <w:sz w:val="18"/>
          <w:szCs w:val="18"/>
        </w:rPr>
        <w:fldChar w:fldCharType="separate"/>
      </w:r>
      <w:r w:rsidR="00FC71A9">
        <w:rPr>
          <w:rFonts w:ascii="Arial" w:hAnsi="Arial" w:cs="Arial"/>
          <w:b/>
          <w:noProof/>
          <w:color w:val="1F497D" w:themeColor="text2"/>
          <w:sz w:val="18"/>
          <w:szCs w:val="18"/>
        </w:rPr>
        <w:t>57</w:t>
      </w:r>
      <w:r w:rsidR="00771A61" w:rsidRPr="00DE1512">
        <w:rPr>
          <w:rFonts w:ascii="Arial" w:hAnsi="Arial" w:cs="Arial"/>
          <w:b/>
          <w:color w:val="1F497D" w:themeColor="text2"/>
          <w:sz w:val="18"/>
          <w:szCs w:val="18"/>
        </w:rPr>
        <w:fldChar w:fldCharType="end"/>
      </w:r>
      <w:r w:rsidRPr="00DE1512">
        <w:rPr>
          <w:rFonts w:ascii="Arial" w:hAnsi="Arial" w:cs="Arial"/>
          <w:b/>
          <w:color w:val="1F497D" w:themeColor="text2"/>
          <w:sz w:val="18"/>
          <w:szCs w:val="18"/>
        </w:rPr>
        <w:t xml:space="preserve"> </w:t>
      </w:r>
      <w:r w:rsidR="00C86565" w:rsidRPr="00C86565">
        <w:rPr>
          <w:rFonts w:ascii="Arial" w:hAnsi="Arial" w:cs="Arial"/>
          <w:b/>
          <w:color w:val="1F497D" w:themeColor="text2"/>
          <w:sz w:val="18"/>
          <w:szCs w:val="18"/>
        </w:rPr>
        <w:t xml:space="preserve"> </w:t>
      </w:r>
      <w:r w:rsidR="00665097" w:rsidRPr="00DA4A86">
        <w:rPr>
          <w:rFonts w:ascii="Arial" w:hAnsi="Arial" w:cs="Arial"/>
          <w:b/>
          <w:color w:val="1F497D" w:themeColor="text2"/>
          <w:sz w:val="18"/>
          <w:szCs w:val="18"/>
        </w:rPr>
        <w:t>DISTRIBUCIÓN SECTORIAL DE LOS FONDOS PROPIOS</w:t>
      </w:r>
      <w:r w:rsidR="00E520C4">
        <w:rPr>
          <w:rFonts w:ascii="Arial" w:hAnsi="Arial" w:cs="Arial"/>
          <w:b/>
          <w:color w:val="1F497D" w:themeColor="text2"/>
          <w:sz w:val="18"/>
          <w:szCs w:val="18"/>
        </w:rPr>
        <w:t>, POR TERRITORIO HISTÓRICO. 2014</w:t>
      </w:r>
      <w:r w:rsidR="00C86565">
        <w:rPr>
          <w:rFonts w:ascii="Arial" w:hAnsi="Arial" w:cs="Arial"/>
          <w:b/>
          <w:color w:val="1F497D" w:themeColor="text2"/>
          <w:sz w:val="18"/>
          <w:szCs w:val="18"/>
        </w:rPr>
        <w:t xml:space="preserve"> </w:t>
      </w:r>
      <w:r w:rsidR="00665097" w:rsidRPr="00DA4A86">
        <w:rPr>
          <w:rFonts w:ascii="Arial" w:hAnsi="Arial" w:cs="Arial"/>
          <w:b/>
          <w:color w:val="1F497D" w:themeColor="text2"/>
          <w:sz w:val="18"/>
          <w:szCs w:val="18"/>
        </w:rPr>
        <w:t>(</w:t>
      </w:r>
      <w:r w:rsidR="00590809">
        <w:rPr>
          <w:rFonts w:ascii="Arial" w:hAnsi="Arial" w:cs="Arial"/>
          <w:b/>
          <w:color w:val="1F497D" w:themeColor="text2"/>
          <w:sz w:val="18"/>
          <w:szCs w:val="18"/>
        </w:rPr>
        <w:t>cifras absolutas en Euros</w:t>
      </w:r>
      <w:r w:rsidR="00665097" w:rsidRPr="00DA4A86">
        <w:rPr>
          <w:rFonts w:ascii="Arial" w:hAnsi="Arial" w:cs="Arial"/>
          <w:b/>
          <w:color w:val="1F497D" w:themeColor="text2"/>
          <w:sz w:val="18"/>
          <w:szCs w:val="18"/>
        </w:rPr>
        <w:t xml:space="preserve"> y </w:t>
      </w:r>
      <w:r w:rsidR="00153402">
        <w:rPr>
          <w:rFonts w:ascii="Arial" w:hAnsi="Arial" w:cs="Arial"/>
          <w:b/>
          <w:color w:val="1F497D" w:themeColor="text2"/>
          <w:sz w:val="18"/>
          <w:szCs w:val="18"/>
        </w:rPr>
        <w:t>% ver</w:t>
      </w:r>
      <w:r w:rsidR="00D06470">
        <w:rPr>
          <w:rFonts w:ascii="Arial" w:hAnsi="Arial" w:cs="Arial"/>
          <w:b/>
          <w:color w:val="1F497D" w:themeColor="text2"/>
          <w:sz w:val="18"/>
          <w:szCs w:val="18"/>
        </w:rPr>
        <w:t>ticales</w:t>
      </w:r>
      <w:r w:rsidR="00665097" w:rsidRPr="00DA4A86">
        <w:rPr>
          <w:rFonts w:ascii="Arial" w:hAnsi="Arial" w:cs="Arial"/>
          <w:b/>
          <w:color w:val="1F497D" w:themeColor="text2"/>
          <w:sz w:val="18"/>
          <w:szCs w:val="18"/>
        </w:rPr>
        <w:t>)</w:t>
      </w:r>
      <w:bookmarkEnd w:id="216"/>
      <w:bookmarkEnd w:id="217"/>
    </w:p>
    <w:tbl>
      <w:tblPr>
        <w:tblW w:w="9940" w:type="dxa"/>
        <w:jc w:val="center"/>
        <w:tblCellMar>
          <w:left w:w="70" w:type="dxa"/>
          <w:right w:w="70" w:type="dxa"/>
        </w:tblCellMar>
        <w:tblLook w:val="04A0" w:firstRow="1" w:lastRow="0" w:firstColumn="1" w:lastColumn="0" w:noHBand="0" w:noVBand="1"/>
      </w:tblPr>
      <w:tblGrid>
        <w:gridCol w:w="1307"/>
        <w:gridCol w:w="1448"/>
        <w:gridCol w:w="744"/>
        <w:gridCol w:w="1284"/>
        <w:gridCol w:w="744"/>
        <w:gridCol w:w="1478"/>
        <w:gridCol w:w="744"/>
        <w:gridCol w:w="1447"/>
        <w:gridCol w:w="744"/>
      </w:tblGrid>
      <w:tr w:rsidR="00B34CBC" w:rsidRPr="00B34CBC" w:rsidTr="00175D09">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B34CBC" w:rsidRPr="00B34CBC" w:rsidRDefault="00B34CBC" w:rsidP="005627A1">
            <w:pPr>
              <w:spacing w:line="240" w:lineRule="exact"/>
              <w:rPr>
                <w:rFonts w:ascii="Calibri" w:eastAsia="Times New Roman" w:hAnsi="Calibri" w:cs="Times New Roman"/>
                <w:color w:val="000000"/>
                <w:szCs w:val="20"/>
                <w:lang w:eastAsia="es-ES"/>
              </w:rPr>
            </w:pPr>
            <w:r w:rsidRPr="00B34CBC">
              <w:rPr>
                <w:rFonts w:ascii="Calibri" w:eastAsia="Times New Roman" w:hAnsi="Calibri" w:cs="Times New Roman"/>
                <w:color w:val="000000"/>
                <w:szCs w:val="20"/>
                <w:lang w:eastAsia="es-ES"/>
              </w:rPr>
              <w:t> </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r w:rsidRPr="00B34CBC">
              <w:rPr>
                <w:rFonts w:eastAsia="Times New Roman" w:cs="Arial"/>
                <w:b/>
                <w:bCs/>
                <w:color w:val="000000"/>
                <w:sz w:val="16"/>
                <w:szCs w:val="16"/>
                <w:lang w:val="en-GB" w:eastAsia="es-ES"/>
              </w:rPr>
              <w:t>CAE</w:t>
            </w:r>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proofErr w:type="spellStart"/>
            <w:r w:rsidRPr="00B34CBC">
              <w:rPr>
                <w:rFonts w:eastAsia="Times New Roman" w:cs="Arial"/>
                <w:b/>
                <w:bCs/>
                <w:color w:val="000000"/>
                <w:sz w:val="16"/>
                <w:szCs w:val="16"/>
                <w:lang w:val="en-GB" w:eastAsia="es-ES"/>
              </w:rPr>
              <w:t>Álava</w:t>
            </w:r>
            <w:proofErr w:type="spellEnd"/>
          </w:p>
        </w:tc>
        <w:tc>
          <w:tcPr>
            <w:tcW w:w="0" w:type="auto"/>
            <w:gridSpan w:val="2"/>
            <w:tcBorders>
              <w:top w:val="single" w:sz="8" w:space="0" w:color="BFBFBF"/>
              <w:left w:val="nil"/>
              <w:bottom w:val="single" w:sz="8" w:space="0" w:color="BFBFBF"/>
              <w:right w:val="single" w:sz="8" w:space="0" w:color="BFBFBF"/>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proofErr w:type="spellStart"/>
            <w:r w:rsidRPr="00B34CBC">
              <w:rPr>
                <w:rFonts w:eastAsia="Times New Roman" w:cs="Arial"/>
                <w:b/>
                <w:bCs/>
                <w:color w:val="000000"/>
                <w:sz w:val="16"/>
                <w:szCs w:val="16"/>
                <w:lang w:val="en-GB" w:eastAsia="es-ES"/>
              </w:rPr>
              <w:t>Bizkaia</w:t>
            </w:r>
            <w:proofErr w:type="spellEnd"/>
          </w:p>
        </w:tc>
        <w:tc>
          <w:tcPr>
            <w:tcW w:w="0" w:type="auto"/>
            <w:gridSpan w:val="2"/>
            <w:tcBorders>
              <w:top w:val="single" w:sz="8" w:space="0" w:color="BFBFBF"/>
              <w:left w:val="nil"/>
              <w:bottom w:val="single" w:sz="8" w:space="0" w:color="BFBFBF"/>
              <w:right w:val="nil"/>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proofErr w:type="spellStart"/>
            <w:r w:rsidRPr="00B34CBC">
              <w:rPr>
                <w:rFonts w:eastAsia="Times New Roman" w:cs="Arial"/>
                <w:b/>
                <w:bCs/>
                <w:color w:val="000000"/>
                <w:sz w:val="16"/>
                <w:szCs w:val="16"/>
                <w:lang w:val="en-GB" w:eastAsia="es-ES"/>
              </w:rPr>
              <w:t>Gipuzkoa</w:t>
            </w:r>
            <w:proofErr w:type="spellEnd"/>
          </w:p>
        </w:tc>
      </w:tr>
      <w:tr w:rsidR="00B34CBC" w:rsidRPr="00B34CBC" w:rsidTr="00175D09">
        <w:trPr>
          <w:jc w:val="center"/>
        </w:trPr>
        <w:tc>
          <w:tcPr>
            <w:tcW w:w="0" w:type="auto"/>
            <w:vMerge/>
            <w:tcBorders>
              <w:top w:val="single" w:sz="8" w:space="0" w:color="BFBFBF"/>
              <w:left w:val="nil"/>
              <w:bottom w:val="single" w:sz="8" w:space="0" w:color="BFBFBF"/>
              <w:right w:val="single" w:sz="8" w:space="0" w:color="BFBFBF"/>
            </w:tcBorders>
            <w:vAlign w:val="center"/>
            <w:hideMark/>
          </w:tcPr>
          <w:p w:rsidR="00B34CBC" w:rsidRPr="00B34CBC" w:rsidRDefault="00B34CBC" w:rsidP="005627A1">
            <w:pPr>
              <w:spacing w:line="240" w:lineRule="exact"/>
              <w:jc w:val="left"/>
              <w:rPr>
                <w:rFonts w:ascii="Calibri" w:eastAsia="Times New Roman" w:hAnsi="Calibri" w:cs="Times New Roman"/>
                <w:color w:val="000000"/>
                <w:szCs w:val="20"/>
                <w:lang w:eastAsia="es-ES"/>
              </w:rPr>
            </w:pPr>
          </w:p>
        </w:tc>
        <w:tc>
          <w:tcPr>
            <w:tcW w:w="0" w:type="auto"/>
            <w:tcBorders>
              <w:top w:val="nil"/>
              <w:left w:val="nil"/>
              <w:bottom w:val="single" w:sz="8" w:space="0" w:color="BFBFBF"/>
              <w:right w:val="nil"/>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proofErr w:type="spellStart"/>
            <w:r w:rsidRPr="00B34CBC">
              <w:rPr>
                <w:rFonts w:eastAsia="Times New Roman" w:cs="Arial"/>
                <w:b/>
                <w:bCs/>
                <w:color w:val="000000"/>
                <w:sz w:val="16"/>
                <w:szCs w:val="16"/>
                <w:lang w:eastAsia="es-ES"/>
              </w:rPr>
              <w:t>Abs</w:t>
            </w:r>
            <w:proofErr w:type="spellEnd"/>
            <w:r w:rsidRPr="00B34CBC">
              <w:rPr>
                <w:rFonts w:eastAsia="Times New Roman" w:cs="Arial"/>
                <w:b/>
                <w:bCs/>
                <w:color w:val="000000"/>
                <w:sz w:val="16"/>
                <w:szCs w:val="16"/>
                <w:lang w:eastAsia="es-ES"/>
              </w:rPr>
              <w:t>.</w:t>
            </w:r>
          </w:p>
        </w:tc>
        <w:tc>
          <w:tcPr>
            <w:tcW w:w="0" w:type="auto"/>
            <w:tcBorders>
              <w:top w:val="nil"/>
              <w:left w:val="nil"/>
              <w:bottom w:val="single" w:sz="8" w:space="0" w:color="BFBFBF"/>
              <w:right w:val="single" w:sz="8" w:space="0" w:color="BFBFBF"/>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r w:rsidRPr="00B34CBC">
              <w:rPr>
                <w:rFonts w:eastAsia="Times New Roman" w:cs="Arial"/>
                <w:b/>
                <w:bCs/>
                <w:color w:val="000000"/>
                <w:sz w:val="16"/>
                <w:szCs w:val="16"/>
                <w:lang w:eastAsia="es-ES"/>
              </w:rPr>
              <w:t>% ver.</w:t>
            </w:r>
          </w:p>
        </w:tc>
        <w:tc>
          <w:tcPr>
            <w:tcW w:w="0" w:type="auto"/>
            <w:tcBorders>
              <w:top w:val="nil"/>
              <w:left w:val="nil"/>
              <w:bottom w:val="single" w:sz="8" w:space="0" w:color="BFBFBF"/>
              <w:right w:val="nil"/>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proofErr w:type="spellStart"/>
            <w:r w:rsidRPr="00B34CBC">
              <w:rPr>
                <w:rFonts w:eastAsia="Times New Roman" w:cs="Arial"/>
                <w:b/>
                <w:bCs/>
                <w:color w:val="000000"/>
                <w:sz w:val="16"/>
                <w:szCs w:val="16"/>
                <w:lang w:eastAsia="es-ES"/>
              </w:rPr>
              <w:t>Abs</w:t>
            </w:r>
            <w:proofErr w:type="spellEnd"/>
            <w:r w:rsidRPr="00B34CBC">
              <w:rPr>
                <w:rFonts w:eastAsia="Times New Roman" w:cs="Arial"/>
                <w:b/>
                <w:bCs/>
                <w:color w:val="000000"/>
                <w:sz w:val="16"/>
                <w:szCs w:val="16"/>
                <w:lang w:eastAsia="es-ES"/>
              </w:rPr>
              <w:t>.</w:t>
            </w:r>
          </w:p>
        </w:tc>
        <w:tc>
          <w:tcPr>
            <w:tcW w:w="0" w:type="auto"/>
            <w:tcBorders>
              <w:top w:val="nil"/>
              <w:left w:val="nil"/>
              <w:bottom w:val="single" w:sz="8" w:space="0" w:color="BFBFBF"/>
              <w:right w:val="single" w:sz="8" w:space="0" w:color="BFBFBF"/>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r w:rsidRPr="00B34CBC">
              <w:rPr>
                <w:rFonts w:eastAsia="Times New Roman" w:cs="Arial"/>
                <w:b/>
                <w:bCs/>
                <w:color w:val="000000"/>
                <w:sz w:val="16"/>
                <w:szCs w:val="16"/>
                <w:lang w:eastAsia="es-ES"/>
              </w:rPr>
              <w:t>% ver.</w:t>
            </w:r>
          </w:p>
        </w:tc>
        <w:tc>
          <w:tcPr>
            <w:tcW w:w="0" w:type="auto"/>
            <w:tcBorders>
              <w:top w:val="nil"/>
              <w:left w:val="nil"/>
              <w:bottom w:val="single" w:sz="8" w:space="0" w:color="BFBFBF"/>
              <w:right w:val="nil"/>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proofErr w:type="spellStart"/>
            <w:r w:rsidRPr="00B34CBC">
              <w:rPr>
                <w:rFonts w:eastAsia="Times New Roman" w:cs="Arial"/>
                <w:b/>
                <w:bCs/>
                <w:color w:val="000000"/>
                <w:sz w:val="16"/>
                <w:szCs w:val="16"/>
                <w:lang w:eastAsia="es-ES"/>
              </w:rPr>
              <w:t>Abs</w:t>
            </w:r>
            <w:proofErr w:type="spellEnd"/>
            <w:r w:rsidRPr="00B34CBC">
              <w:rPr>
                <w:rFonts w:eastAsia="Times New Roman" w:cs="Arial"/>
                <w:b/>
                <w:bCs/>
                <w:color w:val="000000"/>
                <w:sz w:val="16"/>
                <w:szCs w:val="16"/>
                <w:lang w:eastAsia="es-ES"/>
              </w:rPr>
              <w:t>.</w:t>
            </w:r>
          </w:p>
        </w:tc>
        <w:tc>
          <w:tcPr>
            <w:tcW w:w="0" w:type="auto"/>
            <w:tcBorders>
              <w:top w:val="nil"/>
              <w:left w:val="nil"/>
              <w:bottom w:val="single" w:sz="8" w:space="0" w:color="BFBFBF"/>
              <w:right w:val="single" w:sz="8" w:space="0" w:color="BFBFBF"/>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r w:rsidRPr="00B34CBC">
              <w:rPr>
                <w:rFonts w:eastAsia="Times New Roman" w:cs="Arial"/>
                <w:b/>
                <w:bCs/>
                <w:color w:val="000000"/>
                <w:sz w:val="16"/>
                <w:szCs w:val="16"/>
                <w:lang w:eastAsia="es-ES"/>
              </w:rPr>
              <w:t>% ver.</w:t>
            </w:r>
          </w:p>
        </w:tc>
        <w:tc>
          <w:tcPr>
            <w:tcW w:w="0" w:type="auto"/>
            <w:tcBorders>
              <w:top w:val="nil"/>
              <w:left w:val="nil"/>
              <w:bottom w:val="single" w:sz="8" w:space="0" w:color="BFBFBF"/>
              <w:right w:val="nil"/>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proofErr w:type="spellStart"/>
            <w:r w:rsidRPr="00B34CBC">
              <w:rPr>
                <w:rFonts w:eastAsia="Times New Roman" w:cs="Arial"/>
                <w:b/>
                <w:bCs/>
                <w:color w:val="000000"/>
                <w:sz w:val="16"/>
                <w:szCs w:val="16"/>
                <w:lang w:eastAsia="es-ES"/>
              </w:rPr>
              <w:t>Abs</w:t>
            </w:r>
            <w:proofErr w:type="spellEnd"/>
            <w:r w:rsidRPr="00B34CBC">
              <w:rPr>
                <w:rFonts w:eastAsia="Times New Roman" w:cs="Arial"/>
                <w:b/>
                <w:bCs/>
                <w:color w:val="000000"/>
                <w:sz w:val="16"/>
                <w:szCs w:val="16"/>
                <w:lang w:eastAsia="es-ES"/>
              </w:rPr>
              <w:t>.</w:t>
            </w:r>
          </w:p>
        </w:tc>
        <w:tc>
          <w:tcPr>
            <w:tcW w:w="0" w:type="auto"/>
            <w:tcBorders>
              <w:top w:val="nil"/>
              <w:left w:val="nil"/>
              <w:bottom w:val="single" w:sz="8" w:space="0" w:color="BFBFBF"/>
              <w:right w:val="nil"/>
            </w:tcBorders>
            <w:shd w:val="clear" w:color="000000" w:fill="DBE5F1"/>
            <w:hideMark/>
          </w:tcPr>
          <w:p w:rsidR="00B34CBC" w:rsidRPr="00B34CBC" w:rsidRDefault="00B34CBC" w:rsidP="005627A1">
            <w:pPr>
              <w:spacing w:line="240" w:lineRule="exact"/>
              <w:jc w:val="center"/>
              <w:rPr>
                <w:rFonts w:eastAsia="Times New Roman" w:cs="Arial"/>
                <w:b/>
                <w:bCs/>
                <w:color w:val="000000"/>
                <w:sz w:val="16"/>
                <w:szCs w:val="16"/>
                <w:lang w:eastAsia="es-ES"/>
              </w:rPr>
            </w:pPr>
            <w:r w:rsidRPr="00B34CBC">
              <w:rPr>
                <w:rFonts w:eastAsia="Times New Roman" w:cs="Arial"/>
                <w:b/>
                <w:bCs/>
                <w:color w:val="000000"/>
                <w:sz w:val="16"/>
                <w:szCs w:val="16"/>
                <w:lang w:eastAsia="es-ES"/>
              </w:rPr>
              <w:t>% ver.</w:t>
            </w:r>
          </w:p>
        </w:tc>
      </w:tr>
      <w:tr w:rsidR="00B34CBC" w:rsidRPr="00B34CBC" w:rsidTr="00175D09">
        <w:trPr>
          <w:jc w:val="center"/>
        </w:trPr>
        <w:tc>
          <w:tcPr>
            <w:tcW w:w="0" w:type="auto"/>
            <w:tcBorders>
              <w:top w:val="nil"/>
              <w:left w:val="nil"/>
              <w:bottom w:val="nil"/>
              <w:right w:val="single" w:sz="8" w:space="0" w:color="BFBFBF"/>
            </w:tcBorders>
            <w:shd w:val="clear" w:color="auto" w:fill="auto"/>
            <w:hideMark/>
          </w:tcPr>
          <w:p w:rsidR="00B34CBC" w:rsidRPr="00B34CBC" w:rsidRDefault="00B34CBC" w:rsidP="005627A1">
            <w:pPr>
              <w:spacing w:line="240" w:lineRule="exact"/>
              <w:rPr>
                <w:rFonts w:eastAsia="Times New Roman" w:cs="Arial"/>
                <w:color w:val="000000"/>
                <w:sz w:val="16"/>
                <w:szCs w:val="16"/>
                <w:lang w:eastAsia="es-ES"/>
              </w:rPr>
            </w:pPr>
            <w:r w:rsidRPr="00B34CBC">
              <w:rPr>
                <w:rFonts w:eastAsia="Times New Roman" w:cs="Arial"/>
                <w:color w:val="000000"/>
                <w:sz w:val="16"/>
                <w:szCs w:val="16"/>
                <w:lang w:eastAsia="es-ES"/>
              </w:rPr>
              <w:t>Primario</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7.002.011</w:t>
            </w:r>
          </w:p>
        </w:tc>
        <w:tc>
          <w:tcPr>
            <w:tcW w:w="0" w:type="auto"/>
            <w:tcBorders>
              <w:top w:val="nil"/>
              <w:left w:val="nil"/>
              <w:bottom w:val="nil"/>
              <w:right w:val="single" w:sz="8" w:space="0" w:color="BFBFBF"/>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0,1</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3.684.126</w:t>
            </w:r>
          </w:p>
        </w:tc>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0,5</w:t>
            </w:r>
          </w:p>
        </w:tc>
        <w:tc>
          <w:tcPr>
            <w:tcW w:w="0" w:type="auto"/>
            <w:tcBorders>
              <w:top w:val="nil"/>
              <w:left w:val="nil"/>
              <w:bottom w:val="nil"/>
              <w:right w:val="nil"/>
            </w:tcBorders>
            <w:shd w:val="clear" w:color="auto" w:fill="auto"/>
            <w:noWrap/>
            <w:vAlign w:val="bottom"/>
            <w:hideMark/>
          </w:tcPr>
          <w:p w:rsidR="00B34CBC" w:rsidRPr="00B34CBC" w:rsidRDefault="00B34CBC" w:rsidP="005627A1">
            <w:pPr>
              <w:spacing w:line="240" w:lineRule="exact"/>
              <w:ind w:right="26"/>
              <w:jc w:val="right"/>
              <w:rPr>
                <w:rFonts w:ascii="Calibri" w:eastAsia="Times New Roman" w:hAnsi="Calibri" w:cs="Times New Roman"/>
                <w:color w:val="000000"/>
                <w:sz w:val="18"/>
                <w:szCs w:val="18"/>
                <w:lang w:eastAsia="es-ES"/>
              </w:rPr>
            </w:pPr>
            <w:r w:rsidRPr="00B34CBC">
              <w:rPr>
                <w:rFonts w:ascii="Calibri" w:eastAsia="Times New Roman" w:hAnsi="Calibri" w:cs="Times New Roman"/>
                <w:color w:val="000000"/>
                <w:sz w:val="18"/>
                <w:szCs w:val="18"/>
                <w:lang w:eastAsia="es-ES"/>
              </w:rPr>
              <w:t>2.805.346</w:t>
            </w:r>
          </w:p>
        </w:tc>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0,2</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512.539</w:t>
            </w:r>
          </w:p>
        </w:tc>
        <w:tc>
          <w:tcPr>
            <w:tcW w:w="0" w:type="auto"/>
            <w:tcBorders>
              <w:top w:val="single" w:sz="8" w:space="0" w:color="BFBFBF"/>
              <w:left w:val="nil"/>
              <w:bottom w:val="nil"/>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0,0</w:t>
            </w:r>
          </w:p>
        </w:tc>
      </w:tr>
      <w:tr w:rsidR="00B34CBC" w:rsidRPr="00B34CBC" w:rsidTr="00175D09">
        <w:trPr>
          <w:jc w:val="center"/>
        </w:trPr>
        <w:tc>
          <w:tcPr>
            <w:tcW w:w="0" w:type="auto"/>
            <w:tcBorders>
              <w:top w:val="nil"/>
              <w:left w:val="nil"/>
              <w:bottom w:val="nil"/>
              <w:right w:val="single" w:sz="8" w:space="0" w:color="BFBFBF"/>
            </w:tcBorders>
            <w:shd w:val="clear" w:color="auto" w:fill="auto"/>
            <w:hideMark/>
          </w:tcPr>
          <w:p w:rsidR="00B34CBC" w:rsidRPr="00B34CBC" w:rsidRDefault="00B34CBC" w:rsidP="005627A1">
            <w:pPr>
              <w:spacing w:line="240" w:lineRule="exact"/>
              <w:rPr>
                <w:rFonts w:eastAsia="Times New Roman" w:cs="Arial"/>
                <w:color w:val="000000"/>
                <w:sz w:val="16"/>
                <w:szCs w:val="16"/>
                <w:lang w:eastAsia="es-ES"/>
              </w:rPr>
            </w:pPr>
            <w:r w:rsidRPr="00B34CBC">
              <w:rPr>
                <w:rFonts w:eastAsia="Times New Roman" w:cs="Arial"/>
                <w:color w:val="000000"/>
                <w:sz w:val="16"/>
                <w:szCs w:val="16"/>
                <w:lang w:eastAsia="es-ES"/>
              </w:rPr>
              <w:t>Industria</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2.113.335.260</w:t>
            </w:r>
          </w:p>
        </w:tc>
        <w:tc>
          <w:tcPr>
            <w:tcW w:w="0" w:type="auto"/>
            <w:tcBorders>
              <w:top w:val="nil"/>
              <w:left w:val="nil"/>
              <w:bottom w:val="nil"/>
              <w:right w:val="single" w:sz="8" w:space="0" w:color="BFBFBF"/>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37,5</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169.399.864</w:t>
            </w:r>
          </w:p>
        </w:tc>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25,1</w:t>
            </w:r>
          </w:p>
        </w:tc>
        <w:tc>
          <w:tcPr>
            <w:tcW w:w="0" w:type="auto"/>
            <w:tcBorders>
              <w:top w:val="nil"/>
              <w:left w:val="nil"/>
              <w:bottom w:val="nil"/>
              <w:right w:val="nil"/>
            </w:tcBorders>
            <w:shd w:val="clear" w:color="auto" w:fill="auto"/>
            <w:noWrap/>
            <w:vAlign w:val="bottom"/>
            <w:hideMark/>
          </w:tcPr>
          <w:p w:rsidR="00B34CBC" w:rsidRPr="00B34CBC" w:rsidRDefault="00B34CBC" w:rsidP="005627A1">
            <w:pPr>
              <w:spacing w:line="240" w:lineRule="exact"/>
              <w:ind w:right="26"/>
              <w:jc w:val="right"/>
              <w:rPr>
                <w:rFonts w:ascii="Calibri" w:eastAsia="Times New Roman" w:hAnsi="Calibri" w:cs="Times New Roman"/>
                <w:color w:val="000000"/>
                <w:sz w:val="18"/>
                <w:szCs w:val="18"/>
                <w:lang w:eastAsia="es-ES"/>
              </w:rPr>
            </w:pPr>
            <w:r w:rsidRPr="00B34CBC">
              <w:rPr>
                <w:rFonts w:ascii="Calibri" w:eastAsia="Times New Roman" w:hAnsi="Calibri" w:cs="Times New Roman"/>
                <w:color w:val="000000"/>
                <w:sz w:val="18"/>
                <w:szCs w:val="18"/>
                <w:lang w:eastAsia="es-ES"/>
              </w:rPr>
              <w:t>424.784.001</w:t>
            </w:r>
          </w:p>
        </w:tc>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24,9</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1.519.151.396</w:t>
            </w:r>
          </w:p>
        </w:tc>
        <w:tc>
          <w:tcPr>
            <w:tcW w:w="0" w:type="auto"/>
            <w:tcBorders>
              <w:top w:val="nil"/>
              <w:left w:val="nil"/>
              <w:bottom w:val="nil"/>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46,8</w:t>
            </w:r>
          </w:p>
        </w:tc>
      </w:tr>
      <w:tr w:rsidR="00B34CBC" w:rsidRPr="00B34CBC" w:rsidTr="00175D09">
        <w:trPr>
          <w:jc w:val="center"/>
        </w:trPr>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rPr>
                <w:rFonts w:eastAsia="Times New Roman" w:cs="Arial"/>
                <w:color w:val="000000"/>
                <w:sz w:val="16"/>
                <w:szCs w:val="16"/>
                <w:lang w:eastAsia="es-ES"/>
              </w:rPr>
            </w:pPr>
            <w:r w:rsidRPr="00B34CBC">
              <w:rPr>
                <w:rFonts w:eastAsia="Times New Roman" w:cs="Arial"/>
                <w:color w:val="000000"/>
                <w:sz w:val="16"/>
                <w:szCs w:val="16"/>
                <w:lang w:eastAsia="es-ES"/>
              </w:rPr>
              <w:t>Construcción</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43.177.268</w:t>
            </w:r>
          </w:p>
        </w:tc>
        <w:tc>
          <w:tcPr>
            <w:tcW w:w="0" w:type="auto"/>
            <w:tcBorders>
              <w:top w:val="nil"/>
              <w:left w:val="nil"/>
              <w:bottom w:val="nil"/>
              <w:right w:val="single" w:sz="8" w:space="0" w:color="BFBFBF"/>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0,8</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5.954.921</w:t>
            </w:r>
          </w:p>
        </w:tc>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0,9</w:t>
            </w:r>
          </w:p>
        </w:tc>
        <w:tc>
          <w:tcPr>
            <w:tcW w:w="0" w:type="auto"/>
            <w:tcBorders>
              <w:top w:val="nil"/>
              <w:left w:val="nil"/>
              <w:bottom w:val="nil"/>
              <w:right w:val="nil"/>
            </w:tcBorders>
            <w:shd w:val="clear" w:color="auto" w:fill="auto"/>
            <w:noWrap/>
            <w:vAlign w:val="bottom"/>
            <w:hideMark/>
          </w:tcPr>
          <w:p w:rsidR="00B34CBC" w:rsidRPr="00B34CBC" w:rsidRDefault="00B34CBC" w:rsidP="005627A1">
            <w:pPr>
              <w:spacing w:line="240" w:lineRule="exact"/>
              <w:ind w:right="26"/>
              <w:jc w:val="right"/>
              <w:rPr>
                <w:rFonts w:ascii="Calibri" w:eastAsia="Times New Roman" w:hAnsi="Calibri" w:cs="Times New Roman"/>
                <w:color w:val="000000"/>
                <w:sz w:val="18"/>
                <w:szCs w:val="18"/>
                <w:lang w:eastAsia="es-ES"/>
              </w:rPr>
            </w:pPr>
            <w:r w:rsidRPr="00B34CBC">
              <w:rPr>
                <w:rFonts w:ascii="Calibri" w:eastAsia="Times New Roman" w:hAnsi="Calibri" w:cs="Times New Roman"/>
                <w:color w:val="000000"/>
                <w:sz w:val="18"/>
                <w:szCs w:val="18"/>
                <w:lang w:eastAsia="es-ES"/>
              </w:rPr>
              <w:t>27.567.473</w:t>
            </w:r>
          </w:p>
        </w:tc>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1,6</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9.654.875</w:t>
            </w:r>
          </w:p>
        </w:tc>
        <w:tc>
          <w:tcPr>
            <w:tcW w:w="0" w:type="auto"/>
            <w:tcBorders>
              <w:top w:val="nil"/>
              <w:left w:val="nil"/>
              <w:bottom w:val="nil"/>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0,3</w:t>
            </w:r>
          </w:p>
        </w:tc>
      </w:tr>
      <w:tr w:rsidR="00B34CBC" w:rsidRPr="00B34CBC" w:rsidTr="00D508DF">
        <w:trPr>
          <w:jc w:val="center"/>
        </w:trPr>
        <w:tc>
          <w:tcPr>
            <w:tcW w:w="0" w:type="auto"/>
            <w:tcBorders>
              <w:top w:val="nil"/>
              <w:left w:val="nil"/>
              <w:bottom w:val="nil"/>
              <w:right w:val="single" w:sz="8" w:space="0" w:color="BFBFBF"/>
            </w:tcBorders>
            <w:shd w:val="clear" w:color="auto" w:fill="auto"/>
            <w:hideMark/>
          </w:tcPr>
          <w:p w:rsidR="00B34CBC" w:rsidRPr="00B34CBC" w:rsidRDefault="00B34CBC" w:rsidP="005627A1">
            <w:pPr>
              <w:spacing w:line="240" w:lineRule="exact"/>
              <w:rPr>
                <w:rFonts w:eastAsia="Times New Roman" w:cs="Arial"/>
                <w:color w:val="000000"/>
                <w:sz w:val="16"/>
                <w:szCs w:val="16"/>
                <w:lang w:eastAsia="es-ES"/>
              </w:rPr>
            </w:pPr>
            <w:r w:rsidRPr="00B34CBC">
              <w:rPr>
                <w:rFonts w:eastAsia="Times New Roman" w:cs="Arial"/>
                <w:color w:val="000000"/>
                <w:sz w:val="16"/>
                <w:szCs w:val="16"/>
                <w:lang w:eastAsia="es-ES"/>
              </w:rPr>
              <w:t>Servicios</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3.465.415.915</w:t>
            </w:r>
          </w:p>
        </w:tc>
        <w:tc>
          <w:tcPr>
            <w:tcW w:w="0" w:type="auto"/>
            <w:tcBorders>
              <w:top w:val="nil"/>
              <w:left w:val="nil"/>
              <w:bottom w:val="single" w:sz="8" w:space="0" w:color="BFBFBF"/>
              <w:right w:val="single" w:sz="8" w:space="0" w:color="BFBFBF"/>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61,6</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496.496.380</w:t>
            </w:r>
          </w:p>
        </w:tc>
        <w:tc>
          <w:tcPr>
            <w:tcW w:w="0" w:type="auto"/>
            <w:tcBorders>
              <w:top w:val="nil"/>
              <w:left w:val="nil"/>
              <w:bottom w:val="single" w:sz="8" w:space="0" w:color="BFBFBF"/>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73,5</w:t>
            </w:r>
          </w:p>
        </w:tc>
        <w:tc>
          <w:tcPr>
            <w:tcW w:w="0" w:type="auto"/>
            <w:tcBorders>
              <w:top w:val="nil"/>
              <w:left w:val="nil"/>
              <w:bottom w:val="nil"/>
              <w:right w:val="nil"/>
            </w:tcBorders>
            <w:shd w:val="clear" w:color="auto" w:fill="auto"/>
            <w:noWrap/>
            <w:vAlign w:val="bottom"/>
            <w:hideMark/>
          </w:tcPr>
          <w:p w:rsidR="00B34CBC" w:rsidRPr="00B34CBC" w:rsidRDefault="00B34CBC" w:rsidP="005627A1">
            <w:pPr>
              <w:spacing w:line="240" w:lineRule="exact"/>
              <w:ind w:right="26"/>
              <w:jc w:val="right"/>
              <w:rPr>
                <w:rFonts w:ascii="Calibri" w:eastAsia="Times New Roman" w:hAnsi="Calibri" w:cs="Times New Roman"/>
                <w:color w:val="000000"/>
                <w:sz w:val="18"/>
                <w:szCs w:val="18"/>
                <w:lang w:eastAsia="es-ES"/>
              </w:rPr>
            </w:pPr>
            <w:r w:rsidRPr="00B34CBC">
              <w:rPr>
                <w:rFonts w:ascii="Calibri" w:eastAsia="Times New Roman" w:hAnsi="Calibri" w:cs="Times New Roman"/>
                <w:color w:val="000000"/>
                <w:sz w:val="18"/>
                <w:szCs w:val="18"/>
                <w:lang w:eastAsia="es-ES"/>
              </w:rPr>
              <w:t>1.250.167.086</w:t>
            </w:r>
          </w:p>
        </w:tc>
        <w:tc>
          <w:tcPr>
            <w:tcW w:w="0" w:type="auto"/>
            <w:tcBorders>
              <w:top w:val="nil"/>
              <w:left w:val="nil"/>
              <w:bottom w:val="nil"/>
              <w:right w:val="single" w:sz="8" w:space="0" w:color="BFBFBF"/>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73,3</w:t>
            </w:r>
          </w:p>
        </w:tc>
        <w:tc>
          <w:tcPr>
            <w:tcW w:w="0" w:type="auto"/>
            <w:tcBorders>
              <w:top w:val="nil"/>
              <w:left w:val="nil"/>
              <w:bottom w:val="nil"/>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1.718.752.448</w:t>
            </w:r>
          </w:p>
        </w:tc>
        <w:tc>
          <w:tcPr>
            <w:tcW w:w="0" w:type="auto"/>
            <w:tcBorders>
              <w:top w:val="nil"/>
              <w:left w:val="nil"/>
              <w:bottom w:val="single" w:sz="8" w:space="0" w:color="BFBFBF"/>
            </w:tcBorders>
            <w:shd w:val="clear" w:color="auto" w:fill="auto"/>
            <w:hideMark/>
          </w:tcPr>
          <w:p w:rsidR="00B34CBC" w:rsidRPr="00B34CBC" w:rsidRDefault="00B34CBC" w:rsidP="005627A1">
            <w:pPr>
              <w:spacing w:line="240" w:lineRule="exact"/>
              <w:ind w:right="26"/>
              <w:jc w:val="right"/>
              <w:rPr>
                <w:rFonts w:eastAsia="Times New Roman" w:cs="Arial"/>
                <w:color w:val="000000"/>
                <w:sz w:val="16"/>
                <w:szCs w:val="16"/>
                <w:lang w:eastAsia="es-ES"/>
              </w:rPr>
            </w:pPr>
            <w:r w:rsidRPr="00B34CBC">
              <w:rPr>
                <w:rFonts w:eastAsia="Times New Roman" w:cs="Arial"/>
                <w:color w:val="000000"/>
                <w:sz w:val="16"/>
                <w:szCs w:val="16"/>
                <w:lang w:eastAsia="es-ES"/>
              </w:rPr>
              <w:t>52,9</w:t>
            </w:r>
          </w:p>
        </w:tc>
      </w:tr>
      <w:tr w:rsidR="00B34CBC" w:rsidRPr="00B34CBC" w:rsidTr="00D508DF">
        <w:trPr>
          <w:jc w:val="center"/>
        </w:trPr>
        <w:tc>
          <w:tcPr>
            <w:tcW w:w="0" w:type="auto"/>
            <w:tcBorders>
              <w:top w:val="single" w:sz="8" w:space="0" w:color="BFBFBF"/>
              <w:left w:val="nil"/>
              <w:bottom w:val="single" w:sz="8" w:space="0" w:color="BFBFBF"/>
              <w:right w:val="single" w:sz="8" w:space="0" w:color="BFBFBF"/>
            </w:tcBorders>
            <w:shd w:val="clear" w:color="auto" w:fill="auto"/>
            <w:vAlign w:val="bottom"/>
            <w:hideMark/>
          </w:tcPr>
          <w:p w:rsidR="00B34CBC" w:rsidRPr="00B34CBC" w:rsidRDefault="00B34CBC" w:rsidP="005627A1">
            <w:pPr>
              <w:spacing w:line="240" w:lineRule="exact"/>
              <w:rPr>
                <w:rFonts w:eastAsia="Times New Roman" w:cs="Arial"/>
                <w:b/>
                <w:bCs/>
                <w:color w:val="000000"/>
                <w:sz w:val="16"/>
                <w:szCs w:val="16"/>
                <w:lang w:eastAsia="es-ES"/>
              </w:rPr>
            </w:pPr>
            <w:r w:rsidRPr="00B34CBC">
              <w:rPr>
                <w:rFonts w:eastAsia="Times New Roman" w:cs="Arial"/>
                <w:b/>
                <w:bCs/>
                <w:color w:val="000000"/>
                <w:sz w:val="16"/>
                <w:szCs w:val="16"/>
                <w:lang w:eastAsia="es-ES"/>
              </w:rPr>
              <w:t>TOTAL</w:t>
            </w:r>
          </w:p>
        </w:tc>
        <w:tc>
          <w:tcPr>
            <w:tcW w:w="0" w:type="auto"/>
            <w:tcBorders>
              <w:top w:val="single" w:sz="8" w:space="0" w:color="BFBFBF"/>
              <w:left w:val="nil"/>
              <w:bottom w:val="single" w:sz="8" w:space="0" w:color="BFBFBF"/>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5.628.930.454</w:t>
            </w:r>
          </w:p>
        </w:tc>
        <w:tc>
          <w:tcPr>
            <w:tcW w:w="0" w:type="auto"/>
            <w:tcBorders>
              <w:top w:val="single" w:sz="8" w:space="0" w:color="BFBFBF"/>
              <w:left w:val="nil"/>
              <w:bottom w:val="single" w:sz="8" w:space="0" w:color="BFBFBF"/>
              <w:right w:val="single" w:sz="4" w:space="0" w:color="BFBFBF" w:themeColor="background1" w:themeShade="BF"/>
            </w:tcBorders>
            <w:shd w:val="clear" w:color="auto" w:fill="auto"/>
            <w:vAlign w:val="bottom"/>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100</w:t>
            </w:r>
            <w:r w:rsidR="00A917B1">
              <w:rPr>
                <w:rFonts w:eastAsia="Times New Roman" w:cs="Arial"/>
                <w:b/>
                <w:bCs/>
                <w:color w:val="000000"/>
                <w:sz w:val="16"/>
                <w:szCs w:val="16"/>
                <w:lang w:eastAsia="es-ES"/>
              </w:rPr>
              <w:t>,0</w:t>
            </w:r>
          </w:p>
        </w:tc>
        <w:tc>
          <w:tcPr>
            <w:tcW w:w="0" w:type="auto"/>
            <w:tcBorders>
              <w:top w:val="single" w:sz="8" w:space="0" w:color="BFBFBF"/>
              <w:left w:val="single" w:sz="4" w:space="0" w:color="BFBFBF" w:themeColor="background1" w:themeShade="BF"/>
              <w:bottom w:val="single" w:sz="8" w:space="0" w:color="BFBFBF"/>
              <w:right w:val="nil"/>
            </w:tcBorders>
            <w:shd w:val="clear" w:color="auto" w:fill="auto"/>
            <w:vAlign w:val="bottom"/>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675.535.291</w:t>
            </w:r>
          </w:p>
        </w:tc>
        <w:tc>
          <w:tcPr>
            <w:tcW w:w="0" w:type="auto"/>
            <w:tcBorders>
              <w:top w:val="single" w:sz="8" w:space="0" w:color="BFBFBF"/>
              <w:left w:val="nil"/>
              <w:bottom w:val="single" w:sz="8" w:space="0" w:color="BFBFBF"/>
              <w:right w:val="single" w:sz="4" w:space="0" w:color="BFBFBF" w:themeColor="background1" w:themeShade="BF"/>
            </w:tcBorders>
            <w:shd w:val="clear" w:color="auto" w:fill="auto"/>
            <w:vAlign w:val="bottom"/>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100</w:t>
            </w:r>
            <w:r w:rsidR="00A917B1">
              <w:rPr>
                <w:rFonts w:eastAsia="Times New Roman" w:cs="Arial"/>
                <w:b/>
                <w:bCs/>
                <w:color w:val="000000"/>
                <w:sz w:val="16"/>
                <w:szCs w:val="16"/>
                <w:lang w:eastAsia="es-ES"/>
              </w:rPr>
              <w:t>,0</w:t>
            </w:r>
          </w:p>
        </w:tc>
        <w:tc>
          <w:tcPr>
            <w:tcW w:w="0" w:type="auto"/>
            <w:tcBorders>
              <w:top w:val="single" w:sz="8" w:space="0" w:color="BFBFBF"/>
              <w:left w:val="single" w:sz="4" w:space="0" w:color="BFBFBF" w:themeColor="background1" w:themeShade="BF"/>
              <w:bottom w:val="single" w:sz="8" w:space="0" w:color="BFBFBF"/>
              <w:right w:val="nil"/>
            </w:tcBorders>
            <w:shd w:val="clear" w:color="auto" w:fill="auto"/>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1.705.323.906</w:t>
            </w:r>
          </w:p>
        </w:tc>
        <w:tc>
          <w:tcPr>
            <w:tcW w:w="0" w:type="auto"/>
            <w:tcBorders>
              <w:top w:val="single" w:sz="8" w:space="0" w:color="BFBFBF"/>
              <w:left w:val="nil"/>
              <w:bottom w:val="single" w:sz="8" w:space="0" w:color="BFBFBF"/>
              <w:right w:val="single" w:sz="8" w:space="0" w:color="BFBFBF"/>
            </w:tcBorders>
            <w:shd w:val="clear" w:color="auto" w:fill="auto"/>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100</w:t>
            </w:r>
            <w:r w:rsidR="00A917B1">
              <w:rPr>
                <w:rFonts w:eastAsia="Times New Roman" w:cs="Arial"/>
                <w:b/>
                <w:bCs/>
                <w:color w:val="000000"/>
                <w:sz w:val="16"/>
                <w:szCs w:val="16"/>
                <w:lang w:eastAsia="es-ES"/>
              </w:rPr>
              <w:t>,0</w:t>
            </w:r>
          </w:p>
        </w:tc>
        <w:tc>
          <w:tcPr>
            <w:tcW w:w="0" w:type="auto"/>
            <w:tcBorders>
              <w:top w:val="single" w:sz="8" w:space="0" w:color="BFBFBF"/>
              <w:left w:val="nil"/>
              <w:bottom w:val="single" w:sz="8" w:space="0" w:color="BFBFBF"/>
              <w:right w:val="nil"/>
            </w:tcBorders>
            <w:shd w:val="clear" w:color="auto" w:fill="auto"/>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3.248.071.258</w:t>
            </w:r>
          </w:p>
        </w:tc>
        <w:tc>
          <w:tcPr>
            <w:tcW w:w="0" w:type="auto"/>
            <w:tcBorders>
              <w:top w:val="single" w:sz="8" w:space="0" w:color="BFBFBF"/>
              <w:left w:val="nil"/>
              <w:bottom w:val="single" w:sz="8" w:space="0" w:color="BFBFBF"/>
              <w:right w:val="nil"/>
            </w:tcBorders>
            <w:shd w:val="clear" w:color="auto" w:fill="auto"/>
            <w:hideMark/>
          </w:tcPr>
          <w:p w:rsidR="00B34CBC" w:rsidRPr="00B34CBC" w:rsidRDefault="00B34CBC" w:rsidP="005627A1">
            <w:pPr>
              <w:spacing w:line="240" w:lineRule="exact"/>
              <w:ind w:right="26"/>
              <w:jc w:val="right"/>
              <w:rPr>
                <w:rFonts w:eastAsia="Times New Roman" w:cs="Arial"/>
                <w:b/>
                <w:bCs/>
                <w:color w:val="000000"/>
                <w:sz w:val="16"/>
                <w:szCs w:val="16"/>
                <w:lang w:eastAsia="es-ES"/>
              </w:rPr>
            </w:pPr>
            <w:r w:rsidRPr="00B34CBC">
              <w:rPr>
                <w:rFonts w:eastAsia="Times New Roman" w:cs="Arial"/>
                <w:b/>
                <w:bCs/>
                <w:color w:val="000000"/>
                <w:sz w:val="16"/>
                <w:szCs w:val="16"/>
                <w:lang w:eastAsia="es-ES"/>
              </w:rPr>
              <w:t>100</w:t>
            </w:r>
            <w:r w:rsidR="00A917B1">
              <w:rPr>
                <w:rFonts w:eastAsia="Times New Roman" w:cs="Arial"/>
                <w:b/>
                <w:bCs/>
                <w:color w:val="000000"/>
                <w:sz w:val="16"/>
                <w:szCs w:val="16"/>
                <w:lang w:eastAsia="es-ES"/>
              </w:rPr>
              <w:t>,0</w:t>
            </w:r>
          </w:p>
        </w:tc>
      </w:tr>
    </w:tbl>
    <w:p w:rsidR="00665097" w:rsidRDefault="00665097" w:rsidP="00BB313D">
      <w:pPr>
        <w:widowControl w:val="0"/>
      </w:pPr>
    </w:p>
    <w:p w:rsidR="001C63DE" w:rsidRDefault="001C63DE"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218" w:name="_Toc391999630"/>
      <w:bookmarkStart w:id="219" w:name="_Toc450119513"/>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DA4A86">
        <w:rPr>
          <w:rFonts w:cs="Arial"/>
          <w:b/>
          <w:color w:val="1F497D" w:themeColor="text2"/>
          <w:sz w:val="18"/>
          <w:szCs w:val="18"/>
        </w:rPr>
        <w:t>RATIOS DE ENDEUDAMIENTO</w:t>
      </w:r>
      <w:r w:rsidR="00B34CBC">
        <w:rPr>
          <w:rFonts w:cs="Arial"/>
          <w:b/>
          <w:color w:val="1F497D" w:themeColor="text2"/>
          <w:sz w:val="18"/>
          <w:szCs w:val="18"/>
        </w:rPr>
        <w:t xml:space="preserve"> SEGÚN SECTOR DE ACTIVIDAD. 2014</w:t>
      </w:r>
      <w:r w:rsidR="00C86565">
        <w:rPr>
          <w:rFonts w:cs="Arial"/>
          <w:b/>
          <w:color w:val="1F497D" w:themeColor="text2"/>
          <w:sz w:val="18"/>
          <w:szCs w:val="18"/>
        </w:rPr>
        <w:t xml:space="preserve"> </w:t>
      </w:r>
      <w:r w:rsidR="00051B3E">
        <w:rPr>
          <w:rFonts w:cs="Arial"/>
          <w:b/>
          <w:color w:val="1F497D" w:themeColor="text2"/>
          <w:sz w:val="18"/>
          <w:szCs w:val="18"/>
        </w:rPr>
        <w:t>(</w:t>
      </w:r>
      <w:r w:rsidR="00665097" w:rsidRPr="00DA4A86">
        <w:rPr>
          <w:rFonts w:cs="Arial"/>
          <w:b/>
          <w:color w:val="1F497D" w:themeColor="text2"/>
          <w:sz w:val="18"/>
          <w:szCs w:val="18"/>
        </w:rPr>
        <w:t>Fondos Ajenos/Fondos Propios)</w:t>
      </w:r>
      <w:r w:rsidR="00665097" w:rsidRPr="00DA4A86">
        <w:rPr>
          <w:rStyle w:val="Refdenotaalpie"/>
          <w:rFonts w:cs="Arial"/>
          <w:color w:val="1F497D" w:themeColor="text2"/>
          <w:sz w:val="18"/>
          <w:szCs w:val="18"/>
        </w:rPr>
        <w:footnoteReference w:id="12"/>
      </w:r>
      <w:bookmarkEnd w:id="218"/>
      <w:bookmarkEnd w:id="219"/>
      <w:r w:rsidR="00665097" w:rsidRPr="00DA4A86">
        <w:rPr>
          <w:rFonts w:cs="Arial"/>
          <w:b/>
          <w:color w:val="1F497D" w:themeColor="text2"/>
          <w:sz w:val="18"/>
          <w:szCs w:val="18"/>
        </w:rPr>
        <w:t xml:space="preserve"> </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451"/>
        <w:gridCol w:w="5489"/>
      </w:tblGrid>
      <w:tr w:rsidR="00665097" w:rsidRPr="00E95A1F" w:rsidTr="00175D09">
        <w:trPr>
          <w:jc w:val="center"/>
        </w:trPr>
        <w:tc>
          <w:tcPr>
            <w:tcW w:w="2239"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761"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E95A1F" w:rsidRDefault="00665097" w:rsidP="00BB313D">
            <w:pPr>
              <w:widowControl w:val="0"/>
              <w:spacing w:line="240" w:lineRule="exact"/>
              <w:jc w:val="center"/>
              <w:rPr>
                <w:rFonts w:cs="Arial"/>
                <w:b/>
                <w:sz w:val="16"/>
                <w:szCs w:val="16"/>
              </w:rPr>
            </w:pPr>
            <w:r>
              <w:rPr>
                <w:rFonts w:cs="Arial"/>
                <w:b/>
                <w:sz w:val="16"/>
                <w:szCs w:val="16"/>
              </w:rPr>
              <w:t>Ratio de endeudamiento</w:t>
            </w:r>
          </w:p>
        </w:tc>
      </w:tr>
      <w:tr w:rsidR="00665097" w:rsidRPr="00E95A1F" w:rsidTr="00175D09">
        <w:trPr>
          <w:jc w:val="center"/>
        </w:trPr>
        <w:tc>
          <w:tcPr>
            <w:tcW w:w="2239"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761"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p>
        </w:tc>
      </w:tr>
      <w:tr w:rsidR="00665097" w:rsidRPr="00E95A1F" w:rsidTr="00175D09">
        <w:trPr>
          <w:jc w:val="center"/>
        </w:trPr>
        <w:tc>
          <w:tcPr>
            <w:tcW w:w="2239" w:type="pct"/>
            <w:tcBorders>
              <w:top w:val="single" w:sz="4" w:space="0" w:color="BFBFBF" w:themeColor="background1" w:themeShade="BF"/>
              <w:bottom w:val="nil"/>
              <w:right w:val="single" w:sz="4" w:space="0" w:color="BFBFBF" w:themeColor="background1" w:themeShade="BF"/>
            </w:tcBorders>
          </w:tcPr>
          <w:p w:rsidR="00665097" w:rsidRPr="00131995" w:rsidRDefault="00665097" w:rsidP="00BB313D">
            <w:pPr>
              <w:widowControl w:val="0"/>
              <w:spacing w:line="240" w:lineRule="exact"/>
              <w:rPr>
                <w:rFonts w:cs="Arial"/>
                <w:color w:val="000000"/>
                <w:sz w:val="16"/>
                <w:szCs w:val="16"/>
              </w:rPr>
            </w:pPr>
            <w:r w:rsidRPr="00131995">
              <w:rPr>
                <w:rFonts w:cs="Arial"/>
                <w:color w:val="000000"/>
                <w:sz w:val="16"/>
                <w:szCs w:val="16"/>
              </w:rPr>
              <w:t>Primario</w:t>
            </w:r>
          </w:p>
        </w:tc>
        <w:tc>
          <w:tcPr>
            <w:tcW w:w="2761" w:type="pct"/>
            <w:tcBorders>
              <w:top w:val="single" w:sz="4" w:space="0" w:color="BFBFBF" w:themeColor="background1" w:themeShade="BF"/>
              <w:left w:val="single" w:sz="4" w:space="0" w:color="BFBFBF" w:themeColor="background1" w:themeShade="BF"/>
              <w:bottom w:val="nil"/>
              <w:right w:val="nil"/>
            </w:tcBorders>
            <w:vAlign w:val="bottom"/>
          </w:tcPr>
          <w:p w:rsidR="00665097" w:rsidRPr="00061CD6" w:rsidRDefault="009152A7" w:rsidP="00BB313D">
            <w:pPr>
              <w:widowControl w:val="0"/>
              <w:spacing w:line="240" w:lineRule="auto"/>
              <w:jc w:val="center"/>
              <w:rPr>
                <w:rFonts w:cs="Arial"/>
                <w:sz w:val="16"/>
                <w:szCs w:val="16"/>
              </w:rPr>
            </w:pPr>
            <w:r>
              <w:rPr>
                <w:rFonts w:cs="Arial"/>
                <w:sz w:val="16"/>
                <w:szCs w:val="16"/>
              </w:rPr>
              <w:t>1,8</w:t>
            </w:r>
          </w:p>
        </w:tc>
      </w:tr>
      <w:tr w:rsidR="00665097" w:rsidRPr="00E95A1F" w:rsidTr="00175D09">
        <w:trPr>
          <w:jc w:val="center"/>
        </w:trPr>
        <w:tc>
          <w:tcPr>
            <w:tcW w:w="2239" w:type="pct"/>
            <w:tcBorders>
              <w:top w:val="nil"/>
              <w:bottom w:val="nil"/>
              <w:right w:val="single" w:sz="4" w:space="0" w:color="BFBFBF" w:themeColor="background1" w:themeShade="BF"/>
            </w:tcBorders>
          </w:tcPr>
          <w:p w:rsidR="00665097" w:rsidRPr="00131995" w:rsidRDefault="00665097" w:rsidP="00BB313D">
            <w:pPr>
              <w:widowControl w:val="0"/>
              <w:spacing w:line="240" w:lineRule="exact"/>
              <w:rPr>
                <w:rFonts w:cs="Arial"/>
                <w:color w:val="000000"/>
                <w:sz w:val="16"/>
                <w:szCs w:val="16"/>
              </w:rPr>
            </w:pPr>
            <w:r w:rsidRPr="00131995">
              <w:rPr>
                <w:rFonts w:cs="Arial"/>
                <w:color w:val="000000"/>
                <w:sz w:val="16"/>
                <w:szCs w:val="16"/>
              </w:rPr>
              <w:t>Industria</w:t>
            </w:r>
          </w:p>
        </w:tc>
        <w:tc>
          <w:tcPr>
            <w:tcW w:w="2761" w:type="pct"/>
            <w:tcBorders>
              <w:top w:val="nil"/>
              <w:left w:val="single" w:sz="4" w:space="0" w:color="BFBFBF" w:themeColor="background1" w:themeShade="BF"/>
              <w:bottom w:val="nil"/>
              <w:right w:val="nil"/>
            </w:tcBorders>
            <w:vAlign w:val="bottom"/>
          </w:tcPr>
          <w:p w:rsidR="00665097" w:rsidRPr="00061CD6" w:rsidRDefault="00665097" w:rsidP="00BB313D">
            <w:pPr>
              <w:widowControl w:val="0"/>
              <w:spacing w:line="240" w:lineRule="auto"/>
              <w:jc w:val="center"/>
              <w:rPr>
                <w:rFonts w:cs="Arial"/>
                <w:sz w:val="16"/>
                <w:szCs w:val="16"/>
              </w:rPr>
            </w:pPr>
            <w:r w:rsidRPr="00061CD6">
              <w:rPr>
                <w:rFonts w:cs="Arial"/>
                <w:sz w:val="16"/>
                <w:szCs w:val="16"/>
              </w:rPr>
              <w:t>1,4</w:t>
            </w:r>
          </w:p>
        </w:tc>
      </w:tr>
      <w:tr w:rsidR="00665097" w:rsidRPr="00E95A1F" w:rsidTr="00175D09">
        <w:trPr>
          <w:jc w:val="center"/>
        </w:trPr>
        <w:tc>
          <w:tcPr>
            <w:tcW w:w="2239" w:type="pct"/>
            <w:tcBorders>
              <w:top w:val="nil"/>
              <w:bottom w:val="nil"/>
              <w:right w:val="single" w:sz="4" w:space="0" w:color="BFBFBF" w:themeColor="background1" w:themeShade="BF"/>
            </w:tcBorders>
            <w:vAlign w:val="bottom"/>
          </w:tcPr>
          <w:p w:rsidR="00665097" w:rsidRPr="00131995" w:rsidRDefault="00665097" w:rsidP="00BB313D">
            <w:pPr>
              <w:widowControl w:val="0"/>
              <w:spacing w:line="240" w:lineRule="exact"/>
              <w:rPr>
                <w:rFonts w:cs="Arial"/>
                <w:color w:val="000000"/>
                <w:sz w:val="16"/>
                <w:szCs w:val="16"/>
              </w:rPr>
            </w:pPr>
            <w:r w:rsidRPr="00131995">
              <w:rPr>
                <w:rFonts w:cs="Arial"/>
                <w:color w:val="000000"/>
                <w:sz w:val="16"/>
                <w:szCs w:val="16"/>
              </w:rPr>
              <w:t>Construcción</w:t>
            </w:r>
          </w:p>
        </w:tc>
        <w:tc>
          <w:tcPr>
            <w:tcW w:w="2761" w:type="pct"/>
            <w:tcBorders>
              <w:top w:val="nil"/>
              <w:left w:val="single" w:sz="4" w:space="0" w:color="BFBFBF" w:themeColor="background1" w:themeShade="BF"/>
              <w:bottom w:val="nil"/>
              <w:right w:val="nil"/>
            </w:tcBorders>
            <w:vAlign w:val="bottom"/>
          </w:tcPr>
          <w:p w:rsidR="00665097" w:rsidRPr="00061CD6" w:rsidRDefault="00665097" w:rsidP="00BB313D">
            <w:pPr>
              <w:widowControl w:val="0"/>
              <w:spacing w:line="240" w:lineRule="auto"/>
              <w:jc w:val="center"/>
              <w:rPr>
                <w:rFonts w:cs="Arial"/>
                <w:sz w:val="16"/>
                <w:szCs w:val="16"/>
              </w:rPr>
            </w:pPr>
            <w:r w:rsidRPr="00061CD6">
              <w:rPr>
                <w:rFonts w:cs="Arial"/>
                <w:sz w:val="16"/>
                <w:szCs w:val="16"/>
              </w:rPr>
              <w:t>1,</w:t>
            </w:r>
            <w:r w:rsidR="009152A7">
              <w:rPr>
                <w:rFonts w:cs="Arial"/>
                <w:sz w:val="16"/>
                <w:szCs w:val="16"/>
              </w:rPr>
              <w:t>2</w:t>
            </w:r>
          </w:p>
        </w:tc>
      </w:tr>
      <w:tr w:rsidR="00665097" w:rsidRPr="00E95A1F" w:rsidTr="00175D09">
        <w:trPr>
          <w:jc w:val="center"/>
        </w:trPr>
        <w:tc>
          <w:tcPr>
            <w:tcW w:w="2239" w:type="pct"/>
            <w:tcBorders>
              <w:top w:val="nil"/>
              <w:bottom w:val="single" w:sz="4" w:space="0" w:color="BFBFBF" w:themeColor="background1" w:themeShade="BF"/>
              <w:right w:val="single" w:sz="4" w:space="0" w:color="BFBFBF" w:themeColor="background1" w:themeShade="BF"/>
            </w:tcBorders>
          </w:tcPr>
          <w:p w:rsidR="00665097" w:rsidRPr="00131995" w:rsidRDefault="00665097" w:rsidP="00BB313D">
            <w:pPr>
              <w:widowControl w:val="0"/>
              <w:spacing w:line="240" w:lineRule="exact"/>
              <w:rPr>
                <w:rFonts w:cs="Arial"/>
                <w:color w:val="000000"/>
                <w:sz w:val="16"/>
                <w:szCs w:val="16"/>
              </w:rPr>
            </w:pPr>
            <w:r w:rsidRPr="00131995">
              <w:rPr>
                <w:rFonts w:cs="Arial"/>
                <w:color w:val="000000"/>
                <w:sz w:val="16"/>
                <w:szCs w:val="16"/>
              </w:rPr>
              <w:t>Servicios</w:t>
            </w:r>
          </w:p>
        </w:tc>
        <w:tc>
          <w:tcPr>
            <w:tcW w:w="2761" w:type="pct"/>
            <w:tcBorders>
              <w:top w:val="nil"/>
              <w:left w:val="single" w:sz="4" w:space="0" w:color="BFBFBF" w:themeColor="background1" w:themeShade="BF"/>
              <w:bottom w:val="single" w:sz="4" w:space="0" w:color="BFBFBF" w:themeColor="background1" w:themeShade="BF"/>
              <w:right w:val="nil"/>
            </w:tcBorders>
            <w:vAlign w:val="bottom"/>
          </w:tcPr>
          <w:p w:rsidR="00665097" w:rsidRPr="00061CD6" w:rsidRDefault="009152A7" w:rsidP="00BB313D">
            <w:pPr>
              <w:widowControl w:val="0"/>
              <w:spacing w:line="240" w:lineRule="auto"/>
              <w:jc w:val="center"/>
              <w:rPr>
                <w:rFonts w:cs="Arial"/>
                <w:sz w:val="16"/>
                <w:szCs w:val="16"/>
              </w:rPr>
            </w:pPr>
            <w:r>
              <w:rPr>
                <w:rFonts w:cs="Arial"/>
                <w:sz w:val="16"/>
                <w:szCs w:val="16"/>
              </w:rPr>
              <w:t>6</w:t>
            </w:r>
            <w:r w:rsidR="00665097" w:rsidRPr="00061CD6">
              <w:rPr>
                <w:rFonts w:cs="Arial"/>
                <w:sz w:val="16"/>
                <w:szCs w:val="16"/>
              </w:rPr>
              <w:t>,4</w:t>
            </w:r>
          </w:p>
        </w:tc>
      </w:tr>
      <w:tr w:rsidR="00665097" w:rsidRPr="006209F1" w:rsidTr="00175D09">
        <w:trPr>
          <w:jc w:val="center"/>
        </w:trPr>
        <w:tc>
          <w:tcPr>
            <w:tcW w:w="223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6209F1" w:rsidRDefault="00665097" w:rsidP="00BB313D">
            <w:pPr>
              <w:widowControl w:val="0"/>
              <w:spacing w:line="240" w:lineRule="exact"/>
              <w:rPr>
                <w:b/>
                <w:sz w:val="16"/>
                <w:szCs w:val="16"/>
              </w:rPr>
            </w:pPr>
            <w:bookmarkStart w:id="220" w:name="_Toc391565507"/>
            <w:r w:rsidRPr="006209F1">
              <w:rPr>
                <w:b/>
                <w:sz w:val="16"/>
                <w:szCs w:val="16"/>
              </w:rPr>
              <w:t>TOTAL</w:t>
            </w:r>
            <w:bookmarkEnd w:id="220"/>
          </w:p>
        </w:tc>
        <w:tc>
          <w:tcPr>
            <w:tcW w:w="276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665097" w:rsidRPr="006209F1" w:rsidRDefault="009152A7" w:rsidP="00BB313D">
            <w:pPr>
              <w:widowControl w:val="0"/>
              <w:spacing w:line="240" w:lineRule="exact"/>
              <w:jc w:val="center"/>
              <w:rPr>
                <w:b/>
                <w:sz w:val="16"/>
                <w:szCs w:val="16"/>
              </w:rPr>
            </w:pPr>
            <w:r>
              <w:rPr>
                <w:b/>
                <w:sz w:val="16"/>
                <w:szCs w:val="16"/>
              </w:rPr>
              <w:t>4,5</w:t>
            </w:r>
          </w:p>
        </w:tc>
      </w:tr>
    </w:tbl>
    <w:p w:rsidR="00665097" w:rsidRDefault="00665097" w:rsidP="00BB313D">
      <w:pPr>
        <w:widowControl w:val="0"/>
      </w:pPr>
    </w:p>
    <w:p w:rsidR="001C63DE" w:rsidRDefault="001C63DE"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221" w:name="_Toc391999631"/>
      <w:bookmarkStart w:id="222" w:name="_Toc450119514"/>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59</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DA4A86">
        <w:rPr>
          <w:rFonts w:cs="Arial"/>
          <w:b/>
          <w:color w:val="1F497D" w:themeColor="text2"/>
          <w:sz w:val="18"/>
          <w:szCs w:val="18"/>
        </w:rPr>
        <w:t>RATIOS DE GARANTÍA</w:t>
      </w:r>
      <w:r w:rsidR="00F778EE">
        <w:rPr>
          <w:rFonts w:cs="Arial"/>
          <w:b/>
          <w:color w:val="1F497D" w:themeColor="text2"/>
          <w:sz w:val="18"/>
          <w:szCs w:val="18"/>
        </w:rPr>
        <w:t xml:space="preserve"> SEGÚN SECTOR DE ACTIVIDAD. 2014</w:t>
      </w:r>
      <w:r w:rsidR="00C86565">
        <w:rPr>
          <w:rFonts w:cs="Arial"/>
          <w:b/>
          <w:color w:val="1F497D" w:themeColor="text2"/>
          <w:sz w:val="18"/>
          <w:szCs w:val="18"/>
        </w:rPr>
        <w:t xml:space="preserve"> </w:t>
      </w:r>
      <w:r w:rsidR="00051B3E">
        <w:rPr>
          <w:rFonts w:cs="Arial"/>
          <w:b/>
          <w:color w:val="1F497D" w:themeColor="text2"/>
          <w:sz w:val="18"/>
          <w:szCs w:val="18"/>
        </w:rPr>
        <w:t>(</w:t>
      </w:r>
      <w:r w:rsidR="00665097" w:rsidRPr="00DA4A86">
        <w:rPr>
          <w:rFonts w:cs="Arial"/>
          <w:b/>
          <w:color w:val="1F497D" w:themeColor="text2"/>
          <w:sz w:val="18"/>
          <w:szCs w:val="18"/>
        </w:rPr>
        <w:t>Activo Total/Exigible Total)</w:t>
      </w:r>
      <w:bookmarkEnd w:id="221"/>
      <w:bookmarkEnd w:id="222"/>
      <w:r w:rsidR="00665097" w:rsidRPr="00DA4A86">
        <w:rPr>
          <w:rFonts w:cs="Arial"/>
          <w:b/>
          <w:color w:val="1F497D" w:themeColor="text2"/>
          <w:sz w:val="18"/>
          <w:szCs w:val="18"/>
        </w:rPr>
        <w:t xml:space="preserve"> </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378"/>
        <w:gridCol w:w="5562"/>
      </w:tblGrid>
      <w:tr w:rsidR="00665097" w:rsidRPr="00E95A1F" w:rsidTr="00175D09">
        <w:trPr>
          <w:jc w:val="center"/>
        </w:trPr>
        <w:tc>
          <w:tcPr>
            <w:tcW w:w="2202"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798"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E95A1F" w:rsidRDefault="00665097" w:rsidP="00BB313D">
            <w:pPr>
              <w:widowControl w:val="0"/>
              <w:spacing w:line="240" w:lineRule="exact"/>
              <w:jc w:val="center"/>
              <w:rPr>
                <w:rFonts w:cs="Arial"/>
                <w:b/>
                <w:sz w:val="16"/>
                <w:szCs w:val="16"/>
              </w:rPr>
            </w:pPr>
            <w:r>
              <w:rPr>
                <w:rFonts w:cs="Arial"/>
                <w:b/>
                <w:sz w:val="16"/>
                <w:szCs w:val="16"/>
              </w:rPr>
              <w:t>Ratio de garantía</w:t>
            </w:r>
          </w:p>
        </w:tc>
      </w:tr>
      <w:tr w:rsidR="00665097" w:rsidRPr="00E95A1F" w:rsidTr="00175D09">
        <w:trPr>
          <w:jc w:val="center"/>
        </w:trPr>
        <w:tc>
          <w:tcPr>
            <w:tcW w:w="2202"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798"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p>
        </w:tc>
      </w:tr>
      <w:tr w:rsidR="003E2332" w:rsidRPr="00E95A1F" w:rsidTr="00175D09">
        <w:trPr>
          <w:jc w:val="center"/>
        </w:trPr>
        <w:tc>
          <w:tcPr>
            <w:tcW w:w="2202" w:type="pct"/>
            <w:tcBorders>
              <w:top w:val="single" w:sz="4" w:space="0" w:color="BFBFBF" w:themeColor="background1" w:themeShade="BF"/>
              <w:bottom w:val="nil"/>
              <w:right w:val="single" w:sz="4" w:space="0" w:color="BFBFBF" w:themeColor="background1" w:themeShade="BF"/>
            </w:tcBorders>
          </w:tcPr>
          <w:p w:rsidR="003E2332" w:rsidRPr="00131995" w:rsidRDefault="003E2332" w:rsidP="00BB313D">
            <w:pPr>
              <w:widowControl w:val="0"/>
              <w:spacing w:line="240" w:lineRule="exact"/>
              <w:rPr>
                <w:rFonts w:cs="Arial"/>
                <w:color w:val="000000"/>
                <w:sz w:val="16"/>
                <w:szCs w:val="16"/>
              </w:rPr>
            </w:pPr>
            <w:r w:rsidRPr="00131995">
              <w:rPr>
                <w:rFonts w:cs="Arial"/>
                <w:color w:val="000000"/>
                <w:sz w:val="16"/>
                <w:szCs w:val="16"/>
              </w:rPr>
              <w:t>Primario</w:t>
            </w:r>
          </w:p>
        </w:tc>
        <w:tc>
          <w:tcPr>
            <w:tcW w:w="2798" w:type="pct"/>
            <w:tcBorders>
              <w:top w:val="single" w:sz="4" w:space="0" w:color="BFBFBF" w:themeColor="background1" w:themeShade="BF"/>
              <w:left w:val="single" w:sz="4" w:space="0" w:color="BFBFBF" w:themeColor="background1" w:themeShade="BF"/>
              <w:bottom w:val="nil"/>
              <w:right w:val="nil"/>
            </w:tcBorders>
            <w:vAlign w:val="bottom"/>
          </w:tcPr>
          <w:p w:rsidR="003E2332" w:rsidRPr="003E2332" w:rsidRDefault="003E2332" w:rsidP="003E2332">
            <w:pPr>
              <w:widowControl w:val="0"/>
              <w:spacing w:line="240" w:lineRule="auto"/>
              <w:jc w:val="center"/>
              <w:rPr>
                <w:rFonts w:cs="Arial"/>
                <w:sz w:val="16"/>
                <w:szCs w:val="16"/>
              </w:rPr>
            </w:pPr>
            <w:r w:rsidRPr="003E2332">
              <w:rPr>
                <w:rFonts w:cs="Arial"/>
                <w:sz w:val="16"/>
                <w:szCs w:val="16"/>
              </w:rPr>
              <w:t>1,5</w:t>
            </w:r>
          </w:p>
        </w:tc>
      </w:tr>
      <w:tr w:rsidR="003E2332" w:rsidRPr="00E95A1F" w:rsidTr="00175D09">
        <w:trPr>
          <w:jc w:val="center"/>
        </w:trPr>
        <w:tc>
          <w:tcPr>
            <w:tcW w:w="2202" w:type="pct"/>
            <w:tcBorders>
              <w:top w:val="nil"/>
              <w:bottom w:val="nil"/>
              <w:right w:val="single" w:sz="4" w:space="0" w:color="BFBFBF" w:themeColor="background1" w:themeShade="BF"/>
            </w:tcBorders>
          </w:tcPr>
          <w:p w:rsidR="003E2332" w:rsidRPr="00131995" w:rsidRDefault="003E2332" w:rsidP="00BB313D">
            <w:pPr>
              <w:widowControl w:val="0"/>
              <w:spacing w:line="240" w:lineRule="exact"/>
              <w:rPr>
                <w:rFonts w:cs="Arial"/>
                <w:color w:val="000000"/>
                <w:sz w:val="16"/>
                <w:szCs w:val="16"/>
              </w:rPr>
            </w:pPr>
            <w:r w:rsidRPr="00131995">
              <w:rPr>
                <w:rFonts w:cs="Arial"/>
                <w:color w:val="000000"/>
                <w:sz w:val="16"/>
                <w:szCs w:val="16"/>
              </w:rPr>
              <w:t>Industria</w:t>
            </w:r>
          </w:p>
        </w:tc>
        <w:tc>
          <w:tcPr>
            <w:tcW w:w="2798" w:type="pct"/>
            <w:tcBorders>
              <w:top w:val="nil"/>
              <w:left w:val="single" w:sz="4" w:space="0" w:color="BFBFBF" w:themeColor="background1" w:themeShade="BF"/>
              <w:bottom w:val="nil"/>
              <w:right w:val="nil"/>
            </w:tcBorders>
            <w:vAlign w:val="bottom"/>
          </w:tcPr>
          <w:p w:rsidR="003E2332" w:rsidRPr="003E2332" w:rsidRDefault="003E2332" w:rsidP="003E2332">
            <w:pPr>
              <w:widowControl w:val="0"/>
              <w:spacing w:line="240" w:lineRule="auto"/>
              <w:jc w:val="center"/>
              <w:rPr>
                <w:rFonts w:cs="Arial"/>
                <w:sz w:val="16"/>
                <w:szCs w:val="16"/>
              </w:rPr>
            </w:pPr>
            <w:r w:rsidRPr="003E2332">
              <w:rPr>
                <w:rFonts w:cs="Arial"/>
                <w:sz w:val="16"/>
                <w:szCs w:val="16"/>
              </w:rPr>
              <w:t>1,7</w:t>
            </w:r>
          </w:p>
        </w:tc>
      </w:tr>
      <w:tr w:rsidR="003E2332" w:rsidRPr="00E95A1F" w:rsidTr="00175D09">
        <w:trPr>
          <w:jc w:val="center"/>
        </w:trPr>
        <w:tc>
          <w:tcPr>
            <w:tcW w:w="2202" w:type="pct"/>
            <w:tcBorders>
              <w:top w:val="nil"/>
              <w:bottom w:val="nil"/>
              <w:right w:val="single" w:sz="4" w:space="0" w:color="BFBFBF" w:themeColor="background1" w:themeShade="BF"/>
            </w:tcBorders>
            <w:vAlign w:val="bottom"/>
          </w:tcPr>
          <w:p w:rsidR="003E2332" w:rsidRPr="00131995" w:rsidRDefault="003E2332" w:rsidP="00BB313D">
            <w:pPr>
              <w:widowControl w:val="0"/>
              <w:spacing w:line="240" w:lineRule="exact"/>
              <w:rPr>
                <w:rFonts w:cs="Arial"/>
                <w:color w:val="000000"/>
                <w:sz w:val="16"/>
                <w:szCs w:val="16"/>
              </w:rPr>
            </w:pPr>
            <w:r w:rsidRPr="00131995">
              <w:rPr>
                <w:rFonts w:cs="Arial"/>
                <w:color w:val="000000"/>
                <w:sz w:val="16"/>
                <w:szCs w:val="16"/>
              </w:rPr>
              <w:t>Construcción</w:t>
            </w:r>
          </w:p>
        </w:tc>
        <w:tc>
          <w:tcPr>
            <w:tcW w:w="2798" w:type="pct"/>
            <w:tcBorders>
              <w:top w:val="nil"/>
              <w:left w:val="single" w:sz="4" w:space="0" w:color="BFBFBF" w:themeColor="background1" w:themeShade="BF"/>
              <w:bottom w:val="nil"/>
              <w:right w:val="nil"/>
            </w:tcBorders>
            <w:vAlign w:val="bottom"/>
          </w:tcPr>
          <w:p w:rsidR="003E2332" w:rsidRPr="003E2332" w:rsidRDefault="003E2332" w:rsidP="003E2332">
            <w:pPr>
              <w:widowControl w:val="0"/>
              <w:spacing w:line="240" w:lineRule="auto"/>
              <w:jc w:val="center"/>
              <w:rPr>
                <w:rFonts w:cs="Arial"/>
                <w:sz w:val="16"/>
                <w:szCs w:val="16"/>
              </w:rPr>
            </w:pPr>
            <w:r w:rsidRPr="003E2332">
              <w:rPr>
                <w:rFonts w:cs="Arial"/>
                <w:sz w:val="16"/>
                <w:szCs w:val="16"/>
              </w:rPr>
              <w:t>1,8</w:t>
            </w:r>
          </w:p>
        </w:tc>
      </w:tr>
      <w:tr w:rsidR="003E2332" w:rsidRPr="00E95A1F" w:rsidTr="00175D09">
        <w:trPr>
          <w:jc w:val="center"/>
        </w:trPr>
        <w:tc>
          <w:tcPr>
            <w:tcW w:w="2202" w:type="pct"/>
            <w:tcBorders>
              <w:top w:val="nil"/>
              <w:bottom w:val="single" w:sz="4" w:space="0" w:color="BFBFBF" w:themeColor="background1" w:themeShade="BF"/>
              <w:right w:val="single" w:sz="4" w:space="0" w:color="BFBFBF" w:themeColor="background1" w:themeShade="BF"/>
            </w:tcBorders>
          </w:tcPr>
          <w:p w:rsidR="003E2332" w:rsidRPr="00131995" w:rsidRDefault="003E2332" w:rsidP="00BB313D">
            <w:pPr>
              <w:widowControl w:val="0"/>
              <w:spacing w:line="240" w:lineRule="exact"/>
              <w:rPr>
                <w:rFonts w:cs="Arial"/>
                <w:color w:val="000000"/>
                <w:sz w:val="16"/>
                <w:szCs w:val="16"/>
              </w:rPr>
            </w:pPr>
            <w:r w:rsidRPr="00131995">
              <w:rPr>
                <w:rFonts w:cs="Arial"/>
                <w:color w:val="000000"/>
                <w:sz w:val="16"/>
                <w:szCs w:val="16"/>
              </w:rPr>
              <w:t>Servicios</w:t>
            </w:r>
          </w:p>
        </w:tc>
        <w:tc>
          <w:tcPr>
            <w:tcW w:w="2798" w:type="pct"/>
            <w:tcBorders>
              <w:top w:val="nil"/>
              <w:left w:val="single" w:sz="4" w:space="0" w:color="BFBFBF" w:themeColor="background1" w:themeShade="BF"/>
              <w:bottom w:val="single" w:sz="4" w:space="0" w:color="BFBFBF" w:themeColor="background1" w:themeShade="BF"/>
              <w:right w:val="nil"/>
            </w:tcBorders>
            <w:vAlign w:val="bottom"/>
          </w:tcPr>
          <w:p w:rsidR="003E2332" w:rsidRPr="003E2332" w:rsidRDefault="003E2332" w:rsidP="003E2332">
            <w:pPr>
              <w:widowControl w:val="0"/>
              <w:spacing w:line="240" w:lineRule="auto"/>
              <w:jc w:val="center"/>
              <w:rPr>
                <w:rFonts w:cs="Arial"/>
                <w:sz w:val="16"/>
                <w:szCs w:val="16"/>
              </w:rPr>
            </w:pPr>
            <w:r w:rsidRPr="003E2332">
              <w:rPr>
                <w:rFonts w:cs="Arial"/>
                <w:sz w:val="16"/>
                <w:szCs w:val="16"/>
              </w:rPr>
              <w:t>1,2</w:t>
            </w:r>
          </w:p>
        </w:tc>
      </w:tr>
      <w:tr w:rsidR="00665097" w:rsidRPr="006209F1" w:rsidTr="00175D09">
        <w:trPr>
          <w:jc w:val="center"/>
        </w:trPr>
        <w:tc>
          <w:tcPr>
            <w:tcW w:w="2202"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6209F1" w:rsidRDefault="00665097" w:rsidP="00BB313D">
            <w:pPr>
              <w:widowControl w:val="0"/>
              <w:spacing w:line="240" w:lineRule="exact"/>
              <w:rPr>
                <w:b/>
                <w:sz w:val="16"/>
                <w:szCs w:val="16"/>
              </w:rPr>
            </w:pPr>
            <w:bookmarkStart w:id="223" w:name="_Toc391565508"/>
            <w:r w:rsidRPr="006209F1">
              <w:rPr>
                <w:b/>
                <w:sz w:val="16"/>
                <w:szCs w:val="16"/>
              </w:rPr>
              <w:t>TOTAL</w:t>
            </w:r>
            <w:bookmarkEnd w:id="223"/>
          </w:p>
        </w:tc>
        <w:tc>
          <w:tcPr>
            <w:tcW w:w="2798"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665097" w:rsidRPr="006209F1" w:rsidRDefault="003E2332" w:rsidP="00BB313D">
            <w:pPr>
              <w:widowControl w:val="0"/>
              <w:spacing w:line="240" w:lineRule="exact"/>
              <w:jc w:val="center"/>
              <w:rPr>
                <w:b/>
                <w:sz w:val="16"/>
                <w:szCs w:val="16"/>
              </w:rPr>
            </w:pPr>
            <w:r>
              <w:rPr>
                <w:b/>
                <w:sz w:val="16"/>
                <w:szCs w:val="16"/>
              </w:rPr>
              <w:t>1,2</w:t>
            </w:r>
          </w:p>
        </w:tc>
      </w:tr>
    </w:tbl>
    <w:p w:rsidR="00665097" w:rsidRDefault="00665097" w:rsidP="00BB313D">
      <w:pPr>
        <w:pStyle w:val="Encabezado"/>
        <w:widowControl w:val="0"/>
        <w:tabs>
          <w:tab w:val="clear" w:pos="4252"/>
          <w:tab w:val="clear" w:pos="8504"/>
        </w:tabs>
        <w:rPr>
          <w:rFonts w:cs="Arial"/>
        </w:rPr>
      </w:pPr>
    </w:p>
    <w:p w:rsidR="00614A88" w:rsidRPr="00D74019" w:rsidRDefault="00614A88" w:rsidP="00BB313D">
      <w:pPr>
        <w:pStyle w:val="Encabezado"/>
        <w:widowControl w:val="0"/>
        <w:tabs>
          <w:tab w:val="clear" w:pos="4252"/>
          <w:tab w:val="clear" w:pos="8504"/>
        </w:tabs>
        <w:rPr>
          <w:rFonts w:cs="Arial"/>
        </w:rPr>
      </w:pPr>
    </w:p>
    <w:p w:rsidR="00665097" w:rsidRDefault="00DE1512" w:rsidP="00BB313D">
      <w:pPr>
        <w:widowControl w:val="0"/>
        <w:spacing w:line="240" w:lineRule="auto"/>
        <w:jc w:val="center"/>
        <w:rPr>
          <w:rFonts w:cs="Arial"/>
          <w:b/>
          <w:color w:val="1F497D" w:themeColor="text2"/>
          <w:sz w:val="18"/>
          <w:szCs w:val="18"/>
        </w:rPr>
      </w:pPr>
      <w:bookmarkStart w:id="224" w:name="_Toc391999632"/>
      <w:bookmarkStart w:id="225" w:name="_Toc450119515"/>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60</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933322">
        <w:rPr>
          <w:rFonts w:cs="Arial"/>
          <w:b/>
          <w:color w:val="1F497D" w:themeColor="text2"/>
          <w:sz w:val="18"/>
          <w:szCs w:val="18"/>
        </w:rPr>
        <w:t>RATIOS DE ENDEUDAM</w:t>
      </w:r>
      <w:r w:rsidR="003E2332">
        <w:rPr>
          <w:rFonts w:cs="Arial"/>
          <w:b/>
          <w:color w:val="1F497D" w:themeColor="text2"/>
          <w:sz w:val="18"/>
          <w:szCs w:val="18"/>
        </w:rPr>
        <w:t>IENTO SEGÚN FORMA JURÍDICA. 2014</w:t>
      </w:r>
      <w:r w:rsidR="00C86565">
        <w:rPr>
          <w:rFonts w:cs="Arial"/>
          <w:b/>
          <w:color w:val="1F497D" w:themeColor="text2"/>
          <w:sz w:val="18"/>
          <w:szCs w:val="18"/>
        </w:rPr>
        <w:t xml:space="preserve"> </w:t>
      </w:r>
      <w:r w:rsidR="00665097" w:rsidRPr="00933322">
        <w:rPr>
          <w:rFonts w:cs="Arial"/>
          <w:b/>
          <w:color w:val="1F497D" w:themeColor="text2"/>
          <w:sz w:val="18"/>
          <w:szCs w:val="18"/>
        </w:rPr>
        <w:t>(% Fondos Ajenos/Fondos Propios)</w:t>
      </w:r>
      <w:bookmarkEnd w:id="224"/>
      <w:bookmarkEnd w:id="225"/>
      <w:r w:rsidR="00665097" w:rsidRPr="00933322">
        <w:rPr>
          <w:rFonts w:cs="Arial"/>
          <w:b/>
          <w:color w:val="1F497D" w:themeColor="text2"/>
          <w:sz w:val="18"/>
          <w:szCs w:val="18"/>
        </w:rPr>
        <w:t xml:space="preserve"> </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370"/>
        <w:gridCol w:w="5570"/>
      </w:tblGrid>
      <w:tr w:rsidR="00665097" w:rsidRPr="00E95A1F" w:rsidTr="00175D09">
        <w:trPr>
          <w:jc w:val="center"/>
        </w:trPr>
        <w:tc>
          <w:tcPr>
            <w:tcW w:w="2198"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802"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E95A1F" w:rsidRDefault="00665097" w:rsidP="00BB313D">
            <w:pPr>
              <w:widowControl w:val="0"/>
              <w:spacing w:line="240" w:lineRule="exact"/>
              <w:jc w:val="center"/>
              <w:rPr>
                <w:rFonts w:cs="Arial"/>
                <w:b/>
                <w:sz w:val="16"/>
                <w:szCs w:val="16"/>
              </w:rPr>
            </w:pPr>
            <w:r>
              <w:rPr>
                <w:rFonts w:cs="Arial"/>
                <w:b/>
                <w:sz w:val="16"/>
                <w:szCs w:val="16"/>
              </w:rPr>
              <w:t>Ratio de endeudamiento</w:t>
            </w:r>
          </w:p>
        </w:tc>
      </w:tr>
      <w:tr w:rsidR="00665097" w:rsidRPr="00E95A1F" w:rsidTr="00175D09">
        <w:trPr>
          <w:jc w:val="center"/>
        </w:trPr>
        <w:tc>
          <w:tcPr>
            <w:tcW w:w="2198"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802"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p>
        </w:tc>
      </w:tr>
      <w:tr w:rsidR="00665097" w:rsidRPr="00E95A1F" w:rsidTr="00175D09">
        <w:trPr>
          <w:jc w:val="center"/>
        </w:trPr>
        <w:tc>
          <w:tcPr>
            <w:tcW w:w="2198" w:type="pct"/>
            <w:tcBorders>
              <w:top w:val="single" w:sz="4" w:space="0" w:color="BFBFBF" w:themeColor="background1" w:themeShade="BF"/>
              <w:bottom w:val="nil"/>
              <w:right w:val="single" w:sz="4" w:space="0" w:color="BFBFBF" w:themeColor="background1" w:themeShade="BF"/>
            </w:tcBorders>
          </w:tcPr>
          <w:p w:rsidR="00665097" w:rsidRPr="00D74019" w:rsidRDefault="00665097" w:rsidP="00BB313D">
            <w:pPr>
              <w:widowControl w:val="0"/>
              <w:spacing w:line="240" w:lineRule="exact"/>
              <w:rPr>
                <w:rFonts w:cs="Arial"/>
                <w:color w:val="000000"/>
                <w:sz w:val="16"/>
                <w:szCs w:val="16"/>
              </w:rPr>
            </w:pPr>
            <w:r w:rsidRPr="00D74019">
              <w:rPr>
                <w:rFonts w:cs="Arial"/>
                <w:color w:val="000000"/>
                <w:sz w:val="16"/>
                <w:szCs w:val="16"/>
              </w:rPr>
              <w:t xml:space="preserve">S. </w:t>
            </w:r>
            <w:proofErr w:type="spellStart"/>
            <w:r w:rsidRPr="00D74019">
              <w:rPr>
                <w:rFonts w:cs="Arial"/>
                <w:color w:val="000000"/>
                <w:sz w:val="16"/>
                <w:szCs w:val="16"/>
              </w:rPr>
              <w:t>Coop</w:t>
            </w:r>
            <w:proofErr w:type="spellEnd"/>
          </w:p>
        </w:tc>
        <w:tc>
          <w:tcPr>
            <w:tcW w:w="2802" w:type="pct"/>
            <w:tcBorders>
              <w:top w:val="single" w:sz="4" w:space="0" w:color="BFBFBF" w:themeColor="background1" w:themeShade="BF"/>
              <w:left w:val="single" w:sz="4" w:space="0" w:color="BFBFBF" w:themeColor="background1" w:themeShade="BF"/>
              <w:bottom w:val="nil"/>
              <w:right w:val="nil"/>
            </w:tcBorders>
            <w:vAlign w:val="bottom"/>
          </w:tcPr>
          <w:p w:rsidR="00665097" w:rsidRPr="00CA29C7" w:rsidRDefault="003E2332" w:rsidP="00BB313D">
            <w:pPr>
              <w:widowControl w:val="0"/>
              <w:spacing w:line="240" w:lineRule="exact"/>
              <w:jc w:val="center"/>
              <w:rPr>
                <w:rFonts w:cs="Arial"/>
                <w:sz w:val="16"/>
                <w:szCs w:val="16"/>
              </w:rPr>
            </w:pPr>
            <w:r>
              <w:rPr>
                <w:rFonts w:cs="Arial"/>
                <w:sz w:val="16"/>
                <w:szCs w:val="16"/>
              </w:rPr>
              <w:t>4,6</w:t>
            </w:r>
          </w:p>
        </w:tc>
      </w:tr>
      <w:tr w:rsidR="00665097" w:rsidRPr="00E95A1F" w:rsidTr="00175D09">
        <w:trPr>
          <w:jc w:val="center"/>
        </w:trPr>
        <w:tc>
          <w:tcPr>
            <w:tcW w:w="2198" w:type="pct"/>
            <w:tcBorders>
              <w:top w:val="nil"/>
              <w:bottom w:val="nil"/>
              <w:right w:val="single" w:sz="4" w:space="0" w:color="BFBFBF" w:themeColor="background1" w:themeShade="BF"/>
            </w:tcBorders>
          </w:tcPr>
          <w:p w:rsidR="00665097" w:rsidRPr="00D74019" w:rsidRDefault="00665097" w:rsidP="00BB313D">
            <w:pPr>
              <w:widowControl w:val="0"/>
              <w:spacing w:line="240" w:lineRule="exact"/>
              <w:rPr>
                <w:rFonts w:cs="Arial"/>
                <w:color w:val="000000"/>
                <w:sz w:val="16"/>
                <w:szCs w:val="16"/>
              </w:rPr>
            </w:pPr>
            <w:r w:rsidRPr="00D74019">
              <w:rPr>
                <w:rFonts w:cs="Arial"/>
                <w:color w:val="000000"/>
                <w:sz w:val="16"/>
                <w:szCs w:val="16"/>
              </w:rPr>
              <w:t>SAL</w:t>
            </w:r>
          </w:p>
        </w:tc>
        <w:tc>
          <w:tcPr>
            <w:tcW w:w="2802" w:type="pct"/>
            <w:tcBorders>
              <w:top w:val="nil"/>
              <w:left w:val="single" w:sz="4" w:space="0" w:color="BFBFBF" w:themeColor="background1" w:themeShade="BF"/>
              <w:bottom w:val="nil"/>
              <w:right w:val="nil"/>
            </w:tcBorders>
            <w:vAlign w:val="bottom"/>
          </w:tcPr>
          <w:p w:rsidR="00665097" w:rsidRPr="00CA29C7" w:rsidRDefault="003E2332" w:rsidP="00BB313D">
            <w:pPr>
              <w:widowControl w:val="0"/>
              <w:spacing w:line="240" w:lineRule="exact"/>
              <w:jc w:val="center"/>
              <w:rPr>
                <w:rFonts w:cs="Arial"/>
                <w:sz w:val="16"/>
                <w:szCs w:val="16"/>
              </w:rPr>
            </w:pPr>
            <w:r>
              <w:rPr>
                <w:rFonts w:cs="Arial"/>
                <w:sz w:val="16"/>
                <w:szCs w:val="16"/>
              </w:rPr>
              <w:t>2,9</w:t>
            </w:r>
          </w:p>
        </w:tc>
      </w:tr>
      <w:tr w:rsidR="00665097" w:rsidRPr="00E95A1F" w:rsidTr="00175D09">
        <w:trPr>
          <w:jc w:val="center"/>
        </w:trPr>
        <w:tc>
          <w:tcPr>
            <w:tcW w:w="2198" w:type="pct"/>
            <w:tcBorders>
              <w:top w:val="nil"/>
              <w:bottom w:val="single" w:sz="4" w:space="0" w:color="BFBFBF" w:themeColor="background1" w:themeShade="BF"/>
              <w:right w:val="single" w:sz="4" w:space="0" w:color="BFBFBF" w:themeColor="background1" w:themeShade="BF"/>
            </w:tcBorders>
          </w:tcPr>
          <w:p w:rsidR="00665097" w:rsidRPr="00D74019" w:rsidRDefault="00665097" w:rsidP="00BB313D">
            <w:pPr>
              <w:widowControl w:val="0"/>
              <w:spacing w:line="240" w:lineRule="exact"/>
              <w:rPr>
                <w:rFonts w:cs="Arial"/>
                <w:color w:val="000000"/>
                <w:sz w:val="16"/>
                <w:szCs w:val="16"/>
              </w:rPr>
            </w:pPr>
            <w:r w:rsidRPr="00D74019">
              <w:rPr>
                <w:rFonts w:cs="Arial"/>
                <w:color w:val="000000"/>
                <w:sz w:val="16"/>
                <w:szCs w:val="16"/>
              </w:rPr>
              <w:t>SLL</w:t>
            </w:r>
          </w:p>
        </w:tc>
        <w:tc>
          <w:tcPr>
            <w:tcW w:w="2802" w:type="pct"/>
            <w:tcBorders>
              <w:top w:val="nil"/>
              <w:left w:val="single" w:sz="4" w:space="0" w:color="BFBFBF" w:themeColor="background1" w:themeShade="BF"/>
              <w:bottom w:val="single" w:sz="4" w:space="0" w:color="BFBFBF" w:themeColor="background1" w:themeShade="BF"/>
              <w:right w:val="nil"/>
            </w:tcBorders>
            <w:vAlign w:val="bottom"/>
          </w:tcPr>
          <w:p w:rsidR="00665097" w:rsidRPr="00CA29C7" w:rsidRDefault="003E2332" w:rsidP="00BB313D">
            <w:pPr>
              <w:widowControl w:val="0"/>
              <w:spacing w:line="240" w:lineRule="exact"/>
              <w:jc w:val="center"/>
              <w:rPr>
                <w:rFonts w:cs="Arial"/>
                <w:color w:val="000000"/>
                <w:sz w:val="16"/>
                <w:szCs w:val="16"/>
              </w:rPr>
            </w:pPr>
            <w:r>
              <w:rPr>
                <w:rFonts w:cs="Arial"/>
                <w:color w:val="000000"/>
                <w:sz w:val="16"/>
                <w:szCs w:val="16"/>
              </w:rPr>
              <w:t>1,5</w:t>
            </w:r>
          </w:p>
        </w:tc>
      </w:tr>
      <w:tr w:rsidR="00665097" w:rsidRPr="006209F1" w:rsidTr="00175D09">
        <w:trPr>
          <w:jc w:val="center"/>
        </w:trPr>
        <w:tc>
          <w:tcPr>
            <w:tcW w:w="2198"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6209F1" w:rsidRDefault="00665097" w:rsidP="00BB313D">
            <w:pPr>
              <w:widowControl w:val="0"/>
              <w:spacing w:line="240" w:lineRule="exact"/>
              <w:rPr>
                <w:b/>
                <w:sz w:val="16"/>
                <w:szCs w:val="16"/>
              </w:rPr>
            </w:pPr>
            <w:r w:rsidRPr="006209F1">
              <w:rPr>
                <w:b/>
                <w:sz w:val="16"/>
                <w:szCs w:val="16"/>
              </w:rPr>
              <w:t>TOTAL</w:t>
            </w:r>
          </w:p>
        </w:tc>
        <w:tc>
          <w:tcPr>
            <w:tcW w:w="280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665097" w:rsidRPr="006209F1" w:rsidRDefault="003E2332" w:rsidP="00BB313D">
            <w:pPr>
              <w:widowControl w:val="0"/>
              <w:spacing w:line="240" w:lineRule="exact"/>
              <w:jc w:val="center"/>
              <w:rPr>
                <w:b/>
                <w:sz w:val="16"/>
                <w:szCs w:val="16"/>
              </w:rPr>
            </w:pPr>
            <w:r>
              <w:rPr>
                <w:b/>
                <w:sz w:val="16"/>
                <w:szCs w:val="16"/>
              </w:rPr>
              <w:t>4,5</w:t>
            </w:r>
          </w:p>
        </w:tc>
      </w:tr>
    </w:tbl>
    <w:p w:rsidR="00665097" w:rsidRDefault="00665097" w:rsidP="00BB313D">
      <w:pPr>
        <w:widowControl w:val="0"/>
      </w:pPr>
    </w:p>
    <w:p w:rsidR="001C63DE" w:rsidRDefault="001C63DE"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226" w:name="_Toc391999633"/>
      <w:bookmarkStart w:id="227" w:name="_Toc45011951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933322">
        <w:rPr>
          <w:rFonts w:cs="Arial"/>
          <w:b/>
          <w:color w:val="1F497D" w:themeColor="text2"/>
          <w:sz w:val="18"/>
          <w:szCs w:val="18"/>
        </w:rPr>
        <w:t>RATIOS DE GAR</w:t>
      </w:r>
      <w:r w:rsidR="000342A1">
        <w:rPr>
          <w:rFonts w:cs="Arial"/>
          <w:b/>
          <w:color w:val="1F497D" w:themeColor="text2"/>
          <w:sz w:val="18"/>
          <w:szCs w:val="18"/>
        </w:rPr>
        <w:t>ANTÍA SEGÚN FORMA JURÍDICA. 2014</w:t>
      </w:r>
      <w:r w:rsidR="00C86565">
        <w:rPr>
          <w:rFonts w:cs="Arial"/>
          <w:b/>
          <w:color w:val="1F497D" w:themeColor="text2"/>
          <w:sz w:val="18"/>
          <w:szCs w:val="18"/>
        </w:rPr>
        <w:t xml:space="preserve"> </w:t>
      </w:r>
      <w:r w:rsidR="00051B3E">
        <w:rPr>
          <w:rFonts w:cs="Arial"/>
          <w:b/>
          <w:color w:val="1F497D" w:themeColor="text2"/>
          <w:sz w:val="18"/>
          <w:szCs w:val="18"/>
        </w:rPr>
        <w:t>(</w:t>
      </w:r>
      <w:r w:rsidR="00665097" w:rsidRPr="00933322">
        <w:rPr>
          <w:rFonts w:cs="Arial"/>
          <w:b/>
          <w:color w:val="1F497D" w:themeColor="text2"/>
          <w:sz w:val="18"/>
          <w:szCs w:val="18"/>
        </w:rPr>
        <w:t>Activo Total/Exigible Total)</w:t>
      </w:r>
      <w:bookmarkEnd w:id="226"/>
      <w:bookmarkEnd w:id="227"/>
      <w:r w:rsidR="00665097" w:rsidRPr="00933322">
        <w:rPr>
          <w:rFonts w:cs="Arial"/>
          <w:b/>
          <w:color w:val="1F497D" w:themeColor="text2"/>
          <w:sz w:val="18"/>
          <w:szCs w:val="18"/>
        </w:rPr>
        <w:t xml:space="preserve"> </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374"/>
        <w:gridCol w:w="5566"/>
      </w:tblGrid>
      <w:tr w:rsidR="00665097" w:rsidRPr="00E95A1F" w:rsidTr="00175D09">
        <w:trPr>
          <w:jc w:val="center"/>
        </w:trPr>
        <w:tc>
          <w:tcPr>
            <w:tcW w:w="2200"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800"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E95A1F" w:rsidRDefault="00665097" w:rsidP="00BB313D">
            <w:pPr>
              <w:widowControl w:val="0"/>
              <w:spacing w:line="240" w:lineRule="exact"/>
              <w:jc w:val="center"/>
              <w:rPr>
                <w:rFonts w:cs="Arial"/>
                <w:b/>
                <w:sz w:val="16"/>
                <w:szCs w:val="16"/>
              </w:rPr>
            </w:pPr>
            <w:r>
              <w:rPr>
                <w:rFonts w:cs="Arial"/>
                <w:b/>
                <w:sz w:val="16"/>
                <w:szCs w:val="16"/>
              </w:rPr>
              <w:t>Ratio de garantía</w:t>
            </w:r>
          </w:p>
        </w:tc>
      </w:tr>
      <w:tr w:rsidR="00665097" w:rsidRPr="00E95A1F" w:rsidTr="00175D09">
        <w:trPr>
          <w:jc w:val="center"/>
        </w:trPr>
        <w:tc>
          <w:tcPr>
            <w:tcW w:w="2200"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E95A1F" w:rsidRDefault="00665097" w:rsidP="00BB313D">
            <w:pPr>
              <w:widowControl w:val="0"/>
              <w:spacing w:line="240" w:lineRule="exact"/>
              <w:rPr>
                <w:rFonts w:cs="Arial"/>
                <w:b/>
                <w:sz w:val="16"/>
                <w:szCs w:val="16"/>
              </w:rPr>
            </w:pPr>
          </w:p>
        </w:tc>
        <w:tc>
          <w:tcPr>
            <w:tcW w:w="2800"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E95A1F" w:rsidRDefault="00665097" w:rsidP="00BB313D">
            <w:pPr>
              <w:widowControl w:val="0"/>
              <w:spacing w:line="240" w:lineRule="exact"/>
              <w:jc w:val="center"/>
              <w:rPr>
                <w:rFonts w:cs="Arial"/>
                <w:b/>
                <w:sz w:val="16"/>
                <w:szCs w:val="16"/>
              </w:rPr>
            </w:pPr>
          </w:p>
        </w:tc>
      </w:tr>
      <w:tr w:rsidR="00665097" w:rsidRPr="00E95A1F" w:rsidTr="00175D09">
        <w:trPr>
          <w:jc w:val="center"/>
        </w:trPr>
        <w:tc>
          <w:tcPr>
            <w:tcW w:w="2200" w:type="pct"/>
            <w:tcBorders>
              <w:top w:val="single" w:sz="4" w:space="0" w:color="BFBFBF" w:themeColor="background1" w:themeShade="BF"/>
              <w:bottom w:val="nil"/>
              <w:right w:val="single" w:sz="4" w:space="0" w:color="BFBFBF" w:themeColor="background1" w:themeShade="BF"/>
            </w:tcBorders>
          </w:tcPr>
          <w:p w:rsidR="00665097" w:rsidRPr="00D74019" w:rsidRDefault="00665097" w:rsidP="00BB313D">
            <w:pPr>
              <w:widowControl w:val="0"/>
              <w:spacing w:line="240" w:lineRule="exact"/>
              <w:rPr>
                <w:rFonts w:cs="Arial"/>
                <w:color w:val="000000"/>
                <w:sz w:val="16"/>
                <w:szCs w:val="16"/>
              </w:rPr>
            </w:pPr>
            <w:r w:rsidRPr="00D74019">
              <w:rPr>
                <w:rFonts w:cs="Arial"/>
                <w:color w:val="000000"/>
                <w:sz w:val="16"/>
                <w:szCs w:val="16"/>
              </w:rPr>
              <w:t xml:space="preserve">S. </w:t>
            </w:r>
            <w:proofErr w:type="spellStart"/>
            <w:r w:rsidRPr="00D74019">
              <w:rPr>
                <w:rFonts w:cs="Arial"/>
                <w:color w:val="000000"/>
                <w:sz w:val="16"/>
                <w:szCs w:val="16"/>
              </w:rPr>
              <w:t>Coop</w:t>
            </w:r>
            <w:proofErr w:type="spellEnd"/>
          </w:p>
        </w:tc>
        <w:tc>
          <w:tcPr>
            <w:tcW w:w="2800" w:type="pct"/>
            <w:tcBorders>
              <w:top w:val="single" w:sz="4" w:space="0" w:color="BFBFBF" w:themeColor="background1" w:themeShade="BF"/>
              <w:left w:val="single" w:sz="4" w:space="0" w:color="BFBFBF" w:themeColor="background1" w:themeShade="BF"/>
              <w:bottom w:val="nil"/>
              <w:right w:val="nil"/>
            </w:tcBorders>
            <w:vAlign w:val="bottom"/>
          </w:tcPr>
          <w:p w:rsidR="00665097" w:rsidRPr="00CA29C7" w:rsidRDefault="00665097" w:rsidP="00BB313D">
            <w:pPr>
              <w:widowControl w:val="0"/>
              <w:spacing w:line="240" w:lineRule="auto"/>
              <w:ind w:right="170"/>
              <w:jc w:val="center"/>
              <w:rPr>
                <w:rFonts w:cs="Arial"/>
                <w:color w:val="000000"/>
                <w:sz w:val="16"/>
                <w:szCs w:val="16"/>
              </w:rPr>
            </w:pPr>
            <w:r w:rsidRPr="00CA29C7">
              <w:rPr>
                <w:rFonts w:cs="Arial"/>
                <w:color w:val="000000"/>
                <w:sz w:val="16"/>
                <w:szCs w:val="16"/>
              </w:rPr>
              <w:t>1,</w:t>
            </w:r>
            <w:r w:rsidR="000342A1">
              <w:rPr>
                <w:rFonts w:cs="Arial"/>
                <w:color w:val="000000"/>
                <w:sz w:val="16"/>
                <w:szCs w:val="16"/>
              </w:rPr>
              <w:t>2</w:t>
            </w:r>
          </w:p>
        </w:tc>
      </w:tr>
      <w:tr w:rsidR="00665097" w:rsidRPr="00E95A1F" w:rsidTr="00175D09">
        <w:trPr>
          <w:jc w:val="center"/>
        </w:trPr>
        <w:tc>
          <w:tcPr>
            <w:tcW w:w="2200" w:type="pct"/>
            <w:tcBorders>
              <w:top w:val="nil"/>
              <w:bottom w:val="nil"/>
              <w:right w:val="single" w:sz="4" w:space="0" w:color="BFBFBF" w:themeColor="background1" w:themeShade="BF"/>
            </w:tcBorders>
          </w:tcPr>
          <w:p w:rsidR="00665097" w:rsidRPr="00D74019" w:rsidRDefault="00665097" w:rsidP="00BB313D">
            <w:pPr>
              <w:widowControl w:val="0"/>
              <w:spacing w:line="240" w:lineRule="exact"/>
              <w:rPr>
                <w:rFonts w:cs="Arial"/>
                <w:color w:val="000000"/>
                <w:sz w:val="16"/>
                <w:szCs w:val="16"/>
              </w:rPr>
            </w:pPr>
            <w:r w:rsidRPr="00D74019">
              <w:rPr>
                <w:rFonts w:cs="Arial"/>
                <w:color w:val="000000"/>
                <w:sz w:val="16"/>
                <w:szCs w:val="16"/>
              </w:rPr>
              <w:t>SAL</w:t>
            </w:r>
          </w:p>
        </w:tc>
        <w:tc>
          <w:tcPr>
            <w:tcW w:w="2800" w:type="pct"/>
            <w:tcBorders>
              <w:top w:val="nil"/>
              <w:left w:val="single" w:sz="4" w:space="0" w:color="BFBFBF" w:themeColor="background1" w:themeShade="BF"/>
              <w:bottom w:val="nil"/>
              <w:right w:val="nil"/>
            </w:tcBorders>
            <w:vAlign w:val="bottom"/>
          </w:tcPr>
          <w:p w:rsidR="00665097" w:rsidRPr="00CA29C7" w:rsidRDefault="00665097" w:rsidP="00BB313D">
            <w:pPr>
              <w:widowControl w:val="0"/>
              <w:spacing w:line="240" w:lineRule="auto"/>
              <w:ind w:right="170"/>
              <w:jc w:val="center"/>
              <w:rPr>
                <w:rFonts w:cs="Arial"/>
                <w:color w:val="000000"/>
                <w:sz w:val="16"/>
                <w:szCs w:val="16"/>
              </w:rPr>
            </w:pPr>
            <w:r w:rsidRPr="00CA29C7">
              <w:rPr>
                <w:rFonts w:cs="Arial"/>
                <w:color w:val="000000"/>
                <w:sz w:val="16"/>
                <w:szCs w:val="16"/>
              </w:rPr>
              <w:t>1,</w:t>
            </w:r>
            <w:r w:rsidR="000342A1">
              <w:rPr>
                <w:rFonts w:cs="Arial"/>
                <w:color w:val="000000"/>
                <w:sz w:val="16"/>
                <w:szCs w:val="16"/>
              </w:rPr>
              <w:t>3</w:t>
            </w:r>
          </w:p>
        </w:tc>
      </w:tr>
      <w:tr w:rsidR="00665097" w:rsidRPr="00E95A1F" w:rsidTr="00175D09">
        <w:trPr>
          <w:jc w:val="center"/>
        </w:trPr>
        <w:tc>
          <w:tcPr>
            <w:tcW w:w="2200" w:type="pct"/>
            <w:tcBorders>
              <w:top w:val="nil"/>
              <w:bottom w:val="single" w:sz="4" w:space="0" w:color="BFBFBF" w:themeColor="background1" w:themeShade="BF"/>
              <w:right w:val="single" w:sz="4" w:space="0" w:color="BFBFBF" w:themeColor="background1" w:themeShade="BF"/>
            </w:tcBorders>
          </w:tcPr>
          <w:p w:rsidR="00665097" w:rsidRPr="00D74019" w:rsidRDefault="00665097" w:rsidP="00BB313D">
            <w:pPr>
              <w:widowControl w:val="0"/>
              <w:spacing w:line="240" w:lineRule="exact"/>
              <w:rPr>
                <w:rFonts w:cs="Arial"/>
                <w:color w:val="000000"/>
                <w:sz w:val="16"/>
                <w:szCs w:val="16"/>
              </w:rPr>
            </w:pPr>
            <w:r w:rsidRPr="00D74019">
              <w:rPr>
                <w:rFonts w:cs="Arial"/>
                <w:color w:val="000000"/>
                <w:sz w:val="16"/>
                <w:szCs w:val="16"/>
              </w:rPr>
              <w:t>SLL</w:t>
            </w:r>
          </w:p>
        </w:tc>
        <w:tc>
          <w:tcPr>
            <w:tcW w:w="2800" w:type="pct"/>
            <w:tcBorders>
              <w:top w:val="nil"/>
              <w:left w:val="single" w:sz="4" w:space="0" w:color="BFBFBF" w:themeColor="background1" w:themeShade="BF"/>
              <w:bottom w:val="single" w:sz="4" w:space="0" w:color="BFBFBF" w:themeColor="background1" w:themeShade="BF"/>
              <w:right w:val="nil"/>
            </w:tcBorders>
            <w:vAlign w:val="bottom"/>
          </w:tcPr>
          <w:p w:rsidR="00665097" w:rsidRPr="00CA29C7" w:rsidRDefault="00665097" w:rsidP="00BB313D">
            <w:pPr>
              <w:widowControl w:val="0"/>
              <w:spacing w:line="240" w:lineRule="auto"/>
              <w:ind w:right="170"/>
              <w:jc w:val="center"/>
              <w:rPr>
                <w:rFonts w:cs="Arial"/>
                <w:color w:val="000000"/>
                <w:sz w:val="16"/>
                <w:szCs w:val="16"/>
              </w:rPr>
            </w:pPr>
            <w:r w:rsidRPr="00CA29C7">
              <w:rPr>
                <w:rFonts w:cs="Arial"/>
                <w:color w:val="000000"/>
                <w:sz w:val="16"/>
                <w:szCs w:val="16"/>
              </w:rPr>
              <w:t>1,</w:t>
            </w:r>
            <w:r w:rsidR="000342A1">
              <w:rPr>
                <w:rFonts w:cs="Arial"/>
                <w:color w:val="000000"/>
                <w:sz w:val="16"/>
                <w:szCs w:val="16"/>
              </w:rPr>
              <w:t>7</w:t>
            </w:r>
          </w:p>
        </w:tc>
      </w:tr>
      <w:tr w:rsidR="00665097" w:rsidRPr="006209F1" w:rsidTr="00175D09">
        <w:trPr>
          <w:jc w:val="center"/>
        </w:trPr>
        <w:tc>
          <w:tcPr>
            <w:tcW w:w="2200"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6209F1" w:rsidRDefault="00665097" w:rsidP="00BB313D">
            <w:pPr>
              <w:widowControl w:val="0"/>
              <w:spacing w:line="240" w:lineRule="exact"/>
              <w:rPr>
                <w:b/>
                <w:sz w:val="16"/>
                <w:szCs w:val="16"/>
              </w:rPr>
            </w:pPr>
            <w:r w:rsidRPr="006209F1">
              <w:rPr>
                <w:b/>
                <w:sz w:val="16"/>
                <w:szCs w:val="16"/>
              </w:rPr>
              <w:t>TOTAL</w:t>
            </w:r>
          </w:p>
        </w:tc>
        <w:tc>
          <w:tcPr>
            <w:tcW w:w="280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665097" w:rsidRPr="006209F1" w:rsidRDefault="00665097" w:rsidP="00BB313D">
            <w:pPr>
              <w:widowControl w:val="0"/>
              <w:spacing w:line="240" w:lineRule="exact"/>
              <w:ind w:right="170"/>
              <w:jc w:val="center"/>
              <w:rPr>
                <w:b/>
                <w:sz w:val="16"/>
                <w:szCs w:val="16"/>
              </w:rPr>
            </w:pPr>
            <w:r w:rsidRPr="006209F1">
              <w:rPr>
                <w:b/>
                <w:sz w:val="16"/>
                <w:szCs w:val="16"/>
              </w:rPr>
              <w:t>1,</w:t>
            </w:r>
            <w:r w:rsidR="000342A1">
              <w:rPr>
                <w:b/>
                <w:sz w:val="16"/>
                <w:szCs w:val="16"/>
              </w:rPr>
              <w:t>2</w:t>
            </w:r>
          </w:p>
        </w:tc>
      </w:tr>
    </w:tbl>
    <w:p w:rsidR="00665097" w:rsidRPr="00976F0E" w:rsidRDefault="00665097" w:rsidP="00BB313D">
      <w:pPr>
        <w:pStyle w:val="Encabezado"/>
        <w:widowControl w:val="0"/>
        <w:tabs>
          <w:tab w:val="clear" w:pos="4252"/>
          <w:tab w:val="clear" w:pos="8504"/>
        </w:tabs>
        <w:rPr>
          <w:rFonts w:cs="Arial"/>
          <w:color w:val="000000"/>
          <w:highlight w:val="yellow"/>
        </w:rPr>
      </w:pPr>
    </w:p>
    <w:p w:rsidR="00DA23E1" w:rsidRDefault="00DA23E1" w:rsidP="00BB313D">
      <w:pPr>
        <w:widowControl w:val="0"/>
        <w:spacing w:after="200" w:line="276" w:lineRule="auto"/>
        <w:jc w:val="left"/>
        <w:rPr>
          <w:rFonts w:cs="Arial"/>
          <w:b/>
          <w:color w:val="1F497D" w:themeColor="text2"/>
          <w:sz w:val="18"/>
          <w:szCs w:val="18"/>
        </w:rPr>
      </w:pPr>
      <w:r>
        <w:rPr>
          <w:rFonts w:cs="Arial"/>
          <w:b/>
          <w:color w:val="1F497D" w:themeColor="text2"/>
          <w:sz w:val="18"/>
          <w:szCs w:val="18"/>
        </w:rPr>
        <w:br w:type="page"/>
      </w:r>
    </w:p>
    <w:p w:rsidR="00665097" w:rsidRDefault="00DE1512" w:rsidP="00BB313D">
      <w:pPr>
        <w:widowControl w:val="0"/>
        <w:spacing w:line="240" w:lineRule="auto"/>
        <w:jc w:val="center"/>
        <w:rPr>
          <w:rFonts w:cs="Arial"/>
          <w:b/>
          <w:color w:val="1F497D" w:themeColor="text2"/>
          <w:sz w:val="18"/>
          <w:szCs w:val="18"/>
        </w:rPr>
      </w:pPr>
      <w:bookmarkStart w:id="228" w:name="_Toc391999634"/>
      <w:bookmarkStart w:id="229" w:name="_Toc450119517"/>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933322">
        <w:rPr>
          <w:rFonts w:cs="Arial"/>
          <w:b/>
          <w:color w:val="1F497D" w:themeColor="text2"/>
          <w:sz w:val="18"/>
          <w:szCs w:val="18"/>
        </w:rPr>
        <w:t>RATIOS DE ENDEUDAMIENTO</w:t>
      </w:r>
      <w:r w:rsidR="00CB09B1">
        <w:rPr>
          <w:rFonts w:cs="Arial"/>
          <w:b/>
          <w:color w:val="1F497D" w:themeColor="text2"/>
          <w:sz w:val="18"/>
          <w:szCs w:val="18"/>
        </w:rPr>
        <w:t xml:space="preserve"> SEGÚN TAMAÑO DE EMPRESA. 2014</w:t>
      </w:r>
      <w:r w:rsidR="00C86565">
        <w:rPr>
          <w:rFonts w:cs="Arial"/>
          <w:b/>
          <w:color w:val="1F497D" w:themeColor="text2"/>
          <w:sz w:val="18"/>
          <w:szCs w:val="18"/>
        </w:rPr>
        <w:t xml:space="preserve"> </w:t>
      </w:r>
      <w:r w:rsidR="00051B3E">
        <w:rPr>
          <w:rFonts w:cs="Arial"/>
          <w:b/>
          <w:color w:val="1F497D" w:themeColor="text2"/>
          <w:sz w:val="18"/>
          <w:szCs w:val="18"/>
        </w:rPr>
        <w:t>(</w:t>
      </w:r>
      <w:r w:rsidR="00665097" w:rsidRPr="00933322">
        <w:rPr>
          <w:rFonts w:cs="Arial"/>
          <w:b/>
          <w:color w:val="1F497D" w:themeColor="text2"/>
          <w:sz w:val="18"/>
          <w:szCs w:val="18"/>
        </w:rPr>
        <w:t>Fondos Ajenos/Fondos Propios)</w:t>
      </w:r>
      <w:bookmarkEnd w:id="228"/>
      <w:bookmarkEnd w:id="229"/>
      <w:r w:rsidR="00665097" w:rsidRPr="00933322">
        <w:rPr>
          <w:rFonts w:cs="Arial"/>
          <w:b/>
          <w:color w:val="1F497D" w:themeColor="text2"/>
          <w:sz w:val="18"/>
          <w:szCs w:val="18"/>
        </w:rPr>
        <w:t xml:space="preserve"> </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654"/>
        <w:gridCol w:w="5286"/>
      </w:tblGrid>
      <w:tr w:rsidR="00665097" w:rsidRPr="00E95A1F" w:rsidTr="00175D09">
        <w:trPr>
          <w:jc w:val="center"/>
        </w:trPr>
        <w:tc>
          <w:tcPr>
            <w:tcW w:w="2341"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665097" w:rsidRPr="00E95A1F" w:rsidRDefault="00665097" w:rsidP="00332690">
            <w:pPr>
              <w:widowControl w:val="0"/>
              <w:spacing w:line="240" w:lineRule="exact"/>
              <w:rPr>
                <w:rFonts w:cs="Arial"/>
                <w:b/>
                <w:sz w:val="16"/>
                <w:szCs w:val="16"/>
              </w:rPr>
            </w:pPr>
          </w:p>
        </w:tc>
        <w:tc>
          <w:tcPr>
            <w:tcW w:w="2659" w:type="pct"/>
            <w:vMerge w:val="restar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665097" w:rsidRPr="00E95A1F" w:rsidRDefault="00665097" w:rsidP="00332690">
            <w:pPr>
              <w:widowControl w:val="0"/>
              <w:spacing w:line="240" w:lineRule="exact"/>
              <w:jc w:val="center"/>
              <w:rPr>
                <w:rFonts w:cs="Arial"/>
                <w:b/>
                <w:sz w:val="16"/>
                <w:szCs w:val="16"/>
              </w:rPr>
            </w:pPr>
            <w:r>
              <w:rPr>
                <w:rFonts w:cs="Arial"/>
                <w:b/>
                <w:sz w:val="16"/>
                <w:szCs w:val="16"/>
              </w:rPr>
              <w:t>Ratio de endeudamiento</w:t>
            </w:r>
          </w:p>
        </w:tc>
      </w:tr>
      <w:tr w:rsidR="00665097" w:rsidRPr="00E95A1F" w:rsidTr="00175D09">
        <w:trPr>
          <w:jc w:val="center"/>
        </w:trPr>
        <w:tc>
          <w:tcPr>
            <w:tcW w:w="2341"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E95A1F" w:rsidRDefault="00665097" w:rsidP="00332690">
            <w:pPr>
              <w:widowControl w:val="0"/>
              <w:spacing w:line="240" w:lineRule="exact"/>
              <w:rPr>
                <w:rFonts w:cs="Arial"/>
                <w:b/>
                <w:sz w:val="16"/>
                <w:szCs w:val="16"/>
              </w:rPr>
            </w:pPr>
          </w:p>
        </w:tc>
        <w:tc>
          <w:tcPr>
            <w:tcW w:w="2659" w:type="pct"/>
            <w:vMerge/>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tcPr>
          <w:p w:rsidR="00665097" w:rsidRPr="00E95A1F" w:rsidRDefault="00665097" w:rsidP="00332690">
            <w:pPr>
              <w:widowControl w:val="0"/>
              <w:spacing w:line="240" w:lineRule="exact"/>
              <w:jc w:val="center"/>
              <w:rPr>
                <w:rFonts w:cs="Arial"/>
                <w:b/>
                <w:sz w:val="16"/>
                <w:szCs w:val="16"/>
              </w:rPr>
            </w:pPr>
          </w:p>
        </w:tc>
      </w:tr>
      <w:tr w:rsidR="00323369" w:rsidRPr="00E95A1F" w:rsidTr="00175D09">
        <w:trPr>
          <w:jc w:val="center"/>
        </w:trPr>
        <w:tc>
          <w:tcPr>
            <w:tcW w:w="2341" w:type="pct"/>
            <w:tcBorders>
              <w:top w:val="single" w:sz="4" w:space="0" w:color="BFBFBF" w:themeColor="background1" w:themeShade="BF"/>
              <w:bottom w:val="nil"/>
              <w:right w:val="single" w:sz="4" w:space="0" w:color="BFBFBF" w:themeColor="background1" w:themeShade="BF"/>
            </w:tcBorders>
            <w:vAlign w:val="bottom"/>
          </w:tcPr>
          <w:p w:rsidR="00323369" w:rsidRPr="00BF0EA9" w:rsidRDefault="00323369" w:rsidP="00332690">
            <w:pPr>
              <w:widowControl w:val="0"/>
              <w:spacing w:line="240" w:lineRule="exact"/>
              <w:rPr>
                <w:rFonts w:cs="Arial"/>
                <w:color w:val="000000"/>
                <w:sz w:val="16"/>
                <w:szCs w:val="16"/>
              </w:rPr>
            </w:pPr>
            <w:r w:rsidRPr="00BF0EA9">
              <w:rPr>
                <w:rFonts w:cs="Arial"/>
                <w:color w:val="000000"/>
                <w:sz w:val="16"/>
                <w:szCs w:val="16"/>
              </w:rPr>
              <w:t>Hasta 5 empleos</w:t>
            </w:r>
          </w:p>
        </w:tc>
        <w:tc>
          <w:tcPr>
            <w:tcW w:w="2659" w:type="pct"/>
            <w:tcBorders>
              <w:top w:val="single" w:sz="4" w:space="0" w:color="BFBFBF" w:themeColor="background1" w:themeShade="BF"/>
              <w:left w:val="single" w:sz="4" w:space="0" w:color="BFBFBF" w:themeColor="background1" w:themeShade="BF"/>
              <w:bottom w:val="nil"/>
              <w:right w:val="nil"/>
            </w:tcBorders>
            <w:vAlign w:val="bottom"/>
          </w:tcPr>
          <w:p w:rsidR="00323369" w:rsidRPr="00323369" w:rsidRDefault="00323369" w:rsidP="00332690">
            <w:pPr>
              <w:widowControl w:val="0"/>
              <w:spacing w:line="240" w:lineRule="exact"/>
              <w:ind w:right="170"/>
              <w:jc w:val="center"/>
              <w:rPr>
                <w:rFonts w:cs="Arial"/>
                <w:color w:val="000000"/>
                <w:sz w:val="16"/>
                <w:szCs w:val="16"/>
              </w:rPr>
            </w:pPr>
            <w:r w:rsidRPr="00323369">
              <w:rPr>
                <w:rFonts w:cs="Arial"/>
                <w:color w:val="000000"/>
                <w:sz w:val="16"/>
                <w:szCs w:val="16"/>
              </w:rPr>
              <w:t>0,4</w:t>
            </w:r>
          </w:p>
        </w:tc>
      </w:tr>
      <w:tr w:rsidR="00323369" w:rsidRPr="00E95A1F" w:rsidTr="00175D09">
        <w:trPr>
          <w:jc w:val="center"/>
        </w:trPr>
        <w:tc>
          <w:tcPr>
            <w:tcW w:w="2341" w:type="pct"/>
            <w:tcBorders>
              <w:top w:val="nil"/>
              <w:bottom w:val="nil"/>
              <w:right w:val="single" w:sz="4" w:space="0" w:color="BFBFBF" w:themeColor="background1" w:themeShade="BF"/>
            </w:tcBorders>
            <w:vAlign w:val="bottom"/>
          </w:tcPr>
          <w:p w:rsidR="00323369" w:rsidRPr="00BF0EA9" w:rsidRDefault="00323369" w:rsidP="00332690">
            <w:pPr>
              <w:widowControl w:val="0"/>
              <w:spacing w:line="240" w:lineRule="exact"/>
              <w:rPr>
                <w:rFonts w:cs="Arial"/>
                <w:color w:val="000000"/>
                <w:sz w:val="16"/>
                <w:szCs w:val="16"/>
              </w:rPr>
            </w:pPr>
            <w:r w:rsidRPr="00BF0EA9">
              <w:rPr>
                <w:rFonts w:cs="Arial"/>
                <w:color w:val="000000"/>
                <w:sz w:val="16"/>
                <w:szCs w:val="16"/>
              </w:rPr>
              <w:t>De 6 a 15</w:t>
            </w:r>
          </w:p>
        </w:tc>
        <w:tc>
          <w:tcPr>
            <w:tcW w:w="2659" w:type="pct"/>
            <w:tcBorders>
              <w:top w:val="nil"/>
              <w:left w:val="single" w:sz="4" w:space="0" w:color="BFBFBF" w:themeColor="background1" w:themeShade="BF"/>
              <w:bottom w:val="nil"/>
              <w:right w:val="nil"/>
            </w:tcBorders>
            <w:vAlign w:val="bottom"/>
          </w:tcPr>
          <w:p w:rsidR="00323369" w:rsidRPr="00323369" w:rsidRDefault="00323369" w:rsidP="00332690">
            <w:pPr>
              <w:widowControl w:val="0"/>
              <w:spacing w:line="240" w:lineRule="exact"/>
              <w:ind w:right="170"/>
              <w:jc w:val="center"/>
              <w:rPr>
                <w:rFonts w:cs="Arial"/>
                <w:color w:val="000000"/>
                <w:sz w:val="16"/>
                <w:szCs w:val="16"/>
              </w:rPr>
            </w:pPr>
            <w:r w:rsidRPr="00323369">
              <w:rPr>
                <w:rFonts w:cs="Arial"/>
                <w:color w:val="000000"/>
                <w:sz w:val="16"/>
                <w:szCs w:val="16"/>
              </w:rPr>
              <w:t>1,4</w:t>
            </w:r>
          </w:p>
        </w:tc>
      </w:tr>
      <w:tr w:rsidR="00323369" w:rsidRPr="00E95A1F" w:rsidTr="00175D09">
        <w:trPr>
          <w:jc w:val="center"/>
        </w:trPr>
        <w:tc>
          <w:tcPr>
            <w:tcW w:w="2341" w:type="pct"/>
            <w:tcBorders>
              <w:top w:val="nil"/>
              <w:bottom w:val="nil"/>
              <w:right w:val="single" w:sz="4" w:space="0" w:color="BFBFBF" w:themeColor="background1" w:themeShade="BF"/>
            </w:tcBorders>
            <w:vAlign w:val="bottom"/>
          </w:tcPr>
          <w:p w:rsidR="00323369" w:rsidRPr="00BF0EA9" w:rsidRDefault="00323369" w:rsidP="00332690">
            <w:pPr>
              <w:widowControl w:val="0"/>
              <w:spacing w:line="240" w:lineRule="exact"/>
              <w:rPr>
                <w:rFonts w:cs="Arial"/>
                <w:color w:val="000000"/>
                <w:sz w:val="16"/>
                <w:szCs w:val="16"/>
              </w:rPr>
            </w:pPr>
            <w:r w:rsidRPr="00BF0EA9">
              <w:rPr>
                <w:rFonts w:cs="Arial"/>
                <w:color w:val="000000"/>
                <w:sz w:val="16"/>
                <w:szCs w:val="16"/>
              </w:rPr>
              <w:t>De 16 a 50</w:t>
            </w:r>
          </w:p>
        </w:tc>
        <w:tc>
          <w:tcPr>
            <w:tcW w:w="2659" w:type="pct"/>
            <w:tcBorders>
              <w:top w:val="nil"/>
              <w:left w:val="single" w:sz="4" w:space="0" w:color="BFBFBF" w:themeColor="background1" w:themeShade="BF"/>
              <w:bottom w:val="nil"/>
              <w:right w:val="nil"/>
            </w:tcBorders>
            <w:vAlign w:val="bottom"/>
          </w:tcPr>
          <w:p w:rsidR="00323369" w:rsidRPr="00323369" w:rsidRDefault="00323369" w:rsidP="00332690">
            <w:pPr>
              <w:widowControl w:val="0"/>
              <w:spacing w:line="240" w:lineRule="exact"/>
              <w:ind w:right="170"/>
              <w:jc w:val="center"/>
              <w:rPr>
                <w:rFonts w:cs="Arial"/>
                <w:color w:val="000000"/>
                <w:sz w:val="16"/>
                <w:szCs w:val="16"/>
              </w:rPr>
            </w:pPr>
            <w:r w:rsidRPr="00323369">
              <w:rPr>
                <w:rFonts w:cs="Arial"/>
                <w:color w:val="000000"/>
                <w:sz w:val="16"/>
                <w:szCs w:val="16"/>
              </w:rPr>
              <w:t>2,6</w:t>
            </w:r>
          </w:p>
        </w:tc>
      </w:tr>
      <w:tr w:rsidR="00323369" w:rsidRPr="00E95A1F" w:rsidTr="00175D09">
        <w:trPr>
          <w:jc w:val="center"/>
        </w:trPr>
        <w:tc>
          <w:tcPr>
            <w:tcW w:w="2341" w:type="pct"/>
            <w:tcBorders>
              <w:top w:val="nil"/>
              <w:bottom w:val="nil"/>
              <w:right w:val="single" w:sz="4" w:space="0" w:color="BFBFBF" w:themeColor="background1" w:themeShade="BF"/>
            </w:tcBorders>
            <w:vAlign w:val="bottom"/>
          </w:tcPr>
          <w:p w:rsidR="00323369" w:rsidRPr="00BF0EA9" w:rsidRDefault="00323369" w:rsidP="00332690">
            <w:pPr>
              <w:widowControl w:val="0"/>
              <w:spacing w:line="240" w:lineRule="exact"/>
              <w:rPr>
                <w:rFonts w:cs="Arial"/>
                <w:color w:val="000000"/>
                <w:sz w:val="16"/>
                <w:szCs w:val="16"/>
              </w:rPr>
            </w:pPr>
            <w:r w:rsidRPr="00BF0EA9">
              <w:rPr>
                <w:rFonts w:cs="Arial"/>
                <w:color w:val="000000"/>
                <w:sz w:val="16"/>
                <w:szCs w:val="16"/>
              </w:rPr>
              <w:t>De 51 a 100</w:t>
            </w:r>
          </w:p>
        </w:tc>
        <w:tc>
          <w:tcPr>
            <w:tcW w:w="2659" w:type="pct"/>
            <w:tcBorders>
              <w:top w:val="nil"/>
              <w:left w:val="single" w:sz="4" w:space="0" w:color="BFBFBF" w:themeColor="background1" w:themeShade="BF"/>
              <w:bottom w:val="nil"/>
              <w:right w:val="nil"/>
            </w:tcBorders>
            <w:vAlign w:val="bottom"/>
          </w:tcPr>
          <w:p w:rsidR="00323369" w:rsidRPr="00323369" w:rsidRDefault="00323369" w:rsidP="00332690">
            <w:pPr>
              <w:widowControl w:val="0"/>
              <w:spacing w:line="240" w:lineRule="exact"/>
              <w:ind w:right="170"/>
              <w:jc w:val="center"/>
              <w:rPr>
                <w:rFonts w:cs="Arial"/>
                <w:color w:val="000000"/>
                <w:sz w:val="16"/>
                <w:szCs w:val="16"/>
              </w:rPr>
            </w:pPr>
            <w:r w:rsidRPr="00323369">
              <w:rPr>
                <w:rFonts w:cs="Arial"/>
                <w:color w:val="000000"/>
                <w:sz w:val="16"/>
                <w:szCs w:val="16"/>
              </w:rPr>
              <w:t>1,1</w:t>
            </w:r>
          </w:p>
        </w:tc>
      </w:tr>
      <w:tr w:rsidR="00323369" w:rsidRPr="00E95A1F" w:rsidTr="00175D09">
        <w:trPr>
          <w:jc w:val="center"/>
        </w:trPr>
        <w:tc>
          <w:tcPr>
            <w:tcW w:w="2341" w:type="pct"/>
            <w:tcBorders>
              <w:top w:val="nil"/>
              <w:bottom w:val="nil"/>
              <w:right w:val="single" w:sz="4" w:space="0" w:color="BFBFBF" w:themeColor="background1" w:themeShade="BF"/>
            </w:tcBorders>
            <w:vAlign w:val="bottom"/>
          </w:tcPr>
          <w:p w:rsidR="00323369" w:rsidRPr="00BF0EA9" w:rsidRDefault="00323369" w:rsidP="00332690">
            <w:pPr>
              <w:widowControl w:val="0"/>
              <w:spacing w:line="240" w:lineRule="exact"/>
              <w:rPr>
                <w:rFonts w:cs="Arial"/>
                <w:color w:val="000000"/>
                <w:sz w:val="16"/>
                <w:szCs w:val="16"/>
              </w:rPr>
            </w:pPr>
            <w:r w:rsidRPr="00BF0EA9">
              <w:rPr>
                <w:rFonts w:cs="Arial"/>
                <w:color w:val="000000"/>
                <w:sz w:val="16"/>
                <w:szCs w:val="16"/>
              </w:rPr>
              <w:t>De 101 a 200</w:t>
            </w:r>
          </w:p>
        </w:tc>
        <w:tc>
          <w:tcPr>
            <w:tcW w:w="2659" w:type="pct"/>
            <w:tcBorders>
              <w:top w:val="nil"/>
              <w:left w:val="single" w:sz="4" w:space="0" w:color="BFBFBF" w:themeColor="background1" w:themeShade="BF"/>
              <w:bottom w:val="nil"/>
              <w:right w:val="nil"/>
            </w:tcBorders>
            <w:vAlign w:val="bottom"/>
          </w:tcPr>
          <w:p w:rsidR="00323369" w:rsidRPr="00323369" w:rsidRDefault="00323369" w:rsidP="00332690">
            <w:pPr>
              <w:widowControl w:val="0"/>
              <w:spacing w:line="240" w:lineRule="exact"/>
              <w:ind w:right="170"/>
              <w:jc w:val="center"/>
              <w:rPr>
                <w:rFonts w:cs="Arial"/>
                <w:color w:val="000000"/>
                <w:sz w:val="16"/>
                <w:szCs w:val="16"/>
              </w:rPr>
            </w:pPr>
            <w:r w:rsidRPr="00323369">
              <w:rPr>
                <w:rFonts w:cs="Arial"/>
                <w:color w:val="000000"/>
                <w:sz w:val="16"/>
                <w:szCs w:val="16"/>
              </w:rPr>
              <w:t>1,1</w:t>
            </w:r>
          </w:p>
        </w:tc>
      </w:tr>
      <w:tr w:rsidR="00323369" w:rsidRPr="00E95A1F" w:rsidTr="00175D09">
        <w:trPr>
          <w:jc w:val="center"/>
        </w:trPr>
        <w:tc>
          <w:tcPr>
            <w:tcW w:w="2341" w:type="pct"/>
            <w:tcBorders>
              <w:top w:val="nil"/>
              <w:bottom w:val="nil"/>
              <w:right w:val="single" w:sz="4" w:space="0" w:color="BFBFBF" w:themeColor="background1" w:themeShade="BF"/>
            </w:tcBorders>
            <w:vAlign w:val="bottom"/>
          </w:tcPr>
          <w:p w:rsidR="00323369" w:rsidRPr="00BF0EA9" w:rsidRDefault="00323369" w:rsidP="00332690">
            <w:pPr>
              <w:widowControl w:val="0"/>
              <w:spacing w:line="240" w:lineRule="exact"/>
              <w:rPr>
                <w:rFonts w:cs="Arial"/>
                <w:color w:val="000000"/>
                <w:sz w:val="16"/>
                <w:szCs w:val="16"/>
              </w:rPr>
            </w:pPr>
            <w:r w:rsidRPr="00BF0EA9">
              <w:rPr>
                <w:rFonts w:cs="Arial"/>
                <w:color w:val="000000"/>
                <w:sz w:val="16"/>
                <w:szCs w:val="16"/>
              </w:rPr>
              <w:t>De 201 a 500</w:t>
            </w:r>
          </w:p>
        </w:tc>
        <w:tc>
          <w:tcPr>
            <w:tcW w:w="2659" w:type="pct"/>
            <w:tcBorders>
              <w:top w:val="nil"/>
              <w:left w:val="single" w:sz="4" w:space="0" w:color="BFBFBF" w:themeColor="background1" w:themeShade="BF"/>
              <w:bottom w:val="nil"/>
              <w:right w:val="nil"/>
            </w:tcBorders>
            <w:vAlign w:val="bottom"/>
          </w:tcPr>
          <w:p w:rsidR="00323369" w:rsidRPr="00323369" w:rsidRDefault="00323369" w:rsidP="00332690">
            <w:pPr>
              <w:widowControl w:val="0"/>
              <w:spacing w:line="240" w:lineRule="exact"/>
              <w:ind w:right="170"/>
              <w:jc w:val="center"/>
              <w:rPr>
                <w:rFonts w:cs="Arial"/>
                <w:color w:val="000000"/>
                <w:sz w:val="16"/>
                <w:szCs w:val="16"/>
              </w:rPr>
            </w:pPr>
            <w:r w:rsidRPr="00323369">
              <w:rPr>
                <w:rFonts w:cs="Arial"/>
                <w:color w:val="000000"/>
                <w:sz w:val="16"/>
                <w:szCs w:val="16"/>
              </w:rPr>
              <w:t>3,8</w:t>
            </w:r>
          </w:p>
        </w:tc>
      </w:tr>
      <w:tr w:rsidR="00323369" w:rsidRPr="00E95A1F" w:rsidTr="00175D09">
        <w:trPr>
          <w:jc w:val="center"/>
        </w:trPr>
        <w:tc>
          <w:tcPr>
            <w:tcW w:w="2341" w:type="pct"/>
            <w:tcBorders>
              <w:top w:val="nil"/>
              <w:bottom w:val="single" w:sz="4" w:space="0" w:color="BFBFBF" w:themeColor="background1" w:themeShade="BF"/>
              <w:right w:val="single" w:sz="4" w:space="0" w:color="BFBFBF" w:themeColor="background1" w:themeShade="BF"/>
            </w:tcBorders>
            <w:vAlign w:val="bottom"/>
          </w:tcPr>
          <w:p w:rsidR="00323369" w:rsidRPr="00BF0EA9" w:rsidRDefault="00323369" w:rsidP="00332690">
            <w:pPr>
              <w:widowControl w:val="0"/>
              <w:spacing w:line="240" w:lineRule="exact"/>
              <w:rPr>
                <w:rFonts w:cs="Arial"/>
                <w:color w:val="000000"/>
                <w:sz w:val="16"/>
                <w:szCs w:val="16"/>
              </w:rPr>
            </w:pPr>
            <w:r w:rsidRPr="00BF0EA9">
              <w:rPr>
                <w:rFonts w:cs="Arial"/>
                <w:color w:val="000000"/>
                <w:sz w:val="16"/>
                <w:szCs w:val="16"/>
              </w:rPr>
              <w:t>Más de 500 empleos</w:t>
            </w:r>
          </w:p>
        </w:tc>
        <w:tc>
          <w:tcPr>
            <w:tcW w:w="2659" w:type="pct"/>
            <w:tcBorders>
              <w:top w:val="nil"/>
              <w:left w:val="single" w:sz="4" w:space="0" w:color="BFBFBF" w:themeColor="background1" w:themeShade="BF"/>
              <w:bottom w:val="single" w:sz="4" w:space="0" w:color="BFBFBF" w:themeColor="background1" w:themeShade="BF"/>
              <w:right w:val="nil"/>
            </w:tcBorders>
            <w:vAlign w:val="bottom"/>
          </w:tcPr>
          <w:p w:rsidR="00323369" w:rsidRPr="00323369" w:rsidRDefault="00323369" w:rsidP="00332690">
            <w:pPr>
              <w:widowControl w:val="0"/>
              <w:spacing w:line="240" w:lineRule="exact"/>
              <w:ind w:right="170"/>
              <w:jc w:val="center"/>
              <w:rPr>
                <w:rFonts w:cs="Arial"/>
                <w:color w:val="000000"/>
                <w:sz w:val="16"/>
                <w:szCs w:val="16"/>
              </w:rPr>
            </w:pPr>
            <w:r w:rsidRPr="00323369">
              <w:rPr>
                <w:rFonts w:cs="Arial"/>
                <w:color w:val="000000"/>
                <w:sz w:val="16"/>
                <w:szCs w:val="16"/>
              </w:rPr>
              <w:t>7,1</w:t>
            </w:r>
          </w:p>
        </w:tc>
      </w:tr>
      <w:tr w:rsidR="00665097" w:rsidRPr="00E95A1F" w:rsidTr="00175D09">
        <w:trPr>
          <w:jc w:val="center"/>
        </w:trPr>
        <w:tc>
          <w:tcPr>
            <w:tcW w:w="234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665097" w:rsidRPr="00BF0EA9" w:rsidRDefault="006209F1" w:rsidP="00332690">
            <w:pPr>
              <w:widowControl w:val="0"/>
              <w:spacing w:line="240" w:lineRule="exact"/>
              <w:rPr>
                <w:rFonts w:cs="Arial"/>
                <w:b/>
                <w:color w:val="000000"/>
                <w:sz w:val="16"/>
                <w:szCs w:val="16"/>
              </w:rPr>
            </w:pPr>
            <w:r w:rsidRPr="00BF0EA9">
              <w:rPr>
                <w:rFonts w:cs="Arial"/>
                <w:b/>
                <w:bCs/>
                <w:color w:val="000000"/>
                <w:sz w:val="16"/>
                <w:szCs w:val="16"/>
              </w:rPr>
              <w:t>TOTAL</w:t>
            </w:r>
          </w:p>
        </w:tc>
        <w:tc>
          <w:tcPr>
            <w:tcW w:w="2659"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665097" w:rsidRPr="00BF0EA9" w:rsidRDefault="000342A1" w:rsidP="00332690">
            <w:pPr>
              <w:widowControl w:val="0"/>
              <w:spacing w:line="240" w:lineRule="exact"/>
              <w:jc w:val="center"/>
              <w:rPr>
                <w:rFonts w:cs="Arial"/>
                <w:b/>
                <w:color w:val="000000"/>
                <w:sz w:val="16"/>
                <w:szCs w:val="16"/>
              </w:rPr>
            </w:pPr>
            <w:r>
              <w:rPr>
                <w:rFonts w:cs="Arial"/>
                <w:b/>
                <w:sz w:val="16"/>
                <w:szCs w:val="16"/>
              </w:rPr>
              <w:t>4,5</w:t>
            </w:r>
          </w:p>
        </w:tc>
      </w:tr>
    </w:tbl>
    <w:p w:rsidR="00665097" w:rsidRDefault="00665097" w:rsidP="00BB313D">
      <w:pPr>
        <w:widowControl w:val="0"/>
      </w:pPr>
    </w:p>
    <w:p w:rsidR="004D5123" w:rsidRDefault="004D5123" w:rsidP="00BB313D">
      <w:pPr>
        <w:widowControl w:val="0"/>
      </w:pPr>
    </w:p>
    <w:p w:rsidR="00665097" w:rsidRPr="007F1968" w:rsidRDefault="00665097" w:rsidP="00BB313D">
      <w:pPr>
        <w:pStyle w:val="Ttulo1"/>
        <w:keepNext w:val="0"/>
        <w:ind w:left="708" w:hanging="708"/>
        <w:rPr>
          <w:color w:val="1F497D" w:themeColor="text2"/>
          <w:sz w:val="22"/>
          <w:szCs w:val="22"/>
        </w:rPr>
      </w:pPr>
      <w:bookmarkStart w:id="230" w:name="_Toc391999524"/>
      <w:bookmarkStart w:id="231" w:name="_Toc450118917"/>
      <w:r w:rsidRPr="007F1968">
        <w:rPr>
          <w:color w:val="1F497D" w:themeColor="text2"/>
          <w:sz w:val="22"/>
          <w:szCs w:val="22"/>
        </w:rPr>
        <w:t>5.2.-</w:t>
      </w:r>
      <w:r w:rsidRPr="007F1968">
        <w:rPr>
          <w:color w:val="1F497D" w:themeColor="text2"/>
          <w:sz w:val="22"/>
          <w:szCs w:val="22"/>
        </w:rPr>
        <w:tab/>
        <w:t>LA INVERSIÓN DE LAS EMPRESAS DE LA ECONOMÍA SOCIAL Y LA FINANCIACIÓN DE LAS AAPP</w:t>
      </w:r>
      <w:bookmarkEnd w:id="230"/>
      <w:bookmarkEnd w:id="231"/>
    </w:p>
    <w:p w:rsidR="00665097" w:rsidRDefault="00665097" w:rsidP="00BB313D">
      <w:pPr>
        <w:widowControl w:val="0"/>
      </w:pPr>
    </w:p>
    <w:p w:rsidR="00665097" w:rsidRPr="004F011F" w:rsidRDefault="00665097" w:rsidP="00BB313D">
      <w:pPr>
        <w:widowControl w:val="0"/>
        <w:spacing w:line="240" w:lineRule="auto"/>
        <w:rPr>
          <w:rFonts w:cs="Arial"/>
          <w:b/>
          <w:color w:val="1F497D" w:themeColor="text2"/>
        </w:rPr>
      </w:pPr>
      <w:r w:rsidRPr="004F011F">
        <w:rPr>
          <w:rFonts w:cs="Arial"/>
          <w:b/>
          <w:color w:val="1F497D" w:themeColor="text2"/>
        </w:rPr>
        <w:t>A. Inversión en Inmovilizado Material</w:t>
      </w:r>
    </w:p>
    <w:p w:rsidR="00665097" w:rsidRPr="00933322" w:rsidRDefault="00665097" w:rsidP="00BB313D">
      <w:pPr>
        <w:widowControl w:val="0"/>
      </w:pPr>
    </w:p>
    <w:p w:rsidR="00665097" w:rsidRDefault="00DE1512" w:rsidP="00BB313D">
      <w:pPr>
        <w:widowControl w:val="0"/>
        <w:spacing w:line="240" w:lineRule="auto"/>
        <w:jc w:val="center"/>
        <w:rPr>
          <w:rFonts w:cs="Arial"/>
          <w:b/>
          <w:color w:val="1F497D" w:themeColor="text2"/>
          <w:sz w:val="18"/>
          <w:szCs w:val="18"/>
        </w:rPr>
      </w:pPr>
      <w:bookmarkStart w:id="232" w:name="_Toc391999635"/>
      <w:bookmarkStart w:id="233" w:name="_Toc450119518"/>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933322">
        <w:rPr>
          <w:rFonts w:cs="Arial"/>
          <w:b/>
          <w:color w:val="1F497D" w:themeColor="text2"/>
          <w:sz w:val="18"/>
          <w:szCs w:val="18"/>
        </w:rPr>
        <w:t>DISTRIBUCIÓN SECTORIAL DE LAS INVERSIONES MATERIALES DE LA ECONOMÍA S</w:t>
      </w:r>
      <w:r w:rsidR="000B3959">
        <w:rPr>
          <w:rFonts w:cs="Arial"/>
          <w:b/>
          <w:color w:val="1F497D" w:themeColor="text2"/>
          <w:sz w:val="18"/>
          <w:szCs w:val="18"/>
        </w:rPr>
        <w:t>OCIAL SEGÚN FORMA JURÍDICA. 2014</w:t>
      </w:r>
      <w:r w:rsidR="00665097" w:rsidRPr="00933322">
        <w:rPr>
          <w:rFonts w:cs="Arial"/>
          <w:b/>
          <w:color w:val="1F497D" w:themeColor="text2"/>
          <w:sz w:val="18"/>
          <w:szCs w:val="18"/>
        </w:rPr>
        <w:t xml:space="preserve"> (</w:t>
      </w:r>
      <w:r w:rsidR="00590809">
        <w:rPr>
          <w:rFonts w:cs="Arial"/>
          <w:b/>
          <w:color w:val="1F497D" w:themeColor="text2"/>
          <w:sz w:val="18"/>
          <w:szCs w:val="18"/>
        </w:rPr>
        <w:t>cifras absolutas en Euros</w:t>
      </w:r>
      <w:r w:rsidR="00665097" w:rsidRPr="00933322">
        <w:rPr>
          <w:rFonts w:cs="Arial"/>
          <w:b/>
          <w:color w:val="1F497D" w:themeColor="text2"/>
          <w:sz w:val="18"/>
          <w:szCs w:val="18"/>
        </w:rPr>
        <w:t xml:space="preserve"> y </w:t>
      </w:r>
      <w:r w:rsidR="008C6D36">
        <w:rPr>
          <w:rFonts w:cs="Arial"/>
          <w:b/>
          <w:color w:val="1F497D" w:themeColor="text2"/>
          <w:sz w:val="18"/>
          <w:szCs w:val="18"/>
        </w:rPr>
        <w:t>% verticales</w:t>
      </w:r>
      <w:r w:rsidR="00665097" w:rsidRPr="00933322">
        <w:rPr>
          <w:rFonts w:cs="Arial"/>
          <w:b/>
          <w:color w:val="1F497D" w:themeColor="text2"/>
          <w:sz w:val="18"/>
          <w:szCs w:val="18"/>
        </w:rPr>
        <w:t>)</w:t>
      </w:r>
      <w:bookmarkEnd w:id="232"/>
      <w:bookmarkEnd w:id="233"/>
      <w:r w:rsidR="00665097" w:rsidRPr="00933322">
        <w:rPr>
          <w:rFonts w:cs="Arial"/>
          <w:b/>
          <w:color w:val="1F497D" w:themeColor="text2"/>
          <w:sz w:val="18"/>
          <w:szCs w:val="18"/>
        </w:rPr>
        <w:t xml:space="preserve"> </w:t>
      </w:r>
    </w:p>
    <w:tbl>
      <w:tblPr>
        <w:tblW w:w="9940" w:type="dxa"/>
        <w:jc w:val="center"/>
        <w:tblCellMar>
          <w:left w:w="70" w:type="dxa"/>
          <w:right w:w="70" w:type="dxa"/>
        </w:tblCellMar>
        <w:tblLook w:val="04A0" w:firstRow="1" w:lastRow="0" w:firstColumn="1" w:lastColumn="0" w:noHBand="0" w:noVBand="1"/>
      </w:tblPr>
      <w:tblGrid>
        <w:gridCol w:w="1517"/>
        <w:gridCol w:w="1384"/>
        <w:gridCol w:w="734"/>
        <w:gridCol w:w="1334"/>
        <w:gridCol w:w="795"/>
        <w:gridCol w:w="1366"/>
        <w:gridCol w:w="711"/>
        <w:gridCol w:w="1366"/>
        <w:gridCol w:w="733"/>
      </w:tblGrid>
      <w:tr w:rsidR="00665097" w:rsidRPr="007227AB" w:rsidTr="00175D09">
        <w:trPr>
          <w:jc w:val="center"/>
        </w:trPr>
        <w:tc>
          <w:tcPr>
            <w:tcW w:w="764"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665097" w:rsidRPr="007227AB" w:rsidRDefault="00665097" w:rsidP="00BB313D">
            <w:pPr>
              <w:widowControl w:val="0"/>
              <w:spacing w:line="240" w:lineRule="exact"/>
              <w:rPr>
                <w:rFonts w:ascii="Calibri" w:hAnsi="Calibri"/>
                <w:color w:val="000000"/>
              </w:rPr>
            </w:pPr>
            <w:r w:rsidRPr="007227AB">
              <w:rPr>
                <w:rFonts w:ascii="Calibri" w:hAnsi="Calibri"/>
                <w:color w:val="000000"/>
              </w:rPr>
              <w:t> </w:t>
            </w:r>
          </w:p>
        </w:tc>
        <w:tc>
          <w:tcPr>
            <w:tcW w:w="1067"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BB313D">
            <w:pPr>
              <w:widowControl w:val="0"/>
              <w:spacing w:line="240" w:lineRule="exact"/>
              <w:jc w:val="center"/>
              <w:rPr>
                <w:rFonts w:cs="Arial"/>
                <w:b/>
                <w:bCs/>
                <w:sz w:val="16"/>
                <w:szCs w:val="16"/>
              </w:rPr>
            </w:pPr>
            <w:r w:rsidRPr="00C67386">
              <w:rPr>
                <w:rFonts w:cs="Arial"/>
                <w:b/>
                <w:bCs/>
                <w:sz w:val="16"/>
                <w:szCs w:val="16"/>
                <w:lang w:val="en-GB"/>
              </w:rPr>
              <w:t>TOTAL</w:t>
            </w:r>
          </w:p>
        </w:tc>
        <w:tc>
          <w:tcPr>
            <w:tcW w:w="1073"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1E5608">
            <w:pPr>
              <w:widowControl w:val="0"/>
              <w:spacing w:line="240" w:lineRule="exact"/>
              <w:jc w:val="center"/>
              <w:rPr>
                <w:rFonts w:cs="Arial"/>
                <w:b/>
                <w:bCs/>
                <w:sz w:val="16"/>
                <w:szCs w:val="16"/>
              </w:rPr>
            </w:pPr>
            <w:proofErr w:type="spellStart"/>
            <w:r w:rsidRPr="00C67386">
              <w:rPr>
                <w:rFonts w:cs="Arial"/>
                <w:b/>
                <w:bCs/>
                <w:sz w:val="16"/>
                <w:szCs w:val="16"/>
                <w:lang w:val="en-GB"/>
              </w:rPr>
              <w:t>S.Coop</w:t>
            </w:r>
            <w:proofErr w:type="spellEnd"/>
            <w:r w:rsidRPr="00C67386">
              <w:rPr>
                <w:rFonts w:cs="Arial"/>
                <w:b/>
                <w:bCs/>
                <w:sz w:val="16"/>
                <w:szCs w:val="16"/>
                <w:lang w:val="en-GB"/>
              </w:rPr>
              <w:t>.</w:t>
            </w:r>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BB313D">
            <w:pPr>
              <w:widowControl w:val="0"/>
              <w:spacing w:line="240" w:lineRule="exact"/>
              <w:jc w:val="center"/>
              <w:rPr>
                <w:rFonts w:cs="Arial"/>
                <w:b/>
                <w:bCs/>
                <w:sz w:val="16"/>
                <w:szCs w:val="16"/>
              </w:rPr>
            </w:pPr>
            <w:r w:rsidRPr="00C67386">
              <w:rPr>
                <w:rFonts w:cs="Arial"/>
                <w:b/>
                <w:bCs/>
                <w:sz w:val="16"/>
                <w:szCs w:val="16"/>
                <w:lang w:val="en-GB"/>
              </w:rPr>
              <w:t>S.A.L.es</w:t>
            </w:r>
          </w:p>
        </w:tc>
        <w:tc>
          <w:tcPr>
            <w:tcW w:w="1057"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665097" w:rsidRPr="00C67386" w:rsidRDefault="00665097" w:rsidP="00BB313D">
            <w:pPr>
              <w:widowControl w:val="0"/>
              <w:spacing w:line="240" w:lineRule="exact"/>
              <w:jc w:val="center"/>
              <w:rPr>
                <w:rFonts w:cs="Arial"/>
                <w:b/>
                <w:bCs/>
                <w:sz w:val="16"/>
                <w:szCs w:val="16"/>
              </w:rPr>
            </w:pPr>
            <w:r w:rsidRPr="00C67386">
              <w:rPr>
                <w:rFonts w:cs="Arial"/>
                <w:b/>
                <w:bCs/>
                <w:sz w:val="16"/>
                <w:szCs w:val="16"/>
                <w:lang w:val="en-GB"/>
              </w:rPr>
              <w:t>S.L.L.es</w:t>
            </w:r>
          </w:p>
        </w:tc>
      </w:tr>
      <w:tr w:rsidR="00665097" w:rsidRPr="007227AB" w:rsidTr="00175D09">
        <w:trPr>
          <w:jc w:val="center"/>
        </w:trPr>
        <w:tc>
          <w:tcPr>
            <w:tcW w:w="764" w:type="pct"/>
            <w:vMerge/>
            <w:tcBorders>
              <w:top w:val="single" w:sz="8" w:space="0" w:color="BFBFBF"/>
              <w:left w:val="nil"/>
              <w:bottom w:val="single" w:sz="8" w:space="0" w:color="BFBFBF"/>
              <w:right w:val="single" w:sz="4" w:space="0" w:color="BFBFBF" w:themeColor="background1" w:themeShade="BF"/>
            </w:tcBorders>
            <w:vAlign w:val="center"/>
            <w:hideMark/>
          </w:tcPr>
          <w:p w:rsidR="00665097" w:rsidRPr="007227AB" w:rsidRDefault="00665097" w:rsidP="00BB313D">
            <w:pPr>
              <w:widowControl w:val="0"/>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BB313D">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70"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c>
          <w:tcPr>
            <w:tcW w:w="672"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BB313D">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BB313D">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BB313D">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69" w:type="pct"/>
            <w:tcBorders>
              <w:top w:val="nil"/>
              <w:left w:val="nil"/>
              <w:bottom w:val="single" w:sz="8" w:space="0" w:color="BFBFBF"/>
              <w:right w:val="nil"/>
            </w:tcBorders>
            <w:shd w:val="clear" w:color="000000" w:fill="DBE5F1"/>
            <w:hideMark/>
          </w:tcPr>
          <w:p w:rsidR="00665097" w:rsidRPr="007227AB" w:rsidRDefault="00153402" w:rsidP="00BB313D">
            <w:pPr>
              <w:widowControl w:val="0"/>
              <w:spacing w:line="240" w:lineRule="exact"/>
              <w:jc w:val="center"/>
              <w:rPr>
                <w:rFonts w:cs="Arial"/>
                <w:b/>
                <w:bCs/>
                <w:color w:val="000000"/>
                <w:sz w:val="16"/>
                <w:szCs w:val="16"/>
              </w:rPr>
            </w:pPr>
            <w:r>
              <w:rPr>
                <w:rFonts w:cs="Arial"/>
                <w:b/>
                <w:bCs/>
                <w:color w:val="000000"/>
                <w:sz w:val="16"/>
                <w:szCs w:val="16"/>
              </w:rPr>
              <w:t>% ver.</w:t>
            </w:r>
          </w:p>
        </w:tc>
      </w:tr>
      <w:tr w:rsidR="00D52D1E" w:rsidRPr="00D52D1E" w:rsidTr="00175D09">
        <w:trPr>
          <w:jc w:val="center"/>
        </w:trPr>
        <w:tc>
          <w:tcPr>
            <w:tcW w:w="764" w:type="pct"/>
            <w:tcBorders>
              <w:top w:val="nil"/>
              <w:left w:val="nil"/>
              <w:bottom w:val="nil"/>
              <w:right w:val="single" w:sz="4" w:space="0" w:color="BFBFBF" w:themeColor="background1" w:themeShade="BF"/>
            </w:tcBorders>
            <w:shd w:val="clear" w:color="auto" w:fill="auto"/>
            <w:hideMark/>
          </w:tcPr>
          <w:p w:rsidR="00D52D1E" w:rsidRPr="00061CD6" w:rsidRDefault="00D52D1E" w:rsidP="00BB313D">
            <w:pPr>
              <w:widowControl w:val="0"/>
              <w:spacing w:line="240" w:lineRule="exact"/>
              <w:rPr>
                <w:rFonts w:cs="Arial"/>
                <w:color w:val="000000"/>
                <w:sz w:val="16"/>
                <w:szCs w:val="16"/>
              </w:rPr>
            </w:pPr>
            <w:r w:rsidRPr="00061CD6">
              <w:rPr>
                <w:rFonts w:cs="Arial"/>
                <w:color w:val="000000"/>
                <w:sz w:val="16"/>
                <w:szCs w:val="16"/>
              </w:rPr>
              <w:t>Primario</w:t>
            </w:r>
          </w:p>
        </w:tc>
        <w:tc>
          <w:tcPr>
            <w:tcW w:w="697"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351.082</w:t>
            </w:r>
          </w:p>
        </w:tc>
        <w:tc>
          <w:tcPr>
            <w:tcW w:w="370"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0,2</w:t>
            </w:r>
          </w:p>
        </w:tc>
        <w:tc>
          <w:tcPr>
            <w:tcW w:w="672"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351.082</w:t>
            </w:r>
          </w:p>
        </w:tc>
        <w:tc>
          <w:tcPr>
            <w:tcW w:w="40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0,2</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w:t>
            </w:r>
          </w:p>
        </w:tc>
        <w:tc>
          <w:tcPr>
            <w:tcW w:w="35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w:t>
            </w:r>
          </w:p>
        </w:tc>
        <w:tc>
          <w:tcPr>
            <w:tcW w:w="369" w:type="pct"/>
            <w:tcBorders>
              <w:top w:val="nil"/>
              <w:left w:val="nil"/>
              <w:bottom w:val="nil"/>
              <w:right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0,0</w:t>
            </w:r>
          </w:p>
        </w:tc>
      </w:tr>
      <w:tr w:rsidR="00D52D1E" w:rsidRPr="00D52D1E" w:rsidTr="00175D09">
        <w:trPr>
          <w:jc w:val="center"/>
        </w:trPr>
        <w:tc>
          <w:tcPr>
            <w:tcW w:w="764" w:type="pct"/>
            <w:tcBorders>
              <w:top w:val="nil"/>
              <w:left w:val="nil"/>
              <w:bottom w:val="nil"/>
              <w:right w:val="single" w:sz="4" w:space="0" w:color="BFBFBF" w:themeColor="background1" w:themeShade="BF"/>
            </w:tcBorders>
            <w:shd w:val="clear" w:color="auto" w:fill="auto"/>
            <w:hideMark/>
          </w:tcPr>
          <w:p w:rsidR="00D52D1E" w:rsidRPr="00061CD6" w:rsidRDefault="00D52D1E" w:rsidP="00BB313D">
            <w:pPr>
              <w:widowControl w:val="0"/>
              <w:spacing w:line="240" w:lineRule="exact"/>
              <w:rPr>
                <w:rFonts w:cs="Arial"/>
                <w:color w:val="000000"/>
                <w:sz w:val="16"/>
                <w:szCs w:val="16"/>
              </w:rPr>
            </w:pPr>
            <w:r w:rsidRPr="00061CD6">
              <w:rPr>
                <w:rFonts w:cs="Arial"/>
                <w:color w:val="000000"/>
                <w:sz w:val="16"/>
                <w:szCs w:val="16"/>
              </w:rPr>
              <w:t>Industria</w:t>
            </w:r>
          </w:p>
        </w:tc>
        <w:tc>
          <w:tcPr>
            <w:tcW w:w="697"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121.528.972</w:t>
            </w:r>
          </w:p>
        </w:tc>
        <w:tc>
          <w:tcPr>
            <w:tcW w:w="370"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61,5</w:t>
            </w:r>
          </w:p>
        </w:tc>
        <w:tc>
          <w:tcPr>
            <w:tcW w:w="672"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107.166.297</w:t>
            </w:r>
          </w:p>
        </w:tc>
        <w:tc>
          <w:tcPr>
            <w:tcW w:w="40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59,1</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8.615.594</w:t>
            </w:r>
          </w:p>
        </w:tc>
        <w:tc>
          <w:tcPr>
            <w:tcW w:w="35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94,6</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5.747.081</w:t>
            </w:r>
          </w:p>
        </w:tc>
        <w:tc>
          <w:tcPr>
            <w:tcW w:w="369" w:type="pct"/>
            <w:tcBorders>
              <w:top w:val="nil"/>
              <w:left w:val="nil"/>
              <w:bottom w:val="nil"/>
              <w:right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80,5</w:t>
            </w:r>
          </w:p>
        </w:tc>
      </w:tr>
      <w:tr w:rsidR="00D52D1E" w:rsidRPr="00D52D1E" w:rsidTr="00175D09">
        <w:trPr>
          <w:trHeight w:val="80"/>
          <w:jc w:val="center"/>
        </w:trPr>
        <w:tc>
          <w:tcPr>
            <w:tcW w:w="764" w:type="pct"/>
            <w:tcBorders>
              <w:top w:val="nil"/>
              <w:left w:val="nil"/>
              <w:bottom w:val="nil"/>
              <w:right w:val="single" w:sz="4" w:space="0" w:color="BFBFBF" w:themeColor="background1" w:themeShade="BF"/>
            </w:tcBorders>
            <w:shd w:val="clear" w:color="auto" w:fill="auto"/>
            <w:vAlign w:val="bottom"/>
            <w:hideMark/>
          </w:tcPr>
          <w:p w:rsidR="00D52D1E" w:rsidRPr="00061CD6" w:rsidRDefault="00D52D1E" w:rsidP="00BB313D">
            <w:pPr>
              <w:widowControl w:val="0"/>
              <w:spacing w:line="240" w:lineRule="exact"/>
              <w:rPr>
                <w:rFonts w:cs="Arial"/>
                <w:color w:val="000000"/>
                <w:sz w:val="16"/>
                <w:szCs w:val="16"/>
              </w:rPr>
            </w:pPr>
            <w:r w:rsidRPr="00061CD6">
              <w:rPr>
                <w:rFonts w:cs="Arial"/>
                <w:color w:val="000000"/>
                <w:sz w:val="16"/>
                <w:szCs w:val="16"/>
              </w:rPr>
              <w:t>Construcción</w:t>
            </w:r>
          </w:p>
        </w:tc>
        <w:tc>
          <w:tcPr>
            <w:tcW w:w="697"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371.610</w:t>
            </w:r>
          </w:p>
        </w:tc>
        <w:tc>
          <w:tcPr>
            <w:tcW w:w="370"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0,2</w:t>
            </w:r>
          </w:p>
        </w:tc>
        <w:tc>
          <w:tcPr>
            <w:tcW w:w="672"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269.871</w:t>
            </w:r>
          </w:p>
        </w:tc>
        <w:tc>
          <w:tcPr>
            <w:tcW w:w="40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0,1</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50.254</w:t>
            </w:r>
          </w:p>
        </w:tc>
        <w:tc>
          <w:tcPr>
            <w:tcW w:w="35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0,6</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51.485</w:t>
            </w:r>
          </w:p>
        </w:tc>
        <w:tc>
          <w:tcPr>
            <w:tcW w:w="369" w:type="pct"/>
            <w:tcBorders>
              <w:top w:val="nil"/>
              <w:left w:val="nil"/>
              <w:bottom w:val="nil"/>
              <w:right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0,7</w:t>
            </w:r>
          </w:p>
        </w:tc>
      </w:tr>
      <w:tr w:rsidR="00D52D1E" w:rsidRPr="00D52D1E" w:rsidTr="00175D09">
        <w:trPr>
          <w:jc w:val="center"/>
        </w:trPr>
        <w:tc>
          <w:tcPr>
            <w:tcW w:w="764" w:type="pct"/>
            <w:tcBorders>
              <w:top w:val="nil"/>
              <w:left w:val="nil"/>
              <w:bottom w:val="nil"/>
              <w:right w:val="single" w:sz="4" w:space="0" w:color="BFBFBF" w:themeColor="background1" w:themeShade="BF"/>
            </w:tcBorders>
            <w:shd w:val="clear" w:color="auto" w:fill="auto"/>
            <w:hideMark/>
          </w:tcPr>
          <w:p w:rsidR="00D52D1E" w:rsidRPr="00061CD6" w:rsidRDefault="00D52D1E" w:rsidP="00BB313D">
            <w:pPr>
              <w:widowControl w:val="0"/>
              <w:spacing w:line="240" w:lineRule="exact"/>
              <w:rPr>
                <w:rFonts w:cs="Arial"/>
                <w:color w:val="000000"/>
                <w:sz w:val="16"/>
                <w:szCs w:val="16"/>
              </w:rPr>
            </w:pPr>
            <w:r w:rsidRPr="00061CD6">
              <w:rPr>
                <w:rFonts w:cs="Arial"/>
                <w:color w:val="000000"/>
                <w:sz w:val="16"/>
                <w:szCs w:val="16"/>
              </w:rPr>
              <w:t>Servicios</w:t>
            </w:r>
          </w:p>
        </w:tc>
        <w:tc>
          <w:tcPr>
            <w:tcW w:w="697"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75.296.438</w:t>
            </w:r>
          </w:p>
        </w:tc>
        <w:tc>
          <w:tcPr>
            <w:tcW w:w="370"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38,1</w:t>
            </w:r>
          </w:p>
        </w:tc>
        <w:tc>
          <w:tcPr>
            <w:tcW w:w="672"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73.516.906</w:t>
            </w:r>
          </w:p>
        </w:tc>
        <w:tc>
          <w:tcPr>
            <w:tcW w:w="40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40,5</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440.710</w:t>
            </w:r>
          </w:p>
        </w:tc>
        <w:tc>
          <w:tcPr>
            <w:tcW w:w="351" w:type="pct"/>
            <w:tcBorders>
              <w:top w:val="nil"/>
              <w:left w:val="nil"/>
              <w:bottom w:val="nil"/>
              <w:right w:val="single" w:sz="4" w:space="0" w:color="BFBFBF" w:themeColor="background1" w:themeShade="BF"/>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4,8</w:t>
            </w:r>
          </w:p>
        </w:tc>
        <w:tc>
          <w:tcPr>
            <w:tcW w:w="688" w:type="pct"/>
            <w:tcBorders>
              <w:top w:val="nil"/>
              <w:left w:val="single" w:sz="4" w:space="0" w:color="BFBFBF" w:themeColor="background1" w:themeShade="BF"/>
              <w:bottom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1.338.822</w:t>
            </w:r>
          </w:p>
        </w:tc>
        <w:tc>
          <w:tcPr>
            <w:tcW w:w="369" w:type="pct"/>
            <w:tcBorders>
              <w:top w:val="nil"/>
              <w:left w:val="nil"/>
              <w:bottom w:val="nil"/>
              <w:right w:val="nil"/>
            </w:tcBorders>
            <w:shd w:val="clear" w:color="auto" w:fill="auto"/>
            <w:vAlign w:val="bottom"/>
            <w:hideMark/>
          </w:tcPr>
          <w:p w:rsidR="00D52D1E" w:rsidRPr="00FC730C" w:rsidRDefault="00D52D1E" w:rsidP="00FC730C">
            <w:pPr>
              <w:widowControl w:val="0"/>
              <w:spacing w:line="240" w:lineRule="exact"/>
              <w:ind w:right="170"/>
              <w:jc w:val="right"/>
              <w:rPr>
                <w:rFonts w:cs="Arial"/>
                <w:color w:val="000000"/>
                <w:sz w:val="16"/>
                <w:szCs w:val="16"/>
              </w:rPr>
            </w:pPr>
            <w:r w:rsidRPr="00FC730C">
              <w:rPr>
                <w:rFonts w:cs="Arial"/>
                <w:color w:val="000000"/>
                <w:sz w:val="16"/>
                <w:szCs w:val="16"/>
              </w:rPr>
              <w:t>18,8</w:t>
            </w:r>
          </w:p>
        </w:tc>
      </w:tr>
      <w:tr w:rsidR="00D52D1E" w:rsidRPr="007227AB" w:rsidTr="00175D09">
        <w:trPr>
          <w:jc w:val="center"/>
        </w:trPr>
        <w:tc>
          <w:tcPr>
            <w:tcW w:w="764"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D52D1E" w:rsidRPr="007227AB" w:rsidRDefault="00D508DF" w:rsidP="00BB313D">
            <w:pPr>
              <w:widowControl w:val="0"/>
              <w:spacing w:line="240" w:lineRule="exact"/>
              <w:rPr>
                <w:rFonts w:cs="Arial"/>
                <w:b/>
                <w:bCs/>
                <w:color w:val="000000"/>
                <w:sz w:val="16"/>
                <w:szCs w:val="16"/>
              </w:rPr>
            </w:pPr>
            <w:r>
              <w:rPr>
                <w:rFonts w:eastAsia="Times New Roman" w:cs="Arial"/>
                <w:b/>
                <w:bCs/>
                <w:color w:val="000000"/>
                <w:sz w:val="16"/>
                <w:szCs w:val="16"/>
                <w:lang w:eastAsia="es-ES"/>
              </w:rPr>
              <w:t>TOTAL</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D52D1E" w:rsidRPr="00FC11DA" w:rsidRDefault="00D52D1E" w:rsidP="00FC11DA">
            <w:pPr>
              <w:widowControl w:val="0"/>
              <w:spacing w:line="240" w:lineRule="exact"/>
              <w:ind w:right="170"/>
              <w:jc w:val="right"/>
              <w:rPr>
                <w:rFonts w:cs="Arial"/>
                <w:b/>
                <w:bCs/>
                <w:color w:val="000000"/>
                <w:sz w:val="16"/>
                <w:szCs w:val="16"/>
              </w:rPr>
            </w:pPr>
            <w:r w:rsidRPr="00FC11DA">
              <w:rPr>
                <w:rFonts w:cs="Arial"/>
                <w:b/>
                <w:bCs/>
                <w:color w:val="000000"/>
                <w:sz w:val="16"/>
                <w:szCs w:val="16"/>
              </w:rPr>
              <w:t>197.548.102</w:t>
            </w:r>
          </w:p>
        </w:tc>
        <w:tc>
          <w:tcPr>
            <w:tcW w:w="37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D52D1E" w:rsidRPr="003F6174" w:rsidRDefault="00D52D1E" w:rsidP="00FC11DA">
            <w:pPr>
              <w:widowControl w:val="0"/>
              <w:spacing w:line="240" w:lineRule="exact"/>
              <w:ind w:right="170"/>
              <w:jc w:val="right"/>
              <w:rPr>
                <w:rFonts w:cs="Arial"/>
                <w:b/>
                <w:bCs/>
                <w:color w:val="000000"/>
                <w:sz w:val="16"/>
                <w:szCs w:val="16"/>
              </w:rPr>
            </w:pPr>
            <w:r w:rsidRPr="003F6174">
              <w:rPr>
                <w:rFonts w:cs="Arial"/>
                <w:b/>
                <w:bCs/>
                <w:color w:val="000000"/>
                <w:sz w:val="16"/>
                <w:szCs w:val="16"/>
              </w:rPr>
              <w:t>100</w:t>
            </w:r>
            <w:r w:rsidR="00A917B1">
              <w:rPr>
                <w:rFonts w:cs="Arial"/>
                <w:b/>
                <w:bCs/>
                <w:color w:val="000000"/>
                <w:sz w:val="16"/>
                <w:szCs w:val="16"/>
              </w:rPr>
              <w:t>,0</w:t>
            </w:r>
          </w:p>
        </w:tc>
        <w:tc>
          <w:tcPr>
            <w:tcW w:w="672"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D52D1E" w:rsidRPr="003F6174" w:rsidRDefault="00D52D1E" w:rsidP="00D373F4">
            <w:pPr>
              <w:widowControl w:val="0"/>
              <w:spacing w:line="240" w:lineRule="exact"/>
              <w:ind w:right="170"/>
              <w:jc w:val="right"/>
              <w:rPr>
                <w:rFonts w:cs="Arial"/>
                <w:b/>
                <w:bCs/>
                <w:color w:val="000000"/>
                <w:sz w:val="16"/>
                <w:szCs w:val="16"/>
              </w:rPr>
            </w:pPr>
            <w:r w:rsidRPr="00C67A44">
              <w:rPr>
                <w:rFonts w:cs="Arial"/>
                <w:b/>
                <w:bCs/>
                <w:color w:val="000000"/>
                <w:sz w:val="16"/>
                <w:szCs w:val="16"/>
              </w:rPr>
              <w:t>181.304.157</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D52D1E" w:rsidRPr="003F6174" w:rsidRDefault="00D52D1E" w:rsidP="00D373F4">
            <w:pPr>
              <w:widowControl w:val="0"/>
              <w:spacing w:line="240" w:lineRule="exact"/>
              <w:ind w:right="170"/>
              <w:jc w:val="right"/>
              <w:rPr>
                <w:rFonts w:cs="Arial"/>
                <w:b/>
                <w:bCs/>
                <w:color w:val="000000"/>
                <w:sz w:val="16"/>
                <w:szCs w:val="16"/>
              </w:rPr>
            </w:pPr>
            <w:r w:rsidRPr="003F6174">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D52D1E" w:rsidRPr="003F6174" w:rsidRDefault="00D52D1E" w:rsidP="00D373F4">
            <w:pPr>
              <w:widowControl w:val="0"/>
              <w:spacing w:line="240" w:lineRule="exact"/>
              <w:ind w:right="170"/>
              <w:jc w:val="right"/>
              <w:rPr>
                <w:rFonts w:cs="Arial"/>
                <w:b/>
                <w:bCs/>
                <w:color w:val="000000"/>
                <w:sz w:val="16"/>
                <w:szCs w:val="16"/>
              </w:rPr>
            </w:pPr>
            <w:r w:rsidRPr="00D373F4">
              <w:rPr>
                <w:rFonts w:cs="Arial"/>
                <w:b/>
                <w:bCs/>
                <w:color w:val="000000"/>
                <w:sz w:val="16"/>
                <w:szCs w:val="16"/>
              </w:rPr>
              <w:t>9.106.557</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D52D1E" w:rsidRPr="003F6174" w:rsidRDefault="00D52D1E" w:rsidP="00D373F4">
            <w:pPr>
              <w:widowControl w:val="0"/>
              <w:spacing w:line="240" w:lineRule="exact"/>
              <w:ind w:right="170"/>
              <w:jc w:val="right"/>
              <w:rPr>
                <w:rFonts w:cs="Arial"/>
                <w:b/>
                <w:bCs/>
                <w:color w:val="000000"/>
                <w:sz w:val="16"/>
                <w:szCs w:val="16"/>
              </w:rPr>
            </w:pPr>
            <w:r w:rsidRPr="003F6174">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D52D1E" w:rsidRPr="00D52D1E" w:rsidRDefault="00D52D1E" w:rsidP="00EC704A">
            <w:pPr>
              <w:widowControl w:val="0"/>
              <w:spacing w:line="240" w:lineRule="exact"/>
              <w:ind w:right="170"/>
              <w:jc w:val="right"/>
              <w:rPr>
                <w:rFonts w:cs="Arial"/>
                <w:b/>
                <w:bCs/>
                <w:color w:val="000000"/>
                <w:sz w:val="16"/>
                <w:szCs w:val="16"/>
              </w:rPr>
            </w:pPr>
            <w:r w:rsidRPr="00D52D1E">
              <w:rPr>
                <w:rFonts w:cs="Arial"/>
                <w:b/>
                <w:bCs/>
                <w:color w:val="000000"/>
                <w:sz w:val="16"/>
                <w:szCs w:val="16"/>
              </w:rPr>
              <w:t>7.137.388</w:t>
            </w:r>
          </w:p>
        </w:tc>
        <w:tc>
          <w:tcPr>
            <w:tcW w:w="369" w:type="pct"/>
            <w:tcBorders>
              <w:top w:val="single" w:sz="4" w:space="0" w:color="BFBFBF" w:themeColor="background1" w:themeShade="BF"/>
              <w:left w:val="nil"/>
              <w:bottom w:val="single" w:sz="8" w:space="0" w:color="BFBFBF"/>
              <w:right w:val="nil"/>
            </w:tcBorders>
            <w:shd w:val="clear" w:color="auto" w:fill="auto"/>
            <w:hideMark/>
          </w:tcPr>
          <w:p w:rsidR="00D52D1E" w:rsidRPr="003F6174" w:rsidRDefault="00D52D1E" w:rsidP="00BB313D">
            <w:pPr>
              <w:widowControl w:val="0"/>
              <w:spacing w:line="240" w:lineRule="exact"/>
              <w:ind w:right="170"/>
              <w:jc w:val="right"/>
              <w:rPr>
                <w:rFonts w:cs="Arial"/>
                <w:b/>
                <w:bCs/>
                <w:color w:val="000000"/>
                <w:sz w:val="16"/>
                <w:szCs w:val="16"/>
              </w:rPr>
            </w:pPr>
            <w:r w:rsidRPr="003F6174">
              <w:rPr>
                <w:rFonts w:cs="Arial"/>
                <w:b/>
                <w:bCs/>
                <w:color w:val="000000"/>
                <w:sz w:val="16"/>
                <w:szCs w:val="16"/>
              </w:rPr>
              <w:t>100</w:t>
            </w:r>
            <w:r w:rsidR="00A917B1">
              <w:rPr>
                <w:rFonts w:cs="Arial"/>
                <w:b/>
                <w:bCs/>
                <w:color w:val="000000"/>
                <w:sz w:val="16"/>
                <w:szCs w:val="16"/>
              </w:rPr>
              <w:t>,0</w:t>
            </w:r>
          </w:p>
        </w:tc>
      </w:tr>
    </w:tbl>
    <w:p w:rsidR="00665097" w:rsidRDefault="00665097" w:rsidP="00BB313D">
      <w:pPr>
        <w:widowControl w:val="0"/>
      </w:pPr>
    </w:p>
    <w:p w:rsidR="004C0F90" w:rsidRDefault="004C0F90" w:rsidP="00BB313D">
      <w:pPr>
        <w:widowControl w:val="0"/>
      </w:pPr>
    </w:p>
    <w:p w:rsidR="00665097" w:rsidRPr="00933322" w:rsidRDefault="00DE1512" w:rsidP="00BB313D">
      <w:pPr>
        <w:widowControl w:val="0"/>
        <w:spacing w:line="240" w:lineRule="auto"/>
        <w:jc w:val="center"/>
        <w:rPr>
          <w:rFonts w:cs="Arial"/>
          <w:b/>
          <w:color w:val="1F497D" w:themeColor="text2"/>
          <w:sz w:val="18"/>
          <w:szCs w:val="18"/>
        </w:rPr>
      </w:pPr>
      <w:bookmarkStart w:id="234" w:name="_Toc391999636"/>
      <w:bookmarkStart w:id="235" w:name="_Toc450119519"/>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933322">
        <w:rPr>
          <w:rFonts w:cs="Arial"/>
          <w:b/>
          <w:color w:val="1F497D" w:themeColor="text2"/>
          <w:sz w:val="18"/>
          <w:szCs w:val="18"/>
        </w:rPr>
        <w:t>RATIOS DE INVERSIÓN POR EMPLEO SEGÚN LA FORMA JURÍDICA. 201</w:t>
      </w:r>
      <w:bookmarkEnd w:id="234"/>
      <w:r w:rsidR="00EC704A">
        <w:rPr>
          <w:rFonts w:cs="Arial"/>
          <w:b/>
          <w:color w:val="1F497D" w:themeColor="text2"/>
          <w:sz w:val="18"/>
          <w:szCs w:val="18"/>
        </w:rPr>
        <w:t>4</w:t>
      </w:r>
      <w:bookmarkEnd w:id="235"/>
    </w:p>
    <w:tbl>
      <w:tblPr>
        <w:tblW w:w="9940" w:type="dxa"/>
        <w:jc w:val="center"/>
        <w:tblBorders>
          <w:bottom w:val="single" w:sz="4" w:space="0" w:color="BFBFBF" w:themeColor="background1" w:themeShade="BF"/>
        </w:tblBorders>
        <w:tblLook w:val="04A0" w:firstRow="1" w:lastRow="0" w:firstColumn="1" w:lastColumn="0" w:noHBand="0" w:noVBand="1"/>
      </w:tblPr>
      <w:tblGrid>
        <w:gridCol w:w="1191"/>
        <w:gridCol w:w="1070"/>
        <w:gridCol w:w="1000"/>
        <w:gridCol w:w="1141"/>
        <w:gridCol w:w="998"/>
        <w:gridCol w:w="1000"/>
        <w:gridCol w:w="1284"/>
        <w:gridCol w:w="1141"/>
        <w:gridCol w:w="1115"/>
      </w:tblGrid>
      <w:tr w:rsidR="00665097" w:rsidRPr="00D122F5" w:rsidTr="00175D09">
        <w:trPr>
          <w:jc w:val="center"/>
        </w:trPr>
        <w:tc>
          <w:tcPr>
            <w:tcW w:w="164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proofErr w:type="spellStart"/>
            <w:r w:rsidRPr="00D122F5">
              <w:rPr>
                <w:rFonts w:cs="Arial"/>
                <w:b/>
                <w:bCs/>
                <w:sz w:val="16"/>
                <w:szCs w:val="16"/>
                <w:lang w:val="en-GB"/>
              </w:rPr>
              <w:t>S.Coop</w:t>
            </w:r>
            <w:proofErr w:type="spellEnd"/>
            <w:r w:rsidRPr="00D122F5">
              <w:rPr>
                <w:rFonts w:cs="Arial"/>
                <w:b/>
                <w:bCs/>
                <w:sz w:val="16"/>
                <w:szCs w:val="16"/>
                <w:lang w:val="en-GB"/>
              </w:rPr>
              <w:t>.</w:t>
            </w:r>
          </w:p>
        </w:tc>
        <w:tc>
          <w:tcPr>
            <w:tcW w:w="157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lang w:val="en-GB"/>
              </w:rPr>
              <w:t>S.A.L.es</w:t>
            </w:r>
          </w:p>
        </w:tc>
        <w:tc>
          <w:tcPr>
            <w:tcW w:w="178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lang w:val="en-GB"/>
              </w:rPr>
              <w:t>S.L.L.es</w:t>
            </w:r>
          </w:p>
        </w:tc>
      </w:tr>
      <w:tr w:rsidR="00665097" w:rsidRPr="00D122F5" w:rsidTr="00175D09">
        <w:trPr>
          <w:jc w:val="center"/>
        </w:trPr>
        <w:tc>
          <w:tcPr>
            <w:tcW w:w="599"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Inversión</w:t>
            </w:r>
          </w:p>
        </w:tc>
        <w:tc>
          <w:tcPr>
            <w:tcW w:w="538"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Empleo</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Ratio</w:t>
            </w:r>
          </w:p>
        </w:tc>
        <w:tc>
          <w:tcPr>
            <w:tcW w:w="57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Inversión</w:t>
            </w:r>
          </w:p>
        </w:tc>
        <w:tc>
          <w:tcPr>
            <w:tcW w:w="502"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Empleo</w:t>
            </w:r>
          </w:p>
        </w:tc>
        <w:tc>
          <w:tcPr>
            <w:tcW w:w="50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Ratio</w:t>
            </w:r>
          </w:p>
        </w:tc>
        <w:tc>
          <w:tcPr>
            <w:tcW w:w="64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Inversión</w:t>
            </w:r>
          </w:p>
        </w:tc>
        <w:tc>
          <w:tcPr>
            <w:tcW w:w="574"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Empleo</w:t>
            </w:r>
          </w:p>
        </w:tc>
        <w:tc>
          <w:tcPr>
            <w:tcW w:w="562" w:type="pct"/>
            <w:tcBorders>
              <w:top w:val="single" w:sz="4" w:space="0" w:color="BFBFBF" w:themeColor="background1" w:themeShade="BF"/>
              <w:bottom w:val="single" w:sz="4" w:space="0" w:color="BFBFBF" w:themeColor="background1" w:themeShade="BF"/>
            </w:tcBorders>
            <w:shd w:val="clear" w:color="auto" w:fill="DBE5F1" w:themeFill="accent1" w:themeFillTint="33"/>
            <w:hideMark/>
          </w:tcPr>
          <w:p w:rsidR="00665097" w:rsidRPr="00D122F5" w:rsidRDefault="00665097" w:rsidP="00332690">
            <w:pPr>
              <w:widowControl w:val="0"/>
              <w:spacing w:line="240" w:lineRule="exact"/>
              <w:jc w:val="center"/>
              <w:rPr>
                <w:rFonts w:cs="Arial"/>
                <w:b/>
                <w:bCs/>
                <w:sz w:val="16"/>
                <w:szCs w:val="16"/>
              </w:rPr>
            </w:pPr>
            <w:r w:rsidRPr="00D122F5">
              <w:rPr>
                <w:rFonts w:cs="Arial"/>
                <w:b/>
                <w:bCs/>
                <w:sz w:val="16"/>
                <w:szCs w:val="16"/>
              </w:rPr>
              <w:t>Ratio</w:t>
            </w:r>
          </w:p>
        </w:tc>
      </w:tr>
      <w:tr w:rsidR="00665097" w:rsidRPr="00D122F5" w:rsidTr="00175D09">
        <w:trPr>
          <w:jc w:val="center"/>
        </w:trPr>
        <w:tc>
          <w:tcPr>
            <w:tcW w:w="599" w:type="pct"/>
            <w:tcBorders>
              <w:top w:val="single" w:sz="4" w:space="0" w:color="BFBFBF" w:themeColor="background1" w:themeShade="BF"/>
              <w:bottom w:val="single" w:sz="4" w:space="0" w:color="BFBFBF" w:themeColor="background1" w:themeShade="BF"/>
            </w:tcBorders>
            <w:hideMark/>
          </w:tcPr>
          <w:p w:rsidR="00665097" w:rsidRPr="00D122F5" w:rsidRDefault="00EC704A" w:rsidP="00332690">
            <w:pPr>
              <w:spacing w:line="240" w:lineRule="exact"/>
              <w:jc w:val="right"/>
              <w:rPr>
                <w:rFonts w:eastAsia="Times New Roman" w:cs="Arial"/>
                <w:color w:val="000000"/>
                <w:sz w:val="16"/>
                <w:szCs w:val="16"/>
                <w:lang w:eastAsia="es-ES"/>
              </w:rPr>
            </w:pPr>
            <w:r w:rsidRPr="00D122F5">
              <w:rPr>
                <w:rFonts w:eastAsia="Times New Roman" w:cs="Arial"/>
                <w:color w:val="000000"/>
                <w:sz w:val="16"/>
                <w:szCs w:val="16"/>
                <w:lang w:eastAsia="es-ES"/>
              </w:rPr>
              <w:t>181.304.157</w:t>
            </w:r>
          </w:p>
        </w:tc>
        <w:tc>
          <w:tcPr>
            <w:tcW w:w="538" w:type="pct"/>
            <w:tcBorders>
              <w:top w:val="single" w:sz="4" w:space="0" w:color="BFBFBF" w:themeColor="background1" w:themeShade="BF"/>
              <w:bottom w:val="single" w:sz="4" w:space="0" w:color="BFBFBF" w:themeColor="background1" w:themeShade="BF"/>
            </w:tcBorders>
            <w:hideMark/>
          </w:tcPr>
          <w:p w:rsidR="00665097" w:rsidRPr="00D122F5" w:rsidRDefault="00EC704A" w:rsidP="00332690">
            <w:pPr>
              <w:spacing w:line="240" w:lineRule="exact"/>
              <w:jc w:val="right"/>
              <w:rPr>
                <w:rFonts w:eastAsia="Times New Roman" w:cs="Arial"/>
                <w:color w:val="000000"/>
                <w:sz w:val="16"/>
                <w:szCs w:val="16"/>
                <w:lang w:eastAsia="es-ES"/>
              </w:rPr>
            </w:pPr>
            <w:r w:rsidRPr="00D122F5">
              <w:rPr>
                <w:rFonts w:eastAsia="Times New Roman" w:cs="Arial"/>
                <w:color w:val="000000"/>
                <w:sz w:val="16"/>
                <w:szCs w:val="16"/>
                <w:lang w:eastAsia="es-ES"/>
              </w:rPr>
              <w:t>47.322</w:t>
            </w:r>
          </w:p>
        </w:tc>
        <w:tc>
          <w:tcPr>
            <w:tcW w:w="502"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D122F5" w:rsidRDefault="00EC704A" w:rsidP="00332690">
            <w:pPr>
              <w:spacing w:line="240" w:lineRule="exact"/>
              <w:jc w:val="right"/>
              <w:rPr>
                <w:rFonts w:cs="Arial"/>
                <w:color w:val="000000"/>
                <w:sz w:val="16"/>
                <w:szCs w:val="16"/>
              </w:rPr>
            </w:pPr>
            <w:r w:rsidRPr="00D122F5">
              <w:rPr>
                <w:rFonts w:cs="Arial"/>
                <w:color w:val="000000"/>
                <w:sz w:val="16"/>
                <w:szCs w:val="16"/>
              </w:rPr>
              <w:t>3.831</w:t>
            </w:r>
          </w:p>
        </w:tc>
        <w:tc>
          <w:tcPr>
            <w:tcW w:w="574" w:type="pct"/>
            <w:tcBorders>
              <w:top w:val="single" w:sz="4" w:space="0" w:color="BFBFBF" w:themeColor="background1" w:themeShade="BF"/>
              <w:left w:val="single" w:sz="4" w:space="0" w:color="BFBFBF" w:themeColor="background1" w:themeShade="BF"/>
              <w:bottom w:val="single" w:sz="4" w:space="0" w:color="BFBFBF" w:themeColor="background1" w:themeShade="BF"/>
            </w:tcBorders>
            <w:hideMark/>
          </w:tcPr>
          <w:p w:rsidR="00665097" w:rsidRPr="00D122F5" w:rsidRDefault="00EC704A" w:rsidP="00332690">
            <w:pPr>
              <w:spacing w:line="240" w:lineRule="exact"/>
              <w:jc w:val="right"/>
              <w:rPr>
                <w:rFonts w:cs="Arial"/>
                <w:color w:val="000000"/>
                <w:sz w:val="16"/>
                <w:szCs w:val="16"/>
              </w:rPr>
            </w:pPr>
            <w:r w:rsidRPr="00D122F5">
              <w:rPr>
                <w:rFonts w:cs="Arial"/>
                <w:color w:val="000000"/>
                <w:sz w:val="16"/>
                <w:szCs w:val="16"/>
              </w:rPr>
              <w:t>9.106.557</w:t>
            </w:r>
          </w:p>
        </w:tc>
        <w:tc>
          <w:tcPr>
            <w:tcW w:w="502" w:type="pct"/>
            <w:tcBorders>
              <w:top w:val="single" w:sz="4" w:space="0" w:color="BFBFBF" w:themeColor="background1" w:themeShade="BF"/>
              <w:bottom w:val="single" w:sz="4" w:space="0" w:color="BFBFBF" w:themeColor="background1" w:themeShade="BF"/>
            </w:tcBorders>
            <w:hideMark/>
          </w:tcPr>
          <w:p w:rsidR="00665097" w:rsidRPr="00D122F5" w:rsidRDefault="00EC704A" w:rsidP="00332690">
            <w:pPr>
              <w:spacing w:line="240" w:lineRule="exact"/>
              <w:jc w:val="right"/>
              <w:rPr>
                <w:rFonts w:cs="Arial"/>
                <w:color w:val="000000"/>
                <w:sz w:val="16"/>
                <w:szCs w:val="16"/>
              </w:rPr>
            </w:pPr>
            <w:r w:rsidRPr="00D122F5">
              <w:rPr>
                <w:rFonts w:cs="Arial"/>
                <w:color w:val="000000"/>
                <w:sz w:val="16"/>
                <w:szCs w:val="16"/>
              </w:rPr>
              <w:t>3.177</w:t>
            </w:r>
          </w:p>
        </w:tc>
        <w:tc>
          <w:tcPr>
            <w:tcW w:w="503"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665097" w:rsidRPr="00D122F5" w:rsidRDefault="00912C08" w:rsidP="00332690">
            <w:pPr>
              <w:spacing w:line="240" w:lineRule="exact"/>
              <w:jc w:val="right"/>
              <w:rPr>
                <w:rFonts w:cs="Arial"/>
                <w:color w:val="000000"/>
                <w:sz w:val="16"/>
                <w:szCs w:val="16"/>
              </w:rPr>
            </w:pPr>
            <w:r w:rsidRPr="00D122F5">
              <w:rPr>
                <w:rFonts w:cs="Arial"/>
                <w:color w:val="000000"/>
                <w:sz w:val="16"/>
                <w:szCs w:val="16"/>
              </w:rPr>
              <w:t>2.866</w:t>
            </w:r>
          </w:p>
        </w:tc>
        <w:tc>
          <w:tcPr>
            <w:tcW w:w="646" w:type="pct"/>
            <w:tcBorders>
              <w:top w:val="single" w:sz="4" w:space="0" w:color="BFBFBF" w:themeColor="background1" w:themeShade="BF"/>
              <w:left w:val="single" w:sz="4" w:space="0" w:color="BFBFBF" w:themeColor="background1" w:themeShade="BF"/>
            </w:tcBorders>
            <w:hideMark/>
          </w:tcPr>
          <w:p w:rsidR="00665097" w:rsidRPr="00D122F5" w:rsidRDefault="00003BD6" w:rsidP="00332690">
            <w:pPr>
              <w:spacing w:line="240" w:lineRule="exact"/>
              <w:jc w:val="right"/>
              <w:rPr>
                <w:rFonts w:cs="Arial"/>
                <w:color w:val="000000"/>
                <w:sz w:val="16"/>
                <w:szCs w:val="16"/>
              </w:rPr>
            </w:pPr>
            <w:r w:rsidRPr="00D122F5">
              <w:rPr>
                <w:rFonts w:cs="Arial"/>
                <w:color w:val="000000"/>
                <w:sz w:val="16"/>
                <w:szCs w:val="16"/>
              </w:rPr>
              <w:t>7.137.388</w:t>
            </w:r>
          </w:p>
        </w:tc>
        <w:tc>
          <w:tcPr>
            <w:tcW w:w="574" w:type="pct"/>
            <w:tcBorders>
              <w:top w:val="single" w:sz="4" w:space="0" w:color="BFBFBF" w:themeColor="background1" w:themeShade="BF"/>
            </w:tcBorders>
            <w:hideMark/>
          </w:tcPr>
          <w:p w:rsidR="00665097" w:rsidRPr="00D122F5" w:rsidRDefault="00003BD6" w:rsidP="00332690">
            <w:pPr>
              <w:spacing w:line="240" w:lineRule="exact"/>
              <w:jc w:val="right"/>
              <w:rPr>
                <w:rFonts w:cs="Arial"/>
                <w:color w:val="000000"/>
                <w:sz w:val="16"/>
                <w:szCs w:val="16"/>
              </w:rPr>
            </w:pPr>
            <w:r w:rsidRPr="00D122F5">
              <w:rPr>
                <w:rFonts w:cs="Arial"/>
                <w:color w:val="000000"/>
                <w:sz w:val="16"/>
                <w:szCs w:val="16"/>
              </w:rPr>
              <w:t>4.082</w:t>
            </w:r>
          </w:p>
        </w:tc>
        <w:tc>
          <w:tcPr>
            <w:tcW w:w="562" w:type="pct"/>
            <w:tcBorders>
              <w:top w:val="single" w:sz="4" w:space="0" w:color="BFBFBF" w:themeColor="background1" w:themeShade="BF"/>
            </w:tcBorders>
            <w:hideMark/>
          </w:tcPr>
          <w:p w:rsidR="00665097" w:rsidRPr="00D122F5" w:rsidRDefault="00003BD6" w:rsidP="00332690">
            <w:pPr>
              <w:spacing w:line="240" w:lineRule="exact"/>
              <w:jc w:val="right"/>
              <w:rPr>
                <w:rFonts w:cs="Arial"/>
                <w:color w:val="000000"/>
                <w:sz w:val="16"/>
                <w:szCs w:val="16"/>
              </w:rPr>
            </w:pPr>
            <w:r w:rsidRPr="00D122F5">
              <w:rPr>
                <w:rFonts w:cs="Arial"/>
                <w:color w:val="000000"/>
                <w:sz w:val="16"/>
                <w:szCs w:val="16"/>
              </w:rPr>
              <w:t>1.749</w:t>
            </w:r>
          </w:p>
        </w:tc>
      </w:tr>
    </w:tbl>
    <w:p w:rsidR="00665097" w:rsidRDefault="00665097" w:rsidP="00BB313D">
      <w:pPr>
        <w:widowControl w:val="0"/>
        <w:rPr>
          <w:rFonts w:cs="Arial"/>
          <w:highlight w:val="yellow"/>
        </w:rPr>
      </w:pPr>
    </w:p>
    <w:p w:rsidR="004C0F90" w:rsidRPr="00976F0E" w:rsidRDefault="004C0F90" w:rsidP="00BB313D">
      <w:pPr>
        <w:widowControl w:val="0"/>
        <w:rPr>
          <w:rFonts w:cs="Arial"/>
          <w:highlight w:val="yellow"/>
        </w:rPr>
      </w:pPr>
    </w:p>
    <w:p w:rsidR="00665097" w:rsidRDefault="00DE1512" w:rsidP="00BB313D">
      <w:pPr>
        <w:widowControl w:val="0"/>
        <w:spacing w:line="240" w:lineRule="auto"/>
        <w:jc w:val="center"/>
        <w:rPr>
          <w:rFonts w:cs="Arial"/>
          <w:b/>
          <w:color w:val="1F497D" w:themeColor="text2"/>
          <w:sz w:val="18"/>
          <w:szCs w:val="18"/>
        </w:rPr>
      </w:pPr>
      <w:bookmarkStart w:id="236" w:name="_Toc391999637"/>
      <w:bookmarkStart w:id="237" w:name="_Toc45011952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933322">
        <w:rPr>
          <w:rFonts w:cs="Arial"/>
          <w:b/>
          <w:color w:val="1F497D" w:themeColor="text2"/>
          <w:sz w:val="18"/>
          <w:szCs w:val="18"/>
        </w:rPr>
        <w:t>DISTRIBUCIÓN SECTORIAL DE LAS INVERSIONES MATERIALES DE LA ECONOMÍA SOCIAL</w:t>
      </w:r>
      <w:r w:rsidR="00FC730C">
        <w:rPr>
          <w:rFonts w:cs="Arial"/>
          <w:b/>
          <w:color w:val="1F497D" w:themeColor="text2"/>
          <w:sz w:val="18"/>
          <w:szCs w:val="18"/>
        </w:rPr>
        <w:t xml:space="preserve"> SEGÚN TERRITORIO HISTÓRICO 2014</w:t>
      </w:r>
      <w:r w:rsidR="00665097" w:rsidRPr="00933322">
        <w:rPr>
          <w:rFonts w:cs="Arial"/>
          <w:b/>
          <w:color w:val="1F497D" w:themeColor="text2"/>
          <w:sz w:val="18"/>
          <w:szCs w:val="18"/>
        </w:rPr>
        <w:t xml:space="preserve"> (</w:t>
      </w:r>
      <w:r w:rsidR="00590809">
        <w:rPr>
          <w:rFonts w:cs="Arial"/>
          <w:b/>
          <w:color w:val="1F497D" w:themeColor="text2"/>
          <w:sz w:val="18"/>
          <w:szCs w:val="18"/>
        </w:rPr>
        <w:t>cifras absolutas en Euros</w:t>
      </w:r>
      <w:r w:rsidR="00665097" w:rsidRPr="00933322">
        <w:rPr>
          <w:rFonts w:cs="Arial"/>
          <w:b/>
          <w:color w:val="1F497D" w:themeColor="text2"/>
          <w:sz w:val="18"/>
          <w:szCs w:val="18"/>
        </w:rPr>
        <w:t xml:space="preserve"> y </w:t>
      </w:r>
      <w:r w:rsidR="008C6D36">
        <w:rPr>
          <w:rFonts w:cs="Arial"/>
          <w:b/>
          <w:color w:val="1F497D" w:themeColor="text2"/>
          <w:sz w:val="18"/>
          <w:szCs w:val="18"/>
        </w:rPr>
        <w:t>% verticales</w:t>
      </w:r>
      <w:r w:rsidR="00665097" w:rsidRPr="00933322">
        <w:rPr>
          <w:rFonts w:cs="Arial"/>
          <w:b/>
          <w:color w:val="1F497D" w:themeColor="text2"/>
          <w:sz w:val="18"/>
          <w:szCs w:val="18"/>
        </w:rPr>
        <w:t>)</w:t>
      </w:r>
      <w:bookmarkEnd w:id="236"/>
      <w:bookmarkEnd w:id="237"/>
    </w:p>
    <w:tbl>
      <w:tblPr>
        <w:tblW w:w="9940" w:type="dxa"/>
        <w:jc w:val="center"/>
        <w:tblCellMar>
          <w:left w:w="70" w:type="dxa"/>
          <w:right w:w="70" w:type="dxa"/>
        </w:tblCellMar>
        <w:tblLook w:val="04A0" w:firstRow="1" w:lastRow="0" w:firstColumn="1" w:lastColumn="0" w:noHBand="0" w:noVBand="1"/>
      </w:tblPr>
      <w:tblGrid>
        <w:gridCol w:w="1525"/>
        <w:gridCol w:w="1384"/>
        <w:gridCol w:w="736"/>
        <w:gridCol w:w="1330"/>
        <w:gridCol w:w="795"/>
        <w:gridCol w:w="1366"/>
        <w:gridCol w:w="711"/>
        <w:gridCol w:w="1366"/>
        <w:gridCol w:w="727"/>
      </w:tblGrid>
      <w:tr w:rsidR="00665097" w:rsidRPr="007227AB" w:rsidTr="00175D09">
        <w:trPr>
          <w:jc w:val="center"/>
        </w:trPr>
        <w:tc>
          <w:tcPr>
            <w:tcW w:w="768"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665097" w:rsidRPr="007227AB" w:rsidRDefault="00665097" w:rsidP="00332690">
            <w:pPr>
              <w:widowControl w:val="0"/>
              <w:spacing w:line="240" w:lineRule="exact"/>
              <w:rPr>
                <w:rFonts w:ascii="Calibri" w:hAnsi="Calibri"/>
                <w:color w:val="000000"/>
              </w:rPr>
            </w:pPr>
            <w:r w:rsidRPr="007227AB">
              <w:rPr>
                <w:rFonts w:ascii="Calibri" w:hAnsi="Calibri"/>
                <w:color w:val="000000"/>
              </w:rPr>
              <w:t> </w:t>
            </w:r>
          </w:p>
        </w:tc>
        <w:tc>
          <w:tcPr>
            <w:tcW w:w="1068"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r>
              <w:rPr>
                <w:rFonts w:cs="Arial"/>
                <w:b/>
                <w:bCs/>
                <w:sz w:val="16"/>
                <w:szCs w:val="16"/>
                <w:lang w:val="en-GB"/>
              </w:rPr>
              <w:t>CAE</w:t>
            </w:r>
          </w:p>
        </w:tc>
        <w:tc>
          <w:tcPr>
            <w:tcW w:w="1071"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proofErr w:type="spellStart"/>
            <w:r>
              <w:rPr>
                <w:rFonts w:cs="Arial"/>
                <w:b/>
                <w:bCs/>
                <w:sz w:val="16"/>
                <w:szCs w:val="16"/>
                <w:lang w:val="en-GB"/>
              </w:rPr>
              <w:t>Álava</w:t>
            </w:r>
            <w:proofErr w:type="spellEnd"/>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proofErr w:type="spellStart"/>
            <w:r>
              <w:rPr>
                <w:rFonts w:cs="Arial"/>
                <w:b/>
                <w:bCs/>
                <w:sz w:val="16"/>
                <w:szCs w:val="16"/>
                <w:lang w:val="en-GB"/>
              </w:rPr>
              <w:t>Gipuzkoa</w:t>
            </w:r>
            <w:proofErr w:type="spellEnd"/>
          </w:p>
        </w:tc>
        <w:tc>
          <w:tcPr>
            <w:tcW w:w="1054"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665097" w:rsidRPr="00C67386" w:rsidRDefault="00665097" w:rsidP="00332690">
            <w:pPr>
              <w:widowControl w:val="0"/>
              <w:spacing w:line="240" w:lineRule="exact"/>
              <w:jc w:val="center"/>
              <w:rPr>
                <w:rFonts w:cs="Arial"/>
                <w:b/>
                <w:bCs/>
                <w:sz w:val="16"/>
                <w:szCs w:val="16"/>
              </w:rPr>
            </w:pPr>
            <w:proofErr w:type="spellStart"/>
            <w:r>
              <w:rPr>
                <w:rFonts w:cs="Arial"/>
                <w:b/>
                <w:bCs/>
                <w:sz w:val="16"/>
                <w:szCs w:val="16"/>
                <w:lang w:val="en-GB"/>
              </w:rPr>
              <w:t>Bizkaia</w:t>
            </w:r>
            <w:proofErr w:type="spellEnd"/>
          </w:p>
        </w:tc>
      </w:tr>
      <w:tr w:rsidR="00665097" w:rsidRPr="007227AB" w:rsidTr="00175D09">
        <w:trPr>
          <w:jc w:val="center"/>
        </w:trPr>
        <w:tc>
          <w:tcPr>
            <w:tcW w:w="768" w:type="pct"/>
            <w:vMerge/>
            <w:tcBorders>
              <w:top w:val="single" w:sz="8" w:space="0" w:color="BFBFBF"/>
              <w:left w:val="nil"/>
              <w:bottom w:val="single" w:sz="8" w:space="0" w:color="BFBFBF"/>
              <w:right w:val="single" w:sz="4" w:space="0" w:color="BFBFBF" w:themeColor="background1" w:themeShade="BF"/>
            </w:tcBorders>
            <w:vAlign w:val="center"/>
            <w:hideMark/>
          </w:tcPr>
          <w:p w:rsidR="00665097" w:rsidRPr="007227AB" w:rsidRDefault="00665097" w:rsidP="00332690">
            <w:pPr>
              <w:widowControl w:val="0"/>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7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70"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66" w:type="pct"/>
            <w:tcBorders>
              <w:top w:val="nil"/>
              <w:left w:val="nil"/>
              <w:bottom w:val="single" w:sz="8" w:space="0" w:color="BFBFBF"/>
              <w:right w:val="nil"/>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r>
      <w:tr w:rsidR="009B6575" w:rsidRPr="007227AB" w:rsidTr="00175D09">
        <w:trPr>
          <w:jc w:val="center"/>
        </w:trPr>
        <w:tc>
          <w:tcPr>
            <w:tcW w:w="768" w:type="pct"/>
            <w:tcBorders>
              <w:top w:val="nil"/>
              <w:left w:val="nil"/>
              <w:bottom w:val="nil"/>
              <w:right w:val="single" w:sz="4" w:space="0" w:color="BFBFBF" w:themeColor="background1" w:themeShade="BF"/>
            </w:tcBorders>
            <w:shd w:val="clear" w:color="auto" w:fill="auto"/>
            <w:hideMark/>
          </w:tcPr>
          <w:p w:rsidR="009B6575" w:rsidRPr="00061CD6" w:rsidRDefault="009B6575" w:rsidP="00332690">
            <w:pPr>
              <w:widowControl w:val="0"/>
              <w:spacing w:line="240" w:lineRule="exact"/>
              <w:rPr>
                <w:rFonts w:cs="Arial"/>
                <w:color w:val="000000"/>
                <w:sz w:val="16"/>
                <w:szCs w:val="16"/>
              </w:rPr>
            </w:pPr>
            <w:r w:rsidRPr="00061CD6">
              <w:rPr>
                <w:rFonts w:cs="Arial"/>
                <w:color w:val="000000"/>
                <w:sz w:val="16"/>
                <w:szCs w:val="16"/>
              </w:rPr>
              <w:t>Primario</w:t>
            </w:r>
          </w:p>
        </w:tc>
        <w:tc>
          <w:tcPr>
            <w:tcW w:w="697" w:type="pct"/>
            <w:tcBorders>
              <w:top w:val="nil"/>
              <w:left w:val="single" w:sz="4" w:space="0" w:color="BFBFBF" w:themeColor="background1" w:themeShade="BF"/>
              <w:bottom w:val="nil"/>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351.082</w:t>
            </w:r>
          </w:p>
        </w:tc>
        <w:tc>
          <w:tcPr>
            <w:tcW w:w="371" w:type="pct"/>
            <w:tcBorders>
              <w:top w:val="nil"/>
              <w:left w:val="nil"/>
              <w:bottom w:val="nil"/>
              <w:right w:val="single" w:sz="4" w:space="0" w:color="BFBFBF" w:themeColor="background1" w:themeShade="BF"/>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0,2</w:t>
            </w:r>
          </w:p>
        </w:tc>
        <w:tc>
          <w:tcPr>
            <w:tcW w:w="670"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359.074</w:t>
            </w:r>
          </w:p>
        </w:tc>
        <w:tc>
          <w:tcPr>
            <w:tcW w:w="401" w:type="pct"/>
            <w:tcBorders>
              <w:top w:val="nil"/>
              <w:left w:val="nil"/>
              <w:bottom w:val="nil"/>
              <w:right w:val="single" w:sz="4" w:space="0" w:color="BFBFBF" w:themeColor="background1" w:themeShade="BF"/>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2,6</w:t>
            </w:r>
          </w:p>
        </w:tc>
        <w:tc>
          <w:tcPr>
            <w:tcW w:w="688"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spacing w:line="240" w:lineRule="exact"/>
              <w:ind w:right="170"/>
              <w:jc w:val="right"/>
              <w:rPr>
                <w:rFonts w:cs="Arial"/>
                <w:color w:val="000000"/>
                <w:sz w:val="16"/>
                <w:szCs w:val="16"/>
              </w:rPr>
            </w:pPr>
            <w:r w:rsidRPr="00B36DF0">
              <w:rPr>
                <w:rFonts w:cs="Arial"/>
                <w:color w:val="000000"/>
                <w:sz w:val="16"/>
                <w:szCs w:val="16"/>
              </w:rPr>
              <w:t>0</w:t>
            </w:r>
          </w:p>
        </w:tc>
        <w:tc>
          <w:tcPr>
            <w:tcW w:w="351" w:type="pct"/>
            <w:tcBorders>
              <w:top w:val="nil"/>
              <w:left w:val="nil"/>
              <w:bottom w:val="nil"/>
              <w:right w:val="single" w:sz="4" w:space="0" w:color="BFBFBF" w:themeColor="background1" w:themeShade="BF"/>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-7.993</w:t>
            </w:r>
          </w:p>
        </w:tc>
        <w:tc>
          <w:tcPr>
            <w:tcW w:w="366" w:type="pct"/>
            <w:tcBorders>
              <w:top w:val="nil"/>
              <w:left w:val="nil"/>
              <w:bottom w:val="nil"/>
              <w:right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0,0</w:t>
            </w:r>
          </w:p>
        </w:tc>
      </w:tr>
      <w:tr w:rsidR="009B6575" w:rsidRPr="007227AB" w:rsidTr="00175D09">
        <w:trPr>
          <w:jc w:val="center"/>
        </w:trPr>
        <w:tc>
          <w:tcPr>
            <w:tcW w:w="768" w:type="pct"/>
            <w:tcBorders>
              <w:top w:val="nil"/>
              <w:left w:val="nil"/>
              <w:bottom w:val="nil"/>
              <w:right w:val="single" w:sz="4" w:space="0" w:color="BFBFBF" w:themeColor="background1" w:themeShade="BF"/>
            </w:tcBorders>
            <w:shd w:val="clear" w:color="auto" w:fill="auto"/>
            <w:hideMark/>
          </w:tcPr>
          <w:p w:rsidR="009B6575" w:rsidRPr="00061CD6" w:rsidRDefault="009B6575" w:rsidP="00332690">
            <w:pPr>
              <w:widowControl w:val="0"/>
              <w:spacing w:line="240" w:lineRule="exact"/>
              <w:rPr>
                <w:rFonts w:cs="Arial"/>
                <w:color w:val="000000"/>
                <w:sz w:val="16"/>
                <w:szCs w:val="16"/>
              </w:rPr>
            </w:pPr>
            <w:r w:rsidRPr="00061CD6">
              <w:rPr>
                <w:rFonts w:cs="Arial"/>
                <w:color w:val="000000"/>
                <w:sz w:val="16"/>
                <w:szCs w:val="16"/>
              </w:rPr>
              <w:t>Industria</w:t>
            </w:r>
          </w:p>
        </w:tc>
        <w:tc>
          <w:tcPr>
            <w:tcW w:w="697" w:type="pct"/>
            <w:tcBorders>
              <w:top w:val="nil"/>
              <w:left w:val="single" w:sz="4" w:space="0" w:color="BFBFBF" w:themeColor="background1" w:themeShade="BF"/>
              <w:bottom w:val="nil"/>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121.528.972</w:t>
            </w:r>
          </w:p>
        </w:tc>
        <w:tc>
          <w:tcPr>
            <w:tcW w:w="371" w:type="pct"/>
            <w:tcBorders>
              <w:top w:val="nil"/>
              <w:left w:val="nil"/>
              <w:bottom w:val="nil"/>
              <w:right w:val="single" w:sz="4" w:space="0" w:color="BFBFBF" w:themeColor="background1" w:themeShade="BF"/>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61,5</w:t>
            </w:r>
          </w:p>
        </w:tc>
        <w:tc>
          <w:tcPr>
            <w:tcW w:w="670"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4.856.270</w:t>
            </w:r>
          </w:p>
        </w:tc>
        <w:tc>
          <w:tcPr>
            <w:tcW w:w="401" w:type="pct"/>
            <w:tcBorders>
              <w:top w:val="nil"/>
              <w:left w:val="nil"/>
              <w:bottom w:val="nil"/>
              <w:right w:val="single" w:sz="4" w:space="0" w:color="BFBFBF" w:themeColor="background1" w:themeShade="BF"/>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35,2</w:t>
            </w:r>
          </w:p>
        </w:tc>
        <w:tc>
          <w:tcPr>
            <w:tcW w:w="688"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spacing w:line="240" w:lineRule="exact"/>
              <w:ind w:right="170"/>
              <w:jc w:val="right"/>
              <w:rPr>
                <w:rFonts w:cs="Arial"/>
                <w:color w:val="000000"/>
                <w:sz w:val="16"/>
                <w:szCs w:val="16"/>
              </w:rPr>
            </w:pPr>
            <w:r w:rsidRPr="00B36DF0">
              <w:rPr>
                <w:rFonts w:cs="Arial"/>
                <w:color w:val="000000"/>
                <w:sz w:val="16"/>
                <w:szCs w:val="16"/>
              </w:rPr>
              <w:t>86.512.306</w:t>
            </w:r>
          </w:p>
        </w:tc>
        <w:tc>
          <w:tcPr>
            <w:tcW w:w="351" w:type="pct"/>
            <w:tcBorders>
              <w:top w:val="nil"/>
              <w:left w:val="nil"/>
              <w:bottom w:val="nil"/>
              <w:right w:val="single" w:sz="4" w:space="0" w:color="BFBFBF" w:themeColor="background1" w:themeShade="BF"/>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78,9</w:t>
            </w:r>
          </w:p>
        </w:tc>
        <w:tc>
          <w:tcPr>
            <w:tcW w:w="688" w:type="pct"/>
            <w:tcBorders>
              <w:top w:val="nil"/>
              <w:left w:val="single" w:sz="4" w:space="0" w:color="BFBFBF" w:themeColor="background1" w:themeShade="BF"/>
              <w:bottom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30.160.397</w:t>
            </w:r>
          </w:p>
        </w:tc>
        <w:tc>
          <w:tcPr>
            <w:tcW w:w="366" w:type="pct"/>
            <w:tcBorders>
              <w:top w:val="nil"/>
              <w:left w:val="nil"/>
              <w:bottom w:val="nil"/>
              <w:right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40,7</w:t>
            </w:r>
          </w:p>
        </w:tc>
      </w:tr>
      <w:tr w:rsidR="009B6575" w:rsidRPr="007227AB" w:rsidTr="00175D09">
        <w:trPr>
          <w:jc w:val="center"/>
        </w:trPr>
        <w:tc>
          <w:tcPr>
            <w:tcW w:w="768" w:type="pct"/>
            <w:tcBorders>
              <w:top w:val="nil"/>
              <w:left w:val="nil"/>
              <w:bottom w:val="nil"/>
              <w:right w:val="single" w:sz="4" w:space="0" w:color="BFBFBF" w:themeColor="background1" w:themeShade="BF"/>
            </w:tcBorders>
            <w:shd w:val="clear" w:color="auto" w:fill="auto"/>
            <w:vAlign w:val="bottom"/>
            <w:hideMark/>
          </w:tcPr>
          <w:p w:rsidR="009B6575" w:rsidRPr="00061CD6" w:rsidRDefault="009B6575" w:rsidP="00332690">
            <w:pPr>
              <w:widowControl w:val="0"/>
              <w:spacing w:line="240" w:lineRule="exact"/>
              <w:rPr>
                <w:rFonts w:cs="Arial"/>
                <w:color w:val="000000"/>
                <w:sz w:val="16"/>
                <w:szCs w:val="16"/>
              </w:rPr>
            </w:pPr>
            <w:r w:rsidRPr="00061CD6">
              <w:rPr>
                <w:rFonts w:cs="Arial"/>
                <w:color w:val="000000"/>
                <w:sz w:val="16"/>
                <w:szCs w:val="16"/>
              </w:rPr>
              <w:t>Construcción</w:t>
            </w:r>
          </w:p>
        </w:tc>
        <w:tc>
          <w:tcPr>
            <w:tcW w:w="697" w:type="pct"/>
            <w:tcBorders>
              <w:top w:val="nil"/>
              <w:left w:val="single" w:sz="4" w:space="0" w:color="BFBFBF" w:themeColor="background1" w:themeShade="BF"/>
              <w:bottom w:val="nil"/>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371.610</w:t>
            </w:r>
          </w:p>
        </w:tc>
        <w:tc>
          <w:tcPr>
            <w:tcW w:w="371" w:type="pct"/>
            <w:tcBorders>
              <w:top w:val="nil"/>
              <w:left w:val="nil"/>
              <w:bottom w:val="nil"/>
              <w:right w:val="single" w:sz="4" w:space="0" w:color="BFBFBF" w:themeColor="background1" w:themeShade="BF"/>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0,2</w:t>
            </w:r>
          </w:p>
        </w:tc>
        <w:tc>
          <w:tcPr>
            <w:tcW w:w="670"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59.194</w:t>
            </w:r>
          </w:p>
        </w:tc>
        <w:tc>
          <w:tcPr>
            <w:tcW w:w="401" w:type="pct"/>
            <w:tcBorders>
              <w:top w:val="nil"/>
              <w:left w:val="nil"/>
              <w:bottom w:val="nil"/>
              <w:right w:val="single" w:sz="4" w:space="0" w:color="BFBFBF" w:themeColor="background1" w:themeShade="BF"/>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0,4</w:t>
            </w:r>
          </w:p>
        </w:tc>
        <w:tc>
          <w:tcPr>
            <w:tcW w:w="688"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spacing w:line="240" w:lineRule="exact"/>
              <w:ind w:right="170"/>
              <w:jc w:val="right"/>
              <w:rPr>
                <w:rFonts w:cs="Arial"/>
                <w:color w:val="000000"/>
                <w:sz w:val="16"/>
                <w:szCs w:val="16"/>
              </w:rPr>
            </w:pPr>
            <w:r w:rsidRPr="00B36DF0">
              <w:rPr>
                <w:rFonts w:cs="Arial"/>
                <w:color w:val="000000"/>
                <w:sz w:val="16"/>
                <w:szCs w:val="16"/>
              </w:rPr>
              <w:t>104.444</w:t>
            </w:r>
          </w:p>
        </w:tc>
        <w:tc>
          <w:tcPr>
            <w:tcW w:w="351" w:type="pct"/>
            <w:tcBorders>
              <w:top w:val="nil"/>
              <w:left w:val="nil"/>
              <w:bottom w:val="nil"/>
              <w:right w:val="single" w:sz="4" w:space="0" w:color="BFBFBF" w:themeColor="background1" w:themeShade="BF"/>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0,1</w:t>
            </w:r>
          </w:p>
        </w:tc>
        <w:tc>
          <w:tcPr>
            <w:tcW w:w="688" w:type="pct"/>
            <w:tcBorders>
              <w:top w:val="nil"/>
              <w:left w:val="single" w:sz="4" w:space="0" w:color="BFBFBF" w:themeColor="background1" w:themeShade="BF"/>
              <w:bottom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207.971</w:t>
            </w:r>
          </w:p>
        </w:tc>
        <w:tc>
          <w:tcPr>
            <w:tcW w:w="366" w:type="pct"/>
            <w:tcBorders>
              <w:top w:val="nil"/>
              <w:left w:val="nil"/>
              <w:bottom w:val="nil"/>
              <w:right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0,3</w:t>
            </w:r>
          </w:p>
        </w:tc>
      </w:tr>
      <w:tr w:rsidR="009B6575" w:rsidRPr="007227AB" w:rsidTr="00175D09">
        <w:trPr>
          <w:jc w:val="center"/>
        </w:trPr>
        <w:tc>
          <w:tcPr>
            <w:tcW w:w="768" w:type="pct"/>
            <w:tcBorders>
              <w:top w:val="nil"/>
              <w:left w:val="nil"/>
              <w:bottom w:val="nil"/>
              <w:right w:val="single" w:sz="4" w:space="0" w:color="BFBFBF" w:themeColor="background1" w:themeShade="BF"/>
            </w:tcBorders>
            <w:shd w:val="clear" w:color="auto" w:fill="auto"/>
            <w:hideMark/>
          </w:tcPr>
          <w:p w:rsidR="009B6575" w:rsidRPr="00061CD6" w:rsidRDefault="009B6575" w:rsidP="00332690">
            <w:pPr>
              <w:widowControl w:val="0"/>
              <w:spacing w:line="240" w:lineRule="exact"/>
              <w:rPr>
                <w:rFonts w:cs="Arial"/>
                <w:color w:val="000000"/>
                <w:sz w:val="16"/>
                <w:szCs w:val="16"/>
              </w:rPr>
            </w:pPr>
            <w:r w:rsidRPr="00061CD6">
              <w:rPr>
                <w:rFonts w:cs="Arial"/>
                <w:color w:val="000000"/>
                <w:sz w:val="16"/>
                <w:szCs w:val="16"/>
              </w:rPr>
              <w:t>Servicios</w:t>
            </w:r>
          </w:p>
        </w:tc>
        <w:tc>
          <w:tcPr>
            <w:tcW w:w="697" w:type="pct"/>
            <w:tcBorders>
              <w:top w:val="nil"/>
              <w:left w:val="single" w:sz="4" w:space="0" w:color="BFBFBF" w:themeColor="background1" w:themeShade="BF"/>
              <w:bottom w:val="nil"/>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75.296.438</w:t>
            </w:r>
          </w:p>
        </w:tc>
        <w:tc>
          <w:tcPr>
            <w:tcW w:w="371" w:type="pct"/>
            <w:tcBorders>
              <w:top w:val="nil"/>
              <w:left w:val="nil"/>
              <w:bottom w:val="nil"/>
              <w:right w:val="single" w:sz="4" w:space="0" w:color="BFBFBF" w:themeColor="background1" w:themeShade="BF"/>
            </w:tcBorders>
            <w:shd w:val="clear" w:color="auto" w:fill="auto"/>
            <w:vAlign w:val="bottom"/>
            <w:hideMark/>
          </w:tcPr>
          <w:p w:rsidR="009B6575" w:rsidRPr="00FC730C" w:rsidRDefault="009B6575" w:rsidP="00332690">
            <w:pPr>
              <w:widowControl w:val="0"/>
              <w:spacing w:line="240" w:lineRule="exact"/>
              <w:ind w:right="170"/>
              <w:jc w:val="right"/>
              <w:rPr>
                <w:rFonts w:cs="Arial"/>
                <w:color w:val="000000"/>
                <w:sz w:val="16"/>
                <w:szCs w:val="16"/>
              </w:rPr>
            </w:pPr>
            <w:r w:rsidRPr="00FC730C">
              <w:rPr>
                <w:rFonts w:cs="Arial"/>
                <w:color w:val="000000"/>
                <w:sz w:val="16"/>
                <w:szCs w:val="16"/>
              </w:rPr>
              <w:t>38,1</w:t>
            </w:r>
          </w:p>
        </w:tc>
        <w:tc>
          <w:tcPr>
            <w:tcW w:w="670"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8.537.056</w:t>
            </w:r>
          </w:p>
        </w:tc>
        <w:tc>
          <w:tcPr>
            <w:tcW w:w="401" w:type="pct"/>
            <w:tcBorders>
              <w:top w:val="nil"/>
              <w:left w:val="nil"/>
              <w:bottom w:val="nil"/>
              <w:right w:val="single" w:sz="4" w:space="0" w:color="BFBFBF" w:themeColor="background1" w:themeShade="BF"/>
            </w:tcBorders>
            <w:shd w:val="clear" w:color="auto" w:fill="auto"/>
            <w:vAlign w:val="bottom"/>
            <w:hideMark/>
          </w:tcPr>
          <w:p w:rsidR="009B6575" w:rsidRPr="00B36DF0" w:rsidRDefault="009B6575" w:rsidP="00332690">
            <w:pPr>
              <w:widowControl w:val="0"/>
              <w:spacing w:line="240" w:lineRule="exact"/>
              <w:ind w:right="170"/>
              <w:jc w:val="right"/>
              <w:rPr>
                <w:rFonts w:cs="Arial"/>
                <w:color w:val="000000"/>
                <w:sz w:val="16"/>
                <w:szCs w:val="16"/>
              </w:rPr>
            </w:pPr>
            <w:r w:rsidRPr="00B36DF0">
              <w:rPr>
                <w:rFonts w:cs="Arial"/>
                <w:color w:val="000000"/>
                <w:sz w:val="16"/>
                <w:szCs w:val="16"/>
              </w:rPr>
              <w:t>61,8</w:t>
            </w:r>
          </w:p>
        </w:tc>
        <w:tc>
          <w:tcPr>
            <w:tcW w:w="688" w:type="pct"/>
            <w:tcBorders>
              <w:top w:val="nil"/>
              <w:left w:val="single" w:sz="4" w:space="0" w:color="BFBFBF" w:themeColor="background1" w:themeShade="BF"/>
              <w:bottom w:val="nil"/>
            </w:tcBorders>
            <w:shd w:val="clear" w:color="auto" w:fill="auto"/>
            <w:vAlign w:val="bottom"/>
            <w:hideMark/>
          </w:tcPr>
          <w:p w:rsidR="009B6575" w:rsidRPr="00B36DF0" w:rsidRDefault="009B6575" w:rsidP="00332690">
            <w:pPr>
              <w:spacing w:line="240" w:lineRule="exact"/>
              <w:ind w:right="170"/>
              <w:jc w:val="right"/>
              <w:rPr>
                <w:rFonts w:cs="Arial"/>
                <w:color w:val="000000"/>
                <w:sz w:val="16"/>
                <w:szCs w:val="16"/>
              </w:rPr>
            </w:pPr>
            <w:r w:rsidRPr="00B36DF0">
              <w:rPr>
                <w:rFonts w:cs="Arial"/>
                <w:color w:val="000000"/>
                <w:sz w:val="16"/>
                <w:szCs w:val="16"/>
              </w:rPr>
              <w:t>23.001.808</w:t>
            </w:r>
          </w:p>
        </w:tc>
        <w:tc>
          <w:tcPr>
            <w:tcW w:w="351" w:type="pct"/>
            <w:tcBorders>
              <w:top w:val="nil"/>
              <w:left w:val="nil"/>
              <w:bottom w:val="nil"/>
              <w:right w:val="single" w:sz="4" w:space="0" w:color="BFBFBF" w:themeColor="background1" w:themeShade="BF"/>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21,0</w:t>
            </w:r>
          </w:p>
        </w:tc>
        <w:tc>
          <w:tcPr>
            <w:tcW w:w="688" w:type="pct"/>
            <w:tcBorders>
              <w:top w:val="nil"/>
              <w:left w:val="single" w:sz="4" w:space="0" w:color="BFBFBF" w:themeColor="background1" w:themeShade="BF"/>
              <w:bottom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43.757.574</w:t>
            </w:r>
          </w:p>
        </w:tc>
        <w:tc>
          <w:tcPr>
            <w:tcW w:w="366" w:type="pct"/>
            <w:tcBorders>
              <w:top w:val="nil"/>
              <w:left w:val="nil"/>
              <w:bottom w:val="nil"/>
              <w:right w:val="nil"/>
            </w:tcBorders>
            <w:shd w:val="clear" w:color="auto" w:fill="auto"/>
            <w:vAlign w:val="bottom"/>
            <w:hideMark/>
          </w:tcPr>
          <w:p w:rsidR="009B6575" w:rsidRPr="009B6575" w:rsidRDefault="009B6575" w:rsidP="00332690">
            <w:pPr>
              <w:spacing w:line="240" w:lineRule="exact"/>
              <w:ind w:right="170"/>
              <w:jc w:val="right"/>
              <w:rPr>
                <w:rFonts w:cs="Arial"/>
                <w:color w:val="000000"/>
                <w:sz w:val="16"/>
                <w:szCs w:val="16"/>
              </w:rPr>
            </w:pPr>
            <w:r w:rsidRPr="009B6575">
              <w:rPr>
                <w:rFonts w:cs="Arial"/>
                <w:color w:val="000000"/>
                <w:sz w:val="16"/>
                <w:szCs w:val="16"/>
              </w:rPr>
              <w:t>59,0</w:t>
            </w:r>
          </w:p>
        </w:tc>
      </w:tr>
      <w:tr w:rsidR="00B36DF0" w:rsidRPr="007227AB" w:rsidTr="00175D09">
        <w:trPr>
          <w:jc w:val="center"/>
        </w:trPr>
        <w:tc>
          <w:tcPr>
            <w:tcW w:w="76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B36DF0" w:rsidRPr="007227AB" w:rsidRDefault="00D508DF" w:rsidP="00332690">
            <w:pPr>
              <w:widowControl w:val="0"/>
              <w:spacing w:line="240" w:lineRule="exact"/>
              <w:rPr>
                <w:rFonts w:cs="Arial"/>
                <w:b/>
                <w:bCs/>
                <w:color w:val="000000"/>
                <w:sz w:val="16"/>
                <w:szCs w:val="16"/>
              </w:rPr>
            </w:pPr>
            <w:r>
              <w:rPr>
                <w:rFonts w:eastAsia="Times New Roman" w:cs="Arial"/>
                <w:b/>
                <w:bCs/>
                <w:color w:val="000000"/>
                <w:sz w:val="16"/>
                <w:szCs w:val="16"/>
                <w:lang w:eastAsia="es-ES"/>
              </w:rPr>
              <w:t>TOTAL</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B36DF0" w:rsidRPr="00FC11DA" w:rsidRDefault="00B36DF0" w:rsidP="00332690">
            <w:pPr>
              <w:widowControl w:val="0"/>
              <w:spacing w:line="240" w:lineRule="exact"/>
              <w:ind w:right="170"/>
              <w:jc w:val="right"/>
              <w:rPr>
                <w:rFonts w:cs="Arial"/>
                <w:b/>
                <w:bCs/>
                <w:color w:val="000000"/>
                <w:sz w:val="16"/>
                <w:szCs w:val="16"/>
              </w:rPr>
            </w:pPr>
            <w:r w:rsidRPr="00FC11DA">
              <w:rPr>
                <w:rFonts w:cs="Arial"/>
                <w:b/>
                <w:bCs/>
                <w:color w:val="000000"/>
                <w:sz w:val="16"/>
                <w:szCs w:val="16"/>
              </w:rPr>
              <w:t>197.548.102</w:t>
            </w:r>
          </w:p>
        </w:tc>
        <w:tc>
          <w:tcPr>
            <w:tcW w:w="37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B36DF0" w:rsidRPr="003F6174" w:rsidRDefault="00B36DF0" w:rsidP="00332690">
            <w:pPr>
              <w:widowControl w:val="0"/>
              <w:spacing w:line="240" w:lineRule="exact"/>
              <w:ind w:right="170"/>
              <w:jc w:val="right"/>
              <w:rPr>
                <w:rFonts w:cs="Arial"/>
                <w:b/>
                <w:bCs/>
                <w:color w:val="000000"/>
                <w:sz w:val="16"/>
                <w:szCs w:val="16"/>
              </w:rPr>
            </w:pPr>
            <w:r w:rsidRPr="003F6174">
              <w:rPr>
                <w:rFonts w:cs="Arial"/>
                <w:b/>
                <w:bCs/>
                <w:color w:val="000000"/>
                <w:sz w:val="16"/>
                <w:szCs w:val="16"/>
              </w:rPr>
              <w:t>100</w:t>
            </w:r>
            <w:r w:rsidR="00A917B1">
              <w:rPr>
                <w:rFonts w:cs="Arial"/>
                <w:b/>
                <w:bCs/>
                <w:color w:val="000000"/>
                <w:sz w:val="16"/>
                <w:szCs w:val="16"/>
              </w:rPr>
              <w:t>,0</w:t>
            </w:r>
          </w:p>
        </w:tc>
        <w:tc>
          <w:tcPr>
            <w:tcW w:w="670"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B36DF0" w:rsidRPr="00B36DF0" w:rsidRDefault="00B36DF0" w:rsidP="00332690">
            <w:pPr>
              <w:widowControl w:val="0"/>
              <w:spacing w:line="240" w:lineRule="exact"/>
              <w:ind w:right="170"/>
              <w:jc w:val="right"/>
              <w:rPr>
                <w:rFonts w:cs="Arial"/>
                <w:b/>
                <w:bCs/>
                <w:color w:val="000000"/>
                <w:sz w:val="16"/>
                <w:szCs w:val="16"/>
              </w:rPr>
            </w:pPr>
            <w:r w:rsidRPr="00B36DF0">
              <w:rPr>
                <w:rFonts w:cs="Arial"/>
                <w:b/>
                <w:bCs/>
                <w:color w:val="000000"/>
                <w:sz w:val="16"/>
                <w:szCs w:val="16"/>
              </w:rPr>
              <w:t>13.811.594</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B36DF0" w:rsidRPr="003F2B4D" w:rsidRDefault="00B36DF0" w:rsidP="00332690">
            <w:pPr>
              <w:widowControl w:val="0"/>
              <w:spacing w:line="240" w:lineRule="exact"/>
              <w:ind w:right="170"/>
              <w:jc w:val="right"/>
              <w:rPr>
                <w:rFonts w:cs="Arial"/>
                <w:b/>
                <w:bCs/>
                <w:color w:val="000000"/>
                <w:sz w:val="16"/>
                <w:szCs w:val="16"/>
              </w:rPr>
            </w:pPr>
            <w:r w:rsidRPr="003F2B4D">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B36DF0" w:rsidRPr="003F2B4D" w:rsidRDefault="00B36DF0" w:rsidP="00332690">
            <w:pPr>
              <w:widowControl w:val="0"/>
              <w:spacing w:line="240" w:lineRule="exact"/>
              <w:ind w:right="170"/>
              <w:jc w:val="right"/>
              <w:rPr>
                <w:rFonts w:cs="Arial"/>
                <w:b/>
                <w:bCs/>
                <w:color w:val="000000"/>
                <w:sz w:val="16"/>
                <w:szCs w:val="16"/>
              </w:rPr>
            </w:pPr>
            <w:r w:rsidRPr="00B36DF0">
              <w:rPr>
                <w:rFonts w:cs="Arial"/>
                <w:b/>
                <w:bCs/>
                <w:color w:val="000000"/>
                <w:sz w:val="16"/>
                <w:szCs w:val="16"/>
              </w:rPr>
              <w:t>109.618.558</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B36DF0" w:rsidRPr="003F2B4D" w:rsidRDefault="00B36DF0" w:rsidP="00332690">
            <w:pPr>
              <w:widowControl w:val="0"/>
              <w:spacing w:line="240" w:lineRule="exact"/>
              <w:ind w:right="170"/>
              <w:jc w:val="right"/>
              <w:rPr>
                <w:rFonts w:cs="Arial"/>
                <w:b/>
                <w:bCs/>
                <w:color w:val="000000"/>
                <w:sz w:val="16"/>
                <w:szCs w:val="16"/>
              </w:rPr>
            </w:pPr>
            <w:r w:rsidRPr="003F2B4D">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hideMark/>
          </w:tcPr>
          <w:p w:rsidR="00B36DF0" w:rsidRPr="009B6575" w:rsidRDefault="009B6575" w:rsidP="00332690">
            <w:pPr>
              <w:widowControl w:val="0"/>
              <w:spacing w:line="240" w:lineRule="exact"/>
              <w:ind w:right="170"/>
              <w:jc w:val="right"/>
              <w:rPr>
                <w:rFonts w:cs="Arial"/>
                <w:b/>
                <w:bCs/>
                <w:color w:val="000000"/>
                <w:sz w:val="16"/>
                <w:szCs w:val="16"/>
              </w:rPr>
            </w:pPr>
            <w:r w:rsidRPr="009B6575">
              <w:rPr>
                <w:rFonts w:cs="Arial"/>
                <w:b/>
                <w:bCs/>
                <w:color w:val="000000"/>
                <w:sz w:val="16"/>
                <w:szCs w:val="16"/>
              </w:rPr>
              <w:t>74.117.950</w:t>
            </w:r>
          </w:p>
        </w:tc>
        <w:tc>
          <w:tcPr>
            <w:tcW w:w="366" w:type="pct"/>
            <w:tcBorders>
              <w:top w:val="single" w:sz="4" w:space="0" w:color="BFBFBF" w:themeColor="background1" w:themeShade="BF"/>
              <w:left w:val="nil"/>
              <w:bottom w:val="single" w:sz="8" w:space="0" w:color="BFBFBF"/>
              <w:right w:val="nil"/>
            </w:tcBorders>
            <w:shd w:val="clear" w:color="auto" w:fill="auto"/>
            <w:hideMark/>
          </w:tcPr>
          <w:p w:rsidR="00B36DF0" w:rsidRPr="003F2B4D" w:rsidRDefault="00B36DF0" w:rsidP="00332690">
            <w:pPr>
              <w:widowControl w:val="0"/>
              <w:spacing w:line="240" w:lineRule="exact"/>
              <w:ind w:right="170"/>
              <w:jc w:val="right"/>
              <w:rPr>
                <w:rFonts w:cs="Arial"/>
                <w:b/>
                <w:bCs/>
                <w:color w:val="000000"/>
                <w:sz w:val="16"/>
                <w:szCs w:val="16"/>
              </w:rPr>
            </w:pPr>
            <w:r w:rsidRPr="003F2B4D">
              <w:rPr>
                <w:rFonts w:cs="Arial"/>
                <w:b/>
                <w:bCs/>
                <w:color w:val="000000"/>
                <w:sz w:val="16"/>
                <w:szCs w:val="16"/>
              </w:rPr>
              <w:t>100</w:t>
            </w:r>
            <w:r w:rsidR="00A917B1">
              <w:rPr>
                <w:rFonts w:cs="Arial"/>
                <w:b/>
                <w:bCs/>
                <w:color w:val="000000"/>
                <w:sz w:val="16"/>
                <w:szCs w:val="16"/>
              </w:rPr>
              <w:t>,0</w:t>
            </w:r>
          </w:p>
        </w:tc>
      </w:tr>
    </w:tbl>
    <w:p w:rsidR="00665097" w:rsidRDefault="00665097" w:rsidP="00BB313D">
      <w:pPr>
        <w:widowControl w:val="0"/>
      </w:pPr>
    </w:p>
    <w:p w:rsidR="004C0F90" w:rsidRDefault="004C0F90" w:rsidP="00BB313D">
      <w:pPr>
        <w:widowControl w:val="0"/>
      </w:pPr>
    </w:p>
    <w:p w:rsidR="00D06470" w:rsidRDefault="00D06470" w:rsidP="00BB313D">
      <w:pPr>
        <w:widowControl w:val="0"/>
        <w:spacing w:after="200" w:line="276" w:lineRule="auto"/>
        <w:jc w:val="left"/>
        <w:rPr>
          <w:rFonts w:eastAsia="Times New Roman" w:cs="Arial"/>
          <w:b/>
          <w:color w:val="1F497D" w:themeColor="text2"/>
          <w:szCs w:val="20"/>
          <w:lang w:eastAsia="es-ES"/>
        </w:rPr>
      </w:pPr>
      <w:r>
        <w:rPr>
          <w:rFonts w:cs="Arial"/>
          <w:i/>
          <w:color w:val="1F497D" w:themeColor="text2"/>
        </w:rPr>
        <w:br w:type="page"/>
      </w:r>
    </w:p>
    <w:p w:rsidR="00665097" w:rsidRPr="002F7D59" w:rsidRDefault="00665097" w:rsidP="00BB313D">
      <w:pPr>
        <w:pStyle w:val="Ttulo9"/>
        <w:keepNext w:val="0"/>
        <w:tabs>
          <w:tab w:val="clear" w:pos="426"/>
          <w:tab w:val="clear" w:pos="993"/>
          <w:tab w:val="clear" w:pos="1276"/>
          <w:tab w:val="clear" w:pos="1701"/>
          <w:tab w:val="clear" w:pos="8505"/>
        </w:tabs>
        <w:rPr>
          <w:rFonts w:ascii="Arial" w:hAnsi="Arial" w:cs="Arial"/>
          <w:i w:val="0"/>
          <w:snapToGrid/>
          <w:color w:val="1F497D" w:themeColor="text2"/>
          <w:sz w:val="20"/>
          <w:lang w:val="es-ES"/>
        </w:rPr>
      </w:pPr>
      <w:r w:rsidRPr="002F7D59">
        <w:rPr>
          <w:rFonts w:ascii="Arial" w:hAnsi="Arial" w:cs="Arial"/>
          <w:i w:val="0"/>
          <w:snapToGrid/>
          <w:color w:val="1F497D" w:themeColor="text2"/>
          <w:sz w:val="20"/>
          <w:lang w:val="es-ES"/>
        </w:rPr>
        <w:lastRenderedPageBreak/>
        <w:t>B. La Inversión en Inmovilizado Intangible</w:t>
      </w:r>
    </w:p>
    <w:p w:rsidR="00665097" w:rsidRDefault="00665097" w:rsidP="00BB313D">
      <w:pPr>
        <w:widowControl w:val="0"/>
        <w:rPr>
          <w:highlight w:val="yellow"/>
        </w:rPr>
      </w:pPr>
    </w:p>
    <w:p w:rsidR="00665097" w:rsidRDefault="00DE1512" w:rsidP="00BB313D">
      <w:pPr>
        <w:pStyle w:val="Textoindependiente"/>
        <w:widowControl w:val="0"/>
        <w:jc w:val="center"/>
        <w:rPr>
          <w:rFonts w:ascii="Arial" w:hAnsi="Arial" w:cs="Arial"/>
          <w:b/>
          <w:color w:val="1F497D" w:themeColor="text2"/>
          <w:sz w:val="18"/>
          <w:szCs w:val="18"/>
          <w:lang w:val="es-ES_tradnl"/>
        </w:rPr>
      </w:pPr>
      <w:bookmarkStart w:id="238" w:name="_Toc391999638"/>
      <w:bookmarkStart w:id="239" w:name="_Toc450119521"/>
      <w:r w:rsidRPr="00DE1512">
        <w:rPr>
          <w:rFonts w:ascii="Arial" w:hAnsi="Arial" w:cs="Arial"/>
          <w:b/>
          <w:color w:val="1F497D" w:themeColor="text2"/>
          <w:sz w:val="18"/>
          <w:szCs w:val="18"/>
          <w:lang w:val="es-ES_tradnl"/>
        </w:rPr>
        <w:t>Cuadro 1.</w:t>
      </w:r>
      <w:r w:rsidR="00771A61" w:rsidRPr="00DE1512">
        <w:rPr>
          <w:rFonts w:ascii="Arial" w:hAnsi="Arial" w:cs="Arial"/>
          <w:b/>
          <w:color w:val="1F497D" w:themeColor="text2"/>
          <w:sz w:val="18"/>
          <w:szCs w:val="18"/>
          <w:lang w:val="es-ES_tradnl"/>
        </w:rPr>
        <w:fldChar w:fldCharType="begin"/>
      </w:r>
      <w:r w:rsidRPr="00DE1512">
        <w:rPr>
          <w:rFonts w:ascii="Arial" w:hAnsi="Arial" w:cs="Arial"/>
          <w:b/>
          <w:color w:val="1F497D" w:themeColor="text2"/>
          <w:sz w:val="18"/>
          <w:szCs w:val="18"/>
          <w:lang w:val="es-ES_tradnl"/>
        </w:rPr>
        <w:instrText xml:space="preserve"> SEQ Cuadro_1. \* ARABIC </w:instrText>
      </w:r>
      <w:r w:rsidR="00771A61" w:rsidRPr="00DE1512">
        <w:rPr>
          <w:rFonts w:ascii="Arial" w:hAnsi="Arial" w:cs="Arial"/>
          <w:b/>
          <w:color w:val="1F497D" w:themeColor="text2"/>
          <w:sz w:val="18"/>
          <w:szCs w:val="18"/>
          <w:lang w:val="es-ES_tradnl"/>
        </w:rPr>
        <w:fldChar w:fldCharType="separate"/>
      </w:r>
      <w:r w:rsidR="00FC71A9">
        <w:rPr>
          <w:rFonts w:ascii="Arial" w:hAnsi="Arial" w:cs="Arial"/>
          <w:b/>
          <w:noProof/>
          <w:color w:val="1F497D" w:themeColor="text2"/>
          <w:sz w:val="18"/>
          <w:szCs w:val="18"/>
          <w:lang w:val="es-ES_tradnl"/>
        </w:rPr>
        <w:t>66</w:t>
      </w:r>
      <w:r w:rsidR="00771A61" w:rsidRPr="00DE1512">
        <w:rPr>
          <w:rFonts w:ascii="Arial" w:hAnsi="Arial" w:cs="Arial"/>
          <w:b/>
          <w:color w:val="1F497D" w:themeColor="text2"/>
          <w:sz w:val="18"/>
          <w:szCs w:val="18"/>
          <w:lang w:val="es-ES_tradnl"/>
        </w:rPr>
        <w:fldChar w:fldCharType="end"/>
      </w:r>
      <w:r w:rsidRPr="00DE1512">
        <w:rPr>
          <w:rFonts w:ascii="Arial" w:hAnsi="Arial" w:cs="Arial"/>
          <w:b/>
          <w:color w:val="1F497D" w:themeColor="text2"/>
          <w:sz w:val="18"/>
          <w:szCs w:val="18"/>
          <w:lang w:val="es-ES_tradnl"/>
        </w:rPr>
        <w:t xml:space="preserve"> </w:t>
      </w:r>
      <w:r w:rsidR="00C86565" w:rsidRPr="00C86565">
        <w:rPr>
          <w:rFonts w:ascii="Arial" w:hAnsi="Arial" w:cs="Arial"/>
          <w:b/>
          <w:color w:val="1F497D" w:themeColor="text2"/>
          <w:sz w:val="18"/>
          <w:szCs w:val="18"/>
          <w:lang w:val="es-ES_tradnl"/>
        </w:rPr>
        <w:t xml:space="preserve"> </w:t>
      </w:r>
      <w:r w:rsidR="00665097" w:rsidRPr="00DC7DAD">
        <w:rPr>
          <w:rFonts w:ascii="Arial" w:hAnsi="Arial" w:cs="Arial"/>
          <w:b/>
          <w:color w:val="1F497D" w:themeColor="text2"/>
          <w:sz w:val="18"/>
          <w:szCs w:val="18"/>
          <w:lang w:val="es-ES_tradnl"/>
        </w:rPr>
        <w:t>DISTRIBUCIÓN SECTORIAL DE LAS INVERSIONES INTANGIBLES DE LA ECONOMÍA S</w:t>
      </w:r>
      <w:r w:rsidR="00BE7C5C">
        <w:rPr>
          <w:rFonts w:ascii="Arial" w:hAnsi="Arial" w:cs="Arial"/>
          <w:b/>
          <w:color w:val="1F497D" w:themeColor="text2"/>
          <w:sz w:val="18"/>
          <w:szCs w:val="18"/>
          <w:lang w:val="es-ES_tradnl"/>
        </w:rPr>
        <w:t>OCIAL SEGÚN FORMA JURÍDICA. 2014</w:t>
      </w:r>
      <w:r w:rsidR="00665097" w:rsidRPr="00DC7DAD">
        <w:rPr>
          <w:rFonts w:ascii="Arial" w:hAnsi="Arial" w:cs="Arial"/>
          <w:b/>
          <w:color w:val="1F497D" w:themeColor="text2"/>
          <w:sz w:val="18"/>
          <w:szCs w:val="18"/>
          <w:lang w:val="es-ES_tradnl"/>
        </w:rPr>
        <w:t xml:space="preserve"> (</w:t>
      </w:r>
      <w:r w:rsidR="00590809">
        <w:rPr>
          <w:rFonts w:ascii="Arial" w:hAnsi="Arial" w:cs="Arial"/>
          <w:b/>
          <w:color w:val="1F497D" w:themeColor="text2"/>
          <w:sz w:val="18"/>
          <w:szCs w:val="18"/>
          <w:lang w:val="es-ES_tradnl"/>
        </w:rPr>
        <w:t>cifras absolutas en Euros</w:t>
      </w:r>
      <w:r w:rsidR="00665097" w:rsidRPr="00DC7DAD">
        <w:rPr>
          <w:rFonts w:ascii="Arial" w:hAnsi="Arial" w:cs="Arial"/>
          <w:b/>
          <w:color w:val="1F497D" w:themeColor="text2"/>
          <w:sz w:val="18"/>
          <w:szCs w:val="18"/>
          <w:lang w:val="es-ES_tradnl"/>
        </w:rPr>
        <w:t xml:space="preserve"> y </w:t>
      </w:r>
      <w:r w:rsidR="008C6D36">
        <w:rPr>
          <w:rFonts w:ascii="Arial" w:hAnsi="Arial" w:cs="Arial"/>
          <w:b/>
          <w:color w:val="1F497D" w:themeColor="text2"/>
          <w:sz w:val="18"/>
          <w:szCs w:val="18"/>
          <w:lang w:val="es-ES_tradnl"/>
        </w:rPr>
        <w:t>% verticales</w:t>
      </w:r>
      <w:r w:rsidR="00665097" w:rsidRPr="00DC7DAD">
        <w:rPr>
          <w:rFonts w:ascii="Arial" w:hAnsi="Arial" w:cs="Arial"/>
          <w:b/>
          <w:color w:val="1F497D" w:themeColor="text2"/>
          <w:sz w:val="18"/>
          <w:szCs w:val="18"/>
          <w:lang w:val="es-ES_tradnl"/>
        </w:rPr>
        <w:t>)</w:t>
      </w:r>
      <w:bookmarkEnd w:id="238"/>
      <w:bookmarkEnd w:id="239"/>
      <w:r w:rsidR="00665097" w:rsidRPr="00DC7DAD">
        <w:rPr>
          <w:rFonts w:ascii="Arial" w:hAnsi="Arial" w:cs="Arial"/>
          <w:b/>
          <w:color w:val="1F497D" w:themeColor="text2"/>
          <w:sz w:val="18"/>
          <w:szCs w:val="18"/>
          <w:lang w:val="es-ES_tradnl"/>
        </w:rPr>
        <w:t xml:space="preserve"> </w:t>
      </w:r>
    </w:p>
    <w:tbl>
      <w:tblPr>
        <w:tblW w:w="9940" w:type="dxa"/>
        <w:jc w:val="center"/>
        <w:tblCellMar>
          <w:left w:w="70" w:type="dxa"/>
          <w:right w:w="70" w:type="dxa"/>
        </w:tblCellMar>
        <w:tblLook w:val="04A0" w:firstRow="1" w:lastRow="0" w:firstColumn="1" w:lastColumn="0" w:noHBand="0" w:noVBand="1"/>
      </w:tblPr>
      <w:tblGrid>
        <w:gridCol w:w="1517"/>
        <w:gridCol w:w="1384"/>
        <w:gridCol w:w="734"/>
        <w:gridCol w:w="1334"/>
        <w:gridCol w:w="795"/>
        <w:gridCol w:w="1366"/>
        <w:gridCol w:w="711"/>
        <w:gridCol w:w="1366"/>
        <w:gridCol w:w="733"/>
      </w:tblGrid>
      <w:tr w:rsidR="00665097" w:rsidRPr="007227AB" w:rsidTr="00175D09">
        <w:trPr>
          <w:jc w:val="center"/>
        </w:trPr>
        <w:tc>
          <w:tcPr>
            <w:tcW w:w="764"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665097" w:rsidRPr="007227AB" w:rsidRDefault="00665097" w:rsidP="00332690">
            <w:pPr>
              <w:widowControl w:val="0"/>
              <w:spacing w:line="240" w:lineRule="exact"/>
              <w:rPr>
                <w:rFonts w:ascii="Calibri" w:hAnsi="Calibri"/>
                <w:color w:val="000000"/>
              </w:rPr>
            </w:pPr>
            <w:r w:rsidRPr="007227AB">
              <w:rPr>
                <w:rFonts w:ascii="Calibri" w:hAnsi="Calibri"/>
                <w:color w:val="000000"/>
              </w:rPr>
              <w:t> </w:t>
            </w:r>
          </w:p>
        </w:tc>
        <w:tc>
          <w:tcPr>
            <w:tcW w:w="1067"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r w:rsidRPr="00C67386">
              <w:rPr>
                <w:rFonts w:cs="Arial"/>
                <w:b/>
                <w:bCs/>
                <w:sz w:val="16"/>
                <w:szCs w:val="16"/>
                <w:lang w:val="en-GB"/>
              </w:rPr>
              <w:t>TOTAL</w:t>
            </w:r>
          </w:p>
        </w:tc>
        <w:tc>
          <w:tcPr>
            <w:tcW w:w="1073"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proofErr w:type="spellStart"/>
            <w:r w:rsidRPr="00C67386">
              <w:rPr>
                <w:rFonts w:cs="Arial"/>
                <w:b/>
                <w:bCs/>
                <w:sz w:val="16"/>
                <w:szCs w:val="16"/>
                <w:lang w:val="en-GB"/>
              </w:rPr>
              <w:t>S.Coop</w:t>
            </w:r>
            <w:proofErr w:type="spellEnd"/>
            <w:r w:rsidRPr="00C67386">
              <w:rPr>
                <w:rFonts w:cs="Arial"/>
                <w:b/>
                <w:bCs/>
                <w:sz w:val="16"/>
                <w:szCs w:val="16"/>
                <w:lang w:val="en-GB"/>
              </w:rPr>
              <w:t>.</w:t>
            </w:r>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r w:rsidRPr="00C67386">
              <w:rPr>
                <w:rFonts w:cs="Arial"/>
                <w:b/>
                <w:bCs/>
                <w:sz w:val="16"/>
                <w:szCs w:val="16"/>
                <w:lang w:val="en-GB"/>
              </w:rPr>
              <w:t>S.A.L.es</w:t>
            </w:r>
          </w:p>
        </w:tc>
        <w:tc>
          <w:tcPr>
            <w:tcW w:w="1057"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665097" w:rsidRPr="00C67386" w:rsidRDefault="00665097" w:rsidP="00332690">
            <w:pPr>
              <w:widowControl w:val="0"/>
              <w:spacing w:line="240" w:lineRule="exact"/>
              <w:jc w:val="center"/>
              <w:rPr>
                <w:rFonts w:cs="Arial"/>
                <w:b/>
                <w:bCs/>
                <w:sz w:val="16"/>
                <w:szCs w:val="16"/>
              </w:rPr>
            </w:pPr>
            <w:r w:rsidRPr="00C67386">
              <w:rPr>
                <w:rFonts w:cs="Arial"/>
                <w:b/>
                <w:bCs/>
                <w:sz w:val="16"/>
                <w:szCs w:val="16"/>
                <w:lang w:val="en-GB"/>
              </w:rPr>
              <w:t>S.L.L.es</w:t>
            </w:r>
          </w:p>
        </w:tc>
      </w:tr>
      <w:tr w:rsidR="00665097" w:rsidRPr="007227AB" w:rsidTr="00175D09">
        <w:trPr>
          <w:jc w:val="center"/>
        </w:trPr>
        <w:tc>
          <w:tcPr>
            <w:tcW w:w="764" w:type="pct"/>
            <w:vMerge/>
            <w:tcBorders>
              <w:top w:val="single" w:sz="8" w:space="0" w:color="BFBFBF"/>
              <w:left w:val="nil"/>
              <w:bottom w:val="single" w:sz="8" w:space="0" w:color="BFBFBF"/>
              <w:right w:val="single" w:sz="4" w:space="0" w:color="BFBFBF" w:themeColor="background1" w:themeShade="BF"/>
            </w:tcBorders>
            <w:vAlign w:val="center"/>
            <w:hideMark/>
          </w:tcPr>
          <w:p w:rsidR="00665097" w:rsidRPr="007227AB" w:rsidRDefault="00665097" w:rsidP="00332690">
            <w:pPr>
              <w:widowControl w:val="0"/>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70"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72"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69" w:type="pct"/>
            <w:tcBorders>
              <w:top w:val="nil"/>
              <w:left w:val="nil"/>
              <w:bottom w:val="single" w:sz="8" w:space="0" w:color="BFBFBF"/>
              <w:right w:val="nil"/>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r>
      <w:tr w:rsidR="00C426B3" w:rsidRPr="007227AB" w:rsidTr="00175D09">
        <w:trPr>
          <w:jc w:val="center"/>
        </w:trPr>
        <w:tc>
          <w:tcPr>
            <w:tcW w:w="764" w:type="pct"/>
            <w:tcBorders>
              <w:top w:val="nil"/>
              <w:left w:val="nil"/>
              <w:bottom w:val="nil"/>
              <w:right w:val="single" w:sz="4" w:space="0" w:color="BFBFBF" w:themeColor="background1" w:themeShade="BF"/>
            </w:tcBorders>
            <w:shd w:val="clear" w:color="auto" w:fill="auto"/>
            <w:hideMark/>
          </w:tcPr>
          <w:p w:rsidR="00C426B3" w:rsidRPr="00061CD6" w:rsidRDefault="00C426B3" w:rsidP="00332690">
            <w:pPr>
              <w:widowControl w:val="0"/>
              <w:spacing w:line="240" w:lineRule="exact"/>
              <w:rPr>
                <w:rFonts w:cs="Arial"/>
                <w:color w:val="000000"/>
                <w:sz w:val="16"/>
                <w:szCs w:val="16"/>
              </w:rPr>
            </w:pPr>
            <w:r w:rsidRPr="00061CD6">
              <w:rPr>
                <w:rFonts w:cs="Arial"/>
                <w:color w:val="000000"/>
                <w:sz w:val="16"/>
                <w:szCs w:val="16"/>
              </w:rPr>
              <w:t>Primario</w:t>
            </w:r>
          </w:p>
        </w:tc>
        <w:tc>
          <w:tcPr>
            <w:tcW w:w="697" w:type="pct"/>
            <w:tcBorders>
              <w:top w:val="nil"/>
              <w:left w:val="single" w:sz="4" w:space="0" w:color="BFBFBF" w:themeColor="background1" w:themeShade="BF"/>
              <w:bottom w:val="nil"/>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499.858</w:t>
            </w:r>
          </w:p>
        </w:tc>
        <w:tc>
          <w:tcPr>
            <w:tcW w:w="370" w:type="pct"/>
            <w:tcBorders>
              <w:top w:val="nil"/>
              <w:left w:val="nil"/>
              <w:bottom w:val="nil"/>
              <w:right w:val="single" w:sz="4" w:space="0" w:color="BFBFBF" w:themeColor="background1" w:themeShade="BF"/>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0,8</w:t>
            </w:r>
          </w:p>
        </w:tc>
        <w:tc>
          <w:tcPr>
            <w:tcW w:w="672" w:type="pct"/>
            <w:tcBorders>
              <w:top w:val="nil"/>
              <w:left w:val="single" w:sz="4" w:space="0" w:color="BFBFBF" w:themeColor="background1" w:themeShade="BF"/>
              <w:bottom w:val="nil"/>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499.858</w:t>
            </w:r>
          </w:p>
        </w:tc>
        <w:tc>
          <w:tcPr>
            <w:tcW w:w="401" w:type="pct"/>
            <w:tcBorders>
              <w:top w:val="nil"/>
              <w:left w:val="nil"/>
              <w:bottom w:val="nil"/>
              <w:right w:val="single" w:sz="4" w:space="0" w:color="BFBFBF" w:themeColor="background1" w:themeShade="BF"/>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0,8</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0</w:t>
            </w:r>
          </w:p>
        </w:tc>
        <w:tc>
          <w:tcPr>
            <w:tcW w:w="351" w:type="pct"/>
            <w:tcBorders>
              <w:top w:val="nil"/>
              <w:left w:val="nil"/>
              <w:bottom w:val="nil"/>
              <w:right w:val="single" w:sz="4" w:space="0" w:color="BFBFBF" w:themeColor="background1" w:themeShade="BF"/>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0</w:t>
            </w:r>
          </w:p>
        </w:tc>
        <w:tc>
          <w:tcPr>
            <w:tcW w:w="369" w:type="pct"/>
            <w:tcBorders>
              <w:top w:val="nil"/>
              <w:left w:val="nil"/>
              <w:bottom w:val="nil"/>
              <w:right w:val="nil"/>
            </w:tcBorders>
            <w:shd w:val="clear" w:color="auto" w:fill="auto"/>
            <w:vAlign w:val="bottom"/>
            <w:hideMark/>
          </w:tcPr>
          <w:p w:rsidR="00C426B3" w:rsidRPr="00C426B3" w:rsidRDefault="00C426B3" w:rsidP="00332690">
            <w:pPr>
              <w:spacing w:line="240" w:lineRule="exact"/>
              <w:ind w:right="170"/>
              <w:jc w:val="right"/>
              <w:rPr>
                <w:rFonts w:cs="Arial"/>
                <w:color w:val="000000"/>
                <w:sz w:val="16"/>
                <w:szCs w:val="16"/>
              </w:rPr>
            </w:pPr>
            <w:r w:rsidRPr="00C426B3">
              <w:rPr>
                <w:rFonts w:cs="Arial"/>
                <w:color w:val="000000"/>
                <w:sz w:val="16"/>
                <w:szCs w:val="16"/>
              </w:rPr>
              <w:t>0,0</w:t>
            </w:r>
          </w:p>
        </w:tc>
      </w:tr>
      <w:tr w:rsidR="00C426B3" w:rsidRPr="007227AB" w:rsidTr="00175D09">
        <w:trPr>
          <w:jc w:val="center"/>
        </w:trPr>
        <w:tc>
          <w:tcPr>
            <w:tcW w:w="764" w:type="pct"/>
            <w:tcBorders>
              <w:top w:val="nil"/>
              <w:left w:val="nil"/>
              <w:bottom w:val="nil"/>
              <w:right w:val="single" w:sz="4" w:space="0" w:color="BFBFBF" w:themeColor="background1" w:themeShade="BF"/>
            </w:tcBorders>
            <w:shd w:val="clear" w:color="auto" w:fill="auto"/>
            <w:hideMark/>
          </w:tcPr>
          <w:p w:rsidR="00C426B3" w:rsidRPr="00061CD6" w:rsidRDefault="00C426B3" w:rsidP="00332690">
            <w:pPr>
              <w:widowControl w:val="0"/>
              <w:spacing w:line="240" w:lineRule="exact"/>
              <w:rPr>
                <w:rFonts w:cs="Arial"/>
                <w:color w:val="000000"/>
                <w:sz w:val="16"/>
                <w:szCs w:val="16"/>
              </w:rPr>
            </w:pPr>
            <w:r w:rsidRPr="00061CD6">
              <w:rPr>
                <w:rFonts w:cs="Arial"/>
                <w:color w:val="000000"/>
                <w:sz w:val="16"/>
                <w:szCs w:val="16"/>
              </w:rPr>
              <w:t>Industria</w:t>
            </w:r>
          </w:p>
        </w:tc>
        <w:tc>
          <w:tcPr>
            <w:tcW w:w="697" w:type="pct"/>
            <w:tcBorders>
              <w:top w:val="nil"/>
              <w:left w:val="single" w:sz="4" w:space="0" w:color="BFBFBF" w:themeColor="background1" w:themeShade="BF"/>
              <w:bottom w:val="nil"/>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35.502.186</w:t>
            </w:r>
          </w:p>
        </w:tc>
        <w:tc>
          <w:tcPr>
            <w:tcW w:w="370" w:type="pct"/>
            <w:tcBorders>
              <w:top w:val="nil"/>
              <w:left w:val="nil"/>
              <w:bottom w:val="nil"/>
              <w:right w:val="single" w:sz="4" w:space="0" w:color="BFBFBF" w:themeColor="background1" w:themeShade="BF"/>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57,9</w:t>
            </w:r>
          </w:p>
        </w:tc>
        <w:tc>
          <w:tcPr>
            <w:tcW w:w="672" w:type="pct"/>
            <w:tcBorders>
              <w:top w:val="nil"/>
              <w:left w:val="single" w:sz="4" w:space="0" w:color="BFBFBF" w:themeColor="background1" w:themeShade="BF"/>
              <w:bottom w:val="nil"/>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34.417.329</w:t>
            </w:r>
          </w:p>
        </w:tc>
        <w:tc>
          <w:tcPr>
            <w:tcW w:w="401" w:type="pct"/>
            <w:tcBorders>
              <w:top w:val="nil"/>
              <w:left w:val="nil"/>
              <w:bottom w:val="nil"/>
              <w:right w:val="single" w:sz="4" w:space="0" w:color="BFBFBF" w:themeColor="background1" w:themeShade="BF"/>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57,7</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773.886</w:t>
            </w:r>
          </w:p>
        </w:tc>
        <w:tc>
          <w:tcPr>
            <w:tcW w:w="351" w:type="pct"/>
            <w:tcBorders>
              <w:top w:val="nil"/>
              <w:left w:val="nil"/>
              <w:bottom w:val="nil"/>
              <w:right w:val="single" w:sz="4" w:space="0" w:color="BFBFBF" w:themeColor="background1" w:themeShade="BF"/>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77,4</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310.970</w:t>
            </w:r>
          </w:p>
        </w:tc>
        <w:tc>
          <w:tcPr>
            <w:tcW w:w="369" w:type="pct"/>
            <w:tcBorders>
              <w:top w:val="nil"/>
              <w:left w:val="nil"/>
              <w:bottom w:val="nil"/>
              <w:right w:val="nil"/>
            </w:tcBorders>
            <w:shd w:val="clear" w:color="auto" w:fill="auto"/>
            <w:vAlign w:val="bottom"/>
            <w:hideMark/>
          </w:tcPr>
          <w:p w:rsidR="00C426B3" w:rsidRPr="00C426B3" w:rsidRDefault="00C426B3" w:rsidP="00332690">
            <w:pPr>
              <w:spacing w:line="240" w:lineRule="exact"/>
              <w:ind w:right="170"/>
              <w:jc w:val="right"/>
              <w:rPr>
                <w:rFonts w:cs="Arial"/>
                <w:color w:val="000000"/>
                <w:sz w:val="16"/>
                <w:szCs w:val="16"/>
              </w:rPr>
            </w:pPr>
            <w:r w:rsidRPr="00C426B3">
              <w:rPr>
                <w:rFonts w:cs="Arial"/>
                <w:color w:val="000000"/>
                <w:sz w:val="16"/>
                <w:szCs w:val="16"/>
              </w:rPr>
              <w:t>46,6</w:t>
            </w:r>
          </w:p>
        </w:tc>
      </w:tr>
      <w:tr w:rsidR="00C426B3" w:rsidRPr="007227AB" w:rsidTr="00175D09">
        <w:trPr>
          <w:jc w:val="center"/>
        </w:trPr>
        <w:tc>
          <w:tcPr>
            <w:tcW w:w="764" w:type="pct"/>
            <w:tcBorders>
              <w:top w:val="nil"/>
              <w:left w:val="nil"/>
              <w:bottom w:val="nil"/>
              <w:right w:val="single" w:sz="4" w:space="0" w:color="BFBFBF" w:themeColor="background1" w:themeShade="BF"/>
            </w:tcBorders>
            <w:shd w:val="clear" w:color="auto" w:fill="auto"/>
            <w:vAlign w:val="bottom"/>
            <w:hideMark/>
          </w:tcPr>
          <w:p w:rsidR="00C426B3" w:rsidRPr="00061CD6" w:rsidRDefault="00C426B3" w:rsidP="00332690">
            <w:pPr>
              <w:widowControl w:val="0"/>
              <w:spacing w:line="240" w:lineRule="exact"/>
              <w:rPr>
                <w:rFonts w:cs="Arial"/>
                <w:color w:val="000000"/>
                <w:sz w:val="16"/>
                <w:szCs w:val="16"/>
              </w:rPr>
            </w:pPr>
            <w:r w:rsidRPr="00061CD6">
              <w:rPr>
                <w:rFonts w:cs="Arial"/>
                <w:color w:val="000000"/>
                <w:sz w:val="16"/>
                <w:szCs w:val="16"/>
              </w:rPr>
              <w:t>Construcción</w:t>
            </w:r>
          </w:p>
        </w:tc>
        <w:tc>
          <w:tcPr>
            <w:tcW w:w="697" w:type="pct"/>
            <w:tcBorders>
              <w:top w:val="nil"/>
              <w:left w:val="single" w:sz="4" w:space="0" w:color="BFBFBF" w:themeColor="background1" w:themeShade="BF"/>
              <w:bottom w:val="nil"/>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284.717</w:t>
            </w:r>
          </w:p>
        </w:tc>
        <w:tc>
          <w:tcPr>
            <w:tcW w:w="370" w:type="pct"/>
            <w:tcBorders>
              <w:top w:val="nil"/>
              <w:left w:val="nil"/>
              <w:bottom w:val="nil"/>
              <w:right w:val="single" w:sz="4" w:space="0" w:color="BFBFBF" w:themeColor="background1" w:themeShade="BF"/>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0,5</w:t>
            </w:r>
          </w:p>
        </w:tc>
        <w:tc>
          <w:tcPr>
            <w:tcW w:w="672" w:type="pct"/>
            <w:tcBorders>
              <w:top w:val="nil"/>
              <w:left w:val="single" w:sz="4" w:space="0" w:color="BFBFBF" w:themeColor="background1" w:themeShade="BF"/>
              <w:bottom w:val="nil"/>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204.835</w:t>
            </w:r>
          </w:p>
        </w:tc>
        <w:tc>
          <w:tcPr>
            <w:tcW w:w="401" w:type="pct"/>
            <w:tcBorders>
              <w:top w:val="nil"/>
              <w:left w:val="nil"/>
              <w:bottom w:val="nil"/>
              <w:right w:val="single" w:sz="4" w:space="0" w:color="BFBFBF" w:themeColor="background1" w:themeShade="BF"/>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0,3</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20.745</w:t>
            </w:r>
          </w:p>
        </w:tc>
        <w:tc>
          <w:tcPr>
            <w:tcW w:w="351" w:type="pct"/>
            <w:tcBorders>
              <w:top w:val="nil"/>
              <w:left w:val="nil"/>
              <w:bottom w:val="nil"/>
              <w:right w:val="single" w:sz="4" w:space="0" w:color="BFBFBF" w:themeColor="background1" w:themeShade="BF"/>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2,1</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59.137</w:t>
            </w:r>
          </w:p>
        </w:tc>
        <w:tc>
          <w:tcPr>
            <w:tcW w:w="369" w:type="pct"/>
            <w:tcBorders>
              <w:top w:val="nil"/>
              <w:left w:val="nil"/>
              <w:bottom w:val="nil"/>
              <w:right w:val="nil"/>
            </w:tcBorders>
            <w:shd w:val="clear" w:color="auto" w:fill="auto"/>
            <w:vAlign w:val="bottom"/>
            <w:hideMark/>
          </w:tcPr>
          <w:p w:rsidR="00C426B3" w:rsidRPr="00C426B3" w:rsidRDefault="00C426B3" w:rsidP="00332690">
            <w:pPr>
              <w:spacing w:line="240" w:lineRule="exact"/>
              <w:ind w:right="170"/>
              <w:jc w:val="right"/>
              <w:rPr>
                <w:rFonts w:cs="Arial"/>
                <w:color w:val="000000"/>
                <w:sz w:val="16"/>
                <w:szCs w:val="16"/>
              </w:rPr>
            </w:pPr>
            <w:r w:rsidRPr="00C426B3">
              <w:rPr>
                <w:rFonts w:cs="Arial"/>
                <w:color w:val="000000"/>
                <w:sz w:val="16"/>
                <w:szCs w:val="16"/>
              </w:rPr>
              <w:t>8,9</w:t>
            </w:r>
          </w:p>
        </w:tc>
      </w:tr>
      <w:tr w:rsidR="00C426B3" w:rsidRPr="007227AB" w:rsidTr="00175D09">
        <w:trPr>
          <w:jc w:val="center"/>
        </w:trPr>
        <w:tc>
          <w:tcPr>
            <w:tcW w:w="764" w:type="pct"/>
            <w:tcBorders>
              <w:top w:val="nil"/>
              <w:left w:val="nil"/>
              <w:bottom w:val="nil"/>
              <w:right w:val="single" w:sz="4" w:space="0" w:color="BFBFBF" w:themeColor="background1" w:themeShade="BF"/>
            </w:tcBorders>
            <w:shd w:val="clear" w:color="auto" w:fill="auto"/>
            <w:hideMark/>
          </w:tcPr>
          <w:p w:rsidR="00C426B3" w:rsidRPr="00061CD6" w:rsidRDefault="00C426B3" w:rsidP="00332690">
            <w:pPr>
              <w:widowControl w:val="0"/>
              <w:spacing w:line="240" w:lineRule="exact"/>
              <w:rPr>
                <w:rFonts w:cs="Arial"/>
                <w:color w:val="000000"/>
                <w:sz w:val="16"/>
                <w:szCs w:val="16"/>
              </w:rPr>
            </w:pPr>
            <w:r w:rsidRPr="00061CD6">
              <w:rPr>
                <w:rFonts w:cs="Arial"/>
                <w:color w:val="000000"/>
                <w:sz w:val="16"/>
                <w:szCs w:val="16"/>
              </w:rPr>
              <w:t>Servicios</w:t>
            </w:r>
          </w:p>
        </w:tc>
        <w:tc>
          <w:tcPr>
            <w:tcW w:w="697" w:type="pct"/>
            <w:tcBorders>
              <w:top w:val="nil"/>
              <w:left w:val="single" w:sz="4" w:space="0" w:color="BFBFBF" w:themeColor="background1" w:themeShade="BF"/>
              <w:bottom w:val="nil"/>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25.004.167</w:t>
            </w:r>
          </w:p>
        </w:tc>
        <w:tc>
          <w:tcPr>
            <w:tcW w:w="370" w:type="pct"/>
            <w:tcBorders>
              <w:top w:val="nil"/>
              <w:left w:val="nil"/>
              <w:bottom w:val="nil"/>
              <w:right w:val="single" w:sz="4" w:space="0" w:color="BFBFBF" w:themeColor="background1" w:themeShade="BF"/>
            </w:tcBorders>
            <w:shd w:val="clear" w:color="auto" w:fill="auto"/>
            <w:vAlign w:val="bottom"/>
            <w:hideMark/>
          </w:tcPr>
          <w:p w:rsidR="00C426B3" w:rsidRPr="003A6269" w:rsidRDefault="00C426B3" w:rsidP="00332690">
            <w:pPr>
              <w:widowControl w:val="0"/>
              <w:spacing w:line="240" w:lineRule="exact"/>
              <w:ind w:right="170"/>
              <w:jc w:val="right"/>
              <w:rPr>
                <w:rFonts w:cs="Arial"/>
                <w:color w:val="000000"/>
                <w:sz w:val="16"/>
                <w:szCs w:val="16"/>
              </w:rPr>
            </w:pPr>
            <w:r w:rsidRPr="003A6269">
              <w:rPr>
                <w:rFonts w:cs="Arial"/>
                <w:color w:val="000000"/>
                <w:sz w:val="16"/>
                <w:szCs w:val="16"/>
              </w:rPr>
              <w:t>40,8</w:t>
            </w:r>
          </w:p>
        </w:tc>
        <w:tc>
          <w:tcPr>
            <w:tcW w:w="672" w:type="pct"/>
            <w:tcBorders>
              <w:top w:val="nil"/>
              <w:left w:val="single" w:sz="4" w:space="0" w:color="BFBFBF" w:themeColor="background1" w:themeShade="BF"/>
              <w:bottom w:val="nil"/>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24.501.647</w:t>
            </w:r>
          </w:p>
        </w:tc>
        <w:tc>
          <w:tcPr>
            <w:tcW w:w="401" w:type="pct"/>
            <w:tcBorders>
              <w:top w:val="nil"/>
              <w:left w:val="nil"/>
              <w:bottom w:val="nil"/>
              <w:right w:val="single" w:sz="4" w:space="0" w:color="BFBFBF" w:themeColor="background1" w:themeShade="BF"/>
            </w:tcBorders>
            <w:shd w:val="clear" w:color="auto" w:fill="auto"/>
            <w:vAlign w:val="bottom"/>
            <w:hideMark/>
          </w:tcPr>
          <w:p w:rsidR="00C426B3" w:rsidRPr="004F7E72" w:rsidRDefault="00C426B3" w:rsidP="00332690">
            <w:pPr>
              <w:spacing w:line="240" w:lineRule="exact"/>
              <w:ind w:right="170"/>
              <w:jc w:val="right"/>
              <w:rPr>
                <w:rFonts w:cs="Arial"/>
                <w:color w:val="000000"/>
                <w:sz w:val="16"/>
                <w:szCs w:val="16"/>
              </w:rPr>
            </w:pPr>
            <w:r w:rsidRPr="004F7E72">
              <w:rPr>
                <w:rFonts w:cs="Arial"/>
                <w:color w:val="000000"/>
                <w:sz w:val="16"/>
                <w:szCs w:val="16"/>
              </w:rPr>
              <w:t>41,1</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205.031</w:t>
            </w:r>
          </w:p>
        </w:tc>
        <w:tc>
          <w:tcPr>
            <w:tcW w:w="351" w:type="pct"/>
            <w:tcBorders>
              <w:top w:val="nil"/>
              <w:left w:val="nil"/>
              <w:bottom w:val="nil"/>
              <w:right w:val="single" w:sz="4" w:space="0" w:color="BFBFBF" w:themeColor="background1" w:themeShade="BF"/>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20,5</w:t>
            </w:r>
          </w:p>
        </w:tc>
        <w:tc>
          <w:tcPr>
            <w:tcW w:w="688" w:type="pct"/>
            <w:tcBorders>
              <w:top w:val="nil"/>
              <w:left w:val="single" w:sz="4" w:space="0" w:color="BFBFBF" w:themeColor="background1" w:themeShade="BF"/>
              <w:bottom w:val="nil"/>
            </w:tcBorders>
            <w:shd w:val="clear" w:color="auto" w:fill="auto"/>
            <w:vAlign w:val="bottom"/>
            <w:hideMark/>
          </w:tcPr>
          <w:p w:rsidR="00C426B3" w:rsidRPr="00045D88" w:rsidRDefault="00C426B3" w:rsidP="00332690">
            <w:pPr>
              <w:spacing w:line="240" w:lineRule="exact"/>
              <w:ind w:right="170"/>
              <w:jc w:val="right"/>
              <w:rPr>
                <w:rFonts w:cs="Arial"/>
                <w:color w:val="000000"/>
                <w:sz w:val="16"/>
                <w:szCs w:val="16"/>
              </w:rPr>
            </w:pPr>
            <w:r w:rsidRPr="00045D88">
              <w:rPr>
                <w:rFonts w:cs="Arial"/>
                <w:color w:val="000000"/>
                <w:sz w:val="16"/>
                <w:szCs w:val="16"/>
              </w:rPr>
              <w:t>297.488</w:t>
            </w:r>
          </w:p>
        </w:tc>
        <w:tc>
          <w:tcPr>
            <w:tcW w:w="369" w:type="pct"/>
            <w:tcBorders>
              <w:top w:val="nil"/>
              <w:left w:val="nil"/>
              <w:bottom w:val="nil"/>
              <w:right w:val="nil"/>
            </w:tcBorders>
            <w:shd w:val="clear" w:color="auto" w:fill="auto"/>
            <w:vAlign w:val="bottom"/>
            <w:hideMark/>
          </w:tcPr>
          <w:p w:rsidR="00C426B3" w:rsidRPr="00C426B3" w:rsidRDefault="00C426B3" w:rsidP="00332690">
            <w:pPr>
              <w:spacing w:line="240" w:lineRule="exact"/>
              <w:ind w:right="170"/>
              <w:jc w:val="right"/>
              <w:rPr>
                <w:rFonts w:cs="Arial"/>
                <w:color w:val="000000"/>
                <w:sz w:val="16"/>
                <w:szCs w:val="16"/>
              </w:rPr>
            </w:pPr>
            <w:r w:rsidRPr="00C426B3">
              <w:rPr>
                <w:rFonts w:cs="Arial"/>
                <w:color w:val="000000"/>
                <w:sz w:val="16"/>
                <w:szCs w:val="16"/>
              </w:rPr>
              <w:t>44,6</w:t>
            </w:r>
          </w:p>
        </w:tc>
      </w:tr>
      <w:tr w:rsidR="003A6269" w:rsidRPr="004F7E72" w:rsidTr="00175D09">
        <w:trPr>
          <w:jc w:val="center"/>
        </w:trPr>
        <w:tc>
          <w:tcPr>
            <w:tcW w:w="764"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3A6269" w:rsidRPr="007227AB" w:rsidRDefault="00D508DF" w:rsidP="00332690">
            <w:pPr>
              <w:widowControl w:val="0"/>
              <w:spacing w:line="240" w:lineRule="exact"/>
              <w:rPr>
                <w:rFonts w:cs="Arial"/>
                <w:b/>
                <w:bCs/>
                <w:color w:val="000000"/>
                <w:sz w:val="16"/>
                <w:szCs w:val="16"/>
              </w:rPr>
            </w:pPr>
            <w:r>
              <w:rPr>
                <w:rFonts w:eastAsia="Times New Roman" w:cs="Arial"/>
                <w:b/>
                <w:bCs/>
                <w:color w:val="000000"/>
                <w:sz w:val="16"/>
                <w:szCs w:val="16"/>
                <w:lang w:eastAsia="es-ES"/>
              </w:rPr>
              <w:t>TOTAL</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3A6269" w:rsidRPr="004F7E72" w:rsidRDefault="003A6269" w:rsidP="00332690">
            <w:pPr>
              <w:widowControl w:val="0"/>
              <w:spacing w:line="240" w:lineRule="exact"/>
              <w:ind w:right="170"/>
              <w:jc w:val="right"/>
              <w:rPr>
                <w:rFonts w:cs="Arial"/>
                <w:b/>
                <w:bCs/>
                <w:color w:val="000000"/>
                <w:sz w:val="16"/>
                <w:szCs w:val="16"/>
              </w:rPr>
            </w:pPr>
            <w:r w:rsidRPr="003A6269">
              <w:rPr>
                <w:rFonts w:cs="Arial"/>
                <w:b/>
                <w:bCs/>
                <w:color w:val="000000"/>
                <w:sz w:val="16"/>
                <w:szCs w:val="16"/>
              </w:rPr>
              <w:t>61.290.928</w:t>
            </w:r>
          </w:p>
        </w:tc>
        <w:tc>
          <w:tcPr>
            <w:tcW w:w="370"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3A6269" w:rsidRPr="003A2ECC" w:rsidRDefault="003A6269" w:rsidP="00332690">
            <w:pPr>
              <w:widowControl w:val="0"/>
              <w:spacing w:line="240" w:lineRule="exact"/>
              <w:ind w:right="170"/>
              <w:jc w:val="right"/>
              <w:rPr>
                <w:rFonts w:cs="Arial"/>
                <w:b/>
                <w:bCs/>
                <w:color w:val="000000"/>
                <w:sz w:val="16"/>
                <w:szCs w:val="16"/>
              </w:rPr>
            </w:pPr>
            <w:r w:rsidRPr="003A2ECC">
              <w:rPr>
                <w:rFonts w:cs="Arial"/>
                <w:b/>
                <w:bCs/>
                <w:color w:val="000000"/>
                <w:sz w:val="16"/>
                <w:szCs w:val="16"/>
              </w:rPr>
              <w:t>100</w:t>
            </w:r>
            <w:r w:rsidR="00A917B1">
              <w:rPr>
                <w:rFonts w:cs="Arial"/>
                <w:b/>
                <w:bCs/>
                <w:color w:val="000000"/>
                <w:sz w:val="16"/>
                <w:szCs w:val="16"/>
              </w:rPr>
              <w:t>,0</w:t>
            </w:r>
          </w:p>
        </w:tc>
        <w:tc>
          <w:tcPr>
            <w:tcW w:w="672"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3A6269" w:rsidRPr="004F7E72" w:rsidRDefault="004F7E72" w:rsidP="00332690">
            <w:pPr>
              <w:widowControl w:val="0"/>
              <w:spacing w:line="240" w:lineRule="exact"/>
              <w:ind w:right="170"/>
              <w:jc w:val="right"/>
              <w:rPr>
                <w:rFonts w:cs="Arial"/>
                <w:b/>
                <w:bCs/>
                <w:color w:val="000000"/>
                <w:sz w:val="16"/>
                <w:szCs w:val="16"/>
              </w:rPr>
            </w:pPr>
            <w:r w:rsidRPr="004F7E72">
              <w:rPr>
                <w:rFonts w:cs="Arial"/>
                <w:b/>
                <w:bCs/>
                <w:color w:val="000000"/>
                <w:sz w:val="16"/>
                <w:szCs w:val="16"/>
              </w:rPr>
              <w:t>59.623.669</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3A6269" w:rsidRPr="003A2ECC" w:rsidRDefault="003A6269" w:rsidP="00332690">
            <w:pPr>
              <w:widowControl w:val="0"/>
              <w:spacing w:line="240" w:lineRule="exact"/>
              <w:ind w:right="170"/>
              <w:jc w:val="right"/>
              <w:rPr>
                <w:rFonts w:cs="Arial"/>
                <w:b/>
                <w:bCs/>
                <w:color w:val="000000"/>
                <w:sz w:val="16"/>
                <w:szCs w:val="16"/>
              </w:rPr>
            </w:pPr>
            <w:r w:rsidRPr="003A2ECC">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3A6269" w:rsidRPr="00045D88" w:rsidRDefault="00045D88" w:rsidP="00332690">
            <w:pPr>
              <w:widowControl w:val="0"/>
              <w:spacing w:line="240" w:lineRule="exact"/>
              <w:ind w:right="170"/>
              <w:jc w:val="right"/>
              <w:rPr>
                <w:rFonts w:cs="Arial"/>
                <w:b/>
                <w:bCs/>
                <w:color w:val="000000"/>
                <w:sz w:val="16"/>
                <w:szCs w:val="16"/>
              </w:rPr>
            </w:pPr>
            <w:r w:rsidRPr="00045D88">
              <w:rPr>
                <w:rFonts w:cs="Arial"/>
                <w:b/>
                <w:bCs/>
                <w:color w:val="000000"/>
                <w:sz w:val="16"/>
                <w:szCs w:val="16"/>
              </w:rPr>
              <w:t>999.663</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3A6269" w:rsidRPr="003A2ECC" w:rsidRDefault="003A6269" w:rsidP="00332690">
            <w:pPr>
              <w:widowControl w:val="0"/>
              <w:spacing w:line="240" w:lineRule="exact"/>
              <w:ind w:right="170"/>
              <w:jc w:val="right"/>
              <w:rPr>
                <w:rFonts w:cs="Arial"/>
                <w:b/>
                <w:bCs/>
                <w:color w:val="000000"/>
                <w:sz w:val="16"/>
                <w:szCs w:val="16"/>
              </w:rPr>
            </w:pPr>
            <w:r w:rsidRPr="003A2ECC">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3A6269" w:rsidRPr="00045D88" w:rsidRDefault="00045D88" w:rsidP="00332690">
            <w:pPr>
              <w:widowControl w:val="0"/>
              <w:spacing w:line="240" w:lineRule="exact"/>
              <w:ind w:right="170"/>
              <w:jc w:val="right"/>
              <w:rPr>
                <w:rFonts w:cs="Arial"/>
                <w:b/>
                <w:bCs/>
                <w:color w:val="000000"/>
                <w:sz w:val="16"/>
                <w:szCs w:val="16"/>
              </w:rPr>
            </w:pPr>
            <w:r w:rsidRPr="00045D88">
              <w:rPr>
                <w:rFonts w:cs="Arial"/>
                <w:b/>
                <w:bCs/>
                <w:color w:val="000000"/>
                <w:sz w:val="16"/>
                <w:szCs w:val="16"/>
              </w:rPr>
              <w:t>667.596</w:t>
            </w:r>
          </w:p>
        </w:tc>
        <w:tc>
          <w:tcPr>
            <w:tcW w:w="369" w:type="pct"/>
            <w:tcBorders>
              <w:top w:val="single" w:sz="4" w:space="0" w:color="BFBFBF" w:themeColor="background1" w:themeShade="BF"/>
              <w:left w:val="nil"/>
              <w:bottom w:val="single" w:sz="8" w:space="0" w:color="BFBFBF"/>
              <w:right w:val="nil"/>
            </w:tcBorders>
            <w:shd w:val="clear" w:color="auto" w:fill="auto"/>
            <w:vAlign w:val="bottom"/>
            <w:hideMark/>
          </w:tcPr>
          <w:p w:rsidR="003A6269" w:rsidRPr="003A2ECC" w:rsidRDefault="003A6269" w:rsidP="00332690">
            <w:pPr>
              <w:widowControl w:val="0"/>
              <w:spacing w:line="240" w:lineRule="exact"/>
              <w:ind w:right="170"/>
              <w:jc w:val="right"/>
              <w:rPr>
                <w:rFonts w:cs="Arial"/>
                <w:b/>
                <w:bCs/>
                <w:color w:val="000000"/>
                <w:sz w:val="16"/>
                <w:szCs w:val="16"/>
              </w:rPr>
            </w:pPr>
            <w:r w:rsidRPr="003A2ECC">
              <w:rPr>
                <w:rFonts w:cs="Arial"/>
                <w:b/>
                <w:bCs/>
                <w:color w:val="000000"/>
                <w:sz w:val="16"/>
                <w:szCs w:val="16"/>
              </w:rPr>
              <w:t>100</w:t>
            </w:r>
            <w:r w:rsidR="00A917B1">
              <w:rPr>
                <w:rFonts w:cs="Arial"/>
                <w:b/>
                <w:bCs/>
                <w:color w:val="000000"/>
                <w:sz w:val="16"/>
                <w:szCs w:val="16"/>
              </w:rPr>
              <w:t>,0</w:t>
            </w:r>
          </w:p>
        </w:tc>
      </w:tr>
    </w:tbl>
    <w:p w:rsidR="00665097" w:rsidRDefault="00665097" w:rsidP="00BB313D">
      <w:pPr>
        <w:widowControl w:val="0"/>
        <w:rPr>
          <w:lang w:val="es-ES_tradnl"/>
        </w:rPr>
      </w:pPr>
    </w:p>
    <w:p w:rsidR="001C63DE" w:rsidRDefault="001C63DE" w:rsidP="00BB313D">
      <w:pPr>
        <w:widowControl w:val="0"/>
        <w:rPr>
          <w:lang w:val="es-ES_tradnl"/>
        </w:rPr>
      </w:pPr>
    </w:p>
    <w:p w:rsidR="00665097" w:rsidRDefault="00DE1512" w:rsidP="00BB313D">
      <w:pPr>
        <w:widowControl w:val="0"/>
        <w:spacing w:line="240" w:lineRule="auto"/>
        <w:jc w:val="center"/>
        <w:rPr>
          <w:rFonts w:cs="Arial"/>
          <w:b/>
          <w:color w:val="1F497D" w:themeColor="text2"/>
          <w:sz w:val="18"/>
          <w:szCs w:val="18"/>
        </w:rPr>
      </w:pPr>
      <w:bookmarkStart w:id="240" w:name="_Toc391999639"/>
      <w:bookmarkStart w:id="241" w:name="_Toc450119522"/>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67</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DC7DAD">
        <w:rPr>
          <w:rFonts w:cs="Arial"/>
          <w:b/>
          <w:color w:val="1F497D" w:themeColor="text2"/>
          <w:sz w:val="18"/>
          <w:szCs w:val="18"/>
        </w:rPr>
        <w:t xml:space="preserve">DISTRIBUCIÓN SECTORIAL DE LAS INVERSIONES INTANGIBLES DE LA ECONOMÍA SOCIAL </w:t>
      </w:r>
      <w:r w:rsidR="00C426B3">
        <w:rPr>
          <w:rFonts w:cs="Arial"/>
          <w:b/>
          <w:color w:val="1F497D" w:themeColor="text2"/>
          <w:sz w:val="18"/>
          <w:szCs w:val="18"/>
        </w:rPr>
        <w:t>SEGÚN TERRITORIO HISTÓRICO. 2014</w:t>
      </w:r>
      <w:r w:rsidR="00665097" w:rsidRPr="00DC7DAD">
        <w:rPr>
          <w:rFonts w:cs="Arial"/>
          <w:b/>
          <w:color w:val="1F497D" w:themeColor="text2"/>
          <w:sz w:val="18"/>
          <w:szCs w:val="18"/>
        </w:rPr>
        <w:t xml:space="preserve"> (</w:t>
      </w:r>
      <w:r w:rsidR="00590809">
        <w:rPr>
          <w:rFonts w:cs="Arial"/>
          <w:b/>
          <w:color w:val="1F497D" w:themeColor="text2"/>
          <w:sz w:val="18"/>
          <w:szCs w:val="18"/>
        </w:rPr>
        <w:t>cifras absolutas en Euros</w:t>
      </w:r>
      <w:r w:rsidR="00665097" w:rsidRPr="00DC7DAD">
        <w:rPr>
          <w:rFonts w:cs="Arial"/>
          <w:b/>
          <w:color w:val="1F497D" w:themeColor="text2"/>
          <w:sz w:val="18"/>
          <w:szCs w:val="18"/>
        </w:rPr>
        <w:t xml:space="preserve"> y </w:t>
      </w:r>
      <w:r w:rsidR="008C6D36">
        <w:rPr>
          <w:rFonts w:cs="Arial"/>
          <w:b/>
          <w:color w:val="1F497D" w:themeColor="text2"/>
          <w:sz w:val="18"/>
          <w:szCs w:val="18"/>
        </w:rPr>
        <w:t>% verticales</w:t>
      </w:r>
      <w:r w:rsidR="00665097" w:rsidRPr="00DC7DAD">
        <w:rPr>
          <w:rFonts w:cs="Arial"/>
          <w:b/>
          <w:color w:val="1F497D" w:themeColor="text2"/>
          <w:sz w:val="18"/>
          <w:szCs w:val="18"/>
        </w:rPr>
        <w:t>)</w:t>
      </w:r>
      <w:bookmarkEnd w:id="240"/>
      <w:bookmarkEnd w:id="241"/>
      <w:r w:rsidR="00665097" w:rsidRPr="00DC7DAD">
        <w:rPr>
          <w:rFonts w:cs="Arial"/>
          <w:b/>
          <w:color w:val="1F497D" w:themeColor="text2"/>
          <w:sz w:val="18"/>
          <w:szCs w:val="18"/>
        </w:rPr>
        <w:t xml:space="preserve"> </w:t>
      </w:r>
    </w:p>
    <w:tbl>
      <w:tblPr>
        <w:tblW w:w="9940" w:type="dxa"/>
        <w:jc w:val="center"/>
        <w:tblCellMar>
          <w:left w:w="70" w:type="dxa"/>
          <w:right w:w="70" w:type="dxa"/>
        </w:tblCellMar>
        <w:tblLook w:val="04A0" w:firstRow="1" w:lastRow="0" w:firstColumn="1" w:lastColumn="0" w:noHBand="0" w:noVBand="1"/>
      </w:tblPr>
      <w:tblGrid>
        <w:gridCol w:w="1525"/>
        <w:gridCol w:w="1384"/>
        <w:gridCol w:w="736"/>
        <w:gridCol w:w="1330"/>
        <w:gridCol w:w="795"/>
        <w:gridCol w:w="1366"/>
        <w:gridCol w:w="711"/>
        <w:gridCol w:w="1366"/>
        <w:gridCol w:w="727"/>
      </w:tblGrid>
      <w:tr w:rsidR="00665097" w:rsidRPr="007227AB" w:rsidTr="00175D09">
        <w:trPr>
          <w:jc w:val="center"/>
        </w:trPr>
        <w:tc>
          <w:tcPr>
            <w:tcW w:w="768" w:type="pct"/>
            <w:vMerge w:val="restart"/>
            <w:tcBorders>
              <w:top w:val="single" w:sz="8" w:space="0" w:color="BFBFBF"/>
              <w:left w:val="nil"/>
              <w:bottom w:val="single" w:sz="8" w:space="0" w:color="BFBFBF"/>
              <w:right w:val="single" w:sz="4" w:space="0" w:color="BFBFBF" w:themeColor="background1" w:themeShade="BF"/>
            </w:tcBorders>
            <w:shd w:val="clear" w:color="000000" w:fill="DBE5F1"/>
            <w:hideMark/>
          </w:tcPr>
          <w:p w:rsidR="00665097" w:rsidRPr="007227AB" w:rsidRDefault="00665097" w:rsidP="00332690">
            <w:pPr>
              <w:widowControl w:val="0"/>
              <w:spacing w:line="240" w:lineRule="exact"/>
              <w:rPr>
                <w:rFonts w:ascii="Calibri" w:hAnsi="Calibri"/>
                <w:color w:val="000000"/>
              </w:rPr>
            </w:pPr>
            <w:r w:rsidRPr="007227AB">
              <w:rPr>
                <w:rFonts w:ascii="Calibri" w:hAnsi="Calibri"/>
                <w:color w:val="000000"/>
              </w:rPr>
              <w:t> </w:t>
            </w:r>
          </w:p>
        </w:tc>
        <w:tc>
          <w:tcPr>
            <w:tcW w:w="1068"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r>
              <w:rPr>
                <w:rFonts w:cs="Arial"/>
                <w:b/>
                <w:bCs/>
                <w:sz w:val="16"/>
                <w:szCs w:val="16"/>
                <w:lang w:val="en-GB"/>
              </w:rPr>
              <w:t>CAE</w:t>
            </w:r>
          </w:p>
        </w:tc>
        <w:tc>
          <w:tcPr>
            <w:tcW w:w="1071"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proofErr w:type="spellStart"/>
            <w:r>
              <w:rPr>
                <w:rFonts w:cs="Arial"/>
                <w:b/>
                <w:bCs/>
                <w:sz w:val="16"/>
                <w:szCs w:val="16"/>
                <w:lang w:val="en-GB"/>
              </w:rPr>
              <w:t>Álava</w:t>
            </w:r>
            <w:proofErr w:type="spellEnd"/>
          </w:p>
        </w:tc>
        <w:tc>
          <w:tcPr>
            <w:tcW w:w="1039" w:type="pct"/>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hideMark/>
          </w:tcPr>
          <w:p w:rsidR="00665097" w:rsidRPr="00C67386" w:rsidRDefault="00665097" w:rsidP="00332690">
            <w:pPr>
              <w:widowControl w:val="0"/>
              <w:spacing w:line="240" w:lineRule="exact"/>
              <w:jc w:val="center"/>
              <w:rPr>
                <w:rFonts w:cs="Arial"/>
                <w:b/>
                <w:bCs/>
                <w:sz w:val="16"/>
                <w:szCs w:val="16"/>
              </w:rPr>
            </w:pPr>
            <w:proofErr w:type="spellStart"/>
            <w:r>
              <w:rPr>
                <w:rFonts w:cs="Arial"/>
                <w:b/>
                <w:bCs/>
                <w:sz w:val="16"/>
                <w:szCs w:val="16"/>
                <w:lang w:val="en-GB"/>
              </w:rPr>
              <w:t>Gipuzkoa</w:t>
            </w:r>
            <w:proofErr w:type="spellEnd"/>
          </w:p>
        </w:tc>
        <w:tc>
          <w:tcPr>
            <w:tcW w:w="1054" w:type="pct"/>
            <w:gridSpan w:val="2"/>
            <w:tcBorders>
              <w:top w:val="single" w:sz="8" w:space="0" w:color="BFBFBF"/>
              <w:left w:val="single" w:sz="4" w:space="0" w:color="BFBFBF" w:themeColor="background1" w:themeShade="BF"/>
              <w:bottom w:val="single" w:sz="8" w:space="0" w:color="BFBFBF"/>
              <w:right w:val="nil"/>
            </w:tcBorders>
            <w:shd w:val="clear" w:color="000000" w:fill="DBE5F1"/>
            <w:hideMark/>
          </w:tcPr>
          <w:p w:rsidR="00665097" w:rsidRPr="00C67386" w:rsidRDefault="00665097" w:rsidP="00332690">
            <w:pPr>
              <w:widowControl w:val="0"/>
              <w:spacing w:line="240" w:lineRule="exact"/>
              <w:jc w:val="center"/>
              <w:rPr>
                <w:rFonts w:cs="Arial"/>
                <w:b/>
                <w:bCs/>
                <w:sz w:val="16"/>
                <w:szCs w:val="16"/>
              </w:rPr>
            </w:pPr>
            <w:proofErr w:type="spellStart"/>
            <w:r>
              <w:rPr>
                <w:rFonts w:cs="Arial"/>
                <w:b/>
                <w:bCs/>
                <w:sz w:val="16"/>
                <w:szCs w:val="16"/>
                <w:lang w:val="en-GB"/>
              </w:rPr>
              <w:t>Bizkaia</w:t>
            </w:r>
            <w:proofErr w:type="spellEnd"/>
          </w:p>
        </w:tc>
      </w:tr>
      <w:tr w:rsidR="00665097" w:rsidRPr="007227AB" w:rsidTr="00175D09">
        <w:trPr>
          <w:jc w:val="center"/>
        </w:trPr>
        <w:tc>
          <w:tcPr>
            <w:tcW w:w="768" w:type="pct"/>
            <w:vMerge/>
            <w:tcBorders>
              <w:top w:val="single" w:sz="8" w:space="0" w:color="BFBFBF"/>
              <w:left w:val="nil"/>
              <w:bottom w:val="single" w:sz="8" w:space="0" w:color="BFBFBF"/>
              <w:right w:val="single" w:sz="4" w:space="0" w:color="BFBFBF" w:themeColor="background1" w:themeShade="BF"/>
            </w:tcBorders>
            <w:vAlign w:val="center"/>
            <w:hideMark/>
          </w:tcPr>
          <w:p w:rsidR="00665097" w:rsidRPr="007227AB" w:rsidRDefault="00665097" w:rsidP="00332690">
            <w:pPr>
              <w:widowControl w:val="0"/>
              <w:spacing w:line="240" w:lineRule="exact"/>
              <w:rPr>
                <w:rFonts w:ascii="Calibri" w:hAnsi="Calibri"/>
                <w:color w:val="000000"/>
              </w:rPr>
            </w:pPr>
          </w:p>
        </w:tc>
        <w:tc>
          <w:tcPr>
            <w:tcW w:w="697"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7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70"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40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51" w:type="pct"/>
            <w:tcBorders>
              <w:top w:val="nil"/>
              <w:left w:val="nil"/>
              <w:bottom w:val="single" w:sz="8" w:space="0" w:color="BFBFBF"/>
              <w:right w:val="single" w:sz="4" w:space="0" w:color="BFBFBF" w:themeColor="background1" w:themeShade="BF"/>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c>
          <w:tcPr>
            <w:tcW w:w="688" w:type="pct"/>
            <w:tcBorders>
              <w:top w:val="nil"/>
              <w:left w:val="single" w:sz="4" w:space="0" w:color="BFBFBF" w:themeColor="background1" w:themeShade="BF"/>
              <w:bottom w:val="single" w:sz="8" w:space="0" w:color="BFBFBF"/>
            </w:tcBorders>
            <w:shd w:val="clear" w:color="000000" w:fill="DBE5F1"/>
            <w:hideMark/>
          </w:tcPr>
          <w:p w:rsidR="00665097" w:rsidRPr="007227AB" w:rsidRDefault="00590809" w:rsidP="00332690">
            <w:pPr>
              <w:widowControl w:val="0"/>
              <w:spacing w:line="240" w:lineRule="exact"/>
              <w:jc w:val="center"/>
              <w:rPr>
                <w:rFonts w:cs="Arial"/>
                <w:b/>
                <w:bCs/>
                <w:color w:val="000000"/>
                <w:sz w:val="16"/>
                <w:szCs w:val="16"/>
              </w:rPr>
            </w:pPr>
            <w:proofErr w:type="spellStart"/>
            <w:r>
              <w:rPr>
                <w:rFonts w:cs="Arial"/>
                <w:b/>
                <w:bCs/>
                <w:color w:val="000000"/>
                <w:sz w:val="16"/>
                <w:szCs w:val="16"/>
              </w:rPr>
              <w:t>Abs</w:t>
            </w:r>
            <w:proofErr w:type="spellEnd"/>
            <w:r>
              <w:rPr>
                <w:rFonts w:cs="Arial"/>
                <w:b/>
                <w:bCs/>
                <w:color w:val="000000"/>
                <w:sz w:val="16"/>
                <w:szCs w:val="16"/>
              </w:rPr>
              <w:t>.</w:t>
            </w:r>
          </w:p>
        </w:tc>
        <w:tc>
          <w:tcPr>
            <w:tcW w:w="366" w:type="pct"/>
            <w:tcBorders>
              <w:top w:val="nil"/>
              <w:left w:val="nil"/>
              <w:bottom w:val="single" w:sz="8" w:space="0" w:color="BFBFBF"/>
              <w:right w:val="nil"/>
            </w:tcBorders>
            <w:shd w:val="clear" w:color="000000" w:fill="DBE5F1"/>
            <w:hideMark/>
          </w:tcPr>
          <w:p w:rsidR="00665097" w:rsidRPr="007227AB" w:rsidRDefault="00153402" w:rsidP="00332690">
            <w:pPr>
              <w:widowControl w:val="0"/>
              <w:spacing w:line="240" w:lineRule="exact"/>
              <w:jc w:val="center"/>
              <w:rPr>
                <w:rFonts w:cs="Arial"/>
                <w:b/>
                <w:bCs/>
                <w:color w:val="000000"/>
                <w:sz w:val="16"/>
                <w:szCs w:val="16"/>
              </w:rPr>
            </w:pPr>
            <w:r>
              <w:rPr>
                <w:rFonts w:cs="Arial"/>
                <w:b/>
                <w:bCs/>
                <w:color w:val="000000"/>
                <w:sz w:val="16"/>
                <w:szCs w:val="16"/>
              </w:rPr>
              <w:t>% ver.</w:t>
            </w:r>
          </w:p>
        </w:tc>
      </w:tr>
      <w:tr w:rsidR="0059516C" w:rsidRPr="007227AB" w:rsidTr="00175D09">
        <w:trPr>
          <w:jc w:val="center"/>
        </w:trPr>
        <w:tc>
          <w:tcPr>
            <w:tcW w:w="768" w:type="pct"/>
            <w:tcBorders>
              <w:top w:val="nil"/>
              <w:left w:val="nil"/>
              <w:bottom w:val="nil"/>
              <w:right w:val="single" w:sz="4" w:space="0" w:color="BFBFBF" w:themeColor="background1" w:themeShade="BF"/>
            </w:tcBorders>
            <w:shd w:val="clear" w:color="auto" w:fill="auto"/>
            <w:hideMark/>
          </w:tcPr>
          <w:p w:rsidR="0059516C" w:rsidRPr="00061CD6" w:rsidRDefault="0059516C" w:rsidP="00332690">
            <w:pPr>
              <w:widowControl w:val="0"/>
              <w:spacing w:line="240" w:lineRule="exact"/>
              <w:rPr>
                <w:rFonts w:cs="Arial"/>
                <w:color w:val="000000"/>
                <w:sz w:val="16"/>
                <w:szCs w:val="16"/>
              </w:rPr>
            </w:pPr>
            <w:r w:rsidRPr="00061CD6">
              <w:rPr>
                <w:rFonts w:cs="Arial"/>
                <w:color w:val="000000"/>
                <w:sz w:val="16"/>
                <w:szCs w:val="16"/>
              </w:rPr>
              <w:t>Primario</w:t>
            </w:r>
          </w:p>
        </w:tc>
        <w:tc>
          <w:tcPr>
            <w:tcW w:w="697" w:type="pct"/>
            <w:tcBorders>
              <w:top w:val="nil"/>
              <w:left w:val="single" w:sz="4" w:space="0" w:color="BFBFBF" w:themeColor="background1" w:themeShade="BF"/>
              <w:bottom w:val="nil"/>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499.858</w:t>
            </w:r>
          </w:p>
        </w:tc>
        <w:tc>
          <w:tcPr>
            <w:tcW w:w="371" w:type="pct"/>
            <w:tcBorders>
              <w:top w:val="nil"/>
              <w:left w:val="nil"/>
              <w:bottom w:val="nil"/>
              <w:right w:val="single" w:sz="4" w:space="0" w:color="BFBFBF" w:themeColor="background1" w:themeShade="BF"/>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0,8</w:t>
            </w:r>
          </w:p>
        </w:tc>
        <w:tc>
          <w:tcPr>
            <w:tcW w:w="670" w:type="pct"/>
            <w:tcBorders>
              <w:top w:val="nil"/>
              <w:left w:val="single" w:sz="4" w:space="0" w:color="BFBFBF" w:themeColor="background1" w:themeShade="BF"/>
              <w:bottom w:val="nil"/>
            </w:tcBorders>
            <w:shd w:val="clear" w:color="auto" w:fill="auto"/>
            <w:vAlign w:val="bottom"/>
            <w:hideMark/>
          </w:tcPr>
          <w:p w:rsidR="0059516C" w:rsidRPr="00BF49C0" w:rsidRDefault="0059516C" w:rsidP="00332690">
            <w:pPr>
              <w:widowControl w:val="0"/>
              <w:spacing w:line="240" w:lineRule="exact"/>
              <w:ind w:right="170"/>
              <w:jc w:val="right"/>
              <w:rPr>
                <w:rFonts w:cs="Arial"/>
                <w:color w:val="000000"/>
                <w:sz w:val="16"/>
                <w:szCs w:val="16"/>
              </w:rPr>
            </w:pPr>
            <w:r w:rsidRPr="00BF49C0">
              <w:rPr>
                <w:rFonts w:cs="Arial"/>
                <w:color w:val="000000"/>
                <w:sz w:val="16"/>
                <w:szCs w:val="16"/>
              </w:rPr>
              <w:t>164.000</w:t>
            </w:r>
          </w:p>
        </w:tc>
        <w:tc>
          <w:tcPr>
            <w:tcW w:w="401" w:type="pct"/>
            <w:tcBorders>
              <w:top w:val="nil"/>
              <w:left w:val="nil"/>
              <w:bottom w:val="nil"/>
              <w:right w:val="single" w:sz="4" w:space="0" w:color="BFBFBF" w:themeColor="background1" w:themeShade="BF"/>
            </w:tcBorders>
            <w:shd w:val="clear" w:color="auto" w:fill="auto"/>
            <w:vAlign w:val="bottom"/>
            <w:hideMark/>
          </w:tcPr>
          <w:p w:rsidR="0059516C" w:rsidRPr="00160236" w:rsidRDefault="0059516C" w:rsidP="00332690">
            <w:pPr>
              <w:widowControl w:val="0"/>
              <w:spacing w:line="240" w:lineRule="exact"/>
              <w:ind w:right="170"/>
              <w:jc w:val="right"/>
              <w:rPr>
                <w:rFonts w:cs="Arial"/>
                <w:color w:val="000000"/>
                <w:sz w:val="16"/>
                <w:szCs w:val="16"/>
              </w:rPr>
            </w:pPr>
            <w:r w:rsidRPr="00160236">
              <w:rPr>
                <w:rFonts w:cs="Arial"/>
                <w:color w:val="000000"/>
                <w:sz w:val="16"/>
                <w:szCs w:val="16"/>
              </w:rPr>
              <w:t>3,9</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0</w:t>
            </w:r>
          </w:p>
        </w:tc>
        <w:tc>
          <w:tcPr>
            <w:tcW w:w="351" w:type="pct"/>
            <w:tcBorders>
              <w:top w:val="nil"/>
              <w:left w:val="nil"/>
              <w:bottom w:val="nil"/>
              <w:right w:val="single" w:sz="4" w:space="0" w:color="BFBFBF" w:themeColor="background1" w:themeShade="BF"/>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335.858</w:t>
            </w:r>
          </w:p>
        </w:tc>
        <w:tc>
          <w:tcPr>
            <w:tcW w:w="366" w:type="pct"/>
            <w:tcBorders>
              <w:top w:val="nil"/>
              <w:left w:val="nil"/>
              <w:bottom w:val="nil"/>
              <w:right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1,8</w:t>
            </w:r>
          </w:p>
        </w:tc>
      </w:tr>
      <w:tr w:rsidR="0059516C" w:rsidRPr="007227AB" w:rsidTr="00175D09">
        <w:trPr>
          <w:jc w:val="center"/>
        </w:trPr>
        <w:tc>
          <w:tcPr>
            <w:tcW w:w="768" w:type="pct"/>
            <w:tcBorders>
              <w:top w:val="nil"/>
              <w:left w:val="nil"/>
              <w:bottom w:val="nil"/>
              <w:right w:val="single" w:sz="4" w:space="0" w:color="BFBFBF" w:themeColor="background1" w:themeShade="BF"/>
            </w:tcBorders>
            <w:shd w:val="clear" w:color="auto" w:fill="auto"/>
            <w:hideMark/>
          </w:tcPr>
          <w:p w:rsidR="0059516C" w:rsidRPr="00061CD6" w:rsidRDefault="0059516C" w:rsidP="00332690">
            <w:pPr>
              <w:widowControl w:val="0"/>
              <w:spacing w:line="240" w:lineRule="exact"/>
              <w:rPr>
                <w:rFonts w:cs="Arial"/>
                <w:color w:val="000000"/>
                <w:sz w:val="16"/>
                <w:szCs w:val="16"/>
              </w:rPr>
            </w:pPr>
            <w:r w:rsidRPr="00061CD6">
              <w:rPr>
                <w:rFonts w:cs="Arial"/>
                <w:color w:val="000000"/>
                <w:sz w:val="16"/>
                <w:szCs w:val="16"/>
              </w:rPr>
              <w:t>Industria</w:t>
            </w:r>
          </w:p>
        </w:tc>
        <w:tc>
          <w:tcPr>
            <w:tcW w:w="697" w:type="pct"/>
            <w:tcBorders>
              <w:top w:val="nil"/>
              <w:left w:val="single" w:sz="4" w:space="0" w:color="BFBFBF" w:themeColor="background1" w:themeShade="BF"/>
              <w:bottom w:val="nil"/>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35.502.186</w:t>
            </w:r>
          </w:p>
        </w:tc>
        <w:tc>
          <w:tcPr>
            <w:tcW w:w="371" w:type="pct"/>
            <w:tcBorders>
              <w:top w:val="nil"/>
              <w:left w:val="nil"/>
              <w:bottom w:val="nil"/>
              <w:right w:val="single" w:sz="4" w:space="0" w:color="BFBFBF" w:themeColor="background1" w:themeShade="BF"/>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57,9</w:t>
            </w:r>
          </w:p>
        </w:tc>
        <w:tc>
          <w:tcPr>
            <w:tcW w:w="670" w:type="pct"/>
            <w:tcBorders>
              <w:top w:val="nil"/>
              <w:left w:val="single" w:sz="4" w:space="0" w:color="BFBFBF" w:themeColor="background1" w:themeShade="BF"/>
              <w:bottom w:val="nil"/>
            </w:tcBorders>
            <w:shd w:val="clear" w:color="auto" w:fill="auto"/>
            <w:vAlign w:val="bottom"/>
            <w:hideMark/>
          </w:tcPr>
          <w:p w:rsidR="0059516C" w:rsidRPr="00BF49C0" w:rsidRDefault="0059516C" w:rsidP="00332690">
            <w:pPr>
              <w:widowControl w:val="0"/>
              <w:spacing w:line="240" w:lineRule="exact"/>
              <w:ind w:right="170"/>
              <w:jc w:val="right"/>
              <w:rPr>
                <w:rFonts w:cs="Arial"/>
                <w:color w:val="000000"/>
                <w:sz w:val="16"/>
                <w:szCs w:val="16"/>
              </w:rPr>
            </w:pPr>
            <w:r w:rsidRPr="00BF49C0">
              <w:rPr>
                <w:rFonts w:cs="Arial"/>
                <w:color w:val="000000"/>
                <w:sz w:val="16"/>
                <w:szCs w:val="16"/>
              </w:rPr>
              <w:t>1.580.083</w:t>
            </w:r>
          </w:p>
        </w:tc>
        <w:tc>
          <w:tcPr>
            <w:tcW w:w="401" w:type="pct"/>
            <w:tcBorders>
              <w:top w:val="nil"/>
              <w:left w:val="nil"/>
              <w:bottom w:val="nil"/>
              <w:right w:val="single" w:sz="4" w:space="0" w:color="BFBFBF" w:themeColor="background1" w:themeShade="BF"/>
            </w:tcBorders>
            <w:shd w:val="clear" w:color="auto" w:fill="auto"/>
            <w:vAlign w:val="bottom"/>
            <w:hideMark/>
          </w:tcPr>
          <w:p w:rsidR="0059516C" w:rsidRPr="00160236" w:rsidRDefault="0059516C" w:rsidP="00332690">
            <w:pPr>
              <w:widowControl w:val="0"/>
              <w:spacing w:line="240" w:lineRule="exact"/>
              <w:ind w:right="170"/>
              <w:jc w:val="right"/>
              <w:rPr>
                <w:rFonts w:cs="Arial"/>
                <w:color w:val="000000"/>
                <w:sz w:val="16"/>
                <w:szCs w:val="16"/>
              </w:rPr>
            </w:pPr>
            <w:r w:rsidRPr="00160236">
              <w:rPr>
                <w:rFonts w:cs="Arial"/>
                <w:color w:val="000000"/>
                <w:sz w:val="16"/>
                <w:szCs w:val="16"/>
              </w:rPr>
              <w:t>37,6</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22.352.439</w:t>
            </w:r>
          </w:p>
        </w:tc>
        <w:tc>
          <w:tcPr>
            <w:tcW w:w="351" w:type="pct"/>
            <w:tcBorders>
              <w:top w:val="nil"/>
              <w:left w:val="nil"/>
              <w:bottom w:val="nil"/>
              <w:right w:val="single" w:sz="4" w:space="0" w:color="BFBFBF" w:themeColor="background1" w:themeShade="BF"/>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58,8</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11.569.664</w:t>
            </w:r>
          </w:p>
        </w:tc>
        <w:tc>
          <w:tcPr>
            <w:tcW w:w="366" w:type="pct"/>
            <w:tcBorders>
              <w:top w:val="nil"/>
              <w:left w:val="nil"/>
              <w:bottom w:val="nil"/>
              <w:right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60,6</w:t>
            </w:r>
          </w:p>
        </w:tc>
      </w:tr>
      <w:tr w:rsidR="0059516C" w:rsidRPr="007227AB" w:rsidTr="00175D09">
        <w:trPr>
          <w:jc w:val="center"/>
        </w:trPr>
        <w:tc>
          <w:tcPr>
            <w:tcW w:w="768" w:type="pct"/>
            <w:tcBorders>
              <w:top w:val="nil"/>
              <w:left w:val="nil"/>
              <w:bottom w:val="nil"/>
              <w:right w:val="single" w:sz="4" w:space="0" w:color="BFBFBF" w:themeColor="background1" w:themeShade="BF"/>
            </w:tcBorders>
            <w:shd w:val="clear" w:color="auto" w:fill="auto"/>
            <w:vAlign w:val="bottom"/>
            <w:hideMark/>
          </w:tcPr>
          <w:p w:rsidR="0059516C" w:rsidRPr="00061CD6" w:rsidRDefault="0059516C" w:rsidP="00332690">
            <w:pPr>
              <w:widowControl w:val="0"/>
              <w:spacing w:line="240" w:lineRule="exact"/>
              <w:rPr>
                <w:rFonts w:cs="Arial"/>
                <w:color w:val="000000"/>
                <w:sz w:val="16"/>
                <w:szCs w:val="16"/>
              </w:rPr>
            </w:pPr>
            <w:r w:rsidRPr="00061CD6">
              <w:rPr>
                <w:rFonts w:cs="Arial"/>
                <w:color w:val="000000"/>
                <w:sz w:val="16"/>
                <w:szCs w:val="16"/>
              </w:rPr>
              <w:t>Construcción</w:t>
            </w:r>
          </w:p>
        </w:tc>
        <w:tc>
          <w:tcPr>
            <w:tcW w:w="697" w:type="pct"/>
            <w:tcBorders>
              <w:top w:val="nil"/>
              <w:left w:val="single" w:sz="4" w:space="0" w:color="BFBFBF" w:themeColor="background1" w:themeShade="BF"/>
              <w:bottom w:val="nil"/>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284.717</w:t>
            </w:r>
          </w:p>
        </w:tc>
        <w:tc>
          <w:tcPr>
            <w:tcW w:w="371" w:type="pct"/>
            <w:tcBorders>
              <w:top w:val="nil"/>
              <w:left w:val="nil"/>
              <w:bottom w:val="nil"/>
              <w:right w:val="single" w:sz="4" w:space="0" w:color="BFBFBF" w:themeColor="background1" w:themeShade="BF"/>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0,5</w:t>
            </w:r>
          </w:p>
        </w:tc>
        <w:tc>
          <w:tcPr>
            <w:tcW w:w="670" w:type="pct"/>
            <w:tcBorders>
              <w:top w:val="nil"/>
              <w:left w:val="single" w:sz="4" w:space="0" w:color="BFBFBF" w:themeColor="background1" w:themeShade="BF"/>
              <w:bottom w:val="nil"/>
            </w:tcBorders>
            <w:shd w:val="clear" w:color="auto" w:fill="auto"/>
            <w:vAlign w:val="bottom"/>
            <w:hideMark/>
          </w:tcPr>
          <w:p w:rsidR="0059516C" w:rsidRPr="00BF49C0" w:rsidRDefault="0059516C" w:rsidP="00332690">
            <w:pPr>
              <w:widowControl w:val="0"/>
              <w:spacing w:line="240" w:lineRule="exact"/>
              <w:ind w:right="170"/>
              <w:jc w:val="right"/>
              <w:rPr>
                <w:rFonts w:cs="Arial"/>
                <w:color w:val="000000"/>
                <w:sz w:val="16"/>
                <w:szCs w:val="16"/>
              </w:rPr>
            </w:pPr>
            <w:r w:rsidRPr="00BF49C0">
              <w:rPr>
                <w:rFonts w:cs="Arial"/>
                <w:color w:val="000000"/>
                <w:sz w:val="16"/>
                <w:szCs w:val="16"/>
              </w:rPr>
              <w:t>0</w:t>
            </w:r>
          </w:p>
        </w:tc>
        <w:tc>
          <w:tcPr>
            <w:tcW w:w="401" w:type="pct"/>
            <w:tcBorders>
              <w:top w:val="nil"/>
              <w:left w:val="nil"/>
              <w:bottom w:val="nil"/>
              <w:right w:val="single" w:sz="4" w:space="0" w:color="BFBFBF" w:themeColor="background1" w:themeShade="BF"/>
            </w:tcBorders>
            <w:shd w:val="clear" w:color="auto" w:fill="auto"/>
            <w:vAlign w:val="bottom"/>
            <w:hideMark/>
          </w:tcPr>
          <w:p w:rsidR="0059516C" w:rsidRPr="00160236" w:rsidRDefault="0059516C" w:rsidP="00332690">
            <w:pPr>
              <w:widowControl w:val="0"/>
              <w:spacing w:line="240" w:lineRule="exact"/>
              <w:ind w:right="170"/>
              <w:jc w:val="right"/>
              <w:rPr>
                <w:rFonts w:cs="Arial"/>
                <w:color w:val="000000"/>
                <w:sz w:val="16"/>
                <w:szCs w:val="16"/>
              </w:rPr>
            </w:pPr>
            <w:r w:rsidRPr="00160236">
              <w:rPr>
                <w:rFonts w:cs="Arial"/>
                <w:color w:val="000000"/>
                <w:sz w:val="16"/>
                <w:szCs w:val="16"/>
              </w:rPr>
              <w:t>0,0</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223.275</w:t>
            </w:r>
          </w:p>
        </w:tc>
        <w:tc>
          <w:tcPr>
            <w:tcW w:w="351" w:type="pct"/>
            <w:tcBorders>
              <w:top w:val="nil"/>
              <w:left w:val="nil"/>
              <w:bottom w:val="nil"/>
              <w:right w:val="single" w:sz="4" w:space="0" w:color="BFBFBF" w:themeColor="background1" w:themeShade="BF"/>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0,6</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61.442</w:t>
            </w:r>
          </w:p>
        </w:tc>
        <w:tc>
          <w:tcPr>
            <w:tcW w:w="366" w:type="pct"/>
            <w:tcBorders>
              <w:top w:val="nil"/>
              <w:left w:val="nil"/>
              <w:bottom w:val="nil"/>
              <w:right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0,3</w:t>
            </w:r>
          </w:p>
        </w:tc>
      </w:tr>
      <w:tr w:rsidR="0059516C" w:rsidRPr="007227AB" w:rsidTr="00175D09">
        <w:trPr>
          <w:jc w:val="center"/>
        </w:trPr>
        <w:tc>
          <w:tcPr>
            <w:tcW w:w="768" w:type="pct"/>
            <w:tcBorders>
              <w:top w:val="nil"/>
              <w:left w:val="nil"/>
              <w:bottom w:val="nil"/>
              <w:right w:val="single" w:sz="4" w:space="0" w:color="BFBFBF" w:themeColor="background1" w:themeShade="BF"/>
            </w:tcBorders>
            <w:shd w:val="clear" w:color="auto" w:fill="auto"/>
            <w:hideMark/>
          </w:tcPr>
          <w:p w:rsidR="0059516C" w:rsidRPr="00061CD6" w:rsidRDefault="0059516C" w:rsidP="00332690">
            <w:pPr>
              <w:widowControl w:val="0"/>
              <w:spacing w:line="240" w:lineRule="exact"/>
              <w:rPr>
                <w:rFonts w:cs="Arial"/>
                <w:color w:val="000000"/>
                <w:sz w:val="16"/>
                <w:szCs w:val="16"/>
              </w:rPr>
            </w:pPr>
            <w:r w:rsidRPr="00061CD6">
              <w:rPr>
                <w:rFonts w:cs="Arial"/>
                <w:color w:val="000000"/>
                <w:sz w:val="16"/>
                <w:szCs w:val="16"/>
              </w:rPr>
              <w:t>Servicios</w:t>
            </w:r>
          </w:p>
        </w:tc>
        <w:tc>
          <w:tcPr>
            <w:tcW w:w="697" w:type="pct"/>
            <w:tcBorders>
              <w:top w:val="nil"/>
              <w:left w:val="single" w:sz="4" w:space="0" w:color="BFBFBF" w:themeColor="background1" w:themeShade="BF"/>
              <w:bottom w:val="nil"/>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25.004.167</w:t>
            </w:r>
          </w:p>
        </w:tc>
        <w:tc>
          <w:tcPr>
            <w:tcW w:w="371" w:type="pct"/>
            <w:tcBorders>
              <w:top w:val="nil"/>
              <w:left w:val="nil"/>
              <w:bottom w:val="nil"/>
              <w:right w:val="single" w:sz="4" w:space="0" w:color="BFBFBF" w:themeColor="background1" w:themeShade="BF"/>
            </w:tcBorders>
            <w:shd w:val="clear" w:color="auto" w:fill="auto"/>
            <w:vAlign w:val="bottom"/>
            <w:hideMark/>
          </w:tcPr>
          <w:p w:rsidR="0059516C" w:rsidRPr="003A6269" w:rsidRDefault="0059516C" w:rsidP="00332690">
            <w:pPr>
              <w:widowControl w:val="0"/>
              <w:spacing w:line="240" w:lineRule="exact"/>
              <w:ind w:right="170"/>
              <w:jc w:val="right"/>
              <w:rPr>
                <w:rFonts w:cs="Arial"/>
                <w:color w:val="000000"/>
                <w:sz w:val="16"/>
                <w:szCs w:val="16"/>
              </w:rPr>
            </w:pPr>
            <w:r w:rsidRPr="003A6269">
              <w:rPr>
                <w:rFonts w:cs="Arial"/>
                <w:color w:val="000000"/>
                <w:sz w:val="16"/>
                <w:szCs w:val="16"/>
              </w:rPr>
              <w:t>40,8</w:t>
            </w:r>
          </w:p>
        </w:tc>
        <w:tc>
          <w:tcPr>
            <w:tcW w:w="670" w:type="pct"/>
            <w:tcBorders>
              <w:top w:val="nil"/>
              <w:left w:val="single" w:sz="4" w:space="0" w:color="BFBFBF" w:themeColor="background1" w:themeShade="BF"/>
              <w:bottom w:val="nil"/>
            </w:tcBorders>
            <w:shd w:val="clear" w:color="auto" w:fill="auto"/>
            <w:vAlign w:val="bottom"/>
            <w:hideMark/>
          </w:tcPr>
          <w:p w:rsidR="0059516C" w:rsidRPr="00BF49C0" w:rsidRDefault="0059516C" w:rsidP="00332690">
            <w:pPr>
              <w:widowControl w:val="0"/>
              <w:spacing w:line="240" w:lineRule="exact"/>
              <w:ind w:right="170"/>
              <w:jc w:val="right"/>
              <w:rPr>
                <w:rFonts w:cs="Arial"/>
                <w:color w:val="000000"/>
                <w:sz w:val="16"/>
                <w:szCs w:val="16"/>
              </w:rPr>
            </w:pPr>
            <w:r w:rsidRPr="00BF49C0">
              <w:rPr>
                <w:rFonts w:cs="Arial"/>
                <w:color w:val="000000"/>
                <w:sz w:val="16"/>
                <w:szCs w:val="16"/>
              </w:rPr>
              <w:t>2.455.237</w:t>
            </w:r>
          </w:p>
        </w:tc>
        <w:tc>
          <w:tcPr>
            <w:tcW w:w="401" w:type="pct"/>
            <w:tcBorders>
              <w:top w:val="nil"/>
              <w:left w:val="nil"/>
              <w:bottom w:val="nil"/>
              <w:right w:val="single" w:sz="4" w:space="0" w:color="BFBFBF" w:themeColor="background1" w:themeShade="BF"/>
            </w:tcBorders>
            <w:shd w:val="clear" w:color="auto" w:fill="auto"/>
            <w:vAlign w:val="bottom"/>
            <w:hideMark/>
          </w:tcPr>
          <w:p w:rsidR="0059516C" w:rsidRPr="00160236" w:rsidRDefault="0059516C" w:rsidP="00332690">
            <w:pPr>
              <w:widowControl w:val="0"/>
              <w:spacing w:line="240" w:lineRule="exact"/>
              <w:ind w:right="170"/>
              <w:jc w:val="right"/>
              <w:rPr>
                <w:rFonts w:cs="Arial"/>
                <w:color w:val="000000"/>
                <w:sz w:val="16"/>
                <w:szCs w:val="16"/>
              </w:rPr>
            </w:pPr>
            <w:r w:rsidRPr="00160236">
              <w:rPr>
                <w:rFonts w:cs="Arial"/>
                <w:color w:val="000000"/>
                <w:sz w:val="16"/>
                <w:szCs w:val="16"/>
              </w:rPr>
              <w:t>58,5</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15.425.583</w:t>
            </w:r>
          </w:p>
        </w:tc>
        <w:tc>
          <w:tcPr>
            <w:tcW w:w="351" w:type="pct"/>
            <w:tcBorders>
              <w:top w:val="nil"/>
              <w:left w:val="nil"/>
              <w:bottom w:val="nil"/>
              <w:right w:val="single" w:sz="4" w:space="0" w:color="BFBFBF" w:themeColor="background1" w:themeShade="BF"/>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40,6</w:t>
            </w:r>
          </w:p>
        </w:tc>
        <w:tc>
          <w:tcPr>
            <w:tcW w:w="688" w:type="pct"/>
            <w:tcBorders>
              <w:top w:val="nil"/>
              <w:left w:val="single" w:sz="4" w:space="0" w:color="BFBFBF" w:themeColor="background1" w:themeShade="BF"/>
              <w:bottom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7.123.347</w:t>
            </w:r>
          </w:p>
        </w:tc>
        <w:tc>
          <w:tcPr>
            <w:tcW w:w="366" w:type="pct"/>
            <w:tcBorders>
              <w:top w:val="nil"/>
              <w:left w:val="nil"/>
              <w:bottom w:val="nil"/>
              <w:right w:val="nil"/>
            </w:tcBorders>
            <w:shd w:val="clear" w:color="auto" w:fill="auto"/>
            <w:vAlign w:val="bottom"/>
            <w:hideMark/>
          </w:tcPr>
          <w:p w:rsidR="0059516C" w:rsidRPr="0059516C" w:rsidRDefault="0059516C" w:rsidP="00332690">
            <w:pPr>
              <w:spacing w:line="240" w:lineRule="exact"/>
              <w:ind w:right="170"/>
              <w:jc w:val="right"/>
              <w:rPr>
                <w:rFonts w:cs="Arial"/>
                <w:color w:val="000000"/>
                <w:sz w:val="16"/>
                <w:szCs w:val="16"/>
              </w:rPr>
            </w:pPr>
            <w:r w:rsidRPr="0059516C">
              <w:rPr>
                <w:rFonts w:cs="Arial"/>
                <w:color w:val="000000"/>
                <w:sz w:val="16"/>
                <w:szCs w:val="16"/>
              </w:rPr>
              <w:t>37,3</w:t>
            </w:r>
          </w:p>
        </w:tc>
      </w:tr>
      <w:tr w:rsidR="00160236" w:rsidRPr="0059516C" w:rsidTr="00175D09">
        <w:trPr>
          <w:jc w:val="center"/>
        </w:trPr>
        <w:tc>
          <w:tcPr>
            <w:tcW w:w="768"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60236" w:rsidRPr="007227AB" w:rsidRDefault="00D508DF" w:rsidP="00332690">
            <w:pPr>
              <w:widowControl w:val="0"/>
              <w:spacing w:line="240" w:lineRule="exact"/>
              <w:rPr>
                <w:rFonts w:cs="Arial"/>
                <w:b/>
                <w:bCs/>
                <w:color w:val="000000"/>
                <w:sz w:val="16"/>
                <w:szCs w:val="16"/>
              </w:rPr>
            </w:pPr>
            <w:r>
              <w:rPr>
                <w:rFonts w:eastAsia="Times New Roman" w:cs="Arial"/>
                <w:b/>
                <w:bCs/>
                <w:color w:val="000000"/>
                <w:sz w:val="16"/>
                <w:szCs w:val="16"/>
                <w:lang w:eastAsia="es-ES"/>
              </w:rPr>
              <w:t>TOTAL</w:t>
            </w:r>
          </w:p>
        </w:tc>
        <w:tc>
          <w:tcPr>
            <w:tcW w:w="697"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60236" w:rsidRPr="004F7E72" w:rsidRDefault="00160236" w:rsidP="00332690">
            <w:pPr>
              <w:widowControl w:val="0"/>
              <w:spacing w:line="240" w:lineRule="exact"/>
              <w:ind w:right="170"/>
              <w:jc w:val="right"/>
              <w:rPr>
                <w:rFonts w:cs="Arial"/>
                <w:b/>
                <w:bCs/>
                <w:color w:val="000000"/>
                <w:sz w:val="16"/>
                <w:szCs w:val="16"/>
              </w:rPr>
            </w:pPr>
            <w:r w:rsidRPr="003A6269">
              <w:rPr>
                <w:rFonts w:cs="Arial"/>
                <w:b/>
                <w:bCs/>
                <w:color w:val="000000"/>
                <w:sz w:val="16"/>
                <w:szCs w:val="16"/>
              </w:rPr>
              <w:t>61.290.928</w:t>
            </w:r>
          </w:p>
        </w:tc>
        <w:tc>
          <w:tcPr>
            <w:tcW w:w="37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60236" w:rsidRPr="003A2ECC" w:rsidRDefault="00160236" w:rsidP="00332690">
            <w:pPr>
              <w:widowControl w:val="0"/>
              <w:spacing w:line="240" w:lineRule="exact"/>
              <w:ind w:right="170"/>
              <w:jc w:val="right"/>
              <w:rPr>
                <w:rFonts w:cs="Arial"/>
                <w:b/>
                <w:bCs/>
                <w:color w:val="000000"/>
                <w:sz w:val="16"/>
                <w:szCs w:val="16"/>
              </w:rPr>
            </w:pPr>
            <w:r w:rsidRPr="003A2ECC">
              <w:rPr>
                <w:rFonts w:cs="Arial"/>
                <w:b/>
                <w:bCs/>
                <w:color w:val="000000"/>
                <w:sz w:val="16"/>
                <w:szCs w:val="16"/>
              </w:rPr>
              <w:t>100</w:t>
            </w:r>
            <w:r w:rsidR="00A917B1">
              <w:rPr>
                <w:rFonts w:cs="Arial"/>
                <w:b/>
                <w:bCs/>
                <w:color w:val="000000"/>
                <w:sz w:val="16"/>
                <w:szCs w:val="16"/>
              </w:rPr>
              <w:t>,0</w:t>
            </w:r>
          </w:p>
        </w:tc>
        <w:tc>
          <w:tcPr>
            <w:tcW w:w="670"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60236" w:rsidRPr="00160236" w:rsidRDefault="00160236" w:rsidP="00332690">
            <w:pPr>
              <w:widowControl w:val="0"/>
              <w:spacing w:line="240" w:lineRule="exact"/>
              <w:ind w:right="170"/>
              <w:jc w:val="right"/>
              <w:rPr>
                <w:rFonts w:cs="Arial"/>
                <w:b/>
                <w:bCs/>
                <w:color w:val="000000"/>
                <w:sz w:val="16"/>
                <w:szCs w:val="16"/>
              </w:rPr>
            </w:pPr>
            <w:r w:rsidRPr="00160236">
              <w:rPr>
                <w:rFonts w:cs="Arial"/>
                <w:b/>
                <w:bCs/>
                <w:color w:val="000000"/>
                <w:sz w:val="16"/>
                <w:szCs w:val="16"/>
              </w:rPr>
              <w:t>4.199.319</w:t>
            </w:r>
          </w:p>
        </w:tc>
        <w:tc>
          <w:tcPr>
            <w:tcW w:w="40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60236" w:rsidRPr="00F532A9" w:rsidRDefault="00160236" w:rsidP="00332690">
            <w:pPr>
              <w:widowControl w:val="0"/>
              <w:spacing w:line="240" w:lineRule="exact"/>
              <w:ind w:right="170"/>
              <w:jc w:val="right"/>
              <w:rPr>
                <w:rFonts w:cs="Arial"/>
                <w:b/>
                <w:bCs/>
                <w:color w:val="000000"/>
                <w:sz w:val="16"/>
                <w:szCs w:val="16"/>
              </w:rPr>
            </w:pPr>
            <w:r>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60236" w:rsidRPr="0059516C" w:rsidRDefault="0059516C" w:rsidP="00332690">
            <w:pPr>
              <w:widowControl w:val="0"/>
              <w:spacing w:line="240" w:lineRule="exact"/>
              <w:ind w:right="170"/>
              <w:jc w:val="right"/>
              <w:rPr>
                <w:rFonts w:cs="Arial"/>
                <w:b/>
                <w:bCs/>
                <w:color w:val="000000"/>
                <w:sz w:val="16"/>
                <w:szCs w:val="16"/>
              </w:rPr>
            </w:pPr>
            <w:r w:rsidRPr="0059516C">
              <w:rPr>
                <w:rFonts w:cs="Arial"/>
                <w:b/>
                <w:bCs/>
                <w:color w:val="000000"/>
                <w:sz w:val="16"/>
                <w:szCs w:val="16"/>
              </w:rPr>
              <w:t>38.001.297</w:t>
            </w:r>
          </w:p>
        </w:tc>
        <w:tc>
          <w:tcPr>
            <w:tcW w:w="351" w:type="pct"/>
            <w:tcBorders>
              <w:top w:val="single" w:sz="4" w:space="0" w:color="BFBFBF" w:themeColor="background1" w:themeShade="BF"/>
              <w:left w:val="nil"/>
              <w:bottom w:val="single" w:sz="8" w:space="0" w:color="BFBFBF"/>
              <w:right w:val="single" w:sz="4" w:space="0" w:color="BFBFBF" w:themeColor="background1" w:themeShade="BF"/>
            </w:tcBorders>
            <w:shd w:val="clear" w:color="auto" w:fill="auto"/>
            <w:vAlign w:val="bottom"/>
            <w:hideMark/>
          </w:tcPr>
          <w:p w:rsidR="00160236" w:rsidRPr="00F532A9" w:rsidRDefault="00160236" w:rsidP="00332690">
            <w:pPr>
              <w:widowControl w:val="0"/>
              <w:spacing w:line="240" w:lineRule="exact"/>
              <w:ind w:right="170"/>
              <w:jc w:val="right"/>
              <w:rPr>
                <w:rFonts w:cs="Arial"/>
                <w:b/>
                <w:bCs/>
                <w:color w:val="000000"/>
                <w:sz w:val="16"/>
                <w:szCs w:val="16"/>
              </w:rPr>
            </w:pPr>
            <w:r>
              <w:rPr>
                <w:rFonts w:cs="Arial"/>
                <w:b/>
                <w:bCs/>
                <w:color w:val="000000"/>
                <w:sz w:val="16"/>
                <w:szCs w:val="16"/>
              </w:rPr>
              <w:t>100</w:t>
            </w:r>
            <w:r w:rsidR="00A917B1">
              <w:rPr>
                <w:rFonts w:cs="Arial"/>
                <w:b/>
                <w:bCs/>
                <w:color w:val="000000"/>
                <w:sz w:val="16"/>
                <w:szCs w:val="16"/>
              </w:rPr>
              <w:t>,0</w:t>
            </w:r>
          </w:p>
        </w:tc>
        <w:tc>
          <w:tcPr>
            <w:tcW w:w="688" w:type="pct"/>
            <w:tcBorders>
              <w:top w:val="single" w:sz="4" w:space="0" w:color="BFBFBF" w:themeColor="background1" w:themeShade="BF"/>
              <w:left w:val="single" w:sz="4" w:space="0" w:color="BFBFBF" w:themeColor="background1" w:themeShade="BF"/>
              <w:bottom w:val="single" w:sz="8" w:space="0" w:color="BFBFBF"/>
            </w:tcBorders>
            <w:shd w:val="clear" w:color="auto" w:fill="auto"/>
            <w:vAlign w:val="bottom"/>
            <w:hideMark/>
          </w:tcPr>
          <w:p w:rsidR="00160236" w:rsidRPr="00F532A9" w:rsidRDefault="0059516C" w:rsidP="00332690">
            <w:pPr>
              <w:widowControl w:val="0"/>
              <w:spacing w:line="240" w:lineRule="exact"/>
              <w:ind w:right="170"/>
              <w:jc w:val="right"/>
              <w:rPr>
                <w:rFonts w:cs="Arial"/>
                <w:b/>
                <w:bCs/>
                <w:color w:val="000000"/>
                <w:sz w:val="16"/>
                <w:szCs w:val="16"/>
              </w:rPr>
            </w:pPr>
            <w:r w:rsidRPr="0059516C">
              <w:rPr>
                <w:rFonts w:cs="Arial"/>
                <w:b/>
                <w:bCs/>
                <w:color w:val="000000"/>
                <w:sz w:val="16"/>
                <w:szCs w:val="16"/>
              </w:rPr>
              <w:t>19.090.311</w:t>
            </w:r>
          </w:p>
        </w:tc>
        <w:tc>
          <w:tcPr>
            <w:tcW w:w="366" w:type="pct"/>
            <w:tcBorders>
              <w:top w:val="single" w:sz="4" w:space="0" w:color="BFBFBF" w:themeColor="background1" w:themeShade="BF"/>
              <w:left w:val="nil"/>
              <w:bottom w:val="single" w:sz="8" w:space="0" w:color="BFBFBF"/>
              <w:right w:val="nil"/>
            </w:tcBorders>
            <w:shd w:val="clear" w:color="auto" w:fill="auto"/>
            <w:vAlign w:val="bottom"/>
            <w:hideMark/>
          </w:tcPr>
          <w:p w:rsidR="00160236" w:rsidRPr="00F532A9" w:rsidRDefault="00160236" w:rsidP="00332690">
            <w:pPr>
              <w:widowControl w:val="0"/>
              <w:spacing w:line="240" w:lineRule="exact"/>
              <w:ind w:right="170"/>
              <w:jc w:val="right"/>
              <w:rPr>
                <w:rFonts w:cs="Arial"/>
                <w:b/>
                <w:bCs/>
                <w:color w:val="000000"/>
                <w:sz w:val="16"/>
                <w:szCs w:val="16"/>
              </w:rPr>
            </w:pPr>
            <w:r w:rsidRPr="00F532A9">
              <w:rPr>
                <w:rFonts w:cs="Arial"/>
                <w:b/>
                <w:bCs/>
                <w:color w:val="000000"/>
                <w:sz w:val="16"/>
                <w:szCs w:val="16"/>
              </w:rPr>
              <w:t>100</w:t>
            </w:r>
            <w:r w:rsidR="00A917B1">
              <w:rPr>
                <w:rFonts w:cs="Arial"/>
                <w:b/>
                <w:bCs/>
                <w:color w:val="000000"/>
                <w:sz w:val="16"/>
                <w:szCs w:val="16"/>
              </w:rPr>
              <w:t>,0</w:t>
            </w:r>
          </w:p>
        </w:tc>
      </w:tr>
    </w:tbl>
    <w:p w:rsidR="00BF49C0" w:rsidRDefault="00BF49C0" w:rsidP="00BB313D">
      <w:pPr>
        <w:widowControl w:val="0"/>
        <w:rPr>
          <w:rFonts w:cs="Arial"/>
          <w:b/>
          <w:color w:val="1F497D" w:themeColor="text2"/>
          <w:lang w:val="es-ES_tradnl"/>
        </w:rPr>
      </w:pPr>
    </w:p>
    <w:p w:rsidR="00665097" w:rsidRPr="002F7D59" w:rsidRDefault="00665097" w:rsidP="00BB313D">
      <w:pPr>
        <w:widowControl w:val="0"/>
        <w:rPr>
          <w:rFonts w:cs="Arial"/>
          <w:b/>
          <w:color w:val="1F497D" w:themeColor="text2"/>
          <w:lang w:val="es-ES_tradnl"/>
        </w:rPr>
      </w:pPr>
      <w:r w:rsidRPr="002F7D59">
        <w:rPr>
          <w:rFonts w:cs="Arial"/>
          <w:b/>
          <w:color w:val="1F497D" w:themeColor="text2"/>
          <w:lang w:val="es-ES_tradnl"/>
        </w:rPr>
        <w:t>C. La Financiación de las Administraciones Públicas</w:t>
      </w:r>
    </w:p>
    <w:p w:rsidR="00665097" w:rsidRPr="002F7D59" w:rsidRDefault="00665097" w:rsidP="00BB313D">
      <w:pPr>
        <w:widowControl w:val="0"/>
        <w:rPr>
          <w:highlight w:val="yellow"/>
          <w:lang w:val="es-ES_tradnl"/>
        </w:rPr>
      </w:pPr>
    </w:p>
    <w:p w:rsidR="00665097" w:rsidRPr="00DC7DAD" w:rsidRDefault="00DE1512" w:rsidP="00BB313D">
      <w:pPr>
        <w:widowControl w:val="0"/>
        <w:spacing w:line="240" w:lineRule="auto"/>
        <w:jc w:val="center"/>
        <w:rPr>
          <w:rFonts w:cs="Arial"/>
          <w:b/>
          <w:color w:val="1F497D" w:themeColor="text2"/>
          <w:sz w:val="18"/>
          <w:szCs w:val="18"/>
        </w:rPr>
      </w:pPr>
      <w:bookmarkStart w:id="242" w:name="_Toc391999640"/>
      <w:bookmarkStart w:id="243" w:name="_Toc450119523"/>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665097" w:rsidRPr="00DC7DAD">
        <w:rPr>
          <w:rFonts w:cs="Arial"/>
          <w:b/>
          <w:color w:val="1F497D" w:themeColor="text2"/>
          <w:sz w:val="18"/>
          <w:szCs w:val="18"/>
        </w:rPr>
        <w:t>ESTRUCTURA SECTORIAL DEL INCREMENTO DE LAS SUBVENCIONES OFICIALES DE CAPITAL. 201</w:t>
      </w:r>
      <w:bookmarkEnd w:id="242"/>
      <w:r w:rsidR="003B4726">
        <w:rPr>
          <w:rFonts w:cs="Arial"/>
          <w:b/>
          <w:color w:val="1F497D" w:themeColor="text2"/>
          <w:sz w:val="18"/>
          <w:szCs w:val="18"/>
        </w:rPr>
        <w:t>4</w:t>
      </w:r>
      <w:bookmarkEnd w:id="243"/>
    </w:p>
    <w:tbl>
      <w:tblPr>
        <w:tblW w:w="9940" w:type="dxa"/>
        <w:jc w:val="center"/>
        <w:tblLook w:val="04A0" w:firstRow="1" w:lastRow="0" w:firstColumn="1" w:lastColumn="0" w:noHBand="0" w:noVBand="1"/>
      </w:tblPr>
      <w:tblGrid>
        <w:gridCol w:w="2519"/>
        <w:gridCol w:w="3580"/>
        <w:gridCol w:w="2014"/>
        <w:gridCol w:w="1827"/>
      </w:tblGrid>
      <w:tr w:rsidR="00665097" w:rsidRPr="002F7D59" w:rsidTr="002F6E3A">
        <w:trPr>
          <w:jc w:val="center"/>
        </w:trPr>
        <w:tc>
          <w:tcPr>
            <w:tcW w:w="1267"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2F7D59" w:rsidRDefault="00665097" w:rsidP="00BB313D">
            <w:pPr>
              <w:widowControl w:val="0"/>
              <w:spacing w:line="240" w:lineRule="exact"/>
              <w:jc w:val="center"/>
              <w:rPr>
                <w:rFonts w:cs="Arial"/>
                <w:b/>
                <w:sz w:val="16"/>
                <w:szCs w:val="16"/>
              </w:rPr>
            </w:pPr>
          </w:p>
        </w:tc>
        <w:tc>
          <w:tcPr>
            <w:tcW w:w="1801"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2F7D59" w:rsidRDefault="00665097" w:rsidP="00BB313D">
            <w:pPr>
              <w:widowControl w:val="0"/>
              <w:spacing w:line="240" w:lineRule="exact"/>
              <w:jc w:val="center"/>
              <w:rPr>
                <w:rFonts w:cs="Arial"/>
                <w:b/>
                <w:sz w:val="16"/>
                <w:szCs w:val="16"/>
              </w:rPr>
            </w:pPr>
            <w:r w:rsidRPr="002F7D59">
              <w:rPr>
                <w:rFonts w:cs="Arial"/>
                <w:b/>
                <w:sz w:val="16"/>
                <w:szCs w:val="16"/>
              </w:rPr>
              <w:t>Inversiones (Material + Inmaterial)</w:t>
            </w:r>
            <w:r w:rsidRPr="002F7D59">
              <w:rPr>
                <w:rStyle w:val="Refdenotaalpie"/>
                <w:rFonts w:cs="Arial"/>
                <w:sz w:val="16"/>
                <w:szCs w:val="16"/>
              </w:rPr>
              <w:footnoteReference w:id="13"/>
            </w:r>
          </w:p>
        </w:tc>
        <w:tc>
          <w:tcPr>
            <w:tcW w:w="1932" w:type="pct"/>
            <w:gridSpan w:val="2"/>
            <w:tcBorders>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F7D59" w:rsidRDefault="00665097" w:rsidP="00BB313D">
            <w:pPr>
              <w:widowControl w:val="0"/>
              <w:spacing w:line="240" w:lineRule="exact"/>
              <w:jc w:val="center"/>
              <w:rPr>
                <w:rFonts w:cs="Arial"/>
                <w:b/>
                <w:sz w:val="16"/>
                <w:szCs w:val="16"/>
              </w:rPr>
            </w:pPr>
            <w:r w:rsidRPr="002F7D59">
              <w:rPr>
                <w:rFonts w:cs="Arial"/>
                <w:b/>
                <w:sz w:val="16"/>
                <w:szCs w:val="16"/>
              </w:rPr>
              <w:t>Incremento Subvenciones Oficiales de Capital</w:t>
            </w:r>
            <w:r w:rsidRPr="002F7D59">
              <w:rPr>
                <w:rStyle w:val="Refdenotaalpie"/>
                <w:rFonts w:cs="Arial"/>
                <w:sz w:val="16"/>
                <w:szCs w:val="16"/>
              </w:rPr>
              <w:footnoteReference w:id="14"/>
            </w:r>
          </w:p>
        </w:tc>
      </w:tr>
      <w:tr w:rsidR="00665097" w:rsidRPr="002F7D59" w:rsidTr="00175D09">
        <w:trPr>
          <w:jc w:val="center"/>
        </w:trPr>
        <w:tc>
          <w:tcPr>
            <w:tcW w:w="1267"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2F7D59" w:rsidRDefault="00665097" w:rsidP="00BB313D">
            <w:pPr>
              <w:widowControl w:val="0"/>
              <w:spacing w:line="240" w:lineRule="exact"/>
              <w:jc w:val="center"/>
              <w:rPr>
                <w:rFonts w:cs="Arial"/>
                <w:b/>
                <w:sz w:val="16"/>
                <w:szCs w:val="16"/>
              </w:rPr>
            </w:pPr>
          </w:p>
        </w:tc>
        <w:tc>
          <w:tcPr>
            <w:tcW w:w="1801"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2F7D59" w:rsidRDefault="00665097" w:rsidP="00BB313D">
            <w:pPr>
              <w:widowControl w:val="0"/>
              <w:spacing w:line="240" w:lineRule="exact"/>
              <w:jc w:val="center"/>
              <w:rPr>
                <w:rFonts w:cs="Arial"/>
                <w:sz w:val="16"/>
                <w:szCs w:val="16"/>
              </w:rPr>
            </w:pP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2F7D59" w:rsidRDefault="00590809" w:rsidP="00BB313D">
            <w:pPr>
              <w:widowControl w:val="0"/>
              <w:spacing w:line="240" w:lineRule="exact"/>
              <w:jc w:val="center"/>
              <w:rPr>
                <w:rFonts w:cs="Arial"/>
                <w:b/>
                <w:sz w:val="16"/>
                <w:szCs w:val="16"/>
              </w:rPr>
            </w:pPr>
            <w:proofErr w:type="spellStart"/>
            <w:r>
              <w:rPr>
                <w:rFonts w:cs="Arial"/>
                <w:b/>
                <w:sz w:val="16"/>
                <w:szCs w:val="16"/>
              </w:rPr>
              <w:t>Abs</w:t>
            </w:r>
            <w:proofErr w:type="spellEnd"/>
            <w:r>
              <w:rPr>
                <w:rFonts w:cs="Arial"/>
                <w:b/>
                <w:sz w:val="16"/>
                <w:szCs w:val="16"/>
              </w:rPr>
              <w:t>.</w:t>
            </w:r>
          </w:p>
        </w:tc>
        <w:tc>
          <w:tcPr>
            <w:tcW w:w="91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665097" w:rsidRPr="002F7D59" w:rsidRDefault="00665097" w:rsidP="00BB313D">
            <w:pPr>
              <w:widowControl w:val="0"/>
              <w:spacing w:line="240" w:lineRule="exact"/>
              <w:jc w:val="center"/>
              <w:rPr>
                <w:rFonts w:cs="Arial"/>
                <w:b/>
                <w:sz w:val="16"/>
                <w:szCs w:val="16"/>
              </w:rPr>
            </w:pPr>
            <w:r w:rsidRPr="002F7D59">
              <w:rPr>
                <w:rFonts w:cs="Arial"/>
                <w:b/>
                <w:sz w:val="16"/>
                <w:szCs w:val="16"/>
              </w:rPr>
              <w:t>%</w:t>
            </w:r>
          </w:p>
        </w:tc>
      </w:tr>
      <w:tr w:rsidR="00665097" w:rsidRPr="002F7D59" w:rsidTr="00175D09">
        <w:trPr>
          <w:jc w:val="center"/>
        </w:trPr>
        <w:tc>
          <w:tcPr>
            <w:tcW w:w="1267" w:type="pct"/>
            <w:tcBorders>
              <w:top w:val="single" w:sz="4" w:space="0" w:color="BFBFBF" w:themeColor="background1" w:themeShade="BF"/>
              <w:right w:val="single" w:sz="4" w:space="0" w:color="BFBFBF" w:themeColor="background1" w:themeShade="BF"/>
            </w:tcBorders>
          </w:tcPr>
          <w:p w:rsidR="00665097" w:rsidRPr="002F7D59" w:rsidRDefault="00665097" w:rsidP="00BB313D">
            <w:pPr>
              <w:widowControl w:val="0"/>
              <w:spacing w:line="240" w:lineRule="exact"/>
              <w:rPr>
                <w:rFonts w:cs="Arial"/>
                <w:sz w:val="16"/>
                <w:szCs w:val="16"/>
              </w:rPr>
            </w:pPr>
            <w:r w:rsidRPr="002F7D59">
              <w:rPr>
                <w:rFonts w:cs="Arial"/>
                <w:sz w:val="16"/>
                <w:szCs w:val="16"/>
              </w:rPr>
              <w:t>Industria</w:t>
            </w:r>
          </w:p>
        </w:tc>
        <w:tc>
          <w:tcPr>
            <w:tcW w:w="18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7D37F9" w:rsidRDefault="003B4726" w:rsidP="00D508DF">
            <w:pPr>
              <w:widowControl w:val="0"/>
              <w:spacing w:line="240" w:lineRule="exact"/>
              <w:ind w:right="170"/>
              <w:jc w:val="right"/>
              <w:rPr>
                <w:rFonts w:cs="Arial"/>
                <w:sz w:val="16"/>
                <w:szCs w:val="16"/>
              </w:rPr>
            </w:pPr>
            <w:r w:rsidRPr="007D37F9">
              <w:rPr>
                <w:rFonts w:cs="Arial"/>
                <w:sz w:val="16"/>
                <w:szCs w:val="16"/>
              </w:rPr>
              <w:t>157.031.158</w:t>
            </w:r>
          </w:p>
        </w:tc>
        <w:tc>
          <w:tcPr>
            <w:tcW w:w="1013" w:type="pct"/>
            <w:tcBorders>
              <w:top w:val="single" w:sz="4" w:space="0" w:color="BFBFBF" w:themeColor="background1" w:themeShade="BF"/>
              <w:left w:val="single" w:sz="4" w:space="0" w:color="BFBFBF" w:themeColor="background1" w:themeShade="BF"/>
            </w:tcBorders>
          </w:tcPr>
          <w:p w:rsidR="00665097" w:rsidRPr="002F6E3A" w:rsidRDefault="002F6E3A" w:rsidP="00D508DF">
            <w:pPr>
              <w:widowControl w:val="0"/>
              <w:spacing w:line="240" w:lineRule="exact"/>
              <w:ind w:right="170"/>
              <w:jc w:val="right"/>
              <w:rPr>
                <w:rFonts w:cs="Arial"/>
                <w:sz w:val="16"/>
                <w:szCs w:val="16"/>
              </w:rPr>
            </w:pPr>
            <w:r w:rsidRPr="002F6E3A">
              <w:rPr>
                <w:rFonts w:cs="Arial"/>
                <w:sz w:val="16"/>
                <w:szCs w:val="16"/>
              </w:rPr>
              <w:t>759.371</w:t>
            </w:r>
          </w:p>
        </w:tc>
        <w:tc>
          <w:tcPr>
            <w:tcW w:w="919" w:type="pct"/>
            <w:tcBorders>
              <w:top w:val="single" w:sz="4" w:space="0" w:color="BFBFBF" w:themeColor="background1" w:themeShade="BF"/>
            </w:tcBorders>
          </w:tcPr>
          <w:p w:rsidR="00665097" w:rsidRPr="002F6E3A" w:rsidRDefault="00665097" w:rsidP="00D508DF">
            <w:pPr>
              <w:spacing w:line="240" w:lineRule="exact"/>
              <w:ind w:right="170"/>
              <w:jc w:val="right"/>
              <w:rPr>
                <w:rFonts w:cs="Arial"/>
                <w:color w:val="000000"/>
                <w:sz w:val="16"/>
                <w:szCs w:val="16"/>
              </w:rPr>
            </w:pPr>
            <w:r w:rsidRPr="002F6E3A">
              <w:rPr>
                <w:rFonts w:cs="Arial"/>
                <w:color w:val="000000"/>
                <w:sz w:val="16"/>
                <w:szCs w:val="16"/>
              </w:rPr>
              <w:t>0,</w:t>
            </w:r>
            <w:r w:rsidR="002F6E3A" w:rsidRPr="002F6E3A">
              <w:rPr>
                <w:rFonts w:cs="Arial"/>
                <w:color w:val="000000"/>
                <w:sz w:val="16"/>
                <w:szCs w:val="16"/>
              </w:rPr>
              <w:t>5</w:t>
            </w:r>
          </w:p>
        </w:tc>
      </w:tr>
      <w:tr w:rsidR="00665097" w:rsidRPr="002F7D59" w:rsidTr="00175D09">
        <w:trPr>
          <w:jc w:val="center"/>
        </w:trPr>
        <w:tc>
          <w:tcPr>
            <w:tcW w:w="1267" w:type="pct"/>
            <w:tcBorders>
              <w:right w:val="single" w:sz="4" w:space="0" w:color="BFBFBF" w:themeColor="background1" w:themeShade="BF"/>
            </w:tcBorders>
          </w:tcPr>
          <w:p w:rsidR="00665097" w:rsidRPr="002F7D59" w:rsidRDefault="00665097" w:rsidP="00BB313D">
            <w:pPr>
              <w:widowControl w:val="0"/>
              <w:spacing w:line="240" w:lineRule="exact"/>
              <w:rPr>
                <w:rFonts w:cs="Arial"/>
                <w:sz w:val="16"/>
                <w:szCs w:val="16"/>
              </w:rPr>
            </w:pPr>
            <w:r w:rsidRPr="002F7D59">
              <w:rPr>
                <w:rFonts w:cs="Arial"/>
                <w:sz w:val="16"/>
                <w:szCs w:val="16"/>
              </w:rPr>
              <w:t xml:space="preserve">Construcción </w:t>
            </w:r>
          </w:p>
        </w:tc>
        <w:tc>
          <w:tcPr>
            <w:tcW w:w="1801" w:type="pct"/>
            <w:tcBorders>
              <w:left w:val="single" w:sz="4" w:space="0" w:color="BFBFBF" w:themeColor="background1" w:themeShade="BF"/>
              <w:right w:val="single" w:sz="4" w:space="0" w:color="BFBFBF" w:themeColor="background1" w:themeShade="BF"/>
            </w:tcBorders>
          </w:tcPr>
          <w:p w:rsidR="00665097" w:rsidRPr="007D37F9" w:rsidRDefault="007D37F9" w:rsidP="00D508DF">
            <w:pPr>
              <w:widowControl w:val="0"/>
              <w:spacing w:line="240" w:lineRule="exact"/>
              <w:ind w:right="170"/>
              <w:jc w:val="right"/>
              <w:rPr>
                <w:rFonts w:cs="Arial"/>
                <w:sz w:val="16"/>
                <w:szCs w:val="16"/>
              </w:rPr>
            </w:pPr>
            <w:r w:rsidRPr="007D37F9">
              <w:rPr>
                <w:rFonts w:cs="Arial"/>
                <w:sz w:val="16"/>
                <w:szCs w:val="16"/>
              </w:rPr>
              <w:t>656.327</w:t>
            </w:r>
          </w:p>
        </w:tc>
        <w:tc>
          <w:tcPr>
            <w:tcW w:w="1013" w:type="pct"/>
            <w:tcBorders>
              <w:left w:val="single" w:sz="4" w:space="0" w:color="BFBFBF" w:themeColor="background1" w:themeShade="BF"/>
            </w:tcBorders>
          </w:tcPr>
          <w:p w:rsidR="00665097" w:rsidRPr="002F6E3A" w:rsidRDefault="002F6E3A" w:rsidP="00D508DF">
            <w:pPr>
              <w:widowControl w:val="0"/>
              <w:spacing w:line="240" w:lineRule="exact"/>
              <w:ind w:right="170"/>
              <w:jc w:val="right"/>
              <w:rPr>
                <w:rFonts w:cs="Arial"/>
                <w:sz w:val="16"/>
                <w:szCs w:val="16"/>
              </w:rPr>
            </w:pPr>
            <w:r>
              <w:rPr>
                <w:rFonts w:cs="Arial"/>
                <w:sz w:val="16"/>
                <w:szCs w:val="16"/>
              </w:rPr>
              <w:t>42.159</w:t>
            </w:r>
          </w:p>
        </w:tc>
        <w:tc>
          <w:tcPr>
            <w:tcW w:w="919" w:type="pct"/>
          </w:tcPr>
          <w:p w:rsidR="00665097" w:rsidRPr="002F6E3A" w:rsidRDefault="002F6E3A" w:rsidP="00D508DF">
            <w:pPr>
              <w:spacing w:line="240" w:lineRule="exact"/>
              <w:ind w:right="170"/>
              <w:jc w:val="right"/>
              <w:rPr>
                <w:rFonts w:cs="Arial"/>
                <w:color w:val="000000"/>
                <w:sz w:val="16"/>
                <w:szCs w:val="16"/>
              </w:rPr>
            </w:pPr>
            <w:r w:rsidRPr="002F6E3A">
              <w:rPr>
                <w:rFonts w:cs="Arial"/>
                <w:color w:val="000000"/>
                <w:sz w:val="16"/>
                <w:szCs w:val="16"/>
              </w:rPr>
              <w:t>6,4</w:t>
            </w:r>
          </w:p>
        </w:tc>
      </w:tr>
      <w:tr w:rsidR="00665097" w:rsidRPr="002F7D59" w:rsidTr="00175D09">
        <w:trPr>
          <w:jc w:val="center"/>
        </w:trPr>
        <w:tc>
          <w:tcPr>
            <w:tcW w:w="1267" w:type="pct"/>
            <w:tcBorders>
              <w:bottom w:val="single" w:sz="4" w:space="0" w:color="BFBFBF" w:themeColor="background1" w:themeShade="BF"/>
              <w:right w:val="single" w:sz="4" w:space="0" w:color="BFBFBF" w:themeColor="background1" w:themeShade="BF"/>
            </w:tcBorders>
          </w:tcPr>
          <w:p w:rsidR="00665097" w:rsidRPr="002F7D59" w:rsidRDefault="00665097" w:rsidP="00BB313D">
            <w:pPr>
              <w:widowControl w:val="0"/>
              <w:spacing w:line="240" w:lineRule="exact"/>
              <w:rPr>
                <w:rFonts w:cs="Arial"/>
                <w:sz w:val="16"/>
                <w:szCs w:val="16"/>
              </w:rPr>
            </w:pPr>
            <w:r w:rsidRPr="002F7D59">
              <w:rPr>
                <w:rFonts w:cs="Arial"/>
                <w:sz w:val="16"/>
                <w:szCs w:val="16"/>
              </w:rPr>
              <w:t>Servicios</w:t>
            </w:r>
          </w:p>
        </w:tc>
        <w:tc>
          <w:tcPr>
            <w:tcW w:w="18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7D37F9" w:rsidRDefault="005733A4" w:rsidP="00D508DF">
            <w:pPr>
              <w:widowControl w:val="0"/>
              <w:spacing w:line="240" w:lineRule="exact"/>
              <w:ind w:right="170"/>
              <w:jc w:val="right"/>
              <w:rPr>
                <w:rFonts w:cs="Arial"/>
                <w:sz w:val="16"/>
                <w:szCs w:val="16"/>
              </w:rPr>
            </w:pPr>
            <w:r w:rsidRPr="007D37F9">
              <w:rPr>
                <w:rFonts w:cs="Arial"/>
                <w:sz w:val="16"/>
                <w:szCs w:val="16"/>
              </w:rPr>
              <w:t>100.300.605</w:t>
            </w:r>
          </w:p>
        </w:tc>
        <w:tc>
          <w:tcPr>
            <w:tcW w:w="1013" w:type="pct"/>
            <w:tcBorders>
              <w:left w:val="single" w:sz="4" w:space="0" w:color="BFBFBF" w:themeColor="background1" w:themeShade="BF"/>
              <w:bottom w:val="single" w:sz="4" w:space="0" w:color="BFBFBF" w:themeColor="background1" w:themeShade="BF"/>
            </w:tcBorders>
          </w:tcPr>
          <w:p w:rsidR="00665097" w:rsidRPr="002F6E3A" w:rsidRDefault="002F6E3A" w:rsidP="00D508DF">
            <w:pPr>
              <w:widowControl w:val="0"/>
              <w:spacing w:line="240" w:lineRule="exact"/>
              <w:ind w:right="170"/>
              <w:jc w:val="right"/>
              <w:rPr>
                <w:rFonts w:cs="Arial"/>
                <w:sz w:val="16"/>
                <w:szCs w:val="16"/>
              </w:rPr>
            </w:pPr>
            <w:r>
              <w:rPr>
                <w:rFonts w:cs="Arial"/>
                <w:sz w:val="16"/>
                <w:szCs w:val="16"/>
              </w:rPr>
              <w:t>2.154.516</w:t>
            </w:r>
          </w:p>
        </w:tc>
        <w:tc>
          <w:tcPr>
            <w:tcW w:w="919" w:type="pct"/>
            <w:tcBorders>
              <w:bottom w:val="single" w:sz="4" w:space="0" w:color="BFBFBF" w:themeColor="background1" w:themeShade="BF"/>
            </w:tcBorders>
          </w:tcPr>
          <w:p w:rsidR="00665097" w:rsidRPr="002F6E3A" w:rsidRDefault="00A50E51" w:rsidP="00D508DF">
            <w:pPr>
              <w:spacing w:line="240" w:lineRule="exact"/>
              <w:ind w:right="170"/>
              <w:jc w:val="right"/>
              <w:rPr>
                <w:rFonts w:cs="Arial"/>
                <w:color w:val="000000"/>
                <w:sz w:val="16"/>
                <w:szCs w:val="16"/>
              </w:rPr>
            </w:pPr>
            <w:r>
              <w:rPr>
                <w:rFonts w:cs="Arial"/>
                <w:color w:val="000000"/>
                <w:sz w:val="16"/>
                <w:szCs w:val="16"/>
              </w:rPr>
              <w:t>2,1</w:t>
            </w:r>
          </w:p>
        </w:tc>
      </w:tr>
      <w:tr w:rsidR="002F6E3A" w:rsidRPr="002F7D59" w:rsidTr="00056C7A">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F6E3A" w:rsidRPr="002F7D59" w:rsidRDefault="002F6E3A" w:rsidP="00BB313D">
            <w:pPr>
              <w:widowControl w:val="0"/>
              <w:spacing w:line="240" w:lineRule="exact"/>
              <w:rPr>
                <w:rFonts w:cs="Arial"/>
                <w:b/>
                <w:sz w:val="16"/>
                <w:szCs w:val="16"/>
              </w:rPr>
            </w:pPr>
            <w:r w:rsidRPr="002F7D59">
              <w:rPr>
                <w:rFonts w:cs="Arial"/>
                <w:b/>
                <w:sz w:val="16"/>
                <w:szCs w:val="16"/>
              </w:rPr>
              <w:t>TOTAL*</w:t>
            </w:r>
          </w:p>
        </w:tc>
        <w:tc>
          <w:tcPr>
            <w:tcW w:w="1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F6E3A" w:rsidRPr="003B4726" w:rsidRDefault="002F6E3A" w:rsidP="00D508DF">
            <w:pPr>
              <w:widowControl w:val="0"/>
              <w:spacing w:line="240" w:lineRule="exact"/>
              <w:ind w:right="170"/>
              <w:jc w:val="right"/>
              <w:rPr>
                <w:rFonts w:cs="Arial"/>
                <w:b/>
                <w:sz w:val="16"/>
                <w:szCs w:val="16"/>
              </w:rPr>
            </w:pPr>
            <w:r w:rsidRPr="003B4726">
              <w:rPr>
                <w:rFonts w:cs="Arial"/>
                <w:b/>
                <w:sz w:val="16"/>
                <w:szCs w:val="16"/>
              </w:rPr>
              <w:t>258.839.030</w:t>
            </w: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2F6E3A" w:rsidRDefault="002F6E3A" w:rsidP="00D508DF">
            <w:pPr>
              <w:ind w:right="170"/>
              <w:jc w:val="right"/>
              <w:rPr>
                <w:rFonts w:ascii="Calibri" w:hAnsi="Calibri"/>
                <w:b/>
                <w:bCs/>
                <w:color w:val="000000"/>
                <w:sz w:val="18"/>
                <w:szCs w:val="18"/>
              </w:rPr>
            </w:pPr>
            <w:r w:rsidRPr="002F6E3A">
              <w:rPr>
                <w:rFonts w:cs="Arial"/>
                <w:b/>
                <w:sz w:val="16"/>
                <w:szCs w:val="16"/>
              </w:rPr>
              <w:t>4.202.529</w:t>
            </w:r>
          </w:p>
        </w:tc>
        <w:tc>
          <w:tcPr>
            <w:tcW w:w="919" w:type="pct"/>
            <w:tcBorders>
              <w:top w:val="single" w:sz="4" w:space="0" w:color="BFBFBF" w:themeColor="background1" w:themeShade="BF"/>
              <w:bottom w:val="single" w:sz="4" w:space="0" w:color="BFBFBF" w:themeColor="background1" w:themeShade="BF"/>
            </w:tcBorders>
          </w:tcPr>
          <w:p w:rsidR="002F6E3A" w:rsidRPr="008778ED" w:rsidRDefault="002F6E3A" w:rsidP="00D508DF">
            <w:pPr>
              <w:widowControl w:val="0"/>
              <w:spacing w:line="240" w:lineRule="exact"/>
              <w:ind w:right="170"/>
              <w:jc w:val="right"/>
              <w:rPr>
                <w:rFonts w:cs="Arial"/>
                <w:b/>
                <w:sz w:val="16"/>
                <w:szCs w:val="16"/>
                <w:highlight w:val="yellow"/>
              </w:rPr>
            </w:pPr>
          </w:p>
        </w:tc>
      </w:tr>
    </w:tbl>
    <w:p w:rsidR="00665097" w:rsidRPr="006209F1" w:rsidRDefault="00665097" w:rsidP="00BB313D">
      <w:pPr>
        <w:widowControl w:val="0"/>
        <w:rPr>
          <w:sz w:val="16"/>
          <w:szCs w:val="16"/>
        </w:rPr>
      </w:pPr>
      <w:bookmarkStart w:id="244" w:name="_Toc391565510"/>
      <w:r w:rsidRPr="006209F1">
        <w:rPr>
          <w:sz w:val="16"/>
          <w:szCs w:val="16"/>
        </w:rPr>
        <w:t>*Incluye datos del Sector Primario</w:t>
      </w:r>
      <w:bookmarkEnd w:id="244"/>
    </w:p>
    <w:p w:rsidR="001C63DE" w:rsidRDefault="001C63DE" w:rsidP="00BB313D">
      <w:pPr>
        <w:widowControl w:val="0"/>
        <w:rPr>
          <w:rFonts w:cs="Arial"/>
          <w:lang w:val="es-ES_tradnl"/>
        </w:rPr>
      </w:pPr>
    </w:p>
    <w:p w:rsidR="00665097" w:rsidRPr="006209F1" w:rsidRDefault="00DE1512" w:rsidP="00BB313D">
      <w:pPr>
        <w:widowControl w:val="0"/>
        <w:spacing w:line="240" w:lineRule="auto"/>
        <w:jc w:val="center"/>
        <w:rPr>
          <w:b/>
          <w:color w:val="1F497D" w:themeColor="text2"/>
          <w:sz w:val="18"/>
          <w:szCs w:val="18"/>
        </w:rPr>
      </w:pPr>
      <w:bookmarkStart w:id="245" w:name="_Toc391565511"/>
      <w:bookmarkStart w:id="246" w:name="_Toc391999641"/>
      <w:bookmarkStart w:id="247" w:name="_Toc450119524"/>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69</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209F1">
        <w:rPr>
          <w:b/>
          <w:color w:val="1F497D" w:themeColor="text2"/>
          <w:sz w:val="18"/>
          <w:szCs w:val="18"/>
        </w:rPr>
        <w:t xml:space="preserve"> </w:t>
      </w:r>
      <w:r w:rsidR="00665097" w:rsidRPr="006209F1">
        <w:rPr>
          <w:b/>
          <w:color w:val="1F497D" w:themeColor="text2"/>
          <w:sz w:val="18"/>
          <w:szCs w:val="18"/>
        </w:rPr>
        <w:t>ESTRUCTURA SECTORIAL DE LAS SUBVENCIONES, DONACIONES Y LEGADOS DE CAPITAL TRANSFERIDOS AL RESULTADO DEL EJERCICIO (746). 201</w:t>
      </w:r>
      <w:bookmarkEnd w:id="245"/>
      <w:bookmarkEnd w:id="246"/>
      <w:r w:rsidR="00AA3CE6">
        <w:rPr>
          <w:b/>
          <w:color w:val="1F497D" w:themeColor="text2"/>
          <w:sz w:val="18"/>
          <w:szCs w:val="18"/>
        </w:rPr>
        <w:t>4</w:t>
      </w:r>
      <w:bookmarkEnd w:id="247"/>
    </w:p>
    <w:tbl>
      <w:tblPr>
        <w:tblW w:w="9940" w:type="dxa"/>
        <w:jc w:val="center"/>
        <w:tblLook w:val="04A0" w:firstRow="1" w:lastRow="0" w:firstColumn="1" w:lastColumn="0" w:noHBand="0" w:noVBand="1"/>
      </w:tblPr>
      <w:tblGrid>
        <w:gridCol w:w="2519"/>
        <w:gridCol w:w="3580"/>
        <w:gridCol w:w="2014"/>
        <w:gridCol w:w="1827"/>
      </w:tblGrid>
      <w:tr w:rsidR="00665097" w:rsidRPr="00332690" w:rsidTr="00175D09">
        <w:trPr>
          <w:jc w:val="center"/>
        </w:trPr>
        <w:tc>
          <w:tcPr>
            <w:tcW w:w="1267"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665097" w:rsidRPr="00332690" w:rsidRDefault="00665097" w:rsidP="00332690">
            <w:pPr>
              <w:widowControl w:val="0"/>
              <w:spacing w:line="240" w:lineRule="exact"/>
              <w:jc w:val="center"/>
              <w:rPr>
                <w:rFonts w:cs="Arial"/>
                <w:b/>
                <w:sz w:val="16"/>
                <w:szCs w:val="16"/>
              </w:rPr>
            </w:pPr>
          </w:p>
        </w:tc>
        <w:tc>
          <w:tcPr>
            <w:tcW w:w="1801"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665097" w:rsidRPr="00332690" w:rsidRDefault="00665097" w:rsidP="00332690">
            <w:pPr>
              <w:widowControl w:val="0"/>
              <w:spacing w:line="240" w:lineRule="exact"/>
              <w:jc w:val="center"/>
              <w:rPr>
                <w:rFonts w:cs="Arial"/>
                <w:b/>
                <w:sz w:val="16"/>
                <w:szCs w:val="16"/>
              </w:rPr>
            </w:pPr>
            <w:r w:rsidRPr="00332690">
              <w:rPr>
                <w:rFonts w:cs="Arial"/>
                <w:b/>
                <w:sz w:val="16"/>
                <w:szCs w:val="16"/>
              </w:rPr>
              <w:t>Beneficio</w:t>
            </w:r>
          </w:p>
        </w:tc>
        <w:tc>
          <w:tcPr>
            <w:tcW w:w="1932" w:type="pct"/>
            <w:gridSpan w:val="2"/>
            <w:tcBorders>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332690" w:rsidRDefault="00665097" w:rsidP="00332690">
            <w:pPr>
              <w:widowControl w:val="0"/>
              <w:spacing w:line="240" w:lineRule="exact"/>
              <w:jc w:val="center"/>
              <w:rPr>
                <w:rFonts w:cs="Arial"/>
                <w:b/>
                <w:sz w:val="16"/>
                <w:szCs w:val="16"/>
              </w:rPr>
            </w:pPr>
            <w:r w:rsidRPr="00332690">
              <w:rPr>
                <w:rFonts w:cs="Arial"/>
                <w:b/>
                <w:bCs/>
                <w:sz w:val="16"/>
                <w:szCs w:val="16"/>
                <w:lang w:val="es-ES_tradnl"/>
              </w:rPr>
              <w:t>Subvenciones de Capital Trasladadas a Resultados</w:t>
            </w:r>
          </w:p>
        </w:tc>
      </w:tr>
      <w:tr w:rsidR="00665097" w:rsidRPr="00332690" w:rsidTr="00175D09">
        <w:trPr>
          <w:jc w:val="center"/>
        </w:trPr>
        <w:tc>
          <w:tcPr>
            <w:tcW w:w="1267"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32690" w:rsidRDefault="00665097" w:rsidP="00332690">
            <w:pPr>
              <w:widowControl w:val="0"/>
              <w:spacing w:line="240" w:lineRule="exact"/>
              <w:jc w:val="center"/>
              <w:rPr>
                <w:rFonts w:cs="Arial"/>
                <w:b/>
                <w:sz w:val="16"/>
                <w:szCs w:val="16"/>
              </w:rPr>
            </w:pPr>
          </w:p>
        </w:tc>
        <w:tc>
          <w:tcPr>
            <w:tcW w:w="1801"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32690" w:rsidRDefault="00665097" w:rsidP="00332690">
            <w:pPr>
              <w:widowControl w:val="0"/>
              <w:spacing w:line="240" w:lineRule="exact"/>
              <w:jc w:val="center"/>
              <w:rPr>
                <w:rFonts w:cs="Arial"/>
                <w:sz w:val="16"/>
                <w:szCs w:val="16"/>
              </w:rPr>
            </w:pP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665097" w:rsidRPr="00332690" w:rsidRDefault="00590809" w:rsidP="00332690">
            <w:pPr>
              <w:widowControl w:val="0"/>
              <w:spacing w:line="240" w:lineRule="exact"/>
              <w:jc w:val="center"/>
              <w:rPr>
                <w:rFonts w:cs="Arial"/>
                <w:b/>
                <w:sz w:val="16"/>
                <w:szCs w:val="16"/>
              </w:rPr>
            </w:pPr>
            <w:proofErr w:type="spellStart"/>
            <w:r w:rsidRPr="00332690">
              <w:rPr>
                <w:rFonts w:cs="Arial"/>
                <w:b/>
                <w:sz w:val="16"/>
                <w:szCs w:val="16"/>
              </w:rPr>
              <w:t>Abs</w:t>
            </w:r>
            <w:proofErr w:type="spellEnd"/>
            <w:r w:rsidRPr="00332690">
              <w:rPr>
                <w:rFonts w:cs="Arial"/>
                <w:b/>
                <w:sz w:val="16"/>
                <w:szCs w:val="16"/>
              </w:rPr>
              <w:t>.</w:t>
            </w:r>
          </w:p>
        </w:tc>
        <w:tc>
          <w:tcPr>
            <w:tcW w:w="919" w:type="pct"/>
            <w:tcBorders>
              <w:top w:val="single" w:sz="4" w:space="0" w:color="BFBFBF" w:themeColor="background1" w:themeShade="BF"/>
              <w:bottom w:val="single" w:sz="4" w:space="0" w:color="BFBFBF" w:themeColor="background1" w:themeShade="BF"/>
            </w:tcBorders>
            <w:shd w:val="clear" w:color="auto" w:fill="DBE5F1" w:themeFill="accent1" w:themeFillTint="33"/>
          </w:tcPr>
          <w:p w:rsidR="00665097" w:rsidRPr="00332690" w:rsidRDefault="00665097" w:rsidP="00332690">
            <w:pPr>
              <w:widowControl w:val="0"/>
              <w:spacing w:line="240" w:lineRule="exact"/>
              <w:jc w:val="center"/>
              <w:rPr>
                <w:rFonts w:cs="Arial"/>
                <w:b/>
                <w:sz w:val="16"/>
                <w:szCs w:val="16"/>
              </w:rPr>
            </w:pPr>
            <w:r w:rsidRPr="00332690">
              <w:rPr>
                <w:rFonts w:cs="Arial"/>
                <w:b/>
                <w:sz w:val="16"/>
                <w:szCs w:val="16"/>
              </w:rPr>
              <w:t>%</w:t>
            </w:r>
          </w:p>
        </w:tc>
      </w:tr>
      <w:tr w:rsidR="00665097" w:rsidRPr="00332690" w:rsidTr="00175D09">
        <w:trPr>
          <w:jc w:val="center"/>
        </w:trPr>
        <w:tc>
          <w:tcPr>
            <w:tcW w:w="1267" w:type="pct"/>
            <w:tcBorders>
              <w:top w:val="single" w:sz="4" w:space="0" w:color="BFBFBF" w:themeColor="background1" w:themeShade="BF"/>
              <w:right w:val="single" w:sz="4" w:space="0" w:color="BFBFBF" w:themeColor="background1" w:themeShade="BF"/>
            </w:tcBorders>
          </w:tcPr>
          <w:p w:rsidR="00665097" w:rsidRPr="00332690" w:rsidRDefault="00665097" w:rsidP="00332690">
            <w:pPr>
              <w:widowControl w:val="0"/>
              <w:spacing w:line="240" w:lineRule="exact"/>
              <w:rPr>
                <w:rFonts w:cs="Arial"/>
                <w:sz w:val="16"/>
                <w:szCs w:val="16"/>
              </w:rPr>
            </w:pPr>
            <w:r w:rsidRPr="00332690">
              <w:rPr>
                <w:rFonts w:cs="Arial"/>
                <w:sz w:val="16"/>
                <w:szCs w:val="16"/>
              </w:rPr>
              <w:t>Industria</w:t>
            </w:r>
          </w:p>
        </w:tc>
        <w:tc>
          <w:tcPr>
            <w:tcW w:w="180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665097" w:rsidRPr="00332690" w:rsidRDefault="008778ED" w:rsidP="00332690">
            <w:pPr>
              <w:widowControl w:val="0"/>
              <w:spacing w:line="240" w:lineRule="exact"/>
              <w:ind w:right="170"/>
              <w:jc w:val="right"/>
              <w:rPr>
                <w:rFonts w:cs="Arial"/>
                <w:sz w:val="16"/>
                <w:szCs w:val="16"/>
              </w:rPr>
            </w:pPr>
            <w:r w:rsidRPr="00332690">
              <w:rPr>
                <w:rFonts w:cs="Arial"/>
                <w:sz w:val="16"/>
                <w:szCs w:val="16"/>
              </w:rPr>
              <w:t>99.783.394</w:t>
            </w:r>
          </w:p>
        </w:tc>
        <w:tc>
          <w:tcPr>
            <w:tcW w:w="1013" w:type="pct"/>
            <w:tcBorders>
              <w:top w:val="single" w:sz="4" w:space="0" w:color="BFBFBF" w:themeColor="background1" w:themeShade="BF"/>
              <w:left w:val="single" w:sz="4" w:space="0" w:color="BFBFBF" w:themeColor="background1" w:themeShade="BF"/>
            </w:tcBorders>
            <w:vAlign w:val="bottom"/>
          </w:tcPr>
          <w:p w:rsidR="00665097" w:rsidRPr="00332690" w:rsidRDefault="008778ED" w:rsidP="00332690">
            <w:pPr>
              <w:spacing w:line="240" w:lineRule="exact"/>
              <w:ind w:right="170"/>
              <w:jc w:val="right"/>
              <w:rPr>
                <w:rFonts w:cs="Arial"/>
                <w:sz w:val="16"/>
                <w:szCs w:val="16"/>
              </w:rPr>
            </w:pPr>
            <w:r w:rsidRPr="00332690">
              <w:rPr>
                <w:rFonts w:cs="Arial"/>
                <w:sz w:val="16"/>
                <w:szCs w:val="16"/>
              </w:rPr>
              <w:t>4.197.966</w:t>
            </w:r>
          </w:p>
        </w:tc>
        <w:tc>
          <w:tcPr>
            <w:tcW w:w="919" w:type="pct"/>
            <w:tcBorders>
              <w:top w:val="single" w:sz="4" w:space="0" w:color="BFBFBF" w:themeColor="background1" w:themeShade="BF"/>
            </w:tcBorders>
          </w:tcPr>
          <w:p w:rsidR="00665097" w:rsidRPr="00332690" w:rsidRDefault="00AA3CE6" w:rsidP="00332690">
            <w:pPr>
              <w:widowControl w:val="0"/>
              <w:spacing w:line="240" w:lineRule="exact"/>
              <w:ind w:right="170"/>
              <w:jc w:val="right"/>
              <w:rPr>
                <w:rFonts w:cs="Arial"/>
                <w:sz w:val="16"/>
                <w:szCs w:val="16"/>
              </w:rPr>
            </w:pPr>
            <w:r w:rsidRPr="00332690">
              <w:rPr>
                <w:rFonts w:cs="Arial"/>
                <w:sz w:val="16"/>
                <w:szCs w:val="16"/>
              </w:rPr>
              <w:t>4,2</w:t>
            </w:r>
          </w:p>
        </w:tc>
      </w:tr>
      <w:tr w:rsidR="00665097" w:rsidRPr="00332690" w:rsidTr="00175D09">
        <w:trPr>
          <w:jc w:val="center"/>
        </w:trPr>
        <w:tc>
          <w:tcPr>
            <w:tcW w:w="1267" w:type="pct"/>
            <w:tcBorders>
              <w:bottom w:val="single" w:sz="4" w:space="0" w:color="BFBFBF" w:themeColor="background1" w:themeShade="BF"/>
              <w:right w:val="single" w:sz="4" w:space="0" w:color="BFBFBF" w:themeColor="background1" w:themeShade="BF"/>
            </w:tcBorders>
          </w:tcPr>
          <w:p w:rsidR="00665097" w:rsidRPr="00332690" w:rsidRDefault="008778ED" w:rsidP="00332690">
            <w:pPr>
              <w:widowControl w:val="0"/>
              <w:spacing w:line="240" w:lineRule="exact"/>
              <w:rPr>
                <w:rFonts w:cs="Arial"/>
                <w:sz w:val="16"/>
                <w:szCs w:val="16"/>
              </w:rPr>
            </w:pPr>
            <w:r w:rsidRPr="00332690">
              <w:rPr>
                <w:rFonts w:cs="Arial"/>
                <w:sz w:val="16"/>
                <w:szCs w:val="16"/>
              </w:rPr>
              <w:t>Servicios</w:t>
            </w:r>
          </w:p>
        </w:tc>
        <w:tc>
          <w:tcPr>
            <w:tcW w:w="180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32690" w:rsidRDefault="008778ED" w:rsidP="00332690">
            <w:pPr>
              <w:widowControl w:val="0"/>
              <w:spacing w:line="240" w:lineRule="exact"/>
              <w:ind w:right="170"/>
              <w:jc w:val="right"/>
              <w:rPr>
                <w:rFonts w:cs="Arial"/>
                <w:sz w:val="16"/>
                <w:szCs w:val="16"/>
              </w:rPr>
            </w:pPr>
            <w:r w:rsidRPr="00332690">
              <w:rPr>
                <w:rFonts w:cs="Arial"/>
                <w:sz w:val="16"/>
                <w:szCs w:val="16"/>
              </w:rPr>
              <w:t>-7.805.718</w:t>
            </w:r>
          </w:p>
        </w:tc>
        <w:tc>
          <w:tcPr>
            <w:tcW w:w="1013" w:type="pct"/>
            <w:tcBorders>
              <w:left w:val="single" w:sz="4" w:space="0" w:color="BFBFBF" w:themeColor="background1" w:themeShade="BF"/>
              <w:bottom w:val="single" w:sz="4" w:space="0" w:color="BFBFBF" w:themeColor="background1" w:themeShade="BF"/>
            </w:tcBorders>
          </w:tcPr>
          <w:p w:rsidR="00665097" w:rsidRPr="00332690" w:rsidRDefault="008778ED" w:rsidP="00332690">
            <w:pPr>
              <w:spacing w:line="240" w:lineRule="exact"/>
              <w:ind w:right="170"/>
              <w:jc w:val="right"/>
              <w:rPr>
                <w:rFonts w:cs="Arial"/>
                <w:sz w:val="16"/>
                <w:szCs w:val="16"/>
              </w:rPr>
            </w:pPr>
            <w:r w:rsidRPr="00332690">
              <w:rPr>
                <w:rFonts w:cs="Arial"/>
                <w:sz w:val="16"/>
                <w:szCs w:val="16"/>
              </w:rPr>
              <w:t>17.051.742</w:t>
            </w:r>
          </w:p>
        </w:tc>
        <w:tc>
          <w:tcPr>
            <w:tcW w:w="919" w:type="pct"/>
            <w:tcBorders>
              <w:bottom w:val="single" w:sz="4" w:space="0" w:color="BFBFBF" w:themeColor="background1" w:themeShade="BF"/>
            </w:tcBorders>
          </w:tcPr>
          <w:p w:rsidR="00665097" w:rsidRPr="00332690" w:rsidRDefault="00AA3CE6" w:rsidP="00332690">
            <w:pPr>
              <w:widowControl w:val="0"/>
              <w:spacing w:line="240" w:lineRule="exact"/>
              <w:ind w:right="170"/>
              <w:jc w:val="right"/>
              <w:rPr>
                <w:rFonts w:cs="Arial"/>
                <w:sz w:val="16"/>
                <w:szCs w:val="16"/>
              </w:rPr>
            </w:pPr>
            <w:r w:rsidRPr="00332690">
              <w:rPr>
                <w:rFonts w:cs="Arial"/>
                <w:sz w:val="16"/>
                <w:szCs w:val="16"/>
              </w:rPr>
              <w:t>-218,5</w:t>
            </w:r>
          </w:p>
        </w:tc>
      </w:tr>
      <w:tr w:rsidR="00665097" w:rsidRPr="00332690" w:rsidTr="00175D09">
        <w:trPr>
          <w:jc w:val="center"/>
        </w:trPr>
        <w:tc>
          <w:tcPr>
            <w:tcW w:w="126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32690" w:rsidRDefault="00665097" w:rsidP="00332690">
            <w:pPr>
              <w:widowControl w:val="0"/>
              <w:spacing w:line="240" w:lineRule="exact"/>
              <w:rPr>
                <w:rFonts w:cs="Arial"/>
                <w:b/>
                <w:sz w:val="16"/>
                <w:szCs w:val="16"/>
              </w:rPr>
            </w:pPr>
            <w:r w:rsidRPr="00332690">
              <w:rPr>
                <w:rFonts w:cs="Arial"/>
                <w:b/>
                <w:sz w:val="16"/>
                <w:szCs w:val="16"/>
              </w:rPr>
              <w:t>TOTAL*</w:t>
            </w:r>
          </w:p>
        </w:tc>
        <w:tc>
          <w:tcPr>
            <w:tcW w:w="18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65097" w:rsidRPr="00332690" w:rsidRDefault="008778ED" w:rsidP="00332690">
            <w:pPr>
              <w:spacing w:line="240" w:lineRule="exact"/>
              <w:ind w:right="170"/>
              <w:jc w:val="right"/>
              <w:rPr>
                <w:rFonts w:cs="Arial"/>
                <w:b/>
                <w:bCs/>
                <w:color w:val="000000"/>
                <w:sz w:val="16"/>
                <w:szCs w:val="16"/>
              </w:rPr>
            </w:pPr>
            <w:r w:rsidRPr="00332690">
              <w:rPr>
                <w:rFonts w:cs="Arial"/>
                <w:b/>
                <w:bCs/>
                <w:color w:val="000000"/>
                <w:sz w:val="16"/>
                <w:szCs w:val="16"/>
              </w:rPr>
              <w:t>92.150.468</w:t>
            </w:r>
          </w:p>
        </w:tc>
        <w:tc>
          <w:tcPr>
            <w:tcW w:w="101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665097" w:rsidRPr="00332690" w:rsidRDefault="008778ED" w:rsidP="00332690">
            <w:pPr>
              <w:spacing w:line="240" w:lineRule="exact"/>
              <w:ind w:right="170"/>
              <w:jc w:val="right"/>
              <w:rPr>
                <w:rFonts w:cs="Arial"/>
                <w:b/>
                <w:bCs/>
                <w:color w:val="000000"/>
                <w:sz w:val="16"/>
                <w:szCs w:val="16"/>
              </w:rPr>
            </w:pPr>
            <w:r w:rsidRPr="00332690">
              <w:rPr>
                <w:rFonts w:cs="Arial"/>
                <w:b/>
                <w:bCs/>
                <w:color w:val="000000"/>
                <w:sz w:val="16"/>
                <w:szCs w:val="16"/>
              </w:rPr>
              <w:t>21.652.233</w:t>
            </w:r>
          </w:p>
        </w:tc>
        <w:tc>
          <w:tcPr>
            <w:tcW w:w="919" w:type="pct"/>
            <w:tcBorders>
              <w:top w:val="single" w:sz="4" w:space="0" w:color="BFBFBF" w:themeColor="background1" w:themeShade="BF"/>
              <w:bottom w:val="single" w:sz="4" w:space="0" w:color="BFBFBF" w:themeColor="background1" w:themeShade="BF"/>
            </w:tcBorders>
          </w:tcPr>
          <w:p w:rsidR="00665097" w:rsidRPr="00332690" w:rsidRDefault="008778ED" w:rsidP="00332690">
            <w:pPr>
              <w:widowControl w:val="0"/>
              <w:spacing w:line="240" w:lineRule="exact"/>
              <w:ind w:right="170"/>
              <w:jc w:val="right"/>
              <w:rPr>
                <w:rFonts w:cs="Arial"/>
                <w:b/>
                <w:bCs/>
                <w:color w:val="000000"/>
                <w:sz w:val="16"/>
                <w:szCs w:val="16"/>
              </w:rPr>
            </w:pPr>
            <w:r w:rsidRPr="00332690">
              <w:rPr>
                <w:rFonts w:cs="Arial"/>
                <w:b/>
                <w:bCs/>
                <w:color w:val="000000"/>
                <w:sz w:val="16"/>
                <w:szCs w:val="16"/>
              </w:rPr>
              <w:t>23,5</w:t>
            </w:r>
          </w:p>
        </w:tc>
      </w:tr>
    </w:tbl>
    <w:p w:rsidR="008778ED" w:rsidRPr="006209F1" w:rsidRDefault="008778ED" w:rsidP="008778ED">
      <w:pPr>
        <w:widowControl w:val="0"/>
        <w:rPr>
          <w:sz w:val="16"/>
          <w:szCs w:val="16"/>
        </w:rPr>
      </w:pPr>
      <w:r w:rsidRPr="006209F1">
        <w:rPr>
          <w:sz w:val="16"/>
          <w:szCs w:val="16"/>
        </w:rPr>
        <w:t>*Incluye datos del Sector Primario</w:t>
      </w:r>
    </w:p>
    <w:p w:rsidR="00665097" w:rsidRDefault="00665097" w:rsidP="00BB313D">
      <w:pPr>
        <w:widowControl w:val="0"/>
        <w:ind w:left="709" w:hanging="709"/>
        <w:rPr>
          <w:rFonts w:cs="Arial"/>
          <w:highlight w:val="red"/>
        </w:rPr>
      </w:pPr>
    </w:p>
    <w:p w:rsidR="00665097" w:rsidRDefault="00665097" w:rsidP="00BB313D">
      <w:pPr>
        <w:widowControl w:val="0"/>
        <w:rPr>
          <w:rFonts w:cs="Arial"/>
          <w:highlight w:val="red"/>
        </w:rPr>
      </w:pPr>
      <w:r>
        <w:rPr>
          <w:rFonts w:cs="Arial"/>
          <w:highlight w:val="red"/>
        </w:rPr>
        <w:br w:type="page"/>
      </w:r>
    </w:p>
    <w:p w:rsidR="00665097" w:rsidRPr="007F1968" w:rsidRDefault="00665097" w:rsidP="00F627A9">
      <w:pPr>
        <w:pStyle w:val="Ttulo1"/>
        <w:keepNext w:val="0"/>
        <w:ind w:left="708" w:hanging="708"/>
        <w:rPr>
          <w:color w:val="1F497D" w:themeColor="text2"/>
          <w:sz w:val="26"/>
          <w:szCs w:val="26"/>
        </w:rPr>
      </w:pPr>
      <w:bookmarkStart w:id="248" w:name="_Toc391999525"/>
      <w:bookmarkStart w:id="249" w:name="_Toc450118918"/>
      <w:r w:rsidRPr="007F1968">
        <w:rPr>
          <w:color w:val="1F497D" w:themeColor="text2"/>
          <w:sz w:val="26"/>
          <w:szCs w:val="26"/>
        </w:rPr>
        <w:lastRenderedPageBreak/>
        <w:t>6.-</w:t>
      </w:r>
      <w:r w:rsidRPr="007F1968">
        <w:rPr>
          <w:color w:val="1F497D" w:themeColor="text2"/>
          <w:sz w:val="26"/>
          <w:szCs w:val="26"/>
        </w:rPr>
        <w:tab/>
        <w:t>CUENTAS DE RESULTADOS POR FORMA JURÍDICA Y TERRITORIO HISTÓRICO</w:t>
      </w:r>
      <w:bookmarkEnd w:id="248"/>
      <w:bookmarkEnd w:id="249"/>
    </w:p>
    <w:p w:rsidR="00665097" w:rsidRDefault="00665097" w:rsidP="00BB313D">
      <w:pPr>
        <w:widowControl w:val="0"/>
      </w:pPr>
    </w:p>
    <w:p w:rsidR="00665097" w:rsidRPr="000C43BF" w:rsidRDefault="00DE1512" w:rsidP="00BB313D">
      <w:pPr>
        <w:widowControl w:val="0"/>
        <w:spacing w:line="240" w:lineRule="auto"/>
        <w:jc w:val="center"/>
        <w:rPr>
          <w:rFonts w:cs="Arial"/>
          <w:b/>
          <w:color w:val="1F497D" w:themeColor="text2"/>
          <w:sz w:val="18"/>
          <w:szCs w:val="18"/>
          <w:lang w:val="es-ES_tradnl"/>
        </w:rPr>
      </w:pPr>
      <w:bookmarkStart w:id="250" w:name="_Toc391565513"/>
      <w:bookmarkStart w:id="251" w:name="_Toc391999642"/>
      <w:bookmarkStart w:id="252" w:name="_Toc450119525"/>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70</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0C43BF">
        <w:rPr>
          <w:rFonts w:cs="Arial"/>
          <w:b/>
          <w:color w:val="1F497D" w:themeColor="text2"/>
          <w:sz w:val="18"/>
          <w:szCs w:val="18"/>
          <w:lang w:val="es-ES_tradnl"/>
        </w:rPr>
        <w:t xml:space="preserve"> </w:t>
      </w:r>
      <w:r w:rsidR="00665097" w:rsidRPr="000C43BF">
        <w:rPr>
          <w:rFonts w:cs="Arial"/>
          <w:b/>
          <w:color w:val="1F497D" w:themeColor="text2"/>
          <w:sz w:val="18"/>
          <w:szCs w:val="18"/>
          <w:lang w:val="es-ES_tradnl"/>
        </w:rPr>
        <w:t>CUENTA DE RESULTADOS DE COOPERATIVAS S</w:t>
      </w:r>
      <w:r w:rsidR="0012512D">
        <w:rPr>
          <w:rFonts w:cs="Arial"/>
          <w:b/>
          <w:color w:val="1F497D" w:themeColor="text2"/>
          <w:sz w:val="18"/>
          <w:szCs w:val="18"/>
          <w:lang w:val="es-ES_tradnl"/>
        </w:rPr>
        <w:t>EGÚN SECTOR DE ACTIVIDAD EN 2014</w:t>
      </w:r>
      <w:r w:rsidR="00C86565" w:rsidRPr="000C43BF">
        <w:rPr>
          <w:rFonts w:cs="Arial"/>
          <w:b/>
          <w:color w:val="1F497D" w:themeColor="text2"/>
          <w:sz w:val="18"/>
          <w:szCs w:val="18"/>
          <w:lang w:val="es-ES_tradnl"/>
        </w:rPr>
        <w:t xml:space="preserve"> </w:t>
      </w:r>
      <w:r w:rsidR="00665097" w:rsidRPr="000C43BF">
        <w:rPr>
          <w:rFonts w:cs="Arial"/>
          <w:b/>
          <w:color w:val="1F497D" w:themeColor="text2"/>
          <w:sz w:val="18"/>
          <w:szCs w:val="18"/>
          <w:lang w:val="es-ES_tradnl"/>
        </w:rPr>
        <w:t>(</w:t>
      </w:r>
      <w:r w:rsidR="00590809">
        <w:rPr>
          <w:rFonts w:cs="Arial"/>
          <w:b/>
          <w:color w:val="1F497D" w:themeColor="text2"/>
          <w:sz w:val="18"/>
          <w:szCs w:val="18"/>
          <w:lang w:val="es-ES_tradnl"/>
        </w:rPr>
        <w:t>cifras absolutas</w:t>
      </w:r>
      <w:r w:rsidR="00665097" w:rsidRPr="000C43BF">
        <w:rPr>
          <w:rFonts w:cs="Arial"/>
          <w:b/>
          <w:color w:val="1F497D" w:themeColor="text2"/>
          <w:sz w:val="18"/>
          <w:szCs w:val="18"/>
          <w:lang w:val="es-ES_tradnl"/>
        </w:rPr>
        <w:t xml:space="preserve"> en Euros) (Precios corrientes)</w:t>
      </w:r>
      <w:bookmarkEnd w:id="250"/>
      <w:bookmarkEnd w:id="251"/>
      <w:bookmarkEnd w:id="252"/>
    </w:p>
    <w:tbl>
      <w:tblPr>
        <w:tblW w:w="9940" w:type="dxa"/>
        <w:jc w:val="center"/>
        <w:tblInd w:w="55" w:type="dxa"/>
        <w:tblLayout w:type="fixed"/>
        <w:tblCellMar>
          <w:left w:w="70" w:type="dxa"/>
          <w:right w:w="70" w:type="dxa"/>
        </w:tblCellMar>
        <w:tblLook w:val="04A0" w:firstRow="1" w:lastRow="0" w:firstColumn="1" w:lastColumn="0" w:noHBand="0" w:noVBand="1"/>
      </w:tblPr>
      <w:tblGrid>
        <w:gridCol w:w="3270"/>
        <w:gridCol w:w="1334"/>
        <w:gridCol w:w="1334"/>
        <w:gridCol w:w="1334"/>
        <w:gridCol w:w="1334"/>
        <w:gridCol w:w="1334"/>
      </w:tblGrid>
      <w:tr w:rsidR="0012512D" w:rsidRPr="0012512D" w:rsidTr="00D508D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12512D" w:rsidRPr="0012512D" w:rsidRDefault="0012512D" w:rsidP="00175D09">
            <w:pPr>
              <w:spacing w:line="264" w:lineRule="auto"/>
              <w:rPr>
                <w:rFonts w:eastAsia="Times New Roman" w:cs="Arial"/>
                <w:color w:val="000000"/>
                <w:sz w:val="16"/>
                <w:szCs w:val="16"/>
                <w:lang w:eastAsia="es-ES"/>
              </w:rPr>
            </w:pPr>
            <w:r w:rsidRPr="0012512D">
              <w:rPr>
                <w:rFonts w:eastAsia="Times New Roman" w:cs="Arial"/>
                <w:color w:val="000000"/>
                <w:sz w:val="16"/>
                <w:szCs w:val="16"/>
                <w:lang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TOTAL</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Primario</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Construcción</w:t>
            </w:r>
          </w:p>
        </w:tc>
        <w:tc>
          <w:tcPr>
            <w:tcW w:w="1334" w:type="dxa"/>
            <w:tcBorders>
              <w:top w:val="single" w:sz="8" w:space="0" w:color="BFBFBF"/>
              <w:left w:val="nil"/>
              <w:bottom w:val="single" w:sz="8" w:space="0" w:color="BFBFBF"/>
            </w:tcBorders>
            <w:shd w:val="clear" w:color="000000" w:fill="DBE5F1"/>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Servicios</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rPr>
                <w:rFonts w:eastAsia="Times New Roman" w:cs="Arial"/>
                <w:b/>
                <w:bCs/>
                <w:color w:val="000000"/>
                <w:sz w:val="16"/>
                <w:szCs w:val="16"/>
                <w:lang w:eastAsia="es-ES"/>
              </w:rPr>
            </w:pPr>
            <w:r w:rsidRPr="0012512D">
              <w:rPr>
                <w:rFonts w:eastAsia="Times New Roman" w:cs="Arial"/>
                <w:b/>
                <w:bCs/>
                <w:color w:val="000000"/>
                <w:sz w:val="16"/>
                <w:szCs w:val="16"/>
                <w:lang w:val="es-ES_tradnl" w:eastAsia="es-ES"/>
              </w:rPr>
              <w:t>INGRESOS</w:t>
            </w:r>
          </w:p>
        </w:tc>
        <w:tc>
          <w:tcPr>
            <w:tcW w:w="1334"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 </w:t>
            </w:r>
          </w:p>
        </w:tc>
        <w:tc>
          <w:tcPr>
            <w:tcW w:w="1334"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 </w:t>
            </w:r>
          </w:p>
        </w:tc>
        <w:tc>
          <w:tcPr>
            <w:tcW w:w="1334"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 </w:t>
            </w:r>
          </w:p>
        </w:tc>
        <w:tc>
          <w:tcPr>
            <w:tcW w:w="1334"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 </w:t>
            </w:r>
          </w:p>
        </w:tc>
        <w:tc>
          <w:tcPr>
            <w:tcW w:w="1334" w:type="dxa"/>
            <w:tcBorders>
              <w:top w:val="nil"/>
              <w:left w:val="nil"/>
              <w:bottom w:val="nil"/>
            </w:tcBorders>
            <w:shd w:val="clear" w:color="auto" w:fill="auto"/>
            <w:vAlign w:val="bottom"/>
            <w:hideMark/>
          </w:tcPr>
          <w:p w:rsidR="0012512D" w:rsidRPr="0012512D" w:rsidRDefault="0012512D" w:rsidP="00175D09">
            <w:pPr>
              <w:spacing w:line="264" w:lineRule="auto"/>
              <w:jc w:val="center"/>
              <w:rPr>
                <w:rFonts w:eastAsia="Times New Roman" w:cs="Arial"/>
                <w:b/>
                <w:bCs/>
                <w:color w:val="000000"/>
                <w:sz w:val="16"/>
                <w:szCs w:val="16"/>
                <w:lang w:eastAsia="es-ES"/>
              </w:rPr>
            </w:pPr>
            <w:r w:rsidRPr="0012512D">
              <w:rPr>
                <w:rFonts w:eastAsia="Times New Roman" w:cs="Arial"/>
                <w:b/>
                <w:bCs/>
                <w:color w:val="000000"/>
                <w:sz w:val="16"/>
                <w:szCs w:val="16"/>
                <w:lang w:eastAsia="es-ES"/>
              </w:rPr>
              <w:t> </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val="es-ES_tradnl" w:eastAsia="es-ES"/>
              </w:rPr>
              <w:t>70 Ventas Netas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7.060.422.858</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11.092.022</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3.750.435.163</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87.817.793</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3.211.077.881</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71 Variación de Existencias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-12.822.976</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129.606</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-14.943.170</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1.246.194</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744.394</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73 Trabajos realizados para Inmovilizado</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11.917.781</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14.603</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4.923.614</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99.597</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6.879.966</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74 Subvenciones de Explotación</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300.665.932</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1.721.190</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26.258.903</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271.246</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272.414.593</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75 Ingresos Accesorios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530.504.414</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120.823</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95.603.371</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897.296</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433.882.924</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76 Ingresos Financieros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132.419.989</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32.059</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95.547.125</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256.155</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36.584.650</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77 Ingresos Excepcionales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27.410.036</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117.017</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11.616.318</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469.029</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15.207.673</w:t>
            </w:r>
          </w:p>
        </w:tc>
      </w:tr>
      <w:tr w:rsidR="0012512D" w:rsidRPr="0012512D"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79 Excesos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127.839.339</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47.925.150</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201.307</w:t>
            </w:r>
          </w:p>
        </w:tc>
        <w:tc>
          <w:tcPr>
            <w:tcW w:w="1334" w:type="dxa"/>
            <w:tcBorders>
              <w:top w:val="nil"/>
              <w:left w:val="nil"/>
              <w:bottom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79.712.883</w:t>
            </w:r>
          </w:p>
        </w:tc>
      </w:tr>
      <w:tr w:rsidR="0012512D" w:rsidRPr="0012512D"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12512D" w:rsidRPr="0012512D" w:rsidRDefault="0012512D" w:rsidP="00175D09">
            <w:pPr>
              <w:spacing w:line="264" w:lineRule="auto"/>
              <w:jc w:val="left"/>
              <w:rPr>
                <w:rFonts w:eastAsia="Times New Roman" w:cs="Arial"/>
                <w:b/>
                <w:bCs/>
                <w:color w:val="000000"/>
                <w:sz w:val="16"/>
                <w:szCs w:val="16"/>
                <w:lang w:eastAsia="es-ES"/>
              </w:rPr>
            </w:pPr>
            <w:r w:rsidRPr="0012512D">
              <w:rPr>
                <w:rFonts w:eastAsia="Times New Roman" w:cs="Arial"/>
                <w:b/>
                <w:bCs/>
                <w:color w:val="000000"/>
                <w:sz w:val="16"/>
                <w:szCs w:val="16"/>
                <w:lang w:eastAsia="es-ES"/>
              </w:rPr>
              <w:t> </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8.178.357.373</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13.227.319</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4.017.366.473</w:t>
            </w:r>
          </w:p>
        </w:tc>
        <w:tc>
          <w:tcPr>
            <w:tcW w:w="1334" w:type="dxa"/>
            <w:tcBorders>
              <w:top w:val="nil"/>
              <w:left w:val="nil"/>
              <w:bottom w:val="single" w:sz="8" w:space="0" w:color="BFBFBF"/>
              <w:right w:val="single" w:sz="8" w:space="0" w:color="BFBFBF"/>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91.258.618</w:t>
            </w:r>
          </w:p>
        </w:tc>
        <w:tc>
          <w:tcPr>
            <w:tcW w:w="1334" w:type="dxa"/>
            <w:tcBorders>
              <w:top w:val="nil"/>
              <w:left w:val="nil"/>
              <w:bottom w:val="single" w:sz="8" w:space="0" w:color="BFBFBF"/>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4.056.504.964</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b/>
                <w:bCs/>
                <w:color w:val="000000"/>
                <w:sz w:val="16"/>
                <w:szCs w:val="16"/>
                <w:lang w:eastAsia="es-ES"/>
              </w:rPr>
            </w:pPr>
            <w:r w:rsidRPr="0012512D">
              <w:rPr>
                <w:rFonts w:eastAsia="Times New Roman" w:cs="Arial"/>
                <w:b/>
                <w:bCs/>
                <w:color w:val="000000"/>
                <w:sz w:val="16"/>
                <w:szCs w:val="16"/>
                <w:lang w:val="es-ES_tradnl" w:eastAsia="es-ES"/>
              </w:rPr>
              <w:t>GASTOS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 </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 </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val="es-ES_tradnl" w:eastAsia="es-ES"/>
              </w:rPr>
              <w:t>60 Compras Netas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4.249.570.198</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5.260.303</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2.104.000.304</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48.572.068</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2.091.737.523</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61 Variación Existencias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-8.146.222</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-144.511</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-8.872.069</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136.742</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733.616</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62 Servicios Exteriores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989.713.146</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2.720.988</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581.109.171</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11.807.828</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394.075.159</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63 Impuestos Ligados a la Actividad</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8.796.864</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78.081</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7.903.480</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285.608</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529.695</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64 Gastos de Personal</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1.710.145.007</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3.650.005</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803.150.758</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26.576.657</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876.767.587</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65 Gastos de Gestión</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191.953.501</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58.688</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34.101.920</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479.492</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157.313.401</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66 Gastos Financieros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161.851.621</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119.818</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113.606.529</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569.325</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47.555.948</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67 Gastos Excepcionales</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20.850.219</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63.454</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13.424.224</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633.884</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6.728.657</w:t>
            </w:r>
          </w:p>
        </w:tc>
      </w:tr>
      <w:tr w:rsidR="0012512D" w:rsidRPr="0012512D" w:rsidTr="00D508DF">
        <w:trPr>
          <w:jc w:val="center"/>
        </w:trPr>
        <w:tc>
          <w:tcPr>
            <w:tcW w:w="3270" w:type="dxa"/>
            <w:tcBorders>
              <w:top w:val="nil"/>
              <w:left w:val="nil"/>
              <w:bottom w:val="nil"/>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68 Dotación del Ejercicio para Amortización</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278.264.093</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1.116.894</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192.471.110</w:t>
            </w:r>
          </w:p>
        </w:tc>
        <w:tc>
          <w:tcPr>
            <w:tcW w:w="1334" w:type="dxa"/>
            <w:tcBorders>
              <w:top w:val="nil"/>
              <w:left w:val="nil"/>
              <w:bottom w:val="nil"/>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1.052.206</w:t>
            </w:r>
          </w:p>
        </w:tc>
        <w:tc>
          <w:tcPr>
            <w:tcW w:w="1334" w:type="dxa"/>
            <w:tcBorders>
              <w:top w:val="nil"/>
              <w:left w:val="nil"/>
              <w:bottom w:val="nil"/>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83.623.884</w:t>
            </w:r>
          </w:p>
        </w:tc>
      </w:tr>
      <w:tr w:rsidR="0012512D" w:rsidRPr="0012512D"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69 Dotaciones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494.625.041</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61.133</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84.904.343</w:t>
            </w:r>
          </w:p>
        </w:tc>
        <w:tc>
          <w:tcPr>
            <w:tcW w:w="1334" w:type="dxa"/>
            <w:tcBorders>
              <w:top w:val="nil"/>
              <w:left w:val="nil"/>
              <w:bottom w:val="single" w:sz="8" w:space="0" w:color="BFBFBF"/>
              <w:right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1.160.490</w:t>
            </w:r>
          </w:p>
        </w:tc>
        <w:tc>
          <w:tcPr>
            <w:tcW w:w="1334" w:type="dxa"/>
            <w:tcBorders>
              <w:top w:val="nil"/>
              <w:left w:val="nil"/>
              <w:bottom w:val="single" w:sz="8" w:space="0" w:color="BFBFBF"/>
            </w:tcBorders>
            <w:shd w:val="clear" w:color="auto" w:fill="auto"/>
            <w:noWrap/>
            <w:vAlign w:val="bottom"/>
            <w:hideMark/>
          </w:tcPr>
          <w:p w:rsidR="0012512D" w:rsidRPr="0012512D" w:rsidRDefault="0012512D" w:rsidP="00175D09">
            <w:pPr>
              <w:spacing w:line="264" w:lineRule="auto"/>
              <w:jc w:val="right"/>
              <w:rPr>
                <w:rFonts w:eastAsia="Times New Roman" w:cs="Arial"/>
                <w:color w:val="000000"/>
                <w:sz w:val="16"/>
                <w:szCs w:val="16"/>
                <w:lang w:eastAsia="es-ES"/>
              </w:rPr>
            </w:pPr>
            <w:r w:rsidRPr="0012512D">
              <w:rPr>
                <w:rFonts w:eastAsia="Times New Roman" w:cs="Arial"/>
                <w:color w:val="000000"/>
                <w:sz w:val="16"/>
                <w:szCs w:val="16"/>
                <w:lang w:eastAsia="es-ES"/>
              </w:rPr>
              <w:t>408.499.076</w:t>
            </w:r>
          </w:p>
        </w:tc>
      </w:tr>
      <w:tr w:rsidR="0012512D" w:rsidRPr="0012512D"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12512D" w:rsidRPr="0012512D" w:rsidRDefault="0012512D" w:rsidP="00175D09">
            <w:pPr>
              <w:spacing w:line="264" w:lineRule="auto"/>
              <w:jc w:val="left"/>
              <w:rPr>
                <w:rFonts w:eastAsia="Times New Roman" w:cs="Arial"/>
                <w:color w:val="000000"/>
                <w:sz w:val="16"/>
                <w:szCs w:val="16"/>
                <w:lang w:eastAsia="es-ES"/>
              </w:rPr>
            </w:pPr>
            <w:r w:rsidRPr="0012512D">
              <w:rPr>
                <w:rFonts w:eastAsia="Times New Roman" w:cs="Arial"/>
                <w:color w:val="000000"/>
                <w:sz w:val="16"/>
                <w:szCs w:val="16"/>
                <w:lang w:eastAsia="es-ES"/>
              </w:rPr>
              <w:t> </w:t>
            </w:r>
          </w:p>
        </w:tc>
        <w:tc>
          <w:tcPr>
            <w:tcW w:w="1334" w:type="dxa"/>
            <w:tcBorders>
              <w:top w:val="nil"/>
              <w:left w:val="nil"/>
              <w:bottom w:val="single" w:sz="8" w:space="0" w:color="BFBFBF"/>
              <w:right w:val="nil"/>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8.097.623.469</w:t>
            </w:r>
          </w:p>
        </w:tc>
        <w:tc>
          <w:tcPr>
            <w:tcW w:w="1334" w:type="dxa"/>
            <w:tcBorders>
              <w:top w:val="nil"/>
              <w:left w:val="nil"/>
              <w:bottom w:val="single" w:sz="8" w:space="0" w:color="BFBFBF"/>
              <w:right w:val="nil"/>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12.984.853</w:t>
            </w:r>
          </w:p>
        </w:tc>
        <w:tc>
          <w:tcPr>
            <w:tcW w:w="1334" w:type="dxa"/>
            <w:tcBorders>
              <w:top w:val="nil"/>
              <w:left w:val="nil"/>
              <w:bottom w:val="single" w:sz="8" w:space="0" w:color="BFBFBF"/>
              <w:right w:val="nil"/>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3.925.799.770</w:t>
            </w:r>
          </w:p>
        </w:tc>
        <w:tc>
          <w:tcPr>
            <w:tcW w:w="1334" w:type="dxa"/>
            <w:tcBorders>
              <w:top w:val="nil"/>
              <w:left w:val="nil"/>
              <w:bottom w:val="single" w:sz="8" w:space="0" w:color="BFBFBF"/>
              <w:right w:val="nil"/>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91.274.300</w:t>
            </w:r>
          </w:p>
        </w:tc>
        <w:tc>
          <w:tcPr>
            <w:tcW w:w="1334" w:type="dxa"/>
            <w:tcBorders>
              <w:top w:val="nil"/>
              <w:left w:val="nil"/>
              <w:bottom w:val="single" w:sz="8" w:space="0" w:color="BFBFBF"/>
            </w:tcBorders>
            <w:shd w:val="clear" w:color="000000" w:fill="E6E6E6"/>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4.067.564.546</w:t>
            </w:r>
          </w:p>
        </w:tc>
      </w:tr>
      <w:tr w:rsidR="0012512D" w:rsidRPr="0012512D" w:rsidTr="00D508D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rPr>
                <w:rFonts w:eastAsia="Times New Roman" w:cs="Arial"/>
                <w:b/>
                <w:bCs/>
                <w:color w:val="000000"/>
                <w:sz w:val="16"/>
                <w:szCs w:val="16"/>
                <w:lang w:eastAsia="es-ES"/>
              </w:rPr>
            </w:pPr>
            <w:r w:rsidRPr="0012512D">
              <w:rPr>
                <w:rFonts w:eastAsia="Times New Roman" w:cs="Arial"/>
                <w:b/>
                <w:bCs/>
                <w:color w:val="000000"/>
                <w:sz w:val="16"/>
                <w:szCs w:val="16"/>
                <w:lang w:val="es-ES_tradnl" w:eastAsia="es-ES"/>
              </w:rPr>
              <w:t>BENEFICIO (+) o PÉRDIDA (-)</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80.733.905</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242.466</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91.566.703</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-15.682</w:t>
            </w:r>
          </w:p>
        </w:tc>
        <w:tc>
          <w:tcPr>
            <w:tcW w:w="1334" w:type="dxa"/>
            <w:tcBorders>
              <w:top w:val="nil"/>
              <w:left w:val="nil"/>
              <w:bottom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-11.059.582</w:t>
            </w:r>
          </w:p>
        </w:tc>
      </w:tr>
      <w:tr w:rsidR="0012512D" w:rsidRPr="0012512D"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12512D" w:rsidRPr="0012512D" w:rsidRDefault="0012512D" w:rsidP="00175D09">
            <w:pPr>
              <w:spacing w:line="264" w:lineRule="auto"/>
              <w:rPr>
                <w:rFonts w:eastAsia="Times New Roman" w:cs="Arial"/>
                <w:b/>
                <w:bCs/>
                <w:color w:val="000000"/>
                <w:sz w:val="10"/>
                <w:szCs w:val="10"/>
                <w:lang w:eastAsia="es-ES"/>
              </w:rPr>
            </w:pPr>
            <w:r w:rsidRPr="0012512D">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12512D" w:rsidRPr="0012512D" w:rsidRDefault="0012512D" w:rsidP="00175D09">
            <w:pPr>
              <w:spacing w:line="264" w:lineRule="auto"/>
              <w:jc w:val="right"/>
              <w:rPr>
                <w:rFonts w:eastAsia="Times New Roman" w:cs="Arial"/>
                <w:b/>
                <w:bCs/>
                <w:color w:val="000000"/>
                <w:sz w:val="10"/>
                <w:szCs w:val="10"/>
                <w:lang w:eastAsia="es-ES"/>
              </w:rPr>
            </w:pPr>
            <w:r w:rsidRPr="0012512D">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12512D" w:rsidRPr="0012512D" w:rsidRDefault="0012512D" w:rsidP="00175D09">
            <w:pPr>
              <w:spacing w:line="264" w:lineRule="auto"/>
              <w:jc w:val="right"/>
              <w:rPr>
                <w:rFonts w:eastAsia="Times New Roman" w:cs="Arial"/>
                <w:b/>
                <w:bCs/>
                <w:color w:val="000000"/>
                <w:sz w:val="10"/>
                <w:szCs w:val="10"/>
                <w:lang w:eastAsia="es-ES"/>
              </w:rPr>
            </w:pPr>
            <w:r w:rsidRPr="0012512D">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12512D" w:rsidRPr="0012512D" w:rsidRDefault="0012512D" w:rsidP="00175D09">
            <w:pPr>
              <w:spacing w:line="264" w:lineRule="auto"/>
              <w:jc w:val="right"/>
              <w:rPr>
                <w:rFonts w:eastAsia="Times New Roman" w:cs="Arial"/>
                <w:b/>
                <w:bCs/>
                <w:color w:val="000000"/>
                <w:sz w:val="10"/>
                <w:szCs w:val="10"/>
                <w:lang w:eastAsia="es-ES"/>
              </w:rPr>
            </w:pPr>
            <w:r w:rsidRPr="0012512D">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12512D" w:rsidRPr="0012512D" w:rsidRDefault="0012512D" w:rsidP="00175D09">
            <w:pPr>
              <w:spacing w:line="264" w:lineRule="auto"/>
              <w:jc w:val="right"/>
              <w:rPr>
                <w:rFonts w:eastAsia="Times New Roman" w:cs="Arial"/>
                <w:b/>
                <w:bCs/>
                <w:color w:val="000000"/>
                <w:sz w:val="10"/>
                <w:szCs w:val="10"/>
                <w:lang w:eastAsia="es-ES"/>
              </w:rPr>
            </w:pPr>
            <w:r w:rsidRPr="0012512D">
              <w:rPr>
                <w:rFonts w:eastAsia="Times New Roman" w:cs="Arial"/>
                <w:b/>
                <w:bCs/>
                <w:color w:val="000000"/>
                <w:sz w:val="10"/>
                <w:szCs w:val="10"/>
                <w:lang w:eastAsia="es-ES"/>
              </w:rPr>
              <w:t> </w:t>
            </w:r>
          </w:p>
        </w:tc>
        <w:tc>
          <w:tcPr>
            <w:tcW w:w="1334" w:type="dxa"/>
            <w:tcBorders>
              <w:top w:val="nil"/>
              <w:left w:val="nil"/>
              <w:bottom w:val="single" w:sz="8" w:space="0" w:color="BFBFBF"/>
            </w:tcBorders>
            <w:shd w:val="clear" w:color="auto" w:fill="auto"/>
            <w:vAlign w:val="bottom"/>
            <w:hideMark/>
          </w:tcPr>
          <w:p w:rsidR="0012512D" w:rsidRPr="0012512D" w:rsidRDefault="0012512D" w:rsidP="00175D09">
            <w:pPr>
              <w:spacing w:line="264" w:lineRule="auto"/>
              <w:jc w:val="right"/>
              <w:rPr>
                <w:rFonts w:eastAsia="Times New Roman" w:cs="Arial"/>
                <w:b/>
                <w:bCs/>
                <w:color w:val="000000"/>
                <w:sz w:val="10"/>
                <w:szCs w:val="10"/>
                <w:lang w:eastAsia="es-ES"/>
              </w:rPr>
            </w:pPr>
            <w:r w:rsidRPr="0012512D">
              <w:rPr>
                <w:rFonts w:eastAsia="Times New Roman" w:cs="Arial"/>
                <w:b/>
                <w:bCs/>
                <w:color w:val="000000"/>
                <w:sz w:val="10"/>
                <w:szCs w:val="10"/>
                <w:lang w:eastAsia="es-ES"/>
              </w:rPr>
              <w:t> </w:t>
            </w:r>
          </w:p>
        </w:tc>
      </w:tr>
      <w:tr w:rsidR="0012512D" w:rsidRPr="0012512D" w:rsidTr="00D508D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rPr>
                <w:rFonts w:eastAsia="Times New Roman" w:cs="Arial"/>
                <w:b/>
                <w:bCs/>
                <w:color w:val="000000"/>
                <w:sz w:val="16"/>
                <w:szCs w:val="16"/>
                <w:lang w:eastAsia="es-ES"/>
              </w:rPr>
            </w:pPr>
            <w:r w:rsidRPr="0012512D">
              <w:rPr>
                <w:rFonts w:eastAsia="Times New Roman" w:cs="Arial"/>
                <w:b/>
                <w:bCs/>
                <w:color w:val="000000"/>
                <w:sz w:val="16"/>
                <w:szCs w:val="16"/>
                <w:lang w:val="en-GB" w:eastAsia="es-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853.623.039</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1.420.494</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368.942.154</w:t>
            </w:r>
          </w:p>
        </w:tc>
        <w:tc>
          <w:tcPr>
            <w:tcW w:w="1334" w:type="dxa"/>
            <w:tcBorders>
              <w:top w:val="nil"/>
              <w:left w:val="nil"/>
              <w:bottom w:val="single" w:sz="8" w:space="0" w:color="BFBFBF"/>
              <w:right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2.197.014</w:t>
            </w:r>
          </w:p>
        </w:tc>
        <w:tc>
          <w:tcPr>
            <w:tcW w:w="1334" w:type="dxa"/>
            <w:tcBorders>
              <w:top w:val="nil"/>
              <w:left w:val="nil"/>
              <w:bottom w:val="single" w:sz="8" w:space="0" w:color="BFBFBF"/>
            </w:tcBorders>
            <w:shd w:val="clear" w:color="000000" w:fill="DDEEFF"/>
            <w:vAlign w:val="bottom"/>
            <w:hideMark/>
          </w:tcPr>
          <w:p w:rsidR="0012512D" w:rsidRPr="0012512D" w:rsidRDefault="0012512D" w:rsidP="00175D09">
            <w:pPr>
              <w:spacing w:line="264" w:lineRule="auto"/>
              <w:jc w:val="right"/>
              <w:rPr>
                <w:rFonts w:eastAsia="Times New Roman" w:cs="Arial"/>
                <w:b/>
                <w:bCs/>
                <w:color w:val="000000"/>
                <w:sz w:val="16"/>
                <w:szCs w:val="16"/>
                <w:lang w:eastAsia="es-ES"/>
              </w:rPr>
            </w:pPr>
            <w:r w:rsidRPr="0012512D">
              <w:rPr>
                <w:rFonts w:eastAsia="Times New Roman" w:cs="Arial"/>
                <w:b/>
                <w:bCs/>
                <w:color w:val="000000"/>
                <w:sz w:val="16"/>
                <w:szCs w:val="16"/>
                <w:lang w:eastAsia="es-ES"/>
              </w:rPr>
              <w:t>481.063.377</w:t>
            </w:r>
          </w:p>
        </w:tc>
      </w:tr>
    </w:tbl>
    <w:p w:rsidR="00665097" w:rsidRDefault="00665097" w:rsidP="00BB313D">
      <w:pPr>
        <w:widowControl w:val="0"/>
        <w:rPr>
          <w:lang w:val="en-GB"/>
        </w:rPr>
      </w:pPr>
    </w:p>
    <w:p w:rsidR="00665097" w:rsidRDefault="00DE1512" w:rsidP="00BB313D">
      <w:pPr>
        <w:widowControl w:val="0"/>
        <w:spacing w:line="240" w:lineRule="auto"/>
        <w:jc w:val="center"/>
        <w:rPr>
          <w:rFonts w:cs="Arial"/>
          <w:b/>
          <w:color w:val="1F497D" w:themeColor="text2"/>
          <w:sz w:val="18"/>
          <w:szCs w:val="18"/>
        </w:rPr>
      </w:pPr>
      <w:bookmarkStart w:id="253" w:name="_Toc391999643"/>
      <w:bookmarkStart w:id="254" w:name="_Toc45011952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6D1744">
        <w:rPr>
          <w:rFonts w:cs="Arial"/>
          <w:b/>
          <w:color w:val="1F497D" w:themeColor="text2"/>
          <w:sz w:val="18"/>
          <w:szCs w:val="18"/>
        </w:rPr>
        <w:t xml:space="preserve">CUENTA DE RESULTADOS DE </w:t>
      </w:r>
      <w:proofErr w:type="spellStart"/>
      <w:r w:rsidR="00665097" w:rsidRPr="006D1744">
        <w:rPr>
          <w:rFonts w:cs="Arial"/>
          <w:b/>
          <w:color w:val="1F497D" w:themeColor="text2"/>
          <w:sz w:val="18"/>
          <w:szCs w:val="18"/>
        </w:rPr>
        <w:t>S.A.Les</w:t>
      </w:r>
      <w:proofErr w:type="spellEnd"/>
      <w:r w:rsidR="00665097" w:rsidRPr="006D1744">
        <w:rPr>
          <w:rFonts w:cs="Arial"/>
          <w:b/>
          <w:color w:val="1F497D" w:themeColor="text2"/>
          <w:sz w:val="18"/>
          <w:szCs w:val="18"/>
        </w:rPr>
        <w:t xml:space="preserve"> S</w:t>
      </w:r>
      <w:r w:rsidR="0012512D">
        <w:rPr>
          <w:rFonts w:cs="Arial"/>
          <w:b/>
          <w:color w:val="1F497D" w:themeColor="text2"/>
          <w:sz w:val="18"/>
          <w:szCs w:val="18"/>
        </w:rPr>
        <w:t>EGÚN SECTOR DE ACTIVIDAD EN 2014</w:t>
      </w:r>
      <w:r w:rsidR="00C86565">
        <w:rPr>
          <w:rFonts w:cs="Arial"/>
          <w:b/>
          <w:color w:val="1F497D" w:themeColor="text2"/>
          <w:sz w:val="18"/>
          <w:szCs w:val="18"/>
        </w:rPr>
        <w:t xml:space="preserve"> </w:t>
      </w:r>
      <w:r w:rsidR="00665097" w:rsidRPr="006D1744">
        <w:rPr>
          <w:rFonts w:cs="Arial"/>
          <w:b/>
          <w:color w:val="1F497D" w:themeColor="text2"/>
          <w:sz w:val="18"/>
          <w:szCs w:val="18"/>
        </w:rPr>
        <w:t>(</w:t>
      </w:r>
      <w:r w:rsidR="00590809">
        <w:rPr>
          <w:rFonts w:cs="Arial"/>
          <w:b/>
          <w:color w:val="1F497D" w:themeColor="text2"/>
          <w:sz w:val="18"/>
          <w:szCs w:val="18"/>
        </w:rPr>
        <w:t>cifras absolutas en Euros</w:t>
      </w:r>
      <w:r w:rsidR="00665097" w:rsidRPr="006D1744">
        <w:rPr>
          <w:rFonts w:cs="Arial"/>
          <w:b/>
          <w:color w:val="1F497D" w:themeColor="text2"/>
          <w:sz w:val="18"/>
          <w:szCs w:val="18"/>
        </w:rPr>
        <w:t>) (Precios corrientes)</w:t>
      </w:r>
      <w:bookmarkEnd w:id="253"/>
      <w:bookmarkEnd w:id="254"/>
    </w:p>
    <w:tbl>
      <w:tblPr>
        <w:tblW w:w="9940" w:type="dxa"/>
        <w:jc w:val="center"/>
        <w:tblInd w:w="55" w:type="dxa"/>
        <w:tblLayout w:type="fixed"/>
        <w:tblCellMar>
          <w:left w:w="70" w:type="dxa"/>
          <w:right w:w="70" w:type="dxa"/>
        </w:tblCellMar>
        <w:tblLook w:val="04A0" w:firstRow="1" w:lastRow="0" w:firstColumn="1" w:lastColumn="0" w:noHBand="0" w:noVBand="1"/>
      </w:tblPr>
      <w:tblGrid>
        <w:gridCol w:w="3411"/>
        <w:gridCol w:w="1305"/>
        <w:gridCol w:w="1306"/>
        <w:gridCol w:w="1306"/>
        <w:gridCol w:w="1306"/>
        <w:gridCol w:w="1306"/>
      </w:tblGrid>
      <w:tr w:rsidR="00180EA5" w:rsidRPr="00180EA5" w:rsidTr="00D508DF">
        <w:trPr>
          <w:jc w:val="center"/>
        </w:trPr>
        <w:tc>
          <w:tcPr>
            <w:tcW w:w="3411" w:type="dxa"/>
            <w:tcBorders>
              <w:top w:val="single" w:sz="8" w:space="0" w:color="BFBFBF"/>
              <w:left w:val="nil"/>
              <w:bottom w:val="single" w:sz="8" w:space="0" w:color="BFBFBF"/>
              <w:right w:val="single" w:sz="8" w:space="0" w:color="BFBFBF"/>
            </w:tcBorders>
            <w:shd w:val="clear" w:color="000000" w:fill="DBE5F1"/>
            <w:vAlign w:val="bottom"/>
            <w:hideMark/>
          </w:tcPr>
          <w:p w:rsidR="00180EA5" w:rsidRPr="00180EA5" w:rsidRDefault="00180EA5" w:rsidP="00175D09">
            <w:pPr>
              <w:spacing w:line="264" w:lineRule="auto"/>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5" w:type="dxa"/>
            <w:tcBorders>
              <w:top w:val="single" w:sz="8" w:space="0" w:color="BFBFBF"/>
              <w:left w:val="nil"/>
              <w:bottom w:val="single" w:sz="8" w:space="0" w:color="BFBFBF"/>
              <w:right w:val="single" w:sz="8" w:space="0" w:color="BFBFBF"/>
            </w:tcBorders>
            <w:shd w:val="clear" w:color="000000" w:fill="DBE5F1"/>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TOTAL</w:t>
            </w:r>
          </w:p>
        </w:tc>
        <w:tc>
          <w:tcPr>
            <w:tcW w:w="1306" w:type="dxa"/>
            <w:tcBorders>
              <w:top w:val="single" w:sz="8" w:space="0" w:color="BFBFBF"/>
              <w:left w:val="nil"/>
              <w:bottom w:val="single" w:sz="8" w:space="0" w:color="BFBFBF"/>
              <w:right w:val="single" w:sz="8" w:space="0" w:color="BFBFBF"/>
            </w:tcBorders>
            <w:shd w:val="clear" w:color="000000" w:fill="DBE5F1"/>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Primario</w:t>
            </w:r>
          </w:p>
        </w:tc>
        <w:tc>
          <w:tcPr>
            <w:tcW w:w="1306" w:type="dxa"/>
            <w:tcBorders>
              <w:top w:val="single" w:sz="8" w:space="0" w:color="BFBFBF"/>
              <w:left w:val="nil"/>
              <w:bottom w:val="single" w:sz="8" w:space="0" w:color="BFBFBF"/>
              <w:right w:val="single" w:sz="8" w:space="0" w:color="BFBFBF"/>
            </w:tcBorders>
            <w:shd w:val="clear" w:color="000000" w:fill="DBE5F1"/>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Industria</w:t>
            </w:r>
          </w:p>
        </w:tc>
        <w:tc>
          <w:tcPr>
            <w:tcW w:w="1306" w:type="dxa"/>
            <w:tcBorders>
              <w:top w:val="single" w:sz="8" w:space="0" w:color="BFBFBF"/>
              <w:left w:val="nil"/>
              <w:bottom w:val="single" w:sz="8" w:space="0" w:color="BFBFBF"/>
              <w:right w:val="single" w:sz="8" w:space="0" w:color="BFBFBF"/>
            </w:tcBorders>
            <w:shd w:val="clear" w:color="000000" w:fill="DBE5F1"/>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Construcción</w:t>
            </w:r>
          </w:p>
        </w:tc>
        <w:tc>
          <w:tcPr>
            <w:tcW w:w="1306" w:type="dxa"/>
            <w:tcBorders>
              <w:top w:val="single" w:sz="8" w:space="0" w:color="BFBFBF"/>
              <w:left w:val="nil"/>
              <w:bottom w:val="single" w:sz="8" w:space="0" w:color="BFBFBF"/>
            </w:tcBorders>
            <w:shd w:val="clear" w:color="000000" w:fill="DBE5F1"/>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Servicios</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rPr>
                <w:rFonts w:eastAsia="Times New Roman" w:cs="Arial"/>
                <w:b/>
                <w:bCs/>
                <w:color w:val="000000"/>
                <w:sz w:val="16"/>
                <w:szCs w:val="16"/>
                <w:lang w:eastAsia="es-ES"/>
              </w:rPr>
            </w:pPr>
            <w:r w:rsidRPr="00180EA5">
              <w:rPr>
                <w:rFonts w:eastAsia="Times New Roman" w:cs="Arial"/>
                <w:b/>
                <w:bCs/>
                <w:color w:val="000000"/>
                <w:sz w:val="16"/>
                <w:szCs w:val="16"/>
                <w:lang w:val="es-ES_tradnl" w:eastAsia="es-ES"/>
              </w:rPr>
              <w:t>INGRESOS</w:t>
            </w:r>
          </w:p>
        </w:tc>
        <w:tc>
          <w:tcPr>
            <w:tcW w:w="1305"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 </w:t>
            </w:r>
          </w:p>
        </w:tc>
        <w:tc>
          <w:tcPr>
            <w:tcW w:w="1306"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 </w:t>
            </w:r>
          </w:p>
        </w:tc>
        <w:tc>
          <w:tcPr>
            <w:tcW w:w="1306"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 </w:t>
            </w:r>
          </w:p>
        </w:tc>
        <w:tc>
          <w:tcPr>
            <w:tcW w:w="1306"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 </w:t>
            </w:r>
          </w:p>
        </w:tc>
        <w:tc>
          <w:tcPr>
            <w:tcW w:w="1306" w:type="dxa"/>
            <w:tcBorders>
              <w:top w:val="nil"/>
              <w:left w:val="nil"/>
              <w:bottom w:val="nil"/>
            </w:tcBorders>
            <w:shd w:val="clear" w:color="auto" w:fill="auto"/>
            <w:vAlign w:val="bottom"/>
            <w:hideMark/>
          </w:tcPr>
          <w:p w:rsidR="00180EA5" w:rsidRPr="00180EA5" w:rsidRDefault="00180EA5" w:rsidP="00175D09">
            <w:pPr>
              <w:spacing w:line="264" w:lineRule="auto"/>
              <w:jc w:val="center"/>
              <w:rPr>
                <w:rFonts w:eastAsia="Times New Roman" w:cs="Arial"/>
                <w:b/>
                <w:bCs/>
                <w:color w:val="000000"/>
                <w:sz w:val="16"/>
                <w:szCs w:val="16"/>
                <w:lang w:eastAsia="es-ES"/>
              </w:rPr>
            </w:pPr>
            <w:r w:rsidRPr="00180EA5">
              <w:rPr>
                <w:rFonts w:eastAsia="Times New Roman" w:cs="Arial"/>
                <w:b/>
                <w:bCs/>
                <w:color w:val="000000"/>
                <w:sz w:val="16"/>
                <w:szCs w:val="16"/>
                <w:lang w:eastAsia="es-ES"/>
              </w:rPr>
              <w:t> </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val="es-ES_tradnl" w:eastAsia="es-ES"/>
              </w:rPr>
              <w:t>70 Ventas Netas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345.011.610</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289.282.983</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15.069.255</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40.659.372</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71 Variación de Existencias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192.735</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-522.876</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91.144</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624.466</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73 Trabajos realizados para Inmovilizado</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67.767</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49.167</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18.600</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0</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74 Subvenciones de Explotación</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9.703.524</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1.956.815</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9.943</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7.736.766</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75 Ingresos Accesorios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1.557.342</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1.335.651</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21.412</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200.279</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76 Ingresos Financieros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494.591</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391.628</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34.436</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68.527</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77 Ingresos Excepcionales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3.797.674</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2.956.237</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72.596</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768.841</w:t>
            </w:r>
          </w:p>
        </w:tc>
      </w:tr>
      <w:tr w:rsidR="00180EA5" w:rsidRPr="00180EA5" w:rsidTr="00D508DF">
        <w:trPr>
          <w:jc w:val="center"/>
        </w:trPr>
        <w:tc>
          <w:tcPr>
            <w:tcW w:w="3411" w:type="dxa"/>
            <w:tcBorders>
              <w:top w:val="nil"/>
              <w:left w:val="nil"/>
              <w:bottom w:val="single" w:sz="8" w:space="0" w:color="BFBFBF"/>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79 Excesos Provisión</w:t>
            </w:r>
          </w:p>
        </w:tc>
        <w:tc>
          <w:tcPr>
            <w:tcW w:w="1305"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1.627.856</w:t>
            </w:r>
          </w:p>
        </w:tc>
        <w:tc>
          <w:tcPr>
            <w:tcW w:w="1306"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1.525.002</w:t>
            </w:r>
          </w:p>
        </w:tc>
        <w:tc>
          <w:tcPr>
            <w:tcW w:w="1306"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96.330</w:t>
            </w:r>
          </w:p>
        </w:tc>
        <w:tc>
          <w:tcPr>
            <w:tcW w:w="1306" w:type="dxa"/>
            <w:tcBorders>
              <w:top w:val="nil"/>
              <w:left w:val="nil"/>
              <w:bottom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6.524</w:t>
            </w:r>
          </w:p>
        </w:tc>
      </w:tr>
      <w:tr w:rsidR="00180EA5" w:rsidRPr="00180EA5" w:rsidTr="00D508DF">
        <w:trPr>
          <w:jc w:val="center"/>
        </w:trPr>
        <w:tc>
          <w:tcPr>
            <w:tcW w:w="3411" w:type="dxa"/>
            <w:tcBorders>
              <w:top w:val="nil"/>
              <w:left w:val="nil"/>
              <w:bottom w:val="single" w:sz="8" w:space="0" w:color="BFBFBF"/>
              <w:right w:val="single" w:sz="8" w:space="0" w:color="BFBFBF"/>
            </w:tcBorders>
            <w:shd w:val="clear" w:color="000000" w:fill="E6E6E6"/>
            <w:vAlign w:val="bottom"/>
            <w:hideMark/>
          </w:tcPr>
          <w:p w:rsidR="00180EA5" w:rsidRPr="00180EA5" w:rsidRDefault="00180EA5" w:rsidP="00175D09">
            <w:pPr>
              <w:spacing w:line="264" w:lineRule="auto"/>
              <w:jc w:val="left"/>
              <w:rPr>
                <w:rFonts w:eastAsia="Times New Roman" w:cs="Arial"/>
                <w:b/>
                <w:bCs/>
                <w:color w:val="000000"/>
                <w:sz w:val="16"/>
                <w:szCs w:val="16"/>
                <w:lang w:eastAsia="es-ES"/>
              </w:rPr>
            </w:pPr>
            <w:r w:rsidRPr="00180EA5">
              <w:rPr>
                <w:rFonts w:eastAsia="Times New Roman" w:cs="Arial"/>
                <w:b/>
                <w:bCs/>
                <w:color w:val="000000"/>
                <w:sz w:val="16"/>
                <w:szCs w:val="16"/>
                <w:lang w:eastAsia="es-ES"/>
              </w:rPr>
              <w:t> </w:t>
            </w:r>
          </w:p>
        </w:tc>
        <w:tc>
          <w:tcPr>
            <w:tcW w:w="1305" w:type="dxa"/>
            <w:tcBorders>
              <w:top w:val="nil"/>
              <w:left w:val="nil"/>
              <w:bottom w:val="single" w:sz="8" w:space="0" w:color="BFBFBF"/>
              <w:right w:val="single" w:sz="8" w:space="0" w:color="BFBFBF"/>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362.453.099</w:t>
            </w:r>
          </w:p>
        </w:tc>
        <w:tc>
          <w:tcPr>
            <w:tcW w:w="1306" w:type="dxa"/>
            <w:tcBorders>
              <w:top w:val="nil"/>
              <w:left w:val="nil"/>
              <w:bottom w:val="single" w:sz="8" w:space="0" w:color="BFBFBF"/>
              <w:right w:val="single" w:sz="8" w:space="0" w:color="BFBFBF"/>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0</w:t>
            </w:r>
          </w:p>
        </w:tc>
        <w:tc>
          <w:tcPr>
            <w:tcW w:w="1306" w:type="dxa"/>
            <w:tcBorders>
              <w:top w:val="nil"/>
              <w:left w:val="nil"/>
              <w:bottom w:val="single" w:sz="8" w:space="0" w:color="BFBFBF"/>
              <w:right w:val="single" w:sz="8" w:space="0" w:color="BFBFBF"/>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296.974.609</w:t>
            </w:r>
          </w:p>
        </w:tc>
        <w:tc>
          <w:tcPr>
            <w:tcW w:w="1306" w:type="dxa"/>
            <w:tcBorders>
              <w:top w:val="nil"/>
              <w:left w:val="nil"/>
              <w:bottom w:val="single" w:sz="8" w:space="0" w:color="BFBFBF"/>
              <w:right w:val="single" w:sz="8" w:space="0" w:color="BFBFBF"/>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15.413.716</w:t>
            </w:r>
          </w:p>
        </w:tc>
        <w:tc>
          <w:tcPr>
            <w:tcW w:w="1306" w:type="dxa"/>
            <w:tcBorders>
              <w:top w:val="nil"/>
              <w:left w:val="nil"/>
              <w:bottom w:val="single" w:sz="8" w:space="0" w:color="BFBFBF"/>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50.064.774</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b/>
                <w:bCs/>
                <w:color w:val="000000"/>
                <w:sz w:val="16"/>
                <w:szCs w:val="16"/>
                <w:lang w:eastAsia="es-ES"/>
              </w:rPr>
            </w:pPr>
            <w:r w:rsidRPr="00180EA5">
              <w:rPr>
                <w:rFonts w:eastAsia="Times New Roman" w:cs="Arial"/>
                <w:b/>
                <w:bCs/>
                <w:color w:val="000000"/>
                <w:sz w:val="16"/>
                <w:szCs w:val="16"/>
                <w:lang w:val="es-ES_tradnl" w:eastAsia="es-ES"/>
              </w:rPr>
              <w:t>GASTOS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val="es-ES_tradnl" w:eastAsia="es-ES"/>
              </w:rPr>
              <w:t>60 Compras Netas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168.025.534</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145.680.275</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6.644.398</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15.700.861</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61 Variación Existencias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-3.261.844</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-2.942.701</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39.087</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-358.230</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62 Servicios Exteriores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48.423.573</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38.666.447</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1.400.928</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8.356.199</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63 Impuestos Ligados a la Actividad</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3.127.309</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2.529.132</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119.659</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478.519</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64 Gastos de Personal</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116.131.880</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87.873.486</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6.486.864</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21.771.530</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65 Gastos de Gestión</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3.274.534</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3.182.976</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65.353</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26.205</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66 Gastos Financieros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3.017.975</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2.579.750</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98.355</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339.870</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67 Gastos Excepcionales</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302.487</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251.175</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7.189</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44.124</w:t>
            </w:r>
          </w:p>
        </w:tc>
      </w:tr>
      <w:tr w:rsidR="00180EA5" w:rsidRPr="00180EA5" w:rsidTr="00D508DF">
        <w:trPr>
          <w:jc w:val="center"/>
        </w:trPr>
        <w:tc>
          <w:tcPr>
            <w:tcW w:w="3411" w:type="dxa"/>
            <w:tcBorders>
              <w:top w:val="nil"/>
              <w:left w:val="nil"/>
              <w:bottom w:val="nil"/>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68 Dotación del Ejercicio para Amortización</w:t>
            </w:r>
          </w:p>
        </w:tc>
        <w:tc>
          <w:tcPr>
            <w:tcW w:w="1305"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12.229.640</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10.890.967</w:t>
            </w:r>
          </w:p>
        </w:tc>
        <w:tc>
          <w:tcPr>
            <w:tcW w:w="1306" w:type="dxa"/>
            <w:tcBorders>
              <w:top w:val="nil"/>
              <w:left w:val="nil"/>
              <w:bottom w:val="nil"/>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111.817</w:t>
            </w:r>
          </w:p>
        </w:tc>
        <w:tc>
          <w:tcPr>
            <w:tcW w:w="1306" w:type="dxa"/>
            <w:tcBorders>
              <w:top w:val="nil"/>
              <w:left w:val="nil"/>
              <w:bottom w:val="nil"/>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1.226.857</w:t>
            </w:r>
          </w:p>
        </w:tc>
      </w:tr>
      <w:tr w:rsidR="00180EA5" w:rsidRPr="00180EA5" w:rsidTr="00D508DF">
        <w:trPr>
          <w:jc w:val="center"/>
        </w:trPr>
        <w:tc>
          <w:tcPr>
            <w:tcW w:w="3411" w:type="dxa"/>
            <w:tcBorders>
              <w:top w:val="nil"/>
              <w:left w:val="nil"/>
              <w:bottom w:val="single" w:sz="8" w:space="0" w:color="BFBFBF"/>
              <w:right w:val="single" w:sz="8" w:space="0" w:color="BFBFBF"/>
            </w:tcBorders>
            <w:shd w:val="clear" w:color="auto" w:fill="auto"/>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69 Dotaciones Provisión</w:t>
            </w:r>
          </w:p>
        </w:tc>
        <w:tc>
          <w:tcPr>
            <w:tcW w:w="1305"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1.057.580</w:t>
            </w:r>
          </w:p>
        </w:tc>
        <w:tc>
          <w:tcPr>
            <w:tcW w:w="1306"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6"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1.017.423</w:t>
            </w:r>
          </w:p>
        </w:tc>
        <w:tc>
          <w:tcPr>
            <w:tcW w:w="1306" w:type="dxa"/>
            <w:tcBorders>
              <w:top w:val="nil"/>
              <w:left w:val="nil"/>
              <w:bottom w:val="single" w:sz="8" w:space="0" w:color="BFBFBF"/>
              <w:right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26.311</w:t>
            </w:r>
          </w:p>
        </w:tc>
        <w:tc>
          <w:tcPr>
            <w:tcW w:w="1306" w:type="dxa"/>
            <w:tcBorders>
              <w:top w:val="nil"/>
              <w:left w:val="nil"/>
              <w:bottom w:val="single" w:sz="8" w:space="0" w:color="BFBFBF"/>
            </w:tcBorders>
            <w:shd w:val="clear" w:color="auto" w:fill="auto"/>
            <w:noWrap/>
            <w:vAlign w:val="bottom"/>
            <w:hideMark/>
          </w:tcPr>
          <w:p w:rsidR="00180EA5" w:rsidRPr="00180EA5" w:rsidRDefault="00180EA5" w:rsidP="00175D09">
            <w:pPr>
              <w:spacing w:line="264" w:lineRule="auto"/>
              <w:jc w:val="right"/>
              <w:rPr>
                <w:rFonts w:eastAsia="Times New Roman" w:cs="Arial"/>
                <w:color w:val="000000"/>
                <w:sz w:val="16"/>
                <w:szCs w:val="16"/>
                <w:lang w:eastAsia="es-ES"/>
              </w:rPr>
            </w:pPr>
            <w:r w:rsidRPr="00180EA5">
              <w:rPr>
                <w:rFonts w:eastAsia="Times New Roman" w:cs="Arial"/>
                <w:color w:val="000000"/>
                <w:sz w:val="16"/>
                <w:szCs w:val="16"/>
                <w:lang w:eastAsia="es-ES"/>
              </w:rPr>
              <w:t>13.846</w:t>
            </w:r>
          </w:p>
        </w:tc>
      </w:tr>
      <w:tr w:rsidR="00180EA5" w:rsidRPr="00180EA5" w:rsidTr="00D508DF">
        <w:trPr>
          <w:jc w:val="center"/>
        </w:trPr>
        <w:tc>
          <w:tcPr>
            <w:tcW w:w="3411" w:type="dxa"/>
            <w:tcBorders>
              <w:top w:val="nil"/>
              <w:left w:val="nil"/>
              <w:bottom w:val="single" w:sz="8" w:space="0" w:color="BFBFBF"/>
              <w:right w:val="single" w:sz="8" w:space="0" w:color="BFBFBF"/>
            </w:tcBorders>
            <w:shd w:val="clear" w:color="000000" w:fill="E6E6E6"/>
            <w:vAlign w:val="bottom"/>
            <w:hideMark/>
          </w:tcPr>
          <w:p w:rsidR="00180EA5" w:rsidRPr="00180EA5" w:rsidRDefault="00180EA5" w:rsidP="00175D09">
            <w:pPr>
              <w:spacing w:line="264" w:lineRule="auto"/>
              <w:jc w:val="left"/>
              <w:rPr>
                <w:rFonts w:eastAsia="Times New Roman" w:cs="Arial"/>
                <w:color w:val="000000"/>
                <w:sz w:val="16"/>
                <w:szCs w:val="16"/>
                <w:lang w:eastAsia="es-ES"/>
              </w:rPr>
            </w:pPr>
            <w:r w:rsidRPr="00180EA5">
              <w:rPr>
                <w:rFonts w:eastAsia="Times New Roman" w:cs="Arial"/>
                <w:color w:val="000000"/>
                <w:sz w:val="16"/>
                <w:szCs w:val="16"/>
                <w:lang w:eastAsia="es-ES"/>
              </w:rPr>
              <w:t> </w:t>
            </w:r>
          </w:p>
        </w:tc>
        <w:tc>
          <w:tcPr>
            <w:tcW w:w="1305" w:type="dxa"/>
            <w:tcBorders>
              <w:top w:val="nil"/>
              <w:left w:val="nil"/>
              <w:bottom w:val="single" w:sz="8" w:space="0" w:color="BFBFBF"/>
              <w:right w:val="nil"/>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352.328.668</w:t>
            </w:r>
          </w:p>
        </w:tc>
        <w:tc>
          <w:tcPr>
            <w:tcW w:w="1306" w:type="dxa"/>
            <w:tcBorders>
              <w:top w:val="nil"/>
              <w:left w:val="nil"/>
              <w:bottom w:val="single" w:sz="8" w:space="0" w:color="BFBFBF"/>
              <w:right w:val="nil"/>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0</w:t>
            </w:r>
          </w:p>
        </w:tc>
        <w:tc>
          <w:tcPr>
            <w:tcW w:w="1306" w:type="dxa"/>
            <w:tcBorders>
              <w:top w:val="nil"/>
              <w:left w:val="nil"/>
              <w:bottom w:val="single" w:sz="8" w:space="0" w:color="BFBFBF"/>
              <w:right w:val="nil"/>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289.728.930</w:t>
            </w:r>
          </w:p>
        </w:tc>
        <w:tc>
          <w:tcPr>
            <w:tcW w:w="1306" w:type="dxa"/>
            <w:tcBorders>
              <w:top w:val="nil"/>
              <w:left w:val="nil"/>
              <w:bottom w:val="single" w:sz="8" w:space="0" w:color="BFBFBF"/>
              <w:right w:val="nil"/>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14.999.961</w:t>
            </w:r>
          </w:p>
        </w:tc>
        <w:tc>
          <w:tcPr>
            <w:tcW w:w="1306" w:type="dxa"/>
            <w:tcBorders>
              <w:top w:val="nil"/>
              <w:left w:val="nil"/>
              <w:bottom w:val="single" w:sz="8" w:space="0" w:color="BFBFBF"/>
            </w:tcBorders>
            <w:shd w:val="clear" w:color="000000" w:fill="E6E6E6"/>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47.599.781</w:t>
            </w:r>
          </w:p>
        </w:tc>
      </w:tr>
      <w:tr w:rsidR="00180EA5" w:rsidRPr="00180EA5" w:rsidTr="00D508DF">
        <w:trPr>
          <w:jc w:val="center"/>
        </w:trPr>
        <w:tc>
          <w:tcPr>
            <w:tcW w:w="3411"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rPr>
                <w:rFonts w:eastAsia="Times New Roman" w:cs="Arial"/>
                <w:b/>
                <w:bCs/>
                <w:color w:val="000000"/>
                <w:sz w:val="16"/>
                <w:szCs w:val="16"/>
                <w:lang w:eastAsia="es-ES"/>
              </w:rPr>
            </w:pPr>
            <w:r w:rsidRPr="00180EA5">
              <w:rPr>
                <w:rFonts w:eastAsia="Times New Roman" w:cs="Arial"/>
                <w:b/>
                <w:bCs/>
                <w:color w:val="000000"/>
                <w:sz w:val="16"/>
                <w:szCs w:val="16"/>
                <w:lang w:val="es-ES_tradnl" w:eastAsia="es-ES"/>
              </w:rPr>
              <w:t>BENEFICIO (+) o PÉRDIDA (-)</w:t>
            </w:r>
          </w:p>
        </w:tc>
        <w:tc>
          <w:tcPr>
            <w:tcW w:w="1305"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10.124.431</w:t>
            </w:r>
          </w:p>
        </w:tc>
        <w:tc>
          <w:tcPr>
            <w:tcW w:w="1306"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0</w:t>
            </w:r>
          </w:p>
        </w:tc>
        <w:tc>
          <w:tcPr>
            <w:tcW w:w="1306"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7.245.679</w:t>
            </w:r>
          </w:p>
        </w:tc>
        <w:tc>
          <w:tcPr>
            <w:tcW w:w="1306"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413.755</w:t>
            </w:r>
          </w:p>
        </w:tc>
        <w:tc>
          <w:tcPr>
            <w:tcW w:w="1306" w:type="dxa"/>
            <w:tcBorders>
              <w:top w:val="nil"/>
              <w:left w:val="nil"/>
              <w:bottom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2.464.993</w:t>
            </w:r>
          </w:p>
        </w:tc>
      </w:tr>
      <w:tr w:rsidR="00180EA5" w:rsidRPr="00180EA5" w:rsidTr="00D508DF">
        <w:trPr>
          <w:jc w:val="center"/>
        </w:trPr>
        <w:tc>
          <w:tcPr>
            <w:tcW w:w="3411" w:type="dxa"/>
            <w:tcBorders>
              <w:top w:val="nil"/>
              <w:left w:val="nil"/>
              <w:bottom w:val="single" w:sz="8" w:space="0" w:color="BFBFBF"/>
              <w:right w:val="single" w:sz="8" w:space="0" w:color="BFBFBF"/>
            </w:tcBorders>
            <w:shd w:val="clear" w:color="auto" w:fill="auto"/>
            <w:vAlign w:val="bottom"/>
            <w:hideMark/>
          </w:tcPr>
          <w:p w:rsidR="00180EA5" w:rsidRPr="00180EA5" w:rsidRDefault="00180EA5" w:rsidP="00175D09">
            <w:pPr>
              <w:spacing w:line="264" w:lineRule="auto"/>
              <w:rPr>
                <w:rFonts w:eastAsia="Times New Roman" w:cs="Arial"/>
                <w:b/>
                <w:bCs/>
                <w:color w:val="000000"/>
                <w:sz w:val="10"/>
                <w:szCs w:val="10"/>
                <w:lang w:eastAsia="es-ES"/>
              </w:rPr>
            </w:pPr>
            <w:r w:rsidRPr="00180EA5">
              <w:rPr>
                <w:rFonts w:eastAsia="Times New Roman" w:cs="Arial"/>
                <w:b/>
                <w:bCs/>
                <w:color w:val="000000"/>
                <w:sz w:val="10"/>
                <w:szCs w:val="10"/>
                <w:lang w:eastAsia="es-ES"/>
              </w:rPr>
              <w:t> </w:t>
            </w:r>
          </w:p>
        </w:tc>
        <w:tc>
          <w:tcPr>
            <w:tcW w:w="1305" w:type="dxa"/>
            <w:tcBorders>
              <w:top w:val="nil"/>
              <w:left w:val="nil"/>
              <w:bottom w:val="single" w:sz="8" w:space="0" w:color="BFBFBF"/>
              <w:right w:val="single" w:sz="8" w:space="0" w:color="BFBFBF"/>
            </w:tcBorders>
            <w:shd w:val="clear" w:color="auto" w:fill="auto"/>
            <w:vAlign w:val="bottom"/>
            <w:hideMark/>
          </w:tcPr>
          <w:p w:rsidR="00180EA5" w:rsidRPr="00180EA5" w:rsidRDefault="00180EA5" w:rsidP="00175D09">
            <w:pPr>
              <w:spacing w:line="264" w:lineRule="auto"/>
              <w:jc w:val="right"/>
              <w:rPr>
                <w:rFonts w:eastAsia="Times New Roman" w:cs="Arial"/>
                <w:b/>
                <w:bCs/>
                <w:color w:val="000000"/>
                <w:sz w:val="10"/>
                <w:szCs w:val="10"/>
                <w:lang w:eastAsia="es-ES"/>
              </w:rPr>
            </w:pPr>
            <w:r w:rsidRPr="00180EA5">
              <w:rPr>
                <w:rFonts w:eastAsia="Times New Roman" w:cs="Arial"/>
                <w:b/>
                <w:bCs/>
                <w:color w:val="000000"/>
                <w:sz w:val="10"/>
                <w:szCs w:val="10"/>
                <w:lang w:eastAsia="es-ES"/>
              </w:rPr>
              <w:t> </w:t>
            </w:r>
          </w:p>
        </w:tc>
        <w:tc>
          <w:tcPr>
            <w:tcW w:w="1306" w:type="dxa"/>
            <w:tcBorders>
              <w:top w:val="nil"/>
              <w:left w:val="nil"/>
              <w:bottom w:val="single" w:sz="8" w:space="0" w:color="BFBFBF"/>
              <w:right w:val="single" w:sz="8" w:space="0" w:color="BFBFBF"/>
            </w:tcBorders>
            <w:shd w:val="clear" w:color="auto" w:fill="auto"/>
            <w:vAlign w:val="bottom"/>
            <w:hideMark/>
          </w:tcPr>
          <w:p w:rsidR="00180EA5" w:rsidRPr="00180EA5" w:rsidRDefault="00180EA5" w:rsidP="00175D09">
            <w:pPr>
              <w:spacing w:line="264" w:lineRule="auto"/>
              <w:jc w:val="right"/>
              <w:rPr>
                <w:rFonts w:eastAsia="Times New Roman" w:cs="Arial"/>
                <w:b/>
                <w:bCs/>
                <w:color w:val="000000"/>
                <w:sz w:val="10"/>
                <w:szCs w:val="10"/>
                <w:lang w:eastAsia="es-ES"/>
              </w:rPr>
            </w:pPr>
            <w:r w:rsidRPr="00180EA5">
              <w:rPr>
                <w:rFonts w:eastAsia="Times New Roman" w:cs="Arial"/>
                <w:b/>
                <w:bCs/>
                <w:color w:val="000000"/>
                <w:sz w:val="10"/>
                <w:szCs w:val="10"/>
                <w:lang w:eastAsia="es-ES"/>
              </w:rPr>
              <w:t> </w:t>
            </w:r>
          </w:p>
        </w:tc>
        <w:tc>
          <w:tcPr>
            <w:tcW w:w="1306" w:type="dxa"/>
            <w:tcBorders>
              <w:top w:val="nil"/>
              <w:left w:val="nil"/>
              <w:bottom w:val="single" w:sz="8" w:space="0" w:color="BFBFBF"/>
              <w:right w:val="single" w:sz="8" w:space="0" w:color="BFBFBF"/>
            </w:tcBorders>
            <w:shd w:val="clear" w:color="auto" w:fill="auto"/>
            <w:vAlign w:val="bottom"/>
            <w:hideMark/>
          </w:tcPr>
          <w:p w:rsidR="00180EA5" w:rsidRPr="00180EA5" w:rsidRDefault="00180EA5" w:rsidP="00175D09">
            <w:pPr>
              <w:spacing w:line="264" w:lineRule="auto"/>
              <w:jc w:val="right"/>
              <w:rPr>
                <w:rFonts w:eastAsia="Times New Roman" w:cs="Arial"/>
                <w:b/>
                <w:bCs/>
                <w:color w:val="000000"/>
                <w:sz w:val="10"/>
                <w:szCs w:val="10"/>
                <w:lang w:eastAsia="es-ES"/>
              </w:rPr>
            </w:pPr>
            <w:r w:rsidRPr="00180EA5">
              <w:rPr>
                <w:rFonts w:eastAsia="Times New Roman" w:cs="Arial"/>
                <w:b/>
                <w:bCs/>
                <w:color w:val="000000"/>
                <w:sz w:val="10"/>
                <w:szCs w:val="10"/>
                <w:lang w:eastAsia="es-ES"/>
              </w:rPr>
              <w:t> </w:t>
            </w:r>
          </w:p>
        </w:tc>
        <w:tc>
          <w:tcPr>
            <w:tcW w:w="1306" w:type="dxa"/>
            <w:tcBorders>
              <w:top w:val="nil"/>
              <w:left w:val="nil"/>
              <w:bottom w:val="single" w:sz="8" w:space="0" w:color="BFBFBF"/>
              <w:right w:val="single" w:sz="8" w:space="0" w:color="BFBFBF"/>
            </w:tcBorders>
            <w:shd w:val="clear" w:color="auto" w:fill="auto"/>
            <w:vAlign w:val="bottom"/>
            <w:hideMark/>
          </w:tcPr>
          <w:p w:rsidR="00180EA5" w:rsidRPr="00180EA5" w:rsidRDefault="00180EA5" w:rsidP="00175D09">
            <w:pPr>
              <w:spacing w:line="264" w:lineRule="auto"/>
              <w:jc w:val="right"/>
              <w:rPr>
                <w:rFonts w:eastAsia="Times New Roman" w:cs="Arial"/>
                <w:b/>
                <w:bCs/>
                <w:color w:val="000000"/>
                <w:sz w:val="10"/>
                <w:szCs w:val="10"/>
                <w:lang w:eastAsia="es-ES"/>
              </w:rPr>
            </w:pPr>
            <w:r w:rsidRPr="00180EA5">
              <w:rPr>
                <w:rFonts w:eastAsia="Times New Roman" w:cs="Arial"/>
                <w:b/>
                <w:bCs/>
                <w:color w:val="000000"/>
                <w:sz w:val="10"/>
                <w:szCs w:val="10"/>
                <w:lang w:eastAsia="es-ES"/>
              </w:rPr>
              <w:t> </w:t>
            </w:r>
          </w:p>
        </w:tc>
        <w:tc>
          <w:tcPr>
            <w:tcW w:w="1306" w:type="dxa"/>
            <w:tcBorders>
              <w:top w:val="nil"/>
              <w:left w:val="nil"/>
              <w:bottom w:val="single" w:sz="8" w:space="0" w:color="BFBFBF"/>
            </w:tcBorders>
            <w:shd w:val="clear" w:color="auto" w:fill="auto"/>
            <w:vAlign w:val="bottom"/>
            <w:hideMark/>
          </w:tcPr>
          <w:p w:rsidR="00180EA5" w:rsidRPr="00180EA5" w:rsidRDefault="00180EA5" w:rsidP="00175D09">
            <w:pPr>
              <w:spacing w:line="264" w:lineRule="auto"/>
              <w:jc w:val="right"/>
              <w:rPr>
                <w:rFonts w:eastAsia="Times New Roman" w:cs="Arial"/>
                <w:b/>
                <w:bCs/>
                <w:color w:val="000000"/>
                <w:sz w:val="10"/>
                <w:szCs w:val="10"/>
                <w:lang w:eastAsia="es-ES"/>
              </w:rPr>
            </w:pPr>
            <w:r w:rsidRPr="00180EA5">
              <w:rPr>
                <w:rFonts w:eastAsia="Times New Roman" w:cs="Arial"/>
                <w:b/>
                <w:bCs/>
                <w:color w:val="000000"/>
                <w:sz w:val="10"/>
                <w:szCs w:val="10"/>
                <w:lang w:eastAsia="es-ES"/>
              </w:rPr>
              <w:t> </w:t>
            </w:r>
          </w:p>
        </w:tc>
      </w:tr>
      <w:tr w:rsidR="00180EA5" w:rsidRPr="00180EA5" w:rsidTr="00D508DF">
        <w:trPr>
          <w:jc w:val="center"/>
        </w:trPr>
        <w:tc>
          <w:tcPr>
            <w:tcW w:w="3411"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rPr>
                <w:rFonts w:eastAsia="Times New Roman" w:cs="Arial"/>
                <w:b/>
                <w:bCs/>
                <w:color w:val="000000"/>
                <w:sz w:val="16"/>
                <w:szCs w:val="16"/>
                <w:lang w:eastAsia="es-ES"/>
              </w:rPr>
            </w:pPr>
            <w:r w:rsidRPr="00180EA5">
              <w:rPr>
                <w:rFonts w:eastAsia="Times New Roman" w:cs="Arial"/>
                <w:b/>
                <w:bCs/>
                <w:color w:val="000000"/>
                <w:sz w:val="16"/>
                <w:szCs w:val="16"/>
                <w:lang w:val="en-GB" w:eastAsia="es-ES"/>
              </w:rPr>
              <w:t>CASH FLOW</w:t>
            </w:r>
          </w:p>
        </w:tc>
        <w:tc>
          <w:tcPr>
            <w:tcW w:w="1305"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23.411.650</w:t>
            </w:r>
          </w:p>
        </w:tc>
        <w:tc>
          <w:tcPr>
            <w:tcW w:w="1306"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0</w:t>
            </w:r>
          </w:p>
        </w:tc>
        <w:tc>
          <w:tcPr>
            <w:tcW w:w="1306"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19.154.069</w:t>
            </w:r>
          </w:p>
        </w:tc>
        <w:tc>
          <w:tcPr>
            <w:tcW w:w="1306" w:type="dxa"/>
            <w:tcBorders>
              <w:top w:val="nil"/>
              <w:left w:val="nil"/>
              <w:bottom w:val="single" w:sz="8" w:space="0" w:color="BFBFBF"/>
              <w:right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551.883</w:t>
            </w:r>
          </w:p>
        </w:tc>
        <w:tc>
          <w:tcPr>
            <w:tcW w:w="1306" w:type="dxa"/>
            <w:tcBorders>
              <w:top w:val="nil"/>
              <w:left w:val="nil"/>
              <w:bottom w:val="single" w:sz="8" w:space="0" w:color="BFBFBF"/>
            </w:tcBorders>
            <w:shd w:val="clear" w:color="000000" w:fill="DDEEFF"/>
            <w:vAlign w:val="bottom"/>
            <w:hideMark/>
          </w:tcPr>
          <w:p w:rsidR="00180EA5" w:rsidRPr="00180EA5" w:rsidRDefault="00180EA5" w:rsidP="00175D09">
            <w:pPr>
              <w:spacing w:line="264" w:lineRule="auto"/>
              <w:jc w:val="right"/>
              <w:rPr>
                <w:rFonts w:eastAsia="Times New Roman" w:cs="Arial"/>
                <w:b/>
                <w:bCs/>
                <w:color w:val="000000"/>
                <w:sz w:val="16"/>
                <w:szCs w:val="16"/>
                <w:lang w:eastAsia="es-ES"/>
              </w:rPr>
            </w:pPr>
            <w:r w:rsidRPr="00180EA5">
              <w:rPr>
                <w:rFonts w:eastAsia="Times New Roman" w:cs="Arial"/>
                <w:b/>
                <w:bCs/>
                <w:color w:val="000000"/>
                <w:sz w:val="16"/>
                <w:szCs w:val="16"/>
                <w:lang w:eastAsia="es-ES"/>
              </w:rPr>
              <w:t>3.705.697</w:t>
            </w:r>
          </w:p>
        </w:tc>
      </w:tr>
    </w:tbl>
    <w:p w:rsidR="00180EA5" w:rsidRDefault="00180EA5" w:rsidP="00BB313D">
      <w:pPr>
        <w:widowControl w:val="0"/>
        <w:spacing w:line="240" w:lineRule="auto"/>
        <w:jc w:val="center"/>
        <w:rPr>
          <w:rFonts w:cs="Arial"/>
          <w:b/>
          <w:color w:val="1F497D" w:themeColor="text2"/>
          <w:sz w:val="18"/>
          <w:szCs w:val="18"/>
        </w:rPr>
      </w:pPr>
    </w:p>
    <w:p w:rsidR="00C86565" w:rsidRDefault="00C86565" w:rsidP="00BB313D">
      <w:pPr>
        <w:widowControl w:val="0"/>
        <w:rPr>
          <w:rFonts w:eastAsia="Times New Roman"/>
          <w:snapToGrid w:val="0"/>
          <w:lang w:val="es-ES_tradnl" w:eastAsia="es-ES"/>
        </w:rPr>
      </w:pPr>
      <w:r>
        <w:br w:type="page"/>
      </w:r>
    </w:p>
    <w:p w:rsidR="00665097" w:rsidRPr="009C3D74" w:rsidRDefault="00DE1512" w:rsidP="00BB313D">
      <w:pPr>
        <w:widowControl w:val="0"/>
        <w:spacing w:line="240" w:lineRule="auto"/>
        <w:jc w:val="center"/>
        <w:rPr>
          <w:rFonts w:cs="Arial"/>
          <w:b/>
          <w:color w:val="1F497D" w:themeColor="text2"/>
          <w:sz w:val="18"/>
          <w:szCs w:val="18"/>
        </w:rPr>
      </w:pPr>
      <w:bookmarkStart w:id="255" w:name="_Toc391999644"/>
      <w:bookmarkStart w:id="256" w:name="_Toc450119527"/>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9C3D74">
        <w:rPr>
          <w:rFonts w:cs="Arial"/>
          <w:b/>
          <w:color w:val="1F497D" w:themeColor="text2"/>
          <w:sz w:val="18"/>
          <w:szCs w:val="18"/>
        </w:rPr>
        <w:t xml:space="preserve">CUENTA DE RESULTADOS DE </w:t>
      </w:r>
      <w:proofErr w:type="spellStart"/>
      <w:r w:rsidR="00665097" w:rsidRPr="009C3D74">
        <w:rPr>
          <w:rFonts w:cs="Arial"/>
          <w:b/>
          <w:color w:val="1F497D" w:themeColor="text2"/>
          <w:sz w:val="18"/>
          <w:szCs w:val="18"/>
        </w:rPr>
        <w:t>S.L.Les</w:t>
      </w:r>
      <w:proofErr w:type="spellEnd"/>
      <w:r w:rsidR="00665097" w:rsidRPr="009C3D74">
        <w:rPr>
          <w:rFonts w:cs="Arial"/>
          <w:b/>
          <w:color w:val="1F497D" w:themeColor="text2"/>
          <w:sz w:val="18"/>
          <w:szCs w:val="18"/>
        </w:rPr>
        <w:t xml:space="preserve"> S</w:t>
      </w:r>
      <w:r w:rsidR="00544BBE">
        <w:rPr>
          <w:rFonts w:cs="Arial"/>
          <w:b/>
          <w:color w:val="1F497D" w:themeColor="text2"/>
          <w:sz w:val="18"/>
          <w:szCs w:val="18"/>
        </w:rPr>
        <w:t>EGÚN SECTOR DE ACTIVIDAD EN 2014</w:t>
      </w:r>
      <w:r w:rsidR="00C86565">
        <w:rPr>
          <w:rFonts w:cs="Arial"/>
          <w:b/>
          <w:color w:val="1F497D" w:themeColor="text2"/>
          <w:sz w:val="18"/>
          <w:szCs w:val="18"/>
        </w:rPr>
        <w:t xml:space="preserve"> </w:t>
      </w:r>
      <w:r w:rsidR="00665097" w:rsidRPr="009C3D74">
        <w:rPr>
          <w:rFonts w:cs="Arial"/>
          <w:b/>
          <w:color w:val="1F497D" w:themeColor="text2"/>
          <w:sz w:val="18"/>
          <w:szCs w:val="18"/>
        </w:rPr>
        <w:t>(</w:t>
      </w:r>
      <w:r w:rsidR="00590809">
        <w:rPr>
          <w:rFonts w:cs="Arial"/>
          <w:b/>
          <w:color w:val="1F497D" w:themeColor="text2"/>
          <w:sz w:val="18"/>
          <w:szCs w:val="18"/>
        </w:rPr>
        <w:t>cifras absolutas en Euros</w:t>
      </w:r>
      <w:r w:rsidR="00665097" w:rsidRPr="009C3D74">
        <w:rPr>
          <w:rFonts w:cs="Arial"/>
          <w:b/>
          <w:color w:val="1F497D" w:themeColor="text2"/>
          <w:sz w:val="18"/>
          <w:szCs w:val="18"/>
        </w:rPr>
        <w:t>) (Precios corrientes)</w:t>
      </w:r>
      <w:bookmarkEnd w:id="255"/>
      <w:bookmarkEnd w:id="256"/>
    </w:p>
    <w:tbl>
      <w:tblPr>
        <w:tblW w:w="9940" w:type="dxa"/>
        <w:jc w:val="center"/>
        <w:tblLayout w:type="fixed"/>
        <w:tblCellMar>
          <w:left w:w="70" w:type="dxa"/>
          <w:right w:w="70" w:type="dxa"/>
        </w:tblCellMar>
        <w:tblLook w:val="04A0" w:firstRow="1" w:lastRow="0" w:firstColumn="1" w:lastColumn="0" w:noHBand="0" w:noVBand="1"/>
      </w:tblPr>
      <w:tblGrid>
        <w:gridCol w:w="3270"/>
        <w:gridCol w:w="1334"/>
        <w:gridCol w:w="1334"/>
        <w:gridCol w:w="1334"/>
        <w:gridCol w:w="1334"/>
        <w:gridCol w:w="1334"/>
      </w:tblGrid>
      <w:tr w:rsidR="000E0626" w:rsidRPr="000E0626" w:rsidTr="00D508D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0E0626" w:rsidRPr="000E0626" w:rsidRDefault="000E0626" w:rsidP="00175D09">
            <w:pPr>
              <w:spacing w:line="264" w:lineRule="auto"/>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0E0626" w:rsidRPr="000E0626" w:rsidRDefault="000E0626" w:rsidP="00175D09">
            <w:pPr>
              <w:spacing w:line="264" w:lineRule="auto"/>
              <w:jc w:val="center"/>
              <w:rPr>
                <w:rFonts w:eastAsia="Times New Roman" w:cs="Arial"/>
                <w:b/>
                <w:bCs/>
                <w:color w:val="000000"/>
                <w:sz w:val="16"/>
                <w:szCs w:val="16"/>
                <w:lang w:eastAsia="es-ES"/>
              </w:rPr>
            </w:pPr>
            <w:r w:rsidRPr="000E0626">
              <w:rPr>
                <w:rFonts w:eastAsia="Times New Roman" w:cs="Arial"/>
                <w:b/>
                <w:bCs/>
                <w:color w:val="000000"/>
                <w:sz w:val="16"/>
                <w:szCs w:val="16"/>
                <w:lang w:eastAsia="es-ES"/>
              </w:rPr>
              <w:t>TOTAL</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0E0626" w:rsidRPr="000E0626" w:rsidRDefault="000E0626" w:rsidP="00175D09">
            <w:pPr>
              <w:spacing w:line="264" w:lineRule="auto"/>
              <w:jc w:val="center"/>
              <w:rPr>
                <w:rFonts w:eastAsia="Times New Roman" w:cs="Arial"/>
                <w:b/>
                <w:bCs/>
                <w:color w:val="000000"/>
                <w:sz w:val="16"/>
                <w:szCs w:val="16"/>
                <w:lang w:eastAsia="es-ES"/>
              </w:rPr>
            </w:pPr>
            <w:r w:rsidRPr="000E0626">
              <w:rPr>
                <w:rFonts w:eastAsia="Times New Roman" w:cs="Arial"/>
                <w:b/>
                <w:bCs/>
                <w:color w:val="000000"/>
                <w:sz w:val="16"/>
                <w:szCs w:val="16"/>
                <w:lang w:eastAsia="es-ES"/>
              </w:rPr>
              <w:t>Primario</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0E0626" w:rsidRPr="000E0626" w:rsidRDefault="000E0626" w:rsidP="00175D09">
            <w:pPr>
              <w:spacing w:line="264" w:lineRule="auto"/>
              <w:jc w:val="center"/>
              <w:rPr>
                <w:rFonts w:eastAsia="Times New Roman" w:cs="Arial"/>
                <w:b/>
                <w:bCs/>
                <w:color w:val="000000"/>
                <w:sz w:val="16"/>
                <w:szCs w:val="16"/>
                <w:lang w:eastAsia="es-ES"/>
              </w:rPr>
            </w:pPr>
            <w:r w:rsidRPr="000E0626">
              <w:rPr>
                <w:rFonts w:eastAsia="Times New Roman" w:cs="Arial"/>
                <w:b/>
                <w:bCs/>
                <w:color w:val="000000"/>
                <w:sz w:val="16"/>
                <w:szCs w:val="16"/>
                <w:lang w:eastAsia="es-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0E0626" w:rsidRPr="000E0626" w:rsidRDefault="000E0626" w:rsidP="00175D09">
            <w:pPr>
              <w:spacing w:line="264" w:lineRule="auto"/>
              <w:jc w:val="center"/>
              <w:rPr>
                <w:rFonts w:eastAsia="Times New Roman" w:cs="Arial"/>
                <w:b/>
                <w:bCs/>
                <w:color w:val="000000"/>
                <w:sz w:val="16"/>
                <w:szCs w:val="16"/>
                <w:lang w:eastAsia="es-ES"/>
              </w:rPr>
            </w:pPr>
            <w:r w:rsidRPr="000E0626">
              <w:rPr>
                <w:rFonts w:eastAsia="Times New Roman" w:cs="Arial"/>
                <w:b/>
                <w:bCs/>
                <w:color w:val="000000"/>
                <w:sz w:val="16"/>
                <w:szCs w:val="16"/>
                <w:lang w:eastAsia="es-ES"/>
              </w:rPr>
              <w:t>Construcción</w:t>
            </w:r>
          </w:p>
        </w:tc>
        <w:tc>
          <w:tcPr>
            <w:tcW w:w="1334" w:type="dxa"/>
            <w:tcBorders>
              <w:top w:val="single" w:sz="8" w:space="0" w:color="BFBFBF"/>
              <w:left w:val="nil"/>
              <w:bottom w:val="single" w:sz="8" w:space="0" w:color="BFBFBF"/>
            </w:tcBorders>
            <w:shd w:val="clear" w:color="000000" w:fill="DBE5F1"/>
            <w:vAlign w:val="bottom"/>
            <w:hideMark/>
          </w:tcPr>
          <w:p w:rsidR="000E0626" w:rsidRPr="000E0626" w:rsidRDefault="000E0626" w:rsidP="00175D09">
            <w:pPr>
              <w:spacing w:line="264" w:lineRule="auto"/>
              <w:jc w:val="center"/>
              <w:rPr>
                <w:rFonts w:eastAsia="Times New Roman" w:cs="Arial"/>
                <w:b/>
                <w:bCs/>
                <w:color w:val="000000"/>
                <w:sz w:val="16"/>
                <w:szCs w:val="16"/>
                <w:lang w:eastAsia="es-ES"/>
              </w:rPr>
            </w:pPr>
            <w:r w:rsidRPr="000E0626">
              <w:rPr>
                <w:rFonts w:eastAsia="Times New Roman" w:cs="Arial"/>
                <w:b/>
                <w:bCs/>
                <w:color w:val="000000"/>
                <w:sz w:val="16"/>
                <w:szCs w:val="16"/>
                <w:lang w:eastAsia="es-ES"/>
              </w:rPr>
              <w:t>Servicios</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rPr>
                <w:rFonts w:eastAsia="Times New Roman" w:cs="Arial"/>
                <w:b/>
                <w:bCs/>
                <w:color w:val="000000"/>
                <w:sz w:val="16"/>
                <w:szCs w:val="16"/>
                <w:lang w:eastAsia="es-ES"/>
              </w:rPr>
            </w:pPr>
            <w:r w:rsidRPr="000E0626">
              <w:rPr>
                <w:rFonts w:eastAsia="Times New Roman" w:cs="Arial"/>
                <w:b/>
                <w:bCs/>
                <w:color w:val="000000"/>
                <w:sz w:val="16"/>
                <w:szCs w:val="16"/>
                <w:lang w:val="es-ES_tradnl" w:eastAsia="es-ES"/>
              </w:rPr>
              <w:t>INGRESOS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val="es-ES_tradnl" w:eastAsia="es-ES"/>
              </w:rPr>
              <w:t>70 Ventas Netas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285.337.927</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452.380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142.276.952</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26.962.596</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115.645.999</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71 Variación de Existencias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2.532.378</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1.650.090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339.575</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542.713</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73 Trabajos realizados para Inmovilizado</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265.897</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20.470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245.427</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74 Subvenciones de Explotación</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9.890.355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69.880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8.404.959</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50.771</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1.364.745</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75 Ingresos Accesorios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690.621</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229.141</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123.294</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338.185</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76 Ingresos Financieros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215.851</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159.009</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8.444</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48.367</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77 Ingresos Excepcionales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1.559.073</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155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655.915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491.288</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411.715</w:t>
            </w:r>
          </w:p>
        </w:tc>
      </w:tr>
      <w:tr w:rsidR="000E0626" w:rsidRPr="000E0626"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79 Excesos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552.648</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403.324</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69.377</w:t>
            </w:r>
          </w:p>
        </w:tc>
        <w:tc>
          <w:tcPr>
            <w:tcW w:w="1334" w:type="dxa"/>
            <w:tcBorders>
              <w:top w:val="nil"/>
              <w:left w:val="nil"/>
              <w:bottom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79.947</w:t>
            </w:r>
          </w:p>
        </w:tc>
      </w:tr>
      <w:tr w:rsidR="000E0626" w:rsidRPr="000E0626"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0E0626" w:rsidRPr="000E0626" w:rsidRDefault="000E0626" w:rsidP="00175D09">
            <w:pPr>
              <w:spacing w:line="264" w:lineRule="auto"/>
              <w:jc w:val="left"/>
              <w:rPr>
                <w:rFonts w:eastAsia="Times New Roman" w:cs="Arial"/>
                <w:b/>
                <w:bCs/>
                <w:color w:val="000000"/>
                <w:sz w:val="16"/>
                <w:szCs w:val="16"/>
                <w:lang w:eastAsia="es-ES"/>
              </w:rPr>
            </w:pPr>
            <w:r w:rsidRPr="000E0626">
              <w:rPr>
                <w:rFonts w:eastAsia="Times New Roman" w:cs="Arial"/>
                <w:b/>
                <w:bCs/>
                <w:color w:val="000000"/>
                <w:sz w:val="16"/>
                <w:szCs w:val="16"/>
                <w:lang w:eastAsia="es-ES"/>
              </w:rPr>
              <w:t> </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301.044.748</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522.445</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153.799.860</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28.045.344</w:t>
            </w:r>
          </w:p>
        </w:tc>
        <w:tc>
          <w:tcPr>
            <w:tcW w:w="1334" w:type="dxa"/>
            <w:tcBorders>
              <w:top w:val="nil"/>
              <w:left w:val="nil"/>
              <w:bottom w:val="single" w:sz="8" w:space="0" w:color="BFBFBF"/>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118.677.099</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b/>
                <w:bCs/>
                <w:color w:val="000000"/>
                <w:sz w:val="16"/>
                <w:szCs w:val="16"/>
                <w:lang w:eastAsia="es-ES"/>
              </w:rPr>
            </w:pPr>
            <w:r w:rsidRPr="000E0626">
              <w:rPr>
                <w:rFonts w:eastAsia="Times New Roman" w:cs="Arial"/>
                <w:b/>
                <w:bCs/>
                <w:color w:val="000000"/>
                <w:sz w:val="16"/>
                <w:szCs w:val="16"/>
                <w:lang w:val="es-ES_tradnl" w:eastAsia="es-ES"/>
              </w:rPr>
              <w:t>GASTOS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 </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val="es-ES_tradnl" w:eastAsia="es-ES"/>
              </w:rPr>
              <w:t>60 Compras Netas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121.949.611</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167.140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55.793.566</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10.875.370</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55.113.536</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61 Variación Existencias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642.592</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-33.285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342.067</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-75.682</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409.492</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62 Servicios Exteriores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43.633.498</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92.605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22.199.812</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3.422.317</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17.918.763</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63 Impuestos Ligados a la Actividad</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1.124.204</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1.735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458.441</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105.003</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559.025</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64 Gastos de Personal</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115.798.795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149.520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65.700.895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12.595.151</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37.353.229</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65 Gastos de Gestión</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2.915.608</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379.810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212.828</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2.322.971</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66 Gastos Financieros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2.427.975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18.640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1.233.609</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179.872</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995.855</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67 Gastos Excepcionales</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1.375.135</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397.669</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700.402</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277.065</w:t>
            </w:r>
          </w:p>
        </w:tc>
      </w:tr>
      <w:tr w:rsidR="000E0626" w:rsidRPr="000E0626" w:rsidTr="00D508DF">
        <w:trPr>
          <w:jc w:val="center"/>
        </w:trPr>
        <w:tc>
          <w:tcPr>
            <w:tcW w:w="3270" w:type="dxa"/>
            <w:tcBorders>
              <w:top w:val="nil"/>
              <w:left w:val="nil"/>
              <w:bottom w:val="nil"/>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68 Dotación del Ejercicio para Amortización</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8.882.460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149.660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5.685.060</w:t>
            </w:r>
          </w:p>
        </w:tc>
        <w:tc>
          <w:tcPr>
            <w:tcW w:w="1334" w:type="dxa"/>
            <w:tcBorders>
              <w:top w:val="nil"/>
              <w:left w:val="nil"/>
              <w:bottom w:val="nil"/>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457.267</w:t>
            </w:r>
          </w:p>
        </w:tc>
        <w:tc>
          <w:tcPr>
            <w:tcW w:w="1334" w:type="dxa"/>
            <w:tcBorders>
              <w:top w:val="nil"/>
              <w:left w:val="nil"/>
              <w:bottom w:val="nil"/>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2.590.473</w:t>
            </w:r>
          </w:p>
        </w:tc>
      </w:tr>
      <w:tr w:rsidR="000E0626" w:rsidRPr="000E0626"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69 Dotaciones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1.002.736</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637.918</w:t>
            </w:r>
          </w:p>
        </w:tc>
        <w:tc>
          <w:tcPr>
            <w:tcW w:w="1334" w:type="dxa"/>
            <w:tcBorders>
              <w:top w:val="nil"/>
              <w:left w:val="nil"/>
              <w:bottom w:val="single" w:sz="8" w:space="0" w:color="BFBFBF"/>
              <w:right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16.997</w:t>
            </w:r>
          </w:p>
        </w:tc>
        <w:tc>
          <w:tcPr>
            <w:tcW w:w="1334" w:type="dxa"/>
            <w:tcBorders>
              <w:top w:val="nil"/>
              <w:left w:val="nil"/>
              <w:bottom w:val="single" w:sz="8" w:space="0" w:color="BFBFBF"/>
            </w:tcBorders>
            <w:shd w:val="clear" w:color="auto" w:fill="auto"/>
            <w:noWrap/>
            <w:vAlign w:val="bottom"/>
            <w:hideMark/>
          </w:tcPr>
          <w:p w:rsidR="000E0626" w:rsidRPr="000E0626" w:rsidRDefault="000E0626" w:rsidP="00175D09">
            <w:pPr>
              <w:spacing w:line="264" w:lineRule="auto"/>
              <w:jc w:val="right"/>
              <w:rPr>
                <w:rFonts w:eastAsia="Times New Roman" w:cs="Arial"/>
                <w:color w:val="000000"/>
                <w:sz w:val="16"/>
                <w:szCs w:val="16"/>
                <w:lang w:eastAsia="es-ES"/>
              </w:rPr>
            </w:pPr>
            <w:r w:rsidRPr="000E0626">
              <w:rPr>
                <w:rFonts w:eastAsia="Times New Roman" w:cs="Arial"/>
                <w:color w:val="000000"/>
                <w:sz w:val="16"/>
                <w:szCs w:val="16"/>
                <w:lang w:eastAsia="es-ES"/>
              </w:rPr>
              <w:t>347.821</w:t>
            </w:r>
          </w:p>
        </w:tc>
      </w:tr>
      <w:tr w:rsidR="000E0626" w:rsidRPr="000E0626"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0E0626" w:rsidRPr="000E0626" w:rsidRDefault="000E0626" w:rsidP="00175D09">
            <w:pPr>
              <w:spacing w:line="264" w:lineRule="auto"/>
              <w:jc w:val="left"/>
              <w:rPr>
                <w:rFonts w:eastAsia="Times New Roman" w:cs="Arial"/>
                <w:color w:val="000000"/>
                <w:sz w:val="16"/>
                <w:szCs w:val="16"/>
                <w:lang w:eastAsia="es-ES"/>
              </w:rPr>
            </w:pPr>
            <w:r w:rsidRPr="000E0626">
              <w:rPr>
                <w:rFonts w:eastAsia="Times New Roman" w:cs="Arial"/>
                <w:color w:val="000000"/>
                <w:sz w:val="16"/>
                <w:szCs w:val="16"/>
                <w:lang w:eastAsia="es-ES"/>
              </w:rPr>
              <w:t> </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299.752.615</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546.015</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152.828.846</w:t>
            </w:r>
          </w:p>
        </w:tc>
        <w:tc>
          <w:tcPr>
            <w:tcW w:w="1334" w:type="dxa"/>
            <w:tcBorders>
              <w:top w:val="nil"/>
              <w:left w:val="nil"/>
              <w:bottom w:val="single" w:sz="8" w:space="0" w:color="BFBFBF"/>
              <w:right w:val="nil"/>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28.489.525</w:t>
            </w:r>
          </w:p>
        </w:tc>
        <w:tc>
          <w:tcPr>
            <w:tcW w:w="1334" w:type="dxa"/>
            <w:tcBorders>
              <w:top w:val="nil"/>
              <w:left w:val="nil"/>
              <w:bottom w:val="single" w:sz="8" w:space="0" w:color="BFBFBF"/>
            </w:tcBorders>
            <w:shd w:val="clear" w:color="000000" w:fill="E6E6E6"/>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117.888.229</w:t>
            </w:r>
          </w:p>
        </w:tc>
      </w:tr>
      <w:tr w:rsidR="000E0626" w:rsidRPr="000E0626" w:rsidTr="00D508D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rPr>
                <w:rFonts w:eastAsia="Times New Roman" w:cs="Arial"/>
                <w:b/>
                <w:bCs/>
                <w:color w:val="000000"/>
                <w:sz w:val="16"/>
                <w:szCs w:val="16"/>
                <w:lang w:eastAsia="es-ES"/>
              </w:rPr>
            </w:pPr>
            <w:r w:rsidRPr="000E0626">
              <w:rPr>
                <w:rFonts w:eastAsia="Times New Roman" w:cs="Arial"/>
                <w:b/>
                <w:bCs/>
                <w:color w:val="000000"/>
                <w:sz w:val="16"/>
                <w:szCs w:val="16"/>
                <w:lang w:val="es-ES_tradnl" w:eastAsia="es-ES"/>
              </w:rPr>
              <w:t>BENEFICIO (+) o PÉRDIDA (-)</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1.292.133</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-23.570</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971.014</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-444.181</w:t>
            </w:r>
          </w:p>
        </w:tc>
        <w:tc>
          <w:tcPr>
            <w:tcW w:w="1334" w:type="dxa"/>
            <w:tcBorders>
              <w:top w:val="nil"/>
              <w:left w:val="nil"/>
              <w:bottom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788.870</w:t>
            </w:r>
          </w:p>
        </w:tc>
      </w:tr>
      <w:tr w:rsidR="000E0626" w:rsidRPr="000E0626"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0E0626" w:rsidRPr="000E0626" w:rsidRDefault="000E0626" w:rsidP="00175D09">
            <w:pPr>
              <w:spacing w:line="264" w:lineRule="auto"/>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E0626" w:rsidRPr="000E0626" w:rsidRDefault="000E0626" w:rsidP="00175D09">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E0626" w:rsidRPr="000E0626" w:rsidRDefault="000E0626" w:rsidP="00175D09">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E0626" w:rsidRPr="000E0626" w:rsidRDefault="000E0626" w:rsidP="00175D09">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E0626" w:rsidRPr="000E0626" w:rsidRDefault="000E0626" w:rsidP="00175D09">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tcBorders>
            <w:shd w:val="clear" w:color="auto" w:fill="auto"/>
            <w:vAlign w:val="bottom"/>
            <w:hideMark/>
          </w:tcPr>
          <w:p w:rsidR="000E0626" w:rsidRPr="000E0626" w:rsidRDefault="000E0626" w:rsidP="00175D09">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r>
      <w:tr w:rsidR="000E0626" w:rsidRPr="000E0626" w:rsidTr="00D508D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rPr>
                <w:rFonts w:eastAsia="Times New Roman" w:cs="Arial"/>
                <w:b/>
                <w:bCs/>
                <w:color w:val="000000"/>
                <w:sz w:val="16"/>
                <w:szCs w:val="16"/>
                <w:lang w:eastAsia="es-ES"/>
              </w:rPr>
            </w:pPr>
            <w:r w:rsidRPr="000E0626">
              <w:rPr>
                <w:rFonts w:eastAsia="Times New Roman" w:cs="Arial"/>
                <w:b/>
                <w:bCs/>
                <w:color w:val="000000"/>
                <w:sz w:val="16"/>
                <w:szCs w:val="16"/>
                <w:lang w:val="en-GB" w:eastAsia="es-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11.177.329</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126.090</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7.293.992</w:t>
            </w:r>
          </w:p>
        </w:tc>
        <w:tc>
          <w:tcPr>
            <w:tcW w:w="1334" w:type="dxa"/>
            <w:tcBorders>
              <w:top w:val="nil"/>
              <w:left w:val="nil"/>
              <w:bottom w:val="single" w:sz="8" w:space="0" w:color="BFBFBF"/>
              <w:right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30.083</w:t>
            </w:r>
          </w:p>
        </w:tc>
        <w:tc>
          <w:tcPr>
            <w:tcW w:w="1334" w:type="dxa"/>
            <w:tcBorders>
              <w:top w:val="nil"/>
              <w:left w:val="nil"/>
              <w:bottom w:val="single" w:sz="8" w:space="0" w:color="BFBFBF"/>
            </w:tcBorders>
            <w:shd w:val="clear" w:color="000000" w:fill="DDEEFF"/>
            <w:vAlign w:val="bottom"/>
            <w:hideMark/>
          </w:tcPr>
          <w:p w:rsidR="000E0626" w:rsidRPr="000E0626" w:rsidRDefault="000E0626" w:rsidP="00175D09">
            <w:pPr>
              <w:spacing w:line="264" w:lineRule="auto"/>
              <w:jc w:val="right"/>
              <w:rPr>
                <w:rFonts w:eastAsia="Times New Roman" w:cs="Arial"/>
                <w:b/>
                <w:bCs/>
                <w:color w:val="000000"/>
                <w:sz w:val="16"/>
                <w:szCs w:val="16"/>
                <w:lang w:eastAsia="es-ES"/>
              </w:rPr>
            </w:pPr>
            <w:r w:rsidRPr="000E0626">
              <w:rPr>
                <w:rFonts w:eastAsia="Times New Roman" w:cs="Arial"/>
                <w:b/>
                <w:bCs/>
                <w:color w:val="000000"/>
                <w:sz w:val="16"/>
                <w:szCs w:val="16"/>
                <w:lang w:eastAsia="es-ES"/>
              </w:rPr>
              <w:t>3.727.164</w:t>
            </w:r>
          </w:p>
        </w:tc>
      </w:tr>
    </w:tbl>
    <w:p w:rsidR="004458AA" w:rsidRDefault="004458AA" w:rsidP="00BB313D">
      <w:pPr>
        <w:widowControl w:val="0"/>
        <w:rPr>
          <w:highlight w:val="red"/>
        </w:rPr>
      </w:pPr>
    </w:p>
    <w:p w:rsidR="00665097" w:rsidRPr="008B5D14" w:rsidRDefault="00DE1512" w:rsidP="00BB313D">
      <w:pPr>
        <w:widowControl w:val="0"/>
        <w:spacing w:line="240" w:lineRule="auto"/>
        <w:jc w:val="center"/>
        <w:rPr>
          <w:rFonts w:cs="Arial"/>
          <w:b/>
          <w:color w:val="1F497D" w:themeColor="text2"/>
          <w:sz w:val="18"/>
          <w:szCs w:val="18"/>
        </w:rPr>
      </w:pPr>
      <w:bookmarkStart w:id="257" w:name="_Toc391999645"/>
      <w:bookmarkStart w:id="258" w:name="_Toc450119528"/>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73</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FF7D8A">
        <w:rPr>
          <w:rFonts w:cs="Arial"/>
          <w:b/>
          <w:color w:val="1F497D" w:themeColor="text2"/>
          <w:sz w:val="18"/>
          <w:szCs w:val="18"/>
        </w:rPr>
        <w:t xml:space="preserve"> </w:t>
      </w:r>
      <w:r w:rsidR="00665097" w:rsidRPr="00FF7D8A">
        <w:rPr>
          <w:rFonts w:cs="Arial"/>
          <w:b/>
          <w:color w:val="1F497D" w:themeColor="text2"/>
          <w:sz w:val="18"/>
          <w:szCs w:val="18"/>
        </w:rPr>
        <w:t>CUENTA DE RESULTADOS DE LA ECONOMÍA SOCIAL S</w:t>
      </w:r>
      <w:r w:rsidR="000E0626" w:rsidRPr="00FF7D8A">
        <w:rPr>
          <w:rFonts w:cs="Arial"/>
          <w:b/>
          <w:color w:val="1F497D" w:themeColor="text2"/>
          <w:sz w:val="18"/>
          <w:szCs w:val="18"/>
        </w:rPr>
        <w:t>EGÚN SECTOR DE ACTIVIDAD EN 2014</w:t>
      </w:r>
      <w:r w:rsidR="00665097" w:rsidRPr="00FF7D8A">
        <w:rPr>
          <w:rFonts w:cs="Arial"/>
          <w:b/>
          <w:color w:val="1F497D" w:themeColor="text2"/>
          <w:sz w:val="18"/>
          <w:szCs w:val="18"/>
        </w:rPr>
        <w:t>. ARABA (</w:t>
      </w:r>
      <w:r w:rsidR="00590809" w:rsidRPr="00FF7D8A">
        <w:rPr>
          <w:rFonts w:cs="Arial"/>
          <w:b/>
          <w:color w:val="1F497D" w:themeColor="text2"/>
          <w:sz w:val="18"/>
          <w:szCs w:val="18"/>
        </w:rPr>
        <w:t>cifras absolutas en Euros</w:t>
      </w:r>
      <w:r w:rsidR="00665097" w:rsidRPr="00FF7D8A">
        <w:rPr>
          <w:rFonts w:cs="Arial"/>
          <w:b/>
          <w:color w:val="1F497D" w:themeColor="text2"/>
          <w:sz w:val="18"/>
          <w:szCs w:val="18"/>
        </w:rPr>
        <w:t>) (Precios corrientes)</w:t>
      </w:r>
      <w:bookmarkEnd w:id="257"/>
      <w:bookmarkEnd w:id="258"/>
    </w:p>
    <w:tbl>
      <w:tblPr>
        <w:tblW w:w="9940" w:type="dxa"/>
        <w:jc w:val="center"/>
        <w:tblLayout w:type="fixed"/>
        <w:tblCellMar>
          <w:left w:w="70" w:type="dxa"/>
          <w:right w:w="70" w:type="dxa"/>
        </w:tblCellMar>
        <w:tblLook w:val="04A0" w:firstRow="1" w:lastRow="0" w:firstColumn="1" w:lastColumn="0" w:noHBand="0" w:noVBand="1"/>
      </w:tblPr>
      <w:tblGrid>
        <w:gridCol w:w="3270"/>
        <w:gridCol w:w="1334"/>
        <w:gridCol w:w="1334"/>
        <w:gridCol w:w="1334"/>
        <w:gridCol w:w="1334"/>
        <w:gridCol w:w="1334"/>
      </w:tblGrid>
      <w:tr w:rsidR="00454145" w:rsidRPr="00454145" w:rsidTr="00D508D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454145" w:rsidRPr="00454145" w:rsidRDefault="00454145" w:rsidP="00175D09">
            <w:pPr>
              <w:spacing w:line="264" w:lineRule="auto"/>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454145" w:rsidRPr="00454145" w:rsidRDefault="00454145" w:rsidP="00175D09">
            <w:pPr>
              <w:spacing w:line="264" w:lineRule="auto"/>
              <w:jc w:val="center"/>
              <w:rPr>
                <w:rFonts w:eastAsia="Times New Roman" w:cs="Arial"/>
                <w:b/>
                <w:bCs/>
                <w:color w:val="000000"/>
                <w:sz w:val="16"/>
                <w:szCs w:val="16"/>
                <w:lang w:eastAsia="es-ES"/>
              </w:rPr>
            </w:pPr>
            <w:r w:rsidRPr="00454145">
              <w:rPr>
                <w:rFonts w:eastAsia="Times New Roman" w:cs="Arial"/>
                <w:b/>
                <w:bCs/>
                <w:color w:val="000000"/>
                <w:sz w:val="16"/>
                <w:szCs w:val="16"/>
                <w:lang w:eastAsia="es-ES"/>
              </w:rPr>
              <w:t>TOTAL</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454145" w:rsidRPr="00454145" w:rsidRDefault="00454145" w:rsidP="00175D09">
            <w:pPr>
              <w:spacing w:line="264" w:lineRule="auto"/>
              <w:jc w:val="center"/>
              <w:rPr>
                <w:rFonts w:eastAsia="Times New Roman" w:cs="Arial"/>
                <w:b/>
                <w:bCs/>
                <w:color w:val="000000"/>
                <w:sz w:val="16"/>
                <w:szCs w:val="16"/>
                <w:lang w:eastAsia="es-ES"/>
              </w:rPr>
            </w:pPr>
            <w:r w:rsidRPr="00454145">
              <w:rPr>
                <w:rFonts w:eastAsia="Times New Roman" w:cs="Arial"/>
                <w:b/>
                <w:bCs/>
                <w:color w:val="000000"/>
                <w:sz w:val="16"/>
                <w:szCs w:val="16"/>
                <w:lang w:eastAsia="es-ES"/>
              </w:rPr>
              <w:t>Primario</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454145" w:rsidRPr="00454145" w:rsidRDefault="00454145" w:rsidP="00175D09">
            <w:pPr>
              <w:spacing w:line="264" w:lineRule="auto"/>
              <w:jc w:val="center"/>
              <w:rPr>
                <w:rFonts w:eastAsia="Times New Roman" w:cs="Arial"/>
                <w:b/>
                <w:bCs/>
                <w:color w:val="000000"/>
                <w:sz w:val="16"/>
                <w:szCs w:val="16"/>
                <w:lang w:eastAsia="es-ES"/>
              </w:rPr>
            </w:pPr>
            <w:r w:rsidRPr="00454145">
              <w:rPr>
                <w:rFonts w:eastAsia="Times New Roman" w:cs="Arial"/>
                <w:b/>
                <w:bCs/>
                <w:color w:val="000000"/>
                <w:sz w:val="16"/>
                <w:szCs w:val="16"/>
                <w:lang w:eastAsia="es-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454145" w:rsidRPr="00454145" w:rsidRDefault="00454145" w:rsidP="00175D09">
            <w:pPr>
              <w:spacing w:line="264" w:lineRule="auto"/>
              <w:jc w:val="center"/>
              <w:rPr>
                <w:rFonts w:eastAsia="Times New Roman" w:cs="Arial"/>
                <w:b/>
                <w:bCs/>
                <w:color w:val="000000"/>
                <w:sz w:val="16"/>
                <w:szCs w:val="16"/>
                <w:lang w:eastAsia="es-ES"/>
              </w:rPr>
            </w:pPr>
            <w:r w:rsidRPr="00454145">
              <w:rPr>
                <w:rFonts w:eastAsia="Times New Roman" w:cs="Arial"/>
                <w:b/>
                <w:bCs/>
                <w:color w:val="000000"/>
                <w:sz w:val="16"/>
                <w:szCs w:val="16"/>
                <w:lang w:eastAsia="es-ES"/>
              </w:rPr>
              <w:t>Construcción</w:t>
            </w:r>
          </w:p>
        </w:tc>
        <w:tc>
          <w:tcPr>
            <w:tcW w:w="1334" w:type="dxa"/>
            <w:tcBorders>
              <w:top w:val="single" w:sz="8" w:space="0" w:color="BFBFBF"/>
              <w:left w:val="nil"/>
              <w:bottom w:val="single" w:sz="8" w:space="0" w:color="BFBFBF"/>
            </w:tcBorders>
            <w:shd w:val="clear" w:color="000000" w:fill="DBE5F1"/>
            <w:vAlign w:val="bottom"/>
            <w:hideMark/>
          </w:tcPr>
          <w:p w:rsidR="00454145" w:rsidRPr="00454145" w:rsidRDefault="00454145" w:rsidP="00175D09">
            <w:pPr>
              <w:spacing w:line="264" w:lineRule="auto"/>
              <w:jc w:val="center"/>
              <w:rPr>
                <w:rFonts w:eastAsia="Times New Roman" w:cs="Arial"/>
                <w:b/>
                <w:bCs/>
                <w:color w:val="000000"/>
                <w:sz w:val="16"/>
                <w:szCs w:val="16"/>
                <w:lang w:eastAsia="es-ES"/>
              </w:rPr>
            </w:pPr>
            <w:r w:rsidRPr="00454145">
              <w:rPr>
                <w:rFonts w:eastAsia="Times New Roman" w:cs="Arial"/>
                <w:b/>
                <w:bCs/>
                <w:color w:val="000000"/>
                <w:sz w:val="16"/>
                <w:szCs w:val="16"/>
                <w:lang w:eastAsia="es-ES"/>
              </w:rPr>
              <w:t>Servicios</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rPr>
                <w:rFonts w:eastAsia="Times New Roman" w:cs="Arial"/>
                <w:b/>
                <w:bCs/>
                <w:color w:val="000000"/>
                <w:sz w:val="16"/>
                <w:szCs w:val="16"/>
                <w:lang w:eastAsia="es-ES"/>
              </w:rPr>
            </w:pPr>
            <w:r w:rsidRPr="00454145">
              <w:rPr>
                <w:rFonts w:eastAsia="Times New Roman" w:cs="Arial"/>
                <w:b/>
                <w:bCs/>
                <w:color w:val="000000"/>
                <w:sz w:val="16"/>
                <w:szCs w:val="16"/>
                <w:lang w:val="es-ES_tradnl" w:eastAsia="es-ES"/>
              </w:rPr>
              <w:t>INGRESOS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val="es-ES_tradnl" w:eastAsia="es-ES"/>
              </w:rPr>
              <w:t>70 Ventas Netas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951.336.555</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7.299.850</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320.334.346</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11.291.620</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612.410.739</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71 Variación de Existencias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2.558.074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29.876</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2.110.778</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159.194</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258.226</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73 Trabajos realizados para Inmovilizado</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1.926.335</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721.314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18.600</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1.186.421</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74 Subvenciones de Explotación</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27.928.623</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1.281.388</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1.544.927</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1.511</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25.100.797</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75 Ingresos Accesorios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81.017.984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41.934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3.352.632</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86.835</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77.536.584</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76 Ingresos Financieros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5.904.986</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9.182</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3.741.016</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6.424</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2.148.364</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77 Ingresos Excepcionales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2.959.721</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79.003</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1.660.323</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138.816</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1.081.580</w:t>
            </w:r>
          </w:p>
        </w:tc>
      </w:tr>
      <w:tr w:rsidR="00454145" w:rsidRPr="00454145"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79 Excesos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8.253.980</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3.852.555</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1.225</w:t>
            </w:r>
          </w:p>
        </w:tc>
        <w:tc>
          <w:tcPr>
            <w:tcW w:w="1334" w:type="dxa"/>
            <w:tcBorders>
              <w:top w:val="nil"/>
              <w:left w:val="nil"/>
              <w:bottom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4.400.200</w:t>
            </w:r>
          </w:p>
        </w:tc>
      </w:tr>
      <w:tr w:rsidR="00454145" w:rsidRPr="00454145"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454145" w:rsidRPr="00454145" w:rsidRDefault="00454145" w:rsidP="00175D09">
            <w:pPr>
              <w:spacing w:line="264" w:lineRule="auto"/>
              <w:jc w:val="left"/>
              <w:rPr>
                <w:rFonts w:eastAsia="Times New Roman" w:cs="Arial"/>
                <w:b/>
                <w:bCs/>
                <w:color w:val="000000"/>
                <w:sz w:val="16"/>
                <w:szCs w:val="16"/>
                <w:lang w:eastAsia="es-ES"/>
              </w:rPr>
            </w:pPr>
            <w:r w:rsidRPr="00454145">
              <w:rPr>
                <w:rFonts w:eastAsia="Times New Roman" w:cs="Arial"/>
                <w:b/>
                <w:bCs/>
                <w:color w:val="000000"/>
                <w:sz w:val="16"/>
                <w:szCs w:val="16"/>
                <w:lang w:eastAsia="es-ES"/>
              </w:rPr>
              <w:t> </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1.081.886.259</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8.741.233</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337.317.891</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11.704.224</w:t>
            </w:r>
          </w:p>
        </w:tc>
        <w:tc>
          <w:tcPr>
            <w:tcW w:w="1334" w:type="dxa"/>
            <w:tcBorders>
              <w:top w:val="nil"/>
              <w:left w:val="nil"/>
              <w:bottom w:val="single" w:sz="8" w:space="0" w:color="BFBFBF"/>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724.122.911</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b/>
                <w:bCs/>
                <w:color w:val="000000"/>
                <w:sz w:val="16"/>
                <w:szCs w:val="16"/>
                <w:lang w:eastAsia="es-ES"/>
              </w:rPr>
            </w:pPr>
            <w:r w:rsidRPr="00454145">
              <w:rPr>
                <w:rFonts w:eastAsia="Times New Roman" w:cs="Arial"/>
                <w:b/>
                <w:bCs/>
                <w:color w:val="000000"/>
                <w:sz w:val="16"/>
                <w:szCs w:val="16"/>
                <w:lang w:val="es-ES_tradnl" w:eastAsia="es-ES"/>
              </w:rPr>
              <w:t>GASTOS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 </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val="es-ES_tradnl" w:eastAsia="es-ES"/>
              </w:rPr>
              <w:t>60 Compras Netas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628.345.141</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3.724.554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190.281.785</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4.569.703</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429.769.098</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61 Variación Existencias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-1.597.849</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-111.311</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-201.829</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-27.843</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-1.256.866</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62 Servicios Exteriores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114.074.333</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1.678.385</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48.646.042</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2.515.339</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61.234.566</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63 Impuestos Ligados a la Actividad</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-1.990.941</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13.798</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-1.852.064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57.798</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-210.474</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64 Gastos de Personal</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182.280.899</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1.971.017</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68.362.242</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4.727.465</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107.220.175</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65 Gastos de Gestión</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32.622.172</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29.594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2.940.710</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7.949</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29.643.919</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66 Gastos Financieros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14.156.949</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88.228</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6.661.760</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179.933</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7.227.028</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67 Gastos Excepcionales</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1.329.134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5.118</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162.591</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12.712</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1.148.714</w:t>
            </w:r>
          </w:p>
        </w:tc>
      </w:tr>
      <w:tr w:rsidR="00454145" w:rsidRPr="00454145" w:rsidTr="00D508DF">
        <w:trPr>
          <w:jc w:val="center"/>
        </w:trPr>
        <w:tc>
          <w:tcPr>
            <w:tcW w:w="3270" w:type="dxa"/>
            <w:tcBorders>
              <w:top w:val="nil"/>
              <w:left w:val="nil"/>
              <w:bottom w:val="nil"/>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68 Dotación del Ejercicio para Amortización</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26.896.373</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808.424</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11.522.967</w:t>
            </w:r>
          </w:p>
        </w:tc>
        <w:tc>
          <w:tcPr>
            <w:tcW w:w="1334" w:type="dxa"/>
            <w:tcBorders>
              <w:top w:val="nil"/>
              <w:left w:val="nil"/>
              <w:bottom w:val="nil"/>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171.611</w:t>
            </w:r>
          </w:p>
        </w:tc>
        <w:tc>
          <w:tcPr>
            <w:tcW w:w="1334" w:type="dxa"/>
            <w:tcBorders>
              <w:top w:val="nil"/>
              <w:left w:val="nil"/>
              <w:bottom w:val="nil"/>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14.393.371</w:t>
            </w:r>
          </w:p>
        </w:tc>
      </w:tr>
      <w:tr w:rsidR="00454145" w:rsidRPr="00454145"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69 Dotaciones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63.634.149</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4.094.777</w:t>
            </w:r>
          </w:p>
        </w:tc>
        <w:tc>
          <w:tcPr>
            <w:tcW w:w="1334" w:type="dxa"/>
            <w:tcBorders>
              <w:top w:val="nil"/>
              <w:left w:val="nil"/>
              <w:bottom w:val="single" w:sz="8" w:space="0" w:color="BFBFBF"/>
              <w:right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4.599</w:t>
            </w:r>
          </w:p>
        </w:tc>
        <w:tc>
          <w:tcPr>
            <w:tcW w:w="1334" w:type="dxa"/>
            <w:tcBorders>
              <w:top w:val="nil"/>
              <w:left w:val="nil"/>
              <w:bottom w:val="single" w:sz="8" w:space="0" w:color="BFBFBF"/>
            </w:tcBorders>
            <w:shd w:val="clear" w:color="auto" w:fill="auto"/>
            <w:noWrap/>
            <w:vAlign w:val="bottom"/>
            <w:hideMark/>
          </w:tcPr>
          <w:p w:rsidR="00454145" w:rsidRPr="00454145" w:rsidRDefault="00454145" w:rsidP="00175D09">
            <w:pPr>
              <w:spacing w:line="264" w:lineRule="auto"/>
              <w:jc w:val="right"/>
              <w:rPr>
                <w:rFonts w:eastAsia="Times New Roman" w:cs="Arial"/>
                <w:color w:val="000000"/>
                <w:sz w:val="16"/>
                <w:szCs w:val="16"/>
                <w:lang w:eastAsia="es-ES"/>
              </w:rPr>
            </w:pPr>
            <w:r w:rsidRPr="00454145">
              <w:rPr>
                <w:rFonts w:eastAsia="Times New Roman" w:cs="Arial"/>
                <w:color w:val="000000"/>
                <w:sz w:val="16"/>
                <w:szCs w:val="16"/>
                <w:lang w:eastAsia="es-ES"/>
              </w:rPr>
              <w:t>59.534.772</w:t>
            </w:r>
          </w:p>
        </w:tc>
      </w:tr>
      <w:tr w:rsidR="00454145" w:rsidRPr="00454145"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454145" w:rsidRPr="00454145" w:rsidRDefault="00454145" w:rsidP="00175D09">
            <w:pPr>
              <w:spacing w:line="264" w:lineRule="auto"/>
              <w:jc w:val="left"/>
              <w:rPr>
                <w:rFonts w:eastAsia="Times New Roman" w:cs="Arial"/>
                <w:color w:val="000000"/>
                <w:sz w:val="16"/>
                <w:szCs w:val="16"/>
                <w:lang w:eastAsia="es-ES"/>
              </w:rPr>
            </w:pPr>
            <w:r w:rsidRPr="00454145">
              <w:rPr>
                <w:rFonts w:eastAsia="Times New Roman" w:cs="Arial"/>
                <w:color w:val="000000"/>
                <w:sz w:val="16"/>
                <w:szCs w:val="16"/>
                <w:lang w:eastAsia="es-ES"/>
              </w:rPr>
              <w:t> </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1.059.750.359</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8.207.807</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330.618.981</w:t>
            </w:r>
          </w:p>
        </w:tc>
        <w:tc>
          <w:tcPr>
            <w:tcW w:w="1334" w:type="dxa"/>
            <w:tcBorders>
              <w:top w:val="nil"/>
              <w:left w:val="nil"/>
              <w:bottom w:val="single" w:sz="8" w:space="0" w:color="BFBFBF"/>
              <w:right w:val="nil"/>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12.219.267</w:t>
            </w:r>
          </w:p>
        </w:tc>
        <w:tc>
          <w:tcPr>
            <w:tcW w:w="1334" w:type="dxa"/>
            <w:tcBorders>
              <w:top w:val="nil"/>
              <w:left w:val="nil"/>
              <w:bottom w:val="single" w:sz="8" w:space="0" w:color="BFBFBF"/>
            </w:tcBorders>
            <w:shd w:val="clear" w:color="000000" w:fill="E6E6E6"/>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708.704.304</w:t>
            </w:r>
          </w:p>
        </w:tc>
      </w:tr>
      <w:tr w:rsidR="00454145" w:rsidRPr="00454145" w:rsidTr="00D508DF">
        <w:trPr>
          <w:jc w:val="center"/>
        </w:trPr>
        <w:tc>
          <w:tcPr>
            <w:tcW w:w="3270" w:type="dxa"/>
            <w:tcBorders>
              <w:top w:val="nil"/>
              <w:left w:val="nil"/>
              <w:bottom w:val="nil"/>
              <w:right w:val="single" w:sz="8" w:space="0" w:color="BFBFBF"/>
            </w:tcBorders>
            <w:shd w:val="clear" w:color="000000" w:fill="DDEEFF"/>
            <w:vAlign w:val="bottom"/>
            <w:hideMark/>
          </w:tcPr>
          <w:p w:rsidR="00454145" w:rsidRPr="00454145" w:rsidRDefault="00454145" w:rsidP="00175D09">
            <w:pPr>
              <w:spacing w:line="264" w:lineRule="auto"/>
              <w:rPr>
                <w:rFonts w:eastAsia="Times New Roman" w:cs="Arial"/>
                <w:b/>
                <w:bCs/>
                <w:color w:val="000000"/>
                <w:sz w:val="16"/>
                <w:szCs w:val="16"/>
                <w:lang w:eastAsia="es-ES"/>
              </w:rPr>
            </w:pPr>
            <w:r w:rsidRPr="00454145">
              <w:rPr>
                <w:rFonts w:eastAsia="Times New Roman" w:cs="Arial"/>
                <w:b/>
                <w:bCs/>
                <w:color w:val="000000"/>
                <w:sz w:val="16"/>
                <w:szCs w:val="16"/>
                <w:lang w:val="es-ES_tradnl" w:eastAsia="es-ES"/>
              </w:rPr>
              <w:t>BENEFICIO (+) o PÉRDIDA (-)</w:t>
            </w:r>
          </w:p>
        </w:tc>
        <w:tc>
          <w:tcPr>
            <w:tcW w:w="1334" w:type="dxa"/>
            <w:tcBorders>
              <w:top w:val="nil"/>
              <w:left w:val="nil"/>
              <w:bottom w:val="nil"/>
              <w:right w:val="single" w:sz="8" w:space="0" w:color="BFBFBF"/>
            </w:tcBorders>
            <w:shd w:val="clear" w:color="000000" w:fill="DDEEFF"/>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22.135.900</w:t>
            </w:r>
          </w:p>
        </w:tc>
        <w:tc>
          <w:tcPr>
            <w:tcW w:w="1334" w:type="dxa"/>
            <w:tcBorders>
              <w:top w:val="nil"/>
              <w:left w:val="nil"/>
              <w:bottom w:val="nil"/>
              <w:right w:val="single" w:sz="8" w:space="0" w:color="BFBFBF"/>
            </w:tcBorders>
            <w:shd w:val="clear" w:color="000000" w:fill="DDEEFF"/>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533.426</w:t>
            </w:r>
          </w:p>
        </w:tc>
        <w:tc>
          <w:tcPr>
            <w:tcW w:w="1334" w:type="dxa"/>
            <w:tcBorders>
              <w:top w:val="nil"/>
              <w:left w:val="nil"/>
              <w:bottom w:val="nil"/>
              <w:right w:val="single" w:sz="8" w:space="0" w:color="BFBFBF"/>
            </w:tcBorders>
            <w:shd w:val="clear" w:color="000000" w:fill="DDEEFF"/>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6.698.910</w:t>
            </w:r>
          </w:p>
        </w:tc>
        <w:tc>
          <w:tcPr>
            <w:tcW w:w="1334" w:type="dxa"/>
            <w:tcBorders>
              <w:top w:val="nil"/>
              <w:left w:val="nil"/>
              <w:bottom w:val="nil"/>
              <w:right w:val="single" w:sz="8" w:space="0" w:color="BFBFBF"/>
            </w:tcBorders>
            <w:shd w:val="clear" w:color="000000" w:fill="DDEEFF"/>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-515.043</w:t>
            </w:r>
          </w:p>
        </w:tc>
        <w:tc>
          <w:tcPr>
            <w:tcW w:w="1334" w:type="dxa"/>
            <w:tcBorders>
              <w:top w:val="nil"/>
              <w:left w:val="nil"/>
              <w:bottom w:val="nil"/>
            </w:tcBorders>
            <w:shd w:val="clear" w:color="000000" w:fill="DDEEFF"/>
            <w:vAlign w:val="bottom"/>
            <w:hideMark/>
          </w:tcPr>
          <w:p w:rsidR="00454145" w:rsidRPr="00454145" w:rsidRDefault="00454145" w:rsidP="00175D09">
            <w:pPr>
              <w:spacing w:line="264" w:lineRule="auto"/>
              <w:jc w:val="right"/>
              <w:rPr>
                <w:rFonts w:eastAsia="Times New Roman" w:cs="Arial"/>
                <w:b/>
                <w:bCs/>
                <w:color w:val="000000"/>
                <w:sz w:val="16"/>
                <w:szCs w:val="16"/>
                <w:lang w:eastAsia="es-ES"/>
              </w:rPr>
            </w:pPr>
            <w:r w:rsidRPr="00454145">
              <w:rPr>
                <w:rFonts w:eastAsia="Times New Roman" w:cs="Arial"/>
                <w:b/>
                <w:bCs/>
                <w:color w:val="000000"/>
                <w:sz w:val="16"/>
                <w:szCs w:val="16"/>
                <w:lang w:eastAsia="es-ES"/>
              </w:rPr>
              <w:t>15.418.607</w:t>
            </w:r>
          </w:p>
        </w:tc>
      </w:tr>
      <w:tr w:rsidR="000C3A80" w:rsidRPr="000E0626"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0C3A80" w:rsidRPr="000E0626" w:rsidRDefault="000C3A80" w:rsidP="000C3A80">
            <w:pPr>
              <w:spacing w:line="264" w:lineRule="auto"/>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C3A80" w:rsidRPr="000E0626" w:rsidRDefault="000C3A80" w:rsidP="000C3A80">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C3A80" w:rsidRPr="000E0626" w:rsidRDefault="000C3A80" w:rsidP="000C3A80">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C3A80" w:rsidRPr="000E0626" w:rsidRDefault="000C3A80" w:rsidP="000C3A80">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0C3A80" w:rsidRPr="000E0626" w:rsidRDefault="000C3A80" w:rsidP="000C3A80">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c>
          <w:tcPr>
            <w:tcW w:w="1334" w:type="dxa"/>
            <w:tcBorders>
              <w:top w:val="nil"/>
              <w:left w:val="nil"/>
              <w:bottom w:val="single" w:sz="8" w:space="0" w:color="BFBFBF"/>
            </w:tcBorders>
            <w:shd w:val="clear" w:color="auto" w:fill="auto"/>
            <w:vAlign w:val="bottom"/>
            <w:hideMark/>
          </w:tcPr>
          <w:p w:rsidR="000C3A80" w:rsidRPr="000E0626" w:rsidRDefault="000C3A80" w:rsidP="000C3A80">
            <w:pPr>
              <w:spacing w:line="264" w:lineRule="auto"/>
              <w:jc w:val="right"/>
              <w:rPr>
                <w:rFonts w:eastAsia="Times New Roman" w:cs="Arial"/>
                <w:b/>
                <w:bCs/>
                <w:color w:val="000000"/>
                <w:sz w:val="10"/>
                <w:szCs w:val="10"/>
                <w:lang w:eastAsia="es-ES"/>
              </w:rPr>
            </w:pPr>
            <w:r w:rsidRPr="000E0626">
              <w:rPr>
                <w:rFonts w:eastAsia="Times New Roman" w:cs="Arial"/>
                <w:b/>
                <w:bCs/>
                <w:color w:val="000000"/>
                <w:sz w:val="10"/>
                <w:szCs w:val="10"/>
                <w:lang w:eastAsia="es-ES"/>
              </w:rPr>
              <w:t> </w:t>
            </w:r>
          </w:p>
        </w:tc>
      </w:tr>
      <w:tr w:rsidR="000C3A80" w:rsidRPr="000E0626" w:rsidTr="00D508D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0C3A80" w:rsidRPr="000C3A80" w:rsidRDefault="000C3A80" w:rsidP="000C3A80">
            <w:pPr>
              <w:spacing w:line="264" w:lineRule="auto"/>
              <w:rPr>
                <w:rFonts w:eastAsia="Times New Roman" w:cs="Arial"/>
                <w:b/>
                <w:bCs/>
                <w:color w:val="000000"/>
                <w:sz w:val="16"/>
                <w:szCs w:val="16"/>
                <w:highlight w:val="yellow"/>
                <w:lang w:eastAsia="es-ES"/>
              </w:rPr>
            </w:pPr>
            <w:r w:rsidRPr="00FF7D8A">
              <w:rPr>
                <w:rFonts w:eastAsia="Times New Roman" w:cs="Arial"/>
                <w:b/>
                <w:bCs/>
                <w:color w:val="000000"/>
                <w:sz w:val="16"/>
                <w:szCs w:val="16"/>
                <w:lang w:val="en-GB" w:eastAsia="es-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0C3A80" w:rsidRPr="00FF7D8A" w:rsidRDefault="00FF7D8A" w:rsidP="00FF7D8A">
            <w:pPr>
              <w:spacing w:line="264" w:lineRule="auto"/>
              <w:jc w:val="right"/>
              <w:rPr>
                <w:rFonts w:eastAsia="Times New Roman" w:cs="Arial"/>
                <w:b/>
                <w:bCs/>
                <w:color w:val="000000"/>
                <w:sz w:val="16"/>
                <w:szCs w:val="16"/>
                <w:lang w:eastAsia="es-ES"/>
              </w:rPr>
            </w:pPr>
            <w:r w:rsidRPr="00FF7D8A">
              <w:rPr>
                <w:rFonts w:eastAsia="Times New Roman" w:cs="Arial"/>
                <w:b/>
                <w:bCs/>
                <w:color w:val="000000"/>
                <w:sz w:val="16"/>
                <w:szCs w:val="16"/>
                <w:lang w:eastAsia="es-ES"/>
              </w:rPr>
              <w:t>112.666.422</w:t>
            </w:r>
          </w:p>
        </w:tc>
        <w:tc>
          <w:tcPr>
            <w:tcW w:w="1334" w:type="dxa"/>
            <w:tcBorders>
              <w:top w:val="nil"/>
              <w:left w:val="nil"/>
              <w:bottom w:val="single" w:sz="8" w:space="0" w:color="BFBFBF"/>
              <w:right w:val="single" w:sz="8" w:space="0" w:color="BFBFBF"/>
            </w:tcBorders>
            <w:shd w:val="clear" w:color="000000" w:fill="DDEEFF"/>
            <w:vAlign w:val="bottom"/>
            <w:hideMark/>
          </w:tcPr>
          <w:p w:rsidR="000C3A80" w:rsidRPr="00FF7D8A" w:rsidRDefault="00FF7D8A" w:rsidP="00FF7D8A">
            <w:pPr>
              <w:spacing w:line="264" w:lineRule="auto"/>
              <w:jc w:val="right"/>
              <w:rPr>
                <w:rFonts w:eastAsia="Times New Roman" w:cs="Arial"/>
                <w:b/>
                <w:bCs/>
                <w:color w:val="000000"/>
                <w:sz w:val="16"/>
                <w:szCs w:val="16"/>
                <w:lang w:eastAsia="es-ES"/>
              </w:rPr>
            </w:pPr>
            <w:r w:rsidRPr="00FF7D8A">
              <w:rPr>
                <w:rFonts w:eastAsia="Times New Roman" w:cs="Arial"/>
                <w:b/>
                <w:bCs/>
                <w:color w:val="000000"/>
                <w:sz w:val="16"/>
                <w:szCs w:val="16"/>
                <w:lang w:eastAsia="es-ES"/>
              </w:rPr>
              <w:t>1.341.850</w:t>
            </w:r>
          </w:p>
        </w:tc>
        <w:tc>
          <w:tcPr>
            <w:tcW w:w="1334" w:type="dxa"/>
            <w:tcBorders>
              <w:top w:val="nil"/>
              <w:left w:val="nil"/>
              <w:bottom w:val="single" w:sz="8" w:space="0" w:color="BFBFBF"/>
              <w:right w:val="single" w:sz="8" w:space="0" w:color="BFBFBF"/>
            </w:tcBorders>
            <w:shd w:val="clear" w:color="000000" w:fill="DDEEFF"/>
            <w:vAlign w:val="bottom"/>
            <w:hideMark/>
          </w:tcPr>
          <w:p w:rsidR="000C3A80" w:rsidRPr="00FF7D8A" w:rsidRDefault="00FF7D8A" w:rsidP="00FF7D8A">
            <w:pPr>
              <w:spacing w:line="264" w:lineRule="auto"/>
              <w:jc w:val="right"/>
              <w:rPr>
                <w:rFonts w:eastAsia="Times New Roman" w:cs="Arial"/>
                <w:b/>
                <w:bCs/>
                <w:color w:val="000000"/>
                <w:sz w:val="16"/>
                <w:szCs w:val="16"/>
                <w:lang w:eastAsia="es-ES"/>
              </w:rPr>
            </w:pPr>
            <w:r w:rsidRPr="00FF7D8A">
              <w:rPr>
                <w:rFonts w:eastAsia="Times New Roman" w:cs="Arial"/>
                <w:b/>
                <w:bCs/>
                <w:color w:val="000000"/>
                <w:sz w:val="16"/>
                <w:szCs w:val="16"/>
                <w:lang w:eastAsia="es-ES"/>
              </w:rPr>
              <w:t>22.316.654</w:t>
            </w:r>
          </w:p>
        </w:tc>
        <w:tc>
          <w:tcPr>
            <w:tcW w:w="1334" w:type="dxa"/>
            <w:tcBorders>
              <w:top w:val="nil"/>
              <w:left w:val="nil"/>
              <w:bottom w:val="single" w:sz="8" w:space="0" w:color="BFBFBF"/>
              <w:right w:val="single" w:sz="8" w:space="0" w:color="BFBFBF"/>
            </w:tcBorders>
            <w:shd w:val="clear" w:color="000000" w:fill="DDEEFF"/>
            <w:vAlign w:val="bottom"/>
            <w:hideMark/>
          </w:tcPr>
          <w:p w:rsidR="000C3A80" w:rsidRPr="00FF7D8A" w:rsidRDefault="00FF7D8A" w:rsidP="00FF7D8A">
            <w:pPr>
              <w:spacing w:line="264" w:lineRule="auto"/>
              <w:jc w:val="right"/>
              <w:rPr>
                <w:rFonts w:eastAsia="Times New Roman" w:cs="Arial"/>
                <w:b/>
                <w:bCs/>
                <w:color w:val="000000"/>
                <w:sz w:val="16"/>
                <w:szCs w:val="16"/>
                <w:lang w:eastAsia="es-ES"/>
              </w:rPr>
            </w:pPr>
            <w:r w:rsidRPr="00FF7D8A">
              <w:rPr>
                <w:rFonts w:eastAsia="Times New Roman" w:cs="Arial"/>
                <w:b/>
                <w:bCs/>
                <w:color w:val="000000"/>
                <w:sz w:val="16"/>
                <w:szCs w:val="16"/>
                <w:lang w:eastAsia="es-ES"/>
              </w:rPr>
              <w:t>-338.833</w:t>
            </w:r>
          </w:p>
        </w:tc>
        <w:tc>
          <w:tcPr>
            <w:tcW w:w="1334" w:type="dxa"/>
            <w:tcBorders>
              <w:top w:val="nil"/>
              <w:left w:val="nil"/>
              <w:bottom w:val="single" w:sz="8" w:space="0" w:color="BFBFBF"/>
            </w:tcBorders>
            <w:shd w:val="clear" w:color="000000" w:fill="DDEEFF"/>
            <w:vAlign w:val="bottom"/>
            <w:hideMark/>
          </w:tcPr>
          <w:p w:rsidR="000C3A80" w:rsidRPr="000E0626" w:rsidRDefault="00FF7D8A" w:rsidP="00FF7D8A">
            <w:pPr>
              <w:spacing w:line="264" w:lineRule="auto"/>
              <w:jc w:val="right"/>
              <w:rPr>
                <w:rFonts w:eastAsia="Times New Roman" w:cs="Arial"/>
                <w:b/>
                <w:bCs/>
                <w:color w:val="000000"/>
                <w:sz w:val="16"/>
                <w:szCs w:val="16"/>
                <w:lang w:eastAsia="es-ES"/>
              </w:rPr>
            </w:pPr>
            <w:r w:rsidRPr="00FF7D8A">
              <w:rPr>
                <w:rFonts w:eastAsia="Times New Roman" w:cs="Arial"/>
                <w:b/>
                <w:bCs/>
                <w:color w:val="000000"/>
                <w:sz w:val="16"/>
                <w:szCs w:val="16"/>
                <w:lang w:eastAsia="es-ES"/>
              </w:rPr>
              <w:t>89.346.751</w:t>
            </w:r>
          </w:p>
        </w:tc>
      </w:tr>
    </w:tbl>
    <w:p w:rsidR="00665097" w:rsidRDefault="00665097" w:rsidP="00BB313D">
      <w:pPr>
        <w:widowControl w:val="0"/>
        <w:rPr>
          <w:lang w:val="en-GB"/>
        </w:rPr>
      </w:pPr>
    </w:p>
    <w:p w:rsidR="00665097" w:rsidRDefault="00665097" w:rsidP="00BB313D">
      <w:pPr>
        <w:widowControl w:val="0"/>
        <w:jc w:val="left"/>
        <w:rPr>
          <w:rFonts w:cs="Arial"/>
          <w:b/>
          <w:snapToGrid w:val="0"/>
          <w:color w:val="1F497D" w:themeColor="text2"/>
          <w:sz w:val="18"/>
          <w:szCs w:val="18"/>
          <w:lang w:val="es-ES_tradnl"/>
        </w:rPr>
      </w:pPr>
      <w:r>
        <w:rPr>
          <w:rFonts w:cs="Arial"/>
          <w:i/>
          <w:color w:val="1F497D" w:themeColor="text2"/>
          <w:sz w:val="18"/>
          <w:szCs w:val="18"/>
        </w:rPr>
        <w:br w:type="page"/>
      </w:r>
    </w:p>
    <w:p w:rsidR="00665097" w:rsidRPr="008B5D14" w:rsidRDefault="00DE1512" w:rsidP="00BB313D">
      <w:pPr>
        <w:widowControl w:val="0"/>
        <w:spacing w:line="240" w:lineRule="auto"/>
        <w:jc w:val="center"/>
        <w:rPr>
          <w:rFonts w:cs="Arial"/>
          <w:b/>
          <w:color w:val="1F497D" w:themeColor="text2"/>
          <w:sz w:val="18"/>
          <w:szCs w:val="18"/>
        </w:rPr>
      </w:pPr>
      <w:bookmarkStart w:id="259" w:name="_Toc391999646"/>
      <w:bookmarkStart w:id="260" w:name="_Toc450119529"/>
      <w:r w:rsidRPr="009F1045">
        <w:rPr>
          <w:rFonts w:cs="Arial"/>
          <w:b/>
          <w:color w:val="1F497D" w:themeColor="text2"/>
          <w:sz w:val="18"/>
          <w:szCs w:val="18"/>
        </w:rPr>
        <w:lastRenderedPageBreak/>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74</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C86565" w:rsidRPr="00665097">
        <w:rPr>
          <w:rFonts w:cs="Arial"/>
          <w:b/>
          <w:color w:val="1F497D" w:themeColor="text2"/>
          <w:sz w:val="18"/>
          <w:szCs w:val="18"/>
        </w:rPr>
        <w:t xml:space="preserve"> </w:t>
      </w:r>
      <w:r w:rsidR="00665097" w:rsidRPr="006116A2">
        <w:rPr>
          <w:rFonts w:cs="Arial"/>
          <w:b/>
          <w:color w:val="1F497D" w:themeColor="text2"/>
          <w:sz w:val="18"/>
          <w:szCs w:val="18"/>
        </w:rPr>
        <w:t>CUENTA DE RESULTADOS DE LA ECONOMÍA SOCIAL S</w:t>
      </w:r>
      <w:r w:rsidR="00454145">
        <w:rPr>
          <w:rFonts w:cs="Arial"/>
          <w:b/>
          <w:color w:val="1F497D" w:themeColor="text2"/>
          <w:sz w:val="18"/>
          <w:szCs w:val="18"/>
        </w:rPr>
        <w:t>EGÚN SECTOR DE ACTIVIDAD EN 2014</w:t>
      </w:r>
      <w:r w:rsidR="00665097" w:rsidRPr="006116A2">
        <w:rPr>
          <w:rFonts w:cs="Arial"/>
          <w:b/>
          <w:color w:val="1F497D" w:themeColor="text2"/>
          <w:sz w:val="18"/>
          <w:szCs w:val="18"/>
        </w:rPr>
        <w:t xml:space="preserve">. </w:t>
      </w:r>
      <w:r w:rsidR="00665097" w:rsidRPr="008B5D14">
        <w:rPr>
          <w:rFonts w:cs="Arial"/>
          <w:b/>
          <w:color w:val="1F497D" w:themeColor="text2"/>
          <w:sz w:val="18"/>
          <w:szCs w:val="18"/>
        </w:rPr>
        <w:t>BIZKAIA (</w:t>
      </w:r>
      <w:r w:rsidR="00590809">
        <w:rPr>
          <w:rFonts w:cs="Arial"/>
          <w:b/>
          <w:color w:val="1F497D" w:themeColor="text2"/>
          <w:sz w:val="18"/>
          <w:szCs w:val="18"/>
        </w:rPr>
        <w:t>cifras absolutas en Euros</w:t>
      </w:r>
      <w:r w:rsidR="00665097" w:rsidRPr="008B5D14">
        <w:rPr>
          <w:rFonts w:cs="Arial"/>
          <w:b/>
          <w:color w:val="1F497D" w:themeColor="text2"/>
          <w:sz w:val="18"/>
          <w:szCs w:val="18"/>
        </w:rPr>
        <w:t>) (Precios corrientes)</w:t>
      </w:r>
      <w:bookmarkEnd w:id="259"/>
      <w:bookmarkEnd w:id="260"/>
    </w:p>
    <w:p w:rsidR="00665097" w:rsidRPr="008B5D14" w:rsidRDefault="00665097" w:rsidP="00BB313D">
      <w:pPr>
        <w:widowControl w:val="0"/>
        <w:rPr>
          <w:sz w:val="2"/>
          <w:szCs w:val="2"/>
          <w:highlight w:val="red"/>
        </w:rPr>
      </w:pPr>
    </w:p>
    <w:tbl>
      <w:tblPr>
        <w:tblW w:w="9940" w:type="dxa"/>
        <w:jc w:val="center"/>
        <w:tblInd w:w="55" w:type="dxa"/>
        <w:tblLayout w:type="fixed"/>
        <w:tblCellMar>
          <w:left w:w="70" w:type="dxa"/>
          <w:right w:w="70" w:type="dxa"/>
        </w:tblCellMar>
        <w:tblLook w:val="04A0" w:firstRow="1" w:lastRow="0" w:firstColumn="1" w:lastColumn="0" w:noHBand="0" w:noVBand="1"/>
      </w:tblPr>
      <w:tblGrid>
        <w:gridCol w:w="3235"/>
        <w:gridCol w:w="1341"/>
        <w:gridCol w:w="1341"/>
        <w:gridCol w:w="1341"/>
        <w:gridCol w:w="1341"/>
        <w:gridCol w:w="1341"/>
      </w:tblGrid>
      <w:tr w:rsidR="00F719EE" w:rsidRPr="00F719EE" w:rsidTr="00D508DF">
        <w:trPr>
          <w:jc w:val="center"/>
        </w:trPr>
        <w:tc>
          <w:tcPr>
            <w:tcW w:w="3235" w:type="dxa"/>
            <w:tcBorders>
              <w:top w:val="single" w:sz="8" w:space="0" w:color="BFBFBF"/>
              <w:left w:val="nil"/>
              <w:bottom w:val="single" w:sz="8" w:space="0" w:color="BFBFBF"/>
              <w:right w:val="single" w:sz="8" w:space="0" w:color="BFBFBF"/>
            </w:tcBorders>
            <w:shd w:val="clear" w:color="000000" w:fill="DBE5F1"/>
            <w:vAlign w:val="bottom"/>
            <w:hideMark/>
          </w:tcPr>
          <w:p w:rsidR="00F719EE" w:rsidRPr="00F719EE" w:rsidRDefault="00F719EE" w:rsidP="00175D09">
            <w:pPr>
              <w:spacing w:line="264" w:lineRule="auto"/>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single" w:sz="8" w:space="0" w:color="BFBFBF"/>
              <w:left w:val="nil"/>
              <w:bottom w:val="single" w:sz="8" w:space="0" w:color="BFBFBF"/>
              <w:right w:val="single" w:sz="8" w:space="0" w:color="BFBFBF"/>
            </w:tcBorders>
            <w:shd w:val="clear" w:color="000000" w:fill="DBE5F1"/>
            <w:vAlign w:val="bottom"/>
            <w:hideMark/>
          </w:tcPr>
          <w:p w:rsidR="00F719EE" w:rsidRPr="00F719EE" w:rsidRDefault="00F719EE" w:rsidP="00175D09">
            <w:pPr>
              <w:spacing w:line="264" w:lineRule="auto"/>
              <w:jc w:val="center"/>
              <w:rPr>
                <w:rFonts w:eastAsia="Times New Roman" w:cs="Arial"/>
                <w:b/>
                <w:bCs/>
                <w:color w:val="000000"/>
                <w:sz w:val="16"/>
                <w:szCs w:val="16"/>
                <w:lang w:eastAsia="es-ES"/>
              </w:rPr>
            </w:pPr>
            <w:r w:rsidRPr="00F719EE">
              <w:rPr>
                <w:rFonts w:eastAsia="Times New Roman" w:cs="Arial"/>
                <w:b/>
                <w:bCs/>
                <w:color w:val="000000"/>
                <w:sz w:val="16"/>
                <w:szCs w:val="16"/>
                <w:lang w:eastAsia="es-ES"/>
              </w:rPr>
              <w:t>TOTAL</w:t>
            </w:r>
          </w:p>
        </w:tc>
        <w:tc>
          <w:tcPr>
            <w:tcW w:w="1341" w:type="dxa"/>
            <w:tcBorders>
              <w:top w:val="single" w:sz="8" w:space="0" w:color="BFBFBF"/>
              <w:left w:val="nil"/>
              <w:bottom w:val="single" w:sz="8" w:space="0" w:color="BFBFBF"/>
              <w:right w:val="single" w:sz="8" w:space="0" w:color="BFBFBF"/>
            </w:tcBorders>
            <w:shd w:val="clear" w:color="000000" w:fill="DBE5F1"/>
            <w:vAlign w:val="bottom"/>
            <w:hideMark/>
          </w:tcPr>
          <w:p w:rsidR="00F719EE" w:rsidRPr="00F719EE" w:rsidRDefault="00F719EE" w:rsidP="00175D09">
            <w:pPr>
              <w:spacing w:line="264" w:lineRule="auto"/>
              <w:jc w:val="center"/>
              <w:rPr>
                <w:rFonts w:eastAsia="Times New Roman" w:cs="Arial"/>
                <w:b/>
                <w:bCs/>
                <w:color w:val="000000"/>
                <w:sz w:val="16"/>
                <w:szCs w:val="16"/>
                <w:lang w:eastAsia="es-ES"/>
              </w:rPr>
            </w:pPr>
            <w:r w:rsidRPr="00F719EE">
              <w:rPr>
                <w:rFonts w:eastAsia="Times New Roman" w:cs="Arial"/>
                <w:b/>
                <w:bCs/>
                <w:color w:val="000000"/>
                <w:sz w:val="16"/>
                <w:szCs w:val="16"/>
                <w:lang w:eastAsia="es-ES"/>
              </w:rPr>
              <w:t>Primario</w:t>
            </w:r>
          </w:p>
        </w:tc>
        <w:tc>
          <w:tcPr>
            <w:tcW w:w="1341" w:type="dxa"/>
            <w:tcBorders>
              <w:top w:val="single" w:sz="8" w:space="0" w:color="BFBFBF"/>
              <w:left w:val="nil"/>
              <w:bottom w:val="single" w:sz="8" w:space="0" w:color="BFBFBF"/>
              <w:right w:val="single" w:sz="8" w:space="0" w:color="BFBFBF"/>
            </w:tcBorders>
            <w:shd w:val="clear" w:color="000000" w:fill="DBE5F1"/>
            <w:vAlign w:val="bottom"/>
            <w:hideMark/>
          </w:tcPr>
          <w:p w:rsidR="00F719EE" w:rsidRPr="00F719EE" w:rsidRDefault="00F719EE" w:rsidP="00175D09">
            <w:pPr>
              <w:spacing w:line="264" w:lineRule="auto"/>
              <w:jc w:val="center"/>
              <w:rPr>
                <w:rFonts w:eastAsia="Times New Roman" w:cs="Arial"/>
                <w:b/>
                <w:bCs/>
                <w:color w:val="000000"/>
                <w:sz w:val="16"/>
                <w:szCs w:val="16"/>
                <w:lang w:eastAsia="es-ES"/>
              </w:rPr>
            </w:pPr>
            <w:r w:rsidRPr="00F719EE">
              <w:rPr>
                <w:rFonts w:eastAsia="Times New Roman" w:cs="Arial"/>
                <w:b/>
                <w:bCs/>
                <w:color w:val="000000"/>
                <w:sz w:val="16"/>
                <w:szCs w:val="16"/>
                <w:lang w:eastAsia="es-ES"/>
              </w:rPr>
              <w:t>Industria</w:t>
            </w:r>
          </w:p>
        </w:tc>
        <w:tc>
          <w:tcPr>
            <w:tcW w:w="1341" w:type="dxa"/>
            <w:tcBorders>
              <w:top w:val="single" w:sz="8" w:space="0" w:color="BFBFBF"/>
              <w:left w:val="nil"/>
              <w:bottom w:val="single" w:sz="8" w:space="0" w:color="BFBFBF"/>
              <w:right w:val="single" w:sz="8" w:space="0" w:color="BFBFBF"/>
            </w:tcBorders>
            <w:shd w:val="clear" w:color="000000" w:fill="DBE5F1"/>
            <w:vAlign w:val="bottom"/>
            <w:hideMark/>
          </w:tcPr>
          <w:p w:rsidR="00F719EE" w:rsidRPr="00F719EE" w:rsidRDefault="00F719EE" w:rsidP="00175D09">
            <w:pPr>
              <w:spacing w:line="264" w:lineRule="auto"/>
              <w:jc w:val="center"/>
              <w:rPr>
                <w:rFonts w:eastAsia="Times New Roman" w:cs="Arial"/>
                <w:b/>
                <w:bCs/>
                <w:color w:val="000000"/>
                <w:sz w:val="16"/>
                <w:szCs w:val="16"/>
                <w:lang w:eastAsia="es-ES"/>
              </w:rPr>
            </w:pPr>
            <w:r w:rsidRPr="00F719EE">
              <w:rPr>
                <w:rFonts w:eastAsia="Times New Roman" w:cs="Arial"/>
                <w:b/>
                <w:bCs/>
                <w:color w:val="000000"/>
                <w:sz w:val="16"/>
                <w:szCs w:val="16"/>
                <w:lang w:eastAsia="es-ES"/>
              </w:rPr>
              <w:t>Construcción</w:t>
            </w:r>
          </w:p>
        </w:tc>
        <w:tc>
          <w:tcPr>
            <w:tcW w:w="1341" w:type="dxa"/>
            <w:tcBorders>
              <w:top w:val="single" w:sz="8" w:space="0" w:color="BFBFBF"/>
              <w:left w:val="nil"/>
              <w:bottom w:val="single" w:sz="8" w:space="0" w:color="BFBFBF"/>
            </w:tcBorders>
            <w:shd w:val="clear" w:color="000000" w:fill="DBE5F1"/>
            <w:vAlign w:val="bottom"/>
            <w:hideMark/>
          </w:tcPr>
          <w:p w:rsidR="00F719EE" w:rsidRPr="00F719EE" w:rsidRDefault="00F719EE" w:rsidP="00175D09">
            <w:pPr>
              <w:spacing w:line="264" w:lineRule="auto"/>
              <w:jc w:val="center"/>
              <w:rPr>
                <w:rFonts w:eastAsia="Times New Roman" w:cs="Arial"/>
                <w:b/>
                <w:bCs/>
                <w:color w:val="000000"/>
                <w:sz w:val="16"/>
                <w:szCs w:val="16"/>
                <w:lang w:eastAsia="es-ES"/>
              </w:rPr>
            </w:pPr>
            <w:r w:rsidRPr="00F719EE">
              <w:rPr>
                <w:rFonts w:eastAsia="Times New Roman" w:cs="Arial"/>
                <w:b/>
                <w:bCs/>
                <w:color w:val="000000"/>
                <w:sz w:val="16"/>
                <w:szCs w:val="16"/>
                <w:lang w:eastAsia="es-ES"/>
              </w:rPr>
              <w:t>Servicios</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rPr>
                <w:rFonts w:eastAsia="Times New Roman" w:cs="Arial"/>
                <w:b/>
                <w:bCs/>
                <w:color w:val="000000"/>
                <w:sz w:val="16"/>
                <w:szCs w:val="16"/>
                <w:lang w:eastAsia="es-ES"/>
              </w:rPr>
            </w:pPr>
            <w:r w:rsidRPr="00F719EE">
              <w:rPr>
                <w:rFonts w:eastAsia="Times New Roman" w:cs="Arial"/>
                <w:b/>
                <w:bCs/>
                <w:color w:val="000000"/>
                <w:sz w:val="16"/>
                <w:szCs w:val="16"/>
                <w:lang w:val="es-ES_tradnl" w:eastAsia="es-ES"/>
              </w:rPr>
              <w:t>INGRESOS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val="es-ES_tradnl" w:eastAsia="es-ES"/>
              </w:rPr>
              <w:t>70 Ventas Netas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2.760.985.201</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3.839.859</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1.154.673.355</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80.659.363</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1.521.812.624</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71 Variación de Existencias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5.585.973</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99.730</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3.406.010</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1.188.040</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892.194</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73 Trabajos realizados para Inmovilizado</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3.798.338</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14.603</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2.291.519</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50.635</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1.441.581</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74 Subvenciones de Explotación</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118.712.957</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358.575</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7.337.997</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232.458</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110.783.927</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75 Ingresos Accesorios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227.419.224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77.210</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18.843.518</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873.565</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207.624.931</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76 Ingresos Financieros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20.659.353</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22.895</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15.382.764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255.590</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4.998.105</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77 Ingresos Excepcionales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9.098.938</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37.604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3.352.714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814.746</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4.893.875</w:t>
            </w:r>
          </w:p>
        </w:tc>
      </w:tr>
      <w:tr w:rsidR="00F719EE" w:rsidRPr="00F719EE" w:rsidTr="00D508DF">
        <w:trPr>
          <w:jc w:val="center"/>
        </w:trPr>
        <w:tc>
          <w:tcPr>
            <w:tcW w:w="3235" w:type="dxa"/>
            <w:tcBorders>
              <w:top w:val="nil"/>
              <w:left w:val="nil"/>
              <w:bottom w:val="single" w:sz="8" w:space="0" w:color="BFBFBF"/>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79 Excesos Provisión</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20.663.445</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0</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7.375.985</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122.519</w:t>
            </w:r>
          </w:p>
        </w:tc>
        <w:tc>
          <w:tcPr>
            <w:tcW w:w="1341" w:type="dxa"/>
            <w:tcBorders>
              <w:top w:val="nil"/>
              <w:left w:val="nil"/>
              <w:bottom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13.164.940</w:t>
            </w:r>
          </w:p>
        </w:tc>
      </w:tr>
      <w:tr w:rsidR="00F719EE" w:rsidRPr="00F719EE" w:rsidTr="00D508DF">
        <w:trPr>
          <w:jc w:val="center"/>
        </w:trPr>
        <w:tc>
          <w:tcPr>
            <w:tcW w:w="3235" w:type="dxa"/>
            <w:tcBorders>
              <w:top w:val="nil"/>
              <w:left w:val="nil"/>
              <w:bottom w:val="single" w:sz="8" w:space="0" w:color="BFBFBF"/>
              <w:right w:val="single" w:sz="8" w:space="0" w:color="BFBFBF"/>
            </w:tcBorders>
            <w:shd w:val="clear" w:color="000000" w:fill="E6E6E6"/>
            <w:vAlign w:val="bottom"/>
            <w:hideMark/>
          </w:tcPr>
          <w:p w:rsidR="00F719EE" w:rsidRPr="00F719EE" w:rsidRDefault="00F719EE" w:rsidP="00175D09">
            <w:pPr>
              <w:spacing w:line="264" w:lineRule="auto"/>
              <w:jc w:val="left"/>
              <w:rPr>
                <w:rFonts w:eastAsia="Times New Roman" w:cs="Arial"/>
                <w:b/>
                <w:bCs/>
                <w:color w:val="000000"/>
                <w:sz w:val="16"/>
                <w:szCs w:val="16"/>
                <w:lang w:eastAsia="es-ES"/>
              </w:rPr>
            </w:pPr>
            <w:r w:rsidRPr="00F719EE">
              <w:rPr>
                <w:rFonts w:eastAsia="Times New Roman" w:cs="Arial"/>
                <w:b/>
                <w:bCs/>
                <w:color w:val="000000"/>
                <w:sz w:val="16"/>
                <w:szCs w:val="16"/>
                <w:lang w:eastAsia="es-ES"/>
              </w:rPr>
              <w:t> </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3.166.923.429</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4.450.475</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1.212.663.862</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84.196.916</w:t>
            </w:r>
          </w:p>
        </w:tc>
        <w:tc>
          <w:tcPr>
            <w:tcW w:w="1341" w:type="dxa"/>
            <w:tcBorders>
              <w:top w:val="nil"/>
              <w:left w:val="nil"/>
              <w:bottom w:val="single" w:sz="8" w:space="0" w:color="BFBFBF"/>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1.865.612.176</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b/>
                <w:bCs/>
                <w:color w:val="000000"/>
                <w:sz w:val="16"/>
                <w:szCs w:val="16"/>
                <w:lang w:eastAsia="es-ES"/>
              </w:rPr>
            </w:pPr>
            <w:r w:rsidRPr="00F719EE">
              <w:rPr>
                <w:rFonts w:eastAsia="Times New Roman" w:cs="Arial"/>
                <w:b/>
                <w:bCs/>
                <w:color w:val="000000"/>
                <w:sz w:val="16"/>
                <w:szCs w:val="16"/>
                <w:lang w:val="es-ES_tradnl" w:eastAsia="es-ES"/>
              </w:rPr>
              <w:t>GASTOS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 </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val="es-ES_tradnl" w:eastAsia="es-ES"/>
              </w:rPr>
              <w:t>60 Compras Netas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1.715.767.998</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1.493.494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661.548.990</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44.544.484</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1.008.181.029</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61 Variación Existencias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-6.152.081</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-54.768</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-6.469.274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-41.920</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413.880</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62 Servicios Exteriores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368.240.184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1.036.457</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166.584.870</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9.224.707</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191.394.151</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63 Impuestos Ligados a la Actividad</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3.426.881</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65.231</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3.287.949</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314.991</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-241.291</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64 Gastos de Personal</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704.499.858</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1.618.407</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276.801.419</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25.896.996</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400.183.037</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65 Gastos de Gestión</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79.897.194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29.094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9.077.370</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541.149</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70.249.581</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66 Gastos Financieros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67.636.300</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42.774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44.957.266</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435.506</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22.200.753</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67 Gastos Excepcionales</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6.026.037</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58.336</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2.804.665</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288.831</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2.874.205</w:t>
            </w:r>
          </w:p>
        </w:tc>
      </w:tr>
      <w:tr w:rsidR="00F719EE" w:rsidRPr="00F719EE" w:rsidTr="00D508DF">
        <w:trPr>
          <w:jc w:val="center"/>
        </w:trPr>
        <w:tc>
          <w:tcPr>
            <w:tcW w:w="3235" w:type="dxa"/>
            <w:tcBorders>
              <w:top w:val="nil"/>
              <w:left w:val="nil"/>
              <w:bottom w:val="nil"/>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68 Dotación del Ejercicio para Amortización</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116.342.175</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395.014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78.221.384</w:t>
            </w:r>
          </w:p>
        </w:tc>
        <w:tc>
          <w:tcPr>
            <w:tcW w:w="1341" w:type="dxa"/>
            <w:tcBorders>
              <w:top w:val="nil"/>
              <w:left w:val="nil"/>
              <w:bottom w:val="nil"/>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832.177</w:t>
            </w:r>
          </w:p>
        </w:tc>
        <w:tc>
          <w:tcPr>
            <w:tcW w:w="1341" w:type="dxa"/>
            <w:tcBorders>
              <w:top w:val="nil"/>
              <w:left w:val="nil"/>
              <w:bottom w:val="nil"/>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36.893.600</w:t>
            </w:r>
          </w:p>
        </w:tc>
      </w:tr>
      <w:tr w:rsidR="00F719EE" w:rsidRPr="00F719EE" w:rsidTr="00D508DF">
        <w:trPr>
          <w:jc w:val="center"/>
        </w:trPr>
        <w:tc>
          <w:tcPr>
            <w:tcW w:w="3235" w:type="dxa"/>
            <w:tcBorders>
              <w:top w:val="nil"/>
              <w:left w:val="nil"/>
              <w:bottom w:val="single" w:sz="8" w:space="0" w:color="BFBFBF"/>
              <w:right w:val="single" w:sz="8" w:space="0" w:color="BFBFBF"/>
            </w:tcBorders>
            <w:shd w:val="clear" w:color="auto" w:fill="auto"/>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69 Dotaciones Provisión</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178.995.666</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61.133</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11.949.573</w:t>
            </w:r>
          </w:p>
        </w:tc>
        <w:tc>
          <w:tcPr>
            <w:tcW w:w="1341" w:type="dxa"/>
            <w:tcBorders>
              <w:top w:val="nil"/>
              <w:left w:val="nil"/>
              <w:bottom w:val="single" w:sz="8" w:space="0" w:color="BFBFBF"/>
              <w:right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1.169.930</w:t>
            </w:r>
          </w:p>
        </w:tc>
        <w:tc>
          <w:tcPr>
            <w:tcW w:w="1341" w:type="dxa"/>
            <w:tcBorders>
              <w:top w:val="nil"/>
              <w:left w:val="nil"/>
              <w:bottom w:val="single" w:sz="8" w:space="0" w:color="BFBFBF"/>
            </w:tcBorders>
            <w:shd w:val="clear" w:color="auto" w:fill="auto"/>
            <w:noWrap/>
            <w:vAlign w:val="bottom"/>
            <w:hideMark/>
          </w:tcPr>
          <w:p w:rsidR="00F719EE" w:rsidRPr="00F719EE" w:rsidRDefault="00F719EE" w:rsidP="00175D09">
            <w:pPr>
              <w:spacing w:line="264" w:lineRule="auto"/>
              <w:jc w:val="right"/>
              <w:rPr>
                <w:rFonts w:eastAsia="Times New Roman" w:cs="Arial"/>
                <w:color w:val="000000"/>
                <w:sz w:val="16"/>
                <w:szCs w:val="16"/>
                <w:lang w:eastAsia="es-ES"/>
              </w:rPr>
            </w:pPr>
            <w:r w:rsidRPr="00F719EE">
              <w:rPr>
                <w:rFonts w:eastAsia="Times New Roman" w:cs="Arial"/>
                <w:color w:val="000000"/>
                <w:sz w:val="16"/>
                <w:szCs w:val="16"/>
                <w:lang w:eastAsia="es-ES"/>
              </w:rPr>
              <w:t>165.815.030</w:t>
            </w:r>
          </w:p>
        </w:tc>
      </w:tr>
      <w:tr w:rsidR="00F719EE" w:rsidRPr="00F719EE" w:rsidTr="00D508DF">
        <w:trPr>
          <w:jc w:val="center"/>
        </w:trPr>
        <w:tc>
          <w:tcPr>
            <w:tcW w:w="3235" w:type="dxa"/>
            <w:tcBorders>
              <w:top w:val="nil"/>
              <w:left w:val="nil"/>
              <w:bottom w:val="single" w:sz="8" w:space="0" w:color="BFBFBF"/>
              <w:right w:val="single" w:sz="8" w:space="0" w:color="BFBFBF"/>
            </w:tcBorders>
            <w:shd w:val="clear" w:color="000000" w:fill="E6E6E6"/>
            <w:vAlign w:val="bottom"/>
            <w:hideMark/>
          </w:tcPr>
          <w:p w:rsidR="00F719EE" w:rsidRPr="00F719EE" w:rsidRDefault="00F719EE" w:rsidP="00175D09">
            <w:pPr>
              <w:spacing w:line="264" w:lineRule="auto"/>
              <w:jc w:val="left"/>
              <w:rPr>
                <w:rFonts w:eastAsia="Times New Roman" w:cs="Arial"/>
                <w:color w:val="000000"/>
                <w:sz w:val="16"/>
                <w:szCs w:val="16"/>
                <w:lang w:eastAsia="es-ES"/>
              </w:rPr>
            </w:pPr>
            <w:r w:rsidRPr="00F719EE">
              <w:rPr>
                <w:rFonts w:eastAsia="Times New Roman" w:cs="Arial"/>
                <w:color w:val="000000"/>
                <w:sz w:val="16"/>
                <w:szCs w:val="16"/>
                <w:lang w:eastAsia="es-ES"/>
              </w:rPr>
              <w:t> </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3.234.680.210</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4.745.171</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1.248.764.213</w:t>
            </w:r>
          </w:p>
        </w:tc>
        <w:tc>
          <w:tcPr>
            <w:tcW w:w="1341" w:type="dxa"/>
            <w:tcBorders>
              <w:top w:val="nil"/>
              <w:left w:val="nil"/>
              <w:bottom w:val="single" w:sz="8" w:space="0" w:color="BFBFBF"/>
              <w:right w:val="nil"/>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83.206.851</w:t>
            </w:r>
          </w:p>
        </w:tc>
        <w:tc>
          <w:tcPr>
            <w:tcW w:w="1341" w:type="dxa"/>
            <w:tcBorders>
              <w:top w:val="nil"/>
              <w:left w:val="nil"/>
              <w:bottom w:val="single" w:sz="8" w:space="0" w:color="BFBFBF"/>
            </w:tcBorders>
            <w:shd w:val="clear" w:color="000000" w:fill="E6E6E6"/>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1.897.963.975</w:t>
            </w:r>
          </w:p>
        </w:tc>
      </w:tr>
      <w:tr w:rsidR="00F719EE" w:rsidRPr="00F719EE" w:rsidTr="00D508DF">
        <w:trPr>
          <w:jc w:val="center"/>
        </w:trPr>
        <w:tc>
          <w:tcPr>
            <w:tcW w:w="3235"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rPr>
                <w:rFonts w:eastAsia="Times New Roman" w:cs="Arial"/>
                <w:b/>
                <w:bCs/>
                <w:color w:val="000000"/>
                <w:sz w:val="16"/>
                <w:szCs w:val="16"/>
                <w:lang w:eastAsia="es-ES"/>
              </w:rPr>
            </w:pPr>
            <w:r w:rsidRPr="00F719EE">
              <w:rPr>
                <w:rFonts w:eastAsia="Times New Roman" w:cs="Arial"/>
                <w:b/>
                <w:bCs/>
                <w:color w:val="000000"/>
                <w:sz w:val="16"/>
                <w:szCs w:val="16"/>
                <w:lang w:val="es-ES_tradnl" w:eastAsia="es-ES"/>
              </w:rPr>
              <w:t>BENEFICIO (+) o PÉRDIDA (-)</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-67.756.781</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-294.696</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-36.100.351</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990.065</w:t>
            </w:r>
          </w:p>
        </w:tc>
        <w:tc>
          <w:tcPr>
            <w:tcW w:w="1341" w:type="dxa"/>
            <w:tcBorders>
              <w:top w:val="nil"/>
              <w:left w:val="nil"/>
              <w:bottom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-32.351.799</w:t>
            </w:r>
          </w:p>
        </w:tc>
      </w:tr>
      <w:tr w:rsidR="00F719EE" w:rsidRPr="00F719EE" w:rsidTr="00D508DF">
        <w:trPr>
          <w:jc w:val="center"/>
        </w:trPr>
        <w:tc>
          <w:tcPr>
            <w:tcW w:w="3235" w:type="dxa"/>
            <w:tcBorders>
              <w:top w:val="nil"/>
              <w:left w:val="nil"/>
              <w:bottom w:val="single" w:sz="8" w:space="0" w:color="BFBFBF"/>
              <w:right w:val="single" w:sz="8" w:space="0" w:color="BFBFBF"/>
            </w:tcBorders>
            <w:shd w:val="clear" w:color="auto" w:fill="auto"/>
            <w:vAlign w:val="bottom"/>
            <w:hideMark/>
          </w:tcPr>
          <w:p w:rsidR="00F719EE" w:rsidRPr="00F719EE" w:rsidRDefault="00F719EE" w:rsidP="00175D09">
            <w:pPr>
              <w:spacing w:line="264" w:lineRule="auto"/>
              <w:rPr>
                <w:rFonts w:eastAsia="Times New Roman" w:cs="Arial"/>
                <w:b/>
                <w:bCs/>
                <w:color w:val="000000"/>
                <w:sz w:val="10"/>
                <w:szCs w:val="10"/>
                <w:lang w:eastAsia="es-ES"/>
              </w:rPr>
            </w:pPr>
            <w:r w:rsidRPr="00F719EE">
              <w:rPr>
                <w:rFonts w:eastAsia="Times New Roman" w:cs="Arial"/>
                <w:b/>
                <w:bCs/>
                <w:color w:val="000000"/>
                <w:sz w:val="10"/>
                <w:szCs w:val="10"/>
                <w:lang w:eastAsia="es-ES"/>
              </w:rPr>
              <w:t> </w:t>
            </w:r>
          </w:p>
        </w:tc>
        <w:tc>
          <w:tcPr>
            <w:tcW w:w="1341" w:type="dxa"/>
            <w:tcBorders>
              <w:top w:val="nil"/>
              <w:left w:val="nil"/>
              <w:bottom w:val="single" w:sz="8" w:space="0" w:color="BFBFBF"/>
              <w:right w:val="single" w:sz="8" w:space="0" w:color="BFBFBF"/>
            </w:tcBorders>
            <w:shd w:val="clear" w:color="auto" w:fill="auto"/>
            <w:vAlign w:val="bottom"/>
            <w:hideMark/>
          </w:tcPr>
          <w:p w:rsidR="00F719EE" w:rsidRPr="00F719EE" w:rsidRDefault="00F719EE" w:rsidP="00175D09">
            <w:pPr>
              <w:spacing w:line="264" w:lineRule="auto"/>
              <w:jc w:val="right"/>
              <w:rPr>
                <w:rFonts w:eastAsia="Times New Roman" w:cs="Arial"/>
                <w:b/>
                <w:bCs/>
                <w:color w:val="000000"/>
                <w:sz w:val="10"/>
                <w:szCs w:val="10"/>
                <w:lang w:eastAsia="es-ES"/>
              </w:rPr>
            </w:pPr>
            <w:r w:rsidRPr="00F719EE">
              <w:rPr>
                <w:rFonts w:eastAsia="Times New Roman" w:cs="Arial"/>
                <w:b/>
                <w:bCs/>
                <w:color w:val="000000"/>
                <w:sz w:val="10"/>
                <w:szCs w:val="10"/>
                <w:lang w:eastAsia="es-ES"/>
              </w:rPr>
              <w:t> </w:t>
            </w:r>
          </w:p>
        </w:tc>
        <w:tc>
          <w:tcPr>
            <w:tcW w:w="1341" w:type="dxa"/>
            <w:tcBorders>
              <w:top w:val="nil"/>
              <w:left w:val="nil"/>
              <w:bottom w:val="single" w:sz="8" w:space="0" w:color="BFBFBF"/>
              <w:right w:val="single" w:sz="8" w:space="0" w:color="BFBFBF"/>
            </w:tcBorders>
            <w:shd w:val="clear" w:color="auto" w:fill="auto"/>
            <w:vAlign w:val="bottom"/>
            <w:hideMark/>
          </w:tcPr>
          <w:p w:rsidR="00F719EE" w:rsidRPr="00F719EE" w:rsidRDefault="00F719EE" w:rsidP="00175D09">
            <w:pPr>
              <w:spacing w:line="264" w:lineRule="auto"/>
              <w:jc w:val="right"/>
              <w:rPr>
                <w:rFonts w:eastAsia="Times New Roman" w:cs="Arial"/>
                <w:b/>
                <w:bCs/>
                <w:color w:val="000000"/>
                <w:sz w:val="10"/>
                <w:szCs w:val="10"/>
                <w:lang w:eastAsia="es-ES"/>
              </w:rPr>
            </w:pPr>
            <w:r w:rsidRPr="00F719EE">
              <w:rPr>
                <w:rFonts w:eastAsia="Times New Roman" w:cs="Arial"/>
                <w:b/>
                <w:bCs/>
                <w:color w:val="000000"/>
                <w:sz w:val="10"/>
                <w:szCs w:val="10"/>
                <w:lang w:eastAsia="es-ES"/>
              </w:rPr>
              <w:t> </w:t>
            </w:r>
          </w:p>
        </w:tc>
        <w:tc>
          <w:tcPr>
            <w:tcW w:w="1341" w:type="dxa"/>
            <w:tcBorders>
              <w:top w:val="nil"/>
              <w:left w:val="nil"/>
              <w:bottom w:val="single" w:sz="8" w:space="0" w:color="BFBFBF"/>
              <w:right w:val="single" w:sz="8" w:space="0" w:color="BFBFBF"/>
            </w:tcBorders>
            <w:shd w:val="clear" w:color="auto" w:fill="auto"/>
            <w:vAlign w:val="bottom"/>
            <w:hideMark/>
          </w:tcPr>
          <w:p w:rsidR="00F719EE" w:rsidRPr="00F719EE" w:rsidRDefault="00F719EE" w:rsidP="00175D09">
            <w:pPr>
              <w:spacing w:line="264" w:lineRule="auto"/>
              <w:jc w:val="right"/>
              <w:rPr>
                <w:rFonts w:eastAsia="Times New Roman" w:cs="Arial"/>
                <w:b/>
                <w:bCs/>
                <w:color w:val="000000"/>
                <w:sz w:val="10"/>
                <w:szCs w:val="10"/>
                <w:lang w:eastAsia="es-ES"/>
              </w:rPr>
            </w:pPr>
            <w:r w:rsidRPr="00F719EE">
              <w:rPr>
                <w:rFonts w:eastAsia="Times New Roman" w:cs="Arial"/>
                <w:b/>
                <w:bCs/>
                <w:color w:val="000000"/>
                <w:sz w:val="10"/>
                <w:szCs w:val="10"/>
                <w:lang w:eastAsia="es-ES"/>
              </w:rPr>
              <w:t> </w:t>
            </w:r>
          </w:p>
        </w:tc>
        <w:tc>
          <w:tcPr>
            <w:tcW w:w="1341" w:type="dxa"/>
            <w:tcBorders>
              <w:top w:val="nil"/>
              <w:left w:val="nil"/>
              <w:bottom w:val="single" w:sz="8" w:space="0" w:color="BFBFBF"/>
              <w:right w:val="single" w:sz="8" w:space="0" w:color="BFBFBF"/>
            </w:tcBorders>
            <w:shd w:val="clear" w:color="auto" w:fill="auto"/>
            <w:vAlign w:val="bottom"/>
            <w:hideMark/>
          </w:tcPr>
          <w:p w:rsidR="00F719EE" w:rsidRPr="00F719EE" w:rsidRDefault="00F719EE" w:rsidP="00175D09">
            <w:pPr>
              <w:spacing w:line="264" w:lineRule="auto"/>
              <w:jc w:val="right"/>
              <w:rPr>
                <w:rFonts w:eastAsia="Times New Roman" w:cs="Arial"/>
                <w:b/>
                <w:bCs/>
                <w:color w:val="000000"/>
                <w:sz w:val="10"/>
                <w:szCs w:val="10"/>
                <w:lang w:eastAsia="es-ES"/>
              </w:rPr>
            </w:pPr>
            <w:r w:rsidRPr="00F719EE">
              <w:rPr>
                <w:rFonts w:eastAsia="Times New Roman" w:cs="Arial"/>
                <w:b/>
                <w:bCs/>
                <w:color w:val="000000"/>
                <w:sz w:val="10"/>
                <w:szCs w:val="10"/>
                <w:lang w:eastAsia="es-ES"/>
              </w:rPr>
              <w:t> </w:t>
            </w:r>
          </w:p>
        </w:tc>
        <w:tc>
          <w:tcPr>
            <w:tcW w:w="1341" w:type="dxa"/>
            <w:tcBorders>
              <w:top w:val="nil"/>
              <w:left w:val="nil"/>
              <w:bottom w:val="single" w:sz="8" w:space="0" w:color="BFBFBF"/>
            </w:tcBorders>
            <w:shd w:val="clear" w:color="auto" w:fill="auto"/>
            <w:vAlign w:val="bottom"/>
            <w:hideMark/>
          </w:tcPr>
          <w:p w:rsidR="00F719EE" w:rsidRPr="00F719EE" w:rsidRDefault="00F719EE" w:rsidP="00175D09">
            <w:pPr>
              <w:spacing w:line="264" w:lineRule="auto"/>
              <w:jc w:val="right"/>
              <w:rPr>
                <w:rFonts w:eastAsia="Times New Roman" w:cs="Arial"/>
                <w:b/>
                <w:bCs/>
                <w:color w:val="000000"/>
                <w:sz w:val="10"/>
                <w:szCs w:val="10"/>
                <w:lang w:eastAsia="es-ES"/>
              </w:rPr>
            </w:pPr>
            <w:r w:rsidRPr="00F719EE">
              <w:rPr>
                <w:rFonts w:eastAsia="Times New Roman" w:cs="Arial"/>
                <w:b/>
                <w:bCs/>
                <w:color w:val="000000"/>
                <w:sz w:val="10"/>
                <w:szCs w:val="10"/>
                <w:lang w:eastAsia="es-ES"/>
              </w:rPr>
              <w:t> </w:t>
            </w:r>
          </w:p>
        </w:tc>
      </w:tr>
      <w:tr w:rsidR="00F719EE" w:rsidRPr="00F719EE" w:rsidTr="00D508DF">
        <w:trPr>
          <w:jc w:val="center"/>
        </w:trPr>
        <w:tc>
          <w:tcPr>
            <w:tcW w:w="3235"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rPr>
                <w:rFonts w:eastAsia="Times New Roman" w:cs="Arial"/>
                <w:b/>
                <w:bCs/>
                <w:color w:val="000000"/>
                <w:sz w:val="16"/>
                <w:szCs w:val="16"/>
                <w:lang w:eastAsia="es-ES"/>
              </w:rPr>
            </w:pPr>
            <w:r w:rsidRPr="00F719EE">
              <w:rPr>
                <w:rFonts w:eastAsia="Times New Roman" w:cs="Arial"/>
                <w:b/>
                <w:bCs/>
                <w:color w:val="000000"/>
                <w:sz w:val="16"/>
                <w:szCs w:val="16"/>
                <w:lang w:val="en-GB" w:eastAsia="es-ES"/>
              </w:rPr>
              <w:t>CASH FLOW</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227.581.059</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161.451</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54.070.606</w:t>
            </w:r>
          </w:p>
        </w:tc>
        <w:tc>
          <w:tcPr>
            <w:tcW w:w="1341" w:type="dxa"/>
            <w:tcBorders>
              <w:top w:val="nil"/>
              <w:left w:val="nil"/>
              <w:bottom w:val="single" w:sz="8" w:space="0" w:color="BFBFBF"/>
              <w:right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2.992.172</w:t>
            </w:r>
          </w:p>
        </w:tc>
        <w:tc>
          <w:tcPr>
            <w:tcW w:w="1341" w:type="dxa"/>
            <w:tcBorders>
              <w:top w:val="nil"/>
              <w:left w:val="nil"/>
              <w:bottom w:val="single" w:sz="8" w:space="0" w:color="BFBFBF"/>
            </w:tcBorders>
            <w:shd w:val="clear" w:color="000000" w:fill="DDEEFF"/>
            <w:vAlign w:val="bottom"/>
            <w:hideMark/>
          </w:tcPr>
          <w:p w:rsidR="00F719EE" w:rsidRPr="00F719EE" w:rsidRDefault="00F719EE" w:rsidP="00175D09">
            <w:pPr>
              <w:spacing w:line="264" w:lineRule="auto"/>
              <w:jc w:val="right"/>
              <w:rPr>
                <w:rFonts w:eastAsia="Times New Roman" w:cs="Arial"/>
                <w:b/>
                <w:bCs/>
                <w:color w:val="000000"/>
                <w:sz w:val="16"/>
                <w:szCs w:val="16"/>
                <w:lang w:eastAsia="es-ES"/>
              </w:rPr>
            </w:pPr>
            <w:r w:rsidRPr="00F719EE">
              <w:rPr>
                <w:rFonts w:eastAsia="Times New Roman" w:cs="Arial"/>
                <w:b/>
                <w:bCs/>
                <w:color w:val="000000"/>
                <w:sz w:val="16"/>
                <w:szCs w:val="16"/>
                <w:lang w:eastAsia="es-ES"/>
              </w:rPr>
              <w:t>170.356.830</w:t>
            </w:r>
          </w:p>
        </w:tc>
      </w:tr>
    </w:tbl>
    <w:p w:rsidR="00665097" w:rsidRDefault="00665097" w:rsidP="00BB313D">
      <w:pPr>
        <w:widowControl w:val="0"/>
        <w:rPr>
          <w:lang w:val="en-GB"/>
        </w:rPr>
      </w:pPr>
    </w:p>
    <w:p w:rsidR="00665097" w:rsidRDefault="00DE1512" w:rsidP="00BB313D">
      <w:pPr>
        <w:widowControl w:val="0"/>
        <w:spacing w:line="240" w:lineRule="auto"/>
        <w:jc w:val="center"/>
        <w:rPr>
          <w:rFonts w:cs="Arial"/>
          <w:b/>
          <w:color w:val="1F497D" w:themeColor="text2"/>
          <w:sz w:val="18"/>
          <w:szCs w:val="18"/>
        </w:rPr>
      </w:pPr>
      <w:bookmarkStart w:id="261" w:name="_Toc391999647"/>
      <w:bookmarkStart w:id="262" w:name="_Toc450119530"/>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75</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665097" w:rsidRPr="006116A2">
        <w:rPr>
          <w:rFonts w:cs="Arial"/>
          <w:b/>
          <w:color w:val="1F497D" w:themeColor="text2"/>
          <w:sz w:val="18"/>
          <w:szCs w:val="18"/>
        </w:rPr>
        <w:t>CUENTA DE RESULTADOS DE LA ECONOMÍA SOCIAL S</w:t>
      </w:r>
      <w:r w:rsidR="00A55A29">
        <w:rPr>
          <w:rFonts w:cs="Arial"/>
          <w:b/>
          <w:color w:val="1F497D" w:themeColor="text2"/>
          <w:sz w:val="18"/>
          <w:szCs w:val="18"/>
        </w:rPr>
        <w:t>EGÚN SECTOR DE ACTIVIDAD EN 2014</w:t>
      </w:r>
      <w:r w:rsidR="00665097" w:rsidRPr="006116A2">
        <w:rPr>
          <w:rFonts w:cs="Arial"/>
          <w:b/>
          <w:color w:val="1F497D" w:themeColor="text2"/>
          <w:sz w:val="18"/>
          <w:szCs w:val="18"/>
        </w:rPr>
        <w:t xml:space="preserve">. </w:t>
      </w:r>
      <w:r w:rsidR="00665097" w:rsidRPr="008B5D14">
        <w:rPr>
          <w:rFonts w:cs="Arial"/>
          <w:b/>
          <w:color w:val="1F497D" w:themeColor="text2"/>
          <w:sz w:val="18"/>
          <w:szCs w:val="18"/>
        </w:rPr>
        <w:t>GIPUZKOA (</w:t>
      </w:r>
      <w:r w:rsidR="00590809">
        <w:rPr>
          <w:rFonts w:cs="Arial"/>
          <w:b/>
          <w:color w:val="1F497D" w:themeColor="text2"/>
          <w:sz w:val="18"/>
          <w:szCs w:val="18"/>
        </w:rPr>
        <w:t>cifras absolutas en Euros</w:t>
      </w:r>
      <w:r w:rsidR="00665097" w:rsidRPr="008B5D14">
        <w:rPr>
          <w:rFonts w:cs="Arial"/>
          <w:b/>
          <w:color w:val="1F497D" w:themeColor="text2"/>
          <w:sz w:val="18"/>
          <w:szCs w:val="18"/>
        </w:rPr>
        <w:t>) (Precios corrientes)</w:t>
      </w:r>
      <w:bookmarkEnd w:id="261"/>
      <w:bookmarkEnd w:id="262"/>
    </w:p>
    <w:p w:rsidR="00591EBA" w:rsidRDefault="00591EBA" w:rsidP="00BB313D">
      <w:pPr>
        <w:widowControl w:val="0"/>
        <w:spacing w:line="240" w:lineRule="auto"/>
        <w:jc w:val="center"/>
        <w:rPr>
          <w:rFonts w:cs="Arial"/>
          <w:b/>
          <w:color w:val="1F497D" w:themeColor="text2"/>
          <w:sz w:val="18"/>
          <w:szCs w:val="18"/>
        </w:rPr>
      </w:pPr>
    </w:p>
    <w:tbl>
      <w:tblPr>
        <w:tblW w:w="9940" w:type="dxa"/>
        <w:jc w:val="center"/>
        <w:tblInd w:w="55" w:type="dxa"/>
        <w:tblLayout w:type="fixed"/>
        <w:tblCellMar>
          <w:left w:w="70" w:type="dxa"/>
          <w:right w:w="70" w:type="dxa"/>
        </w:tblCellMar>
        <w:tblLook w:val="04A0" w:firstRow="1" w:lastRow="0" w:firstColumn="1" w:lastColumn="0" w:noHBand="0" w:noVBand="1"/>
      </w:tblPr>
      <w:tblGrid>
        <w:gridCol w:w="3270"/>
        <w:gridCol w:w="1334"/>
        <w:gridCol w:w="1334"/>
        <w:gridCol w:w="1334"/>
        <w:gridCol w:w="1334"/>
        <w:gridCol w:w="1334"/>
      </w:tblGrid>
      <w:tr w:rsidR="003A1D39" w:rsidRPr="003A1D39" w:rsidTr="00D508DF">
        <w:trPr>
          <w:jc w:val="center"/>
        </w:trPr>
        <w:tc>
          <w:tcPr>
            <w:tcW w:w="3270" w:type="dxa"/>
            <w:tcBorders>
              <w:top w:val="single" w:sz="8" w:space="0" w:color="BFBFBF"/>
              <w:left w:val="nil"/>
              <w:bottom w:val="single" w:sz="8" w:space="0" w:color="BFBFBF"/>
              <w:right w:val="single" w:sz="8" w:space="0" w:color="BFBFBF"/>
            </w:tcBorders>
            <w:shd w:val="clear" w:color="000000" w:fill="DBE5F1"/>
            <w:vAlign w:val="bottom"/>
            <w:hideMark/>
          </w:tcPr>
          <w:p w:rsidR="003A1D39" w:rsidRPr="003A1D39" w:rsidRDefault="003A1D39" w:rsidP="00175D09">
            <w:pPr>
              <w:spacing w:line="264" w:lineRule="auto"/>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3A1D39" w:rsidRPr="003A1D39" w:rsidRDefault="003A1D39" w:rsidP="00175D09">
            <w:pPr>
              <w:spacing w:line="264" w:lineRule="auto"/>
              <w:jc w:val="center"/>
              <w:rPr>
                <w:rFonts w:eastAsia="Times New Roman" w:cs="Arial"/>
                <w:b/>
                <w:bCs/>
                <w:color w:val="000000"/>
                <w:sz w:val="16"/>
                <w:szCs w:val="16"/>
                <w:lang w:eastAsia="es-ES"/>
              </w:rPr>
            </w:pPr>
            <w:r w:rsidRPr="003A1D39">
              <w:rPr>
                <w:rFonts w:eastAsia="Times New Roman" w:cs="Arial"/>
                <w:b/>
                <w:bCs/>
                <w:color w:val="000000"/>
                <w:sz w:val="16"/>
                <w:szCs w:val="16"/>
                <w:lang w:eastAsia="es-ES"/>
              </w:rPr>
              <w:t>TOTAL</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3A1D39" w:rsidRPr="003A1D39" w:rsidRDefault="003A1D39" w:rsidP="00175D09">
            <w:pPr>
              <w:spacing w:line="264" w:lineRule="auto"/>
              <w:jc w:val="center"/>
              <w:rPr>
                <w:rFonts w:eastAsia="Times New Roman" w:cs="Arial"/>
                <w:b/>
                <w:bCs/>
                <w:color w:val="000000"/>
                <w:sz w:val="16"/>
                <w:szCs w:val="16"/>
                <w:lang w:eastAsia="es-ES"/>
              </w:rPr>
            </w:pPr>
            <w:r w:rsidRPr="003A1D39">
              <w:rPr>
                <w:rFonts w:eastAsia="Times New Roman" w:cs="Arial"/>
                <w:b/>
                <w:bCs/>
                <w:color w:val="000000"/>
                <w:sz w:val="16"/>
                <w:szCs w:val="16"/>
                <w:lang w:eastAsia="es-ES"/>
              </w:rPr>
              <w:t>Primario</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3A1D39" w:rsidRPr="003A1D39" w:rsidRDefault="003A1D39" w:rsidP="00175D09">
            <w:pPr>
              <w:spacing w:line="264" w:lineRule="auto"/>
              <w:jc w:val="center"/>
              <w:rPr>
                <w:rFonts w:eastAsia="Times New Roman" w:cs="Arial"/>
                <w:b/>
                <w:bCs/>
                <w:color w:val="000000"/>
                <w:sz w:val="16"/>
                <w:szCs w:val="16"/>
                <w:lang w:eastAsia="es-ES"/>
              </w:rPr>
            </w:pPr>
            <w:r w:rsidRPr="003A1D39">
              <w:rPr>
                <w:rFonts w:eastAsia="Times New Roman" w:cs="Arial"/>
                <w:b/>
                <w:bCs/>
                <w:color w:val="000000"/>
                <w:sz w:val="16"/>
                <w:szCs w:val="16"/>
                <w:lang w:eastAsia="es-ES"/>
              </w:rPr>
              <w:t>Industria</w:t>
            </w:r>
          </w:p>
        </w:tc>
        <w:tc>
          <w:tcPr>
            <w:tcW w:w="1334" w:type="dxa"/>
            <w:tcBorders>
              <w:top w:val="single" w:sz="8" w:space="0" w:color="BFBFBF"/>
              <w:left w:val="nil"/>
              <w:bottom w:val="single" w:sz="8" w:space="0" w:color="BFBFBF"/>
              <w:right w:val="single" w:sz="8" w:space="0" w:color="BFBFBF"/>
            </w:tcBorders>
            <w:shd w:val="clear" w:color="000000" w:fill="DBE5F1"/>
            <w:vAlign w:val="bottom"/>
            <w:hideMark/>
          </w:tcPr>
          <w:p w:rsidR="003A1D39" w:rsidRPr="003A1D39" w:rsidRDefault="003A1D39" w:rsidP="00175D09">
            <w:pPr>
              <w:spacing w:line="264" w:lineRule="auto"/>
              <w:jc w:val="center"/>
              <w:rPr>
                <w:rFonts w:eastAsia="Times New Roman" w:cs="Arial"/>
                <w:b/>
                <w:bCs/>
                <w:color w:val="000000"/>
                <w:sz w:val="16"/>
                <w:szCs w:val="16"/>
                <w:lang w:eastAsia="es-ES"/>
              </w:rPr>
            </w:pPr>
            <w:r w:rsidRPr="003A1D39">
              <w:rPr>
                <w:rFonts w:eastAsia="Times New Roman" w:cs="Arial"/>
                <w:b/>
                <w:bCs/>
                <w:color w:val="000000"/>
                <w:sz w:val="16"/>
                <w:szCs w:val="16"/>
                <w:lang w:eastAsia="es-ES"/>
              </w:rPr>
              <w:t>Construcción</w:t>
            </w:r>
          </w:p>
        </w:tc>
        <w:tc>
          <w:tcPr>
            <w:tcW w:w="1334" w:type="dxa"/>
            <w:tcBorders>
              <w:top w:val="single" w:sz="8" w:space="0" w:color="BFBFBF"/>
              <w:left w:val="nil"/>
              <w:bottom w:val="single" w:sz="8" w:space="0" w:color="BFBFBF"/>
            </w:tcBorders>
            <w:shd w:val="clear" w:color="000000" w:fill="DBE5F1"/>
            <w:vAlign w:val="bottom"/>
            <w:hideMark/>
          </w:tcPr>
          <w:p w:rsidR="003A1D39" w:rsidRPr="003A1D39" w:rsidRDefault="003A1D39" w:rsidP="00175D09">
            <w:pPr>
              <w:spacing w:line="264" w:lineRule="auto"/>
              <w:jc w:val="center"/>
              <w:rPr>
                <w:rFonts w:eastAsia="Times New Roman" w:cs="Arial"/>
                <w:b/>
                <w:bCs/>
                <w:color w:val="000000"/>
                <w:sz w:val="16"/>
                <w:szCs w:val="16"/>
                <w:lang w:eastAsia="es-ES"/>
              </w:rPr>
            </w:pPr>
            <w:r w:rsidRPr="003A1D39">
              <w:rPr>
                <w:rFonts w:eastAsia="Times New Roman" w:cs="Arial"/>
                <w:b/>
                <w:bCs/>
                <w:color w:val="000000"/>
                <w:sz w:val="16"/>
                <w:szCs w:val="16"/>
                <w:lang w:eastAsia="es-ES"/>
              </w:rPr>
              <w:t>Servicios</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rPr>
                <w:rFonts w:eastAsia="Times New Roman" w:cs="Arial"/>
                <w:b/>
                <w:bCs/>
                <w:color w:val="000000"/>
                <w:sz w:val="16"/>
                <w:szCs w:val="16"/>
                <w:lang w:eastAsia="es-ES"/>
              </w:rPr>
            </w:pPr>
            <w:r w:rsidRPr="003A1D39">
              <w:rPr>
                <w:rFonts w:eastAsia="Times New Roman" w:cs="Arial"/>
                <w:b/>
                <w:bCs/>
                <w:color w:val="000000"/>
                <w:sz w:val="16"/>
                <w:szCs w:val="16"/>
                <w:lang w:val="es-ES_tradnl" w:eastAsia="es-ES"/>
              </w:rPr>
              <w:t>INGRESOS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val="es-ES_tradnl" w:eastAsia="es-ES"/>
              </w:rPr>
              <w:t>70 Ventas Netas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3.978.450.640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404.693</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2.706.987.397</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37.898.661</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1.233.159.889</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71 Variación de Existencias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-18.241.911</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-19.332.743</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329.679</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761.153</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73 Trabajos realizados para Inmovilizado</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6.526.772</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1.980.418</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48.962</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4.497.391</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74 Subvenciones de Explotación</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173.618.231</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151.107</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27.737.753</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97.991</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145.631.380</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75 Ingresos Accesorios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224.315.168</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1.679</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74.972.013</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81.602</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149.259.874</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76 Ingresos Financieros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106.566.091</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12</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76.973.982</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37.022</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29.555.075</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77 Ingresos Excepcionales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20.708.124</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565</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10.215.433</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79.351</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10.412.775</w:t>
            </w:r>
          </w:p>
        </w:tc>
      </w:tr>
      <w:tr w:rsidR="003A1D39" w:rsidRPr="003A1D39"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79 Excesos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101.102.418</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38.624.935</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243.270</w:t>
            </w:r>
          </w:p>
        </w:tc>
        <w:tc>
          <w:tcPr>
            <w:tcW w:w="1334" w:type="dxa"/>
            <w:tcBorders>
              <w:top w:val="nil"/>
              <w:left w:val="nil"/>
              <w:bottom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62.234.213</w:t>
            </w:r>
          </w:p>
        </w:tc>
      </w:tr>
      <w:tr w:rsidR="003A1D39" w:rsidRPr="003A1D39"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3A1D39" w:rsidRPr="003A1D39" w:rsidRDefault="003A1D39" w:rsidP="00175D09">
            <w:pPr>
              <w:spacing w:line="264" w:lineRule="auto"/>
              <w:jc w:val="left"/>
              <w:rPr>
                <w:rFonts w:eastAsia="Times New Roman" w:cs="Arial"/>
                <w:b/>
                <w:bCs/>
                <w:color w:val="000000"/>
                <w:sz w:val="16"/>
                <w:szCs w:val="16"/>
                <w:lang w:eastAsia="es-ES"/>
              </w:rPr>
            </w:pPr>
            <w:r w:rsidRPr="003A1D39">
              <w:rPr>
                <w:rFonts w:eastAsia="Times New Roman" w:cs="Arial"/>
                <w:b/>
                <w:bCs/>
                <w:color w:val="000000"/>
                <w:sz w:val="16"/>
                <w:szCs w:val="16"/>
                <w:lang w:eastAsia="es-ES"/>
              </w:rPr>
              <w:t> </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4.593.045.532</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558.056</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2.918.159.188</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38.816.538</w:t>
            </w:r>
          </w:p>
        </w:tc>
        <w:tc>
          <w:tcPr>
            <w:tcW w:w="1334" w:type="dxa"/>
            <w:tcBorders>
              <w:top w:val="nil"/>
              <w:left w:val="nil"/>
              <w:bottom w:val="single" w:sz="8" w:space="0" w:color="BFBFBF"/>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1.635.511.750</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b/>
                <w:bCs/>
                <w:color w:val="000000"/>
                <w:sz w:val="16"/>
                <w:szCs w:val="16"/>
                <w:lang w:eastAsia="es-ES"/>
              </w:rPr>
            </w:pPr>
            <w:r w:rsidRPr="003A1D39">
              <w:rPr>
                <w:rFonts w:eastAsia="Times New Roman" w:cs="Arial"/>
                <w:b/>
                <w:bCs/>
                <w:color w:val="000000"/>
                <w:sz w:val="16"/>
                <w:szCs w:val="16"/>
                <w:lang w:val="es-ES_tradnl" w:eastAsia="es-ES"/>
              </w:rPr>
              <w:t>GASTOS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 </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val="es-ES_tradnl" w:eastAsia="es-ES"/>
              </w:rPr>
              <w:t>60 Compras Netas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2.195.432.205</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209.395</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1.453.643.370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16.977.649</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724.601.791</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61 Variación Existencias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-3.015.543</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-11.717</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-4.801.600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169.910</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1.627.864</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62 Servicios Exteriores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599.455.700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98.751</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426.744.518</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4.891.026</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167.721.404</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63 Impuestos Ligados a la Actividad</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11.612.438</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787</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9.455.167</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137.480</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2.019.003</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64 Gastos de Personal</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1.055.294.925</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210.101</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611.561.479</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15.034.212</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428.489.134</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65 Gastos de Gestión</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85.624.278</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25.646.626</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208.575</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59.769.077</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66 Gastos Financieros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85.504.323</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7.456</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65.800.862</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232.114</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19.463.891</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67 Gastos Excepcionales</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15.172.670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0</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11.105.812</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1.039.931</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3.026.927</w:t>
            </w:r>
          </w:p>
        </w:tc>
      </w:tr>
      <w:tr w:rsidR="003A1D39" w:rsidRPr="003A1D39" w:rsidTr="00D508DF">
        <w:trPr>
          <w:jc w:val="center"/>
        </w:trPr>
        <w:tc>
          <w:tcPr>
            <w:tcW w:w="3270" w:type="dxa"/>
            <w:tcBorders>
              <w:top w:val="nil"/>
              <w:left w:val="nil"/>
              <w:bottom w:val="nil"/>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68 Dotación del Ejercicio para Amortización</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156.137.646</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63.116</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119.302.786</w:t>
            </w:r>
          </w:p>
        </w:tc>
        <w:tc>
          <w:tcPr>
            <w:tcW w:w="1334" w:type="dxa"/>
            <w:tcBorders>
              <w:top w:val="nil"/>
              <w:left w:val="nil"/>
              <w:bottom w:val="nil"/>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617.502</w:t>
            </w:r>
          </w:p>
        </w:tc>
        <w:tc>
          <w:tcPr>
            <w:tcW w:w="1334" w:type="dxa"/>
            <w:tcBorders>
              <w:top w:val="nil"/>
              <w:left w:val="nil"/>
              <w:bottom w:val="nil"/>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36.154.242</w:t>
            </w:r>
          </w:p>
        </w:tc>
      </w:tr>
      <w:tr w:rsidR="003A1D39" w:rsidRPr="003A1D39"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69 Dotaciones Provisión</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254.055.542</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0</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70.515.333</w:t>
            </w:r>
          </w:p>
        </w:tc>
        <w:tc>
          <w:tcPr>
            <w:tcW w:w="1334" w:type="dxa"/>
            <w:tcBorders>
              <w:top w:val="nil"/>
              <w:left w:val="nil"/>
              <w:bottom w:val="single" w:sz="8" w:space="0" w:color="BFBFBF"/>
              <w:right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29.268</w:t>
            </w:r>
          </w:p>
        </w:tc>
        <w:tc>
          <w:tcPr>
            <w:tcW w:w="1334" w:type="dxa"/>
            <w:tcBorders>
              <w:top w:val="nil"/>
              <w:left w:val="nil"/>
              <w:bottom w:val="single" w:sz="8" w:space="0" w:color="BFBFBF"/>
            </w:tcBorders>
            <w:shd w:val="clear" w:color="auto" w:fill="auto"/>
            <w:noWrap/>
            <w:vAlign w:val="bottom"/>
            <w:hideMark/>
          </w:tcPr>
          <w:p w:rsidR="003A1D39" w:rsidRPr="003A1D39" w:rsidRDefault="003A1D39" w:rsidP="00175D09">
            <w:pPr>
              <w:spacing w:line="264" w:lineRule="auto"/>
              <w:jc w:val="right"/>
              <w:rPr>
                <w:rFonts w:eastAsia="Times New Roman" w:cs="Arial"/>
                <w:color w:val="000000"/>
                <w:sz w:val="16"/>
                <w:szCs w:val="16"/>
                <w:lang w:eastAsia="es-ES"/>
              </w:rPr>
            </w:pPr>
            <w:r w:rsidRPr="003A1D39">
              <w:rPr>
                <w:rFonts w:eastAsia="Times New Roman" w:cs="Arial"/>
                <w:color w:val="000000"/>
                <w:sz w:val="16"/>
                <w:szCs w:val="16"/>
                <w:lang w:eastAsia="es-ES"/>
              </w:rPr>
              <w:t>183.510.941</w:t>
            </w:r>
          </w:p>
        </w:tc>
      </w:tr>
      <w:tr w:rsidR="003A1D39" w:rsidRPr="003A1D39" w:rsidTr="00D508DF">
        <w:trPr>
          <w:jc w:val="center"/>
        </w:trPr>
        <w:tc>
          <w:tcPr>
            <w:tcW w:w="3270" w:type="dxa"/>
            <w:tcBorders>
              <w:top w:val="nil"/>
              <w:left w:val="nil"/>
              <w:bottom w:val="single" w:sz="8" w:space="0" w:color="BFBFBF"/>
              <w:right w:val="single" w:sz="8" w:space="0" w:color="BFBFBF"/>
            </w:tcBorders>
            <w:shd w:val="clear" w:color="000000" w:fill="E6E6E6"/>
            <w:vAlign w:val="bottom"/>
            <w:hideMark/>
          </w:tcPr>
          <w:p w:rsidR="003A1D39" w:rsidRPr="003A1D39" w:rsidRDefault="003A1D39" w:rsidP="00175D09">
            <w:pPr>
              <w:spacing w:line="264" w:lineRule="auto"/>
              <w:jc w:val="left"/>
              <w:rPr>
                <w:rFonts w:eastAsia="Times New Roman" w:cs="Arial"/>
                <w:color w:val="000000"/>
                <w:sz w:val="16"/>
                <w:szCs w:val="16"/>
                <w:lang w:eastAsia="es-ES"/>
              </w:rPr>
            </w:pPr>
            <w:r w:rsidRPr="003A1D39">
              <w:rPr>
                <w:rFonts w:eastAsia="Times New Roman" w:cs="Arial"/>
                <w:color w:val="000000"/>
                <w:sz w:val="16"/>
                <w:szCs w:val="16"/>
                <w:lang w:eastAsia="es-ES"/>
              </w:rPr>
              <w:t> </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4.455.274.184</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577.889</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2.788.974.353</w:t>
            </w:r>
          </w:p>
        </w:tc>
        <w:tc>
          <w:tcPr>
            <w:tcW w:w="1334" w:type="dxa"/>
            <w:tcBorders>
              <w:top w:val="nil"/>
              <w:left w:val="nil"/>
              <w:bottom w:val="single" w:sz="8" w:space="0" w:color="BFBFBF"/>
              <w:right w:val="nil"/>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39.337.667</w:t>
            </w:r>
          </w:p>
        </w:tc>
        <w:tc>
          <w:tcPr>
            <w:tcW w:w="1334" w:type="dxa"/>
            <w:tcBorders>
              <w:top w:val="nil"/>
              <w:left w:val="nil"/>
              <w:bottom w:val="single" w:sz="8" w:space="0" w:color="BFBFBF"/>
            </w:tcBorders>
            <w:shd w:val="clear" w:color="000000" w:fill="E6E6E6"/>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1.626.384.275</w:t>
            </w:r>
          </w:p>
        </w:tc>
      </w:tr>
      <w:tr w:rsidR="003A1D39" w:rsidRPr="003A1D39" w:rsidTr="00D508D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rPr>
                <w:rFonts w:eastAsia="Times New Roman" w:cs="Arial"/>
                <w:b/>
                <w:bCs/>
                <w:color w:val="000000"/>
                <w:sz w:val="16"/>
                <w:szCs w:val="16"/>
                <w:lang w:eastAsia="es-ES"/>
              </w:rPr>
            </w:pPr>
            <w:r w:rsidRPr="003A1D39">
              <w:rPr>
                <w:rFonts w:eastAsia="Times New Roman" w:cs="Arial"/>
                <w:b/>
                <w:bCs/>
                <w:color w:val="000000"/>
                <w:sz w:val="16"/>
                <w:szCs w:val="16"/>
                <w:lang w:val="es-ES_tradnl" w:eastAsia="es-ES"/>
              </w:rPr>
              <w:t>BENEFICIO (+) o PÉRDIDA (-)</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137.771.348</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-19.833</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129.184.835</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-521.129</w:t>
            </w:r>
          </w:p>
        </w:tc>
        <w:tc>
          <w:tcPr>
            <w:tcW w:w="1334" w:type="dxa"/>
            <w:tcBorders>
              <w:top w:val="nil"/>
              <w:left w:val="nil"/>
              <w:bottom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9.127.475</w:t>
            </w:r>
          </w:p>
        </w:tc>
      </w:tr>
      <w:tr w:rsidR="003A1D39" w:rsidRPr="003A1D39" w:rsidTr="00D508DF">
        <w:trPr>
          <w:jc w:val="center"/>
        </w:trPr>
        <w:tc>
          <w:tcPr>
            <w:tcW w:w="3270" w:type="dxa"/>
            <w:tcBorders>
              <w:top w:val="nil"/>
              <w:left w:val="nil"/>
              <w:bottom w:val="single" w:sz="8" w:space="0" w:color="BFBFBF"/>
              <w:right w:val="single" w:sz="8" w:space="0" w:color="BFBFBF"/>
            </w:tcBorders>
            <w:shd w:val="clear" w:color="auto" w:fill="auto"/>
            <w:vAlign w:val="bottom"/>
            <w:hideMark/>
          </w:tcPr>
          <w:p w:rsidR="003A1D39" w:rsidRPr="003A1D39" w:rsidRDefault="003A1D39" w:rsidP="00175D09">
            <w:pPr>
              <w:spacing w:line="264" w:lineRule="auto"/>
              <w:rPr>
                <w:rFonts w:eastAsia="Times New Roman" w:cs="Arial"/>
                <w:b/>
                <w:bCs/>
                <w:color w:val="000000"/>
                <w:sz w:val="10"/>
                <w:szCs w:val="10"/>
                <w:lang w:eastAsia="es-ES"/>
              </w:rPr>
            </w:pPr>
            <w:r w:rsidRPr="003A1D39">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3A1D39" w:rsidRDefault="003A1D39" w:rsidP="00175D09">
            <w:pPr>
              <w:spacing w:line="264" w:lineRule="auto"/>
              <w:jc w:val="right"/>
              <w:rPr>
                <w:rFonts w:eastAsia="Times New Roman" w:cs="Arial"/>
                <w:b/>
                <w:bCs/>
                <w:color w:val="000000"/>
                <w:sz w:val="10"/>
                <w:szCs w:val="10"/>
                <w:lang w:eastAsia="es-ES"/>
              </w:rPr>
            </w:pPr>
            <w:r w:rsidRPr="003A1D39">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3A1D39" w:rsidRDefault="003A1D39" w:rsidP="00175D09">
            <w:pPr>
              <w:spacing w:line="264" w:lineRule="auto"/>
              <w:jc w:val="right"/>
              <w:rPr>
                <w:rFonts w:eastAsia="Times New Roman" w:cs="Arial"/>
                <w:b/>
                <w:bCs/>
                <w:color w:val="000000"/>
                <w:sz w:val="10"/>
                <w:szCs w:val="10"/>
                <w:lang w:eastAsia="es-ES"/>
              </w:rPr>
            </w:pPr>
            <w:r w:rsidRPr="003A1D39">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3A1D39" w:rsidRDefault="003A1D39" w:rsidP="00175D09">
            <w:pPr>
              <w:spacing w:line="264" w:lineRule="auto"/>
              <w:jc w:val="right"/>
              <w:rPr>
                <w:rFonts w:eastAsia="Times New Roman" w:cs="Arial"/>
                <w:b/>
                <w:bCs/>
                <w:color w:val="000000"/>
                <w:sz w:val="10"/>
                <w:szCs w:val="10"/>
                <w:lang w:eastAsia="es-ES"/>
              </w:rPr>
            </w:pPr>
            <w:r w:rsidRPr="003A1D39">
              <w:rPr>
                <w:rFonts w:eastAsia="Times New Roman" w:cs="Arial"/>
                <w:b/>
                <w:bCs/>
                <w:color w:val="000000"/>
                <w:sz w:val="10"/>
                <w:szCs w:val="10"/>
                <w:lang w:eastAsia="es-ES"/>
              </w:rPr>
              <w:t> </w:t>
            </w:r>
          </w:p>
        </w:tc>
        <w:tc>
          <w:tcPr>
            <w:tcW w:w="1334" w:type="dxa"/>
            <w:tcBorders>
              <w:top w:val="nil"/>
              <w:left w:val="nil"/>
              <w:bottom w:val="single" w:sz="8" w:space="0" w:color="BFBFBF"/>
              <w:right w:val="single" w:sz="8" w:space="0" w:color="BFBFBF"/>
            </w:tcBorders>
            <w:shd w:val="clear" w:color="auto" w:fill="auto"/>
            <w:vAlign w:val="bottom"/>
            <w:hideMark/>
          </w:tcPr>
          <w:p w:rsidR="003A1D39" w:rsidRPr="003A1D39" w:rsidRDefault="003A1D39" w:rsidP="00175D09">
            <w:pPr>
              <w:spacing w:line="264" w:lineRule="auto"/>
              <w:jc w:val="right"/>
              <w:rPr>
                <w:rFonts w:eastAsia="Times New Roman" w:cs="Arial"/>
                <w:b/>
                <w:bCs/>
                <w:color w:val="000000"/>
                <w:sz w:val="10"/>
                <w:szCs w:val="10"/>
                <w:lang w:eastAsia="es-ES"/>
              </w:rPr>
            </w:pPr>
            <w:r w:rsidRPr="003A1D39">
              <w:rPr>
                <w:rFonts w:eastAsia="Times New Roman" w:cs="Arial"/>
                <w:b/>
                <w:bCs/>
                <w:color w:val="000000"/>
                <w:sz w:val="10"/>
                <w:szCs w:val="10"/>
                <w:lang w:eastAsia="es-ES"/>
              </w:rPr>
              <w:t> </w:t>
            </w:r>
          </w:p>
        </w:tc>
        <w:tc>
          <w:tcPr>
            <w:tcW w:w="1334" w:type="dxa"/>
            <w:tcBorders>
              <w:top w:val="nil"/>
              <w:left w:val="nil"/>
              <w:bottom w:val="single" w:sz="8" w:space="0" w:color="BFBFBF"/>
            </w:tcBorders>
            <w:shd w:val="clear" w:color="auto" w:fill="auto"/>
            <w:vAlign w:val="bottom"/>
            <w:hideMark/>
          </w:tcPr>
          <w:p w:rsidR="003A1D39" w:rsidRPr="003A1D39" w:rsidRDefault="003A1D39" w:rsidP="00175D09">
            <w:pPr>
              <w:spacing w:line="264" w:lineRule="auto"/>
              <w:jc w:val="right"/>
              <w:rPr>
                <w:rFonts w:eastAsia="Times New Roman" w:cs="Arial"/>
                <w:b/>
                <w:bCs/>
                <w:color w:val="000000"/>
                <w:sz w:val="10"/>
                <w:szCs w:val="10"/>
                <w:lang w:eastAsia="es-ES"/>
              </w:rPr>
            </w:pPr>
            <w:r w:rsidRPr="003A1D39">
              <w:rPr>
                <w:rFonts w:eastAsia="Times New Roman" w:cs="Arial"/>
                <w:b/>
                <w:bCs/>
                <w:color w:val="000000"/>
                <w:sz w:val="10"/>
                <w:szCs w:val="10"/>
                <w:lang w:eastAsia="es-ES"/>
              </w:rPr>
              <w:t> </w:t>
            </w:r>
          </w:p>
        </w:tc>
      </w:tr>
      <w:tr w:rsidR="003A1D39" w:rsidRPr="003A1D39" w:rsidTr="00D508DF">
        <w:trPr>
          <w:jc w:val="center"/>
        </w:trPr>
        <w:tc>
          <w:tcPr>
            <w:tcW w:w="3270"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rPr>
                <w:rFonts w:eastAsia="Times New Roman" w:cs="Arial"/>
                <w:b/>
                <w:bCs/>
                <w:color w:val="000000"/>
                <w:sz w:val="16"/>
                <w:szCs w:val="16"/>
                <w:lang w:eastAsia="es-ES"/>
              </w:rPr>
            </w:pPr>
            <w:r w:rsidRPr="003A1D39">
              <w:rPr>
                <w:rFonts w:eastAsia="Times New Roman" w:cs="Arial"/>
                <w:b/>
                <w:bCs/>
                <w:color w:val="000000"/>
                <w:sz w:val="16"/>
                <w:szCs w:val="16"/>
                <w:lang w:val="en-GB" w:eastAsia="es-ES"/>
              </w:rPr>
              <w:t>CASH FLOW</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547.964.537</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43.283</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319.002.955</w:t>
            </w:r>
          </w:p>
        </w:tc>
        <w:tc>
          <w:tcPr>
            <w:tcW w:w="1334" w:type="dxa"/>
            <w:tcBorders>
              <w:top w:val="nil"/>
              <w:left w:val="nil"/>
              <w:bottom w:val="single" w:sz="8" w:space="0" w:color="BFBFBF"/>
              <w:right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125.642</w:t>
            </w:r>
          </w:p>
        </w:tc>
        <w:tc>
          <w:tcPr>
            <w:tcW w:w="1334" w:type="dxa"/>
            <w:tcBorders>
              <w:top w:val="nil"/>
              <w:left w:val="nil"/>
              <w:bottom w:val="single" w:sz="8" w:space="0" w:color="BFBFBF"/>
            </w:tcBorders>
            <w:shd w:val="clear" w:color="000000" w:fill="DDEEFF"/>
            <w:vAlign w:val="bottom"/>
            <w:hideMark/>
          </w:tcPr>
          <w:p w:rsidR="003A1D39" w:rsidRPr="003A1D39" w:rsidRDefault="003A1D39" w:rsidP="00175D09">
            <w:pPr>
              <w:spacing w:line="264" w:lineRule="auto"/>
              <w:jc w:val="right"/>
              <w:rPr>
                <w:rFonts w:eastAsia="Times New Roman" w:cs="Arial"/>
                <w:b/>
                <w:bCs/>
                <w:color w:val="000000"/>
                <w:sz w:val="16"/>
                <w:szCs w:val="16"/>
                <w:lang w:eastAsia="es-ES"/>
              </w:rPr>
            </w:pPr>
            <w:r w:rsidRPr="003A1D39">
              <w:rPr>
                <w:rFonts w:eastAsia="Times New Roman" w:cs="Arial"/>
                <w:b/>
                <w:bCs/>
                <w:color w:val="000000"/>
                <w:sz w:val="16"/>
                <w:szCs w:val="16"/>
                <w:lang w:eastAsia="es-ES"/>
              </w:rPr>
              <w:t>228.792.658</w:t>
            </w:r>
          </w:p>
        </w:tc>
      </w:tr>
    </w:tbl>
    <w:p w:rsidR="00591EBA" w:rsidRDefault="00591EBA" w:rsidP="00BB313D">
      <w:pPr>
        <w:widowControl w:val="0"/>
        <w:spacing w:line="240" w:lineRule="auto"/>
        <w:jc w:val="center"/>
        <w:rPr>
          <w:rFonts w:cs="Arial"/>
          <w:b/>
          <w:color w:val="1F497D" w:themeColor="text2"/>
          <w:sz w:val="18"/>
          <w:szCs w:val="18"/>
        </w:rPr>
      </w:pPr>
    </w:p>
    <w:p w:rsidR="00B61F4F" w:rsidRDefault="00B61F4F">
      <w:pPr>
        <w:spacing w:after="200" w:line="276" w:lineRule="auto"/>
        <w:jc w:val="left"/>
        <w:rPr>
          <w:rFonts w:cs="Arial"/>
          <w:b/>
          <w:color w:val="1F497D" w:themeColor="text2"/>
          <w:szCs w:val="26"/>
        </w:rPr>
      </w:pPr>
      <w:r>
        <w:rPr>
          <w:rFonts w:cs="Arial"/>
          <w:b/>
          <w:color w:val="1F497D" w:themeColor="text2"/>
          <w:szCs w:val="26"/>
        </w:rPr>
        <w:br w:type="page"/>
      </w:r>
    </w:p>
    <w:p w:rsidR="00B61F4F" w:rsidRPr="007F1968" w:rsidRDefault="00B61F4F" w:rsidP="00B61F4F">
      <w:pPr>
        <w:pStyle w:val="Ttulo1"/>
        <w:keepNext w:val="0"/>
        <w:ind w:left="708" w:hanging="708"/>
        <w:rPr>
          <w:color w:val="1F497D" w:themeColor="text2"/>
          <w:sz w:val="26"/>
          <w:szCs w:val="26"/>
        </w:rPr>
      </w:pPr>
      <w:bookmarkStart w:id="263" w:name="_Toc450118919"/>
      <w:r>
        <w:rPr>
          <w:color w:val="1F497D" w:themeColor="text2"/>
          <w:sz w:val="26"/>
          <w:szCs w:val="26"/>
        </w:rPr>
        <w:lastRenderedPageBreak/>
        <w:t>7</w:t>
      </w:r>
      <w:r w:rsidRPr="007F1968">
        <w:rPr>
          <w:color w:val="1F497D" w:themeColor="text2"/>
          <w:sz w:val="26"/>
          <w:szCs w:val="26"/>
        </w:rPr>
        <w:t>.-</w:t>
      </w:r>
      <w:r w:rsidRPr="007F1968">
        <w:rPr>
          <w:color w:val="1F497D" w:themeColor="text2"/>
          <w:sz w:val="26"/>
          <w:szCs w:val="26"/>
        </w:rPr>
        <w:tab/>
        <w:t xml:space="preserve">EL PERFIL </w:t>
      </w:r>
      <w:r>
        <w:rPr>
          <w:color w:val="1F497D" w:themeColor="text2"/>
          <w:sz w:val="26"/>
          <w:szCs w:val="26"/>
        </w:rPr>
        <w:t>COM</w:t>
      </w:r>
      <w:r w:rsidR="006B1C2C">
        <w:rPr>
          <w:color w:val="1F497D" w:themeColor="text2"/>
          <w:sz w:val="26"/>
          <w:szCs w:val="26"/>
        </w:rPr>
        <w:t>A</w:t>
      </w:r>
      <w:r>
        <w:rPr>
          <w:color w:val="1F497D" w:themeColor="text2"/>
          <w:sz w:val="26"/>
          <w:szCs w:val="26"/>
        </w:rPr>
        <w:t>RCAL</w:t>
      </w:r>
      <w:r w:rsidRPr="007F1968">
        <w:rPr>
          <w:color w:val="1F497D" w:themeColor="text2"/>
          <w:sz w:val="26"/>
          <w:szCs w:val="26"/>
        </w:rPr>
        <w:t xml:space="preserve"> DE LA ECONOMÍA SOCIAL</w:t>
      </w:r>
      <w:bookmarkEnd w:id="263"/>
    </w:p>
    <w:p w:rsidR="00D371EB" w:rsidRDefault="00D371EB" w:rsidP="00D371EB">
      <w:pPr>
        <w:spacing w:line="240" w:lineRule="auto"/>
        <w:jc w:val="center"/>
        <w:rPr>
          <w:rFonts w:cs="Arial"/>
          <w:b/>
          <w:color w:val="1F497D" w:themeColor="text2"/>
          <w:sz w:val="18"/>
          <w:szCs w:val="18"/>
        </w:rPr>
      </w:pPr>
    </w:p>
    <w:p w:rsidR="00D371EB" w:rsidRDefault="00DE1512" w:rsidP="00D371EB">
      <w:pPr>
        <w:spacing w:line="240" w:lineRule="auto"/>
        <w:jc w:val="center"/>
        <w:rPr>
          <w:rFonts w:cs="Arial"/>
          <w:b/>
          <w:color w:val="1F497D" w:themeColor="text2"/>
          <w:sz w:val="18"/>
          <w:szCs w:val="18"/>
        </w:rPr>
      </w:pPr>
      <w:bookmarkStart w:id="264" w:name="_Toc450119531"/>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76</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D508DF" w:rsidRPr="00665097">
        <w:rPr>
          <w:rFonts w:cs="Arial"/>
          <w:b/>
          <w:color w:val="1F497D" w:themeColor="text2"/>
          <w:sz w:val="18"/>
          <w:szCs w:val="18"/>
        </w:rPr>
        <w:t xml:space="preserve"> </w:t>
      </w:r>
      <w:r w:rsidR="00D371EB">
        <w:rPr>
          <w:rFonts w:cs="Arial"/>
          <w:b/>
          <w:color w:val="1F497D" w:themeColor="text2"/>
          <w:sz w:val="18"/>
          <w:szCs w:val="18"/>
        </w:rPr>
        <w:t>DISTRIBUCIÓN</w:t>
      </w:r>
      <w:r w:rsidR="00D371EB" w:rsidRPr="004D1CBD">
        <w:rPr>
          <w:rFonts w:cs="Arial"/>
          <w:b/>
          <w:color w:val="1F497D" w:themeColor="text2"/>
          <w:sz w:val="18"/>
          <w:szCs w:val="18"/>
        </w:rPr>
        <w:t xml:space="preserve"> </w:t>
      </w:r>
      <w:r w:rsidR="00D371EB">
        <w:rPr>
          <w:rFonts w:cs="Arial"/>
          <w:b/>
          <w:color w:val="1F497D" w:themeColor="text2"/>
          <w:sz w:val="18"/>
          <w:szCs w:val="18"/>
        </w:rPr>
        <w:t xml:space="preserve">COMARCAL </w:t>
      </w:r>
      <w:r w:rsidR="00D371EB" w:rsidRPr="004D1CBD">
        <w:rPr>
          <w:rFonts w:cs="Arial"/>
          <w:b/>
          <w:color w:val="1F497D" w:themeColor="text2"/>
          <w:sz w:val="18"/>
          <w:szCs w:val="18"/>
        </w:rPr>
        <w:t>DEL EMPLEO</w:t>
      </w:r>
      <w:bookmarkEnd w:id="264"/>
      <w:r w:rsidR="00D371EB" w:rsidRPr="004D1CBD">
        <w:rPr>
          <w:rFonts w:cs="Arial"/>
          <w:b/>
          <w:color w:val="1F497D" w:themeColor="text2"/>
          <w:sz w:val="18"/>
          <w:szCs w:val="18"/>
        </w:rPr>
        <w:t xml:space="preserve"> </w:t>
      </w:r>
    </w:p>
    <w:p w:rsidR="00D371EB" w:rsidRDefault="00D371EB" w:rsidP="00D371EB">
      <w:pPr>
        <w:spacing w:line="240" w:lineRule="auto"/>
        <w:jc w:val="center"/>
        <w:rPr>
          <w:rFonts w:cs="Arial"/>
          <w:b/>
          <w:noProof/>
          <w:color w:val="1F497D" w:themeColor="text2"/>
          <w:sz w:val="18"/>
          <w:szCs w:val="18"/>
        </w:rPr>
      </w:pPr>
      <w:r w:rsidRPr="004D1CBD">
        <w:rPr>
          <w:rFonts w:cs="Arial"/>
          <w:b/>
          <w:color w:val="1F497D" w:themeColor="text2"/>
          <w:sz w:val="18"/>
          <w:szCs w:val="18"/>
        </w:rPr>
        <w:t xml:space="preserve">DE </w:t>
      </w:r>
      <w:r>
        <w:rPr>
          <w:rFonts w:cs="Arial"/>
          <w:b/>
          <w:color w:val="1F497D" w:themeColor="text2"/>
          <w:sz w:val="18"/>
          <w:szCs w:val="18"/>
        </w:rPr>
        <w:t xml:space="preserve">LAS FCES DE </w:t>
      </w:r>
      <w:r w:rsidRPr="004D1CBD">
        <w:rPr>
          <w:rFonts w:cs="Arial"/>
          <w:b/>
          <w:color w:val="1F497D" w:themeColor="text2"/>
          <w:sz w:val="18"/>
          <w:szCs w:val="18"/>
        </w:rPr>
        <w:t>LA ECONOMÍA SOCIAL</w:t>
      </w:r>
      <w:r>
        <w:rPr>
          <w:rFonts w:cs="Arial"/>
          <w:b/>
          <w:color w:val="1F497D" w:themeColor="text2"/>
          <w:sz w:val="18"/>
          <w:szCs w:val="18"/>
        </w:rPr>
        <w:t xml:space="preserve"> POR FORMA JURÍDICA</w:t>
      </w:r>
      <w:r w:rsidRPr="004D1CBD">
        <w:rPr>
          <w:rFonts w:cs="Arial"/>
          <w:b/>
          <w:color w:val="1F497D" w:themeColor="text2"/>
          <w:sz w:val="18"/>
          <w:szCs w:val="18"/>
        </w:rPr>
        <w:t xml:space="preserve"> </w:t>
      </w:r>
      <w:r>
        <w:rPr>
          <w:rFonts w:cs="Arial"/>
          <w:b/>
          <w:color w:val="1F497D" w:themeColor="text2"/>
          <w:sz w:val="18"/>
          <w:szCs w:val="18"/>
        </w:rPr>
        <w:t>EN 2014</w:t>
      </w:r>
      <w:r w:rsidRPr="004D1CBD">
        <w:rPr>
          <w:rFonts w:cs="Arial"/>
          <w:b/>
          <w:color w:val="1F497D" w:themeColor="text2"/>
          <w:sz w:val="18"/>
          <w:szCs w:val="18"/>
        </w:rPr>
        <w:t xml:space="preserve"> </w:t>
      </w:r>
      <w:r w:rsidRPr="004D1CBD">
        <w:rPr>
          <w:rFonts w:cs="Arial"/>
          <w:b/>
          <w:noProof/>
          <w:color w:val="1F497D" w:themeColor="text2"/>
          <w:sz w:val="18"/>
          <w:szCs w:val="18"/>
        </w:rPr>
        <w:t>(</w:t>
      </w:r>
      <w:r>
        <w:rPr>
          <w:rFonts w:cs="Arial"/>
          <w:b/>
          <w:noProof/>
          <w:color w:val="1F497D" w:themeColor="text2"/>
          <w:sz w:val="18"/>
          <w:szCs w:val="18"/>
        </w:rPr>
        <w:t>cifras absolutas y % verticales</w:t>
      </w:r>
      <w:r w:rsidRPr="004D1CBD">
        <w:rPr>
          <w:rFonts w:cs="Arial"/>
          <w:b/>
          <w:noProof/>
          <w:color w:val="1F497D" w:themeColor="text2"/>
          <w:sz w:val="18"/>
          <w:szCs w:val="18"/>
        </w:rPr>
        <w:t>)</w:t>
      </w:r>
    </w:p>
    <w:tbl>
      <w:tblPr>
        <w:tblW w:w="9940" w:type="dxa"/>
        <w:jc w:val="center"/>
        <w:tblCellMar>
          <w:left w:w="70" w:type="dxa"/>
          <w:right w:w="70" w:type="dxa"/>
        </w:tblCellMar>
        <w:tblLook w:val="04A0" w:firstRow="1" w:lastRow="0" w:firstColumn="1" w:lastColumn="0" w:noHBand="0" w:noVBand="1"/>
      </w:tblPr>
      <w:tblGrid>
        <w:gridCol w:w="1852"/>
        <w:gridCol w:w="1076"/>
        <w:gridCol w:w="1256"/>
        <w:gridCol w:w="1256"/>
        <w:gridCol w:w="900"/>
        <w:gridCol w:w="900"/>
        <w:gridCol w:w="900"/>
        <w:gridCol w:w="900"/>
        <w:gridCol w:w="900"/>
      </w:tblGrid>
      <w:tr w:rsidR="00D371EB" w:rsidRPr="00F0503B" w:rsidTr="00D86960">
        <w:trPr>
          <w:jc w:val="center"/>
        </w:trPr>
        <w:tc>
          <w:tcPr>
            <w:tcW w:w="1852"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F0503B" w:rsidRDefault="00D371EB" w:rsidP="00D508DF">
            <w:pPr>
              <w:spacing w:line="240" w:lineRule="exact"/>
              <w:jc w:val="left"/>
              <w:rPr>
                <w:rFonts w:ascii="Calibri" w:eastAsia="Times New Roman" w:hAnsi="Calibri" w:cs="Times New Roman"/>
                <w:color w:val="000000"/>
                <w:sz w:val="22"/>
                <w:lang w:eastAsia="es-ES"/>
              </w:rPr>
            </w:pPr>
            <w:r w:rsidRPr="00F0503B">
              <w:rPr>
                <w:rFonts w:ascii="Calibri" w:eastAsia="Times New Roman" w:hAnsi="Calibri" w:cs="Times New Roman"/>
                <w:color w:val="000000"/>
                <w:sz w:val="22"/>
                <w:lang w:eastAsia="es-ES"/>
              </w:rPr>
              <w:t> </w:t>
            </w:r>
          </w:p>
          <w:p w:rsidR="00D371EB" w:rsidRPr="00F0503B" w:rsidRDefault="00D371EB" w:rsidP="00D508DF">
            <w:pPr>
              <w:spacing w:line="240" w:lineRule="exact"/>
              <w:jc w:val="left"/>
              <w:rPr>
                <w:rFonts w:ascii="Calibri" w:eastAsia="Times New Roman" w:hAnsi="Calibri" w:cs="Times New Roman"/>
                <w:color w:val="000000"/>
                <w:sz w:val="22"/>
                <w:lang w:eastAsia="es-ES"/>
              </w:rPr>
            </w:pPr>
            <w:r w:rsidRPr="00F0503B">
              <w:rPr>
                <w:rFonts w:ascii="Calibri" w:eastAsia="Times New Roman" w:hAnsi="Calibri" w:cs="Times New Roman"/>
                <w:color w:val="000000"/>
                <w:sz w:val="22"/>
                <w:lang w:eastAsia="es-ES"/>
              </w:rPr>
              <w:t> </w:t>
            </w:r>
          </w:p>
        </w:tc>
        <w:tc>
          <w:tcPr>
            <w:tcW w:w="233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F0503B" w:rsidRDefault="00D371EB" w:rsidP="00D508DF">
            <w:pPr>
              <w:spacing w:line="240" w:lineRule="exact"/>
              <w:jc w:val="center"/>
              <w:rPr>
                <w:rFonts w:eastAsia="Times New Roman" w:cs="Arial"/>
                <w:b/>
                <w:bCs/>
                <w:color w:val="000000"/>
                <w:sz w:val="16"/>
                <w:szCs w:val="16"/>
                <w:lang w:eastAsia="es-ES"/>
              </w:rPr>
            </w:pPr>
            <w:r w:rsidRPr="00F0503B">
              <w:rPr>
                <w:rFonts w:eastAsia="Times New Roman" w:cs="Arial"/>
                <w:b/>
                <w:bCs/>
                <w:color w:val="000000"/>
                <w:sz w:val="16"/>
                <w:szCs w:val="16"/>
                <w:lang w:eastAsia="es-ES"/>
              </w:rPr>
              <w:t>Cooperativas</w:t>
            </w:r>
          </w:p>
        </w:tc>
        <w:tc>
          <w:tcPr>
            <w:tcW w:w="21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F0503B" w:rsidRDefault="00D371EB" w:rsidP="00D508DF">
            <w:pPr>
              <w:spacing w:line="240" w:lineRule="exact"/>
              <w:jc w:val="center"/>
              <w:rPr>
                <w:rFonts w:eastAsia="Times New Roman" w:cs="Arial"/>
                <w:b/>
                <w:bCs/>
                <w:color w:val="000000"/>
                <w:sz w:val="16"/>
                <w:szCs w:val="16"/>
                <w:lang w:eastAsia="es-ES"/>
              </w:rPr>
            </w:pPr>
            <w:proofErr w:type="spellStart"/>
            <w:r w:rsidRPr="00F0503B">
              <w:rPr>
                <w:rFonts w:eastAsia="Times New Roman" w:cs="Arial"/>
                <w:b/>
                <w:bCs/>
                <w:color w:val="000000"/>
                <w:sz w:val="16"/>
                <w:szCs w:val="16"/>
                <w:lang w:eastAsia="es-ES"/>
              </w:rPr>
              <w:t>SALes</w:t>
            </w:r>
            <w:proofErr w:type="spellEnd"/>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F0503B" w:rsidRDefault="00D371EB" w:rsidP="00D508DF">
            <w:pPr>
              <w:spacing w:line="240" w:lineRule="exact"/>
              <w:jc w:val="center"/>
              <w:rPr>
                <w:rFonts w:eastAsia="Times New Roman" w:cs="Arial"/>
                <w:b/>
                <w:bCs/>
                <w:color w:val="000000"/>
                <w:sz w:val="16"/>
                <w:szCs w:val="16"/>
                <w:lang w:eastAsia="es-ES"/>
              </w:rPr>
            </w:pPr>
            <w:proofErr w:type="spellStart"/>
            <w:r w:rsidRPr="00F0503B">
              <w:rPr>
                <w:rFonts w:eastAsia="Times New Roman" w:cs="Arial"/>
                <w:b/>
                <w:bCs/>
                <w:color w:val="000000"/>
                <w:sz w:val="16"/>
                <w:szCs w:val="16"/>
                <w:lang w:eastAsia="es-ES"/>
              </w:rPr>
              <w:t>SLLes</w:t>
            </w:r>
            <w:proofErr w:type="spellEnd"/>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hideMark/>
          </w:tcPr>
          <w:p w:rsidR="00D371EB" w:rsidRPr="00F0503B" w:rsidRDefault="00D508DF" w:rsidP="00D508DF">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TOTAL</w:t>
            </w:r>
          </w:p>
        </w:tc>
      </w:tr>
      <w:tr w:rsidR="00D371EB" w:rsidRPr="00F0503B" w:rsidTr="00D86960">
        <w:trPr>
          <w:jc w:val="center"/>
        </w:trPr>
        <w:tc>
          <w:tcPr>
            <w:tcW w:w="1852" w:type="dxa"/>
            <w:vMerge/>
            <w:tcBorders>
              <w:bottom w:val="single" w:sz="4" w:space="0" w:color="BFBFBF" w:themeColor="background1" w:themeShade="BF"/>
              <w:right w:val="single" w:sz="4" w:space="0" w:color="BFBFBF" w:themeColor="background1" w:themeShade="BF"/>
            </w:tcBorders>
            <w:shd w:val="clear" w:color="000000" w:fill="DBE5F1"/>
            <w:hideMark/>
          </w:tcPr>
          <w:p w:rsidR="00D371EB" w:rsidRPr="00F0503B" w:rsidRDefault="00D371EB" w:rsidP="00D508DF">
            <w:pPr>
              <w:spacing w:line="240" w:lineRule="exact"/>
              <w:jc w:val="left"/>
              <w:rPr>
                <w:rFonts w:ascii="Calibri" w:eastAsia="Times New Roman" w:hAnsi="Calibri" w:cs="Times New Roman"/>
                <w:color w:val="000000"/>
                <w:sz w:val="22"/>
                <w:lang w:eastAsia="es-ES"/>
              </w:rPr>
            </w:pP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proofErr w:type="spellStart"/>
            <w:r w:rsidRPr="00476DCE">
              <w:rPr>
                <w:rFonts w:eastAsia="Times New Roman" w:cs="Arial"/>
                <w:b/>
                <w:bCs/>
                <w:color w:val="000000"/>
                <w:sz w:val="16"/>
                <w:szCs w:val="16"/>
                <w:lang w:eastAsia="es-ES"/>
              </w:rPr>
              <w:t>Abs</w:t>
            </w:r>
            <w:proofErr w:type="spellEnd"/>
            <w:r w:rsidRPr="00476DCE">
              <w:rPr>
                <w:rFonts w:eastAsia="Times New Roman" w:cs="Arial"/>
                <w:b/>
                <w:bCs/>
                <w:color w:val="000000"/>
                <w:sz w:val="16"/>
                <w:szCs w:val="16"/>
                <w:lang w:eastAsia="es-ES"/>
              </w:rPr>
              <w:t>.</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 ver.</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proofErr w:type="spellStart"/>
            <w:r w:rsidRPr="00476DCE">
              <w:rPr>
                <w:rFonts w:eastAsia="Times New Roman" w:cs="Arial"/>
                <w:b/>
                <w:bCs/>
                <w:color w:val="000000"/>
                <w:sz w:val="16"/>
                <w:szCs w:val="16"/>
                <w:lang w:eastAsia="es-ES"/>
              </w:rPr>
              <w:t>Abs</w:t>
            </w:r>
            <w:proofErr w:type="spellEnd"/>
            <w:r w:rsidRPr="00476DCE">
              <w:rPr>
                <w:rFonts w:eastAsia="Times New Roman" w:cs="Arial"/>
                <w:b/>
                <w:bCs/>
                <w:color w:val="000000"/>
                <w:sz w:val="16"/>
                <w:szCs w:val="16"/>
                <w:lang w:eastAsia="es-ES"/>
              </w:rPr>
              <w:t>.</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 ver.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proofErr w:type="spellStart"/>
            <w:r w:rsidRPr="00476DCE">
              <w:rPr>
                <w:rFonts w:eastAsia="Times New Roman" w:cs="Arial"/>
                <w:b/>
                <w:bCs/>
                <w:color w:val="000000"/>
                <w:sz w:val="16"/>
                <w:szCs w:val="16"/>
                <w:lang w:eastAsia="es-ES"/>
              </w:rPr>
              <w:t>Abs</w:t>
            </w:r>
            <w:proofErr w:type="spellEnd"/>
            <w:r w:rsidRPr="00476DCE">
              <w:rPr>
                <w:rFonts w:eastAsia="Times New Roman" w:cs="Arial"/>
                <w:b/>
                <w:bCs/>
                <w:color w:val="000000"/>
                <w:sz w:val="16"/>
                <w:szCs w:val="16"/>
                <w:lang w:eastAsia="es-ES"/>
              </w:rPr>
              <w:t>.</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 ver.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proofErr w:type="spellStart"/>
            <w:r w:rsidRPr="00476DCE">
              <w:rPr>
                <w:rFonts w:eastAsia="Times New Roman" w:cs="Arial"/>
                <w:b/>
                <w:bCs/>
                <w:color w:val="000000"/>
                <w:sz w:val="16"/>
                <w:szCs w:val="16"/>
                <w:lang w:eastAsia="es-ES"/>
              </w:rPr>
              <w:t>Abs</w:t>
            </w:r>
            <w:proofErr w:type="spellEnd"/>
            <w:r w:rsidRPr="00476DCE">
              <w:rPr>
                <w:rFonts w:eastAsia="Times New Roman" w:cs="Arial"/>
                <w:b/>
                <w:bCs/>
                <w:color w:val="000000"/>
                <w:sz w:val="16"/>
                <w:szCs w:val="16"/>
                <w:lang w:eastAsia="es-ES"/>
              </w:rPr>
              <w:t>.</w:t>
            </w:r>
          </w:p>
        </w:tc>
        <w:tc>
          <w:tcPr>
            <w:tcW w:w="900" w:type="dxa"/>
            <w:tcBorders>
              <w:top w:val="single" w:sz="4" w:space="0" w:color="BFBFBF" w:themeColor="background1" w:themeShade="BF"/>
              <w:bottom w:val="single" w:sz="4" w:space="0" w:color="BFBFBF" w:themeColor="background1" w:themeShade="BF"/>
            </w:tcBorders>
            <w:shd w:val="clear" w:color="000000" w:fill="DBE5F1"/>
            <w:vAlign w:val="center"/>
            <w:hideMark/>
          </w:tcPr>
          <w:p w:rsidR="00D371EB" w:rsidRPr="00476DCE" w:rsidRDefault="00D371EB" w:rsidP="00D508DF">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 ver.</w:t>
            </w:r>
          </w:p>
        </w:tc>
      </w:tr>
      <w:tr w:rsidR="00D371EB" w:rsidRPr="00F0503B" w:rsidTr="00D86960">
        <w:trPr>
          <w:jc w:val="center"/>
        </w:trPr>
        <w:tc>
          <w:tcPr>
            <w:tcW w:w="1852" w:type="dxa"/>
            <w:tcBorders>
              <w:top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Gasteiz</w:t>
            </w:r>
          </w:p>
        </w:tc>
        <w:tc>
          <w:tcPr>
            <w:tcW w:w="1076" w:type="dxa"/>
            <w:tcBorders>
              <w:top w:val="single" w:sz="4" w:space="0" w:color="BFBFBF" w:themeColor="background1" w:themeShade="BF"/>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4.469</w:t>
            </w:r>
          </w:p>
        </w:tc>
        <w:tc>
          <w:tcPr>
            <w:tcW w:w="1256" w:type="dxa"/>
            <w:tcBorders>
              <w:top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9,4</w:t>
            </w:r>
          </w:p>
        </w:tc>
        <w:tc>
          <w:tcPr>
            <w:tcW w:w="1256" w:type="dxa"/>
            <w:tcBorders>
              <w:top w:val="single" w:sz="4" w:space="0" w:color="BFBFBF" w:themeColor="background1" w:themeShade="BF"/>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168</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5,3</w:t>
            </w:r>
          </w:p>
        </w:tc>
        <w:tc>
          <w:tcPr>
            <w:tcW w:w="900" w:type="dxa"/>
            <w:tcBorders>
              <w:top w:val="single" w:sz="4" w:space="0" w:color="BFBFBF" w:themeColor="background1" w:themeShade="BF"/>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358</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8,8</w:t>
            </w:r>
          </w:p>
        </w:tc>
        <w:tc>
          <w:tcPr>
            <w:tcW w:w="900" w:type="dxa"/>
            <w:tcBorders>
              <w:top w:val="single" w:sz="4" w:space="0" w:color="BFBFBF" w:themeColor="background1" w:themeShade="BF"/>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4.994</w:t>
            </w:r>
          </w:p>
        </w:tc>
        <w:tc>
          <w:tcPr>
            <w:tcW w:w="900" w:type="dxa"/>
            <w:tcBorders>
              <w:top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9,1</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Ayala</w:t>
            </w:r>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531</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1,1</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24</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0,8</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22</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0,5</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577</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1,1</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M. Derecha</w:t>
            </w:r>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2.855</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6,0</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130</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4,1</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303</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7,4</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3.288</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6,0</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Bilbao</w:t>
            </w:r>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3.426</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7,2</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286</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9,0</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458</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11,2</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4.170</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7,6</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M. Izquierda</w:t>
            </w:r>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3.335</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7,0</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291</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9,2</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580</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14,2</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4.334</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7,9</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proofErr w:type="spellStart"/>
            <w:r w:rsidRPr="00F0503B">
              <w:rPr>
                <w:rFonts w:eastAsia="Times New Roman" w:cs="Arial"/>
                <w:color w:val="000000"/>
                <w:sz w:val="16"/>
                <w:szCs w:val="16"/>
                <w:lang w:eastAsia="es-ES"/>
              </w:rPr>
              <w:t>Bizkaia</w:t>
            </w:r>
            <w:proofErr w:type="spellEnd"/>
            <w:r w:rsidRPr="00F0503B">
              <w:rPr>
                <w:rFonts w:eastAsia="Times New Roman" w:cs="Arial"/>
                <w:color w:val="000000"/>
                <w:sz w:val="16"/>
                <w:szCs w:val="16"/>
                <w:lang w:eastAsia="es-ES"/>
              </w:rPr>
              <w:t xml:space="preserve"> – Costa</w:t>
            </w:r>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4.073</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8,6</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138</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4,3</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123</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3,0</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4.207</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7,7</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proofErr w:type="spellStart"/>
            <w:r w:rsidRPr="00F0503B">
              <w:rPr>
                <w:rFonts w:eastAsia="Times New Roman" w:cs="Arial"/>
                <w:color w:val="000000"/>
                <w:sz w:val="16"/>
                <w:szCs w:val="16"/>
                <w:lang w:eastAsia="es-ES"/>
              </w:rPr>
              <w:t>Duranguesado</w:t>
            </w:r>
            <w:proofErr w:type="spellEnd"/>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4.356</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9,2</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667</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21,0</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292</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7,2</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5.315</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9,7</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proofErr w:type="spellStart"/>
            <w:r w:rsidRPr="00F0503B">
              <w:rPr>
                <w:rFonts w:eastAsia="Times New Roman" w:cs="Arial"/>
                <w:color w:val="000000"/>
                <w:sz w:val="16"/>
                <w:szCs w:val="16"/>
                <w:lang w:eastAsia="es-ES"/>
              </w:rPr>
              <w:t>Donostialdea</w:t>
            </w:r>
            <w:proofErr w:type="spellEnd"/>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7.800</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16,5</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691</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21,8</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1.082</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26,5</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9.573</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17,5</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 xml:space="preserve">Tolosa – </w:t>
            </w:r>
            <w:proofErr w:type="spellStart"/>
            <w:r w:rsidRPr="00F0503B">
              <w:rPr>
                <w:rFonts w:eastAsia="Times New Roman" w:cs="Arial"/>
                <w:color w:val="000000"/>
                <w:sz w:val="16"/>
                <w:szCs w:val="16"/>
                <w:lang w:eastAsia="es-ES"/>
              </w:rPr>
              <w:t>Goierri</w:t>
            </w:r>
            <w:proofErr w:type="spellEnd"/>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4.553</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9,6</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416</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13,1</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508</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12,4</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5.477</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10,0</w:t>
            </w:r>
          </w:p>
        </w:tc>
      </w:tr>
      <w:tr w:rsidR="00D371EB" w:rsidRPr="00F0503B" w:rsidTr="00D86960">
        <w:trPr>
          <w:jc w:val="center"/>
        </w:trPr>
        <w:tc>
          <w:tcPr>
            <w:tcW w:w="1852" w:type="dxa"/>
            <w:tcBorders>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Alto Deba</w:t>
            </w:r>
          </w:p>
        </w:tc>
        <w:tc>
          <w:tcPr>
            <w:tcW w:w="107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10.754</w:t>
            </w:r>
          </w:p>
        </w:tc>
        <w:tc>
          <w:tcPr>
            <w:tcW w:w="1256"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22,7</w:t>
            </w:r>
          </w:p>
        </w:tc>
        <w:tc>
          <w:tcPr>
            <w:tcW w:w="1256"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104</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3,3</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190</w:t>
            </w:r>
          </w:p>
        </w:tc>
        <w:tc>
          <w:tcPr>
            <w:tcW w:w="900" w:type="dxa"/>
            <w:tcBorders>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4,7</w:t>
            </w:r>
          </w:p>
        </w:tc>
        <w:tc>
          <w:tcPr>
            <w:tcW w:w="900" w:type="dxa"/>
            <w:tcBorders>
              <w:lef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11.048</w:t>
            </w:r>
          </w:p>
        </w:tc>
        <w:tc>
          <w:tcPr>
            <w:tcW w:w="900" w:type="dxa"/>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20,2</w:t>
            </w:r>
          </w:p>
        </w:tc>
      </w:tr>
      <w:tr w:rsidR="00D371EB" w:rsidRPr="00F0503B" w:rsidTr="00D86960">
        <w:trPr>
          <w:jc w:val="center"/>
        </w:trPr>
        <w:tc>
          <w:tcPr>
            <w:tcW w:w="1852" w:type="dxa"/>
            <w:tcBorders>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Bajo Deba</w:t>
            </w:r>
          </w:p>
        </w:tc>
        <w:tc>
          <w:tcPr>
            <w:tcW w:w="1076" w:type="dxa"/>
            <w:tcBorders>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1.172</w:t>
            </w:r>
          </w:p>
        </w:tc>
        <w:tc>
          <w:tcPr>
            <w:tcW w:w="1256" w:type="dxa"/>
            <w:tcBorders>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2,5</w:t>
            </w:r>
          </w:p>
        </w:tc>
        <w:tc>
          <w:tcPr>
            <w:tcW w:w="1256" w:type="dxa"/>
            <w:tcBorders>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262</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8,2</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167</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4,1</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1.601</w:t>
            </w:r>
          </w:p>
        </w:tc>
        <w:tc>
          <w:tcPr>
            <w:tcW w:w="900" w:type="dxa"/>
            <w:tcBorders>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color w:val="000000"/>
                <w:sz w:val="16"/>
                <w:szCs w:val="16"/>
                <w:lang w:eastAsia="es-ES"/>
              </w:rPr>
            </w:pPr>
            <w:r w:rsidRPr="00F0503B">
              <w:rPr>
                <w:rFonts w:eastAsia="Times New Roman" w:cs="Arial"/>
                <w:color w:val="000000"/>
                <w:sz w:val="16"/>
                <w:szCs w:val="16"/>
                <w:lang w:eastAsia="es-ES"/>
              </w:rPr>
              <w:t>2,9</w:t>
            </w:r>
          </w:p>
        </w:tc>
      </w:tr>
      <w:tr w:rsidR="00D371EB" w:rsidRPr="00F0503B" w:rsidTr="00D86960">
        <w:trPr>
          <w:jc w:val="center"/>
        </w:trPr>
        <w:tc>
          <w:tcPr>
            <w:tcW w:w="185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rPr>
                <w:rFonts w:eastAsia="Times New Roman" w:cs="Arial"/>
                <w:b/>
                <w:bCs/>
                <w:color w:val="000000"/>
                <w:sz w:val="16"/>
                <w:szCs w:val="16"/>
                <w:lang w:eastAsia="es-ES"/>
              </w:rPr>
            </w:pPr>
            <w:r w:rsidRPr="00F0503B">
              <w:rPr>
                <w:rFonts w:eastAsia="Times New Roman" w:cs="Arial"/>
                <w:b/>
                <w:bCs/>
                <w:color w:val="000000"/>
                <w:sz w:val="16"/>
                <w:szCs w:val="16"/>
                <w:lang w:eastAsia="es-ES"/>
              </w:rPr>
              <w:t>TOTAL</w:t>
            </w: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bCs/>
                <w:color w:val="000000"/>
                <w:sz w:val="16"/>
                <w:szCs w:val="16"/>
                <w:lang w:eastAsia="es-ES"/>
              </w:rPr>
            </w:pPr>
            <w:r w:rsidRPr="00F0503B">
              <w:rPr>
                <w:rFonts w:eastAsia="Times New Roman" w:cs="Arial"/>
                <w:b/>
                <w:bCs/>
                <w:color w:val="000000"/>
                <w:sz w:val="16"/>
                <w:szCs w:val="16"/>
                <w:lang w:eastAsia="es-ES"/>
              </w:rPr>
              <w:t>47.324</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bCs/>
                <w:color w:val="000000"/>
                <w:sz w:val="16"/>
                <w:szCs w:val="16"/>
                <w:lang w:eastAsia="es-ES"/>
              </w:rPr>
            </w:pPr>
            <w:r w:rsidRPr="00F0503B">
              <w:rPr>
                <w:rFonts w:eastAsia="Times New Roman" w:cs="Arial"/>
                <w:b/>
                <w:bCs/>
                <w:color w:val="000000"/>
                <w:sz w:val="16"/>
                <w:szCs w:val="16"/>
                <w:lang w:eastAsia="es-ES"/>
              </w:rPr>
              <w:t>100,0</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bCs/>
                <w:color w:val="000000"/>
                <w:sz w:val="16"/>
                <w:szCs w:val="16"/>
                <w:lang w:eastAsia="es-ES"/>
              </w:rPr>
            </w:pPr>
            <w:r w:rsidRPr="00F0503B">
              <w:rPr>
                <w:rFonts w:eastAsia="Times New Roman" w:cs="Arial"/>
                <w:b/>
                <w:bCs/>
                <w:color w:val="000000"/>
                <w:sz w:val="16"/>
                <w:szCs w:val="16"/>
                <w:lang w:eastAsia="es-ES"/>
              </w:rPr>
              <w:t>3.177</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bCs/>
                <w:color w:val="000000"/>
                <w:sz w:val="16"/>
                <w:szCs w:val="16"/>
                <w:lang w:eastAsia="es-ES"/>
              </w:rPr>
            </w:pPr>
            <w:r w:rsidRPr="00F0503B">
              <w:rPr>
                <w:rFonts w:eastAsia="Times New Roman" w:cs="Arial"/>
                <w:b/>
                <w:bCs/>
                <w:color w:val="000000"/>
                <w:sz w:val="16"/>
                <w:szCs w:val="16"/>
                <w:lang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bCs/>
                <w:color w:val="000000"/>
                <w:sz w:val="16"/>
                <w:szCs w:val="16"/>
                <w:lang w:eastAsia="es-ES"/>
              </w:rPr>
            </w:pPr>
            <w:r w:rsidRPr="00F0503B">
              <w:rPr>
                <w:rFonts w:eastAsia="Times New Roman" w:cs="Arial"/>
                <w:b/>
                <w:bCs/>
                <w:color w:val="000000"/>
                <w:sz w:val="16"/>
                <w:szCs w:val="16"/>
                <w:lang w:eastAsia="es-ES"/>
              </w:rPr>
              <w:t>4.083</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color w:val="000000"/>
                <w:sz w:val="16"/>
                <w:szCs w:val="16"/>
                <w:lang w:eastAsia="es-ES"/>
              </w:rPr>
            </w:pPr>
            <w:r w:rsidRPr="00F0503B">
              <w:rPr>
                <w:rFonts w:eastAsia="Times New Roman" w:cs="Arial"/>
                <w:b/>
                <w:color w:val="000000"/>
                <w:sz w:val="16"/>
                <w:szCs w:val="16"/>
                <w:lang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bCs/>
                <w:color w:val="000000"/>
                <w:sz w:val="16"/>
                <w:szCs w:val="16"/>
                <w:lang w:eastAsia="es-ES"/>
              </w:rPr>
            </w:pPr>
            <w:r w:rsidRPr="00F0503B">
              <w:rPr>
                <w:rFonts w:eastAsia="Times New Roman" w:cs="Arial"/>
                <w:b/>
                <w:bCs/>
                <w:color w:val="000000"/>
                <w:sz w:val="16"/>
                <w:szCs w:val="16"/>
                <w:lang w:eastAsia="es-ES"/>
              </w:rPr>
              <w:t>54.582</w:t>
            </w:r>
          </w:p>
        </w:tc>
        <w:tc>
          <w:tcPr>
            <w:tcW w:w="900" w:type="dxa"/>
            <w:tcBorders>
              <w:top w:val="single" w:sz="4" w:space="0" w:color="BFBFBF" w:themeColor="background1" w:themeShade="BF"/>
              <w:bottom w:val="single" w:sz="4" w:space="0" w:color="BFBFBF" w:themeColor="background1" w:themeShade="BF"/>
            </w:tcBorders>
            <w:shd w:val="clear" w:color="auto" w:fill="auto"/>
            <w:hideMark/>
          </w:tcPr>
          <w:p w:rsidR="00D371EB" w:rsidRPr="00F0503B" w:rsidRDefault="00D371EB" w:rsidP="00D508DF">
            <w:pPr>
              <w:spacing w:line="240" w:lineRule="exact"/>
              <w:ind w:right="155"/>
              <w:jc w:val="right"/>
              <w:rPr>
                <w:rFonts w:eastAsia="Times New Roman" w:cs="Arial"/>
                <w:b/>
                <w:bCs/>
                <w:color w:val="000000"/>
                <w:sz w:val="16"/>
                <w:szCs w:val="16"/>
                <w:lang w:eastAsia="es-ES"/>
              </w:rPr>
            </w:pPr>
            <w:r w:rsidRPr="00F0503B">
              <w:rPr>
                <w:rFonts w:eastAsia="Times New Roman" w:cs="Arial"/>
                <w:b/>
                <w:bCs/>
                <w:color w:val="000000"/>
                <w:sz w:val="16"/>
                <w:szCs w:val="16"/>
                <w:lang w:eastAsia="es-ES"/>
              </w:rPr>
              <w:t>100</w:t>
            </w:r>
            <w:r>
              <w:rPr>
                <w:rFonts w:eastAsia="Times New Roman" w:cs="Arial"/>
                <w:b/>
                <w:bCs/>
                <w:color w:val="000000"/>
                <w:sz w:val="16"/>
                <w:szCs w:val="16"/>
                <w:lang w:eastAsia="es-ES"/>
              </w:rPr>
              <w:t>,0</w:t>
            </w:r>
          </w:p>
        </w:tc>
      </w:tr>
    </w:tbl>
    <w:p w:rsidR="00D371EB" w:rsidRDefault="00D371EB" w:rsidP="00D371EB"/>
    <w:p w:rsidR="00D371EB" w:rsidRDefault="00DE1512" w:rsidP="00D371EB">
      <w:pPr>
        <w:spacing w:line="240" w:lineRule="auto"/>
        <w:jc w:val="center"/>
        <w:rPr>
          <w:rFonts w:cs="Arial"/>
          <w:b/>
          <w:color w:val="1F497D" w:themeColor="text2"/>
          <w:sz w:val="18"/>
          <w:szCs w:val="18"/>
        </w:rPr>
      </w:pPr>
      <w:bookmarkStart w:id="265" w:name="_Toc450119532"/>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77</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D508DF" w:rsidRPr="00665097">
        <w:rPr>
          <w:rFonts w:cs="Arial"/>
          <w:b/>
          <w:color w:val="1F497D" w:themeColor="text2"/>
          <w:sz w:val="18"/>
          <w:szCs w:val="18"/>
        </w:rPr>
        <w:t xml:space="preserve"> </w:t>
      </w:r>
      <w:r w:rsidR="00D371EB">
        <w:rPr>
          <w:rFonts w:cs="Arial"/>
          <w:b/>
          <w:color w:val="1F497D" w:themeColor="text2"/>
          <w:sz w:val="18"/>
          <w:szCs w:val="18"/>
        </w:rPr>
        <w:t>DISTRIBUCIÓN</w:t>
      </w:r>
      <w:r w:rsidR="00D371EB" w:rsidRPr="004D1CBD">
        <w:rPr>
          <w:rFonts w:cs="Arial"/>
          <w:b/>
          <w:color w:val="1F497D" w:themeColor="text2"/>
          <w:sz w:val="18"/>
          <w:szCs w:val="18"/>
        </w:rPr>
        <w:t xml:space="preserve"> </w:t>
      </w:r>
      <w:r w:rsidR="00D371EB">
        <w:rPr>
          <w:rFonts w:cs="Arial"/>
          <w:b/>
          <w:color w:val="1F497D" w:themeColor="text2"/>
          <w:sz w:val="18"/>
          <w:szCs w:val="18"/>
        </w:rPr>
        <w:t xml:space="preserve">COMARCAL </w:t>
      </w:r>
      <w:r w:rsidR="00D371EB" w:rsidRPr="004D1CBD">
        <w:rPr>
          <w:rFonts w:cs="Arial"/>
          <w:b/>
          <w:color w:val="1F497D" w:themeColor="text2"/>
          <w:sz w:val="18"/>
          <w:szCs w:val="18"/>
        </w:rPr>
        <w:t xml:space="preserve">DEL EMPLEO </w:t>
      </w:r>
      <w:r w:rsidR="00D371EB">
        <w:rPr>
          <w:rFonts w:cs="Arial"/>
          <w:b/>
          <w:color w:val="1F497D" w:themeColor="text2"/>
          <w:sz w:val="18"/>
          <w:szCs w:val="18"/>
        </w:rPr>
        <w:t>INDUSTRIAL Y TERCIARIO</w:t>
      </w:r>
      <w:bookmarkEnd w:id="265"/>
    </w:p>
    <w:p w:rsidR="00D371EB" w:rsidRDefault="00D371EB" w:rsidP="00D371EB">
      <w:pPr>
        <w:spacing w:line="240" w:lineRule="auto"/>
        <w:jc w:val="center"/>
        <w:rPr>
          <w:rFonts w:cs="Arial"/>
          <w:b/>
          <w:noProof/>
          <w:color w:val="1F497D" w:themeColor="text2"/>
          <w:sz w:val="18"/>
          <w:szCs w:val="18"/>
        </w:rPr>
      </w:pPr>
      <w:r w:rsidRPr="004D1CBD">
        <w:rPr>
          <w:rFonts w:cs="Arial"/>
          <w:b/>
          <w:color w:val="1F497D" w:themeColor="text2"/>
          <w:sz w:val="18"/>
          <w:szCs w:val="18"/>
        </w:rPr>
        <w:t xml:space="preserve">DE </w:t>
      </w:r>
      <w:r>
        <w:rPr>
          <w:rFonts w:cs="Arial"/>
          <w:b/>
          <w:color w:val="1F497D" w:themeColor="text2"/>
          <w:sz w:val="18"/>
          <w:szCs w:val="18"/>
        </w:rPr>
        <w:t xml:space="preserve">LAS FCES DE </w:t>
      </w:r>
      <w:r w:rsidRPr="004D1CBD">
        <w:rPr>
          <w:rFonts w:cs="Arial"/>
          <w:b/>
          <w:color w:val="1F497D" w:themeColor="text2"/>
          <w:sz w:val="18"/>
          <w:szCs w:val="18"/>
        </w:rPr>
        <w:t>LA ECONOMÍA SOCIAL</w:t>
      </w:r>
      <w:r>
        <w:rPr>
          <w:rFonts w:cs="Arial"/>
          <w:b/>
          <w:color w:val="1F497D" w:themeColor="text2"/>
          <w:sz w:val="18"/>
          <w:szCs w:val="18"/>
        </w:rPr>
        <w:t xml:space="preserve"> EN 2014</w:t>
      </w:r>
      <w:r w:rsidRPr="004D1CBD">
        <w:rPr>
          <w:rFonts w:cs="Arial"/>
          <w:b/>
          <w:color w:val="1F497D" w:themeColor="text2"/>
          <w:sz w:val="18"/>
          <w:szCs w:val="18"/>
        </w:rPr>
        <w:t xml:space="preserve"> </w:t>
      </w:r>
      <w:r w:rsidRPr="004D1CBD">
        <w:rPr>
          <w:rFonts w:cs="Arial"/>
          <w:b/>
          <w:noProof/>
          <w:color w:val="1F497D" w:themeColor="text2"/>
          <w:sz w:val="18"/>
          <w:szCs w:val="18"/>
        </w:rPr>
        <w:t>(</w:t>
      </w:r>
      <w:r>
        <w:rPr>
          <w:rFonts w:cs="Arial"/>
          <w:b/>
          <w:noProof/>
          <w:color w:val="1F497D" w:themeColor="text2"/>
          <w:sz w:val="18"/>
          <w:szCs w:val="18"/>
        </w:rPr>
        <w:t>cifras absolutas y % verticales</w:t>
      </w:r>
      <w:r w:rsidRPr="004D1CBD">
        <w:rPr>
          <w:rFonts w:cs="Arial"/>
          <w:b/>
          <w:noProof/>
          <w:color w:val="1F497D" w:themeColor="text2"/>
          <w:sz w:val="18"/>
          <w:szCs w:val="18"/>
        </w:rPr>
        <w:t>)</w:t>
      </w:r>
    </w:p>
    <w:tbl>
      <w:tblPr>
        <w:tblW w:w="9940" w:type="dxa"/>
        <w:jc w:val="center"/>
        <w:tblCellMar>
          <w:left w:w="70" w:type="dxa"/>
          <w:right w:w="70" w:type="dxa"/>
        </w:tblCellMar>
        <w:tblLook w:val="04A0" w:firstRow="1" w:lastRow="0" w:firstColumn="1" w:lastColumn="0" w:noHBand="0" w:noVBand="1"/>
      </w:tblPr>
      <w:tblGrid>
        <w:gridCol w:w="2196"/>
        <w:gridCol w:w="1928"/>
        <w:gridCol w:w="1960"/>
        <w:gridCol w:w="1928"/>
        <w:gridCol w:w="1928"/>
      </w:tblGrid>
      <w:tr w:rsidR="00D371EB" w:rsidRPr="004310C6" w:rsidTr="00D86960">
        <w:trPr>
          <w:jc w:val="center"/>
        </w:trPr>
        <w:tc>
          <w:tcPr>
            <w:tcW w:w="1368" w:type="dxa"/>
            <w:vMerge w:val="restart"/>
            <w:tcBorders>
              <w:top w:val="single" w:sz="8" w:space="0" w:color="BFBFBF"/>
              <w:left w:val="nil"/>
              <w:bottom w:val="single" w:sz="8" w:space="0" w:color="BFBFBF"/>
              <w:right w:val="single" w:sz="8" w:space="0" w:color="BFBFBF"/>
            </w:tcBorders>
            <w:shd w:val="clear" w:color="000000" w:fill="DBE5F1"/>
            <w:hideMark/>
          </w:tcPr>
          <w:p w:rsidR="00D371EB" w:rsidRPr="004310C6" w:rsidRDefault="00D371EB" w:rsidP="00D86960">
            <w:pPr>
              <w:spacing w:line="240" w:lineRule="exact"/>
              <w:jc w:val="left"/>
              <w:rPr>
                <w:rFonts w:ascii="Calibri" w:eastAsia="Times New Roman" w:hAnsi="Calibri" w:cs="Times New Roman"/>
                <w:color w:val="000000"/>
                <w:sz w:val="22"/>
                <w:lang w:eastAsia="es-ES"/>
              </w:rPr>
            </w:pPr>
            <w:r w:rsidRPr="004310C6">
              <w:rPr>
                <w:rFonts w:ascii="Calibri" w:eastAsia="Times New Roman" w:hAnsi="Calibri" w:cs="Times New Roman"/>
                <w:color w:val="000000"/>
                <w:sz w:val="22"/>
                <w:lang w:eastAsia="es-ES"/>
              </w:rPr>
              <w:t> </w:t>
            </w:r>
          </w:p>
        </w:tc>
        <w:tc>
          <w:tcPr>
            <w:tcW w:w="2420" w:type="dxa"/>
            <w:gridSpan w:val="2"/>
            <w:tcBorders>
              <w:top w:val="single" w:sz="8" w:space="0" w:color="BFBFBF"/>
              <w:left w:val="nil"/>
              <w:bottom w:val="single" w:sz="8" w:space="0" w:color="BFBFBF"/>
              <w:right w:val="single" w:sz="4" w:space="0" w:color="BFBFBF" w:themeColor="background1" w:themeShade="BF"/>
            </w:tcBorders>
            <w:shd w:val="clear" w:color="000000" w:fill="DBE5F1"/>
            <w:hideMark/>
          </w:tcPr>
          <w:p w:rsidR="00D371EB" w:rsidRPr="004310C6" w:rsidRDefault="00D371EB" w:rsidP="00D86960">
            <w:pPr>
              <w:spacing w:line="240" w:lineRule="exact"/>
              <w:jc w:val="center"/>
              <w:rPr>
                <w:rFonts w:eastAsia="Times New Roman" w:cs="Arial"/>
                <w:b/>
                <w:bCs/>
                <w:color w:val="000000"/>
                <w:sz w:val="16"/>
                <w:szCs w:val="16"/>
                <w:lang w:eastAsia="es-ES"/>
              </w:rPr>
            </w:pPr>
            <w:r w:rsidRPr="004310C6">
              <w:rPr>
                <w:rFonts w:eastAsia="Times New Roman" w:cs="Arial"/>
                <w:b/>
                <w:bCs/>
                <w:color w:val="000000"/>
                <w:sz w:val="16"/>
                <w:szCs w:val="16"/>
                <w:lang w:eastAsia="es-ES"/>
              </w:rPr>
              <w:t>Industria</w:t>
            </w:r>
          </w:p>
        </w:tc>
        <w:tc>
          <w:tcPr>
            <w:tcW w:w="2400" w:type="dxa"/>
            <w:gridSpan w:val="2"/>
            <w:tcBorders>
              <w:top w:val="single" w:sz="8" w:space="0" w:color="BFBFBF"/>
              <w:left w:val="single" w:sz="4" w:space="0" w:color="BFBFBF" w:themeColor="background1" w:themeShade="BF"/>
              <w:bottom w:val="single" w:sz="8" w:space="0" w:color="BFBFBF"/>
            </w:tcBorders>
            <w:shd w:val="clear" w:color="000000" w:fill="DBE5F1"/>
            <w:hideMark/>
          </w:tcPr>
          <w:p w:rsidR="00D371EB" w:rsidRPr="004310C6" w:rsidRDefault="00D371EB" w:rsidP="00D86960">
            <w:pPr>
              <w:spacing w:line="240" w:lineRule="exact"/>
              <w:jc w:val="center"/>
              <w:rPr>
                <w:rFonts w:eastAsia="Times New Roman" w:cs="Arial"/>
                <w:b/>
                <w:bCs/>
                <w:color w:val="000000"/>
                <w:sz w:val="16"/>
                <w:szCs w:val="16"/>
                <w:lang w:eastAsia="es-ES"/>
              </w:rPr>
            </w:pPr>
            <w:r w:rsidRPr="004310C6">
              <w:rPr>
                <w:rFonts w:eastAsia="Times New Roman" w:cs="Arial"/>
                <w:b/>
                <w:bCs/>
                <w:color w:val="000000"/>
                <w:sz w:val="16"/>
                <w:szCs w:val="16"/>
                <w:lang w:eastAsia="es-ES"/>
              </w:rPr>
              <w:t>Servicios</w:t>
            </w:r>
          </w:p>
        </w:tc>
      </w:tr>
      <w:tr w:rsidR="00D371EB" w:rsidRPr="004310C6" w:rsidTr="00D86960">
        <w:trPr>
          <w:jc w:val="center"/>
        </w:trPr>
        <w:tc>
          <w:tcPr>
            <w:tcW w:w="1368" w:type="dxa"/>
            <w:vMerge/>
            <w:tcBorders>
              <w:top w:val="single" w:sz="8" w:space="0" w:color="BFBFBF"/>
              <w:left w:val="nil"/>
              <w:bottom w:val="single" w:sz="8" w:space="0" w:color="BFBFBF"/>
              <w:right w:val="single" w:sz="8" w:space="0" w:color="BFBFBF"/>
            </w:tcBorders>
            <w:vAlign w:val="center"/>
            <w:hideMark/>
          </w:tcPr>
          <w:p w:rsidR="00D371EB" w:rsidRPr="004310C6" w:rsidRDefault="00D371EB" w:rsidP="00D86960">
            <w:pPr>
              <w:spacing w:line="240" w:lineRule="exact"/>
              <w:jc w:val="left"/>
              <w:rPr>
                <w:rFonts w:ascii="Calibri" w:eastAsia="Times New Roman" w:hAnsi="Calibri" w:cs="Times New Roman"/>
                <w:color w:val="000000"/>
                <w:sz w:val="22"/>
                <w:lang w:eastAsia="es-ES"/>
              </w:rPr>
            </w:pPr>
          </w:p>
        </w:tc>
        <w:tc>
          <w:tcPr>
            <w:tcW w:w="1200" w:type="dxa"/>
            <w:tcBorders>
              <w:top w:val="nil"/>
              <w:left w:val="nil"/>
              <w:bottom w:val="single" w:sz="8" w:space="0" w:color="BFBFBF"/>
              <w:right w:val="nil"/>
            </w:tcBorders>
            <w:shd w:val="clear" w:color="000000" w:fill="DBE5F1"/>
            <w:vAlign w:val="bottom"/>
            <w:hideMark/>
          </w:tcPr>
          <w:p w:rsidR="00D371EB" w:rsidRPr="004310C6" w:rsidRDefault="00D371EB" w:rsidP="00D86960">
            <w:pPr>
              <w:spacing w:line="240" w:lineRule="exact"/>
              <w:jc w:val="center"/>
              <w:rPr>
                <w:rFonts w:eastAsia="Times New Roman" w:cs="Arial"/>
                <w:b/>
                <w:bCs/>
                <w:color w:val="000000"/>
                <w:sz w:val="16"/>
                <w:szCs w:val="16"/>
                <w:lang w:eastAsia="es-ES"/>
              </w:rPr>
            </w:pPr>
            <w:proofErr w:type="spellStart"/>
            <w:r w:rsidRPr="004310C6">
              <w:rPr>
                <w:rFonts w:eastAsia="Times New Roman" w:cs="Arial"/>
                <w:b/>
                <w:bCs/>
                <w:color w:val="000000"/>
                <w:sz w:val="16"/>
                <w:szCs w:val="16"/>
                <w:lang w:eastAsia="es-ES"/>
              </w:rPr>
              <w:t>Abs</w:t>
            </w:r>
            <w:proofErr w:type="spellEnd"/>
            <w:r w:rsidRPr="004310C6">
              <w:rPr>
                <w:rFonts w:eastAsia="Times New Roman" w:cs="Arial"/>
                <w:b/>
                <w:bCs/>
                <w:color w:val="000000"/>
                <w:sz w:val="16"/>
                <w:szCs w:val="16"/>
                <w:lang w:eastAsia="es-ES"/>
              </w:rPr>
              <w:t>.</w:t>
            </w:r>
          </w:p>
        </w:tc>
        <w:tc>
          <w:tcPr>
            <w:tcW w:w="1220" w:type="dxa"/>
            <w:tcBorders>
              <w:top w:val="nil"/>
              <w:left w:val="nil"/>
              <w:bottom w:val="single" w:sz="8" w:space="0" w:color="BFBFBF"/>
              <w:right w:val="single" w:sz="4" w:space="0" w:color="BFBFBF" w:themeColor="background1" w:themeShade="BF"/>
            </w:tcBorders>
            <w:shd w:val="clear" w:color="000000" w:fill="DBE5F1"/>
            <w:vAlign w:val="bottom"/>
            <w:hideMark/>
          </w:tcPr>
          <w:p w:rsidR="00D371EB" w:rsidRPr="004310C6" w:rsidRDefault="00D371EB" w:rsidP="00D86960">
            <w:pPr>
              <w:spacing w:line="240" w:lineRule="exact"/>
              <w:jc w:val="center"/>
              <w:rPr>
                <w:rFonts w:eastAsia="Times New Roman" w:cs="Arial"/>
                <w:b/>
                <w:bCs/>
                <w:color w:val="000000"/>
                <w:sz w:val="16"/>
                <w:szCs w:val="16"/>
                <w:lang w:eastAsia="es-ES"/>
              </w:rPr>
            </w:pPr>
            <w:r w:rsidRPr="004310C6">
              <w:rPr>
                <w:rFonts w:eastAsia="Times New Roman" w:cs="Arial"/>
                <w:b/>
                <w:bCs/>
                <w:color w:val="000000"/>
                <w:sz w:val="16"/>
                <w:szCs w:val="16"/>
                <w:lang w:eastAsia="es-ES"/>
              </w:rPr>
              <w:t>% ver.</w:t>
            </w:r>
          </w:p>
        </w:tc>
        <w:tc>
          <w:tcPr>
            <w:tcW w:w="1200" w:type="dxa"/>
            <w:tcBorders>
              <w:top w:val="nil"/>
              <w:left w:val="single" w:sz="4" w:space="0" w:color="BFBFBF" w:themeColor="background1" w:themeShade="BF"/>
              <w:bottom w:val="single" w:sz="8" w:space="0" w:color="BFBFBF"/>
              <w:right w:val="nil"/>
            </w:tcBorders>
            <w:shd w:val="clear" w:color="000000" w:fill="DBE5F1"/>
            <w:vAlign w:val="bottom"/>
            <w:hideMark/>
          </w:tcPr>
          <w:p w:rsidR="00D371EB" w:rsidRPr="004310C6" w:rsidRDefault="00D371EB" w:rsidP="00D86960">
            <w:pPr>
              <w:spacing w:line="240" w:lineRule="exact"/>
              <w:jc w:val="center"/>
              <w:rPr>
                <w:rFonts w:eastAsia="Times New Roman" w:cs="Arial"/>
                <w:b/>
                <w:bCs/>
                <w:color w:val="000000"/>
                <w:sz w:val="16"/>
                <w:szCs w:val="16"/>
                <w:lang w:eastAsia="es-ES"/>
              </w:rPr>
            </w:pPr>
            <w:proofErr w:type="spellStart"/>
            <w:r w:rsidRPr="004310C6">
              <w:rPr>
                <w:rFonts w:eastAsia="Times New Roman" w:cs="Arial"/>
                <w:b/>
                <w:bCs/>
                <w:color w:val="000000"/>
                <w:sz w:val="16"/>
                <w:szCs w:val="16"/>
                <w:lang w:eastAsia="es-ES"/>
              </w:rPr>
              <w:t>Abs</w:t>
            </w:r>
            <w:proofErr w:type="spellEnd"/>
            <w:r w:rsidRPr="004310C6">
              <w:rPr>
                <w:rFonts w:eastAsia="Times New Roman" w:cs="Arial"/>
                <w:b/>
                <w:bCs/>
                <w:color w:val="000000"/>
                <w:sz w:val="16"/>
                <w:szCs w:val="16"/>
                <w:lang w:eastAsia="es-ES"/>
              </w:rPr>
              <w:t>.</w:t>
            </w:r>
          </w:p>
        </w:tc>
        <w:tc>
          <w:tcPr>
            <w:tcW w:w="1200" w:type="dxa"/>
            <w:tcBorders>
              <w:top w:val="nil"/>
              <w:left w:val="nil"/>
              <w:bottom w:val="single" w:sz="8" w:space="0" w:color="BFBFBF"/>
            </w:tcBorders>
            <w:shd w:val="clear" w:color="000000" w:fill="DBE5F1"/>
            <w:vAlign w:val="bottom"/>
            <w:hideMark/>
          </w:tcPr>
          <w:p w:rsidR="00D371EB" w:rsidRPr="004310C6" w:rsidRDefault="00D371EB" w:rsidP="00D86960">
            <w:pPr>
              <w:spacing w:line="240" w:lineRule="exact"/>
              <w:jc w:val="center"/>
              <w:rPr>
                <w:rFonts w:eastAsia="Times New Roman" w:cs="Arial"/>
                <w:b/>
                <w:bCs/>
                <w:color w:val="000000"/>
                <w:sz w:val="16"/>
                <w:szCs w:val="16"/>
                <w:lang w:eastAsia="es-ES"/>
              </w:rPr>
            </w:pPr>
            <w:r w:rsidRPr="004310C6">
              <w:rPr>
                <w:rFonts w:eastAsia="Times New Roman" w:cs="Arial"/>
                <w:b/>
                <w:bCs/>
                <w:color w:val="000000"/>
                <w:sz w:val="16"/>
                <w:szCs w:val="16"/>
                <w:lang w:eastAsia="es-ES"/>
              </w:rPr>
              <w:t>% ver.</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Gasteiz</w:t>
            </w:r>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1.537</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6,5</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3.252</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11,2</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Ayala</w:t>
            </w:r>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179</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0,8</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348</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1,2</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M. Derecha</w:t>
            </w:r>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993</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4,2</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2.129</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7,3</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Bilbao</w:t>
            </w:r>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459</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1,9</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3.493</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12,0</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M. Izquierda</w:t>
            </w:r>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661</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2,8</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3.218</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11,1</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proofErr w:type="spellStart"/>
            <w:r w:rsidRPr="004310C6">
              <w:rPr>
                <w:rFonts w:eastAsia="Times New Roman" w:cs="Arial"/>
                <w:color w:val="000000"/>
                <w:sz w:val="16"/>
                <w:szCs w:val="16"/>
                <w:lang w:eastAsia="es-ES"/>
              </w:rPr>
              <w:t>Bizkaia</w:t>
            </w:r>
            <w:proofErr w:type="spellEnd"/>
            <w:r w:rsidRPr="004310C6">
              <w:rPr>
                <w:rFonts w:eastAsia="Times New Roman" w:cs="Arial"/>
                <w:color w:val="000000"/>
                <w:sz w:val="16"/>
                <w:szCs w:val="16"/>
                <w:lang w:eastAsia="es-ES"/>
              </w:rPr>
              <w:t xml:space="preserve"> – Costa</w:t>
            </w:r>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2.895</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12,2</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1.269</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4,4</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proofErr w:type="spellStart"/>
            <w:r w:rsidRPr="004310C6">
              <w:rPr>
                <w:rFonts w:eastAsia="Times New Roman" w:cs="Arial"/>
                <w:color w:val="000000"/>
                <w:sz w:val="16"/>
                <w:szCs w:val="16"/>
                <w:lang w:eastAsia="es-ES"/>
              </w:rPr>
              <w:t>Duranguesado</w:t>
            </w:r>
            <w:proofErr w:type="spellEnd"/>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2.146</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9,0</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3.098</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10,7</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proofErr w:type="spellStart"/>
            <w:r w:rsidRPr="004310C6">
              <w:rPr>
                <w:rFonts w:eastAsia="Times New Roman" w:cs="Arial"/>
                <w:color w:val="000000"/>
                <w:sz w:val="16"/>
                <w:szCs w:val="16"/>
                <w:lang w:eastAsia="es-ES"/>
              </w:rPr>
              <w:t>Donostialdea</w:t>
            </w:r>
            <w:proofErr w:type="spellEnd"/>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3.014</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12,7</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6.184</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21,3</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 xml:space="preserve">Tolosa – </w:t>
            </w:r>
            <w:proofErr w:type="spellStart"/>
            <w:r w:rsidRPr="004310C6">
              <w:rPr>
                <w:rFonts w:eastAsia="Times New Roman" w:cs="Arial"/>
                <w:color w:val="000000"/>
                <w:sz w:val="16"/>
                <w:szCs w:val="16"/>
                <w:lang w:eastAsia="es-ES"/>
              </w:rPr>
              <w:t>Goierri</w:t>
            </w:r>
            <w:proofErr w:type="spellEnd"/>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3.564</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15,0</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1.789</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6,2</w:t>
            </w:r>
          </w:p>
        </w:tc>
      </w:tr>
      <w:tr w:rsidR="00D371EB" w:rsidRPr="004310C6" w:rsidTr="00D86960">
        <w:trPr>
          <w:jc w:val="center"/>
        </w:trPr>
        <w:tc>
          <w:tcPr>
            <w:tcW w:w="1368" w:type="dxa"/>
            <w:tcBorders>
              <w:top w:val="nil"/>
              <w:left w:val="nil"/>
              <w:bottom w:val="nil"/>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Alto Deba</w:t>
            </w:r>
          </w:p>
        </w:tc>
        <w:tc>
          <w:tcPr>
            <w:tcW w:w="1200" w:type="dxa"/>
            <w:tcBorders>
              <w:top w:val="nil"/>
              <w:left w:val="nil"/>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7.316</w:t>
            </w:r>
          </w:p>
        </w:tc>
        <w:tc>
          <w:tcPr>
            <w:tcW w:w="1220" w:type="dxa"/>
            <w:tcBorders>
              <w:top w:val="nil"/>
              <w:left w:val="nil"/>
              <w:bottom w:val="nil"/>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30,7</w:t>
            </w:r>
          </w:p>
        </w:tc>
        <w:tc>
          <w:tcPr>
            <w:tcW w:w="1200" w:type="dxa"/>
            <w:tcBorders>
              <w:top w:val="nil"/>
              <w:left w:val="single" w:sz="4" w:space="0" w:color="BFBFBF" w:themeColor="background1" w:themeShade="BF"/>
              <w:bottom w:val="nil"/>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3.683</w:t>
            </w:r>
          </w:p>
        </w:tc>
        <w:tc>
          <w:tcPr>
            <w:tcW w:w="1200" w:type="dxa"/>
            <w:tcBorders>
              <w:top w:val="nil"/>
              <w:left w:val="nil"/>
              <w:bottom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12,7</w:t>
            </w:r>
          </w:p>
        </w:tc>
      </w:tr>
      <w:tr w:rsidR="00D371EB" w:rsidRPr="004310C6" w:rsidTr="00D86960">
        <w:trPr>
          <w:jc w:val="center"/>
        </w:trPr>
        <w:tc>
          <w:tcPr>
            <w:tcW w:w="1368" w:type="dxa"/>
            <w:tcBorders>
              <w:top w:val="nil"/>
              <w:left w:val="nil"/>
              <w:bottom w:val="single" w:sz="4" w:space="0" w:color="BFBFBF" w:themeColor="background1" w:themeShade="BF"/>
              <w:right w:val="single" w:sz="8" w:space="0" w:color="BFBFBF"/>
            </w:tcBorders>
            <w:shd w:val="clear" w:color="auto" w:fill="auto"/>
            <w:hideMark/>
          </w:tcPr>
          <w:p w:rsidR="00D371EB" w:rsidRPr="004310C6" w:rsidRDefault="00D371EB" w:rsidP="00D86960">
            <w:pPr>
              <w:spacing w:line="240" w:lineRule="exact"/>
              <w:rPr>
                <w:rFonts w:eastAsia="Times New Roman" w:cs="Arial"/>
                <w:color w:val="000000"/>
                <w:sz w:val="16"/>
                <w:szCs w:val="16"/>
                <w:lang w:eastAsia="es-ES"/>
              </w:rPr>
            </w:pPr>
            <w:r w:rsidRPr="004310C6">
              <w:rPr>
                <w:rFonts w:eastAsia="Times New Roman" w:cs="Arial"/>
                <w:color w:val="000000"/>
                <w:sz w:val="16"/>
                <w:szCs w:val="16"/>
                <w:lang w:eastAsia="es-ES"/>
              </w:rPr>
              <w:t>Bajo Deba</w:t>
            </w:r>
          </w:p>
        </w:tc>
        <w:tc>
          <w:tcPr>
            <w:tcW w:w="1200" w:type="dxa"/>
            <w:tcBorders>
              <w:top w:val="nil"/>
              <w:left w:val="nil"/>
              <w:bottom w:val="single" w:sz="4" w:space="0" w:color="BFBFBF" w:themeColor="background1" w:themeShade="BF"/>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1.044</w:t>
            </w:r>
          </w:p>
        </w:tc>
        <w:tc>
          <w:tcPr>
            <w:tcW w:w="1220" w:type="dxa"/>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4,4</w:t>
            </w:r>
          </w:p>
        </w:tc>
        <w:tc>
          <w:tcPr>
            <w:tcW w:w="1200" w:type="dxa"/>
            <w:tcBorders>
              <w:top w:val="nil"/>
              <w:left w:val="single" w:sz="4" w:space="0" w:color="BFBFBF" w:themeColor="background1" w:themeShade="BF"/>
              <w:bottom w:val="single" w:sz="4" w:space="0" w:color="BFBFBF" w:themeColor="background1" w:themeShade="BF"/>
              <w:right w:val="nil"/>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sidRPr="004310C6">
              <w:rPr>
                <w:rFonts w:eastAsia="Times New Roman" w:cs="Arial"/>
                <w:color w:val="000000"/>
                <w:sz w:val="16"/>
                <w:szCs w:val="16"/>
                <w:lang w:eastAsia="es-ES"/>
              </w:rPr>
              <w:t>542</w:t>
            </w:r>
          </w:p>
        </w:tc>
        <w:tc>
          <w:tcPr>
            <w:tcW w:w="1200" w:type="dxa"/>
            <w:tcBorders>
              <w:top w:val="nil"/>
              <w:left w:val="nil"/>
              <w:bottom w:val="single" w:sz="4" w:space="0" w:color="BFBFBF" w:themeColor="background1" w:themeShade="BF"/>
            </w:tcBorders>
            <w:shd w:val="clear" w:color="auto" w:fill="auto"/>
            <w:noWrap/>
            <w:vAlign w:val="bottom"/>
            <w:hideMark/>
          </w:tcPr>
          <w:p w:rsidR="00D371EB" w:rsidRPr="004310C6" w:rsidRDefault="00D371EB" w:rsidP="00D86960">
            <w:pPr>
              <w:spacing w:line="240" w:lineRule="exact"/>
              <w:ind w:right="217"/>
              <w:jc w:val="right"/>
              <w:rPr>
                <w:rFonts w:eastAsia="Times New Roman" w:cs="Arial"/>
                <w:color w:val="000000"/>
                <w:sz w:val="16"/>
                <w:szCs w:val="16"/>
                <w:lang w:eastAsia="es-ES"/>
              </w:rPr>
            </w:pPr>
            <w:r>
              <w:rPr>
                <w:rFonts w:eastAsia="Times New Roman" w:cs="Arial"/>
                <w:color w:val="000000"/>
                <w:sz w:val="16"/>
                <w:szCs w:val="16"/>
                <w:lang w:eastAsia="es-ES"/>
              </w:rPr>
              <w:t>1,9</w:t>
            </w:r>
          </w:p>
        </w:tc>
      </w:tr>
      <w:tr w:rsidR="00D371EB" w:rsidRPr="004310C6" w:rsidTr="00D86960">
        <w:trPr>
          <w:jc w:val="center"/>
        </w:trPr>
        <w:tc>
          <w:tcPr>
            <w:tcW w:w="136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D371EB" w:rsidRPr="004310C6" w:rsidRDefault="00D371EB" w:rsidP="00D86960">
            <w:pPr>
              <w:spacing w:line="240" w:lineRule="exact"/>
              <w:rPr>
                <w:rFonts w:eastAsia="Times New Roman" w:cs="Arial"/>
                <w:b/>
                <w:bCs/>
                <w:color w:val="000000"/>
                <w:sz w:val="16"/>
                <w:szCs w:val="16"/>
                <w:lang w:eastAsia="es-ES"/>
              </w:rPr>
            </w:pPr>
            <w:r w:rsidRPr="004310C6">
              <w:rPr>
                <w:rFonts w:eastAsia="Times New Roman" w:cs="Arial"/>
                <w:b/>
                <w:bCs/>
                <w:color w:val="000000"/>
                <w:sz w:val="16"/>
                <w:szCs w:val="16"/>
                <w:lang w:eastAsia="es-ES"/>
              </w:rPr>
              <w:t>TOTAL</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4310C6" w:rsidRDefault="00D371EB" w:rsidP="00D86960">
            <w:pPr>
              <w:spacing w:line="240" w:lineRule="exact"/>
              <w:ind w:right="217"/>
              <w:jc w:val="right"/>
              <w:rPr>
                <w:rFonts w:eastAsia="Times New Roman" w:cs="Arial"/>
                <w:b/>
                <w:bCs/>
                <w:color w:val="000000"/>
                <w:sz w:val="16"/>
                <w:szCs w:val="16"/>
                <w:lang w:eastAsia="es-ES"/>
              </w:rPr>
            </w:pPr>
            <w:r w:rsidRPr="004310C6">
              <w:rPr>
                <w:rFonts w:eastAsia="Times New Roman" w:cs="Arial"/>
                <w:b/>
                <w:bCs/>
                <w:color w:val="000000"/>
                <w:sz w:val="16"/>
                <w:szCs w:val="16"/>
                <w:lang w:eastAsia="es-ES"/>
              </w:rPr>
              <w:t>23.807</w:t>
            </w:r>
          </w:p>
        </w:tc>
        <w:tc>
          <w:tcPr>
            <w:tcW w:w="122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4310C6" w:rsidRDefault="00D371EB" w:rsidP="00D86960">
            <w:pPr>
              <w:spacing w:line="240" w:lineRule="exact"/>
              <w:ind w:right="217"/>
              <w:jc w:val="right"/>
              <w:rPr>
                <w:rFonts w:eastAsia="Times New Roman" w:cs="Arial"/>
                <w:b/>
                <w:bCs/>
                <w:color w:val="000000"/>
                <w:sz w:val="16"/>
                <w:szCs w:val="16"/>
                <w:lang w:eastAsia="es-ES"/>
              </w:rPr>
            </w:pPr>
            <w:r w:rsidRPr="004310C6">
              <w:rPr>
                <w:rFonts w:eastAsia="Times New Roman" w:cs="Arial"/>
                <w:b/>
                <w:bCs/>
                <w:color w:val="000000"/>
                <w:sz w:val="16"/>
                <w:szCs w:val="16"/>
                <w:lang w:eastAsia="es-ES"/>
              </w:rPr>
              <w:t>100</w:t>
            </w:r>
            <w:r>
              <w:rPr>
                <w:rFonts w:eastAsia="Times New Roman" w:cs="Arial"/>
                <w:b/>
                <w:bCs/>
                <w:color w:val="000000"/>
                <w:sz w:val="16"/>
                <w:szCs w:val="16"/>
                <w:lang w:eastAsia="es-ES"/>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4310C6" w:rsidRDefault="00D371EB" w:rsidP="00D86960">
            <w:pPr>
              <w:spacing w:line="240" w:lineRule="exact"/>
              <w:ind w:right="217"/>
              <w:jc w:val="right"/>
              <w:rPr>
                <w:rFonts w:eastAsia="Times New Roman" w:cs="Arial"/>
                <w:b/>
                <w:bCs/>
                <w:color w:val="000000"/>
                <w:sz w:val="16"/>
                <w:szCs w:val="16"/>
                <w:lang w:eastAsia="es-ES"/>
              </w:rPr>
            </w:pPr>
            <w:r w:rsidRPr="004310C6">
              <w:rPr>
                <w:rFonts w:eastAsia="Times New Roman" w:cs="Arial"/>
                <w:b/>
                <w:bCs/>
                <w:color w:val="000000"/>
                <w:sz w:val="16"/>
                <w:szCs w:val="16"/>
                <w:lang w:eastAsia="es-ES"/>
              </w:rPr>
              <w:t>29.005</w:t>
            </w:r>
          </w:p>
        </w:tc>
        <w:tc>
          <w:tcPr>
            <w:tcW w:w="1200" w:type="dxa"/>
            <w:tcBorders>
              <w:top w:val="single" w:sz="4" w:space="0" w:color="BFBFBF" w:themeColor="background1" w:themeShade="BF"/>
              <w:bottom w:val="single" w:sz="4" w:space="0" w:color="BFBFBF" w:themeColor="background1" w:themeShade="BF"/>
            </w:tcBorders>
            <w:shd w:val="clear" w:color="auto" w:fill="auto"/>
            <w:hideMark/>
          </w:tcPr>
          <w:p w:rsidR="00D371EB" w:rsidRPr="004310C6" w:rsidRDefault="00D371EB" w:rsidP="00D86960">
            <w:pPr>
              <w:spacing w:line="240" w:lineRule="exact"/>
              <w:ind w:right="217"/>
              <w:jc w:val="right"/>
              <w:rPr>
                <w:rFonts w:eastAsia="Times New Roman" w:cs="Arial"/>
                <w:b/>
                <w:bCs/>
                <w:color w:val="000000"/>
                <w:sz w:val="16"/>
                <w:szCs w:val="16"/>
                <w:lang w:eastAsia="es-ES"/>
              </w:rPr>
            </w:pPr>
            <w:r w:rsidRPr="004310C6">
              <w:rPr>
                <w:rFonts w:eastAsia="Times New Roman" w:cs="Arial"/>
                <w:b/>
                <w:bCs/>
                <w:color w:val="000000"/>
                <w:sz w:val="16"/>
                <w:szCs w:val="16"/>
                <w:lang w:eastAsia="es-ES"/>
              </w:rPr>
              <w:t>100</w:t>
            </w:r>
            <w:r>
              <w:rPr>
                <w:rFonts w:eastAsia="Times New Roman" w:cs="Arial"/>
                <w:b/>
                <w:bCs/>
                <w:color w:val="000000"/>
                <w:sz w:val="16"/>
                <w:szCs w:val="16"/>
                <w:lang w:eastAsia="es-ES"/>
              </w:rPr>
              <w:t>,0</w:t>
            </w:r>
          </w:p>
        </w:tc>
      </w:tr>
    </w:tbl>
    <w:p w:rsidR="00D371EB" w:rsidRDefault="00D371EB" w:rsidP="00D371EB">
      <w:pPr>
        <w:jc w:val="left"/>
        <w:rPr>
          <w:rFonts w:cs="Arial"/>
          <w:b/>
          <w:color w:val="1F497D" w:themeColor="text2"/>
          <w:sz w:val="18"/>
          <w:szCs w:val="18"/>
        </w:rPr>
      </w:pPr>
    </w:p>
    <w:p w:rsidR="00D371EB" w:rsidRDefault="00DE1512" w:rsidP="00D371EB">
      <w:pPr>
        <w:spacing w:line="240" w:lineRule="auto"/>
        <w:jc w:val="center"/>
        <w:rPr>
          <w:rFonts w:cs="Arial"/>
          <w:b/>
          <w:color w:val="1F497D" w:themeColor="text2"/>
          <w:sz w:val="18"/>
          <w:szCs w:val="18"/>
        </w:rPr>
      </w:pPr>
      <w:bookmarkStart w:id="266" w:name="_Toc450119533"/>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78</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D508DF" w:rsidRPr="00665097">
        <w:rPr>
          <w:rFonts w:cs="Arial"/>
          <w:b/>
          <w:color w:val="1F497D" w:themeColor="text2"/>
          <w:sz w:val="18"/>
          <w:szCs w:val="18"/>
        </w:rPr>
        <w:t xml:space="preserve"> </w:t>
      </w:r>
      <w:r w:rsidR="00D371EB">
        <w:rPr>
          <w:rFonts w:cs="Arial"/>
          <w:b/>
          <w:color w:val="1F497D" w:themeColor="text2"/>
          <w:sz w:val="18"/>
          <w:szCs w:val="18"/>
        </w:rPr>
        <w:t>DISTRIBUCIÓN COMARCAL</w:t>
      </w:r>
      <w:r w:rsidR="00D371EB" w:rsidRPr="004D1CBD">
        <w:rPr>
          <w:rFonts w:cs="Arial"/>
          <w:b/>
          <w:color w:val="1F497D" w:themeColor="text2"/>
          <w:sz w:val="18"/>
          <w:szCs w:val="18"/>
        </w:rPr>
        <w:t xml:space="preserve"> DEL EMPLEO</w:t>
      </w:r>
      <w:bookmarkEnd w:id="266"/>
      <w:r w:rsidR="00D371EB" w:rsidRPr="004D1CBD">
        <w:rPr>
          <w:rFonts w:cs="Arial"/>
          <w:b/>
          <w:color w:val="1F497D" w:themeColor="text2"/>
          <w:sz w:val="18"/>
          <w:szCs w:val="18"/>
        </w:rPr>
        <w:t xml:space="preserve"> </w:t>
      </w:r>
    </w:p>
    <w:p w:rsidR="00D371EB" w:rsidRDefault="00D371EB" w:rsidP="00D371EB">
      <w:pPr>
        <w:spacing w:line="240" w:lineRule="auto"/>
        <w:jc w:val="center"/>
        <w:rPr>
          <w:rFonts w:cs="Arial"/>
          <w:b/>
          <w:noProof/>
          <w:color w:val="1F497D" w:themeColor="text2"/>
          <w:sz w:val="18"/>
          <w:szCs w:val="18"/>
        </w:rPr>
      </w:pPr>
      <w:r w:rsidRPr="004D1CBD">
        <w:rPr>
          <w:rFonts w:cs="Arial"/>
          <w:b/>
          <w:color w:val="1F497D" w:themeColor="text2"/>
          <w:sz w:val="18"/>
          <w:szCs w:val="18"/>
        </w:rPr>
        <w:t xml:space="preserve">DE </w:t>
      </w:r>
      <w:r>
        <w:rPr>
          <w:rFonts w:cs="Arial"/>
          <w:b/>
          <w:color w:val="1F497D" w:themeColor="text2"/>
          <w:sz w:val="18"/>
          <w:szCs w:val="18"/>
        </w:rPr>
        <w:t xml:space="preserve">LAS FCES DE </w:t>
      </w:r>
      <w:r w:rsidRPr="004D1CBD">
        <w:rPr>
          <w:rFonts w:cs="Arial"/>
          <w:b/>
          <w:color w:val="1F497D" w:themeColor="text2"/>
          <w:sz w:val="18"/>
          <w:szCs w:val="18"/>
        </w:rPr>
        <w:t>LA ECONOMÍA SOCIAL</w:t>
      </w:r>
      <w:r>
        <w:rPr>
          <w:rFonts w:cs="Arial"/>
          <w:b/>
          <w:color w:val="1F497D" w:themeColor="text2"/>
          <w:sz w:val="18"/>
          <w:szCs w:val="18"/>
        </w:rPr>
        <w:t xml:space="preserve"> Y LA POBLACIÓN OCUPADA EN LA CAE 2014</w:t>
      </w:r>
      <w:r w:rsidRPr="004D1CBD">
        <w:rPr>
          <w:rFonts w:cs="Arial"/>
          <w:b/>
          <w:color w:val="1F497D" w:themeColor="text2"/>
          <w:sz w:val="18"/>
          <w:szCs w:val="18"/>
        </w:rPr>
        <w:t xml:space="preserve"> </w:t>
      </w:r>
      <w:r w:rsidRPr="004D1CBD">
        <w:rPr>
          <w:rFonts w:cs="Arial"/>
          <w:b/>
          <w:noProof/>
          <w:color w:val="1F497D" w:themeColor="text2"/>
          <w:sz w:val="18"/>
          <w:szCs w:val="18"/>
        </w:rPr>
        <w:t>(</w:t>
      </w:r>
      <w:r>
        <w:rPr>
          <w:rFonts w:cs="Arial"/>
          <w:b/>
          <w:noProof/>
          <w:color w:val="1F497D" w:themeColor="text2"/>
          <w:sz w:val="18"/>
          <w:szCs w:val="18"/>
        </w:rPr>
        <w:t>cifras absolutas y % verticales</w:t>
      </w:r>
      <w:r w:rsidRPr="004D1CBD">
        <w:rPr>
          <w:rFonts w:cs="Arial"/>
          <w:b/>
          <w:noProof/>
          <w:color w:val="1F497D" w:themeColor="text2"/>
          <w:sz w:val="18"/>
          <w:szCs w:val="18"/>
        </w:rPr>
        <w:t>)</w:t>
      </w:r>
    </w:p>
    <w:tbl>
      <w:tblPr>
        <w:tblW w:w="9940" w:type="dxa"/>
        <w:jc w:val="center"/>
        <w:tblCellMar>
          <w:left w:w="70" w:type="dxa"/>
          <w:right w:w="70" w:type="dxa"/>
        </w:tblCellMar>
        <w:tblLook w:val="04A0" w:firstRow="1" w:lastRow="0" w:firstColumn="1" w:lastColumn="0" w:noHBand="0" w:noVBand="1"/>
      </w:tblPr>
      <w:tblGrid>
        <w:gridCol w:w="1851"/>
        <w:gridCol w:w="1389"/>
        <w:gridCol w:w="1389"/>
        <w:gridCol w:w="1389"/>
        <w:gridCol w:w="1099"/>
        <w:gridCol w:w="2823"/>
      </w:tblGrid>
      <w:tr w:rsidR="00D371EB" w:rsidRPr="00476DCE" w:rsidTr="00D508DF">
        <w:trPr>
          <w:jc w:val="center"/>
        </w:trPr>
        <w:tc>
          <w:tcPr>
            <w:tcW w:w="1851" w:type="dxa"/>
            <w:tcBorders>
              <w:top w:val="single" w:sz="8" w:space="0" w:color="BFBFBF"/>
              <w:left w:val="nil"/>
              <w:bottom w:val="nil"/>
              <w:right w:val="single" w:sz="8" w:space="0" w:color="BFBFBF"/>
            </w:tcBorders>
            <w:shd w:val="clear" w:color="000000" w:fill="DBE5F1"/>
            <w:hideMark/>
          </w:tcPr>
          <w:p w:rsidR="00D371EB" w:rsidRPr="00476DCE" w:rsidRDefault="00D371EB" w:rsidP="00D86960">
            <w:pPr>
              <w:spacing w:line="240" w:lineRule="exact"/>
              <w:jc w:val="left"/>
              <w:rPr>
                <w:rFonts w:ascii="Calibri" w:eastAsia="Times New Roman" w:hAnsi="Calibri" w:cs="Times New Roman"/>
                <w:color w:val="000000"/>
                <w:sz w:val="22"/>
                <w:lang w:eastAsia="es-ES"/>
              </w:rPr>
            </w:pPr>
            <w:r w:rsidRPr="00476DCE">
              <w:rPr>
                <w:rFonts w:ascii="Calibri" w:eastAsia="Times New Roman" w:hAnsi="Calibri" w:cs="Times New Roman"/>
                <w:color w:val="000000"/>
                <w:sz w:val="22"/>
                <w:lang w:eastAsia="es-ES"/>
              </w:rPr>
              <w:t> </w:t>
            </w:r>
          </w:p>
        </w:tc>
        <w:tc>
          <w:tcPr>
            <w:tcW w:w="2778" w:type="dxa"/>
            <w:gridSpan w:val="2"/>
            <w:tcBorders>
              <w:top w:val="single" w:sz="8" w:space="0" w:color="BFBFBF"/>
              <w:left w:val="nil"/>
              <w:bottom w:val="single" w:sz="8" w:space="0" w:color="BFBFBF"/>
              <w:right w:val="single" w:sz="4" w:space="0" w:color="BFBFBF" w:themeColor="background1" w:themeShade="BF"/>
            </w:tcBorders>
            <w:shd w:val="clear" w:color="000000" w:fill="DBE5F1"/>
            <w:vAlign w:val="center"/>
            <w:hideMark/>
          </w:tcPr>
          <w:p w:rsidR="00D371EB" w:rsidRPr="00476DCE" w:rsidRDefault="00D371EB" w:rsidP="00D86960">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Economía Social</w:t>
            </w:r>
          </w:p>
        </w:tc>
        <w:tc>
          <w:tcPr>
            <w:tcW w:w="2488" w:type="dxa"/>
            <w:gridSpan w:val="2"/>
            <w:tcBorders>
              <w:top w:val="single" w:sz="8" w:space="0" w:color="BFBFBF"/>
              <w:left w:val="single" w:sz="4" w:space="0" w:color="BFBFBF" w:themeColor="background1" w:themeShade="BF"/>
              <w:bottom w:val="single" w:sz="8" w:space="0" w:color="BFBFBF"/>
              <w:right w:val="single" w:sz="4" w:space="0" w:color="BFBFBF" w:themeColor="background1" w:themeShade="BF"/>
            </w:tcBorders>
            <w:shd w:val="clear" w:color="000000" w:fill="DBE5F1"/>
            <w:vAlign w:val="center"/>
            <w:hideMark/>
          </w:tcPr>
          <w:p w:rsidR="00D371EB" w:rsidRPr="00476DCE" w:rsidRDefault="00D371EB" w:rsidP="00D86960">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Población Ocupada CAE</w:t>
            </w:r>
            <w:r>
              <w:rPr>
                <w:rFonts w:eastAsia="Times New Roman" w:cs="Arial"/>
                <w:b/>
                <w:bCs/>
                <w:color w:val="000000"/>
                <w:sz w:val="16"/>
                <w:szCs w:val="16"/>
                <w:lang w:eastAsia="es-ES"/>
              </w:rPr>
              <w:t>*</w:t>
            </w:r>
          </w:p>
        </w:tc>
        <w:tc>
          <w:tcPr>
            <w:tcW w:w="2823" w:type="dxa"/>
            <w:tcBorders>
              <w:top w:val="single" w:sz="8" w:space="0" w:color="BFBFBF"/>
              <w:left w:val="single" w:sz="4" w:space="0" w:color="BFBFBF" w:themeColor="background1" w:themeShade="BF"/>
              <w:bottom w:val="single" w:sz="8" w:space="0" w:color="BFBFBF"/>
            </w:tcBorders>
            <w:shd w:val="clear" w:color="000000" w:fill="DBE5F1"/>
            <w:hideMark/>
          </w:tcPr>
          <w:p w:rsidR="00D371EB" w:rsidRPr="00476DCE" w:rsidRDefault="00D371EB"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Importancia relativa de la Economía Social en la Economía de la CAE</w:t>
            </w:r>
            <w:r w:rsidRPr="00476DCE">
              <w:rPr>
                <w:rFonts w:eastAsia="Times New Roman" w:cs="Arial"/>
                <w:b/>
                <w:bCs/>
                <w:color w:val="000000"/>
                <w:sz w:val="16"/>
                <w:szCs w:val="16"/>
                <w:lang w:eastAsia="es-ES"/>
              </w:rPr>
              <w:t xml:space="preserve"> </w:t>
            </w:r>
          </w:p>
        </w:tc>
      </w:tr>
      <w:tr w:rsidR="00D371EB" w:rsidRPr="00476DCE" w:rsidTr="00D508DF">
        <w:trPr>
          <w:jc w:val="center"/>
        </w:trPr>
        <w:tc>
          <w:tcPr>
            <w:tcW w:w="1851" w:type="dxa"/>
            <w:tcBorders>
              <w:top w:val="nil"/>
              <w:left w:val="nil"/>
              <w:bottom w:val="single" w:sz="8" w:space="0" w:color="BFBFBF"/>
              <w:right w:val="single" w:sz="8" w:space="0" w:color="BFBFBF"/>
            </w:tcBorders>
            <w:shd w:val="clear" w:color="000000" w:fill="DBE5F1"/>
            <w:hideMark/>
          </w:tcPr>
          <w:p w:rsidR="00D371EB" w:rsidRPr="00476DCE" w:rsidRDefault="00D371EB" w:rsidP="00D86960">
            <w:pPr>
              <w:spacing w:line="240" w:lineRule="exact"/>
              <w:jc w:val="left"/>
              <w:rPr>
                <w:rFonts w:ascii="Calibri" w:eastAsia="Times New Roman" w:hAnsi="Calibri" w:cs="Times New Roman"/>
                <w:color w:val="000000"/>
                <w:sz w:val="22"/>
                <w:lang w:eastAsia="es-ES"/>
              </w:rPr>
            </w:pPr>
            <w:r w:rsidRPr="00476DCE">
              <w:rPr>
                <w:rFonts w:ascii="Calibri" w:eastAsia="Times New Roman" w:hAnsi="Calibri" w:cs="Times New Roman"/>
                <w:color w:val="000000"/>
                <w:sz w:val="22"/>
                <w:lang w:eastAsia="es-ES"/>
              </w:rPr>
              <w:t> </w:t>
            </w:r>
          </w:p>
        </w:tc>
        <w:tc>
          <w:tcPr>
            <w:tcW w:w="1389" w:type="dxa"/>
            <w:tcBorders>
              <w:top w:val="nil"/>
              <w:left w:val="nil"/>
              <w:bottom w:val="single" w:sz="8" w:space="0" w:color="BFBFBF"/>
              <w:right w:val="nil"/>
            </w:tcBorders>
            <w:shd w:val="clear" w:color="000000" w:fill="DBE5F1"/>
            <w:hideMark/>
          </w:tcPr>
          <w:p w:rsidR="00D371EB" w:rsidRPr="00476DCE" w:rsidRDefault="00D371EB" w:rsidP="00D86960">
            <w:pPr>
              <w:spacing w:line="240" w:lineRule="exact"/>
              <w:jc w:val="center"/>
              <w:rPr>
                <w:rFonts w:eastAsia="Times New Roman" w:cs="Arial"/>
                <w:b/>
                <w:bCs/>
                <w:color w:val="000000"/>
                <w:sz w:val="16"/>
                <w:szCs w:val="16"/>
                <w:lang w:eastAsia="es-ES"/>
              </w:rPr>
            </w:pPr>
            <w:proofErr w:type="spellStart"/>
            <w:r w:rsidRPr="00476DCE">
              <w:rPr>
                <w:rFonts w:eastAsia="Times New Roman" w:cs="Arial"/>
                <w:b/>
                <w:bCs/>
                <w:color w:val="000000"/>
                <w:sz w:val="16"/>
                <w:szCs w:val="16"/>
                <w:lang w:eastAsia="es-ES"/>
              </w:rPr>
              <w:t>Abs</w:t>
            </w:r>
            <w:proofErr w:type="spellEnd"/>
            <w:r w:rsidRPr="00476DCE">
              <w:rPr>
                <w:rFonts w:eastAsia="Times New Roman" w:cs="Arial"/>
                <w:b/>
                <w:bCs/>
                <w:color w:val="000000"/>
                <w:sz w:val="16"/>
                <w:szCs w:val="16"/>
                <w:lang w:eastAsia="es-ES"/>
              </w:rPr>
              <w:t>.</w:t>
            </w:r>
          </w:p>
        </w:tc>
        <w:tc>
          <w:tcPr>
            <w:tcW w:w="1389" w:type="dxa"/>
            <w:tcBorders>
              <w:top w:val="nil"/>
              <w:left w:val="nil"/>
              <w:bottom w:val="single" w:sz="8" w:space="0" w:color="BFBFBF"/>
              <w:right w:val="single" w:sz="4" w:space="0" w:color="BFBFBF" w:themeColor="background1" w:themeShade="BF"/>
            </w:tcBorders>
            <w:shd w:val="clear" w:color="000000" w:fill="DBE5F1"/>
            <w:hideMark/>
          </w:tcPr>
          <w:p w:rsidR="00D371EB" w:rsidRPr="00476DCE" w:rsidRDefault="00D371EB" w:rsidP="00D86960">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 ver.</w:t>
            </w:r>
          </w:p>
        </w:tc>
        <w:tc>
          <w:tcPr>
            <w:tcW w:w="1389" w:type="dxa"/>
            <w:tcBorders>
              <w:top w:val="nil"/>
              <w:left w:val="single" w:sz="4" w:space="0" w:color="BFBFBF" w:themeColor="background1" w:themeShade="BF"/>
              <w:bottom w:val="single" w:sz="8" w:space="0" w:color="BFBFBF"/>
              <w:right w:val="nil"/>
            </w:tcBorders>
            <w:shd w:val="clear" w:color="000000" w:fill="DBE5F1"/>
            <w:hideMark/>
          </w:tcPr>
          <w:p w:rsidR="00D371EB" w:rsidRPr="00476DCE" w:rsidRDefault="00D371EB" w:rsidP="00D86960">
            <w:pPr>
              <w:spacing w:line="240" w:lineRule="exact"/>
              <w:jc w:val="center"/>
              <w:rPr>
                <w:rFonts w:eastAsia="Times New Roman" w:cs="Arial"/>
                <w:b/>
                <w:bCs/>
                <w:color w:val="000000"/>
                <w:sz w:val="16"/>
                <w:szCs w:val="16"/>
                <w:lang w:eastAsia="es-ES"/>
              </w:rPr>
            </w:pPr>
            <w:proofErr w:type="spellStart"/>
            <w:r w:rsidRPr="00476DCE">
              <w:rPr>
                <w:rFonts w:eastAsia="Times New Roman" w:cs="Arial"/>
                <w:b/>
                <w:bCs/>
                <w:color w:val="000000"/>
                <w:sz w:val="16"/>
                <w:szCs w:val="16"/>
                <w:lang w:eastAsia="es-ES"/>
              </w:rPr>
              <w:t>Abs</w:t>
            </w:r>
            <w:proofErr w:type="spellEnd"/>
            <w:r w:rsidRPr="00476DCE">
              <w:rPr>
                <w:rFonts w:eastAsia="Times New Roman" w:cs="Arial"/>
                <w:b/>
                <w:bCs/>
                <w:color w:val="000000"/>
                <w:sz w:val="16"/>
                <w:szCs w:val="16"/>
                <w:lang w:eastAsia="es-ES"/>
              </w:rPr>
              <w:t>.</w:t>
            </w:r>
          </w:p>
        </w:tc>
        <w:tc>
          <w:tcPr>
            <w:tcW w:w="1099" w:type="dxa"/>
            <w:tcBorders>
              <w:top w:val="nil"/>
              <w:left w:val="nil"/>
              <w:bottom w:val="single" w:sz="8" w:space="0" w:color="BFBFBF"/>
              <w:right w:val="single" w:sz="4" w:space="0" w:color="BFBFBF" w:themeColor="background1" w:themeShade="BF"/>
            </w:tcBorders>
            <w:shd w:val="clear" w:color="000000" w:fill="DBE5F1"/>
            <w:hideMark/>
          </w:tcPr>
          <w:p w:rsidR="00D371EB" w:rsidRPr="00476DCE" w:rsidRDefault="00D371EB" w:rsidP="00D86960">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 ver.</w:t>
            </w:r>
          </w:p>
        </w:tc>
        <w:tc>
          <w:tcPr>
            <w:tcW w:w="2823" w:type="dxa"/>
            <w:tcBorders>
              <w:top w:val="single" w:sz="8" w:space="0" w:color="BFBFBF"/>
              <w:left w:val="single" w:sz="4" w:space="0" w:color="BFBFBF" w:themeColor="background1" w:themeShade="BF"/>
              <w:bottom w:val="single" w:sz="4" w:space="0" w:color="BFBFBF" w:themeColor="background1" w:themeShade="BF"/>
            </w:tcBorders>
            <w:shd w:val="clear" w:color="000000" w:fill="DBE5F1"/>
            <w:hideMark/>
          </w:tcPr>
          <w:p w:rsidR="00D371EB" w:rsidRPr="00476DCE" w:rsidRDefault="00D371EB" w:rsidP="00D86960">
            <w:pPr>
              <w:spacing w:line="240" w:lineRule="exact"/>
              <w:jc w:val="center"/>
              <w:rPr>
                <w:rFonts w:eastAsia="Times New Roman" w:cs="Arial"/>
                <w:b/>
                <w:bCs/>
                <w:color w:val="000000"/>
                <w:sz w:val="16"/>
                <w:szCs w:val="16"/>
                <w:lang w:eastAsia="es-ES"/>
              </w:rPr>
            </w:pPr>
            <w:r w:rsidRPr="00476DCE">
              <w:rPr>
                <w:rFonts w:eastAsia="Times New Roman" w:cs="Arial"/>
                <w:b/>
                <w:bCs/>
                <w:color w:val="000000"/>
                <w:sz w:val="16"/>
                <w:szCs w:val="16"/>
                <w:lang w:eastAsia="es-ES"/>
              </w:rPr>
              <w:t>% ver.</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F0503B">
              <w:rPr>
                <w:rFonts w:eastAsia="Times New Roman" w:cs="Arial"/>
                <w:color w:val="000000"/>
                <w:sz w:val="16"/>
                <w:szCs w:val="16"/>
                <w:lang w:eastAsia="es-ES"/>
              </w:rPr>
              <w:t>Gasteiz</w:t>
            </w:r>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4.994</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9,1</w:t>
            </w:r>
          </w:p>
        </w:tc>
        <w:tc>
          <w:tcPr>
            <w:tcW w:w="1389" w:type="dxa"/>
            <w:tcBorders>
              <w:top w:val="single" w:sz="4" w:space="0" w:color="BFBFBF" w:themeColor="background1" w:themeShade="BF"/>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117.727</w:t>
            </w:r>
          </w:p>
        </w:tc>
        <w:tc>
          <w:tcPr>
            <w:tcW w:w="1099" w:type="dxa"/>
            <w:tcBorders>
              <w:top w:val="single" w:sz="4" w:space="0" w:color="BFBFBF" w:themeColor="background1" w:themeShade="BF"/>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13,2</w:t>
            </w:r>
          </w:p>
        </w:tc>
        <w:tc>
          <w:tcPr>
            <w:tcW w:w="2823" w:type="dxa"/>
            <w:tcBorders>
              <w:top w:val="single" w:sz="4" w:space="0" w:color="BFBFBF" w:themeColor="background1" w:themeShade="BF"/>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4,2</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476DCE">
              <w:rPr>
                <w:rFonts w:eastAsia="Times New Roman" w:cs="Arial"/>
                <w:color w:val="000000"/>
                <w:sz w:val="16"/>
                <w:szCs w:val="16"/>
                <w:lang w:eastAsia="es-ES"/>
              </w:rPr>
              <w:t>Ayala</w:t>
            </w:r>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577</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1,1</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17737</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2,0</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3,3</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476DCE">
              <w:rPr>
                <w:rFonts w:eastAsia="Times New Roman" w:cs="Arial"/>
                <w:color w:val="000000"/>
                <w:sz w:val="16"/>
                <w:szCs w:val="16"/>
                <w:lang w:eastAsia="es-ES"/>
              </w:rPr>
              <w:t>M. Derecha</w:t>
            </w:r>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3.288</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6</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65.249</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7,3</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5,0</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476DCE">
              <w:rPr>
                <w:rFonts w:eastAsia="Times New Roman" w:cs="Arial"/>
                <w:color w:val="000000"/>
                <w:sz w:val="16"/>
                <w:szCs w:val="16"/>
                <w:lang w:eastAsia="es-ES"/>
              </w:rPr>
              <w:t>Bilbao</w:t>
            </w:r>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4.170</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7,6</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132.287</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14,8</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3,2</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476DCE">
              <w:rPr>
                <w:rFonts w:eastAsia="Times New Roman" w:cs="Arial"/>
                <w:color w:val="000000"/>
                <w:sz w:val="16"/>
                <w:szCs w:val="16"/>
                <w:lang w:eastAsia="es-ES"/>
              </w:rPr>
              <w:t>M. Izquierda</w:t>
            </w:r>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4.334</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7,9</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151.516</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17,0</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2,9</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proofErr w:type="spellStart"/>
            <w:r w:rsidRPr="00476DCE">
              <w:rPr>
                <w:rFonts w:eastAsia="Times New Roman" w:cs="Arial"/>
                <w:color w:val="000000"/>
                <w:sz w:val="16"/>
                <w:szCs w:val="16"/>
                <w:lang w:eastAsia="es-ES"/>
              </w:rPr>
              <w:t>Bizkaia</w:t>
            </w:r>
            <w:proofErr w:type="spellEnd"/>
            <w:r w:rsidRPr="00476DCE">
              <w:rPr>
                <w:rFonts w:eastAsia="Times New Roman" w:cs="Arial"/>
                <w:color w:val="000000"/>
                <w:sz w:val="16"/>
                <w:szCs w:val="16"/>
                <w:lang w:eastAsia="es-ES"/>
              </w:rPr>
              <w:t xml:space="preserve"> – Costa</w:t>
            </w:r>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4.207</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7,7</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53.401</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6,0</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7,9</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proofErr w:type="spellStart"/>
            <w:r w:rsidRPr="00476DCE">
              <w:rPr>
                <w:rFonts w:eastAsia="Times New Roman" w:cs="Arial"/>
                <w:color w:val="000000"/>
                <w:sz w:val="16"/>
                <w:szCs w:val="16"/>
                <w:lang w:eastAsia="es-ES"/>
              </w:rPr>
              <w:t>Duranguesado</w:t>
            </w:r>
            <w:proofErr w:type="spellEnd"/>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5.315</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9,7</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52.564</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5,9</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10,1</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proofErr w:type="spellStart"/>
            <w:r w:rsidRPr="00476DCE">
              <w:rPr>
                <w:rFonts w:eastAsia="Times New Roman" w:cs="Arial"/>
                <w:color w:val="000000"/>
                <w:sz w:val="16"/>
                <w:szCs w:val="16"/>
                <w:lang w:eastAsia="es-ES"/>
              </w:rPr>
              <w:t>Donostialdea</w:t>
            </w:r>
            <w:proofErr w:type="spellEnd"/>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9.573</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17,5</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202.268</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22,7</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4,7</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476DCE">
              <w:rPr>
                <w:rFonts w:eastAsia="Times New Roman" w:cs="Arial"/>
                <w:color w:val="000000"/>
                <w:sz w:val="16"/>
                <w:szCs w:val="16"/>
                <w:lang w:eastAsia="es-ES"/>
              </w:rPr>
              <w:t xml:space="preserve">Tolosa – </w:t>
            </w:r>
            <w:proofErr w:type="spellStart"/>
            <w:r w:rsidRPr="00476DCE">
              <w:rPr>
                <w:rFonts w:eastAsia="Times New Roman" w:cs="Arial"/>
                <w:color w:val="000000"/>
                <w:sz w:val="16"/>
                <w:szCs w:val="16"/>
                <w:lang w:eastAsia="es-ES"/>
              </w:rPr>
              <w:t>Goierri</w:t>
            </w:r>
            <w:proofErr w:type="spellEnd"/>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5.477</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10</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49.861</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5,6</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11,0</w:t>
            </w:r>
          </w:p>
        </w:tc>
      </w:tr>
      <w:tr w:rsidR="00D371EB" w:rsidRPr="00476DCE" w:rsidTr="00D86960">
        <w:trPr>
          <w:jc w:val="center"/>
        </w:trPr>
        <w:tc>
          <w:tcPr>
            <w:tcW w:w="1851" w:type="dxa"/>
            <w:tcBorders>
              <w:top w:val="nil"/>
              <w:left w:val="nil"/>
              <w:bottom w:val="nil"/>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476DCE">
              <w:rPr>
                <w:rFonts w:eastAsia="Times New Roman" w:cs="Arial"/>
                <w:color w:val="000000"/>
                <w:sz w:val="16"/>
                <w:szCs w:val="16"/>
                <w:lang w:eastAsia="es-ES"/>
              </w:rPr>
              <w:t>Alto Deba</w:t>
            </w:r>
          </w:p>
        </w:tc>
        <w:tc>
          <w:tcPr>
            <w:tcW w:w="1389" w:type="dxa"/>
            <w:tcBorders>
              <w:top w:val="nil"/>
              <w:left w:val="nil"/>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11.048</w:t>
            </w:r>
          </w:p>
        </w:tc>
        <w:tc>
          <w:tcPr>
            <w:tcW w:w="138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20,2</w:t>
            </w:r>
          </w:p>
        </w:tc>
        <w:tc>
          <w:tcPr>
            <w:tcW w:w="1389" w:type="dxa"/>
            <w:tcBorders>
              <w:top w:val="nil"/>
              <w:left w:val="single" w:sz="4" w:space="0" w:color="BFBFBF" w:themeColor="background1" w:themeShade="BF"/>
              <w:bottom w:val="nil"/>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27.054</w:t>
            </w:r>
          </w:p>
        </w:tc>
        <w:tc>
          <w:tcPr>
            <w:tcW w:w="1099" w:type="dxa"/>
            <w:tcBorders>
              <w:top w:val="nil"/>
              <w:left w:val="nil"/>
              <w:bottom w:val="nil"/>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3,0</w:t>
            </w:r>
          </w:p>
        </w:tc>
        <w:tc>
          <w:tcPr>
            <w:tcW w:w="2823" w:type="dxa"/>
            <w:tcBorders>
              <w:left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40,8</w:t>
            </w:r>
          </w:p>
        </w:tc>
      </w:tr>
      <w:tr w:rsidR="00D371EB" w:rsidRPr="00476DCE" w:rsidTr="00D86960">
        <w:trPr>
          <w:jc w:val="center"/>
        </w:trPr>
        <w:tc>
          <w:tcPr>
            <w:tcW w:w="1851" w:type="dxa"/>
            <w:tcBorders>
              <w:top w:val="nil"/>
              <w:left w:val="nil"/>
              <w:bottom w:val="single" w:sz="4" w:space="0" w:color="BFBFBF" w:themeColor="background1" w:themeShade="BF"/>
              <w:right w:val="single" w:sz="8" w:space="0" w:color="BFBFBF"/>
            </w:tcBorders>
            <w:shd w:val="clear" w:color="auto" w:fill="auto"/>
            <w:hideMark/>
          </w:tcPr>
          <w:p w:rsidR="00D371EB" w:rsidRPr="00476DCE" w:rsidRDefault="00D371EB" w:rsidP="00D86960">
            <w:pPr>
              <w:spacing w:line="240" w:lineRule="exact"/>
              <w:rPr>
                <w:rFonts w:eastAsia="Times New Roman" w:cs="Arial"/>
                <w:color w:val="000000"/>
                <w:sz w:val="16"/>
                <w:szCs w:val="16"/>
                <w:lang w:eastAsia="es-ES"/>
              </w:rPr>
            </w:pPr>
            <w:r w:rsidRPr="00476DCE">
              <w:rPr>
                <w:rFonts w:eastAsia="Times New Roman" w:cs="Arial"/>
                <w:color w:val="000000"/>
                <w:sz w:val="16"/>
                <w:szCs w:val="16"/>
                <w:lang w:eastAsia="es-ES"/>
              </w:rPr>
              <w:t>Bajo Deba</w:t>
            </w:r>
          </w:p>
        </w:tc>
        <w:tc>
          <w:tcPr>
            <w:tcW w:w="1389" w:type="dxa"/>
            <w:tcBorders>
              <w:top w:val="nil"/>
              <w:left w:val="nil"/>
              <w:bottom w:val="single" w:sz="4" w:space="0" w:color="BFBFBF" w:themeColor="background1" w:themeShade="BF"/>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1.601</w:t>
            </w:r>
          </w:p>
        </w:tc>
        <w:tc>
          <w:tcPr>
            <w:tcW w:w="1389"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2,9</w:t>
            </w:r>
          </w:p>
        </w:tc>
        <w:tc>
          <w:tcPr>
            <w:tcW w:w="1389" w:type="dxa"/>
            <w:tcBorders>
              <w:top w:val="nil"/>
              <w:left w:val="single" w:sz="4" w:space="0" w:color="BFBFBF" w:themeColor="background1" w:themeShade="BF"/>
              <w:bottom w:val="single" w:sz="4" w:space="0" w:color="BFBFBF" w:themeColor="background1" w:themeShade="BF"/>
              <w:right w:val="nil"/>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sidRPr="00476DCE">
              <w:rPr>
                <w:rFonts w:eastAsia="Times New Roman" w:cs="Arial"/>
                <w:color w:val="000000"/>
                <w:sz w:val="16"/>
                <w:szCs w:val="16"/>
                <w:lang w:eastAsia="es-ES"/>
              </w:rPr>
              <w:t>22.621</w:t>
            </w:r>
          </w:p>
        </w:tc>
        <w:tc>
          <w:tcPr>
            <w:tcW w:w="1099"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color w:val="000000"/>
                <w:sz w:val="16"/>
                <w:szCs w:val="16"/>
                <w:lang w:eastAsia="es-ES"/>
              </w:rPr>
            </w:pPr>
            <w:r>
              <w:rPr>
                <w:rFonts w:eastAsia="Times New Roman" w:cs="Arial"/>
                <w:color w:val="000000"/>
                <w:sz w:val="16"/>
                <w:szCs w:val="16"/>
                <w:lang w:eastAsia="es-ES"/>
              </w:rPr>
              <w:t>2,5</w:t>
            </w:r>
          </w:p>
        </w:tc>
        <w:tc>
          <w:tcPr>
            <w:tcW w:w="2823" w:type="dxa"/>
            <w:tcBorders>
              <w:left w:val="single" w:sz="4" w:space="0" w:color="BFBFBF" w:themeColor="background1" w:themeShade="BF"/>
              <w:bottom w:val="single" w:sz="4" w:space="0" w:color="BFBFBF" w:themeColor="background1" w:themeShade="BF"/>
              <w:right w:val="nil"/>
            </w:tcBorders>
            <w:shd w:val="clear" w:color="auto" w:fill="auto"/>
            <w:hideMark/>
          </w:tcPr>
          <w:p w:rsidR="00D371EB" w:rsidRPr="00476DCE" w:rsidRDefault="00D371EB" w:rsidP="00D86960">
            <w:pPr>
              <w:spacing w:line="240" w:lineRule="exact"/>
              <w:ind w:right="363"/>
              <w:jc w:val="right"/>
              <w:rPr>
                <w:rFonts w:eastAsia="Times New Roman" w:cs="Arial"/>
                <w:color w:val="000000"/>
                <w:sz w:val="16"/>
                <w:szCs w:val="16"/>
                <w:lang w:eastAsia="es-ES"/>
              </w:rPr>
            </w:pPr>
            <w:r>
              <w:rPr>
                <w:rFonts w:eastAsia="Times New Roman" w:cs="Arial"/>
                <w:color w:val="000000"/>
                <w:sz w:val="16"/>
                <w:szCs w:val="16"/>
                <w:lang w:eastAsia="es-ES"/>
              </w:rPr>
              <w:t>7,1</w:t>
            </w:r>
          </w:p>
        </w:tc>
      </w:tr>
      <w:tr w:rsidR="00D371EB" w:rsidRPr="00476DCE" w:rsidTr="00D86960">
        <w:trPr>
          <w:jc w:val="center"/>
        </w:trPr>
        <w:tc>
          <w:tcPr>
            <w:tcW w:w="1851" w:type="dxa"/>
            <w:tcBorders>
              <w:top w:val="single" w:sz="4" w:space="0" w:color="BFBFBF" w:themeColor="background1" w:themeShade="BF"/>
              <w:left w:val="nil"/>
              <w:bottom w:val="single" w:sz="8" w:space="0" w:color="BFBFBF"/>
              <w:right w:val="single" w:sz="8" w:space="0" w:color="BFBFBF"/>
            </w:tcBorders>
            <w:shd w:val="clear" w:color="auto" w:fill="auto"/>
            <w:hideMark/>
          </w:tcPr>
          <w:p w:rsidR="00D371EB" w:rsidRPr="00476DCE" w:rsidRDefault="00D371EB" w:rsidP="00D86960">
            <w:pPr>
              <w:spacing w:line="240" w:lineRule="exact"/>
              <w:rPr>
                <w:rFonts w:eastAsia="Times New Roman" w:cs="Arial"/>
                <w:b/>
                <w:bCs/>
                <w:color w:val="000000"/>
                <w:sz w:val="16"/>
                <w:szCs w:val="16"/>
                <w:lang w:eastAsia="es-ES"/>
              </w:rPr>
            </w:pPr>
            <w:r w:rsidRPr="00476DCE">
              <w:rPr>
                <w:rFonts w:eastAsia="Times New Roman" w:cs="Arial"/>
                <w:b/>
                <w:bCs/>
                <w:color w:val="000000"/>
                <w:sz w:val="16"/>
                <w:szCs w:val="16"/>
                <w:lang w:eastAsia="es-ES"/>
              </w:rPr>
              <w:t>TOTAL</w:t>
            </w:r>
          </w:p>
        </w:tc>
        <w:tc>
          <w:tcPr>
            <w:tcW w:w="1389" w:type="dxa"/>
            <w:tcBorders>
              <w:top w:val="single" w:sz="4" w:space="0" w:color="BFBFBF" w:themeColor="background1" w:themeShade="BF"/>
              <w:left w:val="nil"/>
              <w:bottom w:val="single" w:sz="8" w:space="0" w:color="BFBFBF"/>
              <w:right w:val="nil"/>
            </w:tcBorders>
            <w:shd w:val="clear" w:color="auto" w:fill="auto"/>
            <w:hideMark/>
          </w:tcPr>
          <w:p w:rsidR="00D371EB" w:rsidRPr="00476DCE" w:rsidRDefault="00D371EB" w:rsidP="00D86960">
            <w:pPr>
              <w:spacing w:line="240" w:lineRule="exact"/>
              <w:ind w:right="184"/>
              <w:jc w:val="right"/>
              <w:rPr>
                <w:rFonts w:eastAsia="Times New Roman" w:cs="Arial"/>
                <w:b/>
                <w:bCs/>
                <w:color w:val="000000"/>
                <w:sz w:val="16"/>
                <w:szCs w:val="16"/>
                <w:lang w:eastAsia="es-ES"/>
              </w:rPr>
            </w:pPr>
            <w:r w:rsidRPr="00476DCE">
              <w:rPr>
                <w:rFonts w:eastAsia="Times New Roman" w:cs="Arial"/>
                <w:b/>
                <w:bCs/>
                <w:color w:val="000000"/>
                <w:sz w:val="16"/>
                <w:szCs w:val="16"/>
                <w:lang w:eastAsia="es-ES"/>
              </w:rPr>
              <w:t>54.582</w:t>
            </w:r>
          </w:p>
        </w:tc>
        <w:tc>
          <w:tcPr>
            <w:tcW w:w="1389"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b/>
                <w:bCs/>
                <w:color w:val="000000"/>
                <w:sz w:val="16"/>
                <w:szCs w:val="16"/>
                <w:lang w:eastAsia="es-ES"/>
              </w:rPr>
            </w:pPr>
            <w:r w:rsidRPr="00476DCE">
              <w:rPr>
                <w:rFonts w:eastAsia="Times New Roman" w:cs="Arial"/>
                <w:b/>
                <w:bCs/>
                <w:color w:val="000000"/>
                <w:sz w:val="16"/>
                <w:szCs w:val="16"/>
                <w:lang w:eastAsia="es-ES"/>
              </w:rPr>
              <w:t>100</w:t>
            </w:r>
            <w:r>
              <w:rPr>
                <w:rFonts w:eastAsia="Times New Roman" w:cs="Arial"/>
                <w:b/>
                <w:bCs/>
                <w:color w:val="000000"/>
                <w:sz w:val="16"/>
                <w:szCs w:val="16"/>
                <w:lang w:eastAsia="es-ES"/>
              </w:rPr>
              <w:t>,0</w:t>
            </w:r>
          </w:p>
        </w:tc>
        <w:tc>
          <w:tcPr>
            <w:tcW w:w="1389"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hideMark/>
          </w:tcPr>
          <w:p w:rsidR="00D371EB" w:rsidRPr="00476DCE" w:rsidRDefault="00D371EB" w:rsidP="00D86960">
            <w:pPr>
              <w:spacing w:line="240" w:lineRule="exact"/>
              <w:ind w:right="184"/>
              <w:jc w:val="right"/>
              <w:rPr>
                <w:rFonts w:eastAsia="Times New Roman" w:cs="Arial"/>
                <w:b/>
                <w:bCs/>
                <w:color w:val="000000"/>
                <w:sz w:val="16"/>
                <w:szCs w:val="16"/>
                <w:lang w:eastAsia="es-ES"/>
              </w:rPr>
            </w:pPr>
            <w:r w:rsidRPr="00476DCE">
              <w:rPr>
                <w:rFonts w:eastAsia="Times New Roman" w:cs="Arial"/>
                <w:b/>
                <w:bCs/>
                <w:color w:val="000000"/>
                <w:sz w:val="16"/>
                <w:szCs w:val="16"/>
                <w:lang w:eastAsia="es-ES"/>
              </w:rPr>
              <w:t>892.285</w:t>
            </w:r>
          </w:p>
        </w:tc>
        <w:tc>
          <w:tcPr>
            <w:tcW w:w="1099"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hideMark/>
          </w:tcPr>
          <w:p w:rsidR="00D371EB" w:rsidRPr="00476DCE" w:rsidRDefault="00D371EB" w:rsidP="00D86960">
            <w:pPr>
              <w:spacing w:line="240" w:lineRule="exact"/>
              <w:ind w:right="184"/>
              <w:jc w:val="right"/>
              <w:rPr>
                <w:rFonts w:eastAsia="Times New Roman" w:cs="Arial"/>
                <w:b/>
                <w:bCs/>
                <w:color w:val="000000"/>
                <w:sz w:val="16"/>
                <w:szCs w:val="16"/>
                <w:lang w:eastAsia="es-ES"/>
              </w:rPr>
            </w:pPr>
            <w:r w:rsidRPr="00476DCE">
              <w:rPr>
                <w:rFonts w:eastAsia="Times New Roman" w:cs="Arial"/>
                <w:b/>
                <w:bCs/>
                <w:color w:val="000000"/>
                <w:sz w:val="16"/>
                <w:szCs w:val="16"/>
                <w:lang w:eastAsia="es-ES"/>
              </w:rPr>
              <w:t>100</w:t>
            </w:r>
            <w:r>
              <w:rPr>
                <w:rFonts w:eastAsia="Times New Roman" w:cs="Arial"/>
                <w:b/>
                <w:bCs/>
                <w:color w:val="000000"/>
                <w:sz w:val="16"/>
                <w:szCs w:val="16"/>
                <w:lang w:eastAsia="es-ES"/>
              </w:rPr>
              <w:t>,0</w:t>
            </w:r>
          </w:p>
        </w:tc>
        <w:tc>
          <w:tcPr>
            <w:tcW w:w="2823"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hideMark/>
          </w:tcPr>
          <w:p w:rsidR="00D371EB" w:rsidRPr="00476DCE" w:rsidRDefault="00D371EB" w:rsidP="00D86960">
            <w:pPr>
              <w:spacing w:line="240" w:lineRule="exact"/>
              <w:ind w:right="363"/>
              <w:jc w:val="right"/>
              <w:rPr>
                <w:rFonts w:eastAsia="Times New Roman" w:cs="Arial"/>
                <w:b/>
                <w:bCs/>
                <w:color w:val="000000"/>
                <w:sz w:val="16"/>
                <w:szCs w:val="16"/>
                <w:lang w:eastAsia="es-ES"/>
              </w:rPr>
            </w:pPr>
            <w:r w:rsidRPr="00476DCE">
              <w:rPr>
                <w:rFonts w:eastAsia="Times New Roman" w:cs="Arial"/>
                <w:b/>
                <w:bCs/>
                <w:color w:val="000000"/>
                <w:sz w:val="16"/>
                <w:szCs w:val="16"/>
                <w:lang w:eastAsia="es-ES"/>
              </w:rPr>
              <w:t>6,1</w:t>
            </w:r>
          </w:p>
        </w:tc>
      </w:tr>
    </w:tbl>
    <w:p w:rsidR="00D371EB" w:rsidRPr="0015163B" w:rsidRDefault="00D371EB" w:rsidP="00D508DF">
      <w:pPr>
        <w:jc w:val="center"/>
        <w:rPr>
          <w:rFonts w:cs="Arial"/>
          <w:i/>
          <w:sz w:val="16"/>
          <w:szCs w:val="16"/>
          <w:lang w:val="eu-ES"/>
        </w:rPr>
      </w:pPr>
      <w:r w:rsidRPr="0015163B">
        <w:rPr>
          <w:rFonts w:cs="Arial"/>
          <w:i/>
          <w:sz w:val="16"/>
          <w:szCs w:val="16"/>
          <w:lang w:val="eu-ES"/>
        </w:rPr>
        <w:t xml:space="preserve">* </w:t>
      </w:r>
      <w:proofErr w:type="spellStart"/>
      <w:r w:rsidRPr="0015163B">
        <w:rPr>
          <w:rFonts w:cs="Arial"/>
          <w:i/>
          <w:sz w:val="16"/>
          <w:szCs w:val="16"/>
          <w:lang w:val="eu-ES"/>
        </w:rPr>
        <w:t>Fuente</w:t>
      </w:r>
      <w:proofErr w:type="spellEnd"/>
      <w:r w:rsidRPr="0015163B">
        <w:rPr>
          <w:rFonts w:cs="Arial"/>
          <w:i/>
          <w:sz w:val="16"/>
          <w:szCs w:val="16"/>
          <w:lang w:val="eu-ES"/>
        </w:rPr>
        <w:t xml:space="preserve">: OEE </w:t>
      </w:r>
      <w:proofErr w:type="spellStart"/>
      <w:r w:rsidRPr="0015163B">
        <w:rPr>
          <w:rFonts w:cs="Arial"/>
          <w:i/>
          <w:sz w:val="16"/>
          <w:szCs w:val="16"/>
          <w:lang w:val="eu-ES"/>
        </w:rPr>
        <w:t>Dpto</w:t>
      </w:r>
      <w:proofErr w:type="spellEnd"/>
      <w:r w:rsidRPr="0015163B">
        <w:rPr>
          <w:rFonts w:cs="Arial"/>
          <w:i/>
          <w:sz w:val="16"/>
          <w:szCs w:val="16"/>
          <w:lang w:val="eu-ES"/>
        </w:rPr>
        <w:t xml:space="preserve">. </w:t>
      </w:r>
      <w:proofErr w:type="spellStart"/>
      <w:r w:rsidRPr="0015163B">
        <w:rPr>
          <w:rFonts w:cs="Arial"/>
          <w:i/>
          <w:sz w:val="16"/>
          <w:szCs w:val="16"/>
          <w:lang w:val="eu-ES"/>
        </w:rPr>
        <w:t>Empleo</w:t>
      </w:r>
      <w:proofErr w:type="spellEnd"/>
      <w:r w:rsidRPr="0015163B">
        <w:rPr>
          <w:rFonts w:cs="Arial"/>
          <w:i/>
          <w:sz w:val="16"/>
          <w:szCs w:val="16"/>
          <w:lang w:val="eu-ES"/>
        </w:rPr>
        <w:t xml:space="preserve"> y </w:t>
      </w:r>
      <w:proofErr w:type="spellStart"/>
      <w:r w:rsidRPr="0015163B">
        <w:rPr>
          <w:rFonts w:cs="Arial"/>
          <w:i/>
          <w:sz w:val="16"/>
          <w:szCs w:val="16"/>
          <w:lang w:val="eu-ES"/>
        </w:rPr>
        <w:t>Políticas</w:t>
      </w:r>
      <w:proofErr w:type="spellEnd"/>
      <w:r w:rsidRPr="0015163B">
        <w:rPr>
          <w:rFonts w:cs="Arial"/>
          <w:i/>
          <w:sz w:val="16"/>
          <w:szCs w:val="16"/>
          <w:lang w:val="eu-ES"/>
        </w:rPr>
        <w:t xml:space="preserve"> </w:t>
      </w:r>
      <w:proofErr w:type="spellStart"/>
      <w:r w:rsidRPr="0015163B">
        <w:rPr>
          <w:rFonts w:cs="Arial"/>
          <w:i/>
          <w:sz w:val="16"/>
          <w:szCs w:val="16"/>
          <w:lang w:val="eu-ES"/>
        </w:rPr>
        <w:t>Sociales</w:t>
      </w:r>
      <w:proofErr w:type="spellEnd"/>
      <w:r w:rsidRPr="0015163B">
        <w:rPr>
          <w:rFonts w:cs="Arial"/>
          <w:i/>
          <w:sz w:val="16"/>
          <w:szCs w:val="16"/>
          <w:lang w:val="eu-ES"/>
        </w:rPr>
        <w:t xml:space="preserve">. </w:t>
      </w:r>
      <w:proofErr w:type="spellStart"/>
      <w:r w:rsidRPr="0015163B">
        <w:rPr>
          <w:rFonts w:cs="Arial"/>
          <w:i/>
          <w:sz w:val="16"/>
          <w:szCs w:val="16"/>
          <w:lang w:val="eu-ES"/>
        </w:rPr>
        <w:t>Censo</w:t>
      </w:r>
      <w:proofErr w:type="spellEnd"/>
      <w:r w:rsidRPr="0015163B">
        <w:rPr>
          <w:rFonts w:cs="Arial"/>
          <w:i/>
          <w:sz w:val="16"/>
          <w:szCs w:val="16"/>
          <w:lang w:val="eu-ES"/>
        </w:rPr>
        <w:t xml:space="preserve"> del </w:t>
      </w:r>
      <w:proofErr w:type="spellStart"/>
      <w:r w:rsidRPr="0015163B">
        <w:rPr>
          <w:rFonts w:cs="Arial"/>
          <w:i/>
          <w:sz w:val="16"/>
          <w:szCs w:val="16"/>
          <w:lang w:val="eu-ES"/>
        </w:rPr>
        <w:t>Mercado</w:t>
      </w:r>
      <w:proofErr w:type="spellEnd"/>
      <w:r w:rsidRPr="0015163B">
        <w:rPr>
          <w:rFonts w:cs="Arial"/>
          <w:i/>
          <w:sz w:val="16"/>
          <w:szCs w:val="16"/>
          <w:lang w:val="eu-ES"/>
        </w:rPr>
        <w:t xml:space="preserve"> de </w:t>
      </w:r>
      <w:proofErr w:type="spellStart"/>
      <w:r w:rsidRPr="0015163B">
        <w:rPr>
          <w:rFonts w:cs="Arial"/>
          <w:i/>
          <w:sz w:val="16"/>
          <w:szCs w:val="16"/>
          <w:lang w:val="eu-ES"/>
        </w:rPr>
        <w:t>Trabajo</w:t>
      </w:r>
      <w:proofErr w:type="spellEnd"/>
    </w:p>
    <w:p w:rsidR="00D371EB" w:rsidRDefault="00DE1512" w:rsidP="00D371EB">
      <w:pPr>
        <w:widowControl w:val="0"/>
        <w:spacing w:line="240" w:lineRule="auto"/>
        <w:jc w:val="center"/>
        <w:rPr>
          <w:rFonts w:cs="Arial"/>
          <w:b/>
          <w:color w:val="1F497D" w:themeColor="text2"/>
          <w:sz w:val="18"/>
          <w:szCs w:val="18"/>
          <w:lang w:val="es-ES_tradnl"/>
        </w:rPr>
      </w:pPr>
      <w:bookmarkStart w:id="267" w:name="_Toc450120008"/>
      <w:r w:rsidRPr="00DE1512">
        <w:rPr>
          <w:rFonts w:cs="Arial"/>
          <w:b/>
          <w:color w:val="1F497D" w:themeColor="text2"/>
          <w:sz w:val="18"/>
          <w:szCs w:val="18"/>
        </w:rPr>
        <w:lastRenderedPageBreak/>
        <w:t>Gráfico 1.</w:t>
      </w:r>
      <w:r w:rsidR="00771A61" w:rsidRPr="00DE1512">
        <w:rPr>
          <w:rFonts w:cs="Arial"/>
          <w:b/>
          <w:color w:val="1F497D" w:themeColor="text2"/>
          <w:sz w:val="18"/>
          <w:szCs w:val="18"/>
        </w:rPr>
        <w:fldChar w:fldCharType="begin"/>
      </w:r>
      <w:r w:rsidRPr="00DE1512">
        <w:rPr>
          <w:rFonts w:cs="Arial"/>
          <w:b/>
          <w:color w:val="1F497D" w:themeColor="text2"/>
          <w:sz w:val="18"/>
          <w:szCs w:val="18"/>
        </w:rPr>
        <w:instrText xml:space="preserve"> SEQ Gráfico_1. \* ARABIC </w:instrText>
      </w:r>
      <w:r w:rsidR="00771A61" w:rsidRPr="00DE1512">
        <w:rPr>
          <w:rFonts w:cs="Arial"/>
          <w:b/>
          <w:color w:val="1F497D" w:themeColor="text2"/>
          <w:sz w:val="18"/>
          <w:szCs w:val="18"/>
        </w:rPr>
        <w:fldChar w:fldCharType="separate"/>
      </w:r>
      <w:r w:rsidR="00FC71A9">
        <w:rPr>
          <w:rFonts w:cs="Arial"/>
          <w:b/>
          <w:noProof/>
          <w:color w:val="1F497D" w:themeColor="text2"/>
          <w:sz w:val="18"/>
          <w:szCs w:val="18"/>
        </w:rPr>
        <w:t>20</w:t>
      </w:r>
      <w:r w:rsidR="00771A61" w:rsidRPr="00DE1512">
        <w:rPr>
          <w:rFonts w:cs="Arial"/>
          <w:b/>
          <w:color w:val="1F497D" w:themeColor="text2"/>
          <w:sz w:val="18"/>
          <w:szCs w:val="18"/>
        </w:rPr>
        <w:fldChar w:fldCharType="end"/>
      </w:r>
      <w:r w:rsidR="00D371EB">
        <w:rPr>
          <w:rFonts w:cs="Arial"/>
          <w:b/>
          <w:color w:val="1F497D" w:themeColor="text2"/>
          <w:sz w:val="18"/>
          <w:szCs w:val="18"/>
        </w:rPr>
        <w:t xml:space="preserve"> </w:t>
      </w:r>
      <w:r w:rsidR="00D371EB" w:rsidRPr="00627246">
        <w:rPr>
          <w:rFonts w:cs="Arial"/>
          <w:b/>
          <w:color w:val="1F497D" w:themeColor="text2"/>
          <w:sz w:val="18"/>
          <w:szCs w:val="18"/>
          <w:lang w:val="es-ES_tradnl"/>
        </w:rPr>
        <w:t xml:space="preserve">PESO RELATIVO DEL EMPLEO DE LA ECONOMÍA SOCIAL EN LA ECONOMÍA DE LA CAE </w:t>
      </w:r>
      <w:r w:rsidR="00D371EB">
        <w:rPr>
          <w:rFonts w:cs="Arial"/>
          <w:b/>
          <w:color w:val="1F497D" w:themeColor="text2"/>
          <w:sz w:val="18"/>
          <w:szCs w:val="18"/>
          <w:lang w:val="es-ES_tradnl"/>
        </w:rPr>
        <w:t>POR COMARCAS 2014</w:t>
      </w:r>
      <w:r w:rsidR="00D371EB" w:rsidRPr="00627246">
        <w:rPr>
          <w:rFonts w:cs="Arial"/>
          <w:b/>
          <w:color w:val="1F497D" w:themeColor="text2"/>
          <w:sz w:val="18"/>
          <w:szCs w:val="18"/>
          <w:lang w:val="es-ES_tradnl"/>
        </w:rPr>
        <w:t xml:space="preserve"> (% sobre el total del empleo de la CAE).</w:t>
      </w:r>
      <w:bookmarkEnd w:id="267"/>
    </w:p>
    <w:p w:rsidR="00D371EB" w:rsidRPr="00B46047" w:rsidRDefault="00D371EB" w:rsidP="00D371EB">
      <w:pPr>
        <w:rPr>
          <w:lang w:val="es-ES_tradnl"/>
        </w:rPr>
      </w:pPr>
      <w:r>
        <w:rPr>
          <w:noProof/>
          <w:lang w:eastAsia="es-ES"/>
        </w:rPr>
        <w:drawing>
          <wp:anchor distT="0" distB="0" distL="114300" distR="114300" simplePos="0" relativeHeight="251789312" behindDoc="0" locked="0" layoutInCell="1" allowOverlap="1">
            <wp:simplePos x="0" y="0"/>
            <wp:positionH relativeFrom="column">
              <wp:posOffset>-70485</wp:posOffset>
            </wp:positionH>
            <wp:positionV relativeFrom="paragraph">
              <wp:posOffset>67945</wp:posOffset>
            </wp:positionV>
            <wp:extent cx="5410200" cy="2619375"/>
            <wp:effectExtent l="0" t="0" r="0" b="0"/>
            <wp:wrapNone/>
            <wp:docPr id="1"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E1512" w:rsidP="00D371EB">
      <w:pPr>
        <w:spacing w:line="240" w:lineRule="auto"/>
        <w:jc w:val="center"/>
        <w:rPr>
          <w:rFonts w:cs="Arial"/>
          <w:b/>
          <w:color w:val="1F497D" w:themeColor="text2"/>
          <w:sz w:val="18"/>
          <w:szCs w:val="18"/>
        </w:rPr>
      </w:pPr>
      <w:bookmarkStart w:id="268" w:name="_Toc450119534"/>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79</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D508DF" w:rsidRPr="00665097">
        <w:rPr>
          <w:rFonts w:cs="Arial"/>
          <w:b/>
          <w:color w:val="1F497D" w:themeColor="text2"/>
          <w:sz w:val="18"/>
          <w:szCs w:val="18"/>
        </w:rPr>
        <w:t xml:space="preserve"> </w:t>
      </w:r>
      <w:r w:rsidR="00D371EB">
        <w:rPr>
          <w:rFonts w:cs="Arial"/>
          <w:b/>
          <w:color w:val="1F497D" w:themeColor="text2"/>
          <w:sz w:val="18"/>
          <w:szCs w:val="18"/>
        </w:rPr>
        <w:t>DISTRIBUCIÓN</w:t>
      </w:r>
      <w:r w:rsidR="00D371EB" w:rsidRPr="004D1CBD">
        <w:rPr>
          <w:rFonts w:cs="Arial"/>
          <w:b/>
          <w:color w:val="1F497D" w:themeColor="text2"/>
          <w:sz w:val="18"/>
          <w:szCs w:val="18"/>
        </w:rPr>
        <w:t xml:space="preserve"> </w:t>
      </w:r>
      <w:r w:rsidR="00D371EB">
        <w:rPr>
          <w:rFonts w:cs="Arial"/>
          <w:b/>
          <w:color w:val="1F497D" w:themeColor="text2"/>
          <w:sz w:val="18"/>
          <w:szCs w:val="18"/>
        </w:rPr>
        <w:t>DE LOS ESTABLECIMIENTOS</w:t>
      </w:r>
      <w:bookmarkEnd w:id="268"/>
      <w:r w:rsidR="00D371EB">
        <w:rPr>
          <w:rFonts w:cs="Arial"/>
          <w:b/>
          <w:color w:val="1F497D" w:themeColor="text2"/>
          <w:sz w:val="18"/>
          <w:szCs w:val="18"/>
        </w:rPr>
        <w:t xml:space="preserve"> </w:t>
      </w:r>
      <w:r w:rsidR="00D371EB" w:rsidRPr="004D1CBD">
        <w:rPr>
          <w:rFonts w:cs="Arial"/>
          <w:b/>
          <w:color w:val="1F497D" w:themeColor="text2"/>
          <w:sz w:val="18"/>
          <w:szCs w:val="18"/>
        </w:rPr>
        <w:t xml:space="preserve"> </w:t>
      </w:r>
    </w:p>
    <w:p w:rsidR="00D371EB" w:rsidRDefault="00D371EB" w:rsidP="00D371EB">
      <w:pPr>
        <w:spacing w:line="240" w:lineRule="auto"/>
        <w:jc w:val="center"/>
        <w:rPr>
          <w:rFonts w:cs="Arial"/>
          <w:b/>
          <w:noProof/>
          <w:color w:val="1F497D" w:themeColor="text2"/>
          <w:sz w:val="18"/>
          <w:szCs w:val="18"/>
        </w:rPr>
      </w:pPr>
      <w:r w:rsidRPr="004D1CBD">
        <w:rPr>
          <w:rFonts w:cs="Arial"/>
          <w:b/>
          <w:color w:val="1F497D" w:themeColor="text2"/>
          <w:sz w:val="18"/>
          <w:szCs w:val="18"/>
        </w:rPr>
        <w:t xml:space="preserve">DE </w:t>
      </w:r>
      <w:r>
        <w:rPr>
          <w:rFonts w:cs="Arial"/>
          <w:b/>
          <w:color w:val="1F497D" w:themeColor="text2"/>
          <w:sz w:val="18"/>
          <w:szCs w:val="18"/>
        </w:rPr>
        <w:t xml:space="preserve">LAS FCES DE </w:t>
      </w:r>
      <w:r w:rsidRPr="004D1CBD">
        <w:rPr>
          <w:rFonts w:cs="Arial"/>
          <w:b/>
          <w:color w:val="1F497D" w:themeColor="text2"/>
          <w:sz w:val="18"/>
          <w:szCs w:val="18"/>
        </w:rPr>
        <w:t>LA ECONOMÍA SOCIAL</w:t>
      </w:r>
      <w:r>
        <w:rPr>
          <w:rFonts w:cs="Arial"/>
          <w:b/>
          <w:color w:val="1F497D" w:themeColor="text2"/>
          <w:sz w:val="18"/>
          <w:szCs w:val="18"/>
        </w:rPr>
        <w:t xml:space="preserve"> POR FORMA JURÍDICA</w:t>
      </w:r>
      <w:r w:rsidRPr="004D1CBD">
        <w:rPr>
          <w:rFonts w:cs="Arial"/>
          <w:b/>
          <w:color w:val="1F497D" w:themeColor="text2"/>
          <w:sz w:val="18"/>
          <w:szCs w:val="18"/>
        </w:rPr>
        <w:t xml:space="preserve"> </w:t>
      </w:r>
      <w:r>
        <w:rPr>
          <w:rFonts w:cs="Arial"/>
          <w:b/>
          <w:color w:val="1F497D" w:themeColor="text2"/>
          <w:sz w:val="18"/>
          <w:szCs w:val="18"/>
        </w:rPr>
        <w:t>EN 2014</w:t>
      </w:r>
      <w:r w:rsidRPr="004D1CBD">
        <w:rPr>
          <w:rFonts w:cs="Arial"/>
          <w:b/>
          <w:color w:val="1F497D" w:themeColor="text2"/>
          <w:sz w:val="18"/>
          <w:szCs w:val="18"/>
        </w:rPr>
        <w:t xml:space="preserve"> </w:t>
      </w:r>
      <w:r w:rsidRPr="004D1CBD">
        <w:rPr>
          <w:rFonts w:cs="Arial"/>
          <w:b/>
          <w:noProof/>
          <w:color w:val="1F497D" w:themeColor="text2"/>
          <w:sz w:val="18"/>
          <w:szCs w:val="18"/>
        </w:rPr>
        <w:t>(</w:t>
      </w:r>
      <w:r>
        <w:rPr>
          <w:rFonts w:cs="Arial"/>
          <w:b/>
          <w:noProof/>
          <w:color w:val="1F497D" w:themeColor="text2"/>
          <w:sz w:val="18"/>
          <w:szCs w:val="18"/>
        </w:rPr>
        <w:t>cifras absolutas y % verticales</w:t>
      </w:r>
      <w:r w:rsidRPr="004D1CBD">
        <w:rPr>
          <w:rFonts w:cs="Arial"/>
          <w:b/>
          <w:noProof/>
          <w:color w:val="1F497D" w:themeColor="text2"/>
          <w:sz w:val="18"/>
          <w:szCs w:val="18"/>
        </w:rPr>
        <w:t>)</w:t>
      </w:r>
    </w:p>
    <w:tbl>
      <w:tblPr>
        <w:tblW w:w="9940" w:type="dxa"/>
        <w:jc w:val="center"/>
        <w:tblCellMar>
          <w:left w:w="70" w:type="dxa"/>
          <w:right w:w="70" w:type="dxa"/>
        </w:tblCellMar>
        <w:tblLook w:val="04A0" w:firstRow="1" w:lastRow="0" w:firstColumn="1" w:lastColumn="0" w:noHBand="0" w:noVBand="1"/>
      </w:tblPr>
      <w:tblGrid>
        <w:gridCol w:w="1852"/>
        <w:gridCol w:w="1076"/>
        <w:gridCol w:w="1256"/>
        <w:gridCol w:w="1256"/>
        <w:gridCol w:w="900"/>
        <w:gridCol w:w="900"/>
        <w:gridCol w:w="900"/>
        <w:gridCol w:w="900"/>
        <w:gridCol w:w="900"/>
      </w:tblGrid>
      <w:tr w:rsidR="00D371EB" w:rsidRPr="00724B27" w:rsidTr="00D86960">
        <w:trPr>
          <w:jc w:val="center"/>
        </w:trPr>
        <w:tc>
          <w:tcPr>
            <w:tcW w:w="1852"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724B27" w:rsidRDefault="00D371EB" w:rsidP="00D86960">
            <w:pPr>
              <w:spacing w:line="240" w:lineRule="exact"/>
              <w:jc w:val="left"/>
              <w:rPr>
                <w:rFonts w:eastAsia="Times New Roman" w:cs="Arial"/>
                <w:color w:val="000000"/>
                <w:sz w:val="16"/>
                <w:szCs w:val="16"/>
                <w:lang w:eastAsia="es-ES"/>
              </w:rPr>
            </w:pPr>
            <w:r w:rsidRPr="00724B27">
              <w:rPr>
                <w:rFonts w:eastAsia="Times New Roman" w:cs="Arial"/>
                <w:color w:val="000000"/>
                <w:sz w:val="16"/>
                <w:szCs w:val="16"/>
                <w:lang w:eastAsia="es-ES"/>
              </w:rPr>
              <w:t> </w:t>
            </w:r>
          </w:p>
          <w:p w:rsidR="00D371EB" w:rsidRPr="00724B27" w:rsidRDefault="00D371EB" w:rsidP="00D86960">
            <w:pPr>
              <w:spacing w:line="240" w:lineRule="exact"/>
              <w:jc w:val="left"/>
              <w:rPr>
                <w:rFonts w:eastAsia="Times New Roman" w:cs="Arial"/>
                <w:color w:val="000000"/>
                <w:sz w:val="16"/>
                <w:szCs w:val="16"/>
                <w:lang w:eastAsia="es-ES"/>
              </w:rPr>
            </w:pPr>
            <w:r w:rsidRPr="00724B27">
              <w:rPr>
                <w:rFonts w:eastAsia="Times New Roman" w:cs="Arial"/>
                <w:color w:val="000000"/>
                <w:sz w:val="16"/>
                <w:szCs w:val="16"/>
                <w:lang w:eastAsia="es-ES"/>
              </w:rPr>
              <w:t> </w:t>
            </w:r>
          </w:p>
        </w:tc>
        <w:tc>
          <w:tcPr>
            <w:tcW w:w="233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724B27" w:rsidRDefault="00D371EB" w:rsidP="00D86960">
            <w:pPr>
              <w:spacing w:line="240" w:lineRule="exact"/>
              <w:jc w:val="center"/>
              <w:rPr>
                <w:rFonts w:eastAsia="Times New Roman" w:cs="Arial"/>
                <w:b/>
                <w:bCs/>
                <w:color w:val="000000"/>
                <w:sz w:val="16"/>
                <w:szCs w:val="16"/>
                <w:lang w:eastAsia="es-ES"/>
              </w:rPr>
            </w:pPr>
            <w:r w:rsidRPr="00724B27">
              <w:rPr>
                <w:rFonts w:eastAsia="Times New Roman" w:cs="Arial"/>
                <w:b/>
                <w:bCs/>
                <w:color w:val="000000"/>
                <w:sz w:val="16"/>
                <w:szCs w:val="16"/>
                <w:lang w:eastAsia="es-ES"/>
              </w:rPr>
              <w:t>Cooperativas</w:t>
            </w:r>
          </w:p>
        </w:tc>
        <w:tc>
          <w:tcPr>
            <w:tcW w:w="21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724B27" w:rsidRDefault="00D371EB" w:rsidP="00D86960">
            <w:pPr>
              <w:spacing w:line="240" w:lineRule="exact"/>
              <w:jc w:val="center"/>
              <w:rPr>
                <w:rFonts w:eastAsia="Times New Roman" w:cs="Arial"/>
                <w:b/>
                <w:bCs/>
                <w:color w:val="000000"/>
                <w:sz w:val="16"/>
                <w:szCs w:val="16"/>
                <w:lang w:eastAsia="es-ES"/>
              </w:rPr>
            </w:pPr>
            <w:proofErr w:type="spellStart"/>
            <w:r w:rsidRPr="00724B27">
              <w:rPr>
                <w:rFonts w:eastAsia="Times New Roman" w:cs="Arial"/>
                <w:b/>
                <w:bCs/>
                <w:color w:val="000000"/>
                <w:sz w:val="16"/>
                <w:szCs w:val="16"/>
                <w:lang w:eastAsia="es-ES"/>
              </w:rPr>
              <w:t>SALes</w:t>
            </w:r>
            <w:proofErr w:type="spellEnd"/>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D371EB" w:rsidRPr="00724B27" w:rsidRDefault="00D371EB" w:rsidP="00D86960">
            <w:pPr>
              <w:spacing w:line="240" w:lineRule="exact"/>
              <w:jc w:val="center"/>
              <w:rPr>
                <w:rFonts w:eastAsia="Times New Roman" w:cs="Arial"/>
                <w:b/>
                <w:bCs/>
                <w:color w:val="000000"/>
                <w:sz w:val="16"/>
                <w:szCs w:val="16"/>
                <w:lang w:eastAsia="es-ES"/>
              </w:rPr>
            </w:pPr>
            <w:proofErr w:type="spellStart"/>
            <w:r w:rsidRPr="00724B27">
              <w:rPr>
                <w:rFonts w:eastAsia="Times New Roman" w:cs="Arial"/>
                <w:b/>
                <w:bCs/>
                <w:color w:val="000000"/>
                <w:sz w:val="16"/>
                <w:szCs w:val="16"/>
                <w:lang w:eastAsia="es-ES"/>
              </w:rPr>
              <w:t>SLLes</w:t>
            </w:r>
            <w:proofErr w:type="spellEnd"/>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hideMark/>
          </w:tcPr>
          <w:p w:rsidR="00D371EB" w:rsidRPr="00724B27" w:rsidRDefault="00D508DF" w:rsidP="00D86960">
            <w:pPr>
              <w:spacing w:line="240" w:lineRule="exact"/>
              <w:jc w:val="center"/>
              <w:rPr>
                <w:rFonts w:eastAsia="Times New Roman" w:cs="Arial"/>
                <w:b/>
                <w:bCs/>
                <w:color w:val="000000"/>
                <w:sz w:val="16"/>
                <w:szCs w:val="16"/>
                <w:lang w:eastAsia="es-ES"/>
              </w:rPr>
            </w:pPr>
            <w:r w:rsidRPr="00724B27">
              <w:rPr>
                <w:rFonts w:eastAsia="Times New Roman" w:cs="Arial"/>
                <w:b/>
                <w:bCs/>
                <w:color w:val="000000"/>
                <w:sz w:val="16"/>
                <w:szCs w:val="16"/>
                <w:lang w:eastAsia="es-ES"/>
              </w:rPr>
              <w:t>TOTAL</w:t>
            </w:r>
            <w:r w:rsidR="00D371EB" w:rsidRPr="00724B27">
              <w:rPr>
                <w:rFonts w:eastAsia="Times New Roman" w:cs="Arial"/>
                <w:b/>
                <w:bCs/>
                <w:color w:val="000000"/>
                <w:sz w:val="16"/>
                <w:szCs w:val="16"/>
                <w:lang w:eastAsia="es-ES"/>
              </w:rPr>
              <w:t xml:space="preserve"> </w:t>
            </w:r>
          </w:p>
        </w:tc>
      </w:tr>
      <w:tr w:rsidR="00D371EB" w:rsidRPr="00724B27" w:rsidTr="00D86960">
        <w:trPr>
          <w:jc w:val="center"/>
        </w:trPr>
        <w:tc>
          <w:tcPr>
            <w:tcW w:w="1852" w:type="dxa"/>
            <w:vMerge/>
            <w:tcBorders>
              <w:bottom w:val="single" w:sz="4" w:space="0" w:color="BFBFBF" w:themeColor="background1" w:themeShade="BF"/>
              <w:right w:val="single" w:sz="4" w:space="0" w:color="BFBFBF" w:themeColor="background1" w:themeShade="BF"/>
            </w:tcBorders>
            <w:shd w:val="clear" w:color="000000" w:fill="DBE5F1"/>
            <w:hideMark/>
          </w:tcPr>
          <w:p w:rsidR="00D371EB" w:rsidRPr="00724B27" w:rsidRDefault="00D371EB" w:rsidP="00D86960">
            <w:pPr>
              <w:spacing w:line="240" w:lineRule="exact"/>
              <w:jc w:val="left"/>
              <w:rPr>
                <w:rFonts w:eastAsia="Times New Roman" w:cs="Arial"/>
                <w:color w:val="000000"/>
                <w:sz w:val="16"/>
                <w:szCs w:val="16"/>
                <w:lang w:eastAsia="es-ES"/>
              </w:rPr>
            </w:pP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proofErr w:type="spellStart"/>
            <w:r w:rsidRPr="00724B27">
              <w:rPr>
                <w:rFonts w:eastAsia="Times New Roman" w:cs="Arial"/>
                <w:b/>
                <w:bCs/>
                <w:color w:val="000000"/>
                <w:sz w:val="16"/>
                <w:szCs w:val="16"/>
                <w:lang w:eastAsia="es-ES"/>
              </w:rPr>
              <w:t>Abs</w:t>
            </w:r>
            <w:proofErr w:type="spellEnd"/>
            <w:r w:rsidRPr="00724B27">
              <w:rPr>
                <w:rFonts w:eastAsia="Times New Roman" w:cs="Arial"/>
                <w:b/>
                <w:bCs/>
                <w:color w:val="000000"/>
                <w:sz w:val="16"/>
                <w:szCs w:val="16"/>
                <w:lang w:eastAsia="es-ES"/>
              </w:rPr>
              <w:t>.</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r w:rsidRPr="00724B27">
              <w:rPr>
                <w:rFonts w:eastAsia="Times New Roman" w:cs="Arial"/>
                <w:b/>
                <w:bCs/>
                <w:color w:val="000000"/>
                <w:sz w:val="16"/>
                <w:szCs w:val="16"/>
                <w:lang w:eastAsia="es-ES"/>
              </w:rPr>
              <w:t>% ver.</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proofErr w:type="spellStart"/>
            <w:r w:rsidRPr="00724B27">
              <w:rPr>
                <w:rFonts w:eastAsia="Times New Roman" w:cs="Arial"/>
                <w:b/>
                <w:bCs/>
                <w:color w:val="000000"/>
                <w:sz w:val="16"/>
                <w:szCs w:val="16"/>
                <w:lang w:eastAsia="es-ES"/>
              </w:rPr>
              <w:t>Abs</w:t>
            </w:r>
            <w:proofErr w:type="spellEnd"/>
            <w:r w:rsidRPr="00724B27">
              <w:rPr>
                <w:rFonts w:eastAsia="Times New Roman" w:cs="Arial"/>
                <w:b/>
                <w:bCs/>
                <w:color w:val="000000"/>
                <w:sz w:val="16"/>
                <w:szCs w:val="16"/>
                <w:lang w:eastAsia="es-ES"/>
              </w:rPr>
              <w:t>.</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r w:rsidRPr="00724B27">
              <w:rPr>
                <w:rFonts w:eastAsia="Times New Roman" w:cs="Arial"/>
                <w:b/>
                <w:bCs/>
                <w:color w:val="000000"/>
                <w:sz w:val="16"/>
                <w:szCs w:val="16"/>
                <w:lang w:eastAsia="es-ES"/>
              </w:rPr>
              <w:t>% ver.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proofErr w:type="spellStart"/>
            <w:r w:rsidRPr="00724B27">
              <w:rPr>
                <w:rFonts w:eastAsia="Times New Roman" w:cs="Arial"/>
                <w:b/>
                <w:bCs/>
                <w:color w:val="000000"/>
                <w:sz w:val="16"/>
                <w:szCs w:val="16"/>
                <w:lang w:eastAsia="es-ES"/>
              </w:rPr>
              <w:t>Abs</w:t>
            </w:r>
            <w:proofErr w:type="spellEnd"/>
            <w:r w:rsidRPr="00724B27">
              <w:rPr>
                <w:rFonts w:eastAsia="Times New Roman" w:cs="Arial"/>
                <w:b/>
                <w:bCs/>
                <w:color w:val="000000"/>
                <w:sz w:val="16"/>
                <w:szCs w:val="16"/>
                <w:lang w:eastAsia="es-ES"/>
              </w:rPr>
              <w:t>.</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r w:rsidRPr="00724B27">
              <w:rPr>
                <w:rFonts w:eastAsia="Times New Roman" w:cs="Arial"/>
                <w:b/>
                <w:bCs/>
                <w:color w:val="000000"/>
                <w:sz w:val="16"/>
                <w:szCs w:val="16"/>
                <w:lang w:eastAsia="es-ES"/>
              </w:rPr>
              <w:t>% ver.</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proofErr w:type="spellStart"/>
            <w:r w:rsidRPr="00724B27">
              <w:rPr>
                <w:rFonts w:eastAsia="Times New Roman" w:cs="Arial"/>
                <w:b/>
                <w:bCs/>
                <w:color w:val="000000"/>
                <w:sz w:val="16"/>
                <w:szCs w:val="16"/>
                <w:lang w:eastAsia="es-ES"/>
              </w:rPr>
              <w:t>Abs</w:t>
            </w:r>
            <w:proofErr w:type="spellEnd"/>
            <w:r w:rsidRPr="00724B27">
              <w:rPr>
                <w:rFonts w:eastAsia="Times New Roman" w:cs="Arial"/>
                <w:b/>
                <w:bCs/>
                <w:color w:val="000000"/>
                <w:sz w:val="16"/>
                <w:szCs w:val="16"/>
                <w:lang w:eastAsia="es-ES"/>
              </w:rPr>
              <w:t>.</w:t>
            </w:r>
          </w:p>
        </w:tc>
        <w:tc>
          <w:tcPr>
            <w:tcW w:w="900" w:type="dxa"/>
            <w:tcBorders>
              <w:top w:val="single" w:sz="4" w:space="0" w:color="BFBFBF" w:themeColor="background1" w:themeShade="BF"/>
              <w:bottom w:val="single" w:sz="4" w:space="0" w:color="BFBFBF" w:themeColor="background1" w:themeShade="BF"/>
            </w:tcBorders>
            <w:shd w:val="clear" w:color="000000" w:fill="DBE5F1"/>
            <w:vAlign w:val="center"/>
            <w:hideMark/>
          </w:tcPr>
          <w:p w:rsidR="00D371EB" w:rsidRPr="00724B27" w:rsidRDefault="00D371EB" w:rsidP="00D86960">
            <w:pPr>
              <w:spacing w:line="240" w:lineRule="exact"/>
              <w:jc w:val="center"/>
              <w:rPr>
                <w:rFonts w:eastAsia="Times New Roman" w:cs="Arial"/>
                <w:b/>
                <w:bCs/>
                <w:color w:val="000000"/>
                <w:sz w:val="16"/>
                <w:szCs w:val="16"/>
                <w:lang w:eastAsia="es-ES"/>
              </w:rPr>
            </w:pPr>
            <w:r w:rsidRPr="00724B27">
              <w:rPr>
                <w:rFonts w:eastAsia="Times New Roman" w:cs="Arial"/>
                <w:b/>
                <w:bCs/>
                <w:color w:val="000000"/>
                <w:sz w:val="16"/>
                <w:szCs w:val="16"/>
                <w:lang w:eastAsia="es-ES"/>
              </w:rPr>
              <w:t>% ver.</w:t>
            </w:r>
          </w:p>
        </w:tc>
      </w:tr>
      <w:tr w:rsidR="00D371EB" w:rsidRPr="00724B27" w:rsidTr="00D86960">
        <w:trPr>
          <w:jc w:val="center"/>
        </w:trPr>
        <w:tc>
          <w:tcPr>
            <w:tcW w:w="1852" w:type="dxa"/>
            <w:tcBorders>
              <w:top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Gasteiz</w:t>
            </w:r>
          </w:p>
        </w:tc>
        <w:tc>
          <w:tcPr>
            <w:tcW w:w="1076" w:type="dxa"/>
            <w:tcBorders>
              <w:top w:val="single" w:sz="4" w:space="0" w:color="BFBFBF" w:themeColor="background1" w:themeShade="BF"/>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332</w:t>
            </w:r>
          </w:p>
        </w:tc>
        <w:tc>
          <w:tcPr>
            <w:tcW w:w="1256" w:type="dxa"/>
            <w:tcBorders>
              <w:top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14,9</w:t>
            </w:r>
          </w:p>
        </w:tc>
        <w:tc>
          <w:tcPr>
            <w:tcW w:w="1256" w:type="dxa"/>
            <w:tcBorders>
              <w:top w:val="single" w:sz="4" w:space="0" w:color="BFBFBF" w:themeColor="background1" w:themeShade="BF"/>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22</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9,6</w:t>
            </w:r>
          </w:p>
        </w:tc>
        <w:tc>
          <w:tcPr>
            <w:tcW w:w="900" w:type="dxa"/>
            <w:tcBorders>
              <w:top w:val="single" w:sz="4" w:space="0" w:color="BFBFBF" w:themeColor="background1" w:themeShade="BF"/>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89</w:t>
            </w:r>
          </w:p>
        </w:tc>
        <w:tc>
          <w:tcPr>
            <w:tcW w:w="900" w:type="dxa"/>
            <w:tcBorders>
              <w:top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13,4</w:t>
            </w:r>
          </w:p>
        </w:tc>
        <w:tc>
          <w:tcPr>
            <w:tcW w:w="900" w:type="dxa"/>
            <w:tcBorders>
              <w:top w:val="single" w:sz="4" w:space="0" w:color="BFBFBF" w:themeColor="background1" w:themeShade="BF"/>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443</w:t>
            </w:r>
          </w:p>
        </w:tc>
        <w:tc>
          <w:tcPr>
            <w:tcW w:w="900" w:type="dxa"/>
            <w:tcBorders>
              <w:top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14,2</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Ayala</w:t>
            </w:r>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42</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1,9</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1,3</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6</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0,9</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51</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1,6</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M. Derecha</w:t>
            </w:r>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136</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6,1</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15</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6,5</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67</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10,1</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218</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7,0</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Bilbao</w:t>
            </w:r>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302</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13,5</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27</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11,7</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111</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16,7</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440</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14,1</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M. Izquierda</w:t>
            </w:r>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240</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10,7</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31</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13,5</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103</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15,5</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374</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12,0</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proofErr w:type="spellStart"/>
            <w:r w:rsidRPr="00724B27">
              <w:rPr>
                <w:rFonts w:eastAsia="Times New Roman" w:cs="Arial"/>
                <w:color w:val="000000"/>
                <w:sz w:val="16"/>
                <w:szCs w:val="16"/>
                <w:lang w:eastAsia="es-ES"/>
              </w:rPr>
              <w:t>Bizkaia</w:t>
            </w:r>
            <w:proofErr w:type="spellEnd"/>
            <w:r w:rsidRPr="00724B27">
              <w:rPr>
                <w:rFonts w:eastAsia="Times New Roman" w:cs="Arial"/>
                <w:color w:val="000000"/>
                <w:sz w:val="16"/>
                <w:szCs w:val="16"/>
                <w:lang w:eastAsia="es-ES"/>
              </w:rPr>
              <w:t xml:space="preserve"> – Costa</w:t>
            </w:r>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100</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4,5</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10</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4,3</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23</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3,5</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133</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4,3</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proofErr w:type="spellStart"/>
            <w:r w:rsidRPr="00724B27">
              <w:rPr>
                <w:rFonts w:eastAsia="Times New Roman" w:cs="Arial"/>
                <w:color w:val="000000"/>
                <w:sz w:val="16"/>
                <w:szCs w:val="16"/>
                <w:lang w:eastAsia="es-ES"/>
              </w:rPr>
              <w:t>Duranguesado</w:t>
            </w:r>
            <w:proofErr w:type="spellEnd"/>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191</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8,6</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19</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8,3</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35</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5,3</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245</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7,8</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proofErr w:type="spellStart"/>
            <w:r w:rsidRPr="00724B27">
              <w:rPr>
                <w:rFonts w:eastAsia="Times New Roman" w:cs="Arial"/>
                <w:color w:val="000000"/>
                <w:sz w:val="16"/>
                <w:szCs w:val="16"/>
                <w:lang w:eastAsia="es-ES"/>
              </w:rPr>
              <w:t>Donostialdea</w:t>
            </w:r>
            <w:proofErr w:type="spellEnd"/>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468</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21,0</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60</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26,1</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158</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23,8</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686</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21,9</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 xml:space="preserve">Tolosa – </w:t>
            </w:r>
            <w:proofErr w:type="spellStart"/>
            <w:r w:rsidRPr="00724B27">
              <w:rPr>
                <w:rFonts w:eastAsia="Times New Roman" w:cs="Arial"/>
                <w:color w:val="000000"/>
                <w:sz w:val="16"/>
                <w:szCs w:val="16"/>
                <w:lang w:eastAsia="es-ES"/>
              </w:rPr>
              <w:t>Goierri</w:t>
            </w:r>
            <w:proofErr w:type="spellEnd"/>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167</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7,5</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22</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9,6</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37</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5,6</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226</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7,2</w:t>
            </w:r>
          </w:p>
        </w:tc>
      </w:tr>
      <w:tr w:rsidR="00D371EB" w:rsidRPr="00724B27" w:rsidTr="00D86960">
        <w:trPr>
          <w:jc w:val="center"/>
        </w:trPr>
        <w:tc>
          <w:tcPr>
            <w:tcW w:w="1852" w:type="dxa"/>
            <w:tcBorders>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Alto Deba</w:t>
            </w:r>
          </w:p>
        </w:tc>
        <w:tc>
          <w:tcPr>
            <w:tcW w:w="107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213</w:t>
            </w:r>
          </w:p>
        </w:tc>
        <w:tc>
          <w:tcPr>
            <w:tcW w:w="1256"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9,5</w:t>
            </w:r>
          </w:p>
        </w:tc>
        <w:tc>
          <w:tcPr>
            <w:tcW w:w="1256"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7</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3,0</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14</w:t>
            </w:r>
          </w:p>
        </w:tc>
        <w:tc>
          <w:tcPr>
            <w:tcW w:w="900" w:type="dxa"/>
            <w:tcBorders>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2,1</w:t>
            </w:r>
          </w:p>
        </w:tc>
        <w:tc>
          <w:tcPr>
            <w:tcW w:w="900" w:type="dxa"/>
            <w:tcBorders>
              <w:left w:val="single" w:sz="4" w:space="0" w:color="BFBFBF" w:themeColor="background1" w:themeShade="BF"/>
            </w:tcBorders>
            <w:shd w:val="clear" w:color="auto" w:fill="auto"/>
            <w:vAlign w:val="bottom"/>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234</w:t>
            </w:r>
          </w:p>
        </w:tc>
        <w:tc>
          <w:tcPr>
            <w:tcW w:w="900" w:type="dxa"/>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7,5</w:t>
            </w:r>
          </w:p>
        </w:tc>
      </w:tr>
      <w:tr w:rsidR="00D371EB" w:rsidRPr="00724B27" w:rsidTr="00D86960">
        <w:trPr>
          <w:jc w:val="center"/>
        </w:trPr>
        <w:tc>
          <w:tcPr>
            <w:tcW w:w="1852" w:type="dxa"/>
            <w:tcBorders>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color w:val="000000"/>
                <w:sz w:val="16"/>
                <w:szCs w:val="16"/>
                <w:lang w:eastAsia="es-ES"/>
              </w:rPr>
            </w:pPr>
            <w:r w:rsidRPr="00724B27">
              <w:rPr>
                <w:rFonts w:eastAsia="Times New Roman" w:cs="Arial"/>
                <w:color w:val="000000"/>
                <w:sz w:val="16"/>
                <w:szCs w:val="16"/>
                <w:lang w:eastAsia="es-ES"/>
              </w:rPr>
              <w:t>Bajo Deba</w:t>
            </w:r>
          </w:p>
        </w:tc>
        <w:tc>
          <w:tcPr>
            <w:tcW w:w="1076" w:type="dxa"/>
            <w:tcBorders>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43</w:t>
            </w:r>
          </w:p>
        </w:tc>
        <w:tc>
          <w:tcPr>
            <w:tcW w:w="1256" w:type="dxa"/>
            <w:tcBorders>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1,9</w:t>
            </w:r>
          </w:p>
        </w:tc>
        <w:tc>
          <w:tcPr>
            <w:tcW w:w="1256" w:type="dxa"/>
            <w:tcBorders>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14</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6,1</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20</w:t>
            </w:r>
          </w:p>
        </w:tc>
        <w:tc>
          <w:tcPr>
            <w:tcW w:w="900" w:type="dxa"/>
            <w:tcBorders>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3,0</w:t>
            </w:r>
          </w:p>
        </w:tc>
        <w:tc>
          <w:tcPr>
            <w:tcW w:w="900" w:type="dxa"/>
            <w:tcBorders>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77</w:t>
            </w:r>
          </w:p>
        </w:tc>
        <w:tc>
          <w:tcPr>
            <w:tcW w:w="900" w:type="dxa"/>
            <w:tcBorders>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color w:val="000000"/>
                <w:sz w:val="16"/>
                <w:szCs w:val="16"/>
                <w:lang w:eastAsia="es-ES"/>
              </w:rPr>
            </w:pPr>
            <w:r w:rsidRPr="00724B27">
              <w:rPr>
                <w:rFonts w:eastAsia="Times New Roman" w:cs="Arial"/>
                <w:color w:val="000000"/>
                <w:sz w:val="16"/>
                <w:szCs w:val="16"/>
                <w:lang w:eastAsia="es-ES"/>
              </w:rPr>
              <w:t>2,5</w:t>
            </w:r>
          </w:p>
        </w:tc>
      </w:tr>
      <w:tr w:rsidR="00D371EB" w:rsidRPr="00724B27" w:rsidTr="00D86960">
        <w:trPr>
          <w:jc w:val="center"/>
        </w:trPr>
        <w:tc>
          <w:tcPr>
            <w:tcW w:w="185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rPr>
                <w:rFonts w:eastAsia="Times New Roman" w:cs="Arial"/>
                <w:b/>
                <w:bCs/>
                <w:color w:val="000000"/>
                <w:sz w:val="16"/>
                <w:szCs w:val="16"/>
                <w:lang w:eastAsia="es-ES"/>
              </w:rPr>
            </w:pPr>
            <w:r w:rsidRPr="00724B27">
              <w:rPr>
                <w:rFonts w:eastAsia="Times New Roman" w:cs="Arial"/>
                <w:b/>
                <w:bCs/>
                <w:color w:val="000000"/>
                <w:sz w:val="16"/>
                <w:szCs w:val="16"/>
                <w:lang w:eastAsia="es-ES"/>
              </w:rPr>
              <w:t>TOTAL</w:t>
            </w:r>
          </w:p>
        </w:tc>
        <w:tc>
          <w:tcPr>
            <w:tcW w:w="10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2.233</w:t>
            </w:r>
          </w:p>
        </w:tc>
        <w:tc>
          <w:tcPr>
            <w:tcW w:w="12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100,0</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230</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663</w:t>
            </w:r>
          </w:p>
        </w:tc>
        <w:tc>
          <w:tcPr>
            <w:tcW w:w="90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100,0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3.127</w:t>
            </w:r>
          </w:p>
        </w:tc>
        <w:tc>
          <w:tcPr>
            <w:tcW w:w="900" w:type="dxa"/>
            <w:tcBorders>
              <w:top w:val="single" w:sz="4" w:space="0" w:color="BFBFBF" w:themeColor="background1" w:themeShade="BF"/>
              <w:bottom w:val="single" w:sz="4" w:space="0" w:color="BFBFBF" w:themeColor="background1" w:themeShade="BF"/>
            </w:tcBorders>
            <w:shd w:val="clear" w:color="auto" w:fill="auto"/>
            <w:hideMark/>
          </w:tcPr>
          <w:p w:rsidR="00D371EB" w:rsidRPr="00724B27" w:rsidRDefault="00D371EB" w:rsidP="00D86960">
            <w:pPr>
              <w:spacing w:line="240" w:lineRule="exact"/>
              <w:ind w:right="155"/>
              <w:jc w:val="right"/>
              <w:rPr>
                <w:rFonts w:eastAsia="Times New Roman" w:cs="Arial"/>
                <w:b/>
                <w:bCs/>
                <w:color w:val="000000"/>
                <w:sz w:val="16"/>
                <w:szCs w:val="16"/>
                <w:lang w:eastAsia="es-ES"/>
              </w:rPr>
            </w:pPr>
            <w:r w:rsidRPr="00724B27">
              <w:rPr>
                <w:rFonts w:eastAsia="Times New Roman" w:cs="Arial"/>
                <w:b/>
                <w:bCs/>
                <w:color w:val="000000"/>
                <w:sz w:val="16"/>
                <w:szCs w:val="16"/>
                <w:lang w:eastAsia="es-ES"/>
              </w:rPr>
              <w:t>100,0</w:t>
            </w:r>
          </w:p>
        </w:tc>
      </w:tr>
    </w:tbl>
    <w:p w:rsidR="00D371EB" w:rsidRDefault="00D371EB" w:rsidP="00D371EB"/>
    <w:p w:rsidR="00D371EB" w:rsidRDefault="00DE1512" w:rsidP="00D371EB">
      <w:pPr>
        <w:spacing w:line="240" w:lineRule="auto"/>
        <w:jc w:val="center"/>
        <w:rPr>
          <w:rFonts w:cs="Arial"/>
          <w:b/>
          <w:color w:val="1F497D" w:themeColor="text2"/>
          <w:sz w:val="18"/>
          <w:szCs w:val="18"/>
        </w:rPr>
      </w:pPr>
      <w:bookmarkStart w:id="269" w:name="_Toc450119535"/>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80</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D508DF">
        <w:rPr>
          <w:rFonts w:cs="Arial"/>
          <w:b/>
          <w:color w:val="1F497D" w:themeColor="text2"/>
          <w:sz w:val="18"/>
          <w:szCs w:val="18"/>
        </w:rPr>
        <w:t xml:space="preserve"> </w:t>
      </w:r>
      <w:r w:rsidR="00D371EB">
        <w:rPr>
          <w:rFonts w:cs="Arial"/>
          <w:b/>
          <w:color w:val="1F497D" w:themeColor="text2"/>
          <w:sz w:val="18"/>
          <w:szCs w:val="18"/>
        </w:rPr>
        <w:t>DISTRIBUCIÓN COMARCAL</w:t>
      </w:r>
      <w:r w:rsidR="00D371EB" w:rsidRPr="004D1CBD">
        <w:rPr>
          <w:rFonts w:cs="Arial"/>
          <w:b/>
          <w:color w:val="1F497D" w:themeColor="text2"/>
          <w:sz w:val="18"/>
          <w:szCs w:val="18"/>
        </w:rPr>
        <w:t xml:space="preserve"> </w:t>
      </w:r>
      <w:r w:rsidR="00D371EB">
        <w:rPr>
          <w:rFonts w:cs="Arial"/>
          <w:b/>
          <w:color w:val="1F497D" w:themeColor="text2"/>
          <w:sz w:val="18"/>
          <w:szCs w:val="18"/>
        </w:rPr>
        <w:t>DE LA FACTURACIÓN</w:t>
      </w:r>
      <w:r w:rsidR="00D371EB" w:rsidRPr="004D1CBD">
        <w:rPr>
          <w:rFonts w:cs="Arial"/>
          <w:b/>
          <w:color w:val="1F497D" w:themeColor="text2"/>
          <w:sz w:val="18"/>
          <w:szCs w:val="18"/>
        </w:rPr>
        <w:t xml:space="preserve"> </w:t>
      </w:r>
      <w:r w:rsidR="00D371EB">
        <w:rPr>
          <w:rFonts w:cs="Arial"/>
          <w:b/>
          <w:color w:val="1F497D" w:themeColor="text2"/>
          <w:sz w:val="18"/>
          <w:szCs w:val="18"/>
        </w:rPr>
        <w:t>Y EXPORTACIONES</w:t>
      </w:r>
      <w:bookmarkEnd w:id="269"/>
    </w:p>
    <w:p w:rsidR="00D371EB" w:rsidRDefault="00D371EB" w:rsidP="00D371EB">
      <w:pPr>
        <w:spacing w:line="240" w:lineRule="auto"/>
        <w:jc w:val="center"/>
        <w:rPr>
          <w:rFonts w:cs="Arial"/>
          <w:b/>
          <w:noProof/>
          <w:color w:val="1F497D" w:themeColor="text2"/>
          <w:sz w:val="18"/>
          <w:szCs w:val="18"/>
        </w:rPr>
      </w:pPr>
      <w:r w:rsidRPr="004D1CBD">
        <w:rPr>
          <w:rFonts w:cs="Arial"/>
          <w:b/>
          <w:color w:val="1F497D" w:themeColor="text2"/>
          <w:sz w:val="18"/>
          <w:szCs w:val="18"/>
        </w:rPr>
        <w:t xml:space="preserve">DE </w:t>
      </w:r>
      <w:r>
        <w:rPr>
          <w:rFonts w:cs="Arial"/>
          <w:b/>
          <w:color w:val="1F497D" w:themeColor="text2"/>
          <w:sz w:val="18"/>
          <w:szCs w:val="18"/>
        </w:rPr>
        <w:t xml:space="preserve">LAS FCES DE </w:t>
      </w:r>
      <w:r w:rsidRPr="004D1CBD">
        <w:rPr>
          <w:rFonts w:cs="Arial"/>
          <w:b/>
          <w:color w:val="1F497D" w:themeColor="text2"/>
          <w:sz w:val="18"/>
          <w:szCs w:val="18"/>
        </w:rPr>
        <w:t>LA ECONOMÍA SOCIAL</w:t>
      </w:r>
      <w:r>
        <w:rPr>
          <w:rFonts w:cs="Arial"/>
          <w:b/>
          <w:color w:val="1F497D" w:themeColor="text2"/>
          <w:sz w:val="18"/>
          <w:szCs w:val="18"/>
        </w:rPr>
        <w:t xml:space="preserve"> POR FORMA JURÍDICA</w:t>
      </w:r>
      <w:r w:rsidRPr="004D1CBD">
        <w:rPr>
          <w:rFonts w:cs="Arial"/>
          <w:b/>
          <w:color w:val="1F497D" w:themeColor="text2"/>
          <w:sz w:val="18"/>
          <w:szCs w:val="18"/>
        </w:rPr>
        <w:t xml:space="preserve"> </w:t>
      </w:r>
      <w:r>
        <w:rPr>
          <w:rFonts w:cs="Arial"/>
          <w:b/>
          <w:color w:val="1F497D" w:themeColor="text2"/>
          <w:sz w:val="18"/>
          <w:szCs w:val="18"/>
        </w:rPr>
        <w:t>EN 2014</w:t>
      </w:r>
      <w:r w:rsidRPr="004D1CBD">
        <w:rPr>
          <w:rFonts w:cs="Arial"/>
          <w:b/>
          <w:color w:val="1F497D" w:themeColor="text2"/>
          <w:sz w:val="18"/>
          <w:szCs w:val="18"/>
        </w:rPr>
        <w:t xml:space="preserve"> </w:t>
      </w:r>
      <w:r w:rsidRPr="004D1CBD">
        <w:rPr>
          <w:rFonts w:cs="Arial"/>
          <w:b/>
          <w:noProof/>
          <w:color w:val="1F497D" w:themeColor="text2"/>
          <w:sz w:val="18"/>
          <w:szCs w:val="18"/>
        </w:rPr>
        <w:t>(</w:t>
      </w:r>
      <w:r>
        <w:rPr>
          <w:rFonts w:cs="Arial"/>
          <w:b/>
          <w:noProof/>
          <w:color w:val="1F497D" w:themeColor="text2"/>
          <w:sz w:val="18"/>
          <w:szCs w:val="18"/>
        </w:rPr>
        <w:t>cifras absolutas y % verticales</w:t>
      </w:r>
      <w:r w:rsidRPr="004D1CBD">
        <w:rPr>
          <w:rFonts w:cs="Arial"/>
          <w:b/>
          <w:noProof/>
          <w:color w:val="1F497D" w:themeColor="text2"/>
          <w:sz w:val="18"/>
          <w:szCs w:val="18"/>
        </w:rPr>
        <w:t>)</w:t>
      </w:r>
    </w:p>
    <w:tbl>
      <w:tblPr>
        <w:tblW w:w="9940" w:type="dxa"/>
        <w:jc w:val="center"/>
        <w:tblCellMar>
          <w:left w:w="70" w:type="dxa"/>
          <w:right w:w="70" w:type="dxa"/>
        </w:tblCellMar>
        <w:tblLook w:val="04A0" w:firstRow="1" w:lastRow="0" w:firstColumn="1" w:lastColumn="0" w:noHBand="0" w:noVBand="1"/>
      </w:tblPr>
      <w:tblGrid>
        <w:gridCol w:w="1789"/>
        <w:gridCol w:w="1725"/>
        <w:gridCol w:w="910"/>
        <w:gridCol w:w="1725"/>
        <w:gridCol w:w="910"/>
        <w:gridCol w:w="2881"/>
      </w:tblGrid>
      <w:tr w:rsidR="00D371EB" w:rsidRPr="00B341CF" w:rsidTr="00D86960">
        <w:trPr>
          <w:jc w:val="center"/>
        </w:trPr>
        <w:tc>
          <w:tcPr>
            <w:tcW w:w="1368" w:type="dxa"/>
            <w:vMerge w:val="restart"/>
            <w:tcBorders>
              <w:top w:val="single" w:sz="8" w:space="0" w:color="BFBFBF"/>
              <w:left w:val="nil"/>
              <w:bottom w:val="single" w:sz="8" w:space="0" w:color="BFBFBF"/>
              <w:right w:val="single" w:sz="8" w:space="0" w:color="BFBFBF"/>
            </w:tcBorders>
            <w:shd w:val="clear" w:color="000000" w:fill="DBE5F1"/>
            <w:hideMark/>
          </w:tcPr>
          <w:p w:rsidR="00D371EB" w:rsidRPr="00B341CF" w:rsidRDefault="00D371EB" w:rsidP="00D86960">
            <w:pPr>
              <w:spacing w:line="240" w:lineRule="exact"/>
              <w:jc w:val="left"/>
              <w:rPr>
                <w:rFonts w:ascii="Calibri" w:eastAsia="Times New Roman" w:hAnsi="Calibri" w:cs="Times New Roman"/>
                <w:color w:val="000000"/>
                <w:sz w:val="22"/>
                <w:lang w:eastAsia="es-ES"/>
              </w:rPr>
            </w:pPr>
            <w:r w:rsidRPr="00B341CF">
              <w:rPr>
                <w:rFonts w:ascii="Calibri" w:eastAsia="Times New Roman" w:hAnsi="Calibri" w:cs="Times New Roman"/>
                <w:color w:val="000000"/>
                <w:sz w:val="22"/>
                <w:lang w:eastAsia="es-ES"/>
              </w:rPr>
              <w:t> </w:t>
            </w:r>
          </w:p>
        </w:tc>
        <w:tc>
          <w:tcPr>
            <w:tcW w:w="1953" w:type="dxa"/>
            <w:gridSpan w:val="2"/>
            <w:tcBorders>
              <w:top w:val="single" w:sz="8" w:space="0" w:color="BFBFBF"/>
              <w:left w:val="nil"/>
              <w:bottom w:val="single" w:sz="8" w:space="0" w:color="BFBFBF"/>
              <w:right w:val="single" w:sz="8" w:space="0" w:color="BFBFBF"/>
            </w:tcBorders>
            <w:shd w:val="clear" w:color="000000" w:fill="DBE5F1"/>
            <w:hideMark/>
          </w:tcPr>
          <w:p w:rsidR="00D371EB" w:rsidRPr="00B341CF" w:rsidRDefault="00D371EB" w:rsidP="00D86960">
            <w:pPr>
              <w:spacing w:line="240" w:lineRule="exact"/>
              <w:jc w:val="center"/>
              <w:rPr>
                <w:rFonts w:eastAsia="Times New Roman" w:cs="Arial"/>
                <w:b/>
                <w:bCs/>
                <w:color w:val="000000"/>
                <w:sz w:val="16"/>
                <w:szCs w:val="16"/>
                <w:lang w:eastAsia="es-ES"/>
              </w:rPr>
            </w:pPr>
            <w:r w:rsidRPr="00B341CF">
              <w:rPr>
                <w:rFonts w:eastAsia="Times New Roman" w:cs="Arial"/>
                <w:b/>
                <w:bCs/>
                <w:color w:val="000000"/>
                <w:sz w:val="16"/>
                <w:szCs w:val="16"/>
                <w:lang w:eastAsia="es-ES"/>
              </w:rPr>
              <w:t>Facturación</w:t>
            </w:r>
          </w:p>
        </w:tc>
        <w:tc>
          <w:tcPr>
            <w:tcW w:w="2015" w:type="dxa"/>
            <w:gridSpan w:val="2"/>
            <w:tcBorders>
              <w:top w:val="single" w:sz="8" w:space="0" w:color="BFBFBF"/>
              <w:left w:val="nil"/>
              <w:bottom w:val="single" w:sz="8" w:space="0" w:color="BFBFBF"/>
              <w:right w:val="single" w:sz="4" w:space="0" w:color="BFBFBF" w:themeColor="background1" w:themeShade="BF"/>
            </w:tcBorders>
            <w:shd w:val="clear" w:color="000000" w:fill="DBE5F1"/>
            <w:hideMark/>
          </w:tcPr>
          <w:p w:rsidR="00D371EB" w:rsidRPr="00B341CF" w:rsidRDefault="00D371EB" w:rsidP="00D86960">
            <w:pPr>
              <w:spacing w:line="240" w:lineRule="exact"/>
              <w:jc w:val="center"/>
              <w:rPr>
                <w:rFonts w:eastAsia="Times New Roman" w:cs="Arial"/>
                <w:b/>
                <w:bCs/>
                <w:color w:val="000000"/>
                <w:sz w:val="16"/>
                <w:szCs w:val="16"/>
                <w:lang w:eastAsia="es-ES"/>
              </w:rPr>
            </w:pPr>
            <w:r w:rsidRPr="00B341CF">
              <w:rPr>
                <w:rFonts w:eastAsia="Times New Roman" w:cs="Arial"/>
                <w:b/>
                <w:bCs/>
                <w:color w:val="000000"/>
                <w:sz w:val="16"/>
                <w:szCs w:val="16"/>
                <w:lang w:eastAsia="es-ES"/>
              </w:rPr>
              <w:t xml:space="preserve">Exportaciones </w:t>
            </w:r>
          </w:p>
        </w:tc>
        <w:tc>
          <w:tcPr>
            <w:tcW w:w="2203" w:type="dxa"/>
            <w:vMerge w:val="restart"/>
            <w:tcBorders>
              <w:top w:val="single" w:sz="8" w:space="0" w:color="BFBFBF"/>
              <w:left w:val="single" w:sz="4" w:space="0" w:color="BFBFBF" w:themeColor="background1" w:themeShade="BF"/>
              <w:bottom w:val="single" w:sz="4" w:space="0" w:color="BFBFBF" w:themeColor="background1" w:themeShade="BF"/>
            </w:tcBorders>
            <w:shd w:val="clear" w:color="000000" w:fill="DBE5F1"/>
            <w:vAlign w:val="center"/>
            <w:hideMark/>
          </w:tcPr>
          <w:p w:rsidR="00D371EB" w:rsidRPr="00B341CF" w:rsidRDefault="00D371EB" w:rsidP="00D86960">
            <w:pPr>
              <w:spacing w:line="240" w:lineRule="exact"/>
              <w:jc w:val="center"/>
              <w:rPr>
                <w:rFonts w:eastAsia="Times New Roman" w:cs="Arial"/>
                <w:b/>
                <w:bCs/>
                <w:color w:val="000000"/>
                <w:sz w:val="16"/>
                <w:szCs w:val="16"/>
                <w:lang w:eastAsia="es-ES"/>
              </w:rPr>
            </w:pPr>
            <w:r w:rsidRPr="00B341CF">
              <w:rPr>
                <w:rFonts w:eastAsia="Times New Roman" w:cs="Arial"/>
                <w:b/>
                <w:bCs/>
                <w:color w:val="000000"/>
                <w:sz w:val="16"/>
                <w:szCs w:val="16"/>
                <w:lang w:eastAsia="es-ES"/>
              </w:rPr>
              <w:t>Peso Exportaciones/Facturación</w:t>
            </w:r>
          </w:p>
        </w:tc>
      </w:tr>
      <w:tr w:rsidR="00D371EB" w:rsidRPr="00B341CF" w:rsidTr="00D86960">
        <w:trPr>
          <w:jc w:val="center"/>
        </w:trPr>
        <w:tc>
          <w:tcPr>
            <w:tcW w:w="1368" w:type="dxa"/>
            <w:vMerge/>
            <w:tcBorders>
              <w:top w:val="single" w:sz="8" w:space="0" w:color="BFBFBF"/>
              <w:left w:val="nil"/>
              <w:bottom w:val="single" w:sz="8" w:space="0" w:color="BFBFBF"/>
              <w:right w:val="single" w:sz="8" w:space="0" w:color="BFBFBF"/>
            </w:tcBorders>
            <w:vAlign w:val="center"/>
            <w:hideMark/>
          </w:tcPr>
          <w:p w:rsidR="00D371EB" w:rsidRPr="00B341CF" w:rsidRDefault="00D371EB" w:rsidP="00D86960">
            <w:pPr>
              <w:spacing w:line="240" w:lineRule="exact"/>
              <w:jc w:val="left"/>
              <w:rPr>
                <w:rFonts w:ascii="Calibri" w:eastAsia="Times New Roman" w:hAnsi="Calibri" w:cs="Times New Roman"/>
                <w:color w:val="000000"/>
                <w:sz w:val="22"/>
                <w:lang w:eastAsia="es-ES"/>
              </w:rPr>
            </w:pPr>
          </w:p>
        </w:tc>
        <w:tc>
          <w:tcPr>
            <w:tcW w:w="1319" w:type="dxa"/>
            <w:tcBorders>
              <w:top w:val="nil"/>
              <w:left w:val="nil"/>
              <w:bottom w:val="single" w:sz="8" w:space="0" w:color="BFBFBF"/>
              <w:right w:val="nil"/>
            </w:tcBorders>
            <w:shd w:val="clear" w:color="000000" w:fill="DBE5F1"/>
            <w:vAlign w:val="bottom"/>
            <w:hideMark/>
          </w:tcPr>
          <w:p w:rsidR="00D371EB" w:rsidRPr="00B341CF" w:rsidRDefault="00D371EB" w:rsidP="00D86960">
            <w:pPr>
              <w:spacing w:line="240" w:lineRule="exact"/>
              <w:jc w:val="center"/>
              <w:rPr>
                <w:rFonts w:eastAsia="Times New Roman" w:cs="Arial"/>
                <w:b/>
                <w:bCs/>
                <w:color w:val="000000"/>
                <w:sz w:val="16"/>
                <w:szCs w:val="16"/>
                <w:lang w:eastAsia="es-ES"/>
              </w:rPr>
            </w:pPr>
            <w:proofErr w:type="spellStart"/>
            <w:r w:rsidRPr="00B341CF">
              <w:rPr>
                <w:rFonts w:eastAsia="Times New Roman" w:cs="Arial"/>
                <w:b/>
                <w:bCs/>
                <w:color w:val="000000"/>
                <w:sz w:val="16"/>
                <w:szCs w:val="16"/>
                <w:lang w:eastAsia="es-ES"/>
              </w:rPr>
              <w:t>Abs</w:t>
            </w:r>
            <w:proofErr w:type="spellEnd"/>
            <w:r w:rsidRPr="00B341CF">
              <w:rPr>
                <w:rFonts w:eastAsia="Times New Roman" w:cs="Arial"/>
                <w:b/>
                <w:bCs/>
                <w:color w:val="000000"/>
                <w:sz w:val="16"/>
                <w:szCs w:val="16"/>
                <w:lang w:eastAsia="es-ES"/>
              </w:rPr>
              <w:t>.</w:t>
            </w:r>
          </w:p>
        </w:tc>
        <w:tc>
          <w:tcPr>
            <w:tcW w:w="634" w:type="dxa"/>
            <w:tcBorders>
              <w:top w:val="nil"/>
              <w:left w:val="nil"/>
              <w:bottom w:val="single" w:sz="8" w:space="0" w:color="BFBFBF"/>
              <w:right w:val="single" w:sz="8" w:space="0" w:color="BFBFBF"/>
            </w:tcBorders>
            <w:shd w:val="clear" w:color="000000" w:fill="DBE5F1"/>
            <w:vAlign w:val="bottom"/>
            <w:hideMark/>
          </w:tcPr>
          <w:p w:rsidR="00D371EB" w:rsidRPr="00B341CF" w:rsidRDefault="00D371EB" w:rsidP="00D86960">
            <w:pPr>
              <w:spacing w:line="240" w:lineRule="exact"/>
              <w:jc w:val="center"/>
              <w:rPr>
                <w:rFonts w:eastAsia="Times New Roman" w:cs="Arial"/>
                <w:b/>
                <w:bCs/>
                <w:color w:val="000000"/>
                <w:sz w:val="16"/>
                <w:szCs w:val="16"/>
                <w:lang w:eastAsia="es-ES"/>
              </w:rPr>
            </w:pPr>
            <w:r w:rsidRPr="00B341CF">
              <w:rPr>
                <w:rFonts w:eastAsia="Times New Roman" w:cs="Arial"/>
                <w:b/>
                <w:bCs/>
                <w:color w:val="000000"/>
                <w:sz w:val="16"/>
                <w:szCs w:val="16"/>
                <w:lang w:eastAsia="es-ES"/>
              </w:rPr>
              <w:t>% ver.</w:t>
            </w:r>
          </w:p>
        </w:tc>
        <w:tc>
          <w:tcPr>
            <w:tcW w:w="1319" w:type="dxa"/>
            <w:tcBorders>
              <w:top w:val="nil"/>
              <w:left w:val="nil"/>
              <w:bottom w:val="single" w:sz="8" w:space="0" w:color="BFBFBF"/>
              <w:right w:val="nil"/>
            </w:tcBorders>
            <w:shd w:val="clear" w:color="000000" w:fill="DBE5F1"/>
            <w:vAlign w:val="bottom"/>
            <w:hideMark/>
          </w:tcPr>
          <w:p w:rsidR="00D371EB" w:rsidRPr="00B341CF" w:rsidRDefault="00D371EB" w:rsidP="00D86960">
            <w:pPr>
              <w:spacing w:line="240" w:lineRule="exact"/>
              <w:jc w:val="center"/>
              <w:rPr>
                <w:rFonts w:eastAsia="Times New Roman" w:cs="Arial"/>
                <w:b/>
                <w:bCs/>
                <w:color w:val="000000"/>
                <w:sz w:val="16"/>
                <w:szCs w:val="16"/>
                <w:lang w:eastAsia="es-ES"/>
              </w:rPr>
            </w:pPr>
            <w:proofErr w:type="spellStart"/>
            <w:r w:rsidRPr="00B341CF">
              <w:rPr>
                <w:rFonts w:eastAsia="Times New Roman" w:cs="Arial"/>
                <w:b/>
                <w:bCs/>
                <w:color w:val="000000"/>
                <w:sz w:val="16"/>
                <w:szCs w:val="16"/>
                <w:lang w:eastAsia="es-ES"/>
              </w:rPr>
              <w:t>Abs</w:t>
            </w:r>
            <w:proofErr w:type="spellEnd"/>
            <w:r w:rsidRPr="00B341CF">
              <w:rPr>
                <w:rFonts w:eastAsia="Times New Roman" w:cs="Arial"/>
                <w:b/>
                <w:bCs/>
                <w:color w:val="000000"/>
                <w:sz w:val="16"/>
                <w:szCs w:val="16"/>
                <w:lang w:eastAsia="es-ES"/>
              </w:rPr>
              <w:t>.</w:t>
            </w:r>
          </w:p>
        </w:tc>
        <w:tc>
          <w:tcPr>
            <w:tcW w:w="696" w:type="dxa"/>
            <w:tcBorders>
              <w:top w:val="nil"/>
              <w:left w:val="nil"/>
              <w:bottom w:val="single" w:sz="8" w:space="0" w:color="BFBFBF"/>
              <w:right w:val="single" w:sz="4" w:space="0" w:color="BFBFBF" w:themeColor="background1" w:themeShade="BF"/>
            </w:tcBorders>
            <w:shd w:val="clear" w:color="000000" w:fill="DBE5F1"/>
            <w:vAlign w:val="bottom"/>
            <w:hideMark/>
          </w:tcPr>
          <w:p w:rsidR="00D371EB" w:rsidRPr="00B341CF" w:rsidRDefault="00D371EB" w:rsidP="00D86960">
            <w:pPr>
              <w:spacing w:line="240" w:lineRule="exact"/>
              <w:jc w:val="center"/>
              <w:rPr>
                <w:rFonts w:eastAsia="Times New Roman" w:cs="Arial"/>
                <w:b/>
                <w:bCs/>
                <w:color w:val="000000"/>
                <w:sz w:val="16"/>
                <w:szCs w:val="16"/>
                <w:lang w:eastAsia="es-ES"/>
              </w:rPr>
            </w:pPr>
            <w:r w:rsidRPr="00B341CF">
              <w:rPr>
                <w:rFonts w:eastAsia="Times New Roman" w:cs="Arial"/>
                <w:b/>
                <w:bCs/>
                <w:color w:val="000000"/>
                <w:sz w:val="16"/>
                <w:szCs w:val="16"/>
                <w:lang w:eastAsia="es-ES"/>
              </w:rPr>
              <w:t>% ver.</w:t>
            </w:r>
          </w:p>
        </w:tc>
        <w:tc>
          <w:tcPr>
            <w:tcW w:w="2203" w:type="dxa"/>
            <w:vMerge/>
            <w:tcBorders>
              <w:top w:val="nil"/>
              <w:left w:val="single" w:sz="4" w:space="0" w:color="BFBFBF" w:themeColor="background1" w:themeShade="BF"/>
              <w:bottom w:val="single" w:sz="4" w:space="0" w:color="BFBFBF" w:themeColor="background1" w:themeShade="BF"/>
            </w:tcBorders>
            <w:vAlign w:val="center"/>
            <w:hideMark/>
          </w:tcPr>
          <w:p w:rsidR="00D371EB" w:rsidRPr="00B341CF" w:rsidRDefault="00D371EB" w:rsidP="00D86960">
            <w:pPr>
              <w:spacing w:line="240" w:lineRule="exact"/>
              <w:jc w:val="left"/>
              <w:rPr>
                <w:rFonts w:eastAsia="Times New Roman" w:cs="Arial"/>
                <w:b/>
                <w:bCs/>
                <w:color w:val="000000"/>
                <w:sz w:val="16"/>
                <w:szCs w:val="16"/>
                <w:lang w:eastAsia="es-ES"/>
              </w:rPr>
            </w:pP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Gasteiz</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854.537.340</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11,1</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169.378.079</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6,4</w:t>
            </w:r>
          </w:p>
        </w:tc>
        <w:tc>
          <w:tcPr>
            <w:tcW w:w="2203" w:type="dxa"/>
            <w:tcBorders>
              <w:top w:val="single" w:sz="4" w:space="0" w:color="BFBFBF" w:themeColor="background1" w:themeShade="BF"/>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19,8%</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Ayala</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96.799.215</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1,3</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10.097.078</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0,4</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10,4%</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M. Derecha</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391.896.141</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5,1</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74.884.275</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2,8</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19,1%</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Bilbao</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396.839.082</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5,2</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5.307.329</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0,2</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1,3%</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M. Izquierda</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570.917.196</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7,4</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12.747.492</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0,5</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2,2%</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proofErr w:type="spellStart"/>
            <w:r w:rsidRPr="00B341CF">
              <w:rPr>
                <w:rFonts w:eastAsia="Times New Roman" w:cs="Arial"/>
                <w:color w:val="000000"/>
                <w:sz w:val="16"/>
                <w:szCs w:val="16"/>
                <w:lang w:eastAsia="es-ES"/>
              </w:rPr>
              <w:t>Bizkaia</w:t>
            </w:r>
            <w:proofErr w:type="spellEnd"/>
            <w:r w:rsidRPr="00B341CF">
              <w:rPr>
                <w:rFonts w:eastAsia="Times New Roman" w:cs="Arial"/>
                <w:color w:val="000000"/>
                <w:sz w:val="16"/>
                <w:szCs w:val="16"/>
                <w:lang w:eastAsia="es-ES"/>
              </w:rPr>
              <w:t xml:space="preserve"> – Costa</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667.772.369</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8,7</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353.689.996</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13,3</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53,0%</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proofErr w:type="spellStart"/>
            <w:r w:rsidRPr="00B341CF">
              <w:rPr>
                <w:rFonts w:eastAsia="Times New Roman" w:cs="Arial"/>
                <w:color w:val="000000"/>
                <w:sz w:val="16"/>
                <w:szCs w:val="16"/>
                <w:lang w:eastAsia="es-ES"/>
              </w:rPr>
              <w:t>Duranguesado</w:t>
            </w:r>
            <w:proofErr w:type="spellEnd"/>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733.560.413</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9,5</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218.477.027</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8,2</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29,8%</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proofErr w:type="spellStart"/>
            <w:r w:rsidRPr="00B341CF">
              <w:rPr>
                <w:rFonts w:eastAsia="Times New Roman" w:cs="Arial"/>
                <w:color w:val="000000"/>
                <w:sz w:val="16"/>
                <w:szCs w:val="16"/>
                <w:lang w:eastAsia="es-ES"/>
              </w:rPr>
              <w:t>Donostialdea</w:t>
            </w:r>
            <w:proofErr w:type="spellEnd"/>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1.077.677.312</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14,0</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132.291.354</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5,0</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12,3%</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 xml:space="preserve">Tolosa – </w:t>
            </w:r>
            <w:proofErr w:type="spellStart"/>
            <w:r w:rsidRPr="00B341CF">
              <w:rPr>
                <w:rFonts w:eastAsia="Times New Roman" w:cs="Arial"/>
                <w:color w:val="000000"/>
                <w:sz w:val="16"/>
                <w:szCs w:val="16"/>
                <w:lang w:eastAsia="es-ES"/>
              </w:rPr>
              <w:t>Goierri</w:t>
            </w:r>
            <w:proofErr w:type="spellEnd"/>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895.933.497</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11,6</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490.749.926</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18,5</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54,8%</w:t>
            </w:r>
          </w:p>
        </w:tc>
      </w:tr>
      <w:tr w:rsidR="00D371EB" w:rsidRPr="00B341CF" w:rsidTr="00D86960">
        <w:trPr>
          <w:jc w:val="center"/>
        </w:trPr>
        <w:tc>
          <w:tcPr>
            <w:tcW w:w="1368"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Alto Deba</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1.751.343.758</w:t>
            </w:r>
          </w:p>
        </w:tc>
        <w:tc>
          <w:tcPr>
            <w:tcW w:w="634" w:type="dxa"/>
            <w:tcBorders>
              <w:top w:val="nil"/>
              <w:left w:val="nil"/>
              <w:bottom w:val="nil"/>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22,8</w:t>
            </w:r>
          </w:p>
        </w:tc>
        <w:tc>
          <w:tcPr>
            <w:tcW w:w="1319" w:type="dxa"/>
            <w:tcBorders>
              <w:top w:val="nil"/>
              <w:left w:val="nil"/>
              <w:bottom w:val="nil"/>
              <w:right w:val="nil"/>
            </w:tcBorders>
            <w:shd w:val="clear" w:color="auto" w:fill="auto"/>
            <w:noWrap/>
            <w:vAlign w:val="bottom"/>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1.069.356.274</w:t>
            </w:r>
          </w:p>
        </w:tc>
        <w:tc>
          <w:tcPr>
            <w:tcW w:w="696" w:type="dxa"/>
            <w:tcBorders>
              <w:top w:val="nil"/>
              <w:left w:val="nil"/>
              <w:bottom w:val="nil"/>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40,3</w:t>
            </w:r>
          </w:p>
        </w:tc>
        <w:tc>
          <w:tcPr>
            <w:tcW w:w="2203" w:type="dxa"/>
            <w:tcBorders>
              <w:left w:val="single" w:sz="4" w:space="0" w:color="BFBFBF" w:themeColor="background1" w:themeShade="BF"/>
              <w:bottom w:val="nil"/>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61,1%</w:t>
            </w:r>
          </w:p>
        </w:tc>
      </w:tr>
      <w:tr w:rsidR="00D371EB" w:rsidRPr="00B341CF" w:rsidTr="00D86960">
        <w:trPr>
          <w:jc w:val="center"/>
        </w:trPr>
        <w:tc>
          <w:tcPr>
            <w:tcW w:w="1368" w:type="dxa"/>
            <w:tcBorders>
              <w:top w:val="nil"/>
              <w:left w:val="nil"/>
              <w:bottom w:val="single" w:sz="4" w:space="0" w:color="BFBFBF" w:themeColor="background1" w:themeShade="BF"/>
              <w:right w:val="single" w:sz="8" w:space="0" w:color="BFBFBF"/>
            </w:tcBorders>
            <w:shd w:val="clear" w:color="auto" w:fill="auto"/>
            <w:hideMark/>
          </w:tcPr>
          <w:p w:rsidR="00D371EB" w:rsidRPr="00B341CF" w:rsidRDefault="00D371EB" w:rsidP="00D86960">
            <w:pPr>
              <w:spacing w:line="240" w:lineRule="exact"/>
              <w:rPr>
                <w:rFonts w:eastAsia="Times New Roman" w:cs="Arial"/>
                <w:color w:val="000000"/>
                <w:sz w:val="16"/>
                <w:szCs w:val="16"/>
                <w:lang w:eastAsia="es-ES"/>
              </w:rPr>
            </w:pPr>
            <w:r w:rsidRPr="00B341CF">
              <w:rPr>
                <w:rFonts w:eastAsia="Times New Roman" w:cs="Arial"/>
                <w:color w:val="000000"/>
                <w:sz w:val="16"/>
                <w:szCs w:val="16"/>
                <w:lang w:eastAsia="es-ES"/>
              </w:rPr>
              <w:t>Bajo Deba</w:t>
            </w:r>
          </w:p>
        </w:tc>
        <w:tc>
          <w:tcPr>
            <w:tcW w:w="1319" w:type="dxa"/>
            <w:tcBorders>
              <w:top w:val="nil"/>
              <w:left w:val="nil"/>
              <w:bottom w:val="single" w:sz="4" w:space="0" w:color="BFBFBF" w:themeColor="background1" w:themeShade="BF"/>
              <w:right w:val="nil"/>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253.496.073</w:t>
            </w:r>
          </w:p>
        </w:tc>
        <w:tc>
          <w:tcPr>
            <w:tcW w:w="634" w:type="dxa"/>
            <w:tcBorders>
              <w:top w:val="nil"/>
              <w:left w:val="nil"/>
              <w:bottom w:val="single" w:sz="4" w:space="0" w:color="BFBFBF" w:themeColor="background1" w:themeShade="BF"/>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3,3</w:t>
            </w:r>
          </w:p>
        </w:tc>
        <w:tc>
          <w:tcPr>
            <w:tcW w:w="1319" w:type="dxa"/>
            <w:tcBorders>
              <w:top w:val="nil"/>
              <w:left w:val="nil"/>
              <w:bottom w:val="single" w:sz="4" w:space="0" w:color="BFBFBF" w:themeColor="background1" w:themeShade="BF"/>
              <w:right w:val="nil"/>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sidRPr="00B341CF">
              <w:rPr>
                <w:rFonts w:eastAsia="Times New Roman" w:cs="Arial"/>
                <w:color w:val="000000"/>
                <w:sz w:val="16"/>
                <w:szCs w:val="16"/>
                <w:lang w:eastAsia="es-ES"/>
              </w:rPr>
              <w:t>116.491.776</w:t>
            </w:r>
          </w:p>
        </w:tc>
        <w:tc>
          <w:tcPr>
            <w:tcW w:w="696"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color w:val="000000"/>
                <w:sz w:val="16"/>
                <w:szCs w:val="16"/>
                <w:lang w:eastAsia="es-ES"/>
              </w:rPr>
            </w:pPr>
            <w:r>
              <w:rPr>
                <w:rFonts w:eastAsia="Times New Roman" w:cs="Arial"/>
                <w:color w:val="000000"/>
                <w:sz w:val="16"/>
                <w:szCs w:val="16"/>
                <w:lang w:eastAsia="es-ES"/>
              </w:rPr>
              <w:t>4,4</w:t>
            </w:r>
          </w:p>
        </w:tc>
        <w:tc>
          <w:tcPr>
            <w:tcW w:w="2203" w:type="dxa"/>
            <w:tcBorders>
              <w:left w:val="single" w:sz="4" w:space="0" w:color="BFBFBF" w:themeColor="background1" w:themeShade="BF"/>
              <w:bottom w:val="single" w:sz="4" w:space="0" w:color="BFBFBF" w:themeColor="background1" w:themeShade="BF"/>
            </w:tcBorders>
            <w:shd w:val="clear" w:color="auto" w:fill="auto"/>
            <w:vAlign w:val="bottom"/>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46,0%</w:t>
            </w:r>
          </w:p>
        </w:tc>
      </w:tr>
      <w:tr w:rsidR="00D371EB" w:rsidRPr="00B341CF" w:rsidTr="00D86960">
        <w:trPr>
          <w:jc w:val="center"/>
        </w:trPr>
        <w:tc>
          <w:tcPr>
            <w:tcW w:w="1368"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D371EB" w:rsidRPr="00B341CF" w:rsidRDefault="00D371EB" w:rsidP="00D86960">
            <w:pPr>
              <w:spacing w:line="240" w:lineRule="exact"/>
              <w:rPr>
                <w:rFonts w:eastAsia="Times New Roman" w:cs="Arial"/>
                <w:b/>
                <w:bCs/>
                <w:color w:val="000000"/>
                <w:sz w:val="16"/>
                <w:szCs w:val="16"/>
                <w:lang w:eastAsia="es-ES"/>
              </w:rPr>
            </w:pPr>
            <w:r w:rsidRPr="00B341CF">
              <w:rPr>
                <w:rFonts w:eastAsia="Times New Roman" w:cs="Arial"/>
                <w:b/>
                <w:bCs/>
                <w:color w:val="000000"/>
                <w:sz w:val="16"/>
                <w:szCs w:val="16"/>
                <w:lang w:eastAsia="es-ES"/>
              </w:rPr>
              <w:t>TOTAL</w:t>
            </w:r>
          </w:p>
        </w:tc>
        <w:tc>
          <w:tcPr>
            <w:tcW w:w="1319" w:type="dxa"/>
            <w:tcBorders>
              <w:top w:val="single" w:sz="4" w:space="0" w:color="BFBFBF" w:themeColor="background1" w:themeShade="BF"/>
              <w:left w:val="nil"/>
              <w:bottom w:val="single" w:sz="4" w:space="0" w:color="BFBFBF" w:themeColor="background1" w:themeShade="BF"/>
              <w:right w:val="nil"/>
            </w:tcBorders>
            <w:shd w:val="clear" w:color="auto" w:fill="auto"/>
            <w:hideMark/>
          </w:tcPr>
          <w:p w:rsidR="00D371EB" w:rsidRPr="00B341CF" w:rsidRDefault="00D371EB" w:rsidP="00D86960">
            <w:pPr>
              <w:spacing w:line="240" w:lineRule="exact"/>
              <w:ind w:right="155"/>
              <w:jc w:val="right"/>
              <w:rPr>
                <w:rFonts w:eastAsia="Times New Roman" w:cs="Arial"/>
                <w:b/>
                <w:color w:val="000000"/>
                <w:sz w:val="16"/>
                <w:szCs w:val="16"/>
                <w:lang w:eastAsia="es-ES"/>
              </w:rPr>
            </w:pPr>
            <w:r w:rsidRPr="00B341CF">
              <w:rPr>
                <w:rFonts w:eastAsia="Times New Roman" w:cs="Arial"/>
                <w:b/>
                <w:color w:val="000000"/>
                <w:sz w:val="16"/>
                <w:szCs w:val="16"/>
                <w:lang w:eastAsia="es-ES"/>
              </w:rPr>
              <w:t>7.690.772.396</w:t>
            </w:r>
          </w:p>
        </w:tc>
        <w:tc>
          <w:tcPr>
            <w:tcW w:w="634"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D371EB" w:rsidRPr="00B341CF" w:rsidRDefault="00D371EB" w:rsidP="00D86960">
            <w:pPr>
              <w:spacing w:line="240" w:lineRule="exact"/>
              <w:ind w:right="155"/>
              <w:jc w:val="right"/>
              <w:rPr>
                <w:rFonts w:eastAsia="Times New Roman" w:cs="Arial"/>
                <w:b/>
                <w:color w:val="000000"/>
                <w:sz w:val="16"/>
                <w:szCs w:val="16"/>
                <w:lang w:eastAsia="es-ES"/>
              </w:rPr>
            </w:pPr>
            <w:r w:rsidRPr="00B341CF">
              <w:rPr>
                <w:rFonts w:eastAsia="Times New Roman" w:cs="Arial"/>
                <w:b/>
                <w:color w:val="000000"/>
                <w:sz w:val="16"/>
                <w:szCs w:val="16"/>
                <w:lang w:eastAsia="es-ES"/>
              </w:rPr>
              <w:t>100</w:t>
            </w:r>
            <w:r>
              <w:rPr>
                <w:rFonts w:eastAsia="Times New Roman" w:cs="Arial"/>
                <w:b/>
                <w:color w:val="000000"/>
                <w:sz w:val="16"/>
                <w:szCs w:val="16"/>
                <w:lang w:eastAsia="es-ES"/>
              </w:rPr>
              <w:t>,0</w:t>
            </w:r>
          </w:p>
        </w:tc>
        <w:tc>
          <w:tcPr>
            <w:tcW w:w="1319" w:type="dxa"/>
            <w:tcBorders>
              <w:top w:val="single" w:sz="4" w:space="0" w:color="BFBFBF" w:themeColor="background1" w:themeShade="BF"/>
              <w:left w:val="nil"/>
              <w:bottom w:val="single" w:sz="4" w:space="0" w:color="BFBFBF" w:themeColor="background1" w:themeShade="BF"/>
              <w:right w:val="nil"/>
            </w:tcBorders>
            <w:shd w:val="clear" w:color="auto" w:fill="auto"/>
            <w:hideMark/>
          </w:tcPr>
          <w:p w:rsidR="00D371EB" w:rsidRPr="00B341CF" w:rsidRDefault="00D371EB" w:rsidP="00D86960">
            <w:pPr>
              <w:spacing w:line="240" w:lineRule="exact"/>
              <w:ind w:right="155"/>
              <w:jc w:val="right"/>
              <w:rPr>
                <w:rFonts w:eastAsia="Times New Roman" w:cs="Arial"/>
                <w:b/>
                <w:color w:val="000000"/>
                <w:sz w:val="16"/>
                <w:szCs w:val="16"/>
                <w:lang w:eastAsia="es-ES"/>
              </w:rPr>
            </w:pPr>
            <w:r w:rsidRPr="00B341CF">
              <w:rPr>
                <w:rFonts w:eastAsia="Times New Roman" w:cs="Arial"/>
                <w:b/>
                <w:color w:val="000000"/>
                <w:sz w:val="16"/>
                <w:szCs w:val="16"/>
                <w:lang w:eastAsia="es-ES"/>
              </w:rPr>
              <w:t>2.653.470.606</w:t>
            </w:r>
          </w:p>
        </w:tc>
        <w:tc>
          <w:tcPr>
            <w:tcW w:w="69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D371EB" w:rsidRPr="00B341CF" w:rsidRDefault="00D371EB" w:rsidP="00D86960">
            <w:pPr>
              <w:spacing w:line="240" w:lineRule="exact"/>
              <w:ind w:right="155"/>
              <w:jc w:val="right"/>
              <w:rPr>
                <w:rFonts w:eastAsia="Times New Roman" w:cs="Arial"/>
                <w:b/>
                <w:color w:val="000000"/>
                <w:sz w:val="16"/>
                <w:szCs w:val="16"/>
                <w:lang w:eastAsia="es-ES"/>
              </w:rPr>
            </w:pPr>
            <w:r w:rsidRPr="00B341CF">
              <w:rPr>
                <w:rFonts w:eastAsia="Times New Roman" w:cs="Arial"/>
                <w:b/>
                <w:color w:val="000000"/>
                <w:sz w:val="16"/>
                <w:szCs w:val="16"/>
                <w:lang w:eastAsia="es-ES"/>
              </w:rPr>
              <w:t>100</w:t>
            </w:r>
            <w:r>
              <w:rPr>
                <w:rFonts w:eastAsia="Times New Roman" w:cs="Arial"/>
                <w:b/>
                <w:color w:val="000000"/>
                <w:sz w:val="16"/>
                <w:szCs w:val="16"/>
                <w:lang w:eastAsia="es-ES"/>
              </w:rPr>
              <w:t>,0</w:t>
            </w:r>
          </w:p>
        </w:tc>
        <w:tc>
          <w:tcPr>
            <w:tcW w:w="220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hideMark/>
          </w:tcPr>
          <w:p w:rsidR="00D371EB" w:rsidRPr="00C863B9" w:rsidRDefault="00D371EB" w:rsidP="00D86960">
            <w:pPr>
              <w:spacing w:line="240" w:lineRule="exact"/>
              <w:ind w:right="155"/>
              <w:jc w:val="right"/>
              <w:rPr>
                <w:rFonts w:eastAsia="Times New Roman" w:cs="Arial"/>
                <w:color w:val="000000"/>
                <w:sz w:val="16"/>
                <w:szCs w:val="16"/>
                <w:lang w:eastAsia="es-ES"/>
              </w:rPr>
            </w:pPr>
            <w:r w:rsidRPr="00C863B9">
              <w:rPr>
                <w:rFonts w:eastAsia="Times New Roman" w:cs="Arial"/>
                <w:color w:val="000000"/>
                <w:sz w:val="16"/>
                <w:szCs w:val="16"/>
                <w:lang w:eastAsia="es-ES"/>
              </w:rPr>
              <w:t>34,5%</w:t>
            </w:r>
          </w:p>
        </w:tc>
      </w:tr>
    </w:tbl>
    <w:p w:rsidR="00D371EB" w:rsidRDefault="00D371EB" w:rsidP="00D371EB"/>
    <w:p w:rsidR="00D371EB" w:rsidRDefault="00D371EB">
      <w:pPr>
        <w:spacing w:after="200" w:line="276" w:lineRule="auto"/>
        <w:jc w:val="left"/>
        <w:rPr>
          <w:rFonts w:cs="Arial"/>
          <w:b/>
          <w:color w:val="1F497D" w:themeColor="text2"/>
          <w:sz w:val="18"/>
          <w:szCs w:val="18"/>
        </w:rPr>
      </w:pPr>
      <w:r>
        <w:rPr>
          <w:rFonts w:cs="Arial"/>
          <w:b/>
          <w:color w:val="1F497D" w:themeColor="text2"/>
          <w:sz w:val="18"/>
          <w:szCs w:val="18"/>
        </w:rPr>
        <w:br w:type="page"/>
      </w:r>
    </w:p>
    <w:p w:rsidR="00D371EB" w:rsidRDefault="00DE1512" w:rsidP="00D371EB">
      <w:pPr>
        <w:widowControl w:val="0"/>
        <w:spacing w:line="240" w:lineRule="auto"/>
        <w:jc w:val="center"/>
        <w:rPr>
          <w:rFonts w:cs="Arial"/>
          <w:b/>
          <w:color w:val="1F497D" w:themeColor="text2"/>
          <w:sz w:val="18"/>
          <w:szCs w:val="18"/>
          <w:lang w:val="es-ES_tradnl"/>
        </w:rPr>
      </w:pPr>
      <w:bookmarkStart w:id="270" w:name="_Toc450120009"/>
      <w:r w:rsidRPr="00DE1512">
        <w:rPr>
          <w:rFonts w:cs="Arial"/>
          <w:b/>
          <w:color w:val="1F497D" w:themeColor="text2"/>
          <w:sz w:val="18"/>
          <w:szCs w:val="18"/>
        </w:rPr>
        <w:lastRenderedPageBreak/>
        <w:t>Gráfico 1.</w:t>
      </w:r>
      <w:r w:rsidR="00771A61" w:rsidRPr="00DE1512">
        <w:rPr>
          <w:rFonts w:cs="Arial"/>
          <w:b/>
          <w:color w:val="1F497D" w:themeColor="text2"/>
          <w:sz w:val="18"/>
          <w:szCs w:val="18"/>
        </w:rPr>
        <w:fldChar w:fldCharType="begin"/>
      </w:r>
      <w:r w:rsidRPr="00DE1512">
        <w:rPr>
          <w:rFonts w:cs="Arial"/>
          <w:b/>
          <w:color w:val="1F497D" w:themeColor="text2"/>
          <w:sz w:val="18"/>
          <w:szCs w:val="18"/>
        </w:rPr>
        <w:instrText xml:space="preserve"> SEQ Gráfico_1. \* ARABIC </w:instrText>
      </w:r>
      <w:r w:rsidR="00771A61" w:rsidRPr="00DE1512">
        <w:rPr>
          <w:rFonts w:cs="Arial"/>
          <w:b/>
          <w:color w:val="1F497D" w:themeColor="text2"/>
          <w:sz w:val="18"/>
          <w:szCs w:val="18"/>
        </w:rPr>
        <w:fldChar w:fldCharType="separate"/>
      </w:r>
      <w:r w:rsidR="00FC71A9">
        <w:rPr>
          <w:rFonts w:cs="Arial"/>
          <w:b/>
          <w:noProof/>
          <w:color w:val="1F497D" w:themeColor="text2"/>
          <w:sz w:val="18"/>
          <w:szCs w:val="18"/>
        </w:rPr>
        <w:t>21</w:t>
      </w:r>
      <w:r w:rsidR="00771A61" w:rsidRPr="00DE1512">
        <w:rPr>
          <w:rFonts w:cs="Arial"/>
          <w:b/>
          <w:color w:val="1F497D" w:themeColor="text2"/>
          <w:sz w:val="18"/>
          <w:szCs w:val="18"/>
        </w:rPr>
        <w:fldChar w:fldCharType="end"/>
      </w:r>
      <w:r w:rsidR="00D371EB">
        <w:rPr>
          <w:rFonts w:cs="Arial"/>
          <w:b/>
          <w:color w:val="1F497D" w:themeColor="text2"/>
          <w:sz w:val="18"/>
          <w:szCs w:val="18"/>
        </w:rPr>
        <w:t xml:space="preserve"> </w:t>
      </w:r>
      <w:r w:rsidR="00D371EB">
        <w:rPr>
          <w:rFonts w:cs="Arial"/>
          <w:b/>
          <w:color w:val="1F497D" w:themeColor="text2"/>
          <w:sz w:val="18"/>
          <w:szCs w:val="18"/>
          <w:lang w:val="es-ES_tradnl"/>
        </w:rPr>
        <w:t xml:space="preserve">PESO RELATIVO COMARCAL DE LAS EXPORTACIONES </w:t>
      </w:r>
      <w:r w:rsidR="00D371EB" w:rsidRPr="00627246">
        <w:rPr>
          <w:rFonts w:cs="Arial"/>
          <w:b/>
          <w:color w:val="1F497D" w:themeColor="text2"/>
          <w:sz w:val="18"/>
          <w:szCs w:val="18"/>
          <w:lang w:val="es-ES_tradnl"/>
        </w:rPr>
        <w:t xml:space="preserve">DE LA ECONOMÍA SOCIAL </w:t>
      </w:r>
      <w:r w:rsidR="00D371EB">
        <w:rPr>
          <w:rFonts w:cs="Arial"/>
          <w:b/>
          <w:color w:val="1F497D" w:themeColor="text2"/>
          <w:sz w:val="18"/>
          <w:szCs w:val="18"/>
          <w:lang w:val="es-ES_tradnl"/>
        </w:rPr>
        <w:t>SOBRE FACTURACIÓN 2014</w:t>
      </w:r>
      <w:r w:rsidR="00D371EB" w:rsidRPr="00627246">
        <w:rPr>
          <w:rFonts w:cs="Arial"/>
          <w:b/>
          <w:color w:val="1F497D" w:themeColor="text2"/>
          <w:sz w:val="18"/>
          <w:szCs w:val="18"/>
          <w:lang w:val="es-ES_tradnl"/>
        </w:rPr>
        <w:t xml:space="preserve"> (% sobre </w:t>
      </w:r>
      <w:r w:rsidR="00D371EB">
        <w:rPr>
          <w:rFonts w:cs="Arial"/>
          <w:b/>
          <w:color w:val="1F497D" w:themeColor="text2"/>
          <w:sz w:val="18"/>
          <w:szCs w:val="18"/>
          <w:lang w:val="es-ES_tradnl"/>
        </w:rPr>
        <w:t>facturación)</w:t>
      </w:r>
      <w:bookmarkEnd w:id="270"/>
    </w:p>
    <w:p w:rsidR="00D371EB" w:rsidRPr="00B46047" w:rsidRDefault="00D371EB" w:rsidP="00D371EB">
      <w:pPr>
        <w:rPr>
          <w:lang w:val="es-ES_tradnl"/>
        </w:rPr>
      </w:pPr>
      <w:r>
        <w:rPr>
          <w:noProof/>
          <w:lang w:eastAsia="es-ES"/>
        </w:rPr>
        <w:drawing>
          <wp:anchor distT="0" distB="0" distL="114300" distR="114300" simplePos="0" relativeHeight="251790336" behindDoc="0" locked="0" layoutInCell="1" allowOverlap="1">
            <wp:simplePos x="0" y="0"/>
            <wp:positionH relativeFrom="column">
              <wp:posOffset>205740</wp:posOffset>
            </wp:positionH>
            <wp:positionV relativeFrom="paragraph">
              <wp:posOffset>72390</wp:posOffset>
            </wp:positionV>
            <wp:extent cx="4876800" cy="2533650"/>
            <wp:effectExtent l="19050" t="0" r="0" b="0"/>
            <wp:wrapNone/>
            <wp:docPr id="2"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 w:rsidR="00D371EB" w:rsidRDefault="00D371EB" w:rsidP="00D371EB">
      <w:pPr>
        <w:jc w:val="left"/>
      </w:pPr>
    </w:p>
    <w:p w:rsidR="00D371EB" w:rsidRDefault="00D371EB" w:rsidP="00D371EB">
      <w:pPr>
        <w:jc w:val="left"/>
      </w:pPr>
    </w:p>
    <w:p w:rsidR="00D371EB" w:rsidRDefault="00DE1512" w:rsidP="00D371EB">
      <w:pPr>
        <w:spacing w:line="240" w:lineRule="auto"/>
        <w:jc w:val="center"/>
        <w:rPr>
          <w:rFonts w:cs="Arial"/>
          <w:b/>
          <w:color w:val="1F497D" w:themeColor="text2"/>
          <w:sz w:val="18"/>
          <w:szCs w:val="18"/>
        </w:rPr>
      </w:pPr>
      <w:bookmarkStart w:id="271" w:name="_Toc450119536"/>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81</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D508DF">
        <w:rPr>
          <w:rFonts w:cs="Arial"/>
          <w:b/>
          <w:color w:val="1F497D" w:themeColor="text2"/>
          <w:sz w:val="18"/>
          <w:szCs w:val="18"/>
        </w:rPr>
        <w:t xml:space="preserve"> </w:t>
      </w:r>
      <w:r w:rsidR="00D371EB">
        <w:rPr>
          <w:rFonts w:cs="Arial"/>
          <w:b/>
          <w:color w:val="1F497D" w:themeColor="text2"/>
          <w:sz w:val="18"/>
          <w:szCs w:val="18"/>
        </w:rPr>
        <w:t>DISTRIBUCIÓN COMARCAL</w:t>
      </w:r>
      <w:r w:rsidR="00D371EB" w:rsidRPr="004D1CBD">
        <w:rPr>
          <w:rFonts w:cs="Arial"/>
          <w:b/>
          <w:color w:val="1F497D" w:themeColor="text2"/>
          <w:sz w:val="18"/>
          <w:szCs w:val="18"/>
        </w:rPr>
        <w:t xml:space="preserve"> </w:t>
      </w:r>
      <w:r w:rsidR="00D371EB">
        <w:rPr>
          <w:rFonts w:cs="Arial"/>
          <w:b/>
          <w:color w:val="1F497D" w:themeColor="text2"/>
          <w:sz w:val="18"/>
          <w:szCs w:val="18"/>
        </w:rPr>
        <w:t xml:space="preserve">DE SUELDOS Y SALARIOS Y RATIO MEDIO DE SUELOS Y SALARIOS (Euros/Empleado) </w:t>
      </w:r>
      <w:r w:rsidR="00D371EB" w:rsidRPr="004D1CBD">
        <w:rPr>
          <w:rFonts w:cs="Arial"/>
          <w:b/>
          <w:color w:val="1F497D" w:themeColor="text2"/>
          <w:sz w:val="18"/>
          <w:szCs w:val="18"/>
        </w:rPr>
        <w:t xml:space="preserve">DE </w:t>
      </w:r>
      <w:r w:rsidR="00D371EB">
        <w:rPr>
          <w:rFonts w:cs="Arial"/>
          <w:b/>
          <w:color w:val="1F497D" w:themeColor="text2"/>
          <w:sz w:val="18"/>
          <w:szCs w:val="18"/>
        </w:rPr>
        <w:t xml:space="preserve">LAS FCES DE </w:t>
      </w:r>
      <w:r w:rsidR="00D371EB" w:rsidRPr="004D1CBD">
        <w:rPr>
          <w:rFonts w:cs="Arial"/>
          <w:b/>
          <w:color w:val="1F497D" w:themeColor="text2"/>
          <w:sz w:val="18"/>
          <w:szCs w:val="18"/>
        </w:rPr>
        <w:t>LA ECONOMÍA SOCIAL</w:t>
      </w:r>
      <w:r w:rsidR="00D371EB">
        <w:rPr>
          <w:rFonts w:cs="Arial"/>
          <w:b/>
          <w:color w:val="1F497D" w:themeColor="text2"/>
          <w:sz w:val="18"/>
          <w:szCs w:val="18"/>
        </w:rPr>
        <w:t xml:space="preserve"> EN 2014</w:t>
      </w:r>
      <w:r w:rsidR="00D371EB" w:rsidRPr="004D1CBD">
        <w:rPr>
          <w:rFonts w:cs="Arial"/>
          <w:b/>
          <w:color w:val="1F497D" w:themeColor="text2"/>
          <w:sz w:val="18"/>
          <w:szCs w:val="18"/>
        </w:rPr>
        <w:t xml:space="preserve"> </w:t>
      </w:r>
      <w:r w:rsidR="00D371EB" w:rsidRPr="004D1CBD">
        <w:rPr>
          <w:rFonts w:cs="Arial"/>
          <w:b/>
          <w:noProof/>
          <w:color w:val="1F497D" w:themeColor="text2"/>
          <w:sz w:val="18"/>
          <w:szCs w:val="18"/>
        </w:rPr>
        <w:t>(</w:t>
      </w:r>
      <w:r w:rsidR="00D371EB">
        <w:rPr>
          <w:rFonts w:cs="Arial"/>
          <w:b/>
          <w:noProof/>
          <w:color w:val="1F497D" w:themeColor="text2"/>
          <w:sz w:val="18"/>
          <w:szCs w:val="18"/>
        </w:rPr>
        <w:t>cifras absolutas y % verticales</w:t>
      </w:r>
      <w:r w:rsidR="00D371EB" w:rsidRPr="004D1CBD">
        <w:rPr>
          <w:rFonts w:cs="Arial"/>
          <w:b/>
          <w:noProof/>
          <w:color w:val="1F497D" w:themeColor="text2"/>
          <w:sz w:val="18"/>
          <w:szCs w:val="18"/>
        </w:rPr>
        <w:t>)</w:t>
      </w:r>
      <w:bookmarkEnd w:id="271"/>
    </w:p>
    <w:tbl>
      <w:tblPr>
        <w:tblW w:w="9940" w:type="dxa"/>
        <w:jc w:val="center"/>
        <w:tblCellMar>
          <w:left w:w="70" w:type="dxa"/>
          <w:right w:w="70" w:type="dxa"/>
        </w:tblCellMar>
        <w:tblLook w:val="04A0" w:firstRow="1" w:lastRow="0" w:firstColumn="1" w:lastColumn="0" w:noHBand="0" w:noVBand="1"/>
      </w:tblPr>
      <w:tblGrid>
        <w:gridCol w:w="2415"/>
        <w:gridCol w:w="2655"/>
        <w:gridCol w:w="2455"/>
        <w:gridCol w:w="2415"/>
      </w:tblGrid>
      <w:tr w:rsidR="00D371EB" w:rsidRPr="001C63D2" w:rsidTr="00D86960">
        <w:trPr>
          <w:jc w:val="center"/>
        </w:trPr>
        <w:tc>
          <w:tcPr>
            <w:tcW w:w="1200" w:type="dxa"/>
            <w:vMerge w:val="restart"/>
            <w:tcBorders>
              <w:top w:val="single" w:sz="8" w:space="0" w:color="BFBFBF"/>
              <w:left w:val="nil"/>
              <w:bottom w:val="single" w:sz="8" w:space="0" w:color="BFBFBF"/>
              <w:right w:val="single" w:sz="8" w:space="0" w:color="BFBFBF"/>
            </w:tcBorders>
            <w:shd w:val="clear" w:color="000000" w:fill="DBE5F1"/>
            <w:hideMark/>
          </w:tcPr>
          <w:p w:rsidR="00D371EB" w:rsidRPr="001C63D2" w:rsidRDefault="00D371EB" w:rsidP="00D86960">
            <w:pPr>
              <w:spacing w:line="240" w:lineRule="exact"/>
              <w:jc w:val="left"/>
              <w:rPr>
                <w:rFonts w:ascii="Calibri" w:eastAsia="Times New Roman" w:hAnsi="Calibri" w:cs="Times New Roman"/>
                <w:color w:val="000000"/>
                <w:sz w:val="22"/>
                <w:lang w:eastAsia="es-ES"/>
              </w:rPr>
            </w:pPr>
            <w:r w:rsidRPr="001C63D2">
              <w:rPr>
                <w:rFonts w:ascii="Calibri" w:eastAsia="Times New Roman" w:hAnsi="Calibri" w:cs="Times New Roman"/>
                <w:color w:val="000000"/>
                <w:sz w:val="22"/>
                <w:lang w:eastAsia="es-ES"/>
              </w:rPr>
              <w:t> </w:t>
            </w:r>
          </w:p>
        </w:tc>
        <w:tc>
          <w:tcPr>
            <w:tcW w:w="2420" w:type="dxa"/>
            <w:gridSpan w:val="2"/>
            <w:tcBorders>
              <w:top w:val="single" w:sz="8" w:space="0" w:color="BFBFBF"/>
              <w:left w:val="nil"/>
              <w:bottom w:val="single" w:sz="8" w:space="0" w:color="BFBFBF"/>
              <w:right w:val="single" w:sz="8" w:space="0" w:color="BFBFBF"/>
            </w:tcBorders>
            <w:shd w:val="clear" w:color="000000" w:fill="DBE5F1"/>
            <w:hideMark/>
          </w:tcPr>
          <w:p w:rsidR="00D371EB" w:rsidRPr="001C63D2" w:rsidRDefault="00D371EB" w:rsidP="00D86960">
            <w:pPr>
              <w:spacing w:line="240" w:lineRule="exact"/>
              <w:jc w:val="center"/>
              <w:rPr>
                <w:rFonts w:eastAsia="Times New Roman" w:cs="Arial"/>
                <w:b/>
                <w:bCs/>
                <w:color w:val="000000"/>
                <w:sz w:val="16"/>
                <w:szCs w:val="16"/>
                <w:lang w:eastAsia="es-ES"/>
              </w:rPr>
            </w:pPr>
            <w:r w:rsidRPr="001C63D2">
              <w:rPr>
                <w:rFonts w:eastAsia="Times New Roman" w:cs="Arial"/>
                <w:b/>
                <w:bCs/>
                <w:color w:val="000000"/>
                <w:sz w:val="16"/>
                <w:szCs w:val="16"/>
                <w:lang w:eastAsia="es-ES"/>
              </w:rPr>
              <w:t>Sueldos y Salarios</w:t>
            </w:r>
          </w:p>
        </w:tc>
        <w:tc>
          <w:tcPr>
            <w:tcW w:w="1200" w:type="dxa"/>
            <w:vMerge w:val="restart"/>
            <w:tcBorders>
              <w:top w:val="single" w:sz="8" w:space="0" w:color="BFBFBF"/>
              <w:left w:val="single" w:sz="8" w:space="0" w:color="BFBFBF"/>
              <w:bottom w:val="single" w:sz="8" w:space="0" w:color="BFBFBF"/>
            </w:tcBorders>
            <w:shd w:val="clear" w:color="000000" w:fill="DBE5F1"/>
            <w:hideMark/>
          </w:tcPr>
          <w:p w:rsidR="00D371EB" w:rsidRPr="001C63D2" w:rsidRDefault="00D371EB" w:rsidP="00D86960">
            <w:pPr>
              <w:spacing w:line="240" w:lineRule="exact"/>
              <w:jc w:val="center"/>
              <w:rPr>
                <w:rFonts w:eastAsia="Times New Roman" w:cs="Arial"/>
                <w:b/>
                <w:bCs/>
                <w:color w:val="000000"/>
                <w:sz w:val="16"/>
                <w:szCs w:val="16"/>
                <w:lang w:eastAsia="es-ES"/>
              </w:rPr>
            </w:pPr>
            <w:r w:rsidRPr="001C63D2">
              <w:rPr>
                <w:rFonts w:eastAsia="Times New Roman" w:cs="Arial"/>
                <w:b/>
                <w:bCs/>
                <w:color w:val="000000"/>
                <w:sz w:val="16"/>
                <w:szCs w:val="16"/>
                <w:lang w:eastAsia="es-ES"/>
              </w:rPr>
              <w:t>Sueldos y Salarios por empleo</w:t>
            </w:r>
          </w:p>
        </w:tc>
      </w:tr>
      <w:tr w:rsidR="00D371EB" w:rsidRPr="001C63D2" w:rsidTr="00D86960">
        <w:trPr>
          <w:jc w:val="center"/>
        </w:trPr>
        <w:tc>
          <w:tcPr>
            <w:tcW w:w="1200" w:type="dxa"/>
            <w:vMerge/>
            <w:tcBorders>
              <w:top w:val="single" w:sz="8" w:space="0" w:color="BFBFBF"/>
              <w:left w:val="nil"/>
              <w:bottom w:val="single" w:sz="8" w:space="0" w:color="BFBFBF"/>
              <w:right w:val="single" w:sz="8" w:space="0" w:color="BFBFBF"/>
            </w:tcBorders>
            <w:vAlign w:val="center"/>
            <w:hideMark/>
          </w:tcPr>
          <w:p w:rsidR="00D371EB" w:rsidRPr="001C63D2" w:rsidRDefault="00D371EB" w:rsidP="00D86960">
            <w:pPr>
              <w:spacing w:line="240" w:lineRule="exact"/>
              <w:jc w:val="left"/>
              <w:rPr>
                <w:rFonts w:ascii="Calibri" w:eastAsia="Times New Roman" w:hAnsi="Calibri" w:cs="Times New Roman"/>
                <w:color w:val="000000"/>
                <w:sz w:val="22"/>
                <w:lang w:eastAsia="es-ES"/>
              </w:rPr>
            </w:pPr>
          </w:p>
        </w:tc>
        <w:tc>
          <w:tcPr>
            <w:tcW w:w="1200" w:type="dxa"/>
            <w:tcBorders>
              <w:top w:val="nil"/>
              <w:left w:val="nil"/>
              <w:bottom w:val="single" w:sz="8" w:space="0" w:color="BFBFBF"/>
              <w:right w:val="single" w:sz="4" w:space="0" w:color="BFBFBF" w:themeColor="background1" w:themeShade="BF"/>
            </w:tcBorders>
            <w:shd w:val="clear" w:color="000000" w:fill="DBE5F1"/>
            <w:vAlign w:val="bottom"/>
            <w:hideMark/>
          </w:tcPr>
          <w:p w:rsidR="00D371EB" w:rsidRPr="001C63D2" w:rsidRDefault="00D371EB" w:rsidP="00D86960">
            <w:pPr>
              <w:spacing w:line="240" w:lineRule="exact"/>
              <w:jc w:val="center"/>
              <w:rPr>
                <w:rFonts w:eastAsia="Times New Roman" w:cs="Arial"/>
                <w:b/>
                <w:bCs/>
                <w:color w:val="000000"/>
                <w:sz w:val="16"/>
                <w:szCs w:val="16"/>
                <w:lang w:eastAsia="es-ES"/>
              </w:rPr>
            </w:pPr>
            <w:proofErr w:type="spellStart"/>
            <w:r w:rsidRPr="001C63D2">
              <w:rPr>
                <w:rFonts w:eastAsia="Times New Roman" w:cs="Arial"/>
                <w:b/>
                <w:bCs/>
                <w:color w:val="000000"/>
                <w:sz w:val="16"/>
                <w:szCs w:val="16"/>
                <w:lang w:eastAsia="es-ES"/>
              </w:rPr>
              <w:t>Abs</w:t>
            </w:r>
            <w:proofErr w:type="spellEnd"/>
            <w:r w:rsidRPr="001C63D2">
              <w:rPr>
                <w:rFonts w:eastAsia="Times New Roman" w:cs="Arial"/>
                <w:b/>
                <w:bCs/>
                <w:color w:val="000000"/>
                <w:sz w:val="16"/>
                <w:szCs w:val="16"/>
                <w:lang w:eastAsia="es-ES"/>
              </w:rPr>
              <w:t>.</w:t>
            </w:r>
          </w:p>
        </w:tc>
        <w:tc>
          <w:tcPr>
            <w:tcW w:w="1220" w:type="dxa"/>
            <w:tcBorders>
              <w:top w:val="nil"/>
              <w:left w:val="single" w:sz="4" w:space="0" w:color="BFBFBF" w:themeColor="background1" w:themeShade="BF"/>
              <w:bottom w:val="single" w:sz="8" w:space="0" w:color="BFBFBF"/>
              <w:right w:val="single" w:sz="4" w:space="0" w:color="BFBFBF" w:themeColor="background1" w:themeShade="BF"/>
            </w:tcBorders>
            <w:shd w:val="clear" w:color="000000" w:fill="DBE5F1"/>
            <w:vAlign w:val="bottom"/>
            <w:hideMark/>
          </w:tcPr>
          <w:p w:rsidR="00D371EB" w:rsidRPr="001C63D2" w:rsidRDefault="00D371EB" w:rsidP="00D86960">
            <w:pPr>
              <w:spacing w:line="240" w:lineRule="exact"/>
              <w:jc w:val="center"/>
              <w:rPr>
                <w:rFonts w:eastAsia="Times New Roman" w:cs="Arial"/>
                <w:b/>
                <w:bCs/>
                <w:color w:val="000000"/>
                <w:sz w:val="16"/>
                <w:szCs w:val="16"/>
                <w:lang w:eastAsia="es-ES"/>
              </w:rPr>
            </w:pPr>
            <w:r w:rsidRPr="001C63D2">
              <w:rPr>
                <w:rFonts w:eastAsia="Times New Roman" w:cs="Arial"/>
                <w:b/>
                <w:bCs/>
                <w:color w:val="000000"/>
                <w:sz w:val="16"/>
                <w:szCs w:val="16"/>
                <w:lang w:eastAsia="es-ES"/>
              </w:rPr>
              <w:t>% ver.</w:t>
            </w:r>
          </w:p>
        </w:tc>
        <w:tc>
          <w:tcPr>
            <w:tcW w:w="1200" w:type="dxa"/>
            <w:vMerge/>
            <w:tcBorders>
              <w:top w:val="single" w:sz="8" w:space="0" w:color="BFBFBF"/>
              <w:left w:val="single" w:sz="4" w:space="0" w:color="BFBFBF" w:themeColor="background1" w:themeShade="BF"/>
              <w:bottom w:val="single" w:sz="8" w:space="0" w:color="BFBFBF"/>
            </w:tcBorders>
            <w:vAlign w:val="center"/>
            <w:hideMark/>
          </w:tcPr>
          <w:p w:rsidR="00D371EB" w:rsidRPr="001C63D2" w:rsidRDefault="00D371EB" w:rsidP="00D86960">
            <w:pPr>
              <w:spacing w:line="240" w:lineRule="exact"/>
              <w:jc w:val="left"/>
              <w:rPr>
                <w:rFonts w:eastAsia="Times New Roman" w:cs="Arial"/>
                <w:b/>
                <w:bCs/>
                <w:color w:val="000000"/>
                <w:sz w:val="16"/>
                <w:szCs w:val="16"/>
                <w:lang w:eastAsia="es-ES"/>
              </w:rPr>
            </w:pP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Gasteiz</w:t>
            </w:r>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164.132.969</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8,5</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32.866</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Ayala</w:t>
            </w:r>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18.147.930</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0,9</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31.452</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M. Derecha</w:t>
            </w:r>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112.558.471</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5,8</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34.233</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Bilbao</w:t>
            </w:r>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130.108.308</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6,7</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31.201</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M. Izquierda</w:t>
            </w:r>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128.359.262</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6,6</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30.511</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proofErr w:type="spellStart"/>
            <w:r w:rsidRPr="001C63D2">
              <w:rPr>
                <w:rFonts w:eastAsia="Times New Roman" w:cs="Arial"/>
                <w:color w:val="000000"/>
                <w:sz w:val="16"/>
                <w:szCs w:val="16"/>
                <w:lang w:eastAsia="es-ES"/>
              </w:rPr>
              <w:t>Bizkaia</w:t>
            </w:r>
            <w:proofErr w:type="spellEnd"/>
            <w:r w:rsidRPr="001C63D2">
              <w:rPr>
                <w:rFonts w:eastAsia="Times New Roman" w:cs="Arial"/>
                <w:color w:val="000000"/>
                <w:sz w:val="16"/>
                <w:szCs w:val="16"/>
                <w:lang w:eastAsia="es-ES"/>
              </w:rPr>
              <w:t xml:space="preserve"> – Costa</w:t>
            </w:r>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159.428.836</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8,2</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36.786</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proofErr w:type="spellStart"/>
            <w:r w:rsidRPr="001C63D2">
              <w:rPr>
                <w:rFonts w:eastAsia="Times New Roman" w:cs="Arial"/>
                <w:color w:val="000000"/>
                <w:sz w:val="16"/>
                <w:szCs w:val="16"/>
                <w:lang w:eastAsia="es-ES"/>
              </w:rPr>
              <w:t>Duranguesado</w:t>
            </w:r>
            <w:proofErr w:type="spellEnd"/>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174.044.981</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9,0</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32.746</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proofErr w:type="spellStart"/>
            <w:r w:rsidRPr="001C63D2">
              <w:rPr>
                <w:rFonts w:eastAsia="Times New Roman" w:cs="Arial"/>
                <w:color w:val="000000"/>
                <w:sz w:val="16"/>
                <w:szCs w:val="16"/>
                <w:lang w:eastAsia="es-ES"/>
              </w:rPr>
              <w:t>Donostialdea</w:t>
            </w:r>
            <w:proofErr w:type="spellEnd"/>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322.104.015</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16,6</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33.647</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 xml:space="preserve">Tolosa – </w:t>
            </w:r>
            <w:proofErr w:type="spellStart"/>
            <w:r w:rsidRPr="001C63D2">
              <w:rPr>
                <w:rFonts w:eastAsia="Times New Roman" w:cs="Arial"/>
                <w:color w:val="000000"/>
                <w:sz w:val="16"/>
                <w:szCs w:val="16"/>
                <w:lang w:eastAsia="es-ES"/>
              </w:rPr>
              <w:t>Goierri</w:t>
            </w:r>
            <w:proofErr w:type="spellEnd"/>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213.348.598</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11,0</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38.954</w:t>
            </w:r>
          </w:p>
        </w:tc>
      </w:tr>
      <w:tr w:rsidR="00D371EB" w:rsidRPr="001C63D2" w:rsidTr="00D86960">
        <w:trPr>
          <w:jc w:val="center"/>
        </w:trPr>
        <w:tc>
          <w:tcPr>
            <w:tcW w:w="1200" w:type="dxa"/>
            <w:tcBorders>
              <w:top w:val="nil"/>
              <w:left w:val="nil"/>
              <w:bottom w:val="nil"/>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Alto Deba</w:t>
            </w:r>
          </w:p>
        </w:tc>
        <w:tc>
          <w:tcPr>
            <w:tcW w:w="1200" w:type="dxa"/>
            <w:tcBorders>
              <w:top w:val="nil"/>
              <w:left w:val="nil"/>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457.937.060</w:t>
            </w:r>
          </w:p>
        </w:tc>
        <w:tc>
          <w:tcPr>
            <w:tcW w:w="12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23,6</w:t>
            </w:r>
          </w:p>
        </w:tc>
        <w:tc>
          <w:tcPr>
            <w:tcW w:w="1200" w:type="dxa"/>
            <w:tcBorders>
              <w:top w:val="nil"/>
              <w:left w:val="single" w:sz="4" w:space="0" w:color="BFBFBF" w:themeColor="background1" w:themeShade="BF"/>
              <w:bottom w:val="nil"/>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41.450</w:t>
            </w:r>
          </w:p>
        </w:tc>
      </w:tr>
      <w:tr w:rsidR="00D371EB" w:rsidRPr="001C63D2" w:rsidTr="00D86960">
        <w:trPr>
          <w:jc w:val="center"/>
        </w:trPr>
        <w:tc>
          <w:tcPr>
            <w:tcW w:w="1200" w:type="dxa"/>
            <w:tcBorders>
              <w:top w:val="nil"/>
              <w:left w:val="nil"/>
              <w:bottom w:val="single" w:sz="4" w:space="0" w:color="BFBFBF" w:themeColor="background1" w:themeShade="BF"/>
              <w:right w:val="single" w:sz="8" w:space="0" w:color="BFBFBF"/>
            </w:tcBorders>
            <w:shd w:val="clear" w:color="auto" w:fill="auto"/>
            <w:hideMark/>
          </w:tcPr>
          <w:p w:rsidR="00D371EB" w:rsidRPr="001C63D2" w:rsidRDefault="00D371EB" w:rsidP="00D86960">
            <w:pPr>
              <w:spacing w:line="240" w:lineRule="exact"/>
              <w:rPr>
                <w:rFonts w:eastAsia="Times New Roman" w:cs="Arial"/>
                <w:color w:val="000000"/>
                <w:sz w:val="16"/>
                <w:szCs w:val="16"/>
                <w:lang w:eastAsia="es-ES"/>
              </w:rPr>
            </w:pPr>
            <w:r w:rsidRPr="001C63D2">
              <w:rPr>
                <w:rFonts w:eastAsia="Times New Roman" w:cs="Arial"/>
                <w:color w:val="000000"/>
                <w:sz w:val="16"/>
                <w:szCs w:val="16"/>
                <w:lang w:eastAsia="es-ES"/>
              </w:rPr>
              <w:t>Bajo Deba</w:t>
            </w:r>
          </w:p>
        </w:tc>
        <w:tc>
          <w:tcPr>
            <w:tcW w:w="1200" w:type="dxa"/>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61.905.253</w:t>
            </w:r>
          </w:p>
        </w:tc>
        <w:tc>
          <w:tcPr>
            <w:tcW w:w="122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3,2</w:t>
            </w:r>
          </w:p>
        </w:tc>
        <w:tc>
          <w:tcPr>
            <w:tcW w:w="1200" w:type="dxa"/>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rsidR="00D371EB" w:rsidRPr="001C63D2" w:rsidRDefault="00D371EB" w:rsidP="00D86960">
            <w:pPr>
              <w:spacing w:line="240" w:lineRule="exact"/>
              <w:ind w:right="155"/>
              <w:jc w:val="right"/>
              <w:rPr>
                <w:rFonts w:eastAsia="Times New Roman" w:cs="Arial"/>
                <w:color w:val="000000"/>
                <w:sz w:val="16"/>
                <w:szCs w:val="16"/>
                <w:lang w:eastAsia="es-ES"/>
              </w:rPr>
            </w:pPr>
            <w:r w:rsidRPr="001C63D2">
              <w:rPr>
                <w:rFonts w:eastAsia="Times New Roman" w:cs="Arial"/>
                <w:color w:val="000000"/>
                <w:sz w:val="16"/>
                <w:szCs w:val="16"/>
                <w:lang w:eastAsia="es-ES"/>
              </w:rPr>
              <w:t>38.667</w:t>
            </w:r>
          </w:p>
        </w:tc>
      </w:tr>
      <w:tr w:rsidR="00D371EB" w:rsidRPr="001C63D2" w:rsidTr="00D86960">
        <w:trPr>
          <w:jc w:val="center"/>
        </w:trPr>
        <w:tc>
          <w:tcPr>
            <w:tcW w:w="1200"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D371EB" w:rsidRPr="001C63D2" w:rsidRDefault="00D371EB" w:rsidP="00D86960">
            <w:pPr>
              <w:spacing w:line="240" w:lineRule="exact"/>
              <w:rPr>
                <w:rFonts w:eastAsia="Times New Roman" w:cs="Arial"/>
                <w:b/>
                <w:bCs/>
                <w:color w:val="000000"/>
                <w:sz w:val="16"/>
                <w:szCs w:val="16"/>
                <w:lang w:eastAsia="es-ES"/>
              </w:rPr>
            </w:pPr>
            <w:r w:rsidRPr="001C63D2">
              <w:rPr>
                <w:rFonts w:eastAsia="Times New Roman" w:cs="Arial"/>
                <w:b/>
                <w:bCs/>
                <w:color w:val="000000"/>
                <w:sz w:val="16"/>
                <w:szCs w:val="16"/>
                <w:lang w:eastAsia="es-ES"/>
              </w:rPr>
              <w:t>TOTAL</w:t>
            </w:r>
          </w:p>
        </w:tc>
        <w:tc>
          <w:tcPr>
            <w:tcW w:w="12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D371EB" w:rsidRPr="00F37130" w:rsidRDefault="00D371EB" w:rsidP="00D86960">
            <w:pPr>
              <w:spacing w:line="240" w:lineRule="exact"/>
              <w:ind w:right="155"/>
              <w:jc w:val="right"/>
              <w:rPr>
                <w:rFonts w:eastAsia="Times New Roman" w:cs="Arial"/>
                <w:b/>
                <w:color w:val="000000"/>
                <w:sz w:val="16"/>
                <w:szCs w:val="16"/>
                <w:lang w:eastAsia="es-ES"/>
              </w:rPr>
            </w:pPr>
            <w:r w:rsidRPr="00F37130">
              <w:rPr>
                <w:rFonts w:eastAsia="Times New Roman" w:cs="Arial"/>
                <w:b/>
                <w:color w:val="000000"/>
                <w:sz w:val="16"/>
                <w:szCs w:val="16"/>
                <w:lang w:eastAsia="es-ES"/>
              </w:rPr>
              <w:t>1.942.075.683</w:t>
            </w:r>
          </w:p>
        </w:tc>
        <w:tc>
          <w:tcPr>
            <w:tcW w:w="1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F37130" w:rsidRDefault="00D371EB" w:rsidP="00D86960">
            <w:pPr>
              <w:spacing w:line="240" w:lineRule="exact"/>
              <w:ind w:right="155"/>
              <w:jc w:val="right"/>
              <w:rPr>
                <w:rFonts w:eastAsia="Times New Roman" w:cs="Arial"/>
                <w:b/>
                <w:color w:val="000000"/>
                <w:sz w:val="16"/>
                <w:szCs w:val="16"/>
                <w:lang w:eastAsia="es-ES"/>
              </w:rPr>
            </w:pPr>
            <w:r w:rsidRPr="00F37130">
              <w:rPr>
                <w:rFonts w:eastAsia="Times New Roman" w:cs="Arial"/>
                <w:b/>
                <w:color w:val="000000"/>
                <w:sz w:val="16"/>
                <w:szCs w:val="16"/>
                <w:lang w:eastAsia="es-ES"/>
              </w:rPr>
              <w:t>100</w:t>
            </w:r>
            <w:r>
              <w:rPr>
                <w:rFonts w:eastAsia="Times New Roman" w:cs="Arial"/>
                <w:b/>
                <w:color w:val="000000"/>
                <w:sz w:val="16"/>
                <w:szCs w:val="16"/>
                <w:lang w:eastAsia="es-ES"/>
              </w:rPr>
              <w:t>,0</w:t>
            </w:r>
          </w:p>
        </w:tc>
        <w:tc>
          <w:tcPr>
            <w:tcW w:w="120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rsidR="00D371EB" w:rsidRPr="00F37130" w:rsidRDefault="00D371EB" w:rsidP="00D86960">
            <w:pPr>
              <w:spacing w:line="240" w:lineRule="exact"/>
              <w:ind w:right="155"/>
              <w:jc w:val="right"/>
              <w:rPr>
                <w:rFonts w:eastAsia="Times New Roman" w:cs="Arial"/>
                <w:b/>
                <w:color w:val="000000"/>
                <w:sz w:val="16"/>
                <w:szCs w:val="16"/>
                <w:lang w:eastAsia="es-ES"/>
              </w:rPr>
            </w:pPr>
            <w:r w:rsidRPr="00F37130">
              <w:rPr>
                <w:rFonts w:eastAsia="Times New Roman" w:cs="Arial"/>
                <w:b/>
                <w:color w:val="000000"/>
                <w:sz w:val="16"/>
                <w:szCs w:val="16"/>
                <w:lang w:eastAsia="es-ES"/>
              </w:rPr>
              <w:t>35.581</w:t>
            </w:r>
          </w:p>
        </w:tc>
      </w:tr>
    </w:tbl>
    <w:p w:rsidR="00D371EB" w:rsidRDefault="00D371EB" w:rsidP="00D371EB"/>
    <w:p w:rsidR="00D371EB" w:rsidRDefault="00DD7A32" w:rsidP="00D371EB">
      <w:pPr>
        <w:spacing w:line="240" w:lineRule="auto"/>
        <w:jc w:val="center"/>
        <w:rPr>
          <w:rFonts w:cs="Arial"/>
          <w:b/>
          <w:color w:val="1F497D" w:themeColor="text2"/>
          <w:sz w:val="18"/>
          <w:szCs w:val="18"/>
        </w:rPr>
      </w:pPr>
      <w:bookmarkStart w:id="272" w:name="_Toc450119537"/>
      <w:r w:rsidRPr="009F1045">
        <w:rPr>
          <w:rFonts w:cs="Arial"/>
          <w:b/>
          <w:color w:val="1F497D" w:themeColor="text2"/>
          <w:sz w:val="18"/>
          <w:szCs w:val="18"/>
        </w:rPr>
        <w:t>Cuadro 1.</w:t>
      </w:r>
      <w:r w:rsidR="00771A61" w:rsidRPr="009F1045">
        <w:rPr>
          <w:rFonts w:cs="Arial"/>
          <w:b/>
          <w:color w:val="1F497D" w:themeColor="text2"/>
          <w:sz w:val="18"/>
          <w:szCs w:val="18"/>
        </w:rPr>
        <w:fldChar w:fldCharType="begin"/>
      </w:r>
      <w:r w:rsidRPr="009F1045">
        <w:rPr>
          <w:rFonts w:cs="Arial"/>
          <w:b/>
          <w:color w:val="1F497D" w:themeColor="text2"/>
          <w:sz w:val="18"/>
          <w:szCs w:val="18"/>
        </w:rPr>
        <w:instrText xml:space="preserve"> SEQ Cuadro_1. \* ARABIC </w:instrText>
      </w:r>
      <w:r w:rsidR="00771A61" w:rsidRPr="009F1045">
        <w:rPr>
          <w:rFonts w:cs="Arial"/>
          <w:b/>
          <w:color w:val="1F497D" w:themeColor="text2"/>
          <w:sz w:val="18"/>
          <w:szCs w:val="18"/>
        </w:rPr>
        <w:fldChar w:fldCharType="separate"/>
      </w:r>
      <w:r w:rsidR="00FC71A9">
        <w:rPr>
          <w:rFonts w:cs="Arial"/>
          <w:b/>
          <w:noProof/>
          <w:color w:val="1F497D" w:themeColor="text2"/>
          <w:sz w:val="18"/>
          <w:szCs w:val="18"/>
        </w:rPr>
        <w:t>82</w:t>
      </w:r>
      <w:r w:rsidR="00771A61" w:rsidRPr="009F1045">
        <w:rPr>
          <w:rFonts w:cs="Arial"/>
          <w:b/>
          <w:color w:val="1F497D" w:themeColor="text2"/>
          <w:sz w:val="18"/>
          <w:szCs w:val="18"/>
        </w:rPr>
        <w:fldChar w:fldCharType="end"/>
      </w:r>
      <w:r w:rsidRPr="009F1045">
        <w:rPr>
          <w:rFonts w:cs="Arial"/>
          <w:b/>
          <w:color w:val="1F497D" w:themeColor="text2"/>
          <w:sz w:val="18"/>
          <w:szCs w:val="18"/>
        </w:rPr>
        <w:t xml:space="preserve"> </w:t>
      </w:r>
      <w:r w:rsidR="00D508DF">
        <w:rPr>
          <w:rFonts w:cs="Arial"/>
          <w:b/>
          <w:color w:val="1F497D" w:themeColor="text2"/>
          <w:sz w:val="18"/>
          <w:szCs w:val="18"/>
        </w:rPr>
        <w:t xml:space="preserve"> </w:t>
      </w:r>
      <w:r w:rsidR="00D371EB">
        <w:rPr>
          <w:rFonts w:cs="Arial"/>
          <w:b/>
          <w:color w:val="1F497D" w:themeColor="text2"/>
          <w:sz w:val="18"/>
          <w:szCs w:val="18"/>
        </w:rPr>
        <w:t>DISTRIBUCIÓN COMARCAL</w:t>
      </w:r>
      <w:r w:rsidR="00D371EB" w:rsidRPr="004D1CBD">
        <w:rPr>
          <w:rFonts w:cs="Arial"/>
          <w:b/>
          <w:color w:val="1F497D" w:themeColor="text2"/>
          <w:sz w:val="18"/>
          <w:szCs w:val="18"/>
        </w:rPr>
        <w:t xml:space="preserve"> </w:t>
      </w:r>
      <w:r w:rsidR="00D371EB">
        <w:rPr>
          <w:rFonts w:cs="Arial"/>
          <w:b/>
          <w:color w:val="1F497D" w:themeColor="text2"/>
          <w:sz w:val="18"/>
          <w:szCs w:val="18"/>
        </w:rPr>
        <w:t>DEL VAB Y PRODUCTIVIDAD APARENTE (Euros/Empleado)</w:t>
      </w:r>
      <w:bookmarkEnd w:id="272"/>
    </w:p>
    <w:p w:rsidR="00D371EB" w:rsidRDefault="00D371EB" w:rsidP="00D371EB">
      <w:pPr>
        <w:spacing w:line="240" w:lineRule="auto"/>
        <w:jc w:val="center"/>
        <w:rPr>
          <w:rFonts w:cs="Arial"/>
          <w:b/>
          <w:noProof/>
          <w:color w:val="1F497D" w:themeColor="text2"/>
          <w:sz w:val="18"/>
          <w:szCs w:val="18"/>
        </w:rPr>
      </w:pPr>
      <w:r w:rsidRPr="004D1CBD">
        <w:rPr>
          <w:rFonts w:cs="Arial"/>
          <w:b/>
          <w:color w:val="1F497D" w:themeColor="text2"/>
          <w:sz w:val="18"/>
          <w:szCs w:val="18"/>
        </w:rPr>
        <w:t xml:space="preserve">DE </w:t>
      </w:r>
      <w:r>
        <w:rPr>
          <w:rFonts w:cs="Arial"/>
          <w:b/>
          <w:color w:val="1F497D" w:themeColor="text2"/>
          <w:sz w:val="18"/>
          <w:szCs w:val="18"/>
        </w:rPr>
        <w:t xml:space="preserve">LAS FCES DE </w:t>
      </w:r>
      <w:r w:rsidRPr="004D1CBD">
        <w:rPr>
          <w:rFonts w:cs="Arial"/>
          <w:b/>
          <w:color w:val="1F497D" w:themeColor="text2"/>
          <w:sz w:val="18"/>
          <w:szCs w:val="18"/>
        </w:rPr>
        <w:t>LA ECONOMÍA SOCIAL</w:t>
      </w:r>
      <w:r>
        <w:rPr>
          <w:rFonts w:cs="Arial"/>
          <w:b/>
          <w:color w:val="1F497D" w:themeColor="text2"/>
          <w:sz w:val="18"/>
          <w:szCs w:val="18"/>
        </w:rPr>
        <w:t xml:space="preserve"> EN 2014</w:t>
      </w:r>
      <w:r w:rsidRPr="004D1CBD">
        <w:rPr>
          <w:rFonts w:cs="Arial"/>
          <w:b/>
          <w:color w:val="1F497D" w:themeColor="text2"/>
          <w:sz w:val="18"/>
          <w:szCs w:val="18"/>
        </w:rPr>
        <w:t xml:space="preserve"> </w:t>
      </w:r>
      <w:r w:rsidRPr="004D1CBD">
        <w:rPr>
          <w:rFonts w:cs="Arial"/>
          <w:b/>
          <w:noProof/>
          <w:color w:val="1F497D" w:themeColor="text2"/>
          <w:sz w:val="18"/>
          <w:szCs w:val="18"/>
        </w:rPr>
        <w:t>(</w:t>
      </w:r>
      <w:r>
        <w:rPr>
          <w:rFonts w:cs="Arial"/>
          <w:b/>
          <w:noProof/>
          <w:color w:val="1F497D" w:themeColor="text2"/>
          <w:sz w:val="18"/>
          <w:szCs w:val="18"/>
        </w:rPr>
        <w:t>cifras absolutas y % verticales</w:t>
      </w:r>
      <w:r w:rsidRPr="004D1CBD">
        <w:rPr>
          <w:rFonts w:cs="Arial"/>
          <w:b/>
          <w:noProof/>
          <w:color w:val="1F497D" w:themeColor="text2"/>
          <w:sz w:val="18"/>
          <w:szCs w:val="18"/>
        </w:rPr>
        <w:t>)</w:t>
      </w:r>
    </w:p>
    <w:tbl>
      <w:tblPr>
        <w:tblW w:w="9940" w:type="dxa"/>
        <w:jc w:val="center"/>
        <w:tblCellMar>
          <w:left w:w="70" w:type="dxa"/>
          <w:right w:w="70" w:type="dxa"/>
        </w:tblCellMar>
        <w:tblLook w:val="04A0" w:firstRow="1" w:lastRow="0" w:firstColumn="1" w:lastColumn="0" w:noHBand="0" w:noVBand="1"/>
      </w:tblPr>
      <w:tblGrid>
        <w:gridCol w:w="2359"/>
        <w:gridCol w:w="2581"/>
        <w:gridCol w:w="2582"/>
        <w:gridCol w:w="2418"/>
      </w:tblGrid>
      <w:tr w:rsidR="00D371EB" w:rsidRPr="009D0529" w:rsidTr="00D86960">
        <w:trPr>
          <w:jc w:val="center"/>
        </w:trPr>
        <w:tc>
          <w:tcPr>
            <w:tcW w:w="2359" w:type="dxa"/>
            <w:vMerge w:val="restart"/>
            <w:tcBorders>
              <w:top w:val="single" w:sz="8" w:space="0" w:color="BFBFBF"/>
              <w:left w:val="nil"/>
              <w:bottom w:val="single" w:sz="8" w:space="0" w:color="BFBFBF"/>
              <w:right w:val="single" w:sz="8" w:space="0" w:color="BFBFBF"/>
            </w:tcBorders>
            <w:shd w:val="clear" w:color="000000" w:fill="DBE5F1"/>
            <w:hideMark/>
          </w:tcPr>
          <w:p w:rsidR="00D371EB" w:rsidRPr="009D0529" w:rsidRDefault="00D371EB" w:rsidP="00D86960">
            <w:pPr>
              <w:spacing w:line="240" w:lineRule="exact"/>
              <w:jc w:val="left"/>
              <w:rPr>
                <w:rFonts w:ascii="Calibri" w:eastAsia="Times New Roman" w:hAnsi="Calibri" w:cs="Times New Roman"/>
                <w:color w:val="000000"/>
                <w:sz w:val="22"/>
                <w:lang w:eastAsia="es-ES"/>
              </w:rPr>
            </w:pPr>
            <w:r w:rsidRPr="009D0529">
              <w:rPr>
                <w:rFonts w:ascii="Calibri" w:eastAsia="Times New Roman" w:hAnsi="Calibri" w:cs="Times New Roman"/>
                <w:color w:val="000000"/>
                <w:sz w:val="22"/>
                <w:lang w:eastAsia="es-ES"/>
              </w:rPr>
              <w:t> </w:t>
            </w:r>
          </w:p>
        </w:tc>
        <w:tc>
          <w:tcPr>
            <w:tcW w:w="5163" w:type="dxa"/>
            <w:gridSpan w:val="2"/>
            <w:tcBorders>
              <w:top w:val="single" w:sz="8" w:space="0" w:color="BFBFBF"/>
              <w:left w:val="nil"/>
              <w:bottom w:val="single" w:sz="8" w:space="0" w:color="BFBFBF"/>
              <w:right w:val="single" w:sz="4" w:space="0" w:color="BFBFBF" w:themeColor="background1" w:themeShade="BF"/>
            </w:tcBorders>
            <w:shd w:val="clear" w:color="000000" w:fill="DBE5F1"/>
            <w:hideMark/>
          </w:tcPr>
          <w:p w:rsidR="00D371EB" w:rsidRPr="009D0529" w:rsidRDefault="00D371EB" w:rsidP="00D86960">
            <w:pPr>
              <w:spacing w:line="240" w:lineRule="exact"/>
              <w:jc w:val="center"/>
              <w:rPr>
                <w:rFonts w:eastAsia="Times New Roman" w:cs="Arial"/>
                <w:b/>
                <w:bCs/>
                <w:color w:val="000000"/>
                <w:sz w:val="16"/>
                <w:szCs w:val="16"/>
                <w:lang w:eastAsia="es-ES"/>
              </w:rPr>
            </w:pPr>
            <w:r w:rsidRPr="009D0529">
              <w:rPr>
                <w:rFonts w:eastAsia="Times New Roman" w:cs="Arial"/>
                <w:b/>
                <w:bCs/>
                <w:color w:val="000000"/>
                <w:sz w:val="16"/>
                <w:szCs w:val="16"/>
                <w:lang w:eastAsia="es-ES"/>
              </w:rPr>
              <w:t>VAB</w:t>
            </w:r>
          </w:p>
        </w:tc>
        <w:tc>
          <w:tcPr>
            <w:tcW w:w="2418" w:type="dxa"/>
            <w:vMerge w:val="restart"/>
            <w:tcBorders>
              <w:top w:val="single" w:sz="8" w:space="0" w:color="BFBFBF"/>
              <w:left w:val="single" w:sz="4" w:space="0" w:color="BFBFBF" w:themeColor="background1" w:themeShade="BF"/>
              <w:bottom w:val="single" w:sz="4" w:space="0" w:color="BFBFBF" w:themeColor="background1" w:themeShade="BF"/>
            </w:tcBorders>
            <w:shd w:val="clear" w:color="000000" w:fill="DBE5F1"/>
            <w:vAlign w:val="center"/>
            <w:hideMark/>
          </w:tcPr>
          <w:p w:rsidR="00D371EB" w:rsidRPr="009D0529" w:rsidRDefault="00D371EB" w:rsidP="00D86960">
            <w:pPr>
              <w:spacing w:line="240" w:lineRule="exact"/>
              <w:jc w:val="center"/>
              <w:rPr>
                <w:rFonts w:eastAsia="Times New Roman" w:cs="Arial"/>
                <w:b/>
                <w:bCs/>
                <w:color w:val="000000"/>
                <w:sz w:val="16"/>
                <w:szCs w:val="16"/>
                <w:lang w:eastAsia="es-ES"/>
              </w:rPr>
            </w:pPr>
            <w:r w:rsidRPr="009D0529">
              <w:rPr>
                <w:rFonts w:eastAsia="Times New Roman" w:cs="Arial"/>
                <w:b/>
                <w:bCs/>
                <w:color w:val="000000"/>
                <w:sz w:val="16"/>
                <w:szCs w:val="16"/>
                <w:lang w:eastAsia="es-ES"/>
              </w:rPr>
              <w:t>Productividad aparente</w:t>
            </w:r>
          </w:p>
        </w:tc>
      </w:tr>
      <w:tr w:rsidR="00D371EB" w:rsidRPr="009D0529" w:rsidTr="00D86960">
        <w:trPr>
          <w:jc w:val="center"/>
        </w:trPr>
        <w:tc>
          <w:tcPr>
            <w:tcW w:w="2359" w:type="dxa"/>
            <w:vMerge/>
            <w:tcBorders>
              <w:top w:val="single" w:sz="8" w:space="0" w:color="BFBFBF"/>
              <w:left w:val="nil"/>
              <w:bottom w:val="single" w:sz="8" w:space="0" w:color="BFBFBF"/>
              <w:right w:val="single" w:sz="8" w:space="0" w:color="BFBFBF"/>
            </w:tcBorders>
            <w:vAlign w:val="center"/>
            <w:hideMark/>
          </w:tcPr>
          <w:p w:rsidR="00D371EB" w:rsidRPr="009D0529" w:rsidRDefault="00D371EB" w:rsidP="00D86960">
            <w:pPr>
              <w:spacing w:line="240" w:lineRule="exact"/>
              <w:jc w:val="left"/>
              <w:rPr>
                <w:rFonts w:ascii="Calibri" w:eastAsia="Times New Roman" w:hAnsi="Calibri" w:cs="Times New Roman"/>
                <w:color w:val="000000"/>
                <w:sz w:val="22"/>
                <w:lang w:eastAsia="es-ES"/>
              </w:rPr>
            </w:pPr>
          </w:p>
        </w:tc>
        <w:tc>
          <w:tcPr>
            <w:tcW w:w="2581" w:type="dxa"/>
            <w:tcBorders>
              <w:top w:val="nil"/>
              <w:left w:val="nil"/>
              <w:bottom w:val="single" w:sz="8" w:space="0" w:color="BFBFBF"/>
              <w:right w:val="single" w:sz="4" w:space="0" w:color="BFBFBF" w:themeColor="background1" w:themeShade="BF"/>
            </w:tcBorders>
            <w:shd w:val="clear" w:color="000000" w:fill="DBE5F1"/>
            <w:vAlign w:val="bottom"/>
            <w:hideMark/>
          </w:tcPr>
          <w:p w:rsidR="00D371EB" w:rsidRPr="009D0529" w:rsidRDefault="00D371EB" w:rsidP="00D86960">
            <w:pPr>
              <w:spacing w:line="240" w:lineRule="exact"/>
              <w:jc w:val="center"/>
              <w:rPr>
                <w:rFonts w:eastAsia="Times New Roman" w:cs="Arial"/>
                <w:b/>
                <w:bCs/>
                <w:color w:val="000000"/>
                <w:sz w:val="16"/>
                <w:szCs w:val="16"/>
                <w:lang w:eastAsia="es-ES"/>
              </w:rPr>
            </w:pPr>
            <w:proofErr w:type="spellStart"/>
            <w:r w:rsidRPr="009D0529">
              <w:rPr>
                <w:rFonts w:eastAsia="Times New Roman" w:cs="Arial"/>
                <w:b/>
                <w:bCs/>
                <w:color w:val="000000"/>
                <w:sz w:val="16"/>
                <w:szCs w:val="16"/>
                <w:lang w:eastAsia="es-ES"/>
              </w:rPr>
              <w:t>Abs</w:t>
            </w:r>
            <w:proofErr w:type="spellEnd"/>
            <w:r w:rsidRPr="009D0529">
              <w:rPr>
                <w:rFonts w:eastAsia="Times New Roman" w:cs="Arial"/>
                <w:b/>
                <w:bCs/>
                <w:color w:val="000000"/>
                <w:sz w:val="16"/>
                <w:szCs w:val="16"/>
                <w:lang w:eastAsia="es-ES"/>
              </w:rPr>
              <w:t>.</w:t>
            </w:r>
          </w:p>
        </w:tc>
        <w:tc>
          <w:tcPr>
            <w:tcW w:w="2582" w:type="dxa"/>
            <w:tcBorders>
              <w:top w:val="nil"/>
              <w:left w:val="single" w:sz="4" w:space="0" w:color="BFBFBF" w:themeColor="background1" w:themeShade="BF"/>
              <w:bottom w:val="single" w:sz="8" w:space="0" w:color="BFBFBF"/>
              <w:right w:val="single" w:sz="4" w:space="0" w:color="BFBFBF" w:themeColor="background1" w:themeShade="BF"/>
            </w:tcBorders>
            <w:shd w:val="clear" w:color="000000" w:fill="DBE5F1"/>
            <w:vAlign w:val="bottom"/>
            <w:hideMark/>
          </w:tcPr>
          <w:p w:rsidR="00D371EB" w:rsidRPr="009D0529" w:rsidRDefault="00D371EB" w:rsidP="00D86960">
            <w:pPr>
              <w:spacing w:line="240" w:lineRule="exact"/>
              <w:jc w:val="center"/>
              <w:rPr>
                <w:rFonts w:eastAsia="Times New Roman" w:cs="Arial"/>
                <w:b/>
                <w:bCs/>
                <w:color w:val="000000"/>
                <w:sz w:val="16"/>
                <w:szCs w:val="16"/>
                <w:lang w:eastAsia="es-ES"/>
              </w:rPr>
            </w:pPr>
            <w:r w:rsidRPr="009D0529">
              <w:rPr>
                <w:rFonts w:eastAsia="Times New Roman" w:cs="Arial"/>
                <w:b/>
                <w:bCs/>
                <w:color w:val="000000"/>
                <w:sz w:val="16"/>
                <w:szCs w:val="16"/>
                <w:lang w:eastAsia="es-ES"/>
              </w:rPr>
              <w:t>% ver.</w:t>
            </w:r>
          </w:p>
        </w:tc>
        <w:tc>
          <w:tcPr>
            <w:tcW w:w="2418" w:type="dxa"/>
            <w:vMerge/>
            <w:tcBorders>
              <w:top w:val="nil"/>
              <w:left w:val="single" w:sz="4" w:space="0" w:color="BFBFBF" w:themeColor="background1" w:themeShade="BF"/>
              <w:bottom w:val="single" w:sz="4" w:space="0" w:color="BFBFBF" w:themeColor="background1" w:themeShade="BF"/>
            </w:tcBorders>
            <w:vAlign w:val="center"/>
            <w:hideMark/>
          </w:tcPr>
          <w:p w:rsidR="00D371EB" w:rsidRPr="009D0529" w:rsidRDefault="00D371EB" w:rsidP="00D86960">
            <w:pPr>
              <w:spacing w:line="240" w:lineRule="exact"/>
              <w:jc w:val="left"/>
              <w:rPr>
                <w:rFonts w:eastAsia="Times New Roman" w:cs="Arial"/>
                <w:b/>
                <w:bCs/>
                <w:color w:val="000000"/>
                <w:sz w:val="16"/>
                <w:szCs w:val="16"/>
                <w:lang w:eastAsia="es-ES"/>
              </w:rPr>
            </w:pP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Gasteiz</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265.020.583</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10,1</w:t>
            </w:r>
          </w:p>
        </w:tc>
        <w:tc>
          <w:tcPr>
            <w:tcW w:w="2418" w:type="dxa"/>
            <w:tcBorders>
              <w:top w:val="single" w:sz="4" w:space="0" w:color="BFBFBF" w:themeColor="background1" w:themeShade="BF"/>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53.068</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Ayala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30.996.741</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1,2</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53.721</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M. Derecha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136.529.998</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5,2</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41.524</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Bilbao</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180.760.881</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6,9</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43.348</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M. Izquierda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172.425.457</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6,6</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39.784</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proofErr w:type="spellStart"/>
            <w:r w:rsidRPr="009D0529">
              <w:rPr>
                <w:rFonts w:eastAsia="Times New Roman" w:cs="Arial"/>
                <w:color w:val="000000"/>
                <w:sz w:val="16"/>
                <w:szCs w:val="16"/>
                <w:lang w:eastAsia="es-ES"/>
              </w:rPr>
              <w:t>Bizkaia</w:t>
            </w:r>
            <w:proofErr w:type="spellEnd"/>
            <w:r w:rsidRPr="009D0529">
              <w:rPr>
                <w:rFonts w:eastAsia="Times New Roman" w:cs="Arial"/>
                <w:color w:val="000000"/>
                <w:sz w:val="16"/>
                <w:szCs w:val="16"/>
                <w:lang w:eastAsia="es-ES"/>
              </w:rPr>
              <w:t xml:space="preserve"> – Costa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206.533.673</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7,9</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49.093</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proofErr w:type="spellStart"/>
            <w:r w:rsidRPr="009D0529">
              <w:rPr>
                <w:rFonts w:eastAsia="Times New Roman" w:cs="Arial"/>
                <w:color w:val="000000"/>
                <w:sz w:val="16"/>
                <w:szCs w:val="16"/>
                <w:lang w:eastAsia="es-ES"/>
              </w:rPr>
              <w:t>Duranguesado</w:t>
            </w:r>
            <w:proofErr w:type="spellEnd"/>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223.682.626</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8,6</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42.085</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proofErr w:type="spellStart"/>
            <w:r w:rsidRPr="009D0529">
              <w:rPr>
                <w:rFonts w:eastAsia="Times New Roman" w:cs="Arial"/>
                <w:color w:val="000000"/>
                <w:sz w:val="16"/>
                <w:szCs w:val="16"/>
                <w:lang w:eastAsia="es-ES"/>
              </w:rPr>
              <w:t>Donostialdea</w:t>
            </w:r>
            <w:proofErr w:type="spellEnd"/>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379.838.176</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14,5</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39.678</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 xml:space="preserve">Tolosa – </w:t>
            </w:r>
            <w:proofErr w:type="spellStart"/>
            <w:r w:rsidRPr="009D0529">
              <w:rPr>
                <w:rFonts w:eastAsia="Times New Roman" w:cs="Arial"/>
                <w:color w:val="000000"/>
                <w:sz w:val="16"/>
                <w:szCs w:val="16"/>
                <w:lang w:eastAsia="es-ES"/>
              </w:rPr>
              <w:t>Goierri</w:t>
            </w:r>
            <w:proofErr w:type="spellEnd"/>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288.364.424</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11,0</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52.650</w:t>
            </w:r>
          </w:p>
        </w:tc>
      </w:tr>
      <w:tr w:rsidR="00D371EB" w:rsidRPr="009D0529" w:rsidTr="00D86960">
        <w:trPr>
          <w:jc w:val="center"/>
        </w:trPr>
        <w:tc>
          <w:tcPr>
            <w:tcW w:w="2359" w:type="dxa"/>
            <w:tcBorders>
              <w:top w:val="nil"/>
              <w:left w:val="nil"/>
              <w:bottom w:val="nil"/>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Alto Deba</w:t>
            </w:r>
          </w:p>
        </w:tc>
        <w:tc>
          <w:tcPr>
            <w:tcW w:w="2581" w:type="dxa"/>
            <w:tcBorders>
              <w:top w:val="nil"/>
              <w:left w:val="nil"/>
              <w:bottom w:val="nil"/>
              <w:right w:val="single" w:sz="4" w:space="0" w:color="BFBFBF" w:themeColor="background1" w:themeShade="BF"/>
            </w:tcBorders>
            <w:shd w:val="clear" w:color="auto" w:fill="auto"/>
            <w:noWrap/>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629.788.498</w:t>
            </w:r>
          </w:p>
        </w:tc>
        <w:tc>
          <w:tcPr>
            <w:tcW w:w="2582" w:type="dxa"/>
            <w:tcBorders>
              <w:top w:val="nil"/>
              <w:left w:val="single" w:sz="4" w:space="0" w:color="BFBFBF" w:themeColor="background1" w:themeShade="BF"/>
              <w:bottom w:val="nil"/>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24,1</w:t>
            </w:r>
          </w:p>
        </w:tc>
        <w:tc>
          <w:tcPr>
            <w:tcW w:w="2418" w:type="dxa"/>
            <w:tcBorders>
              <w:left w:val="single" w:sz="4" w:space="0" w:color="BFBFBF" w:themeColor="background1" w:themeShade="BF"/>
              <w:bottom w:val="nil"/>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57.005</w:t>
            </w:r>
          </w:p>
        </w:tc>
      </w:tr>
      <w:tr w:rsidR="00D371EB" w:rsidRPr="009D0529" w:rsidTr="00D86960">
        <w:trPr>
          <w:jc w:val="center"/>
        </w:trPr>
        <w:tc>
          <w:tcPr>
            <w:tcW w:w="2359" w:type="dxa"/>
            <w:tcBorders>
              <w:top w:val="nil"/>
              <w:left w:val="nil"/>
              <w:bottom w:val="single" w:sz="4" w:space="0" w:color="BFBFBF" w:themeColor="background1" w:themeShade="BF"/>
              <w:right w:val="single" w:sz="8" w:space="0" w:color="BFBFBF"/>
            </w:tcBorders>
            <w:shd w:val="clear" w:color="auto" w:fill="auto"/>
            <w:hideMark/>
          </w:tcPr>
          <w:p w:rsidR="00D371EB" w:rsidRPr="009D0529" w:rsidRDefault="00D371EB" w:rsidP="00D86960">
            <w:pPr>
              <w:spacing w:line="240" w:lineRule="exact"/>
              <w:rPr>
                <w:rFonts w:eastAsia="Times New Roman" w:cs="Arial"/>
                <w:color w:val="000000"/>
                <w:sz w:val="16"/>
                <w:szCs w:val="16"/>
                <w:lang w:eastAsia="es-ES"/>
              </w:rPr>
            </w:pPr>
            <w:r w:rsidRPr="009D0529">
              <w:rPr>
                <w:rFonts w:eastAsia="Times New Roman" w:cs="Arial"/>
                <w:color w:val="000000"/>
                <w:sz w:val="16"/>
                <w:szCs w:val="16"/>
                <w:lang w:eastAsia="es-ES"/>
              </w:rPr>
              <w:t>Bajo Deba</w:t>
            </w:r>
          </w:p>
        </w:tc>
        <w:tc>
          <w:tcPr>
            <w:tcW w:w="2581"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101.187.209</w:t>
            </w:r>
          </w:p>
        </w:tc>
        <w:tc>
          <w:tcPr>
            <w:tcW w:w="258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3,9</w:t>
            </w:r>
          </w:p>
        </w:tc>
        <w:tc>
          <w:tcPr>
            <w:tcW w:w="2418" w:type="dxa"/>
            <w:tcBorders>
              <w:left w:val="single" w:sz="4" w:space="0" w:color="BFBFBF" w:themeColor="background1" w:themeShade="BF"/>
              <w:bottom w:val="single" w:sz="4" w:space="0" w:color="BFBFBF" w:themeColor="background1" w:themeShade="BF"/>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color w:val="000000"/>
                <w:sz w:val="16"/>
                <w:szCs w:val="16"/>
                <w:lang w:eastAsia="es-ES"/>
              </w:rPr>
            </w:pPr>
            <w:r w:rsidRPr="009D0529">
              <w:rPr>
                <w:rFonts w:eastAsia="Times New Roman" w:cs="Arial"/>
                <w:color w:val="000000"/>
                <w:sz w:val="16"/>
                <w:szCs w:val="16"/>
                <w:lang w:eastAsia="es-ES"/>
              </w:rPr>
              <w:t>63.203</w:t>
            </w:r>
          </w:p>
        </w:tc>
      </w:tr>
      <w:tr w:rsidR="00D371EB" w:rsidRPr="009D0529" w:rsidTr="00D86960">
        <w:trPr>
          <w:jc w:val="center"/>
        </w:trPr>
        <w:tc>
          <w:tcPr>
            <w:tcW w:w="2359" w:type="dxa"/>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rsidR="00D371EB" w:rsidRPr="009D0529" w:rsidRDefault="00D371EB" w:rsidP="00D86960">
            <w:pPr>
              <w:spacing w:line="240" w:lineRule="exact"/>
              <w:rPr>
                <w:rFonts w:eastAsia="Times New Roman" w:cs="Arial"/>
                <w:b/>
                <w:bCs/>
                <w:color w:val="000000"/>
                <w:sz w:val="16"/>
                <w:szCs w:val="16"/>
                <w:lang w:eastAsia="es-ES"/>
              </w:rPr>
            </w:pPr>
            <w:r w:rsidRPr="009D0529">
              <w:rPr>
                <w:rFonts w:eastAsia="Times New Roman" w:cs="Arial"/>
                <w:b/>
                <w:bCs/>
                <w:color w:val="000000"/>
                <w:sz w:val="16"/>
                <w:szCs w:val="16"/>
                <w:lang w:eastAsia="es-ES"/>
              </w:rPr>
              <w:t>TOTAL</w:t>
            </w:r>
          </w:p>
        </w:tc>
        <w:tc>
          <w:tcPr>
            <w:tcW w:w="258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b/>
                <w:color w:val="000000"/>
                <w:sz w:val="16"/>
                <w:szCs w:val="16"/>
                <w:lang w:eastAsia="es-ES"/>
              </w:rPr>
            </w:pPr>
            <w:r w:rsidRPr="009D0529">
              <w:rPr>
                <w:rFonts w:eastAsia="Times New Roman" w:cs="Arial"/>
                <w:b/>
                <w:color w:val="000000"/>
                <w:sz w:val="16"/>
                <w:szCs w:val="16"/>
                <w:lang w:eastAsia="es-ES"/>
              </w:rPr>
              <w:t>2.615.128.266</w:t>
            </w:r>
          </w:p>
        </w:tc>
        <w:tc>
          <w:tcPr>
            <w:tcW w:w="25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D371EB" w:rsidRPr="009D0529" w:rsidRDefault="00D371EB" w:rsidP="00D86960">
            <w:pPr>
              <w:tabs>
                <w:tab w:val="left" w:pos="2009"/>
              </w:tabs>
              <w:spacing w:line="240" w:lineRule="exact"/>
              <w:ind w:right="155"/>
              <w:jc w:val="right"/>
              <w:rPr>
                <w:rFonts w:eastAsia="Times New Roman" w:cs="Arial"/>
                <w:b/>
                <w:color w:val="000000"/>
                <w:sz w:val="16"/>
                <w:szCs w:val="16"/>
                <w:lang w:eastAsia="es-ES"/>
              </w:rPr>
            </w:pPr>
            <w:r w:rsidRPr="009D0529">
              <w:rPr>
                <w:rFonts w:eastAsia="Times New Roman" w:cs="Arial"/>
                <w:b/>
                <w:color w:val="000000"/>
                <w:sz w:val="16"/>
                <w:szCs w:val="16"/>
                <w:lang w:eastAsia="es-ES"/>
              </w:rPr>
              <w:t>100</w:t>
            </w:r>
            <w:r>
              <w:rPr>
                <w:rFonts w:eastAsia="Times New Roman" w:cs="Arial"/>
                <w:b/>
                <w:color w:val="000000"/>
                <w:sz w:val="16"/>
                <w:szCs w:val="16"/>
                <w:lang w:eastAsia="es-ES"/>
              </w:rPr>
              <w:t>,0</w:t>
            </w:r>
          </w:p>
        </w:tc>
        <w:tc>
          <w:tcPr>
            <w:tcW w:w="241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rsidR="00D371EB" w:rsidRPr="009D0529" w:rsidRDefault="00D371EB" w:rsidP="00D86960">
            <w:pPr>
              <w:tabs>
                <w:tab w:val="left" w:pos="2009"/>
              </w:tabs>
              <w:spacing w:line="240" w:lineRule="exact"/>
              <w:ind w:right="155"/>
              <w:jc w:val="right"/>
              <w:rPr>
                <w:rFonts w:eastAsia="Times New Roman" w:cs="Arial"/>
                <w:b/>
                <w:color w:val="000000"/>
                <w:sz w:val="16"/>
                <w:szCs w:val="16"/>
                <w:lang w:eastAsia="es-ES"/>
              </w:rPr>
            </w:pPr>
            <w:r w:rsidRPr="009D0529">
              <w:rPr>
                <w:rFonts w:eastAsia="Times New Roman" w:cs="Arial"/>
                <w:b/>
                <w:color w:val="000000"/>
                <w:sz w:val="16"/>
                <w:szCs w:val="16"/>
                <w:lang w:eastAsia="es-ES"/>
              </w:rPr>
              <w:t>47.912</w:t>
            </w:r>
          </w:p>
        </w:tc>
      </w:tr>
    </w:tbl>
    <w:p w:rsidR="00D371EB" w:rsidRDefault="00D371EB" w:rsidP="00D371EB"/>
    <w:p w:rsidR="00A917B1" w:rsidRDefault="00A917B1">
      <w:pPr>
        <w:spacing w:after="200" w:line="276" w:lineRule="auto"/>
        <w:jc w:val="left"/>
        <w:rPr>
          <w:rFonts w:cs="Arial"/>
          <w:b/>
          <w:color w:val="1F497D" w:themeColor="text2"/>
          <w:szCs w:val="26"/>
        </w:rPr>
      </w:pPr>
      <w:r>
        <w:rPr>
          <w:rFonts w:cs="Arial"/>
          <w:b/>
          <w:color w:val="1F497D" w:themeColor="text2"/>
          <w:szCs w:val="26"/>
        </w:rPr>
        <w:br w:type="page"/>
      </w:r>
    </w:p>
    <w:p w:rsidR="00A917B1" w:rsidRDefault="00A917B1" w:rsidP="00A917B1">
      <w:pPr>
        <w:pStyle w:val="Ttulo1"/>
        <w:keepNext w:val="0"/>
        <w:ind w:left="708" w:hanging="708"/>
        <w:rPr>
          <w:color w:val="1F497D" w:themeColor="text2"/>
        </w:rPr>
      </w:pPr>
      <w:bookmarkStart w:id="273" w:name="_Toc450118920"/>
      <w:r w:rsidRPr="00665097">
        <w:rPr>
          <w:color w:val="1F497D" w:themeColor="text2"/>
        </w:rPr>
        <w:lastRenderedPageBreak/>
        <w:t>I</w:t>
      </w:r>
      <w:r>
        <w:rPr>
          <w:color w:val="1F497D" w:themeColor="text2"/>
        </w:rPr>
        <w:t>I</w:t>
      </w:r>
      <w:r w:rsidRPr="00665097">
        <w:rPr>
          <w:color w:val="1F497D" w:themeColor="text2"/>
        </w:rPr>
        <w:t xml:space="preserve">.- </w:t>
      </w:r>
      <w:r w:rsidRPr="00665097">
        <w:rPr>
          <w:color w:val="1F497D" w:themeColor="text2"/>
        </w:rPr>
        <w:tab/>
      </w:r>
      <w:r>
        <w:rPr>
          <w:color w:val="1F497D" w:themeColor="text2"/>
        </w:rPr>
        <w:t>AVANCE DE CUENTAS DE LA ECONOMÍA SOCIAL 2015</w:t>
      </w:r>
      <w:bookmarkEnd w:id="273"/>
    </w:p>
    <w:p w:rsidR="00CC34D8" w:rsidRDefault="00CC34D8" w:rsidP="00CC34D8">
      <w:pPr>
        <w:rPr>
          <w:lang w:eastAsia="es-ES"/>
        </w:rPr>
      </w:pPr>
    </w:p>
    <w:p w:rsidR="00155B71" w:rsidRPr="008D5779" w:rsidRDefault="008D5779" w:rsidP="008D5779">
      <w:pPr>
        <w:spacing w:line="240" w:lineRule="auto"/>
        <w:jc w:val="center"/>
        <w:rPr>
          <w:rFonts w:cs="Arial"/>
          <w:b/>
          <w:color w:val="1F497D" w:themeColor="text2"/>
          <w:sz w:val="18"/>
          <w:szCs w:val="18"/>
        </w:rPr>
      </w:pPr>
      <w:bookmarkStart w:id="274" w:name="_Toc391999672"/>
      <w:bookmarkStart w:id="275" w:name="_Toc391999671"/>
      <w:bookmarkStart w:id="276" w:name="_Toc450120176"/>
      <w:r w:rsidRPr="008D5779">
        <w:rPr>
          <w:rFonts w:cs="Arial"/>
          <w:b/>
          <w:color w:val="1F497D" w:themeColor="text2"/>
          <w:sz w:val="18"/>
          <w:szCs w:val="18"/>
        </w:rPr>
        <w:t>Gráfico 2.</w:t>
      </w:r>
      <w:r w:rsidR="00771A61" w:rsidRPr="008D5779">
        <w:rPr>
          <w:rFonts w:cs="Arial"/>
          <w:b/>
          <w:color w:val="1F497D" w:themeColor="text2"/>
          <w:sz w:val="18"/>
          <w:szCs w:val="18"/>
        </w:rPr>
        <w:fldChar w:fldCharType="begin"/>
      </w:r>
      <w:r w:rsidRPr="008D5779">
        <w:rPr>
          <w:rFonts w:cs="Arial"/>
          <w:b/>
          <w:color w:val="1F497D" w:themeColor="text2"/>
          <w:sz w:val="18"/>
          <w:szCs w:val="18"/>
        </w:rPr>
        <w:instrText xml:space="preserve"> SEQ Gráfico_2. \* ARABIC </w:instrText>
      </w:r>
      <w:r w:rsidR="00771A61" w:rsidRPr="008D5779">
        <w:rPr>
          <w:rFonts w:cs="Arial"/>
          <w:b/>
          <w:color w:val="1F497D" w:themeColor="text2"/>
          <w:sz w:val="18"/>
          <w:szCs w:val="18"/>
        </w:rPr>
        <w:fldChar w:fldCharType="separate"/>
      </w:r>
      <w:r w:rsidR="00FC71A9">
        <w:rPr>
          <w:rFonts w:cs="Arial"/>
          <w:b/>
          <w:noProof/>
          <w:color w:val="1F497D" w:themeColor="text2"/>
          <w:sz w:val="18"/>
          <w:szCs w:val="18"/>
        </w:rPr>
        <w:t>1</w:t>
      </w:r>
      <w:r w:rsidR="00771A61" w:rsidRPr="008D5779">
        <w:rPr>
          <w:rFonts w:cs="Arial"/>
          <w:b/>
          <w:color w:val="1F497D" w:themeColor="text2"/>
          <w:sz w:val="18"/>
          <w:szCs w:val="18"/>
        </w:rPr>
        <w:fldChar w:fldCharType="end"/>
      </w:r>
      <w:r>
        <w:rPr>
          <w:rFonts w:cs="Arial"/>
          <w:b/>
          <w:color w:val="1F497D" w:themeColor="text2"/>
          <w:sz w:val="18"/>
          <w:szCs w:val="18"/>
        </w:rPr>
        <w:t xml:space="preserve"> </w:t>
      </w:r>
      <w:r w:rsidR="00155B71" w:rsidRPr="008D5779">
        <w:rPr>
          <w:rFonts w:cs="Arial"/>
          <w:b/>
          <w:color w:val="1F497D" w:themeColor="text2"/>
          <w:sz w:val="18"/>
          <w:szCs w:val="18"/>
        </w:rPr>
        <w:t>EVOLUCIÓN DE LOS EMPLEOS EN LA CAE EN LA ECONOMÍA SOCIAL 1994-201</w:t>
      </w:r>
      <w:bookmarkEnd w:id="274"/>
      <w:bookmarkEnd w:id="275"/>
      <w:r w:rsidR="00155B71" w:rsidRPr="008D5779">
        <w:rPr>
          <w:rFonts w:cs="Arial"/>
          <w:b/>
          <w:color w:val="1F497D" w:themeColor="text2"/>
          <w:sz w:val="18"/>
          <w:szCs w:val="18"/>
        </w:rPr>
        <w:t>5</w:t>
      </w:r>
      <w:bookmarkEnd w:id="276"/>
    </w:p>
    <w:p w:rsidR="00155B71" w:rsidRDefault="00541027" w:rsidP="00155B71">
      <w:pPr>
        <w:rPr>
          <w:rFonts w:ascii="Arial Black" w:hAnsi="Arial Black" w:cs="Arial"/>
          <w:b/>
          <w:color w:val="1F497D"/>
          <w:w w:val="90"/>
          <w:szCs w:val="26"/>
        </w:rPr>
      </w:pPr>
      <w:r>
        <w:rPr>
          <w:rFonts w:ascii="Arial Black" w:hAnsi="Arial Black" w:cs="Arial"/>
          <w:b/>
          <w:noProof/>
          <w:color w:val="1F497D"/>
          <w:szCs w:val="26"/>
          <w:lang w:eastAsia="es-ES"/>
        </w:rPr>
        <w:drawing>
          <wp:anchor distT="402336" distB="188976" distL="181356" distR="257556" simplePos="0" relativeHeight="251843584" behindDoc="0" locked="0" layoutInCell="1" allowOverlap="1">
            <wp:simplePos x="0" y="0"/>
            <wp:positionH relativeFrom="column">
              <wp:posOffset>-214630</wp:posOffset>
            </wp:positionH>
            <wp:positionV relativeFrom="paragraph">
              <wp:posOffset>19050</wp:posOffset>
            </wp:positionV>
            <wp:extent cx="5879465" cy="1838960"/>
            <wp:effectExtent l="0" t="0" r="0" b="0"/>
            <wp:wrapNone/>
            <wp:docPr id="77" name="Objet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155B71" w:rsidRDefault="00155B71" w:rsidP="00155B71">
      <w:pPr>
        <w:rPr>
          <w:rFonts w:ascii="Arial Black" w:hAnsi="Arial Black" w:cs="Arial"/>
          <w:b/>
          <w:color w:val="1F497D"/>
          <w:w w:val="90"/>
          <w:szCs w:val="26"/>
        </w:rPr>
      </w:pPr>
    </w:p>
    <w:p w:rsidR="00155B71" w:rsidRDefault="00155B71" w:rsidP="00155B71">
      <w:pPr>
        <w:rPr>
          <w:rFonts w:ascii="Arial Black" w:hAnsi="Arial Black" w:cs="Arial"/>
          <w:b/>
          <w:color w:val="1F497D"/>
          <w:w w:val="90"/>
          <w:szCs w:val="26"/>
        </w:rPr>
      </w:pPr>
    </w:p>
    <w:p w:rsidR="00155B71" w:rsidRDefault="00155B71" w:rsidP="00155B71">
      <w:pPr>
        <w:rPr>
          <w:rFonts w:ascii="Arial Black" w:hAnsi="Arial Black" w:cs="Arial"/>
          <w:b/>
          <w:color w:val="1F497D"/>
          <w:w w:val="90"/>
          <w:szCs w:val="26"/>
        </w:rPr>
      </w:pPr>
    </w:p>
    <w:p w:rsidR="00155B71" w:rsidRDefault="00155B71" w:rsidP="00155B71">
      <w:pPr>
        <w:rPr>
          <w:rFonts w:ascii="Arial Black" w:hAnsi="Arial Black" w:cs="Arial"/>
          <w:b/>
          <w:color w:val="1F497D"/>
          <w:w w:val="90"/>
          <w:szCs w:val="26"/>
        </w:rPr>
      </w:pPr>
    </w:p>
    <w:p w:rsidR="00155B71" w:rsidRDefault="00155B71" w:rsidP="00155B71">
      <w:bookmarkStart w:id="277" w:name="_Toc391565515"/>
    </w:p>
    <w:p w:rsidR="00155B71" w:rsidRDefault="00155B71" w:rsidP="00155B71">
      <w:pPr>
        <w:spacing w:line="312" w:lineRule="auto"/>
        <w:jc w:val="center"/>
        <w:rPr>
          <w:rFonts w:eastAsia="Times New Roman" w:cs="Arial"/>
          <w:b/>
          <w:snapToGrid w:val="0"/>
          <w:color w:val="1F497D" w:themeColor="text2"/>
          <w:sz w:val="18"/>
          <w:szCs w:val="18"/>
          <w:lang w:val="es-ES_tradnl" w:eastAsia="es-ES"/>
        </w:rPr>
      </w:pPr>
    </w:p>
    <w:p w:rsidR="00155B71" w:rsidRDefault="00155B71" w:rsidP="00155B71">
      <w:pPr>
        <w:spacing w:line="312" w:lineRule="auto"/>
        <w:jc w:val="center"/>
        <w:rPr>
          <w:rFonts w:eastAsia="Times New Roman" w:cs="Arial"/>
          <w:b/>
          <w:snapToGrid w:val="0"/>
          <w:color w:val="1F497D" w:themeColor="text2"/>
          <w:sz w:val="18"/>
          <w:szCs w:val="18"/>
          <w:lang w:val="es-ES_tradnl" w:eastAsia="es-ES"/>
        </w:rPr>
      </w:pPr>
    </w:p>
    <w:p w:rsidR="00423E97" w:rsidRDefault="00423E97" w:rsidP="00155B71">
      <w:pPr>
        <w:spacing w:line="312" w:lineRule="auto"/>
        <w:jc w:val="center"/>
        <w:rPr>
          <w:rFonts w:eastAsia="Times New Roman" w:cs="Arial"/>
          <w:b/>
          <w:snapToGrid w:val="0"/>
          <w:color w:val="1F497D" w:themeColor="text2"/>
          <w:sz w:val="18"/>
          <w:szCs w:val="18"/>
          <w:lang w:val="es-ES_tradnl" w:eastAsia="es-ES"/>
        </w:rPr>
      </w:pPr>
      <w:bookmarkStart w:id="278" w:name="_Toc391999673"/>
    </w:p>
    <w:p w:rsidR="00155B71" w:rsidRDefault="008D5779" w:rsidP="00155B71">
      <w:pPr>
        <w:spacing w:line="312" w:lineRule="auto"/>
        <w:jc w:val="center"/>
        <w:rPr>
          <w:rFonts w:eastAsia="Times New Roman" w:cs="Arial"/>
          <w:b/>
          <w:snapToGrid w:val="0"/>
          <w:color w:val="1F497D" w:themeColor="text2"/>
          <w:sz w:val="18"/>
          <w:szCs w:val="18"/>
          <w:lang w:val="es-ES_tradnl" w:eastAsia="es-ES"/>
        </w:rPr>
      </w:pPr>
      <w:bookmarkStart w:id="279" w:name="_Toc450120177"/>
      <w:r w:rsidRPr="008D5779">
        <w:rPr>
          <w:rFonts w:cs="Arial"/>
          <w:b/>
          <w:color w:val="1F497D" w:themeColor="text2"/>
          <w:sz w:val="18"/>
          <w:szCs w:val="18"/>
        </w:rPr>
        <w:t>Gráfico 2.</w:t>
      </w:r>
      <w:r w:rsidR="00771A61" w:rsidRPr="008D5779">
        <w:rPr>
          <w:rFonts w:cs="Arial"/>
          <w:b/>
          <w:color w:val="1F497D" w:themeColor="text2"/>
          <w:sz w:val="18"/>
          <w:szCs w:val="18"/>
        </w:rPr>
        <w:fldChar w:fldCharType="begin"/>
      </w:r>
      <w:r w:rsidRPr="008D5779">
        <w:rPr>
          <w:rFonts w:cs="Arial"/>
          <w:b/>
          <w:color w:val="1F497D" w:themeColor="text2"/>
          <w:sz w:val="18"/>
          <w:szCs w:val="18"/>
        </w:rPr>
        <w:instrText xml:space="preserve"> SEQ Gráfico_2. \* ARABIC </w:instrText>
      </w:r>
      <w:r w:rsidR="00771A61" w:rsidRPr="008D5779">
        <w:rPr>
          <w:rFonts w:cs="Arial"/>
          <w:b/>
          <w:color w:val="1F497D" w:themeColor="text2"/>
          <w:sz w:val="18"/>
          <w:szCs w:val="18"/>
        </w:rPr>
        <w:fldChar w:fldCharType="separate"/>
      </w:r>
      <w:r w:rsidR="00FC71A9">
        <w:rPr>
          <w:rFonts w:cs="Arial"/>
          <w:b/>
          <w:noProof/>
          <w:color w:val="1F497D" w:themeColor="text2"/>
          <w:sz w:val="18"/>
          <w:szCs w:val="18"/>
        </w:rPr>
        <w:t>2</w:t>
      </w:r>
      <w:r w:rsidR="00771A61" w:rsidRPr="008D5779">
        <w:rPr>
          <w:rFonts w:cs="Arial"/>
          <w:b/>
          <w:color w:val="1F497D" w:themeColor="text2"/>
          <w:sz w:val="18"/>
          <w:szCs w:val="18"/>
        </w:rPr>
        <w:fldChar w:fldCharType="end"/>
      </w:r>
      <w:r>
        <w:rPr>
          <w:rFonts w:cs="Arial"/>
          <w:b/>
          <w:color w:val="1F497D" w:themeColor="text2"/>
          <w:sz w:val="18"/>
          <w:szCs w:val="18"/>
        </w:rPr>
        <w:t xml:space="preserve"> </w:t>
      </w:r>
      <w:r w:rsidR="00155B71">
        <w:rPr>
          <w:rFonts w:eastAsia="Times New Roman" w:cs="Arial"/>
          <w:b/>
          <w:snapToGrid w:val="0"/>
          <w:color w:val="1F497D" w:themeColor="text2"/>
          <w:sz w:val="18"/>
          <w:szCs w:val="18"/>
          <w:lang w:val="es-ES_tradnl" w:eastAsia="es-ES"/>
        </w:rPr>
        <w:t xml:space="preserve"> </w:t>
      </w:r>
      <w:bookmarkEnd w:id="277"/>
      <w:r w:rsidR="00155B71">
        <w:rPr>
          <w:rFonts w:eastAsia="Times New Roman" w:cs="Arial"/>
          <w:b/>
          <w:snapToGrid w:val="0"/>
          <w:color w:val="1F497D" w:themeColor="text2"/>
          <w:sz w:val="18"/>
          <w:szCs w:val="18"/>
          <w:lang w:val="es-ES_tradnl" w:eastAsia="es-ES"/>
        </w:rPr>
        <w:t>EVOLUCI</w:t>
      </w:r>
      <w:r w:rsidR="00423E97">
        <w:rPr>
          <w:rFonts w:eastAsia="Times New Roman" w:cs="Arial"/>
          <w:b/>
          <w:snapToGrid w:val="0"/>
          <w:color w:val="1F497D" w:themeColor="text2"/>
          <w:sz w:val="18"/>
          <w:szCs w:val="18"/>
          <w:lang w:val="es-ES_tradnl" w:eastAsia="es-ES"/>
        </w:rPr>
        <w:t>ÓN DE LA FACTURACIÓN 2006 - 2015</w:t>
      </w:r>
      <w:r w:rsidR="00155B71">
        <w:rPr>
          <w:rFonts w:eastAsia="Times New Roman" w:cs="Arial"/>
          <w:b/>
          <w:snapToGrid w:val="0"/>
          <w:color w:val="1F497D" w:themeColor="text2"/>
          <w:sz w:val="18"/>
          <w:szCs w:val="18"/>
          <w:lang w:val="es-ES_tradnl" w:eastAsia="es-ES"/>
        </w:rPr>
        <w:t xml:space="preserve"> (MILES DE EUROS)</w:t>
      </w:r>
      <w:bookmarkEnd w:id="278"/>
      <w:bookmarkEnd w:id="279"/>
    </w:p>
    <w:p w:rsidR="00155B71" w:rsidRDefault="00541027" w:rsidP="00155B71">
      <w:pPr>
        <w:rPr>
          <w:rFonts w:cs="Arial"/>
          <w:b/>
          <w:color w:val="000080"/>
        </w:rPr>
      </w:pPr>
      <w:r>
        <w:rPr>
          <w:rFonts w:cs="Arial"/>
          <w:b/>
          <w:noProof/>
          <w:color w:val="000080"/>
          <w:lang w:eastAsia="es-ES"/>
        </w:rPr>
        <w:drawing>
          <wp:anchor distT="292608" distB="188976" distL="138684" distR="166116" simplePos="0" relativeHeight="251844608" behindDoc="0" locked="0" layoutInCell="1" allowOverlap="1">
            <wp:simplePos x="0" y="0"/>
            <wp:positionH relativeFrom="column">
              <wp:posOffset>-55112</wp:posOffset>
            </wp:positionH>
            <wp:positionV relativeFrom="paragraph">
              <wp:posOffset>38484</wp:posOffset>
            </wp:positionV>
            <wp:extent cx="5571460" cy="1350335"/>
            <wp:effectExtent l="0" t="0" r="0" b="0"/>
            <wp:wrapNone/>
            <wp:docPr id="55"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155B71" w:rsidRDefault="00155B71" w:rsidP="00155B71">
      <w:pPr>
        <w:rPr>
          <w:rFonts w:cs="Arial"/>
          <w:b/>
          <w:color w:val="000080"/>
        </w:rPr>
      </w:pPr>
    </w:p>
    <w:p w:rsidR="00155B71" w:rsidRDefault="00155B71" w:rsidP="00155B71">
      <w:pPr>
        <w:rPr>
          <w:rFonts w:cs="Arial"/>
          <w:b/>
          <w:color w:val="000080"/>
        </w:rPr>
      </w:pPr>
    </w:p>
    <w:p w:rsidR="00155B71" w:rsidRDefault="00155B71" w:rsidP="00155B71">
      <w:pPr>
        <w:rPr>
          <w:rFonts w:cs="Arial"/>
          <w:b/>
          <w:color w:val="000080"/>
        </w:rPr>
      </w:pPr>
    </w:p>
    <w:p w:rsidR="00155B71" w:rsidRDefault="00155B71" w:rsidP="00155B71">
      <w:pPr>
        <w:rPr>
          <w:rFonts w:cs="Arial"/>
          <w:b/>
          <w:color w:val="000080"/>
        </w:rPr>
      </w:pPr>
    </w:p>
    <w:p w:rsidR="00155B71" w:rsidRDefault="00155B71" w:rsidP="00155B71">
      <w:pPr>
        <w:rPr>
          <w:rFonts w:cs="Arial"/>
          <w:b/>
          <w:color w:val="000080"/>
        </w:rPr>
      </w:pPr>
    </w:p>
    <w:p w:rsidR="00155B71" w:rsidRDefault="00155B71" w:rsidP="00155B71">
      <w:pPr>
        <w:rPr>
          <w:rFonts w:cs="Arial"/>
          <w:b/>
          <w:color w:val="000080"/>
        </w:rPr>
      </w:pPr>
    </w:p>
    <w:p w:rsidR="00155B71" w:rsidRPr="008D5779" w:rsidRDefault="008D5779" w:rsidP="008D5779">
      <w:pPr>
        <w:spacing w:line="312" w:lineRule="auto"/>
        <w:jc w:val="center"/>
        <w:rPr>
          <w:rFonts w:cs="Arial"/>
          <w:b/>
          <w:color w:val="1F497D" w:themeColor="text2"/>
          <w:sz w:val="18"/>
          <w:szCs w:val="18"/>
        </w:rPr>
      </w:pPr>
      <w:bookmarkStart w:id="280" w:name="_Toc391999667"/>
      <w:bookmarkStart w:id="281" w:name="_Toc450119733"/>
      <w:r w:rsidRPr="008D5779">
        <w:rPr>
          <w:rFonts w:cs="Arial"/>
          <w:b/>
          <w:color w:val="1F497D" w:themeColor="text2"/>
          <w:sz w:val="18"/>
          <w:szCs w:val="18"/>
        </w:rPr>
        <w:t>Cuadro 2.</w:t>
      </w:r>
      <w:r w:rsidR="00771A61" w:rsidRPr="008D5779">
        <w:rPr>
          <w:rFonts w:cs="Arial"/>
          <w:b/>
          <w:color w:val="1F497D" w:themeColor="text2"/>
          <w:sz w:val="18"/>
          <w:szCs w:val="18"/>
        </w:rPr>
        <w:fldChar w:fldCharType="begin"/>
      </w:r>
      <w:r w:rsidRPr="008D5779">
        <w:rPr>
          <w:rFonts w:cs="Arial"/>
          <w:b/>
          <w:color w:val="1F497D" w:themeColor="text2"/>
          <w:sz w:val="18"/>
          <w:szCs w:val="18"/>
        </w:rPr>
        <w:instrText xml:space="preserve"> SEQ Cuadro_2. \* ARABIC </w:instrText>
      </w:r>
      <w:r w:rsidR="00771A61" w:rsidRPr="008D5779">
        <w:rPr>
          <w:rFonts w:cs="Arial"/>
          <w:b/>
          <w:color w:val="1F497D" w:themeColor="text2"/>
          <w:sz w:val="18"/>
          <w:szCs w:val="18"/>
        </w:rPr>
        <w:fldChar w:fldCharType="separate"/>
      </w:r>
      <w:r w:rsidR="00FC71A9">
        <w:rPr>
          <w:rFonts w:cs="Arial"/>
          <w:b/>
          <w:noProof/>
          <w:color w:val="1F497D" w:themeColor="text2"/>
          <w:sz w:val="18"/>
          <w:szCs w:val="18"/>
        </w:rPr>
        <w:t>1</w:t>
      </w:r>
      <w:r w:rsidR="00771A61" w:rsidRPr="008D5779">
        <w:rPr>
          <w:rFonts w:cs="Arial"/>
          <w:b/>
          <w:color w:val="1F497D" w:themeColor="text2"/>
          <w:sz w:val="18"/>
          <w:szCs w:val="18"/>
        </w:rPr>
        <w:fldChar w:fldCharType="end"/>
      </w:r>
      <w:r w:rsidRPr="008D5779">
        <w:rPr>
          <w:rFonts w:cs="Arial"/>
          <w:b/>
          <w:color w:val="1F497D" w:themeColor="text2"/>
          <w:sz w:val="18"/>
          <w:szCs w:val="18"/>
        </w:rPr>
        <w:t xml:space="preserve"> </w:t>
      </w:r>
      <w:r w:rsidR="00155B71" w:rsidRPr="008D5779">
        <w:rPr>
          <w:rFonts w:cs="Arial"/>
          <w:b/>
          <w:color w:val="1F497D" w:themeColor="text2"/>
          <w:sz w:val="18"/>
          <w:szCs w:val="18"/>
        </w:rPr>
        <w:t>ANÁLISIS POR SECTOR DE ACTIVIDAD. EVOLUCIÓN DEL EMPLEO</w:t>
      </w:r>
      <w:r w:rsidR="009C37E1" w:rsidRPr="008D5779">
        <w:rPr>
          <w:rFonts w:cs="Arial"/>
          <w:b/>
          <w:color w:val="1F497D" w:themeColor="text2"/>
          <w:sz w:val="18"/>
          <w:szCs w:val="18"/>
        </w:rPr>
        <w:t xml:space="preserve"> Y LA FACTURACIÓN PREVISTA. 2014</w:t>
      </w:r>
      <w:r w:rsidR="00155B71" w:rsidRPr="008D5779">
        <w:rPr>
          <w:rFonts w:cs="Arial"/>
          <w:b/>
          <w:color w:val="1F497D" w:themeColor="text2"/>
          <w:sz w:val="18"/>
          <w:szCs w:val="18"/>
        </w:rPr>
        <w:t>-201</w:t>
      </w:r>
      <w:bookmarkEnd w:id="280"/>
      <w:r w:rsidR="009C37E1" w:rsidRPr="008D5779">
        <w:rPr>
          <w:rFonts w:cs="Arial"/>
          <w:b/>
          <w:color w:val="1F497D" w:themeColor="text2"/>
          <w:sz w:val="18"/>
          <w:szCs w:val="18"/>
        </w:rPr>
        <w:t>5</w:t>
      </w:r>
      <w:bookmarkEnd w:id="281"/>
    </w:p>
    <w:tbl>
      <w:tblPr>
        <w:tblW w:w="5000" w:type="pct"/>
        <w:jc w:val="center"/>
        <w:tblLook w:val="04A0" w:firstRow="1" w:lastRow="0" w:firstColumn="1" w:lastColumn="0" w:noHBand="0" w:noVBand="1"/>
      </w:tblPr>
      <w:tblGrid>
        <w:gridCol w:w="2235"/>
        <w:gridCol w:w="3259"/>
        <w:gridCol w:w="3510"/>
      </w:tblGrid>
      <w:tr w:rsidR="00155B71" w:rsidTr="00C4223B">
        <w:trPr>
          <w:jc w:val="center"/>
        </w:trPr>
        <w:tc>
          <w:tcPr>
            <w:tcW w:w="1241" w:type="pct"/>
            <w:vMerge w:val="restar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rsidR="00155B71" w:rsidRDefault="00155B71">
            <w:pPr>
              <w:widowControl w:val="0"/>
              <w:spacing w:line="240" w:lineRule="exact"/>
              <w:jc w:val="center"/>
              <w:rPr>
                <w:rFonts w:cs="Arial"/>
                <w:b/>
                <w:sz w:val="16"/>
                <w:szCs w:val="16"/>
              </w:rPr>
            </w:pPr>
          </w:p>
        </w:tc>
        <w:tc>
          <w:tcPr>
            <w:tcW w:w="3759" w:type="pct"/>
            <w:gridSpan w:val="2"/>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9C37E1">
            <w:pPr>
              <w:widowControl w:val="0"/>
              <w:spacing w:line="240" w:lineRule="exact"/>
              <w:jc w:val="center"/>
              <w:rPr>
                <w:rFonts w:cs="Arial"/>
                <w:b/>
                <w:sz w:val="16"/>
                <w:szCs w:val="16"/>
              </w:rPr>
            </w:pPr>
            <w:r>
              <w:rPr>
                <w:rFonts w:cs="Arial"/>
                <w:b/>
                <w:sz w:val="16"/>
                <w:szCs w:val="16"/>
              </w:rPr>
              <w:t>Evolución 2014 - 2015</w:t>
            </w:r>
          </w:p>
        </w:tc>
      </w:tr>
      <w:tr w:rsidR="00155B71" w:rsidTr="00C4223B">
        <w:trPr>
          <w:jc w:val="center"/>
        </w:trPr>
        <w:tc>
          <w:tcPr>
            <w:tcW w:w="1241" w:type="pct"/>
            <w:vMerge/>
            <w:tcBorders>
              <w:top w:val="nil"/>
              <w:left w:val="nil"/>
              <w:bottom w:val="single" w:sz="4" w:space="0" w:color="BFBFBF" w:themeColor="background1" w:themeShade="BF"/>
              <w:right w:val="single" w:sz="4" w:space="0" w:color="BFBFBF" w:themeColor="background1" w:themeShade="BF"/>
            </w:tcBorders>
            <w:vAlign w:val="center"/>
            <w:hideMark/>
          </w:tcPr>
          <w:p w:rsidR="00155B71" w:rsidRDefault="00155B71">
            <w:pPr>
              <w:spacing w:line="240" w:lineRule="auto"/>
              <w:rPr>
                <w:rFonts w:cs="Arial"/>
                <w:b/>
                <w:sz w:val="16"/>
                <w:szCs w:val="16"/>
              </w:rPr>
            </w:pPr>
          </w:p>
        </w:tc>
        <w:tc>
          <w:tcPr>
            <w:tcW w:w="1810"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155B71">
            <w:pPr>
              <w:widowControl w:val="0"/>
              <w:spacing w:line="240" w:lineRule="exact"/>
              <w:jc w:val="center"/>
              <w:rPr>
                <w:rFonts w:cs="Arial"/>
                <w:b/>
                <w:bCs/>
                <w:sz w:val="16"/>
                <w:szCs w:val="16"/>
                <w:lang w:val="es-ES_tradnl"/>
              </w:rPr>
            </w:pPr>
            <w:r>
              <w:rPr>
                <w:rFonts w:cs="Arial"/>
                <w:b/>
                <w:sz w:val="16"/>
                <w:szCs w:val="16"/>
              </w:rPr>
              <w:t>Empleo</w:t>
            </w:r>
          </w:p>
        </w:tc>
        <w:tc>
          <w:tcPr>
            <w:tcW w:w="1949"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155B71">
            <w:pPr>
              <w:widowControl w:val="0"/>
              <w:spacing w:line="240" w:lineRule="exact"/>
              <w:jc w:val="center"/>
              <w:rPr>
                <w:rFonts w:cs="Arial"/>
                <w:b/>
                <w:sz w:val="16"/>
                <w:szCs w:val="16"/>
              </w:rPr>
            </w:pPr>
            <w:r>
              <w:rPr>
                <w:rFonts w:cs="Arial"/>
                <w:b/>
                <w:bCs/>
                <w:sz w:val="16"/>
                <w:szCs w:val="16"/>
                <w:lang w:val="es-ES_tradnl"/>
              </w:rPr>
              <w:t>Facturación</w:t>
            </w:r>
          </w:p>
        </w:tc>
      </w:tr>
      <w:tr w:rsidR="00155B71" w:rsidTr="00C4223B">
        <w:trPr>
          <w:jc w:val="center"/>
        </w:trPr>
        <w:tc>
          <w:tcPr>
            <w:tcW w:w="1241" w:type="pct"/>
            <w:tcBorders>
              <w:top w:val="single" w:sz="4" w:space="0" w:color="BFBFBF" w:themeColor="background1" w:themeShade="BF"/>
              <w:left w:val="nil"/>
              <w:bottom w:val="nil"/>
              <w:right w:val="single" w:sz="4" w:space="0" w:color="BFBFBF" w:themeColor="background1" w:themeShade="BF"/>
            </w:tcBorders>
            <w:vAlign w:val="bottom"/>
            <w:hideMark/>
          </w:tcPr>
          <w:p w:rsidR="00155B71" w:rsidRDefault="00155B71">
            <w:pPr>
              <w:widowControl w:val="0"/>
              <w:spacing w:line="240" w:lineRule="exact"/>
              <w:rPr>
                <w:rFonts w:cs="Arial"/>
                <w:sz w:val="16"/>
                <w:szCs w:val="16"/>
              </w:rPr>
            </w:pPr>
            <w:r>
              <w:rPr>
                <w:rFonts w:cs="Arial"/>
                <w:sz w:val="16"/>
                <w:szCs w:val="16"/>
              </w:rPr>
              <w:t>Industria</w:t>
            </w:r>
          </w:p>
        </w:tc>
        <w:tc>
          <w:tcPr>
            <w:tcW w:w="181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4C34D4" w:rsidRPr="004C34D4" w:rsidRDefault="004C34D4" w:rsidP="004C34D4">
            <w:pPr>
              <w:widowControl w:val="0"/>
              <w:spacing w:line="240" w:lineRule="exact"/>
              <w:ind w:right="170"/>
              <w:jc w:val="center"/>
              <w:rPr>
                <w:rFonts w:cs="Arial"/>
                <w:color w:val="76923C" w:themeColor="accent3" w:themeShade="BF"/>
                <w:sz w:val="16"/>
                <w:szCs w:val="16"/>
              </w:rPr>
            </w:pPr>
            <w:r>
              <w:rPr>
                <w:rFonts w:cs="Arial"/>
                <w:color w:val="76923C" w:themeColor="accent3" w:themeShade="BF"/>
                <w:sz w:val="16"/>
                <w:szCs w:val="16"/>
              </w:rPr>
              <w:t>+</w:t>
            </w:r>
            <w:r w:rsidRPr="004C34D4">
              <w:rPr>
                <w:rFonts w:cs="Arial"/>
                <w:color w:val="76923C" w:themeColor="accent3" w:themeShade="BF"/>
                <w:sz w:val="16"/>
                <w:szCs w:val="16"/>
              </w:rPr>
              <w:t>2,21</w:t>
            </w:r>
          </w:p>
        </w:tc>
        <w:tc>
          <w:tcPr>
            <w:tcW w:w="1949" w:type="pct"/>
            <w:tcBorders>
              <w:top w:val="single" w:sz="4" w:space="0" w:color="BFBFBF" w:themeColor="background1" w:themeShade="BF"/>
              <w:left w:val="single" w:sz="4" w:space="0" w:color="BFBFBF" w:themeColor="background1" w:themeShade="BF"/>
              <w:bottom w:val="nil"/>
              <w:right w:val="nil"/>
            </w:tcBorders>
            <w:vAlign w:val="bottom"/>
            <w:hideMark/>
          </w:tcPr>
          <w:p w:rsidR="00155B71" w:rsidRDefault="004C34D4">
            <w:pPr>
              <w:widowControl w:val="0"/>
              <w:spacing w:line="240" w:lineRule="exact"/>
              <w:ind w:right="170"/>
              <w:jc w:val="center"/>
              <w:rPr>
                <w:rFonts w:cs="Arial"/>
                <w:color w:val="76923C" w:themeColor="accent3" w:themeShade="BF"/>
                <w:sz w:val="16"/>
                <w:szCs w:val="16"/>
              </w:rPr>
            </w:pPr>
            <w:r>
              <w:rPr>
                <w:rFonts w:cs="Arial"/>
                <w:color w:val="76923C" w:themeColor="accent3" w:themeShade="BF"/>
                <w:sz w:val="16"/>
                <w:szCs w:val="16"/>
              </w:rPr>
              <w:t>+4,66%</w:t>
            </w:r>
          </w:p>
        </w:tc>
      </w:tr>
      <w:tr w:rsidR="00155B71" w:rsidTr="00C4223B">
        <w:trPr>
          <w:jc w:val="center"/>
        </w:trPr>
        <w:tc>
          <w:tcPr>
            <w:tcW w:w="1241" w:type="pct"/>
            <w:tcBorders>
              <w:top w:val="nil"/>
              <w:left w:val="nil"/>
              <w:bottom w:val="single" w:sz="4" w:space="0" w:color="BFBFBF" w:themeColor="background1" w:themeShade="BF"/>
              <w:right w:val="single" w:sz="4" w:space="0" w:color="BFBFBF" w:themeColor="background1" w:themeShade="BF"/>
            </w:tcBorders>
            <w:vAlign w:val="bottom"/>
            <w:hideMark/>
          </w:tcPr>
          <w:p w:rsidR="00155B71" w:rsidRDefault="00155B71">
            <w:pPr>
              <w:widowControl w:val="0"/>
              <w:spacing w:line="240" w:lineRule="exact"/>
              <w:rPr>
                <w:rFonts w:cs="Arial"/>
                <w:sz w:val="16"/>
                <w:szCs w:val="16"/>
              </w:rPr>
            </w:pPr>
            <w:r>
              <w:rPr>
                <w:rFonts w:cs="Arial"/>
                <w:sz w:val="16"/>
                <w:szCs w:val="16"/>
              </w:rPr>
              <w:t>Construcción</w:t>
            </w:r>
          </w:p>
          <w:p w:rsidR="00155B71" w:rsidRDefault="00155B71">
            <w:pPr>
              <w:widowControl w:val="0"/>
              <w:spacing w:line="240" w:lineRule="exact"/>
              <w:rPr>
                <w:rFonts w:cs="Arial"/>
                <w:sz w:val="16"/>
                <w:szCs w:val="16"/>
              </w:rPr>
            </w:pPr>
            <w:r>
              <w:rPr>
                <w:rFonts w:cs="Arial"/>
                <w:sz w:val="16"/>
                <w:szCs w:val="16"/>
              </w:rPr>
              <w:t>Servicios</w:t>
            </w:r>
          </w:p>
        </w:tc>
        <w:tc>
          <w:tcPr>
            <w:tcW w:w="181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55B71" w:rsidRDefault="004C34D4" w:rsidP="004C34D4">
            <w:pPr>
              <w:widowControl w:val="0"/>
              <w:spacing w:line="240" w:lineRule="exact"/>
              <w:ind w:right="170"/>
              <w:jc w:val="center"/>
              <w:rPr>
                <w:rFonts w:cs="Arial"/>
                <w:color w:val="76923C" w:themeColor="accent3" w:themeShade="BF"/>
                <w:sz w:val="16"/>
                <w:szCs w:val="16"/>
              </w:rPr>
            </w:pPr>
            <w:r>
              <w:rPr>
                <w:rFonts w:cs="Arial"/>
                <w:color w:val="76923C" w:themeColor="accent3" w:themeShade="BF"/>
                <w:sz w:val="16"/>
                <w:szCs w:val="16"/>
              </w:rPr>
              <w:t>+4,86%</w:t>
            </w:r>
          </w:p>
          <w:p w:rsidR="004C34D4" w:rsidRDefault="004C34D4" w:rsidP="004C34D4">
            <w:pPr>
              <w:widowControl w:val="0"/>
              <w:spacing w:line="240" w:lineRule="exact"/>
              <w:ind w:right="170"/>
              <w:jc w:val="center"/>
              <w:rPr>
                <w:rFonts w:cs="Arial"/>
                <w:color w:val="76923C" w:themeColor="accent3" w:themeShade="BF"/>
                <w:sz w:val="16"/>
                <w:szCs w:val="16"/>
              </w:rPr>
            </w:pPr>
            <w:r>
              <w:rPr>
                <w:rFonts w:cs="Arial"/>
                <w:color w:val="76923C" w:themeColor="accent3" w:themeShade="BF"/>
                <w:sz w:val="16"/>
                <w:szCs w:val="16"/>
              </w:rPr>
              <w:t>0,74%</w:t>
            </w:r>
          </w:p>
        </w:tc>
        <w:tc>
          <w:tcPr>
            <w:tcW w:w="1949" w:type="pct"/>
            <w:tcBorders>
              <w:top w:val="nil"/>
              <w:left w:val="single" w:sz="4" w:space="0" w:color="BFBFBF" w:themeColor="background1" w:themeShade="BF"/>
              <w:bottom w:val="single" w:sz="4" w:space="0" w:color="BFBFBF" w:themeColor="background1" w:themeShade="BF"/>
              <w:right w:val="nil"/>
            </w:tcBorders>
            <w:vAlign w:val="bottom"/>
            <w:hideMark/>
          </w:tcPr>
          <w:p w:rsidR="00155B71" w:rsidRDefault="004C34D4" w:rsidP="004C34D4">
            <w:pPr>
              <w:widowControl w:val="0"/>
              <w:spacing w:line="240" w:lineRule="exact"/>
              <w:ind w:right="170"/>
              <w:jc w:val="center"/>
              <w:rPr>
                <w:rFonts w:cs="Arial"/>
                <w:color w:val="76923C" w:themeColor="accent3" w:themeShade="BF"/>
                <w:sz w:val="16"/>
                <w:szCs w:val="16"/>
              </w:rPr>
            </w:pPr>
            <w:r w:rsidRPr="004C34D4">
              <w:rPr>
                <w:rFonts w:cs="Arial"/>
                <w:color w:val="76923C" w:themeColor="accent3" w:themeShade="BF"/>
                <w:sz w:val="16"/>
                <w:szCs w:val="16"/>
              </w:rPr>
              <w:t>+3,86</w:t>
            </w:r>
            <w:r>
              <w:rPr>
                <w:rFonts w:cs="Arial"/>
                <w:color w:val="76923C" w:themeColor="accent3" w:themeShade="BF"/>
                <w:sz w:val="16"/>
                <w:szCs w:val="16"/>
              </w:rPr>
              <w:t>%</w:t>
            </w:r>
          </w:p>
          <w:p w:rsidR="004C34D4" w:rsidRPr="004C34D4" w:rsidRDefault="004C34D4" w:rsidP="004C34D4">
            <w:pPr>
              <w:widowControl w:val="0"/>
              <w:spacing w:line="240" w:lineRule="exact"/>
              <w:ind w:right="284"/>
              <w:jc w:val="center"/>
              <w:rPr>
                <w:rFonts w:cs="Arial"/>
                <w:color w:val="76923C" w:themeColor="accent3" w:themeShade="BF"/>
                <w:sz w:val="16"/>
                <w:szCs w:val="16"/>
              </w:rPr>
            </w:pPr>
            <w:r w:rsidRPr="004C34D4">
              <w:rPr>
                <w:rFonts w:cs="Arial"/>
                <w:color w:val="FF0000"/>
                <w:sz w:val="16"/>
                <w:szCs w:val="16"/>
              </w:rPr>
              <w:t>-1,64%</w:t>
            </w:r>
          </w:p>
        </w:tc>
      </w:tr>
      <w:tr w:rsidR="00D4140D" w:rsidTr="00C4223B">
        <w:trPr>
          <w:jc w:val="center"/>
        </w:trPr>
        <w:tc>
          <w:tcPr>
            <w:tcW w:w="124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hideMark/>
          </w:tcPr>
          <w:p w:rsidR="00D4140D" w:rsidRDefault="00D4140D">
            <w:pPr>
              <w:widowControl w:val="0"/>
              <w:spacing w:line="240" w:lineRule="exact"/>
              <w:rPr>
                <w:rFonts w:cs="Arial"/>
                <w:b/>
                <w:sz w:val="16"/>
                <w:szCs w:val="16"/>
              </w:rPr>
            </w:pPr>
            <w:r>
              <w:rPr>
                <w:rFonts w:cs="Arial"/>
                <w:b/>
                <w:sz w:val="16"/>
                <w:szCs w:val="16"/>
              </w:rPr>
              <w:t>TOTAL</w:t>
            </w:r>
          </w:p>
        </w:tc>
        <w:tc>
          <w:tcPr>
            <w:tcW w:w="18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D4140D" w:rsidRPr="00D4140D" w:rsidRDefault="00D4140D" w:rsidP="00F160D5">
            <w:pPr>
              <w:widowControl w:val="0"/>
              <w:spacing w:line="240" w:lineRule="exact"/>
              <w:ind w:right="284"/>
              <w:jc w:val="center"/>
              <w:rPr>
                <w:rFonts w:cs="Arial"/>
                <w:b/>
                <w:color w:val="76923C" w:themeColor="accent3" w:themeShade="BF"/>
                <w:sz w:val="16"/>
                <w:szCs w:val="16"/>
              </w:rPr>
            </w:pPr>
            <w:r>
              <w:rPr>
                <w:rFonts w:cs="Arial"/>
                <w:b/>
                <w:color w:val="76923C" w:themeColor="accent3" w:themeShade="BF"/>
                <w:sz w:val="16"/>
                <w:szCs w:val="16"/>
              </w:rPr>
              <w:t>+</w:t>
            </w:r>
            <w:r w:rsidRPr="00D4140D">
              <w:rPr>
                <w:rFonts w:cs="Arial"/>
                <w:b/>
                <w:color w:val="76923C" w:themeColor="accent3" w:themeShade="BF"/>
                <w:sz w:val="16"/>
                <w:szCs w:val="16"/>
              </w:rPr>
              <w:t>1,45%</w:t>
            </w:r>
          </w:p>
        </w:tc>
        <w:tc>
          <w:tcPr>
            <w:tcW w:w="1949"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D4140D" w:rsidRPr="00D4140D" w:rsidRDefault="00D4140D" w:rsidP="00F160D5">
            <w:pPr>
              <w:widowControl w:val="0"/>
              <w:spacing w:line="240" w:lineRule="exact"/>
              <w:ind w:right="284"/>
              <w:jc w:val="center"/>
              <w:rPr>
                <w:rFonts w:cs="Arial"/>
                <w:b/>
                <w:color w:val="76923C" w:themeColor="accent3" w:themeShade="BF"/>
                <w:sz w:val="16"/>
                <w:szCs w:val="16"/>
              </w:rPr>
            </w:pPr>
            <w:r>
              <w:rPr>
                <w:rFonts w:cs="Arial"/>
                <w:b/>
                <w:color w:val="76923C" w:themeColor="accent3" w:themeShade="BF"/>
                <w:sz w:val="16"/>
                <w:szCs w:val="16"/>
              </w:rPr>
              <w:t>+</w:t>
            </w:r>
            <w:r w:rsidRPr="00D4140D">
              <w:rPr>
                <w:rFonts w:cs="Arial"/>
                <w:b/>
                <w:color w:val="76923C" w:themeColor="accent3" w:themeShade="BF"/>
                <w:sz w:val="16"/>
                <w:szCs w:val="16"/>
              </w:rPr>
              <w:t>1,88%</w:t>
            </w:r>
          </w:p>
        </w:tc>
      </w:tr>
    </w:tbl>
    <w:p w:rsidR="00155B71" w:rsidRDefault="00155B71" w:rsidP="00155B71">
      <w:pPr>
        <w:rPr>
          <w:snapToGrid w:val="0"/>
          <w:lang w:val="es-ES_tradnl"/>
        </w:rPr>
      </w:pPr>
    </w:p>
    <w:p w:rsidR="00155B71" w:rsidRDefault="008D5779" w:rsidP="00155B71">
      <w:pPr>
        <w:spacing w:line="240" w:lineRule="auto"/>
        <w:jc w:val="center"/>
        <w:rPr>
          <w:rFonts w:cs="Arial"/>
          <w:b/>
          <w:snapToGrid w:val="0"/>
          <w:color w:val="1F497D" w:themeColor="text2"/>
          <w:sz w:val="18"/>
          <w:szCs w:val="18"/>
          <w:lang w:val="es-ES_tradnl"/>
        </w:rPr>
      </w:pPr>
      <w:bookmarkStart w:id="282" w:name="_Toc391999668"/>
      <w:bookmarkStart w:id="283" w:name="_Toc450119734"/>
      <w:r w:rsidRPr="008D5779">
        <w:rPr>
          <w:rFonts w:cs="Arial"/>
          <w:b/>
          <w:color w:val="1F497D" w:themeColor="text2"/>
          <w:sz w:val="18"/>
          <w:szCs w:val="18"/>
        </w:rPr>
        <w:t>Cuadro 2.</w:t>
      </w:r>
      <w:r w:rsidR="00771A61" w:rsidRPr="008D5779">
        <w:rPr>
          <w:rFonts w:cs="Arial"/>
          <w:b/>
          <w:color w:val="1F497D" w:themeColor="text2"/>
          <w:sz w:val="18"/>
          <w:szCs w:val="18"/>
        </w:rPr>
        <w:fldChar w:fldCharType="begin"/>
      </w:r>
      <w:r w:rsidRPr="008D5779">
        <w:rPr>
          <w:rFonts w:cs="Arial"/>
          <w:b/>
          <w:color w:val="1F497D" w:themeColor="text2"/>
          <w:sz w:val="18"/>
          <w:szCs w:val="18"/>
        </w:rPr>
        <w:instrText xml:space="preserve"> SEQ Cuadro_2. \* ARABIC </w:instrText>
      </w:r>
      <w:r w:rsidR="00771A61" w:rsidRPr="008D5779">
        <w:rPr>
          <w:rFonts w:cs="Arial"/>
          <w:b/>
          <w:color w:val="1F497D" w:themeColor="text2"/>
          <w:sz w:val="18"/>
          <w:szCs w:val="18"/>
        </w:rPr>
        <w:fldChar w:fldCharType="separate"/>
      </w:r>
      <w:r w:rsidR="00FC71A9">
        <w:rPr>
          <w:rFonts w:cs="Arial"/>
          <w:b/>
          <w:noProof/>
          <w:color w:val="1F497D" w:themeColor="text2"/>
          <w:sz w:val="18"/>
          <w:szCs w:val="18"/>
        </w:rPr>
        <w:t>2</w:t>
      </w:r>
      <w:r w:rsidR="00771A61" w:rsidRPr="008D5779">
        <w:rPr>
          <w:rFonts w:cs="Arial"/>
          <w:b/>
          <w:color w:val="1F497D" w:themeColor="text2"/>
          <w:sz w:val="18"/>
          <w:szCs w:val="18"/>
        </w:rPr>
        <w:fldChar w:fldCharType="end"/>
      </w:r>
      <w:r w:rsidRPr="008D5779">
        <w:rPr>
          <w:rFonts w:cs="Arial"/>
          <w:b/>
          <w:color w:val="1F497D" w:themeColor="text2"/>
          <w:sz w:val="18"/>
          <w:szCs w:val="18"/>
        </w:rPr>
        <w:t xml:space="preserve"> </w:t>
      </w:r>
      <w:r w:rsidR="00155B71">
        <w:rPr>
          <w:rFonts w:cs="Arial"/>
          <w:b/>
          <w:snapToGrid w:val="0"/>
          <w:color w:val="1F497D" w:themeColor="text2"/>
          <w:sz w:val="18"/>
          <w:szCs w:val="18"/>
          <w:lang w:val="es-ES_tradnl"/>
        </w:rPr>
        <w:t>ANÁLISIS POR FORMA JURÍDICA. EVOLUCIÓN DEL EMPLEO</w:t>
      </w:r>
      <w:r w:rsidR="00377FE0">
        <w:rPr>
          <w:rFonts w:cs="Arial"/>
          <w:b/>
          <w:snapToGrid w:val="0"/>
          <w:color w:val="1F497D" w:themeColor="text2"/>
          <w:sz w:val="18"/>
          <w:szCs w:val="18"/>
          <w:lang w:val="es-ES_tradnl"/>
        </w:rPr>
        <w:t xml:space="preserve"> Y LA FACTURACIÓN PREVISTA. 2014</w:t>
      </w:r>
      <w:r w:rsidR="00155B71">
        <w:rPr>
          <w:rFonts w:cs="Arial"/>
          <w:b/>
          <w:snapToGrid w:val="0"/>
          <w:color w:val="1F497D" w:themeColor="text2"/>
          <w:sz w:val="18"/>
          <w:szCs w:val="18"/>
          <w:lang w:val="es-ES_tradnl"/>
        </w:rPr>
        <w:t>-201</w:t>
      </w:r>
      <w:bookmarkEnd w:id="282"/>
      <w:r w:rsidR="00377FE0">
        <w:rPr>
          <w:rFonts w:cs="Arial"/>
          <w:b/>
          <w:snapToGrid w:val="0"/>
          <w:color w:val="1F497D" w:themeColor="text2"/>
          <w:sz w:val="18"/>
          <w:szCs w:val="18"/>
          <w:lang w:val="es-ES_tradnl"/>
        </w:rPr>
        <w:t>5</w:t>
      </w:r>
      <w:bookmarkEnd w:id="283"/>
    </w:p>
    <w:tbl>
      <w:tblPr>
        <w:tblW w:w="5000" w:type="pct"/>
        <w:jc w:val="center"/>
        <w:tblLook w:val="04A0" w:firstRow="1" w:lastRow="0" w:firstColumn="1" w:lastColumn="0" w:noHBand="0" w:noVBand="1"/>
      </w:tblPr>
      <w:tblGrid>
        <w:gridCol w:w="2282"/>
        <w:gridCol w:w="3234"/>
        <w:gridCol w:w="9"/>
        <w:gridCol w:w="3479"/>
      </w:tblGrid>
      <w:tr w:rsidR="00155B71" w:rsidTr="00155B71">
        <w:trPr>
          <w:jc w:val="center"/>
        </w:trPr>
        <w:tc>
          <w:tcPr>
            <w:tcW w:w="1267" w:type="pct"/>
            <w:vMerge w:val="restar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rsidR="00155B71" w:rsidRDefault="00155B71">
            <w:pPr>
              <w:widowControl w:val="0"/>
              <w:spacing w:line="240" w:lineRule="exact"/>
              <w:jc w:val="center"/>
              <w:rPr>
                <w:rFonts w:cs="Arial"/>
                <w:b/>
                <w:sz w:val="16"/>
                <w:szCs w:val="16"/>
              </w:rPr>
            </w:pPr>
          </w:p>
        </w:tc>
        <w:tc>
          <w:tcPr>
            <w:tcW w:w="3733" w:type="pct"/>
            <w:gridSpan w:val="3"/>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D1570D">
            <w:pPr>
              <w:widowControl w:val="0"/>
              <w:spacing w:line="240" w:lineRule="exact"/>
              <w:jc w:val="center"/>
              <w:rPr>
                <w:rFonts w:cs="Arial"/>
                <w:b/>
                <w:sz w:val="16"/>
                <w:szCs w:val="16"/>
              </w:rPr>
            </w:pPr>
            <w:r>
              <w:rPr>
                <w:rFonts w:cs="Arial"/>
                <w:b/>
                <w:sz w:val="16"/>
                <w:szCs w:val="16"/>
              </w:rPr>
              <w:t>Evolución 2014 - 2015</w:t>
            </w:r>
          </w:p>
        </w:tc>
      </w:tr>
      <w:tr w:rsidR="00155B71" w:rsidTr="00D4140D">
        <w:trPr>
          <w:jc w:val="center"/>
        </w:trPr>
        <w:tc>
          <w:tcPr>
            <w:tcW w:w="0" w:type="auto"/>
            <w:vMerge/>
            <w:tcBorders>
              <w:top w:val="nil"/>
              <w:left w:val="nil"/>
              <w:bottom w:val="single" w:sz="4" w:space="0" w:color="BFBFBF" w:themeColor="background1" w:themeShade="BF"/>
              <w:right w:val="single" w:sz="4" w:space="0" w:color="BFBFBF" w:themeColor="background1" w:themeShade="BF"/>
            </w:tcBorders>
            <w:vAlign w:val="center"/>
            <w:hideMark/>
          </w:tcPr>
          <w:p w:rsidR="00155B71" w:rsidRDefault="00155B71">
            <w:pPr>
              <w:spacing w:line="240" w:lineRule="auto"/>
              <w:rPr>
                <w:rFonts w:cs="Arial"/>
                <w:b/>
                <w:sz w:val="16"/>
                <w:szCs w:val="16"/>
              </w:rPr>
            </w:pPr>
          </w:p>
        </w:tc>
        <w:tc>
          <w:tcPr>
            <w:tcW w:w="1796"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155B71">
            <w:pPr>
              <w:widowControl w:val="0"/>
              <w:spacing w:line="240" w:lineRule="exact"/>
              <w:jc w:val="center"/>
              <w:rPr>
                <w:rFonts w:cs="Arial"/>
                <w:b/>
                <w:bCs/>
                <w:sz w:val="16"/>
                <w:szCs w:val="16"/>
                <w:lang w:val="es-ES_tradnl"/>
              </w:rPr>
            </w:pPr>
            <w:r>
              <w:rPr>
                <w:rFonts w:cs="Arial"/>
                <w:b/>
                <w:sz w:val="16"/>
                <w:szCs w:val="16"/>
              </w:rPr>
              <w:t>Empleo</w:t>
            </w:r>
          </w:p>
        </w:tc>
        <w:tc>
          <w:tcPr>
            <w:tcW w:w="1937" w:type="pct"/>
            <w:gridSpan w:val="2"/>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155B71">
            <w:pPr>
              <w:widowControl w:val="0"/>
              <w:spacing w:line="240" w:lineRule="exact"/>
              <w:jc w:val="center"/>
              <w:rPr>
                <w:rFonts w:cs="Arial"/>
                <w:b/>
                <w:sz w:val="16"/>
                <w:szCs w:val="16"/>
              </w:rPr>
            </w:pPr>
            <w:r>
              <w:rPr>
                <w:rFonts w:cs="Arial"/>
                <w:b/>
                <w:bCs/>
                <w:sz w:val="16"/>
                <w:szCs w:val="16"/>
                <w:lang w:val="es-ES_tradnl"/>
              </w:rPr>
              <w:t>Facturación</w:t>
            </w:r>
          </w:p>
        </w:tc>
      </w:tr>
      <w:tr w:rsidR="00155B71" w:rsidTr="00D4140D">
        <w:trPr>
          <w:jc w:val="center"/>
        </w:trPr>
        <w:tc>
          <w:tcPr>
            <w:tcW w:w="1267" w:type="pct"/>
            <w:tcBorders>
              <w:top w:val="single" w:sz="4" w:space="0" w:color="BFBFBF" w:themeColor="background1" w:themeShade="BF"/>
              <w:left w:val="nil"/>
              <w:bottom w:val="nil"/>
              <w:right w:val="single" w:sz="4" w:space="0" w:color="BFBFBF" w:themeColor="background1" w:themeShade="BF"/>
            </w:tcBorders>
            <w:vAlign w:val="bottom"/>
            <w:hideMark/>
          </w:tcPr>
          <w:p w:rsidR="00155B71" w:rsidRDefault="00155B71">
            <w:pPr>
              <w:spacing w:line="240" w:lineRule="exact"/>
              <w:rPr>
                <w:rFonts w:cs="Arial"/>
                <w:color w:val="000000"/>
                <w:sz w:val="16"/>
                <w:szCs w:val="16"/>
              </w:rPr>
            </w:pPr>
            <w:r>
              <w:rPr>
                <w:rFonts w:cs="Arial"/>
                <w:color w:val="000000"/>
                <w:sz w:val="16"/>
                <w:szCs w:val="16"/>
              </w:rPr>
              <w:t xml:space="preserve">S. </w:t>
            </w:r>
            <w:proofErr w:type="spellStart"/>
            <w:r>
              <w:rPr>
                <w:rFonts w:cs="Arial"/>
                <w:color w:val="000000"/>
                <w:sz w:val="16"/>
                <w:szCs w:val="16"/>
              </w:rPr>
              <w:t>Coop</w:t>
            </w:r>
            <w:proofErr w:type="spellEnd"/>
          </w:p>
        </w:tc>
        <w:tc>
          <w:tcPr>
            <w:tcW w:w="1801"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4C34D4" w:rsidRPr="005334EF" w:rsidRDefault="004C34D4" w:rsidP="004C34D4">
            <w:pPr>
              <w:widowControl w:val="0"/>
              <w:spacing w:line="240" w:lineRule="exact"/>
              <w:ind w:right="284"/>
              <w:jc w:val="center"/>
              <w:rPr>
                <w:rFonts w:cs="Arial"/>
                <w:color w:val="76923C" w:themeColor="accent3" w:themeShade="BF"/>
                <w:sz w:val="16"/>
                <w:szCs w:val="16"/>
              </w:rPr>
            </w:pPr>
            <w:r w:rsidRPr="005334EF">
              <w:rPr>
                <w:rFonts w:cs="Arial"/>
                <w:color w:val="76923C" w:themeColor="accent3" w:themeShade="BF"/>
                <w:sz w:val="16"/>
                <w:szCs w:val="16"/>
              </w:rPr>
              <w:t>+1,38</w:t>
            </w:r>
          </w:p>
        </w:tc>
        <w:tc>
          <w:tcPr>
            <w:tcW w:w="1932"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4C34D4" w:rsidRPr="005334EF" w:rsidRDefault="004C34D4" w:rsidP="004C34D4">
            <w:pPr>
              <w:spacing w:line="240" w:lineRule="exact"/>
              <w:ind w:right="284"/>
              <w:jc w:val="center"/>
              <w:rPr>
                <w:rFonts w:cs="Arial"/>
                <w:color w:val="76923C" w:themeColor="accent3" w:themeShade="BF"/>
                <w:sz w:val="16"/>
                <w:szCs w:val="16"/>
              </w:rPr>
            </w:pPr>
            <w:r w:rsidRPr="005334EF">
              <w:rPr>
                <w:rFonts w:cs="Arial"/>
                <w:color w:val="76923C" w:themeColor="accent3" w:themeShade="BF"/>
                <w:sz w:val="16"/>
                <w:szCs w:val="16"/>
              </w:rPr>
              <w:t>+1,96</w:t>
            </w:r>
          </w:p>
          <w:p w:rsidR="004C34D4" w:rsidRPr="005334EF" w:rsidRDefault="004C34D4" w:rsidP="004C34D4">
            <w:pPr>
              <w:widowControl w:val="0"/>
              <w:spacing w:line="240" w:lineRule="exact"/>
              <w:ind w:right="284"/>
              <w:jc w:val="center"/>
              <w:rPr>
                <w:rFonts w:cs="Arial"/>
                <w:color w:val="FF0000"/>
                <w:sz w:val="16"/>
                <w:szCs w:val="16"/>
              </w:rPr>
            </w:pPr>
            <w:r w:rsidRPr="005334EF">
              <w:rPr>
                <w:rFonts w:cs="Arial"/>
                <w:color w:val="FF0000"/>
                <w:sz w:val="16"/>
                <w:szCs w:val="16"/>
              </w:rPr>
              <w:t>-1,67%</w:t>
            </w:r>
          </w:p>
          <w:p w:rsidR="004C34D4" w:rsidRPr="004C34D4" w:rsidRDefault="004C34D4" w:rsidP="004C34D4">
            <w:pPr>
              <w:widowControl w:val="0"/>
              <w:spacing w:line="240" w:lineRule="exact"/>
              <w:ind w:right="284"/>
              <w:jc w:val="center"/>
              <w:rPr>
                <w:rFonts w:cs="Arial"/>
                <w:b/>
                <w:color w:val="76923C" w:themeColor="accent3" w:themeShade="BF"/>
                <w:sz w:val="16"/>
                <w:szCs w:val="16"/>
              </w:rPr>
            </w:pPr>
            <w:r w:rsidRPr="005334EF">
              <w:rPr>
                <w:rFonts w:cs="Arial"/>
                <w:color w:val="76923C" w:themeColor="accent3" w:themeShade="BF"/>
                <w:sz w:val="16"/>
                <w:szCs w:val="16"/>
              </w:rPr>
              <w:t>2,89%</w:t>
            </w:r>
          </w:p>
        </w:tc>
      </w:tr>
      <w:tr w:rsidR="00155B71" w:rsidTr="00155B71">
        <w:trPr>
          <w:jc w:val="center"/>
        </w:trPr>
        <w:tc>
          <w:tcPr>
            <w:tcW w:w="1267" w:type="pct"/>
            <w:tcBorders>
              <w:top w:val="nil"/>
              <w:left w:val="nil"/>
              <w:bottom w:val="single" w:sz="4" w:space="0" w:color="BFBFBF" w:themeColor="background1" w:themeShade="BF"/>
              <w:right w:val="single" w:sz="4" w:space="0" w:color="BFBFBF" w:themeColor="background1" w:themeShade="BF"/>
            </w:tcBorders>
            <w:vAlign w:val="bottom"/>
            <w:hideMark/>
          </w:tcPr>
          <w:p w:rsidR="00155B71" w:rsidRDefault="00155B71">
            <w:pPr>
              <w:spacing w:line="240" w:lineRule="exact"/>
              <w:rPr>
                <w:rFonts w:cs="Arial"/>
                <w:color w:val="000000"/>
                <w:sz w:val="16"/>
                <w:szCs w:val="16"/>
              </w:rPr>
            </w:pPr>
            <w:r>
              <w:rPr>
                <w:rFonts w:cs="Arial"/>
                <w:color w:val="000000"/>
                <w:sz w:val="16"/>
                <w:szCs w:val="16"/>
              </w:rPr>
              <w:t>SAL</w:t>
            </w:r>
          </w:p>
          <w:p w:rsidR="00155B71" w:rsidRDefault="00155B71">
            <w:pPr>
              <w:spacing w:line="240" w:lineRule="exact"/>
              <w:rPr>
                <w:rFonts w:cs="Arial"/>
                <w:color w:val="000000"/>
                <w:sz w:val="16"/>
                <w:szCs w:val="16"/>
              </w:rPr>
            </w:pPr>
            <w:r>
              <w:rPr>
                <w:rFonts w:cs="Arial"/>
                <w:color w:val="000000"/>
                <w:sz w:val="16"/>
                <w:szCs w:val="16"/>
              </w:rPr>
              <w:t>SLL</w:t>
            </w:r>
          </w:p>
        </w:tc>
        <w:tc>
          <w:tcPr>
            <w:tcW w:w="1801"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4C34D4" w:rsidRPr="005334EF" w:rsidRDefault="004C34D4" w:rsidP="004C34D4">
            <w:pPr>
              <w:widowControl w:val="0"/>
              <w:spacing w:line="240" w:lineRule="exact"/>
              <w:ind w:right="284"/>
              <w:jc w:val="center"/>
              <w:rPr>
                <w:rFonts w:cs="Arial"/>
                <w:color w:val="76923C" w:themeColor="accent3" w:themeShade="BF"/>
                <w:sz w:val="16"/>
                <w:szCs w:val="16"/>
              </w:rPr>
            </w:pPr>
            <w:r w:rsidRPr="005334EF">
              <w:rPr>
                <w:rFonts w:cs="Arial"/>
                <w:color w:val="76923C" w:themeColor="accent3" w:themeShade="BF"/>
                <w:sz w:val="16"/>
                <w:szCs w:val="16"/>
              </w:rPr>
              <w:t>+0,88</w:t>
            </w:r>
          </w:p>
          <w:p w:rsidR="00155B71" w:rsidRPr="005334EF" w:rsidRDefault="004C34D4" w:rsidP="004C34D4">
            <w:pPr>
              <w:spacing w:line="240" w:lineRule="exact"/>
              <w:ind w:right="284"/>
              <w:jc w:val="center"/>
              <w:rPr>
                <w:rFonts w:cs="Arial"/>
                <w:color w:val="FF0000"/>
                <w:sz w:val="16"/>
                <w:szCs w:val="16"/>
              </w:rPr>
            </w:pPr>
            <w:r w:rsidRPr="005334EF">
              <w:rPr>
                <w:rFonts w:cs="Arial"/>
                <w:color w:val="76923C" w:themeColor="accent3" w:themeShade="BF"/>
                <w:sz w:val="16"/>
                <w:szCs w:val="16"/>
              </w:rPr>
              <w:t>+2,62</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155B71" w:rsidRDefault="00155B71">
            <w:pPr>
              <w:spacing w:line="240" w:lineRule="auto"/>
              <w:rPr>
                <w:rFonts w:cs="Arial"/>
                <w:color w:val="FF0000"/>
                <w:sz w:val="16"/>
                <w:szCs w:val="16"/>
              </w:rPr>
            </w:pPr>
          </w:p>
        </w:tc>
      </w:tr>
      <w:tr w:rsidR="00D4140D" w:rsidTr="00D4140D">
        <w:trPr>
          <w:jc w:val="center"/>
        </w:trPr>
        <w:tc>
          <w:tcPr>
            <w:tcW w:w="126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hideMark/>
          </w:tcPr>
          <w:p w:rsidR="00D4140D" w:rsidRDefault="00D4140D">
            <w:pPr>
              <w:widowControl w:val="0"/>
              <w:spacing w:line="240" w:lineRule="exact"/>
              <w:rPr>
                <w:rFonts w:cs="Arial"/>
                <w:b/>
                <w:sz w:val="16"/>
                <w:szCs w:val="16"/>
              </w:rPr>
            </w:pPr>
            <w:r>
              <w:rPr>
                <w:rFonts w:cs="Arial"/>
                <w:b/>
                <w:sz w:val="16"/>
                <w:szCs w:val="16"/>
              </w:rPr>
              <w:t>TOTAL</w:t>
            </w:r>
          </w:p>
        </w:tc>
        <w:tc>
          <w:tcPr>
            <w:tcW w:w="18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D4140D" w:rsidRPr="00D4140D" w:rsidRDefault="00D4140D" w:rsidP="00F160D5">
            <w:pPr>
              <w:widowControl w:val="0"/>
              <w:spacing w:line="240" w:lineRule="exact"/>
              <w:ind w:right="284"/>
              <w:jc w:val="center"/>
              <w:rPr>
                <w:rFonts w:cs="Arial"/>
                <w:b/>
                <w:color w:val="76923C" w:themeColor="accent3" w:themeShade="BF"/>
                <w:sz w:val="16"/>
                <w:szCs w:val="16"/>
              </w:rPr>
            </w:pPr>
            <w:r>
              <w:rPr>
                <w:rFonts w:cs="Arial"/>
                <w:b/>
                <w:color w:val="76923C" w:themeColor="accent3" w:themeShade="BF"/>
                <w:sz w:val="16"/>
                <w:szCs w:val="16"/>
              </w:rPr>
              <w:t>+</w:t>
            </w:r>
            <w:r w:rsidRPr="00D4140D">
              <w:rPr>
                <w:rFonts w:cs="Arial"/>
                <w:b/>
                <w:color w:val="76923C" w:themeColor="accent3" w:themeShade="BF"/>
                <w:sz w:val="16"/>
                <w:szCs w:val="16"/>
              </w:rPr>
              <w:t>1,45%</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D4140D" w:rsidRPr="00D4140D" w:rsidRDefault="00D4140D" w:rsidP="00F160D5">
            <w:pPr>
              <w:widowControl w:val="0"/>
              <w:spacing w:line="240" w:lineRule="exact"/>
              <w:ind w:right="284"/>
              <w:jc w:val="center"/>
              <w:rPr>
                <w:rFonts w:cs="Arial"/>
                <w:b/>
                <w:color w:val="76923C" w:themeColor="accent3" w:themeShade="BF"/>
                <w:sz w:val="16"/>
                <w:szCs w:val="16"/>
              </w:rPr>
            </w:pPr>
            <w:r>
              <w:rPr>
                <w:rFonts w:cs="Arial"/>
                <w:b/>
                <w:color w:val="76923C" w:themeColor="accent3" w:themeShade="BF"/>
                <w:sz w:val="16"/>
                <w:szCs w:val="16"/>
              </w:rPr>
              <w:t>+</w:t>
            </w:r>
            <w:r w:rsidRPr="00D4140D">
              <w:rPr>
                <w:rFonts w:cs="Arial"/>
                <w:b/>
                <w:color w:val="76923C" w:themeColor="accent3" w:themeShade="BF"/>
                <w:sz w:val="16"/>
                <w:szCs w:val="16"/>
              </w:rPr>
              <w:t>1,88%</w:t>
            </w:r>
          </w:p>
        </w:tc>
      </w:tr>
    </w:tbl>
    <w:p w:rsidR="00155B71" w:rsidRDefault="00155B71" w:rsidP="00155B71">
      <w:pPr>
        <w:rPr>
          <w:i/>
        </w:rPr>
      </w:pPr>
    </w:p>
    <w:p w:rsidR="00155B71" w:rsidRDefault="008D5779" w:rsidP="00155B71">
      <w:pPr>
        <w:spacing w:line="240" w:lineRule="auto"/>
        <w:jc w:val="center"/>
        <w:rPr>
          <w:rFonts w:cs="Arial"/>
          <w:b/>
          <w:snapToGrid w:val="0"/>
          <w:color w:val="1F497D" w:themeColor="text2"/>
          <w:sz w:val="18"/>
          <w:szCs w:val="18"/>
          <w:lang w:val="es-ES_tradnl"/>
        </w:rPr>
      </w:pPr>
      <w:bookmarkStart w:id="284" w:name="_Toc391999669"/>
      <w:bookmarkStart w:id="285" w:name="_Toc450119735"/>
      <w:r w:rsidRPr="008D5779">
        <w:rPr>
          <w:rFonts w:cs="Arial"/>
          <w:b/>
          <w:color w:val="1F497D" w:themeColor="text2"/>
          <w:sz w:val="18"/>
          <w:szCs w:val="18"/>
        </w:rPr>
        <w:t>Cuadro 2.</w:t>
      </w:r>
      <w:r w:rsidR="00771A61" w:rsidRPr="008D5779">
        <w:rPr>
          <w:rFonts w:cs="Arial"/>
          <w:b/>
          <w:color w:val="1F497D" w:themeColor="text2"/>
          <w:sz w:val="18"/>
          <w:szCs w:val="18"/>
        </w:rPr>
        <w:fldChar w:fldCharType="begin"/>
      </w:r>
      <w:r w:rsidRPr="008D5779">
        <w:rPr>
          <w:rFonts w:cs="Arial"/>
          <w:b/>
          <w:color w:val="1F497D" w:themeColor="text2"/>
          <w:sz w:val="18"/>
          <w:szCs w:val="18"/>
        </w:rPr>
        <w:instrText xml:space="preserve"> SEQ Cuadro_2. \* ARABIC </w:instrText>
      </w:r>
      <w:r w:rsidR="00771A61" w:rsidRPr="008D5779">
        <w:rPr>
          <w:rFonts w:cs="Arial"/>
          <w:b/>
          <w:color w:val="1F497D" w:themeColor="text2"/>
          <w:sz w:val="18"/>
          <w:szCs w:val="18"/>
        </w:rPr>
        <w:fldChar w:fldCharType="separate"/>
      </w:r>
      <w:r w:rsidR="00FC71A9">
        <w:rPr>
          <w:rFonts w:cs="Arial"/>
          <w:b/>
          <w:noProof/>
          <w:color w:val="1F497D" w:themeColor="text2"/>
          <w:sz w:val="18"/>
          <w:szCs w:val="18"/>
        </w:rPr>
        <w:t>3</w:t>
      </w:r>
      <w:r w:rsidR="00771A61" w:rsidRPr="008D5779">
        <w:rPr>
          <w:rFonts w:cs="Arial"/>
          <w:b/>
          <w:color w:val="1F497D" w:themeColor="text2"/>
          <w:sz w:val="18"/>
          <w:szCs w:val="18"/>
        </w:rPr>
        <w:fldChar w:fldCharType="end"/>
      </w:r>
      <w:r w:rsidRPr="008D5779">
        <w:rPr>
          <w:rFonts w:cs="Arial"/>
          <w:b/>
          <w:color w:val="1F497D" w:themeColor="text2"/>
          <w:sz w:val="18"/>
          <w:szCs w:val="18"/>
        </w:rPr>
        <w:t xml:space="preserve"> </w:t>
      </w:r>
      <w:r w:rsidR="00155B71">
        <w:rPr>
          <w:rFonts w:cs="Arial"/>
          <w:b/>
          <w:snapToGrid w:val="0"/>
          <w:color w:val="1F497D" w:themeColor="text2"/>
          <w:sz w:val="18"/>
          <w:szCs w:val="18"/>
          <w:lang w:val="es-ES_tradnl"/>
        </w:rPr>
        <w:t>ANÁLISIS POR TERRITORIO HISTÓRICO. EVOLUCIÓN DEL EMPLEO</w:t>
      </w:r>
      <w:r w:rsidR="00D1570D">
        <w:rPr>
          <w:rFonts w:cs="Arial"/>
          <w:b/>
          <w:snapToGrid w:val="0"/>
          <w:color w:val="1F497D" w:themeColor="text2"/>
          <w:sz w:val="18"/>
          <w:szCs w:val="18"/>
          <w:lang w:val="es-ES_tradnl"/>
        </w:rPr>
        <w:t xml:space="preserve"> Y LA FACTURACIÓN PREVISTA. 2014</w:t>
      </w:r>
      <w:r w:rsidR="00155B71">
        <w:rPr>
          <w:rFonts w:cs="Arial"/>
          <w:b/>
          <w:snapToGrid w:val="0"/>
          <w:color w:val="1F497D" w:themeColor="text2"/>
          <w:sz w:val="18"/>
          <w:szCs w:val="18"/>
          <w:lang w:val="es-ES_tradnl"/>
        </w:rPr>
        <w:t>-201</w:t>
      </w:r>
      <w:bookmarkEnd w:id="284"/>
      <w:r w:rsidR="00D1570D">
        <w:rPr>
          <w:rFonts w:cs="Arial"/>
          <w:b/>
          <w:snapToGrid w:val="0"/>
          <w:color w:val="1F497D" w:themeColor="text2"/>
          <w:sz w:val="18"/>
          <w:szCs w:val="18"/>
          <w:lang w:val="es-ES_tradnl"/>
        </w:rPr>
        <w:t>5</w:t>
      </w:r>
      <w:bookmarkEnd w:id="285"/>
    </w:p>
    <w:tbl>
      <w:tblPr>
        <w:tblW w:w="5000" w:type="pct"/>
        <w:jc w:val="center"/>
        <w:tblLook w:val="04A0" w:firstRow="1" w:lastRow="0" w:firstColumn="1" w:lastColumn="0" w:noHBand="0" w:noVBand="1"/>
      </w:tblPr>
      <w:tblGrid>
        <w:gridCol w:w="2282"/>
        <w:gridCol w:w="3234"/>
        <w:gridCol w:w="9"/>
        <w:gridCol w:w="3479"/>
      </w:tblGrid>
      <w:tr w:rsidR="00155B71" w:rsidTr="00155B71">
        <w:trPr>
          <w:jc w:val="center"/>
        </w:trPr>
        <w:tc>
          <w:tcPr>
            <w:tcW w:w="1267" w:type="pct"/>
            <w:vMerge w:val="restar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rsidR="00155B71" w:rsidRDefault="00155B71">
            <w:pPr>
              <w:widowControl w:val="0"/>
              <w:spacing w:line="240" w:lineRule="exact"/>
              <w:jc w:val="center"/>
              <w:rPr>
                <w:rFonts w:cs="Arial"/>
                <w:b/>
                <w:sz w:val="16"/>
                <w:szCs w:val="16"/>
              </w:rPr>
            </w:pPr>
          </w:p>
        </w:tc>
        <w:tc>
          <w:tcPr>
            <w:tcW w:w="3733" w:type="pct"/>
            <w:gridSpan w:val="3"/>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D1570D">
            <w:pPr>
              <w:widowControl w:val="0"/>
              <w:spacing w:line="240" w:lineRule="exact"/>
              <w:jc w:val="center"/>
              <w:rPr>
                <w:rFonts w:cs="Arial"/>
                <w:b/>
                <w:sz w:val="16"/>
                <w:szCs w:val="16"/>
              </w:rPr>
            </w:pPr>
            <w:r>
              <w:rPr>
                <w:rFonts w:cs="Arial"/>
                <w:b/>
                <w:sz w:val="16"/>
                <w:szCs w:val="16"/>
              </w:rPr>
              <w:t>Evolución 2014 - 2015</w:t>
            </w:r>
          </w:p>
        </w:tc>
      </w:tr>
      <w:tr w:rsidR="00155B71" w:rsidTr="00155B71">
        <w:trPr>
          <w:jc w:val="center"/>
        </w:trPr>
        <w:tc>
          <w:tcPr>
            <w:tcW w:w="0" w:type="auto"/>
            <w:vMerge/>
            <w:tcBorders>
              <w:top w:val="nil"/>
              <w:left w:val="nil"/>
              <w:bottom w:val="single" w:sz="4" w:space="0" w:color="BFBFBF" w:themeColor="background1" w:themeShade="BF"/>
              <w:right w:val="single" w:sz="4" w:space="0" w:color="BFBFBF" w:themeColor="background1" w:themeShade="BF"/>
            </w:tcBorders>
            <w:vAlign w:val="center"/>
            <w:hideMark/>
          </w:tcPr>
          <w:p w:rsidR="00155B71" w:rsidRDefault="00155B71">
            <w:pPr>
              <w:spacing w:line="240" w:lineRule="auto"/>
              <w:rPr>
                <w:rFonts w:cs="Arial"/>
                <w:b/>
                <w:sz w:val="16"/>
                <w:szCs w:val="16"/>
              </w:rPr>
            </w:pPr>
          </w:p>
        </w:tc>
        <w:tc>
          <w:tcPr>
            <w:tcW w:w="1796"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155B71">
            <w:pPr>
              <w:widowControl w:val="0"/>
              <w:spacing w:line="240" w:lineRule="exact"/>
              <w:jc w:val="center"/>
              <w:rPr>
                <w:rFonts w:cs="Arial"/>
                <w:b/>
                <w:bCs/>
                <w:sz w:val="16"/>
                <w:szCs w:val="16"/>
                <w:lang w:val="es-ES_tradnl"/>
              </w:rPr>
            </w:pPr>
            <w:r>
              <w:rPr>
                <w:rFonts w:cs="Arial"/>
                <w:b/>
                <w:sz w:val="16"/>
                <w:szCs w:val="16"/>
              </w:rPr>
              <w:t>Empleo</w:t>
            </w:r>
          </w:p>
        </w:tc>
        <w:tc>
          <w:tcPr>
            <w:tcW w:w="1936" w:type="pct"/>
            <w:gridSpan w:val="2"/>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rsidR="00155B71" w:rsidRDefault="00155B71">
            <w:pPr>
              <w:widowControl w:val="0"/>
              <w:spacing w:line="240" w:lineRule="exact"/>
              <w:jc w:val="center"/>
              <w:rPr>
                <w:rFonts w:cs="Arial"/>
                <w:b/>
                <w:sz w:val="16"/>
                <w:szCs w:val="16"/>
              </w:rPr>
            </w:pPr>
            <w:r>
              <w:rPr>
                <w:rFonts w:cs="Arial"/>
                <w:b/>
                <w:bCs/>
                <w:sz w:val="16"/>
                <w:szCs w:val="16"/>
                <w:lang w:val="es-ES_tradnl"/>
              </w:rPr>
              <w:t>Facturación</w:t>
            </w:r>
          </w:p>
        </w:tc>
      </w:tr>
      <w:tr w:rsidR="00155B71" w:rsidTr="00155B71">
        <w:trPr>
          <w:jc w:val="center"/>
        </w:trPr>
        <w:tc>
          <w:tcPr>
            <w:tcW w:w="1267" w:type="pct"/>
            <w:tcBorders>
              <w:top w:val="single" w:sz="4" w:space="0" w:color="BFBFBF" w:themeColor="background1" w:themeShade="BF"/>
              <w:left w:val="nil"/>
              <w:bottom w:val="nil"/>
              <w:right w:val="single" w:sz="4" w:space="0" w:color="BFBFBF" w:themeColor="background1" w:themeShade="BF"/>
            </w:tcBorders>
            <w:vAlign w:val="bottom"/>
            <w:hideMark/>
          </w:tcPr>
          <w:p w:rsidR="00155B71" w:rsidRDefault="00155B71">
            <w:pPr>
              <w:spacing w:line="240" w:lineRule="exact"/>
              <w:rPr>
                <w:rFonts w:cs="Arial"/>
                <w:color w:val="000000"/>
                <w:sz w:val="16"/>
                <w:szCs w:val="16"/>
              </w:rPr>
            </w:pPr>
            <w:r>
              <w:rPr>
                <w:rFonts w:cs="Arial"/>
                <w:color w:val="000000"/>
                <w:sz w:val="16"/>
                <w:szCs w:val="16"/>
              </w:rPr>
              <w:t>Álava</w:t>
            </w:r>
          </w:p>
        </w:tc>
        <w:tc>
          <w:tcPr>
            <w:tcW w:w="1801"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rsidR="00155B71" w:rsidRDefault="00D4140D">
            <w:pPr>
              <w:widowControl w:val="0"/>
              <w:spacing w:line="240" w:lineRule="exact"/>
              <w:ind w:right="284"/>
              <w:jc w:val="center"/>
              <w:rPr>
                <w:rFonts w:cs="Arial"/>
                <w:color w:val="FF0000"/>
                <w:sz w:val="16"/>
                <w:szCs w:val="16"/>
              </w:rPr>
            </w:pPr>
            <w:r>
              <w:rPr>
                <w:rFonts w:cs="Arial"/>
                <w:color w:val="FF0000"/>
                <w:sz w:val="16"/>
                <w:szCs w:val="16"/>
              </w:rPr>
              <w:t>-1,24</w:t>
            </w:r>
            <w:r w:rsidR="00155B71">
              <w:rPr>
                <w:rFonts w:cs="Arial"/>
                <w:color w:val="FF0000"/>
                <w:sz w:val="16"/>
                <w:szCs w:val="16"/>
              </w:rPr>
              <w:t>%</w:t>
            </w:r>
          </w:p>
        </w:tc>
        <w:tc>
          <w:tcPr>
            <w:tcW w:w="1931"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155B71" w:rsidRDefault="00D4140D">
            <w:pPr>
              <w:widowControl w:val="0"/>
              <w:spacing w:line="240" w:lineRule="exact"/>
              <w:ind w:right="284"/>
              <w:jc w:val="center"/>
              <w:rPr>
                <w:rFonts w:cs="Arial"/>
                <w:color w:val="FF0000"/>
                <w:sz w:val="16"/>
                <w:szCs w:val="16"/>
              </w:rPr>
            </w:pPr>
            <w:r>
              <w:rPr>
                <w:rFonts w:cs="Arial"/>
                <w:color w:val="FF0000"/>
                <w:sz w:val="16"/>
                <w:szCs w:val="16"/>
              </w:rPr>
              <w:t>-1,49%</w:t>
            </w:r>
          </w:p>
          <w:p w:rsidR="00D4140D" w:rsidRPr="00D4140D" w:rsidRDefault="00D4140D">
            <w:pPr>
              <w:widowControl w:val="0"/>
              <w:spacing w:line="240" w:lineRule="exact"/>
              <w:ind w:right="284"/>
              <w:jc w:val="center"/>
              <w:rPr>
                <w:rFonts w:cs="Arial"/>
                <w:color w:val="76923C" w:themeColor="accent3" w:themeShade="BF"/>
                <w:sz w:val="16"/>
                <w:szCs w:val="16"/>
              </w:rPr>
            </w:pPr>
            <w:r w:rsidRPr="00D4140D">
              <w:rPr>
                <w:rFonts w:cs="Arial"/>
                <w:color w:val="76923C" w:themeColor="accent3" w:themeShade="BF"/>
                <w:sz w:val="16"/>
                <w:szCs w:val="16"/>
              </w:rPr>
              <w:t>+1,52%</w:t>
            </w:r>
          </w:p>
          <w:p w:rsidR="00155B71" w:rsidRDefault="00D4140D">
            <w:pPr>
              <w:spacing w:line="240" w:lineRule="exact"/>
              <w:ind w:right="284"/>
              <w:jc w:val="center"/>
              <w:rPr>
                <w:rFonts w:cs="Arial"/>
                <w:color w:val="76923C" w:themeColor="accent3" w:themeShade="BF"/>
                <w:sz w:val="16"/>
                <w:szCs w:val="16"/>
              </w:rPr>
            </w:pPr>
            <w:r>
              <w:rPr>
                <w:rFonts w:cs="Arial"/>
                <w:color w:val="76923C" w:themeColor="accent3" w:themeShade="BF"/>
                <w:sz w:val="16"/>
                <w:szCs w:val="16"/>
              </w:rPr>
              <w:t>+2,88%</w:t>
            </w:r>
          </w:p>
        </w:tc>
      </w:tr>
      <w:tr w:rsidR="00155B71" w:rsidTr="00155B71">
        <w:trPr>
          <w:jc w:val="center"/>
        </w:trPr>
        <w:tc>
          <w:tcPr>
            <w:tcW w:w="1267" w:type="pct"/>
            <w:tcBorders>
              <w:top w:val="nil"/>
              <w:left w:val="nil"/>
              <w:bottom w:val="single" w:sz="4" w:space="0" w:color="BFBFBF" w:themeColor="background1" w:themeShade="BF"/>
              <w:right w:val="single" w:sz="4" w:space="0" w:color="BFBFBF" w:themeColor="background1" w:themeShade="BF"/>
            </w:tcBorders>
            <w:vAlign w:val="bottom"/>
            <w:hideMark/>
          </w:tcPr>
          <w:p w:rsidR="00155B71" w:rsidRDefault="00155B71">
            <w:pPr>
              <w:spacing w:line="240" w:lineRule="exact"/>
              <w:rPr>
                <w:rFonts w:cs="Arial"/>
                <w:color w:val="000000"/>
                <w:sz w:val="16"/>
                <w:szCs w:val="16"/>
              </w:rPr>
            </w:pPr>
            <w:proofErr w:type="spellStart"/>
            <w:r>
              <w:rPr>
                <w:rFonts w:cs="Arial"/>
                <w:color w:val="000000"/>
                <w:sz w:val="16"/>
                <w:szCs w:val="16"/>
              </w:rPr>
              <w:t>Bizkaia</w:t>
            </w:r>
            <w:proofErr w:type="spellEnd"/>
          </w:p>
          <w:p w:rsidR="00155B71" w:rsidRDefault="00155B71">
            <w:pPr>
              <w:spacing w:line="240" w:lineRule="exact"/>
              <w:rPr>
                <w:rFonts w:cs="Arial"/>
                <w:color w:val="000000"/>
                <w:sz w:val="16"/>
                <w:szCs w:val="16"/>
              </w:rPr>
            </w:pPr>
            <w:proofErr w:type="spellStart"/>
            <w:r>
              <w:rPr>
                <w:rFonts w:cs="Arial"/>
                <w:color w:val="000000"/>
                <w:sz w:val="16"/>
                <w:szCs w:val="16"/>
              </w:rPr>
              <w:t>Gipuzkoa</w:t>
            </w:r>
            <w:proofErr w:type="spellEnd"/>
          </w:p>
        </w:tc>
        <w:tc>
          <w:tcPr>
            <w:tcW w:w="1801"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D4140D" w:rsidRDefault="00D4140D" w:rsidP="00D4140D">
            <w:pPr>
              <w:spacing w:line="240" w:lineRule="exact"/>
              <w:ind w:right="284"/>
              <w:jc w:val="center"/>
              <w:rPr>
                <w:rFonts w:cs="Arial"/>
                <w:color w:val="76923C" w:themeColor="accent3" w:themeShade="BF"/>
                <w:sz w:val="16"/>
                <w:szCs w:val="16"/>
              </w:rPr>
            </w:pPr>
            <w:r>
              <w:rPr>
                <w:rFonts w:cs="Arial"/>
                <w:color w:val="76923C" w:themeColor="accent3" w:themeShade="BF"/>
                <w:sz w:val="16"/>
                <w:szCs w:val="16"/>
              </w:rPr>
              <w:t>+0,26%</w:t>
            </w:r>
          </w:p>
          <w:p w:rsidR="00155B71" w:rsidRDefault="00D4140D" w:rsidP="00D4140D">
            <w:pPr>
              <w:spacing w:line="240" w:lineRule="exact"/>
              <w:ind w:right="284"/>
              <w:jc w:val="center"/>
              <w:rPr>
                <w:rFonts w:cs="Arial"/>
                <w:color w:val="76923C" w:themeColor="accent3" w:themeShade="BF"/>
                <w:sz w:val="16"/>
                <w:szCs w:val="16"/>
              </w:rPr>
            </w:pPr>
            <w:r>
              <w:rPr>
                <w:rFonts w:cs="Arial"/>
                <w:color w:val="76923C" w:themeColor="accent3" w:themeShade="BF"/>
                <w:sz w:val="16"/>
                <w:szCs w:val="16"/>
              </w:rPr>
              <w:t>+2,96%</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155B71" w:rsidRDefault="00155B71">
            <w:pPr>
              <w:spacing w:line="240" w:lineRule="auto"/>
              <w:rPr>
                <w:rFonts w:cs="Arial"/>
                <w:color w:val="76923C" w:themeColor="accent3" w:themeShade="BF"/>
                <w:sz w:val="16"/>
                <w:szCs w:val="16"/>
              </w:rPr>
            </w:pPr>
          </w:p>
        </w:tc>
      </w:tr>
      <w:tr w:rsidR="00155B71" w:rsidTr="00155B71">
        <w:trPr>
          <w:jc w:val="center"/>
        </w:trPr>
        <w:tc>
          <w:tcPr>
            <w:tcW w:w="126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hideMark/>
          </w:tcPr>
          <w:p w:rsidR="00155B71" w:rsidRDefault="00155B71">
            <w:pPr>
              <w:widowControl w:val="0"/>
              <w:spacing w:line="240" w:lineRule="exact"/>
              <w:rPr>
                <w:rFonts w:cs="Arial"/>
                <w:b/>
                <w:sz w:val="16"/>
                <w:szCs w:val="16"/>
              </w:rPr>
            </w:pPr>
            <w:r>
              <w:rPr>
                <w:rFonts w:cs="Arial"/>
                <w:b/>
                <w:sz w:val="16"/>
                <w:szCs w:val="16"/>
              </w:rPr>
              <w:t>TOTAL</w:t>
            </w:r>
          </w:p>
        </w:tc>
        <w:tc>
          <w:tcPr>
            <w:tcW w:w="18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155B71" w:rsidRPr="00D4140D" w:rsidRDefault="00D4140D">
            <w:pPr>
              <w:widowControl w:val="0"/>
              <w:spacing w:line="240" w:lineRule="exact"/>
              <w:ind w:right="284"/>
              <w:jc w:val="center"/>
              <w:rPr>
                <w:rFonts w:cs="Arial"/>
                <w:b/>
                <w:color w:val="76923C" w:themeColor="accent3" w:themeShade="BF"/>
                <w:sz w:val="16"/>
                <w:szCs w:val="16"/>
              </w:rPr>
            </w:pPr>
            <w:r>
              <w:rPr>
                <w:rFonts w:cs="Arial"/>
                <w:b/>
                <w:color w:val="76923C" w:themeColor="accent3" w:themeShade="BF"/>
                <w:sz w:val="16"/>
                <w:szCs w:val="16"/>
              </w:rPr>
              <w:t>+</w:t>
            </w:r>
            <w:r w:rsidRPr="00D4140D">
              <w:rPr>
                <w:rFonts w:cs="Arial"/>
                <w:b/>
                <w:color w:val="76923C" w:themeColor="accent3" w:themeShade="BF"/>
                <w:sz w:val="16"/>
                <w:szCs w:val="16"/>
              </w:rPr>
              <w:t>1,45%</w:t>
            </w:r>
          </w:p>
        </w:tc>
        <w:tc>
          <w:tcPr>
            <w:tcW w:w="193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hideMark/>
          </w:tcPr>
          <w:p w:rsidR="00155B71" w:rsidRPr="00D4140D" w:rsidRDefault="00D4140D">
            <w:pPr>
              <w:widowControl w:val="0"/>
              <w:spacing w:line="240" w:lineRule="exact"/>
              <w:ind w:right="284"/>
              <w:jc w:val="center"/>
              <w:rPr>
                <w:rFonts w:cs="Arial"/>
                <w:b/>
                <w:color w:val="76923C" w:themeColor="accent3" w:themeShade="BF"/>
                <w:sz w:val="16"/>
                <w:szCs w:val="16"/>
              </w:rPr>
            </w:pPr>
            <w:r>
              <w:rPr>
                <w:rFonts w:cs="Arial"/>
                <w:b/>
                <w:color w:val="76923C" w:themeColor="accent3" w:themeShade="BF"/>
                <w:sz w:val="16"/>
                <w:szCs w:val="16"/>
              </w:rPr>
              <w:t>+</w:t>
            </w:r>
            <w:r w:rsidRPr="00D4140D">
              <w:rPr>
                <w:rFonts w:cs="Arial"/>
                <w:b/>
                <w:color w:val="76923C" w:themeColor="accent3" w:themeShade="BF"/>
                <w:sz w:val="16"/>
                <w:szCs w:val="16"/>
              </w:rPr>
              <w:t>1,88%</w:t>
            </w:r>
          </w:p>
        </w:tc>
      </w:tr>
    </w:tbl>
    <w:p w:rsidR="00D508DF" w:rsidRDefault="00D508DF" w:rsidP="00A917B1"/>
    <w:p w:rsidR="00D508DF" w:rsidRDefault="00D508DF">
      <w:pPr>
        <w:spacing w:after="200" w:line="276" w:lineRule="auto"/>
        <w:jc w:val="left"/>
      </w:pPr>
      <w:r>
        <w:br w:type="page"/>
      </w:r>
    </w:p>
    <w:p w:rsidR="00DB6D48" w:rsidRDefault="00DB6D48">
      <w:pPr>
        <w:spacing w:after="200" w:line="276" w:lineRule="auto"/>
        <w:jc w:val="left"/>
        <w:rPr>
          <w:rFonts w:eastAsia="Times New Roman" w:cs="Times New Roman"/>
          <w:b/>
          <w:snapToGrid w:val="0"/>
          <w:color w:val="1F497D" w:themeColor="text2"/>
          <w:sz w:val="28"/>
          <w:szCs w:val="20"/>
          <w:lang w:eastAsia="es-ES"/>
        </w:rPr>
      </w:pPr>
      <w:r>
        <w:rPr>
          <w:color w:val="1F497D" w:themeColor="text2"/>
        </w:rPr>
        <w:lastRenderedPageBreak/>
        <w:br w:type="page"/>
      </w:r>
    </w:p>
    <w:p w:rsidR="00A917B1" w:rsidRDefault="00A917B1" w:rsidP="00A917B1">
      <w:pPr>
        <w:pStyle w:val="Ttulo1"/>
        <w:keepNext w:val="0"/>
        <w:ind w:left="708" w:hanging="708"/>
        <w:rPr>
          <w:color w:val="1F497D" w:themeColor="text2"/>
        </w:rPr>
      </w:pPr>
      <w:bookmarkStart w:id="286" w:name="_Toc450118921"/>
      <w:r w:rsidRPr="00665097">
        <w:rPr>
          <w:color w:val="1F497D" w:themeColor="text2"/>
        </w:rPr>
        <w:lastRenderedPageBreak/>
        <w:t>I</w:t>
      </w:r>
      <w:r>
        <w:rPr>
          <w:color w:val="1F497D" w:themeColor="text2"/>
        </w:rPr>
        <w:t>II</w:t>
      </w:r>
      <w:r w:rsidRPr="00665097">
        <w:rPr>
          <w:color w:val="1F497D" w:themeColor="text2"/>
        </w:rPr>
        <w:t xml:space="preserve">.- </w:t>
      </w:r>
      <w:r w:rsidRPr="00665097">
        <w:rPr>
          <w:color w:val="1F497D" w:themeColor="text2"/>
        </w:rPr>
        <w:tab/>
      </w:r>
      <w:r>
        <w:rPr>
          <w:color w:val="1F497D" w:themeColor="text2"/>
        </w:rPr>
        <w:t>ESTRATEGIAS ANTE LA CRISIS, HERRAMIENTAS DE GESTIÓN E INNOVACIÓN EN LA ECONOMÍA SOCIAL CLÁSICA (FCES)</w:t>
      </w:r>
      <w:bookmarkEnd w:id="286"/>
    </w:p>
    <w:p w:rsidR="00952143" w:rsidRDefault="00952143" w:rsidP="00952143"/>
    <w:p w:rsidR="00952143" w:rsidRDefault="00952143" w:rsidP="00952143"/>
    <w:p w:rsidR="00952143" w:rsidRPr="007F1968" w:rsidRDefault="00952143" w:rsidP="00952143">
      <w:pPr>
        <w:pStyle w:val="Ttulo1"/>
        <w:ind w:left="708" w:hanging="708"/>
        <w:rPr>
          <w:color w:val="1F497D" w:themeColor="text2"/>
          <w:sz w:val="26"/>
          <w:szCs w:val="26"/>
        </w:rPr>
      </w:pPr>
      <w:bookmarkStart w:id="287" w:name="_Toc391999528"/>
      <w:bookmarkStart w:id="288" w:name="_Toc450118922"/>
      <w:r w:rsidRPr="007F1968">
        <w:rPr>
          <w:color w:val="1F497D" w:themeColor="text2"/>
          <w:sz w:val="26"/>
          <w:szCs w:val="26"/>
        </w:rPr>
        <w:t>1.-</w:t>
      </w:r>
      <w:r w:rsidRPr="007F1968">
        <w:rPr>
          <w:color w:val="1F497D" w:themeColor="text2"/>
          <w:sz w:val="26"/>
          <w:szCs w:val="26"/>
        </w:rPr>
        <w:tab/>
        <w:t>ESTRATEGIAS ANTE LA CRISIS</w:t>
      </w:r>
      <w:bookmarkEnd w:id="287"/>
      <w:bookmarkEnd w:id="288"/>
      <w:r w:rsidRPr="007F1968">
        <w:rPr>
          <w:color w:val="1F497D" w:themeColor="text2"/>
          <w:sz w:val="26"/>
          <w:szCs w:val="26"/>
        </w:rPr>
        <w:t xml:space="preserve"> </w:t>
      </w:r>
    </w:p>
    <w:p w:rsidR="00952143" w:rsidRPr="00C86565"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Pr="008D5779" w:rsidRDefault="008D5779" w:rsidP="008D5779">
      <w:pPr>
        <w:pStyle w:val="Epgrafe"/>
        <w:jc w:val="center"/>
        <w:rPr>
          <w:rFonts w:ascii="Arial" w:eastAsiaTheme="minorHAnsi" w:hAnsi="Arial" w:cs="Arial"/>
          <w:bCs w:val="0"/>
          <w:color w:val="1F497D" w:themeColor="text2"/>
          <w:sz w:val="18"/>
          <w:szCs w:val="18"/>
          <w:lang w:eastAsia="en-US"/>
        </w:rPr>
      </w:pPr>
      <w:bookmarkStart w:id="289" w:name="_Toc391999683"/>
      <w:bookmarkStart w:id="290" w:name="_Toc450120179"/>
      <w:r w:rsidRPr="008D5779">
        <w:rPr>
          <w:rFonts w:ascii="Arial" w:eastAsiaTheme="minorHAnsi" w:hAnsi="Arial" w:cs="Arial"/>
          <w:bCs w:val="0"/>
          <w:color w:val="1F497D" w:themeColor="text2"/>
          <w:sz w:val="18"/>
          <w:szCs w:val="18"/>
          <w:lang w:eastAsia="en-US"/>
        </w:rPr>
        <w:t>Gráfico 3.</w:t>
      </w:r>
      <w:r w:rsidR="00771A61" w:rsidRPr="008D5779">
        <w:rPr>
          <w:rFonts w:ascii="Arial" w:eastAsiaTheme="minorHAnsi" w:hAnsi="Arial" w:cs="Arial"/>
          <w:bCs w:val="0"/>
          <w:color w:val="1F497D" w:themeColor="text2"/>
          <w:sz w:val="18"/>
          <w:szCs w:val="18"/>
          <w:lang w:eastAsia="en-US"/>
        </w:rPr>
        <w:fldChar w:fldCharType="begin"/>
      </w:r>
      <w:r w:rsidRPr="008D5779">
        <w:rPr>
          <w:rFonts w:ascii="Arial" w:eastAsiaTheme="minorHAnsi" w:hAnsi="Arial" w:cs="Arial"/>
          <w:bCs w:val="0"/>
          <w:color w:val="1F497D" w:themeColor="text2"/>
          <w:sz w:val="18"/>
          <w:szCs w:val="18"/>
          <w:lang w:eastAsia="en-US"/>
        </w:rPr>
        <w:instrText xml:space="preserve"> SEQ Gráfico_3. \* ARABIC </w:instrText>
      </w:r>
      <w:r w:rsidR="00771A61" w:rsidRPr="008D5779">
        <w:rPr>
          <w:rFonts w:ascii="Arial" w:eastAsiaTheme="minorHAnsi" w:hAnsi="Arial" w:cs="Arial"/>
          <w:bCs w:val="0"/>
          <w:color w:val="1F497D" w:themeColor="text2"/>
          <w:sz w:val="18"/>
          <w:szCs w:val="18"/>
          <w:lang w:eastAsia="en-US"/>
        </w:rPr>
        <w:fldChar w:fldCharType="separate"/>
      </w:r>
      <w:r w:rsidR="00FC71A9">
        <w:rPr>
          <w:rFonts w:ascii="Arial" w:eastAsiaTheme="minorHAnsi" w:hAnsi="Arial" w:cs="Arial"/>
          <w:bCs w:val="0"/>
          <w:noProof/>
          <w:color w:val="1F497D" w:themeColor="text2"/>
          <w:sz w:val="18"/>
          <w:szCs w:val="18"/>
          <w:lang w:eastAsia="en-US"/>
        </w:rPr>
        <w:t>1</w:t>
      </w:r>
      <w:r w:rsidR="00771A61" w:rsidRPr="008D5779">
        <w:rPr>
          <w:rFonts w:ascii="Arial" w:eastAsiaTheme="minorHAnsi" w:hAnsi="Arial" w:cs="Arial"/>
          <w:bCs w:val="0"/>
          <w:color w:val="1F497D" w:themeColor="text2"/>
          <w:sz w:val="18"/>
          <w:szCs w:val="18"/>
          <w:lang w:eastAsia="en-US"/>
        </w:rPr>
        <w:fldChar w:fldCharType="end"/>
      </w:r>
      <w:r>
        <w:rPr>
          <w:rFonts w:ascii="Arial" w:eastAsiaTheme="minorHAnsi" w:hAnsi="Arial" w:cs="Arial"/>
          <w:bCs w:val="0"/>
          <w:color w:val="1F497D" w:themeColor="text2"/>
          <w:sz w:val="18"/>
          <w:szCs w:val="18"/>
          <w:lang w:eastAsia="en-US"/>
        </w:rPr>
        <w:t xml:space="preserve"> </w:t>
      </w:r>
      <w:r w:rsidR="00952143" w:rsidRPr="008D5779">
        <w:rPr>
          <w:rFonts w:ascii="Arial" w:eastAsiaTheme="minorHAnsi" w:hAnsi="Arial" w:cs="Arial"/>
          <w:bCs w:val="0"/>
          <w:color w:val="1F497D" w:themeColor="text2"/>
          <w:sz w:val="18"/>
          <w:szCs w:val="18"/>
          <w:lang w:eastAsia="en-US"/>
        </w:rPr>
        <w:t>PORCENTAJE DE EMPRESAS QUE HAN INTRODUCIDO MEDIDAS ANTE LA CRISIS 2014 (%)</w:t>
      </w:r>
      <w:bookmarkEnd w:id="289"/>
      <w:bookmarkEnd w:id="290"/>
    </w:p>
    <w:p w:rsidR="00952143" w:rsidRPr="001C63DE" w:rsidRDefault="00952143" w:rsidP="00952143">
      <w:pPr>
        <w:rPr>
          <w:rFonts w:cs="Arial"/>
          <w:color w:val="1F497D" w:themeColor="text2"/>
          <w:lang w:val="es-ES_tradnl"/>
        </w:rPr>
      </w:pPr>
    </w:p>
    <w:p w:rsidR="00952143" w:rsidRDefault="00952143" w:rsidP="00952143">
      <w:pPr>
        <w:rPr>
          <w:rFonts w:cs="Arial"/>
          <w:lang w:val="es-ES_tradnl"/>
        </w:rPr>
      </w:pPr>
      <w:r w:rsidRPr="001361DF">
        <w:rPr>
          <w:rFonts w:cs="Arial"/>
          <w:noProof/>
          <w:lang w:eastAsia="es-ES"/>
        </w:rPr>
        <w:drawing>
          <wp:inline distT="0" distB="0" distL="0" distR="0">
            <wp:extent cx="5638800" cy="2514600"/>
            <wp:effectExtent l="0" t="0" r="0" b="0"/>
            <wp:docPr id="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52143" w:rsidRDefault="00952143" w:rsidP="00952143"/>
    <w:p w:rsidR="00952143" w:rsidRDefault="00952143" w:rsidP="00952143"/>
    <w:p w:rsidR="00952143" w:rsidRDefault="00952143" w:rsidP="00952143"/>
    <w:p w:rsidR="00952143" w:rsidRPr="007F1968" w:rsidRDefault="00952143" w:rsidP="00952143">
      <w:pPr>
        <w:pStyle w:val="Ttulo1"/>
        <w:ind w:left="708" w:hanging="708"/>
        <w:rPr>
          <w:color w:val="1F497D" w:themeColor="text2"/>
          <w:sz w:val="22"/>
          <w:szCs w:val="22"/>
        </w:rPr>
      </w:pPr>
      <w:bookmarkStart w:id="291" w:name="_Toc391999529"/>
      <w:bookmarkStart w:id="292" w:name="_Toc450118923"/>
      <w:r w:rsidRPr="007F1968">
        <w:rPr>
          <w:color w:val="1F497D" w:themeColor="text2"/>
          <w:sz w:val="22"/>
          <w:szCs w:val="22"/>
        </w:rPr>
        <w:t>1.1.-</w:t>
      </w:r>
      <w:r w:rsidRPr="007F1968">
        <w:rPr>
          <w:color w:val="1F497D" w:themeColor="text2"/>
          <w:sz w:val="22"/>
          <w:szCs w:val="22"/>
        </w:rPr>
        <w:tab/>
        <w:t>AJUSTE SALARIAL</w:t>
      </w:r>
      <w:bookmarkEnd w:id="291"/>
      <w:bookmarkEnd w:id="292"/>
    </w:p>
    <w:p w:rsidR="00952143" w:rsidRDefault="00952143" w:rsidP="00952143">
      <w:pPr>
        <w:rPr>
          <w:rFonts w:cs="Arial"/>
          <w:b/>
          <w:color w:val="000080"/>
          <w:sz w:val="16"/>
          <w:szCs w:val="16"/>
        </w:rPr>
      </w:pPr>
    </w:p>
    <w:p w:rsidR="00952143" w:rsidRPr="008D5779" w:rsidRDefault="008D5779" w:rsidP="00952143">
      <w:pPr>
        <w:spacing w:line="240" w:lineRule="auto"/>
        <w:jc w:val="center"/>
        <w:rPr>
          <w:rFonts w:cs="Arial"/>
          <w:b/>
          <w:snapToGrid w:val="0"/>
          <w:color w:val="1F497D" w:themeColor="text2"/>
          <w:sz w:val="18"/>
          <w:szCs w:val="18"/>
          <w:lang w:val="es-ES_tradnl"/>
        </w:rPr>
      </w:pPr>
      <w:bookmarkStart w:id="293" w:name="_Toc391999684"/>
      <w:bookmarkStart w:id="294" w:name="_Toc450120180"/>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2</w:t>
      </w:r>
      <w:r w:rsidR="00771A61" w:rsidRPr="008D5779">
        <w:rPr>
          <w:rFonts w:cs="Arial"/>
          <w:b/>
          <w:bCs/>
          <w:color w:val="1F497D" w:themeColor="text2"/>
          <w:sz w:val="18"/>
          <w:szCs w:val="18"/>
        </w:rPr>
        <w:fldChar w:fldCharType="end"/>
      </w:r>
      <w:r w:rsidR="00952143" w:rsidRPr="008D5779">
        <w:rPr>
          <w:rFonts w:cs="Arial"/>
          <w:b/>
          <w:snapToGrid w:val="0"/>
          <w:color w:val="1F497D" w:themeColor="text2"/>
          <w:sz w:val="18"/>
          <w:szCs w:val="18"/>
          <w:lang w:val="es-ES_tradnl"/>
        </w:rPr>
        <w:t xml:space="preserve"> PORCENTAJE DE EMPRESAS QUE HAN EFECTUADO UN AJUSTE SALARIAL</w:t>
      </w:r>
      <w:bookmarkEnd w:id="293"/>
      <w:bookmarkEnd w:id="294"/>
    </w:p>
    <w:p w:rsidR="00952143" w:rsidRDefault="00952143" w:rsidP="00952143">
      <w:pPr>
        <w:jc w:val="center"/>
        <w:rPr>
          <w:rFonts w:ascii="Tahoma" w:hAnsi="Tahoma" w:cs="Arial"/>
          <w:b/>
          <w:color w:val="000080"/>
        </w:rPr>
      </w:pPr>
      <w:r>
        <w:rPr>
          <w:rFonts w:ascii="Tahoma" w:hAnsi="Tahoma" w:cs="Arial"/>
          <w:b/>
          <w:noProof/>
          <w:color w:val="000080"/>
          <w:lang w:eastAsia="es-ES"/>
        </w:rPr>
        <w:drawing>
          <wp:inline distT="0" distB="0" distL="0" distR="0">
            <wp:extent cx="5216056" cy="1916265"/>
            <wp:effectExtent l="0" t="0" r="0" b="0"/>
            <wp:docPr id="8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52143" w:rsidRDefault="00952143" w:rsidP="00952143">
      <w:pPr>
        <w:jc w:val="left"/>
        <w:rPr>
          <w:rFonts w:cs="Arial"/>
          <w:b/>
          <w:color w:val="1F497D" w:themeColor="text2"/>
          <w:sz w:val="22"/>
        </w:rPr>
      </w:pPr>
      <w:r>
        <w:rPr>
          <w:rFonts w:cs="Arial"/>
          <w:b/>
          <w:color w:val="1F497D" w:themeColor="text2"/>
          <w:sz w:val="22"/>
        </w:rPr>
        <w:br w:type="page"/>
      </w:r>
    </w:p>
    <w:p w:rsidR="00952143" w:rsidRPr="007F1968" w:rsidRDefault="00952143" w:rsidP="00952143">
      <w:pPr>
        <w:pStyle w:val="Ttulo1"/>
        <w:ind w:left="708" w:hanging="708"/>
        <w:rPr>
          <w:color w:val="1F497D" w:themeColor="text2"/>
          <w:sz w:val="22"/>
          <w:szCs w:val="22"/>
        </w:rPr>
      </w:pPr>
      <w:bookmarkStart w:id="295" w:name="_Toc391999530"/>
      <w:bookmarkStart w:id="296" w:name="_Toc450118924"/>
      <w:r w:rsidRPr="007F1968">
        <w:rPr>
          <w:color w:val="1F497D" w:themeColor="text2"/>
          <w:sz w:val="22"/>
          <w:szCs w:val="22"/>
        </w:rPr>
        <w:lastRenderedPageBreak/>
        <w:t>1.2.-</w:t>
      </w:r>
      <w:r w:rsidRPr="007F1968">
        <w:rPr>
          <w:color w:val="1F497D" w:themeColor="text2"/>
          <w:sz w:val="22"/>
          <w:szCs w:val="22"/>
        </w:rPr>
        <w:tab/>
        <w:t>AJUSTE PERSONAL Y DEDICACIÓN HORARIA</w:t>
      </w:r>
      <w:bookmarkEnd w:id="295"/>
      <w:bookmarkEnd w:id="296"/>
      <w:r w:rsidRPr="007F1968">
        <w:rPr>
          <w:color w:val="1F497D" w:themeColor="text2"/>
          <w:sz w:val="22"/>
          <w:szCs w:val="22"/>
        </w:rPr>
        <w:t xml:space="preserve"> </w:t>
      </w:r>
    </w:p>
    <w:p w:rsidR="00952143" w:rsidRDefault="00952143" w:rsidP="00952143"/>
    <w:p w:rsidR="00952143" w:rsidRDefault="008D5779" w:rsidP="00952143">
      <w:pPr>
        <w:spacing w:line="240" w:lineRule="auto"/>
        <w:jc w:val="center"/>
        <w:rPr>
          <w:rFonts w:cs="Arial"/>
          <w:b/>
          <w:snapToGrid w:val="0"/>
          <w:color w:val="1F497D" w:themeColor="text2"/>
          <w:sz w:val="18"/>
          <w:szCs w:val="18"/>
          <w:lang w:val="es-ES_tradnl"/>
        </w:rPr>
      </w:pPr>
      <w:bookmarkStart w:id="297" w:name="_Toc391999685"/>
      <w:bookmarkStart w:id="298" w:name="_Toc450120181"/>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3</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 xml:space="preserve">PORCENTAJE DE EMPRESAS </w:t>
      </w:r>
      <w:r w:rsidR="00952143">
        <w:rPr>
          <w:rFonts w:cs="Arial"/>
          <w:b/>
          <w:snapToGrid w:val="0"/>
          <w:color w:val="1F497D" w:themeColor="text2"/>
          <w:sz w:val="18"/>
          <w:szCs w:val="18"/>
          <w:lang w:val="es-ES_tradnl"/>
        </w:rPr>
        <w:t>QUE HAN EFECTUADO UN AJUSTE DE PERSONAL Y DEDICACIÓN HORARIA</w:t>
      </w:r>
      <w:bookmarkEnd w:id="297"/>
      <w:bookmarkEnd w:id="298"/>
    </w:p>
    <w:p w:rsidR="00952143" w:rsidRDefault="00952143" w:rsidP="00952143">
      <w:pPr>
        <w:jc w:val="center"/>
        <w:rPr>
          <w:rFonts w:ascii="Tahoma" w:hAnsi="Tahoma" w:cs="Arial"/>
          <w:b/>
          <w:color w:val="000080"/>
        </w:rPr>
      </w:pPr>
      <w:r>
        <w:rPr>
          <w:rFonts w:ascii="Tahoma" w:hAnsi="Tahoma" w:cs="Arial"/>
          <w:b/>
          <w:noProof/>
          <w:color w:val="000080"/>
          <w:lang w:eastAsia="es-ES"/>
        </w:rPr>
        <w:drawing>
          <wp:inline distT="0" distB="0" distL="0" distR="0">
            <wp:extent cx="5828306" cy="1908313"/>
            <wp:effectExtent l="0" t="0" r="0" b="0"/>
            <wp:docPr id="8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52143" w:rsidRDefault="00952143" w:rsidP="00952143"/>
    <w:p w:rsidR="00952143" w:rsidRDefault="00952143" w:rsidP="00952143"/>
    <w:p w:rsidR="00952143" w:rsidRDefault="00952143" w:rsidP="00952143"/>
    <w:p w:rsidR="00952143" w:rsidRPr="007F1968" w:rsidRDefault="00952143" w:rsidP="00952143">
      <w:pPr>
        <w:pStyle w:val="Ttulo1"/>
        <w:ind w:left="708" w:hanging="708"/>
        <w:rPr>
          <w:color w:val="1F497D" w:themeColor="text2"/>
          <w:sz w:val="22"/>
          <w:szCs w:val="22"/>
        </w:rPr>
      </w:pPr>
      <w:bookmarkStart w:id="299" w:name="_Toc391999531"/>
      <w:bookmarkStart w:id="300" w:name="_Toc450118925"/>
      <w:r w:rsidRPr="007F1968">
        <w:rPr>
          <w:color w:val="1F497D" w:themeColor="text2"/>
          <w:sz w:val="22"/>
          <w:szCs w:val="22"/>
        </w:rPr>
        <w:t>1.3.-</w:t>
      </w:r>
      <w:r w:rsidRPr="007F1968">
        <w:rPr>
          <w:color w:val="1F497D" w:themeColor="text2"/>
          <w:sz w:val="22"/>
          <w:szCs w:val="22"/>
        </w:rPr>
        <w:tab/>
        <w:t>ACUERDOS DE COLABORACIÓN SOLIDARIOS INTERCOOPERATIVA</w:t>
      </w:r>
      <w:bookmarkEnd w:id="299"/>
      <w:bookmarkEnd w:id="300"/>
    </w:p>
    <w:p w:rsidR="00952143" w:rsidRDefault="00952143" w:rsidP="00952143">
      <w:pPr>
        <w:rPr>
          <w:rFonts w:cs="Arial"/>
          <w:b/>
          <w:color w:val="1F497D" w:themeColor="text2"/>
        </w:rPr>
      </w:pPr>
    </w:p>
    <w:p w:rsidR="00952143" w:rsidRPr="00DB4D91" w:rsidRDefault="008D5779" w:rsidP="00952143">
      <w:pPr>
        <w:spacing w:line="240" w:lineRule="auto"/>
        <w:jc w:val="center"/>
        <w:rPr>
          <w:rFonts w:cs="Arial"/>
          <w:b/>
          <w:snapToGrid w:val="0"/>
          <w:color w:val="1F497D" w:themeColor="text2"/>
          <w:sz w:val="18"/>
          <w:szCs w:val="18"/>
          <w:lang w:val="es-ES_tradnl"/>
        </w:rPr>
      </w:pPr>
      <w:bookmarkStart w:id="301" w:name="_Toc391999686"/>
      <w:bookmarkStart w:id="302" w:name="_Toc450120182"/>
      <w:r w:rsidRPr="00DB4D91">
        <w:rPr>
          <w:rFonts w:cs="Arial"/>
          <w:b/>
          <w:bCs/>
          <w:color w:val="1F497D" w:themeColor="text2"/>
          <w:sz w:val="18"/>
          <w:szCs w:val="18"/>
        </w:rPr>
        <w:t>Gráfico 3.</w:t>
      </w:r>
      <w:r w:rsidR="00771A61" w:rsidRPr="00DB4D91">
        <w:rPr>
          <w:rFonts w:cs="Arial"/>
          <w:b/>
          <w:bCs/>
          <w:color w:val="1F497D" w:themeColor="text2"/>
          <w:sz w:val="18"/>
          <w:szCs w:val="18"/>
        </w:rPr>
        <w:fldChar w:fldCharType="begin"/>
      </w:r>
      <w:r w:rsidRPr="00DB4D91">
        <w:rPr>
          <w:rFonts w:cs="Arial"/>
          <w:b/>
          <w:bCs/>
          <w:color w:val="1F497D" w:themeColor="text2"/>
          <w:sz w:val="18"/>
          <w:szCs w:val="18"/>
        </w:rPr>
        <w:instrText xml:space="preserve"> SEQ Gráfico_3. \* ARABIC </w:instrText>
      </w:r>
      <w:r w:rsidR="00771A61" w:rsidRPr="00DB4D91">
        <w:rPr>
          <w:rFonts w:cs="Arial"/>
          <w:b/>
          <w:bCs/>
          <w:color w:val="1F497D" w:themeColor="text2"/>
          <w:sz w:val="18"/>
          <w:szCs w:val="18"/>
        </w:rPr>
        <w:fldChar w:fldCharType="separate"/>
      </w:r>
      <w:r w:rsidR="00FC71A9">
        <w:rPr>
          <w:rFonts w:cs="Arial"/>
          <w:b/>
          <w:bCs/>
          <w:noProof/>
          <w:color w:val="1F497D" w:themeColor="text2"/>
          <w:sz w:val="18"/>
          <w:szCs w:val="18"/>
        </w:rPr>
        <w:t>4</w:t>
      </w:r>
      <w:r w:rsidR="00771A61" w:rsidRPr="00DB4D91">
        <w:rPr>
          <w:rFonts w:cs="Arial"/>
          <w:b/>
          <w:bCs/>
          <w:color w:val="1F497D" w:themeColor="text2"/>
          <w:sz w:val="18"/>
          <w:szCs w:val="18"/>
        </w:rPr>
        <w:fldChar w:fldCharType="end"/>
      </w:r>
      <w:r w:rsidRPr="00DB4D91">
        <w:rPr>
          <w:rFonts w:cs="Arial"/>
          <w:b/>
          <w:snapToGrid w:val="0"/>
          <w:color w:val="1F497D" w:themeColor="text2"/>
          <w:sz w:val="18"/>
          <w:szCs w:val="18"/>
          <w:lang w:val="es-ES_tradnl"/>
        </w:rPr>
        <w:t xml:space="preserve"> </w:t>
      </w:r>
      <w:r w:rsidR="00952143" w:rsidRPr="00DB4D91">
        <w:rPr>
          <w:rFonts w:cs="Arial"/>
          <w:b/>
          <w:snapToGrid w:val="0"/>
          <w:color w:val="1F497D" w:themeColor="text2"/>
          <w:sz w:val="18"/>
          <w:szCs w:val="18"/>
          <w:lang w:val="es-ES_tradnl"/>
        </w:rPr>
        <w:t>PORCENTAJE DE EMPRESAS QUE HAN ESTABLECIDO ACUERDOS DE COLABORACIÓN SOLIDARIOS INTERCOOPERATIVA</w:t>
      </w:r>
      <w:bookmarkEnd w:id="301"/>
      <w:bookmarkEnd w:id="302"/>
    </w:p>
    <w:p w:rsidR="00952143" w:rsidRDefault="00952143" w:rsidP="00952143">
      <w:pPr>
        <w:jc w:val="left"/>
        <w:rPr>
          <w:rFonts w:ascii="Tahoma" w:hAnsi="Tahoma" w:cs="Arial"/>
          <w:b/>
          <w:color w:val="000080"/>
        </w:rPr>
      </w:pPr>
      <w:r w:rsidRPr="00FE5C53">
        <w:rPr>
          <w:rFonts w:ascii="Tahoma" w:hAnsi="Tahoma" w:cs="Arial"/>
          <w:b/>
          <w:noProof/>
          <w:color w:val="000080"/>
          <w:highlight w:val="yellow"/>
          <w:lang w:eastAsia="es-ES"/>
        </w:rPr>
        <w:drawing>
          <wp:anchor distT="0" distB="0" distL="114300" distR="114300" simplePos="0" relativeHeight="251821056" behindDoc="1" locked="0" layoutInCell="1" allowOverlap="1">
            <wp:simplePos x="0" y="0"/>
            <wp:positionH relativeFrom="column">
              <wp:posOffset>-339643</wp:posOffset>
            </wp:positionH>
            <wp:positionV relativeFrom="paragraph">
              <wp:posOffset>79347</wp:posOffset>
            </wp:positionV>
            <wp:extent cx="6297433" cy="2162755"/>
            <wp:effectExtent l="0" t="0" r="0" b="0"/>
            <wp:wrapNone/>
            <wp:docPr id="9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952143" w:rsidRDefault="00952143" w:rsidP="00952143">
      <w:pPr>
        <w:jc w:val="center"/>
        <w:rPr>
          <w:rFonts w:cs="Arial"/>
          <w:b/>
          <w:color w:val="1F497D" w:themeColor="text2"/>
        </w:rPr>
      </w:pPr>
    </w:p>
    <w:p w:rsidR="00952143" w:rsidRDefault="00952143" w:rsidP="00952143">
      <w:pPr>
        <w:rPr>
          <w:rFonts w:cs="Arial"/>
          <w:b/>
          <w:color w:val="1F497D" w:themeColor="text2"/>
        </w:rPr>
      </w:pPr>
    </w:p>
    <w:p w:rsidR="00952143" w:rsidRPr="00F8288A" w:rsidRDefault="00952143" w:rsidP="00952143">
      <w:pPr>
        <w:rPr>
          <w:rFonts w:cs="Arial"/>
          <w:b/>
          <w:color w:val="1F497D" w:themeColor="text2"/>
        </w:rPr>
      </w:pPr>
    </w:p>
    <w:p w:rsidR="00952143" w:rsidRDefault="00952143" w:rsidP="00952143">
      <w:pPr>
        <w:jc w:val="center"/>
        <w:rPr>
          <w:rFonts w:ascii="Tahoma" w:hAnsi="Tahoma" w:cs="Arial"/>
          <w:b/>
          <w:color w:val="000080"/>
        </w:rPr>
      </w:pPr>
    </w:p>
    <w:p w:rsidR="00952143" w:rsidRDefault="00952143" w:rsidP="00952143">
      <w:pPr>
        <w:jc w:val="center"/>
        <w:rPr>
          <w:rFonts w:ascii="Tahoma" w:hAnsi="Tahoma" w:cs="Arial"/>
          <w:b/>
          <w:color w:val="000080"/>
        </w:rPr>
      </w:pPr>
    </w:p>
    <w:p w:rsidR="00952143" w:rsidRDefault="00952143" w:rsidP="00952143">
      <w:pPr>
        <w:jc w:val="center"/>
        <w:rPr>
          <w:rFonts w:ascii="Tahoma" w:hAnsi="Tahoma" w:cs="Arial"/>
          <w:b/>
          <w:color w:val="000080"/>
        </w:rPr>
      </w:pPr>
    </w:p>
    <w:p w:rsidR="00952143" w:rsidRDefault="00952143" w:rsidP="00952143">
      <w:pPr>
        <w:jc w:val="left"/>
        <w:rPr>
          <w:rFonts w:cs="Arial"/>
          <w:b/>
          <w:color w:val="1F497D" w:themeColor="text2"/>
          <w:szCs w:val="26"/>
        </w:rPr>
      </w:pPr>
    </w:p>
    <w:p w:rsidR="00952143" w:rsidRDefault="00952143" w:rsidP="00952143">
      <w:pPr>
        <w:rPr>
          <w:rFonts w:cs="Arial"/>
          <w:b/>
          <w:color w:val="1F497D" w:themeColor="text2"/>
          <w:szCs w:val="26"/>
        </w:rPr>
      </w:pPr>
    </w:p>
    <w:p w:rsidR="00952143" w:rsidRDefault="00952143" w:rsidP="00952143">
      <w:pPr>
        <w:rPr>
          <w:rFonts w:cs="Arial"/>
          <w:b/>
          <w:color w:val="1F497D" w:themeColor="text2"/>
          <w:szCs w:val="26"/>
        </w:rPr>
      </w:pPr>
    </w:p>
    <w:p w:rsidR="00952143" w:rsidRDefault="00952143" w:rsidP="00952143">
      <w:pPr>
        <w:jc w:val="left"/>
        <w:rPr>
          <w:rFonts w:cs="Arial"/>
          <w:b/>
          <w:color w:val="1F497D" w:themeColor="text2"/>
          <w:szCs w:val="26"/>
        </w:rPr>
      </w:pPr>
      <w:r>
        <w:rPr>
          <w:rFonts w:cs="Arial"/>
          <w:b/>
          <w:color w:val="1F497D" w:themeColor="text2"/>
          <w:szCs w:val="26"/>
        </w:rPr>
        <w:br w:type="page"/>
      </w:r>
    </w:p>
    <w:p w:rsidR="00952143" w:rsidRPr="007F1968" w:rsidRDefault="00952143" w:rsidP="00952143">
      <w:pPr>
        <w:pStyle w:val="Ttulo1"/>
        <w:ind w:left="708" w:hanging="708"/>
        <w:rPr>
          <w:color w:val="1F497D" w:themeColor="text2"/>
          <w:sz w:val="26"/>
          <w:szCs w:val="26"/>
        </w:rPr>
      </w:pPr>
      <w:bookmarkStart w:id="303" w:name="_Toc391999532"/>
      <w:bookmarkStart w:id="304" w:name="_Toc450118926"/>
      <w:r w:rsidRPr="007F1968">
        <w:rPr>
          <w:color w:val="1F497D" w:themeColor="text2"/>
          <w:sz w:val="26"/>
          <w:szCs w:val="26"/>
        </w:rPr>
        <w:lastRenderedPageBreak/>
        <w:t xml:space="preserve">2.- </w:t>
      </w:r>
      <w:r w:rsidR="00724B27">
        <w:rPr>
          <w:color w:val="1F497D" w:themeColor="text2"/>
          <w:sz w:val="26"/>
          <w:szCs w:val="26"/>
        </w:rPr>
        <w:tab/>
      </w:r>
      <w:r w:rsidRPr="007F1968">
        <w:rPr>
          <w:color w:val="1F497D" w:themeColor="text2"/>
          <w:sz w:val="26"/>
          <w:szCs w:val="26"/>
        </w:rPr>
        <w:t>HERRAMIENTAS DE GESTIÓN</w:t>
      </w:r>
      <w:bookmarkEnd w:id="303"/>
      <w:bookmarkEnd w:id="304"/>
      <w:r w:rsidRPr="007F1968">
        <w:rPr>
          <w:color w:val="1F497D" w:themeColor="text2"/>
          <w:sz w:val="26"/>
          <w:szCs w:val="26"/>
        </w:rPr>
        <w:t xml:space="preserve"> </w:t>
      </w:r>
    </w:p>
    <w:p w:rsidR="00952143" w:rsidRDefault="00952143" w:rsidP="00952143"/>
    <w:p w:rsidR="00952143" w:rsidRPr="008D5779" w:rsidRDefault="008D5779" w:rsidP="008D5779">
      <w:pPr>
        <w:pStyle w:val="Epgrafe"/>
        <w:spacing w:line="240" w:lineRule="auto"/>
        <w:jc w:val="center"/>
        <w:rPr>
          <w:rFonts w:ascii="Arial" w:eastAsiaTheme="minorHAnsi" w:hAnsi="Arial" w:cs="Arial"/>
          <w:bCs w:val="0"/>
          <w:snapToGrid w:val="0"/>
          <w:color w:val="1F497D" w:themeColor="text2"/>
          <w:sz w:val="18"/>
          <w:szCs w:val="18"/>
          <w:lang w:val="es-ES_tradnl" w:eastAsia="en-US"/>
        </w:rPr>
      </w:pPr>
      <w:bookmarkStart w:id="305" w:name="_Toc392756754"/>
      <w:bookmarkStart w:id="306" w:name="_Toc450119761"/>
      <w:r w:rsidRPr="008D5779">
        <w:rPr>
          <w:rFonts w:ascii="Arial" w:eastAsiaTheme="minorHAnsi" w:hAnsi="Arial" w:cs="Arial"/>
          <w:bCs w:val="0"/>
          <w:snapToGrid w:val="0"/>
          <w:color w:val="1F497D" w:themeColor="text2"/>
          <w:sz w:val="18"/>
          <w:szCs w:val="18"/>
          <w:lang w:val="es-ES_tradnl" w:eastAsia="en-US"/>
        </w:rPr>
        <w:t>Cuadro 3.</w:t>
      </w:r>
      <w:r w:rsidR="00771A61" w:rsidRPr="008D5779">
        <w:rPr>
          <w:rFonts w:ascii="Arial" w:eastAsiaTheme="minorHAnsi" w:hAnsi="Arial" w:cs="Arial"/>
          <w:bCs w:val="0"/>
          <w:snapToGrid w:val="0"/>
          <w:color w:val="1F497D" w:themeColor="text2"/>
          <w:sz w:val="18"/>
          <w:szCs w:val="18"/>
          <w:lang w:val="es-ES_tradnl" w:eastAsia="en-US"/>
        </w:rPr>
        <w:fldChar w:fldCharType="begin"/>
      </w:r>
      <w:r w:rsidRPr="008D5779">
        <w:rPr>
          <w:rFonts w:ascii="Arial" w:eastAsiaTheme="minorHAnsi" w:hAnsi="Arial" w:cs="Arial"/>
          <w:bCs w:val="0"/>
          <w:snapToGrid w:val="0"/>
          <w:color w:val="1F497D" w:themeColor="text2"/>
          <w:sz w:val="18"/>
          <w:szCs w:val="18"/>
          <w:lang w:val="es-ES_tradnl" w:eastAsia="en-US"/>
        </w:rPr>
        <w:instrText xml:space="preserve"> SEQ Cuadro_3. \* ARABIC </w:instrText>
      </w:r>
      <w:r w:rsidR="00771A61" w:rsidRPr="008D5779">
        <w:rPr>
          <w:rFonts w:ascii="Arial" w:eastAsiaTheme="minorHAnsi" w:hAnsi="Arial" w:cs="Arial"/>
          <w:bCs w:val="0"/>
          <w:snapToGrid w:val="0"/>
          <w:color w:val="1F497D" w:themeColor="text2"/>
          <w:sz w:val="18"/>
          <w:szCs w:val="18"/>
          <w:lang w:val="es-ES_tradnl" w:eastAsia="en-US"/>
        </w:rPr>
        <w:fldChar w:fldCharType="separate"/>
      </w:r>
      <w:r w:rsidR="00FC71A9">
        <w:rPr>
          <w:rFonts w:ascii="Arial" w:eastAsiaTheme="minorHAnsi" w:hAnsi="Arial" w:cs="Arial"/>
          <w:bCs w:val="0"/>
          <w:noProof/>
          <w:snapToGrid w:val="0"/>
          <w:color w:val="1F497D" w:themeColor="text2"/>
          <w:sz w:val="18"/>
          <w:szCs w:val="18"/>
          <w:lang w:val="es-ES_tradnl" w:eastAsia="en-US"/>
        </w:rPr>
        <w:t>1</w:t>
      </w:r>
      <w:r w:rsidR="00771A61" w:rsidRPr="008D5779">
        <w:rPr>
          <w:rFonts w:ascii="Arial" w:eastAsiaTheme="minorHAnsi" w:hAnsi="Arial" w:cs="Arial"/>
          <w:bCs w:val="0"/>
          <w:snapToGrid w:val="0"/>
          <w:color w:val="1F497D" w:themeColor="text2"/>
          <w:sz w:val="18"/>
          <w:szCs w:val="18"/>
          <w:lang w:val="es-ES_tradnl" w:eastAsia="en-US"/>
        </w:rPr>
        <w:fldChar w:fldCharType="end"/>
      </w:r>
      <w:r w:rsidRPr="008D5779">
        <w:rPr>
          <w:rFonts w:ascii="Arial" w:eastAsiaTheme="minorHAnsi" w:hAnsi="Arial" w:cs="Arial"/>
          <w:bCs w:val="0"/>
          <w:snapToGrid w:val="0"/>
          <w:color w:val="1F497D" w:themeColor="text2"/>
          <w:sz w:val="18"/>
          <w:szCs w:val="18"/>
          <w:lang w:val="es-ES_tradnl" w:eastAsia="en-US"/>
        </w:rPr>
        <w:t xml:space="preserve"> </w:t>
      </w:r>
      <w:r w:rsidR="00952143" w:rsidRPr="008D5779">
        <w:rPr>
          <w:rFonts w:ascii="Arial" w:eastAsiaTheme="minorHAnsi" w:hAnsi="Arial" w:cs="Arial"/>
          <w:bCs w:val="0"/>
          <w:snapToGrid w:val="0"/>
          <w:color w:val="1F497D" w:themeColor="text2"/>
          <w:sz w:val="18"/>
          <w:szCs w:val="18"/>
          <w:lang w:val="es-ES_tradnl" w:eastAsia="en-US"/>
        </w:rPr>
        <w:t>DISPOSICIÓN DE LAS HERRAMIENTAS DE GESTIÓN EMPRESARIAL. 2014 (% de las empresas que disponen de estas herramientas)</w:t>
      </w:r>
      <w:bookmarkEnd w:id="305"/>
      <w:bookmarkEnd w:id="306"/>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609"/>
        <w:gridCol w:w="1832"/>
        <w:gridCol w:w="1833"/>
        <w:gridCol w:w="1833"/>
        <w:gridCol w:w="1833"/>
      </w:tblGrid>
      <w:tr w:rsidR="00952143" w:rsidRPr="00F4159C" w:rsidTr="00D86960">
        <w:trPr>
          <w:jc w:val="center"/>
        </w:trPr>
        <w:tc>
          <w:tcPr>
            <w:tcW w:w="131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rPr>
                <w:rFonts w:cs="Arial"/>
                <w:b/>
                <w:bCs/>
                <w:sz w:val="16"/>
                <w:szCs w:val="16"/>
              </w:rPr>
            </w:pPr>
          </w:p>
        </w:tc>
        <w:tc>
          <w:tcPr>
            <w:tcW w:w="92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F4159C" w:rsidRDefault="00952143" w:rsidP="00D86960">
            <w:pPr>
              <w:spacing w:line="240" w:lineRule="exact"/>
              <w:jc w:val="center"/>
              <w:rPr>
                <w:rFonts w:cs="Arial"/>
                <w:b/>
                <w:bCs/>
                <w:sz w:val="16"/>
                <w:szCs w:val="16"/>
                <w:lang w:val="en-GB"/>
              </w:rPr>
            </w:pPr>
            <w:r>
              <w:rPr>
                <w:rFonts w:cs="Arial"/>
                <w:b/>
                <w:bCs/>
                <w:sz w:val="16"/>
                <w:szCs w:val="16"/>
                <w:lang w:val="en-GB"/>
              </w:rPr>
              <w:t>Total</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jc w:val="center"/>
              <w:rPr>
                <w:rFonts w:cs="Arial"/>
                <w:b/>
                <w:bCs/>
                <w:sz w:val="16"/>
                <w:szCs w:val="16"/>
              </w:rPr>
            </w:pPr>
            <w:r w:rsidRPr="00F4159C">
              <w:rPr>
                <w:rFonts w:cs="Arial"/>
                <w:b/>
                <w:bCs/>
                <w:sz w:val="16"/>
                <w:szCs w:val="16"/>
                <w:lang w:val="en-GB"/>
              </w:rPr>
              <w:t>S. Coop.</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F4159C" w:rsidRDefault="00952143" w:rsidP="00D86960">
            <w:pPr>
              <w:spacing w:line="240" w:lineRule="exact"/>
              <w:jc w:val="center"/>
              <w:rPr>
                <w:rFonts w:cs="Arial"/>
                <w:b/>
                <w:bCs/>
                <w:sz w:val="16"/>
                <w:szCs w:val="16"/>
              </w:rPr>
            </w:pPr>
            <w:r w:rsidRPr="00F4159C">
              <w:rPr>
                <w:rFonts w:cs="Arial"/>
                <w:b/>
                <w:bCs/>
                <w:sz w:val="16"/>
                <w:szCs w:val="16"/>
                <w:lang w:val="en-GB"/>
              </w:rPr>
              <w:t>S.A.L.es </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952143" w:rsidRPr="00F4159C" w:rsidRDefault="00952143" w:rsidP="00D86960">
            <w:pPr>
              <w:spacing w:line="240" w:lineRule="exact"/>
              <w:jc w:val="center"/>
              <w:rPr>
                <w:rFonts w:cs="Arial"/>
                <w:b/>
                <w:bCs/>
                <w:sz w:val="16"/>
                <w:szCs w:val="16"/>
              </w:rPr>
            </w:pPr>
            <w:r w:rsidRPr="00F4159C">
              <w:rPr>
                <w:rFonts w:cs="Arial"/>
                <w:b/>
                <w:bCs/>
                <w:sz w:val="16"/>
                <w:szCs w:val="16"/>
                <w:lang w:val="en-GB"/>
              </w:rPr>
              <w:t>S.L.L.es</w:t>
            </w:r>
          </w:p>
        </w:tc>
      </w:tr>
      <w:tr w:rsidR="00952143" w:rsidRPr="00F4159C" w:rsidTr="00D86960">
        <w:trPr>
          <w:jc w:val="center"/>
        </w:trPr>
        <w:tc>
          <w:tcPr>
            <w:tcW w:w="1312" w:type="pct"/>
            <w:tcBorders>
              <w:top w:val="single" w:sz="4" w:space="0" w:color="BFBFBF" w:themeColor="background1" w:themeShade="BF"/>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sidRPr="00BC494E">
              <w:rPr>
                <w:rFonts w:cs="Arial"/>
                <w:sz w:val="16"/>
                <w:szCs w:val="16"/>
              </w:rPr>
              <w:t>Reglamento de Régimen Interno</w:t>
            </w:r>
          </w:p>
        </w:tc>
        <w:tc>
          <w:tcPr>
            <w:tcW w:w="922" w:type="pct"/>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31,3</w:t>
            </w:r>
          </w:p>
        </w:tc>
        <w:tc>
          <w:tcPr>
            <w:tcW w:w="9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40,3</w:t>
            </w:r>
          </w:p>
        </w:tc>
        <w:tc>
          <w:tcPr>
            <w:tcW w:w="9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24,8</w:t>
            </w:r>
          </w:p>
        </w:tc>
        <w:tc>
          <w:tcPr>
            <w:tcW w:w="922" w:type="pct"/>
            <w:tcBorders>
              <w:top w:val="single" w:sz="4" w:space="0" w:color="BFBFBF" w:themeColor="background1" w:themeShade="BF"/>
              <w:lef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12,1</w:t>
            </w:r>
          </w:p>
        </w:tc>
      </w:tr>
      <w:tr w:rsidR="00952143" w:rsidRPr="00F4159C" w:rsidTr="00D86960">
        <w:trPr>
          <w:jc w:val="center"/>
        </w:trPr>
        <w:tc>
          <w:tcPr>
            <w:tcW w:w="1312" w:type="pct"/>
            <w:tcBorders>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sidRPr="00BC494E">
              <w:rPr>
                <w:rFonts w:cs="Arial"/>
                <w:sz w:val="16"/>
                <w:szCs w:val="16"/>
              </w:rPr>
              <w:t>Plan de Gestión</w:t>
            </w:r>
          </w:p>
        </w:tc>
        <w:tc>
          <w:tcPr>
            <w:tcW w:w="922" w:type="pct"/>
            <w:tcBorders>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29,7</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36,7</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25,3</w:t>
            </w:r>
          </w:p>
        </w:tc>
        <w:tc>
          <w:tcPr>
            <w:tcW w:w="922" w:type="pct"/>
            <w:tcBorders>
              <w:lef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14,8</w:t>
            </w:r>
          </w:p>
        </w:tc>
      </w:tr>
      <w:tr w:rsidR="00952143" w:rsidRPr="00F4159C" w:rsidTr="00D86960">
        <w:trPr>
          <w:jc w:val="center"/>
        </w:trPr>
        <w:tc>
          <w:tcPr>
            <w:tcW w:w="1312" w:type="pct"/>
            <w:tcBorders>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sidRPr="00BC494E">
              <w:rPr>
                <w:rFonts w:cs="Arial"/>
                <w:sz w:val="16"/>
                <w:szCs w:val="16"/>
              </w:rPr>
              <w:t>Plan de Formación</w:t>
            </w:r>
          </w:p>
        </w:tc>
        <w:tc>
          <w:tcPr>
            <w:tcW w:w="922" w:type="pct"/>
            <w:tcBorders>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37,9</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36,7</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49,2</w:t>
            </w:r>
          </w:p>
        </w:tc>
        <w:tc>
          <w:tcPr>
            <w:tcW w:w="922" w:type="pct"/>
            <w:tcBorders>
              <w:lef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36,6</w:t>
            </w:r>
          </w:p>
        </w:tc>
      </w:tr>
      <w:tr w:rsidR="00952143" w:rsidRPr="00F4159C" w:rsidTr="00D86960">
        <w:trPr>
          <w:jc w:val="center"/>
        </w:trPr>
        <w:tc>
          <w:tcPr>
            <w:tcW w:w="1312" w:type="pct"/>
            <w:tcBorders>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sidRPr="00BC494E">
              <w:rPr>
                <w:rFonts w:cs="Arial"/>
                <w:sz w:val="16"/>
                <w:szCs w:val="16"/>
              </w:rPr>
              <w:t>Plan Estratégico</w:t>
            </w:r>
          </w:p>
        </w:tc>
        <w:tc>
          <w:tcPr>
            <w:tcW w:w="922" w:type="pct"/>
            <w:tcBorders>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21,9</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28,1</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sidRPr="00A26958">
              <w:rPr>
                <w:rFonts w:cs="Arial"/>
                <w:sz w:val="16"/>
                <w:szCs w:val="16"/>
              </w:rPr>
              <w:t>19,6</w:t>
            </w:r>
          </w:p>
        </w:tc>
        <w:tc>
          <w:tcPr>
            <w:tcW w:w="922" w:type="pct"/>
            <w:tcBorders>
              <w:lef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sidRPr="00A26958">
              <w:rPr>
                <w:rFonts w:cs="Arial"/>
                <w:sz w:val="16"/>
                <w:szCs w:val="16"/>
              </w:rPr>
              <w:t>7,9</w:t>
            </w:r>
          </w:p>
        </w:tc>
      </w:tr>
      <w:tr w:rsidR="00952143" w:rsidRPr="00F4159C" w:rsidTr="00D86960">
        <w:trPr>
          <w:jc w:val="center"/>
        </w:trPr>
        <w:tc>
          <w:tcPr>
            <w:tcW w:w="1312" w:type="pct"/>
            <w:tcBorders>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sidRPr="00BC494E">
              <w:rPr>
                <w:rFonts w:cs="Arial"/>
                <w:sz w:val="16"/>
                <w:szCs w:val="16"/>
              </w:rPr>
              <w:t>Manual de Valoración de Puestos</w:t>
            </w:r>
          </w:p>
        </w:tc>
        <w:tc>
          <w:tcPr>
            <w:tcW w:w="922" w:type="pct"/>
            <w:tcBorders>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24,5</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25,3</w:t>
            </w:r>
          </w:p>
        </w:tc>
        <w:tc>
          <w:tcPr>
            <w:tcW w:w="922" w:type="pct"/>
            <w:tcBorders>
              <w:left w:val="single" w:sz="4" w:space="0" w:color="BFBFBF" w:themeColor="background1" w:themeShade="BF"/>
              <w:righ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34,4</w:t>
            </w:r>
          </w:p>
        </w:tc>
        <w:tc>
          <w:tcPr>
            <w:tcW w:w="922" w:type="pct"/>
            <w:tcBorders>
              <w:left w:val="single" w:sz="4" w:space="0" w:color="BFBFBF" w:themeColor="background1" w:themeShade="BF"/>
            </w:tcBorders>
            <w:vAlign w:val="bottom"/>
          </w:tcPr>
          <w:p w:rsidR="00952143" w:rsidRPr="00EE16BE" w:rsidRDefault="00952143" w:rsidP="00D86960">
            <w:pPr>
              <w:spacing w:line="240" w:lineRule="exact"/>
              <w:ind w:right="170"/>
              <w:jc w:val="right"/>
              <w:rPr>
                <w:rFonts w:cs="Arial"/>
                <w:sz w:val="16"/>
                <w:szCs w:val="16"/>
              </w:rPr>
            </w:pPr>
            <w:r>
              <w:rPr>
                <w:rFonts w:cs="Arial"/>
                <w:sz w:val="16"/>
                <w:szCs w:val="16"/>
              </w:rPr>
              <w:t>19,3</w:t>
            </w:r>
          </w:p>
        </w:tc>
      </w:tr>
    </w:tbl>
    <w:p w:rsidR="00952143" w:rsidRDefault="00952143" w:rsidP="00952143">
      <w:pPr>
        <w:rPr>
          <w:rFonts w:cs="Arial"/>
        </w:rPr>
      </w:pPr>
    </w:p>
    <w:p w:rsidR="00952143" w:rsidRDefault="00952143" w:rsidP="00952143">
      <w:pPr>
        <w:rPr>
          <w:rFonts w:cs="Arial"/>
        </w:rPr>
      </w:pPr>
    </w:p>
    <w:p w:rsidR="00952143" w:rsidRPr="009C4E1F" w:rsidRDefault="008D5779" w:rsidP="00952143">
      <w:pPr>
        <w:spacing w:line="240" w:lineRule="auto"/>
        <w:jc w:val="center"/>
        <w:rPr>
          <w:rFonts w:cs="Arial"/>
          <w:b/>
          <w:snapToGrid w:val="0"/>
          <w:color w:val="1F497D" w:themeColor="text2"/>
          <w:sz w:val="18"/>
          <w:szCs w:val="18"/>
          <w:lang w:val="es-ES_tradnl"/>
        </w:rPr>
      </w:pPr>
      <w:bookmarkStart w:id="307" w:name="_Toc392756755"/>
      <w:bookmarkStart w:id="308" w:name="_Toc450119762"/>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w:t>
      </w:r>
      <w:r w:rsidR="00771A61" w:rsidRPr="008D5779">
        <w:rPr>
          <w:rFonts w:cs="Arial"/>
          <w:b/>
          <w:bCs/>
          <w:snapToGrid w:val="0"/>
          <w:color w:val="1F497D" w:themeColor="text2"/>
          <w:sz w:val="18"/>
          <w:szCs w:val="18"/>
          <w:lang w:val="es-ES_tradnl"/>
        </w:rPr>
        <w:fldChar w:fldCharType="end"/>
      </w:r>
      <w:r w:rsidRPr="008D5779">
        <w:rPr>
          <w:rFonts w:cs="Arial"/>
          <w:b/>
          <w:bCs/>
          <w:snapToGrid w:val="0"/>
          <w:color w:val="1F497D" w:themeColor="text2"/>
          <w:sz w:val="18"/>
          <w:szCs w:val="18"/>
          <w:lang w:val="es-ES_tradnl"/>
        </w:rPr>
        <w:t xml:space="preserve"> </w:t>
      </w:r>
      <w:r w:rsidR="00952143" w:rsidRPr="008D5779">
        <w:rPr>
          <w:rFonts w:cs="Arial"/>
          <w:b/>
          <w:snapToGrid w:val="0"/>
          <w:color w:val="1F497D" w:themeColor="text2"/>
          <w:sz w:val="18"/>
          <w:szCs w:val="18"/>
          <w:lang w:val="es-ES_tradnl"/>
        </w:rPr>
        <w:t xml:space="preserve"> DISPOSICIÓN DE LAS HERRAMIENTAS DE GESTIÓN POR TAMAÑO DE EMPRESA. 2014</w:t>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 de las empresas que disponen de estas herramientas)</w:t>
      </w:r>
      <w:bookmarkEnd w:id="307"/>
      <w:bookmarkEnd w:id="308"/>
    </w:p>
    <w:tbl>
      <w:tblPr>
        <w:tblW w:w="9940" w:type="dxa"/>
        <w:jc w:val="center"/>
        <w:tblBorders>
          <w:bottom w:val="single" w:sz="4" w:space="0" w:color="BFBFBF" w:themeColor="background1" w:themeShade="BF"/>
        </w:tblBorders>
        <w:tblLayout w:type="fixed"/>
        <w:tblLook w:val="04A0" w:firstRow="1" w:lastRow="0" w:firstColumn="1" w:lastColumn="0" w:noHBand="0" w:noVBand="1"/>
      </w:tblPr>
      <w:tblGrid>
        <w:gridCol w:w="2586"/>
        <w:gridCol w:w="1004"/>
        <w:gridCol w:w="1083"/>
        <w:gridCol w:w="851"/>
        <w:gridCol w:w="855"/>
        <w:gridCol w:w="851"/>
        <w:gridCol w:w="851"/>
        <w:gridCol w:w="851"/>
        <w:gridCol w:w="1008"/>
      </w:tblGrid>
      <w:tr w:rsidR="00952143" w:rsidTr="00D86960">
        <w:trPr>
          <w:jc w:val="center"/>
        </w:trPr>
        <w:tc>
          <w:tcPr>
            <w:tcW w:w="13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44494A" w:rsidRDefault="00952143" w:rsidP="00D86960">
            <w:pPr>
              <w:spacing w:line="240" w:lineRule="auto"/>
              <w:jc w:val="center"/>
              <w:rPr>
                <w:rFonts w:cs="Arial"/>
                <w:b/>
                <w:bCs/>
                <w:sz w:val="16"/>
                <w:szCs w:val="16"/>
              </w:rPr>
            </w:pPr>
            <w:r w:rsidRPr="0044494A">
              <w:rPr>
                <w:rFonts w:cs="Arial"/>
                <w:b/>
                <w:bCs/>
                <w:sz w:val="16"/>
                <w:szCs w:val="16"/>
              </w:rPr>
              <w:t> </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TOTAL</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Menos</w:t>
            </w:r>
            <w:r>
              <w:rPr>
                <w:rFonts w:cs="Arial"/>
                <w:b/>
                <w:bCs/>
                <w:sz w:val="16"/>
                <w:szCs w:val="16"/>
              </w:rPr>
              <w:t xml:space="preserve"> </w:t>
            </w:r>
            <w:r w:rsidRPr="0044494A">
              <w:rPr>
                <w:rFonts w:cs="Arial"/>
                <w:b/>
                <w:bCs/>
                <w:sz w:val="16"/>
                <w:szCs w:val="16"/>
              </w:rPr>
              <w:t>de 6</w:t>
            </w:r>
            <w:r>
              <w:rPr>
                <w:rFonts w:cs="Arial"/>
                <w:b/>
                <w:bCs/>
                <w:sz w:val="16"/>
                <w:szCs w:val="16"/>
              </w:rPr>
              <w:t xml:space="preserve"> </w:t>
            </w:r>
            <w:r w:rsidRPr="0044494A">
              <w:rPr>
                <w:rFonts w:cs="Arial"/>
                <w:b/>
                <w:bCs/>
                <w:sz w:val="16"/>
                <w:szCs w:val="16"/>
              </w:rPr>
              <w:t>Empleos</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De 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15</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50</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De 51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100</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101 a</w:t>
            </w:r>
            <w:r>
              <w:rPr>
                <w:rFonts w:cs="Arial"/>
                <w:b/>
                <w:bCs/>
                <w:sz w:val="16"/>
                <w:szCs w:val="16"/>
              </w:rPr>
              <w:t xml:space="preserve"> </w:t>
            </w:r>
            <w:r w:rsidRPr="0044494A">
              <w:rPr>
                <w:rFonts w:cs="Arial"/>
                <w:b/>
                <w:bCs/>
                <w:sz w:val="16"/>
                <w:szCs w:val="16"/>
              </w:rPr>
              <w:t>200</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De 201 a 500</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c>
          <w:tcPr>
            <w:tcW w:w="507" w:type="pct"/>
            <w:tcBorders>
              <w:top w:val="single" w:sz="4" w:space="0" w:color="BFBFBF" w:themeColor="background1" w:themeShade="BF"/>
              <w:left w:val="single" w:sz="4" w:space="0" w:color="BFBFBF" w:themeColor="background1" w:themeShade="BF"/>
            </w:tcBorders>
            <w:shd w:val="clear" w:color="auto" w:fill="DBE5F1" w:themeFill="accent1" w:themeFillTint="33"/>
            <w:vAlign w:val="bottom"/>
          </w:tcPr>
          <w:p w:rsidR="00952143" w:rsidRPr="0044494A" w:rsidRDefault="00952143" w:rsidP="00D86960">
            <w:pPr>
              <w:spacing w:line="240" w:lineRule="auto"/>
              <w:jc w:val="center"/>
              <w:rPr>
                <w:rFonts w:cs="Arial"/>
                <w:b/>
                <w:bCs/>
                <w:sz w:val="16"/>
                <w:szCs w:val="16"/>
              </w:rPr>
            </w:pPr>
            <w:r w:rsidRPr="0044494A">
              <w:rPr>
                <w:rFonts w:cs="Arial"/>
                <w:b/>
                <w:bCs/>
                <w:sz w:val="16"/>
                <w:szCs w:val="16"/>
              </w:rPr>
              <w:t>Más de 500</w:t>
            </w:r>
            <w:r>
              <w:rPr>
                <w:rFonts w:cs="Arial"/>
                <w:b/>
                <w:bCs/>
                <w:sz w:val="16"/>
                <w:szCs w:val="16"/>
              </w:rPr>
              <w:t xml:space="preserve"> empleos</w:t>
            </w:r>
          </w:p>
          <w:p w:rsidR="00952143" w:rsidRPr="0044494A" w:rsidRDefault="00952143" w:rsidP="00D86960">
            <w:pPr>
              <w:spacing w:line="240" w:lineRule="auto"/>
              <w:jc w:val="center"/>
              <w:rPr>
                <w:rFonts w:cs="Arial"/>
                <w:b/>
                <w:bCs/>
                <w:sz w:val="16"/>
                <w:szCs w:val="16"/>
              </w:rPr>
            </w:pPr>
            <w:r w:rsidRPr="009C4E1F">
              <w:rPr>
                <w:rFonts w:cs="Arial"/>
                <w:b/>
                <w:sz w:val="16"/>
                <w:szCs w:val="16"/>
                <w:lang w:val="es-ES_tradnl"/>
              </w:rPr>
              <w:t>%</w:t>
            </w:r>
          </w:p>
        </w:tc>
      </w:tr>
      <w:tr w:rsidR="00952143" w:rsidTr="00D86960">
        <w:trPr>
          <w:jc w:val="center"/>
        </w:trPr>
        <w:tc>
          <w:tcPr>
            <w:tcW w:w="1301" w:type="pct"/>
            <w:tcBorders>
              <w:top w:val="single" w:sz="4" w:space="0" w:color="BFBFBF" w:themeColor="background1" w:themeShade="BF"/>
              <w:right w:val="single" w:sz="4" w:space="0" w:color="BFBFBF" w:themeColor="background1" w:themeShade="BF"/>
            </w:tcBorders>
          </w:tcPr>
          <w:p w:rsidR="00952143" w:rsidRDefault="00952143" w:rsidP="00D86960">
            <w:pPr>
              <w:spacing w:line="240" w:lineRule="exact"/>
              <w:jc w:val="left"/>
              <w:rPr>
                <w:rFonts w:cs="Arial"/>
                <w:sz w:val="16"/>
                <w:szCs w:val="16"/>
              </w:rPr>
            </w:pPr>
            <w:r>
              <w:rPr>
                <w:rFonts w:cs="Arial"/>
                <w:sz w:val="16"/>
                <w:szCs w:val="16"/>
                <w:lang w:val="es-ES_tradnl"/>
              </w:rPr>
              <w:t>Reglamento de Régimen Interno</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31,3</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C92E2A" w:rsidRDefault="00952143" w:rsidP="00D86960">
            <w:pPr>
              <w:spacing w:line="240" w:lineRule="exact"/>
              <w:ind w:right="170"/>
              <w:jc w:val="right"/>
              <w:rPr>
                <w:rFonts w:cs="Arial"/>
                <w:bCs/>
                <w:sz w:val="16"/>
                <w:szCs w:val="16"/>
              </w:rPr>
            </w:pPr>
            <w:r w:rsidRPr="00C92E2A">
              <w:rPr>
                <w:rFonts w:cs="Arial"/>
                <w:bCs/>
                <w:sz w:val="16"/>
                <w:szCs w:val="16"/>
              </w:rPr>
              <w:t>20</w:t>
            </w:r>
            <w:r>
              <w:rPr>
                <w:rFonts w:cs="Arial"/>
                <w:bCs/>
                <w:sz w:val="16"/>
                <w:szCs w:val="16"/>
              </w:rPr>
              <w:t>,0</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C92E2A" w:rsidRDefault="00952143" w:rsidP="00D86960">
            <w:pPr>
              <w:spacing w:line="240" w:lineRule="exact"/>
              <w:ind w:right="170"/>
              <w:jc w:val="right"/>
              <w:rPr>
                <w:rFonts w:cs="Arial"/>
                <w:bCs/>
                <w:sz w:val="16"/>
                <w:szCs w:val="16"/>
              </w:rPr>
            </w:pPr>
            <w:r w:rsidRPr="00C92E2A">
              <w:rPr>
                <w:rFonts w:cs="Arial"/>
                <w:bCs/>
                <w:sz w:val="16"/>
                <w:szCs w:val="16"/>
              </w:rPr>
              <w:t>31,7</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C92E2A" w:rsidRDefault="00952143" w:rsidP="00D86960">
            <w:pPr>
              <w:spacing w:line="240" w:lineRule="exact"/>
              <w:ind w:right="170"/>
              <w:jc w:val="right"/>
              <w:rPr>
                <w:rFonts w:cs="Arial"/>
                <w:bCs/>
                <w:sz w:val="16"/>
                <w:szCs w:val="16"/>
              </w:rPr>
            </w:pPr>
            <w:r w:rsidRPr="00C92E2A">
              <w:rPr>
                <w:rFonts w:cs="Arial"/>
                <w:bCs/>
                <w:sz w:val="16"/>
                <w:szCs w:val="16"/>
              </w:rPr>
              <w:t>65,7</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C92E2A" w:rsidRDefault="00952143" w:rsidP="00D86960">
            <w:pPr>
              <w:spacing w:line="240" w:lineRule="exact"/>
              <w:ind w:right="170"/>
              <w:jc w:val="right"/>
              <w:rPr>
                <w:rFonts w:cs="Arial"/>
                <w:bCs/>
                <w:sz w:val="16"/>
                <w:szCs w:val="16"/>
              </w:rPr>
            </w:pPr>
            <w:r w:rsidRPr="00C92E2A">
              <w:rPr>
                <w:rFonts w:cs="Arial"/>
                <w:bCs/>
                <w:sz w:val="16"/>
                <w:szCs w:val="16"/>
              </w:rPr>
              <w:t>76,9</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C92E2A" w:rsidRDefault="00952143" w:rsidP="00D86960">
            <w:pPr>
              <w:spacing w:line="240" w:lineRule="exact"/>
              <w:ind w:right="170"/>
              <w:jc w:val="right"/>
              <w:rPr>
                <w:rFonts w:cs="Arial"/>
                <w:bCs/>
                <w:sz w:val="16"/>
                <w:szCs w:val="16"/>
              </w:rPr>
            </w:pPr>
            <w:r w:rsidRPr="00C92E2A">
              <w:rPr>
                <w:rFonts w:cs="Arial"/>
                <w:bCs/>
                <w:sz w:val="16"/>
                <w:szCs w:val="16"/>
              </w:rPr>
              <w:t>94,6</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C92E2A" w:rsidRDefault="00952143" w:rsidP="00D86960">
            <w:pPr>
              <w:spacing w:line="240" w:lineRule="exact"/>
              <w:ind w:right="170"/>
              <w:jc w:val="right"/>
              <w:rPr>
                <w:rFonts w:cs="Arial"/>
                <w:bCs/>
                <w:sz w:val="16"/>
                <w:szCs w:val="16"/>
              </w:rPr>
            </w:pPr>
            <w:r w:rsidRPr="00C92E2A">
              <w:rPr>
                <w:rFonts w:cs="Arial"/>
                <w:bCs/>
                <w:sz w:val="16"/>
                <w:szCs w:val="16"/>
              </w:rPr>
              <w:t>100</w:t>
            </w:r>
            <w:r w:rsidR="007F441F">
              <w:rPr>
                <w:rFonts w:cs="Arial"/>
                <w:bCs/>
                <w:sz w:val="16"/>
                <w:szCs w:val="16"/>
              </w:rPr>
              <w:t>,0</w:t>
            </w:r>
          </w:p>
        </w:tc>
        <w:tc>
          <w:tcPr>
            <w:tcW w:w="507" w:type="pct"/>
            <w:tcBorders>
              <w:top w:val="single" w:sz="4" w:space="0" w:color="BFBFBF" w:themeColor="background1" w:themeShade="BF"/>
              <w:left w:val="single" w:sz="4" w:space="0" w:color="BFBFBF" w:themeColor="background1" w:themeShade="BF"/>
            </w:tcBorders>
            <w:vAlign w:val="bottom"/>
          </w:tcPr>
          <w:p w:rsidR="00952143" w:rsidRPr="00C92E2A" w:rsidRDefault="00952143" w:rsidP="00D86960">
            <w:pPr>
              <w:spacing w:line="240" w:lineRule="exact"/>
              <w:ind w:right="170"/>
              <w:jc w:val="right"/>
              <w:rPr>
                <w:rFonts w:cs="Arial"/>
                <w:bCs/>
                <w:sz w:val="16"/>
                <w:szCs w:val="16"/>
              </w:rPr>
            </w:pPr>
            <w:r w:rsidRPr="00C92E2A">
              <w:rPr>
                <w:rFonts w:cs="Arial"/>
                <w:bCs/>
                <w:sz w:val="16"/>
                <w:szCs w:val="16"/>
              </w:rPr>
              <w:t>100</w:t>
            </w:r>
            <w:r w:rsidR="007F441F">
              <w:rPr>
                <w:rFonts w:cs="Arial"/>
                <w:bCs/>
                <w:sz w:val="16"/>
                <w:szCs w:val="16"/>
              </w:rPr>
              <w:t>,0</w:t>
            </w:r>
          </w:p>
        </w:tc>
      </w:tr>
      <w:tr w:rsidR="00952143" w:rsidTr="00D86960">
        <w:trPr>
          <w:jc w:val="center"/>
        </w:trPr>
        <w:tc>
          <w:tcPr>
            <w:tcW w:w="1301" w:type="pct"/>
            <w:tcBorders>
              <w:right w:val="single" w:sz="4" w:space="0" w:color="BFBFBF" w:themeColor="background1" w:themeShade="BF"/>
            </w:tcBorders>
          </w:tcPr>
          <w:p w:rsidR="00952143" w:rsidRPr="006C3F34" w:rsidRDefault="00952143" w:rsidP="00D86960">
            <w:pPr>
              <w:spacing w:line="240" w:lineRule="exact"/>
              <w:jc w:val="left"/>
              <w:rPr>
                <w:rFonts w:cs="Arial"/>
                <w:sz w:val="16"/>
                <w:szCs w:val="16"/>
              </w:rPr>
            </w:pPr>
            <w:r w:rsidRPr="006C3F34">
              <w:rPr>
                <w:rFonts w:cs="Arial"/>
                <w:sz w:val="16"/>
                <w:szCs w:val="16"/>
                <w:lang w:val="es-ES_tradnl"/>
              </w:rPr>
              <w:t>Plan de Gestión</w:t>
            </w:r>
          </w:p>
        </w:tc>
        <w:tc>
          <w:tcPr>
            <w:tcW w:w="505" w:type="pct"/>
            <w:tcBorders>
              <w:left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29,7</w:t>
            </w:r>
          </w:p>
        </w:tc>
        <w:tc>
          <w:tcPr>
            <w:tcW w:w="545"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18,6</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29,6</w:t>
            </w:r>
          </w:p>
        </w:tc>
        <w:tc>
          <w:tcPr>
            <w:tcW w:w="430"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63</w:t>
            </w:r>
            <w:r w:rsidR="007F441F">
              <w:rPr>
                <w:rFonts w:cs="Arial"/>
                <w:bCs/>
                <w:sz w:val="16"/>
                <w:szCs w:val="16"/>
              </w:rPr>
              <w:t>,0</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80,5</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92,5</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94,6</w:t>
            </w:r>
          </w:p>
        </w:tc>
        <w:tc>
          <w:tcPr>
            <w:tcW w:w="507" w:type="pct"/>
            <w:tcBorders>
              <w:lef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100</w:t>
            </w:r>
            <w:r w:rsidR="007F441F">
              <w:rPr>
                <w:rFonts w:cs="Arial"/>
                <w:bCs/>
                <w:sz w:val="16"/>
                <w:szCs w:val="16"/>
              </w:rPr>
              <w:t>,0</w:t>
            </w:r>
          </w:p>
        </w:tc>
      </w:tr>
      <w:tr w:rsidR="00952143" w:rsidTr="00D86960">
        <w:trPr>
          <w:jc w:val="center"/>
        </w:trPr>
        <w:tc>
          <w:tcPr>
            <w:tcW w:w="1301" w:type="pct"/>
            <w:tcBorders>
              <w:right w:val="single" w:sz="4" w:space="0" w:color="BFBFBF" w:themeColor="background1" w:themeShade="BF"/>
            </w:tcBorders>
          </w:tcPr>
          <w:p w:rsidR="00952143" w:rsidRPr="006C3F34" w:rsidRDefault="00952143" w:rsidP="00D86960">
            <w:pPr>
              <w:spacing w:line="240" w:lineRule="exact"/>
              <w:jc w:val="left"/>
              <w:rPr>
                <w:rFonts w:cs="Arial"/>
                <w:sz w:val="16"/>
                <w:szCs w:val="16"/>
              </w:rPr>
            </w:pPr>
            <w:r w:rsidRPr="006C3F34">
              <w:rPr>
                <w:rFonts w:cs="Arial"/>
                <w:sz w:val="16"/>
                <w:szCs w:val="16"/>
                <w:lang w:val="es-ES_tradnl"/>
              </w:rPr>
              <w:t>Plan de Formación</w:t>
            </w:r>
          </w:p>
        </w:tc>
        <w:tc>
          <w:tcPr>
            <w:tcW w:w="505" w:type="pct"/>
            <w:tcBorders>
              <w:left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37,9</w:t>
            </w:r>
          </w:p>
        </w:tc>
        <w:tc>
          <w:tcPr>
            <w:tcW w:w="545"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26,6</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39,3</w:t>
            </w:r>
          </w:p>
        </w:tc>
        <w:tc>
          <w:tcPr>
            <w:tcW w:w="430"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74,8</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82,5</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87,1</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94,8</w:t>
            </w:r>
          </w:p>
        </w:tc>
        <w:tc>
          <w:tcPr>
            <w:tcW w:w="507" w:type="pct"/>
            <w:tcBorders>
              <w:lef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100</w:t>
            </w:r>
            <w:r w:rsidR="007F441F">
              <w:rPr>
                <w:rFonts w:cs="Arial"/>
                <w:bCs/>
                <w:sz w:val="16"/>
                <w:szCs w:val="16"/>
              </w:rPr>
              <w:t>,0</w:t>
            </w:r>
          </w:p>
        </w:tc>
      </w:tr>
      <w:tr w:rsidR="00952143" w:rsidTr="00D86960">
        <w:trPr>
          <w:jc w:val="center"/>
        </w:trPr>
        <w:tc>
          <w:tcPr>
            <w:tcW w:w="1301" w:type="pct"/>
            <w:tcBorders>
              <w:right w:val="single" w:sz="4" w:space="0" w:color="BFBFBF" w:themeColor="background1" w:themeShade="BF"/>
            </w:tcBorders>
          </w:tcPr>
          <w:p w:rsidR="00952143" w:rsidRPr="006C3F34" w:rsidRDefault="00952143" w:rsidP="00D86960">
            <w:pPr>
              <w:spacing w:line="240" w:lineRule="exact"/>
              <w:jc w:val="left"/>
              <w:rPr>
                <w:rFonts w:cs="Arial"/>
                <w:sz w:val="16"/>
                <w:szCs w:val="16"/>
              </w:rPr>
            </w:pPr>
            <w:r w:rsidRPr="006C3F34">
              <w:rPr>
                <w:rFonts w:cs="Arial"/>
                <w:sz w:val="16"/>
                <w:szCs w:val="16"/>
                <w:lang w:val="es-ES_tradnl"/>
              </w:rPr>
              <w:t>Plan Estratégico</w:t>
            </w:r>
          </w:p>
        </w:tc>
        <w:tc>
          <w:tcPr>
            <w:tcW w:w="505" w:type="pct"/>
            <w:tcBorders>
              <w:left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21,9</w:t>
            </w:r>
          </w:p>
        </w:tc>
        <w:tc>
          <w:tcPr>
            <w:tcW w:w="545" w:type="pct"/>
            <w:tcBorders>
              <w:left w:val="single" w:sz="4" w:space="0" w:color="BFBFBF" w:themeColor="background1" w:themeShade="BF"/>
              <w:right w:val="single" w:sz="4" w:space="0" w:color="BFBFBF" w:themeColor="background1" w:themeShade="BF"/>
            </w:tcBorders>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11,0</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20,9</w:t>
            </w:r>
          </w:p>
        </w:tc>
        <w:tc>
          <w:tcPr>
            <w:tcW w:w="430"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50,1</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82,2</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86,7</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89,5</w:t>
            </w:r>
          </w:p>
        </w:tc>
        <w:tc>
          <w:tcPr>
            <w:tcW w:w="507" w:type="pct"/>
            <w:tcBorders>
              <w:lef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100</w:t>
            </w:r>
            <w:r w:rsidR="007F441F">
              <w:rPr>
                <w:rFonts w:cs="Arial"/>
                <w:bCs/>
                <w:sz w:val="16"/>
                <w:szCs w:val="16"/>
              </w:rPr>
              <w:t>,0</w:t>
            </w:r>
          </w:p>
        </w:tc>
      </w:tr>
      <w:tr w:rsidR="00952143" w:rsidTr="00D86960">
        <w:trPr>
          <w:jc w:val="center"/>
        </w:trPr>
        <w:tc>
          <w:tcPr>
            <w:tcW w:w="1301" w:type="pct"/>
            <w:tcBorders>
              <w:bottom w:val="single" w:sz="4" w:space="0" w:color="BFBFBF" w:themeColor="background1" w:themeShade="BF"/>
              <w:right w:val="single" w:sz="4" w:space="0" w:color="BFBFBF" w:themeColor="background1" w:themeShade="BF"/>
            </w:tcBorders>
          </w:tcPr>
          <w:p w:rsidR="00952143" w:rsidRDefault="00952143" w:rsidP="00D86960">
            <w:pPr>
              <w:spacing w:line="240" w:lineRule="exact"/>
              <w:jc w:val="left"/>
              <w:rPr>
                <w:rFonts w:cs="Arial"/>
                <w:sz w:val="16"/>
                <w:szCs w:val="16"/>
              </w:rPr>
            </w:pPr>
            <w:r>
              <w:rPr>
                <w:rFonts w:cs="Arial"/>
                <w:sz w:val="16"/>
                <w:szCs w:val="16"/>
                <w:lang w:val="es-ES_tradnl"/>
              </w:rPr>
              <w:t>Manual Valoración Puestos</w:t>
            </w:r>
          </w:p>
        </w:tc>
        <w:tc>
          <w:tcPr>
            <w:tcW w:w="50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24,5</w:t>
            </w:r>
          </w:p>
        </w:tc>
        <w:tc>
          <w:tcPr>
            <w:tcW w:w="54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13,6</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29,3</w:t>
            </w:r>
          </w:p>
        </w:tc>
        <w:tc>
          <w:tcPr>
            <w:tcW w:w="43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53,2</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60,8</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78,8</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88,4</w:t>
            </w:r>
          </w:p>
        </w:tc>
        <w:tc>
          <w:tcPr>
            <w:tcW w:w="507" w:type="pct"/>
            <w:tcBorders>
              <w:left w:val="single" w:sz="4" w:space="0" w:color="BFBFBF" w:themeColor="background1" w:themeShade="BF"/>
              <w:bottom w:val="single" w:sz="4" w:space="0" w:color="BFBFBF" w:themeColor="background1" w:themeShade="BF"/>
            </w:tcBorders>
            <w:vAlign w:val="bottom"/>
          </w:tcPr>
          <w:p w:rsidR="00952143" w:rsidRPr="00D52FA4" w:rsidRDefault="00952143" w:rsidP="00D86960">
            <w:pPr>
              <w:spacing w:line="240" w:lineRule="exact"/>
              <w:ind w:right="170"/>
              <w:jc w:val="right"/>
              <w:rPr>
                <w:rFonts w:cs="Arial"/>
                <w:bCs/>
                <w:sz w:val="16"/>
                <w:szCs w:val="16"/>
              </w:rPr>
            </w:pPr>
            <w:r w:rsidRPr="00D52FA4">
              <w:rPr>
                <w:rFonts w:cs="Arial"/>
                <w:bCs/>
                <w:sz w:val="16"/>
                <w:szCs w:val="16"/>
              </w:rPr>
              <w:t>83,2</w:t>
            </w:r>
          </w:p>
        </w:tc>
      </w:tr>
    </w:tbl>
    <w:p w:rsidR="00952143" w:rsidRDefault="00952143" w:rsidP="00952143">
      <w:pPr>
        <w:rPr>
          <w:rFonts w:cs="Arial"/>
        </w:rPr>
      </w:pPr>
    </w:p>
    <w:p w:rsidR="00952143" w:rsidRDefault="00952143" w:rsidP="00952143">
      <w:pPr>
        <w:rPr>
          <w:rFonts w:cs="Arial"/>
        </w:rPr>
      </w:pPr>
    </w:p>
    <w:p w:rsidR="00952143" w:rsidRPr="009C4E1F" w:rsidRDefault="008D5779" w:rsidP="00952143">
      <w:pPr>
        <w:spacing w:line="240" w:lineRule="auto"/>
        <w:jc w:val="center"/>
        <w:rPr>
          <w:rFonts w:cs="Arial"/>
          <w:b/>
          <w:snapToGrid w:val="0"/>
          <w:color w:val="1F497D" w:themeColor="text2"/>
          <w:sz w:val="18"/>
          <w:szCs w:val="18"/>
          <w:lang w:val="es-ES_tradnl"/>
        </w:rPr>
      </w:pPr>
      <w:bookmarkStart w:id="309" w:name="_Toc392756756"/>
      <w:bookmarkStart w:id="310" w:name="_Toc450119763"/>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DISPOSICIÓN DE LAS HERRAMIENTAS DE GESTIÓN EMPRESARIAL POR TAMAÑO EMPRES</w:t>
      </w:r>
      <w:r w:rsidR="00952143">
        <w:rPr>
          <w:rFonts w:cs="Arial"/>
          <w:b/>
          <w:snapToGrid w:val="0"/>
          <w:color w:val="1F497D" w:themeColor="text2"/>
          <w:sz w:val="18"/>
          <w:szCs w:val="18"/>
          <w:lang w:val="es-ES_tradnl"/>
        </w:rPr>
        <w:t xml:space="preserve">ARIAL SEGÚN FORMA JURÍDICA. 2014 </w:t>
      </w:r>
      <w:r w:rsidR="00952143" w:rsidRPr="009C4E1F">
        <w:rPr>
          <w:rFonts w:cs="Arial"/>
          <w:b/>
          <w:snapToGrid w:val="0"/>
          <w:color w:val="1F497D" w:themeColor="text2"/>
          <w:sz w:val="18"/>
          <w:szCs w:val="18"/>
          <w:lang w:val="es-ES_tradnl"/>
        </w:rPr>
        <w:t>(% de las empresas que disponen de estas herramientas)</w:t>
      </w:r>
      <w:bookmarkEnd w:id="309"/>
      <w:bookmarkEnd w:id="310"/>
    </w:p>
    <w:tbl>
      <w:tblPr>
        <w:tblW w:w="9940" w:type="dxa"/>
        <w:jc w:val="center"/>
        <w:tblLayout w:type="fixed"/>
        <w:tblLook w:val="04A0" w:firstRow="1" w:lastRow="0" w:firstColumn="1" w:lastColumn="0" w:noHBand="0" w:noVBand="1"/>
      </w:tblPr>
      <w:tblGrid>
        <w:gridCol w:w="2693"/>
        <w:gridCol w:w="1036"/>
        <w:gridCol w:w="1036"/>
        <w:gridCol w:w="1035"/>
        <w:gridCol w:w="1035"/>
        <w:gridCol w:w="1035"/>
        <w:gridCol w:w="1035"/>
        <w:gridCol w:w="1035"/>
      </w:tblGrid>
      <w:tr w:rsidR="00952143" w:rsidRPr="00A90376" w:rsidTr="00D86960">
        <w:trPr>
          <w:jc w:val="center"/>
        </w:trPr>
        <w:tc>
          <w:tcPr>
            <w:tcW w:w="26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 xml:space="preserve">S. </w:t>
            </w:r>
            <w:proofErr w:type="spellStart"/>
            <w:r w:rsidRPr="00A90376">
              <w:rPr>
                <w:rFonts w:cs="Arial"/>
                <w:b/>
                <w:bCs/>
                <w:sz w:val="16"/>
                <w:szCs w:val="16"/>
              </w:rPr>
              <w:t>Coop</w:t>
            </w:r>
            <w:proofErr w:type="spellEnd"/>
            <w:r w:rsidRPr="00A90376">
              <w:rPr>
                <w:rFonts w:cs="Arial"/>
                <w:b/>
                <w:bCs/>
                <w:sz w:val="16"/>
                <w:szCs w:val="16"/>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Hasta 5 empleos</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6 a 15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16 a 50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51 a 100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101 a 200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201 a 500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Más de 500 empleos</w:t>
            </w:r>
          </w:p>
        </w:tc>
      </w:tr>
      <w:tr w:rsidR="00952143" w:rsidRPr="00846508" w:rsidTr="00D86960">
        <w:trPr>
          <w:jc w:val="center"/>
        </w:trPr>
        <w:tc>
          <w:tcPr>
            <w:tcW w:w="2654" w:type="dxa"/>
            <w:tcBorders>
              <w:top w:val="single" w:sz="4" w:space="0" w:color="BFBFBF" w:themeColor="background1" w:themeShade="BF"/>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Reglamento de Régimen Interno</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25,1</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42,3</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76</w:t>
            </w:r>
            <w:r w:rsidR="007F441F">
              <w:rPr>
                <w:rFonts w:cs="Arial"/>
                <w:bCs/>
                <w:sz w:val="16"/>
                <w:szCs w:val="16"/>
              </w:rPr>
              <w:t>,0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81,7</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94,3</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100</w:t>
            </w:r>
            <w:r w:rsidR="007F441F">
              <w:rPr>
                <w:rFonts w:cs="Arial"/>
                <w:bCs/>
                <w:sz w:val="16"/>
                <w:szCs w:val="16"/>
              </w:rPr>
              <w:t>,0</w:t>
            </w:r>
          </w:p>
        </w:tc>
        <w:tc>
          <w:tcPr>
            <w:tcW w:w="1021" w:type="dxa"/>
            <w:tcBorders>
              <w:top w:val="single" w:sz="4" w:space="0" w:color="BFBFBF" w:themeColor="background1" w:themeShade="BF"/>
              <w:lef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100</w:t>
            </w:r>
            <w:r w:rsidR="007F441F">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Plan de Gestión</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23,1</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33</w:t>
            </w:r>
            <w:r w:rsidR="007F441F">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68,7</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84,2</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94,6</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94,6</w:t>
            </w:r>
          </w:p>
        </w:tc>
        <w:tc>
          <w:tcPr>
            <w:tcW w:w="1021" w:type="dxa"/>
            <w:tcBorders>
              <w:lef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100</w:t>
            </w:r>
            <w:r w:rsidR="007F441F">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Plan de Formación</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21,6</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36,2</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74,1</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84,6</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86,3</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94,8</w:t>
            </w:r>
          </w:p>
        </w:tc>
        <w:tc>
          <w:tcPr>
            <w:tcW w:w="1021" w:type="dxa"/>
            <w:tcBorders>
              <w:lef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100</w:t>
            </w:r>
            <w:r w:rsidR="007F441F">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 xml:space="preserve">Plan Estratégico </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14,5</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25,2</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52,3</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84,3</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88,5</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89,5</w:t>
            </w:r>
          </w:p>
        </w:tc>
        <w:tc>
          <w:tcPr>
            <w:tcW w:w="1021" w:type="dxa"/>
            <w:tcBorders>
              <w:lef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100</w:t>
            </w:r>
            <w:r w:rsidR="007F441F">
              <w:rPr>
                <w:rFonts w:cs="Arial"/>
                <w:bCs/>
                <w:sz w:val="16"/>
                <w:szCs w:val="16"/>
              </w:rPr>
              <w:t>,0</w:t>
            </w:r>
          </w:p>
        </w:tc>
      </w:tr>
      <w:tr w:rsidR="00952143" w:rsidRPr="009664B9" w:rsidTr="00D86960">
        <w:trPr>
          <w:jc w:val="center"/>
        </w:trPr>
        <w:tc>
          <w:tcPr>
            <w:tcW w:w="2654" w:type="dxa"/>
            <w:tcBorders>
              <w:bottom w:val="single" w:sz="4" w:space="0" w:color="BFBFBF" w:themeColor="background1" w:themeShade="BF"/>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Manual de Valoración de Puestos</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11</w:t>
            </w:r>
            <w:r w:rsidR="007F441F">
              <w:rPr>
                <w:rFonts w:cs="Arial"/>
                <w:bCs/>
                <w:sz w:val="16"/>
                <w:szCs w:val="16"/>
              </w:rPr>
              <w:t>,0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29,4</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53,1</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61</w:t>
            </w:r>
            <w:r w:rsidR="007F441F">
              <w:rPr>
                <w:rFonts w:cs="Arial"/>
                <w:bCs/>
                <w:sz w:val="16"/>
                <w:szCs w:val="16"/>
              </w:rPr>
              <w:t>,0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80,7</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88,4</w:t>
            </w:r>
          </w:p>
        </w:tc>
        <w:tc>
          <w:tcPr>
            <w:tcW w:w="1021" w:type="dxa"/>
            <w:tcBorders>
              <w:left w:val="single" w:sz="4" w:space="0" w:color="BFBFBF" w:themeColor="background1" w:themeShade="BF"/>
              <w:bottom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83,2</w:t>
            </w:r>
          </w:p>
        </w:tc>
      </w:tr>
    </w:tbl>
    <w:p w:rsidR="00952143" w:rsidRDefault="00952143" w:rsidP="00952143">
      <w:pPr>
        <w:rPr>
          <w:rFonts w:cs="Arial"/>
        </w:rPr>
      </w:pPr>
    </w:p>
    <w:tbl>
      <w:tblPr>
        <w:tblW w:w="9940" w:type="dxa"/>
        <w:jc w:val="center"/>
        <w:tblLayout w:type="fixed"/>
        <w:tblLook w:val="04A0" w:firstRow="1" w:lastRow="0" w:firstColumn="1" w:lastColumn="0" w:noHBand="0" w:noVBand="1"/>
      </w:tblPr>
      <w:tblGrid>
        <w:gridCol w:w="2693"/>
        <w:gridCol w:w="1036"/>
        <w:gridCol w:w="1036"/>
        <w:gridCol w:w="1035"/>
        <w:gridCol w:w="1035"/>
        <w:gridCol w:w="1035"/>
        <w:gridCol w:w="1035"/>
        <w:gridCol w:w="1035"/>
      </w:tblGrid>
      <w:tr w:rsidR="00952143" w:rsidRPr="00A90376" w:rsidTr="00D86960">
        <w:trPr>
          <w:jc w:val="center"/>
        </w:trPr>
        <w:tc>
          <w:tcPr>
            <w:tcW w:w="26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Pr>
                <w:rFonts w:cs="Arial"/>
                <w:b/>
                <w:bCs/>
                <w:sz w:val="16"/>
                <w:szCs w:val="16"/>
              </w:rPr>
              <w:t>S.A.L.</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Hasta 5 empleos</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6 a 15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16 a 50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51 a 100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101 a 200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201 a 500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Más de 500 empleos</w:t>
            </w:r>
          </w:p>
        </w:tc>
      </w:tr>
      <w:tr w:rsidR="00952143" w:rsidRPr="00846508" w:rsidTr="00D86960">
        <w:trPr>
          <w:jc w:val="center"/>
        </w:trPr>
        <w:tc>
          <w:tcPr>
            <w:tcW w:w="2654" w:type="dxa"/>
            <w:tcBorders>
              <w:top w:val="single" w:sz="4" w:space="0" w:color="BFBFBF" w:themeColor="background1" w:themeShade="BF"/>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Reglamento de Régimen Interno</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17,2</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22,9</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41,5</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24,2</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100</w:t>
            </w:r>
            <w:r w:rsidR="007F441F">
              <w:rPr>
                <w:rFonts w:cs="Arial"/>
                <w:bCs/>
                <w:sz w:val="16"/>
                <w:szCs w:val="16"/>
              </w:rPr>
              <w:t>,0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0</w:t>
            </w:r>
          </w:p>
        </w:tc>
        <w:tc>
          <w:tcPr>
            <w:tcW w:w="1021" w:type="dxa"/>
            <w:tcBorders>
              <w:top w:val="single" w:sz="4" w:space="0" w:color="BFBFBF" w:themeColor="background1" w:themeShade="BF"/>
              <w:lef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Plan de Gestión</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9,6</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27,8</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54,2</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46,1</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54,2</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Plan de Formación</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34,4</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52,3</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73,5</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74,6</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100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0</w:t>
            </w:r>
          </w:p>
        </w:tc>
        <w:tc>
          <w:tcPr>
            <w:tcW w:w="1021" w:type="dxa"/>
            <w:tcBorders>
              <w:lef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 xml:space="preserve">Plan Estratégico </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2,3</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19,9</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51,5</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74,6</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54,2</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r>
      <w:tr w:rsidR="00952143" w:rsidRPr="00846508" w:rsidTr="00D86960">
        <w:trPr>
          <w:jc w:val="center"/>
        </w:trPr>
        <w:tc>
          <w:tcPr>
            <w:tcW w:w="2654" w:type="dxa"/>
            <w:tcBorders>
              <w:bottom w:val="single" w:sz="4" w:space="0" w:color="BFBFBF" w:themeColor="background1" w:themeShade="BF"/>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Manual de Valoración de Puestos</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24,5</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33</w:t>
            </w:r>
            <w:r w:rsidR="007F441F">
              <w:rPr>
                <w:rFonts w:cs="Arial"/>
                <w:bCs/>
                <w:sz w:val="16"/>
                <w:szCs w:val="16"/>
              </w:rPr>
              <w:t>,0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54,5</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74,6</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45,8</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bottom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r>
    </w:tbl>
    <w:p w:rsidR="00952143" w:rsidRDefault="00952143" w:rsidP="00952143"/>
    <w:tbl>
      <w:tblPr>
        <w:tblW w:w="9940" w:type="dxa"/>
        <w:jc w:val="center"/>
        <w:tblLayout w:type="fixed"/>
        <w:tblLook w:val="04A0" w:firstRow="1" w:lastRow="0" w:firstColumn="1" w:lastColumn="0" w:noHBand="0" w:noVBand="1"/>
      </w:tblPr>
      <w:tblGrid>
        <w:gridCol w:w="2693"/>
        <w:gridCol w:w="1036"/>
        <w:gridCol w:w="1036"/>
        <w:gridCol w:w="1035"/>
        <w:gridCol w:w="1035"/>
        <w:gridCol w:w="1035"/>
        <w:gridCol w:w="1035"/>
        <w:gridCol w:w="1035"/>
      </w:tblGrid>
      <w:tr w:rsidR="00952143" w:rsidRPr="00A90376" w:rsidTr="00D86960">
        <w:trPr>
          <w:jc w:val="center"/>
        </w:trPr>
        <w:tc>
          <w:tcPr>
            <w:tcW w:w="265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Pr>
                <w:rFonts w:cs="Arial"/>
                <w:b/>
                <w:bCs/>
                <w:sz w:val="16"/>
                <w:szCs w:val="16"/>
              </w:rPr>
              <w:t>S.L.L.</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Hasta 5 empleos</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6 a 15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16 a 50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51 a 100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101 a 200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De 201 a 500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952143" w:rsidRPr="00A90376" w:rsidRDefault="00952143" w:rsidP="00D86960">
            <w:pPr>
              <w:spacing w:line="240" w:lineRule="auto"/>
              <w:jc w:val="center"/>
              <w:rPr>
                <w:rFonts w:cs="Arial"/>
                <w:b/>
                <w:bCs/>
                <w:sz w:val="16"/>
                <w:szCs w:val="16"/>
              </w:rPr>
            </w:pPr>
            <w:r w:rsidRPr="00A90376">
              <w:rPr>
                <w:rFonts w:cs="Arial"/>
                <w:b/>
                <w:bCs/>
                <w:sz w:val="16"/>
                <w:szCs w:val="16"/>
              </w:rPr>
              <w:t>Más de 500 empleos</w:t>
            </w:r>
          </w:p>
        </w:tc>
      </w:tr>
      <w:tr w:rsidR="00952143" w:rsidRPr="00846508" w:rsidTr="00D86960">
        <w:trPr>
          <w:jc w:val="center"/>
        </w:trPr>
        <w:tc>
          <w:tcPr>
            <w:tcW w:w="2654" w:type="dxa"/>
            <w:tcBorders>
              <w:top w:val="single" w:sz="4" w:space="0" w:color="BFBFBF" w:themeColor="background1" w:themeShade="BF"/>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Reglamento de Régimen Interno</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11,1</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13,2</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33,3</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0</w:t>
            </w:r>
          </w:p>
        </w:tc>
        <w:tc>
          <w:tcPr>
            <w:tcW w:w="1021"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0</w:t>
            </w:r>
          </w:p>
        </w:tc>
        <w:tc>
          <w:tcPr>
            <w:tcW w:w="1021" w:type="dxa"/>
            <w:tcBorders>
              <w:top w:val="single" w:sz="4" w:space="0" w:color="BFBFBF" w:themeColor="background1" w:themeShade="BF"/>
              <w:left w:val="single" w:sz="4" w:space="0" w:color="BFBFBF" w:themeColor="background1" w:themeShade="BF"/>
            </w:tcBorders>
            <w:noWrap/>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Plan de Gestión</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12</w:t>
            </w:r>
            <w:r w:rsidR="007F441F">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23,2</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32,4</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Plan de Formación</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34,3</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39,5</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84,9</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0</w:t>
            </w:r>
          </w:p>
        </w:tc>
        <w:tc>
          <w:tcPr>
            <w:tcW w:w="1021" w:type="dxa"/>
            <w:tcBorders>
              <w:left w:val="single" w:sz="4" w:space="0" w:color="BFBFBF" w:themeColor="background1" w:themeShade="BF"/>
            </w:tcBorders>
            <w:noWrap/>
            <w:vAlign w:val="bottom"/>
          </w:tcPr>
          <w:p w:rsidR="00952143" w:rsidRPr="00CD29A2" w:rsidRDefault="00952143" w:rsidP="00D86960">
            <w:pPr>
              <w:spacing w:line="240" w:lineRule="exact"/>
              <w:ind w:right="170"/>
              <w:jc w:val="right"/>
              <w:rPr>
                <w:rFonts w:cs="Arial"/>
                <w:bCs/>
                <w:sz w:val="16"/>
                <w:szCs w:val="16"/>
              </w:rPr>
            </w:pPr>
            <w:r w:rsidRPr="00CD29A2">
              <w:rPr>
                <w:rFonts w:cs="Arial"/>
                <w:bCs/>
                <w:sz w:val="16"/>
                <w:szCs w:val="16"/>
              </w:rPr>
              <w:t>0</w:t>
            </w:r>
          </w:p>
        </w:tc>
      </w:tr>
      <w:tr w:rsidR="00952143" w:rsidRPr="00846508" w:rsidTr="00D86960">
        <w:trPr>
          <w:jc w:val="center"/>
        </w:trPr>
        <w:tc>
          <w:tcPr>
            <w:tcW w:w="2654" w:type="dxa"/>
            <w:tcBorders>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 xml:space="preserve">Plan Estratégico </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6,3</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12,1</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24,6</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r>
      <w:tr w:rsidR="00952143" w:rsidRPr="00846508" w:rsidTr="00D86960">
        <w:trPr>
          <w:jc w:val="center"/>
        </w:trPr>
        <w:tc>
          <w:tcPr>
            <w:tcW w:w="2654" w:type="dxa"/>
            <w:tcBorders>
              <w:bottom w:val="single" w:sz="4" w:space="0" w:color="BFBFBF" w:themeColor="background1" w:themeShade="BF"/>
              <w:right w:val="single" w:sz="4" w:space="0" w:color="BFBFBF" w:themeColor="background1" w:themeShade="BF"/>
            </w:tcBorders>
          </w:tcPr>
          <w:p w:rsidR="00952143" w:rsidRPr="00846508" w:rsidRDefault="00952143" w:rsidP="00D86960">
            <w:pPr>
              <w:spacing w:line="240" w:lineRule="exact"/>
              <w:jc w:val="left"/>
              <w:rPr>
                <w:rFonts w:cs="Arial"/>
                <w:sz w:val="16"/>
                <w:szCs w:val="16"/>
              </w:rPr>
            </w:pPr>
            <w:r w:rsidRPr="00846508">
              <w:rPr>
                <w:rFonts w:cs="Arial"/>
                <w:sz w:val="16"/>
                <w:szCs w:val="16"/>
                <w:lang w:val="es-ES_tradnl"/>
              </w:rPr>
              <w:t>Manual de Valoración de Puestos</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16,2</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27,2</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50,4</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c>
          <w:tcPr>
            <w:tcW w:w="1021" w:type="dxa"/>
            <w:tcBorders>
              <w:left w:val="single" w:sz="4" w:space="0" w:color="BFBFBF" w:themeColor="background1" w:themeShade="BF"/>
              <w:bottom w:val="single" w:sz="4" w:space="0" w:color="BFBFBF" w:themeColor="background1" w:themeShade="BF"/>
            </w:tcBorders>
            <w:noWrap/>
            <w:vAlign w:val="bottom"/>
          </w:tcPr>
          <w:p w:rsidR="00952143" w:rsidRPr="009664B9" w:rsidRDefault="00952143" w:rsidP="00D86960">
            <w:pPr>
              <w:spacing w:line="240" w:lineRule="exact"/>
              <w:ind w:right="170"/>
              <w:jc w:val="right"/>
              <w:rPr>
                <w:rFonts w:cs="Arial"/>
                <w:bCs/>
                <w:sz w:val="16"/>
                <w:szCs w:val="16"/>
              </w:rPr>
            </w:pPr>
            <w:r w:rsidRPr="009664B9">
              <w:rPr>
                <w:rFonts w:cs="Arial"/>
                <w:bCs/>
                <w:sz w:val="16"/>
                <w:szCs w:val="16"/>
              </w:rPr>
              <w:t>0</w:t>
            </w:r>
          </w:p>
        </w:tc>
      </w:tr>
    </w:tbl>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after="200" w:line="276" w:lineRule="auto"/>
        <w:jc w:val="left"/>
        <w:rPr>
          <w:rFonts w:cs="Arial"/>
          <w:b/>
          <w:snapToGrid w:val="0"/>
          <w:color w:val="1F497D" w:themeColor="text2"/>
          <w:sz w:val="18"/>
          <w:szCs w:val="18"/>
          <w:lang w:val="es-ES_tradnl"/>
        </w:rPr>
      </w:pPr>
      <w:bookmarkStart w:id="311" w:name="_Toc392756757"/>
      <w:r>
        <w:rPr>
          <w:rFonts w:cs="Arial"/>
          <w:b/>
          <w:snapToGrid w:val="0"/>
          <w:color w:val="1F497D" w:themeColor="text2"/>
          <w:sz w:val="18"/>
          <w:szCs w:val="18"/>
          <w:lang w:val="es-ES_tradnl"/>
        </w:rPr>
        <w:br w:type="page"/>
      </w:r>
    </w:p>
    <w:p w:rsidR="00952143" w:rsidRDefault="008D5779" w:rsidP="00952143">
      <w:pPr>
        <w:spacing w:line="240" w:lineRule="auto"/>
        <w:jc w:val="center"/>
        <w:rPr>
          <w:rFonts w:cs="Arial"/>
          <w:b/>
          <w:snapToGrid w:val="0"/>
          <w:color w:val="1F497D" w:themeColor="text2"/>
          <w:sz w:val="18"/>
          <w:szCs w:val="18"/>
          <w:lang w:val="es-ES_tradnl"/>
        </w:rPr>
      </w:pPr>
      <w:bookmarkStart w:id="312" w:name="_Toc450119764"/>
      <w:r w:rsidRPr="008D5779">
        <w:rPr>
          <w:rFonts w:cs="Arial"/>
          <w:b/>
          <w:bCs/>
          <w:snapToGrid w:val="0"/>
          <w:color w:val="1F497D" w:themeColor="text2"/>
          <w:sz w:val="18"/>
          <w:szCs w:val="18"/>
          <w:lang w:val="es-ES_tradnl"/>
        </w:rPr>
        <w:lastRenderedPageBreak/>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4</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PROPENSIÓN A LA INCORPORACIÓN DE LAS HERRAMIENTAS DE GESTIÓN POR TAMAÑO DE EMPRESA. 201</w:t>
      </w:r>
      <w:bookmarkEnd w:id="311"/>
      <w:r w:rsidR="00952143">
        <w:rPr>
          <w:rFonts w:cs="Arial"/>
          <w:b/>
          <w:snapToGrid w:val="0"/>
          <w:color w:val="1F497D" w:themeColor="text2"/>
          <w:sz w:val="18"/>
          <w:szCs w:val="18"/>
          <w:lang w:val="es-ES_tradnl"/>
        </w:rPr>
        <w:t>4</w:t>
      </w:r>
      <w:bookmarkEnd w:id="312"/>
    </w:p>
    <w:tbl>
      <w:tblPr>
        <w:tblW w:w="9940" w:type="dxa"/>
        <w:jc w:val="center"/>
        <w:tblBorders>
          <w:bottom w:val="single" w:sz="4" w:space="0" w:color="BFBFBF" w:themeColor="background1" w:themeShade="BF"/>
        </w:tblBorders>
        <w:tblLayout w:type="fixed"/>
        <w:tblLook w:val="04A0" w:firstRow="1" w:lastRow="0" w:firstColumn="1" w:lastColumn="0" w:noHBand="0" w:noVBand="1"/>
      </w:tblPr>
      <w:tblGrid>
        <w:gridCol w:w="2586"/>
        <w:gridCol w:w="1004"/>
        <w:gridCol w:w="1083"/>
        <w:gridCol w:w="851"/>
        <w:gridCol w:w="855"/>
        <w:gridCol w:w="851"/>
        <w:gridCol w:w="851"/>
        <w:gridCol w:w="851"/>
        <w:gridCol w:w="1008"/>
      </w:tblGrid>
      <w:tr w:rsidR="00952143" w:rsidTr="00D86960">
        <w:trPr>
          <w:jc w:val="center"/>
        </w:trPr>
        <w:tc>
          <w:tcPr>
            <w:tcW w:w="1301"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44494A" w:rsidRDefault="00952143" w:rsidP="00D86960">
            <w:pPr>
              <w:spacing w:line="240" w:lineRule="auto"/>
              <w:jc w:val="center"/>
              <w:rPr>
                <w:rFonts w:cs="Arial"/>
                <w:b/>
                <w:bCs/>
                <w:sz w:val="16"/>
                <w:szCs w:val="16"/>
              </w:rPr>
            </w:pPr>
            <w:r w:rsidRPr="0044494A">
              <w:rPr>
                <w:rFonts w:cs="Arial"/>
                <w:b/>
                <w:bCs/>
                <w:sz w:val="16"/>
                <w:szCs w:val="16"/>
              </w:rPr>
              <w:t> </w:t>
            </w:r>
          </w:p>
        </w:tc>
        <w:tc>
          <w:tcPr>
            <w:tcW w:w="50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TOTAL</w:t>
            </w:r>
          </w:p>
        </w:tc>
        <w:tc>
          <w:tcPr>
            <w:tcW w:w="54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Menos</w:t>
            </w:r>
            <w:r>
              <w:rPr>
                <w:rFonts w:cs="Arial"/>
                <w:b/>
                <w:bCs/>
                <w:sz w:val="16"/>
                <w:szCs w:val="16"/>
              </w:rPr>
              <w:t xml:space="preserve"> </w:t>
            </w:r>
            <w:r w:rsidRPr="0044494A">
              <w:rPr>
                <w:rFonts w:cs="Arial"/>
                <w:b/>
                <w:bCs/>
                <w:sz w:val="16"/>
                <w:szCs w:val="16"/>
              </w:rPr>
              <w:t>de 6</w:t>
            </w:r>
            <w:r>
              <w:rPr>
                <w:rFonts w:cs="Arial"/>
                <w:b/>
                <w:bCs/>
                <w:sz w:val="16"/>
                <w:szCs w:val="16"/>
              </w:rPr>
              <w:t xml:space="preserve"> </w:t>
            </w:r>
            <w:r w:rsidRPr="0044494A">
              <w:rPr>
                <w:rFonts w:cs="Arial"/>
                <w:b/>
                <w:bCs/>
                <w:sz w:val="16"/>
                <w:szCs w:val="16"/>
              </w:rPr>
              <w:t>Empleos</w:t>
            </w:r>
          </w:p>
        </w:tc>
        <w:tc>
          <w:tcPr>
            <w:tcW w:w="42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15</w:t>
            </w:r>
          </w:p>
        </w:tc>
        <w:tc>
          <w:tcPr>
            <w:tcW w:w="43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50</w:t>
            </w:r>
          </w:p>
        </w:tc>
        <w:tc>
          <w:tcPr>
            <w:tcW w:w="42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51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100</w:t>
            </w:r>
          </w:p>
        </w:tc>
        <w:tc>
          <w:tcPr>
            <w:tcW w:w="42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101 a</w:t>
            </w:r>
            <w:r>
              <w:rPr>
                <w:rFonts w:cs="Arial"/>
                <w:b/>
                <w:bCs/>
                <w:sz w:val="16"/>
                <w:szCs w:val="16"/>
              </w:rPr>
              <w:t xml:space="preserve"> </w:t>
            </w:r>
            <w:r w:rsidRPr="0044494A">
              <w:rPr>
                <w:rFonts w:cs="Arial"/>
                <w:b/>
                <w:bCs/>
                <w:sz w:val="16"/>
                <w:szCs w:val="16"/>
              </w:rPr>
              <w:t>200</w:t>
            </w:r>
          </w:p>
        </w:tc>
        <w:tc>
          <w:tcPr>
            <w:tcW w:w="42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201 a 500</w:t>
            </w:r>
          </w:p>
        </w:tc>
        <w:tc>
          <w:tcPr>
            <w:tcW w:w="507"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Más de 500</w:t>
            </w:r>
            <w:r>
              <w:rPr>
                <w:rFonts w:cs="Arial"/>
                <w:b/>
                <w:bCs/>
                <w:sz w:val="16"/>
                <w:szCs w:val="16"/>
              </w:rPr>
              <w:t xml:space="preserve"> empleos</w:t>
            </w:r>
          </w:p>
        </w:tc>
      </w:tr>
      <w:tr w:rsidR="00952143" w:rsidTr="00D86960">
        <w:trPr>
          <w:jc w:val="center"/>
        </w:trPr>
        <w:tc>
          <w:tcPr>
            <w:tcW w:w="1301"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952143" w:rsidRDefault="00952143" w:rsidP="00D86960">
            <w:pPr>
              <w:spacing w:line="240" w:lineRule="auto"/>
              <w:jc w:val="left"/>
              <w:rPr>
                <w:rFonts w:cs="Arial"/>
                <w:b/>
                <w:bCs/>
                <w:color w:val="000080"/>
                <w:sz w:val="16"/>
                <w:szCs w:val="16"/>
              </w:rPr>
            </w:pPr>
          </w:p>
        </w:tc>
        <w:tc>
          <w:tcPr>
            <w:tcW w:w="50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54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2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3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2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2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28"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507"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r>
      <w:tr w:rsidR="00952143" w:rsidTr="00D86960">
        <w:trPr>
          <w:jc w:val="center"/>
        </w:trPr>
        <w:tc>
          <w:tcPr>
            <w:tcW w:w="1301" w:type="pct"/>
            <w:tcBorders>
              <w:top w:val="single" w:sz="4" w:space="0" w:color="BFBFBF" w:themeColor="background1" w:themeShade="BF"/>
              <w:right w:val="single" w:sz="4" w:space="0" w:color="BFBFBF" w:themeColor="background1" w:themeShade="BF"/>
            </w:tcBorders>
            <w:vAlign w:val="bottom"/>
          </w:tcPr>
          <w:p w:rsidR="00952143" w:rsidRDefault="00952143" w:rsidP="00D86960">
            <w:pPr>
              <w:spacing w:line="240" w:lineRule="exact"/>
              <w:jc w:val="left"/>
              <w:rPr>
                <w:rFonts w:cs="Arial"/>
                <w:sz w:val="16"/>
                <w:szCs w:val="16"/>
              </w:rPr>
            </w:pPr>
            <w:r>
              <w:rPr>
                <w:rFonts w:cs="Arial"/>
                <w:sz w:val="16"/>
                <w:szCs w:val="16"/>
                <w:lang w:val="es-ES_tradnl"/>
              </w:rPr>
              <w:t>Reglamento de Régimen Interno</w:t>
            </w:r>
          </w:p>
        </w:tc>
        <w:tc>
          <w:tcPr>
            <w:tcW w:w="50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C952B0" w:rsidRDefault="00952143" w:rsidP="00D86960">
            <w:pPr>
              <w:spacing w:line="240" w:lineRule="exact"/>
              <w:ind w:right="170"/>
              <w:jc w:val="right"/>
              <w:rPr>
                <w:rFonts w:cs="Arial"/>
                <w:bCs/>
                <w:sz w:val="16"/>
                <w:szCs w:val="16"/>
              </w:rPr>
            </w:pPr>
            <w:r>
              <w:rPr>
                <w:rFonts w:cs="Arial"/>
                <w:bCs/>
                <w:sz w:val="16"/>
                <w:szCs w:val="16"/>
              </w:rPr>
              <w:t>32,4</w:t>
            </w:r>
          </w:p>
        </w:tc>
        <w:tc>
          <w:tcPr>
            <w:tcW w:w="54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33,1</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30,4</w:t>
            </w:r>
          </w:p>
        </w:tc>
        <w:tc>
          <w:tcPr>
            <w:tcW w:w="43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31,2</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37,4</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0</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35,5</w:t>
            </w:r>
          </w:p>
        </w:tc>
        <w:tc>
          <w:tcPr>
            <w:tcW w:w="507" w:type="pct"/>
            <w:tcBorders>
              <w:top w:val="single" w:sz="4" w:space="0" w:color="BFBFBF" w:themeColor="background1" w:themeShade="BF"/>
              <w:lef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100</w:t>
            </w:r>
            <w:r w:rsidR="007F441F">
              <w:rPr>
                <w:rFonts w:cs="Arial"/>
                <w:bCs/>
                <w:sz w:val="16"/>
                <w:szCs w:val="16"/>
              </w:rPr>
              <w:t>,0</w:t>
            </w:r>
          </w:p>
        </w:tc>
      </w:tr>
      <w:tr w:rsidR="00952143" w:rsidRPr="00D25555" w:rsidTr="00D86960">
        <w:trPr>
          <w:jc w:val="center"/>
        </w:trPr>
        <w:tc>
          <w:tcPr>
            <w:tcW w:w="1301" w:type="pct"/>
            <w:tcBorders>
              <w:right w:val="single" w:sz="4" w:space="0" w:color="BFBFBF" w:themeColor="background1" w:themeShade="BF"/>
            </w:tcBorders>
            <w:vAlign w:val="bottom"/>
          </w:tcPr>
          <w:p w:rsidR="00952143" w:rsidRPr="006C3F34" w:rsidRDefault="00952143" w:rsidP="00D86960">
            <w:pPr>
              <w:spacing w:line="240" w:lineRule="exact"/>
              <w:jc w:val="left"/>
              <w:rPr>
                <w:rFonts w:cs="Arial"/>
                <w:sz w:val="16"/>
                <w:szCs w:val="16"/>
              </w:rPr>
            </w:pPr>
            <w:r w:rsidRPr="006C3F34">
              <w:rPr>
                <w:rFonts w:cs="Arial"/>
                <w:sz w:val="16"/>
                <w:szCs w:val="16"/>
                <w:lang w:val="es-ES_tradnl"/>
              </w:rPr>
              <w:t>Plan de Gestión</w:t>
            </w:r>
          </w:p>
        </w:tc>
        <w:tc>
          <w:tcPr>
            <w:tcW w:w="505" w:type="pct"/>
            <w:tcBorders>
              <w:left w:val="single" w:sz="4" w:space="0" w:color="BFBFBF" w:themeColor="background1" w:themeShade="BF"/>
              <w:right w:val="single" w:sz="4" w:space="0" w:color="BFBFBF" w:themeColor="background1" w:themeShade="BF"/>
            </w:tcBorders>
            <w:vAlign w:val="bottom"/>
          </w:tcPr>
          <w:p w:rsidR="00952143" w:rsidRPr="00C952B0" w:rsidRDefault="00952143" w:rsidP="00D86960">
            <w:pPr>
              <w:spacing w:line="240" w:lineRule="exact"/>
              <w:ind w:right="170"/>
              <w:jc w:val="right"/>
              <w:rPr>
                <w:rFonts w:cs="Arial"/>
                <w:bCs/>
                <w:sz w:val="16"/>
                <w:szCs w:val="16"/>
              </w:rPr>
            </w:pPr>
            <w:r w:rsidRPr="00D25555">
              <w:rPr>
                <w:rFonts w:cs="Arial"/>
                <w:bCs/>
                <w:sz w:val="16"/>
                <w:szCs w:val="16"/>
              </w:rPr>
              <w:t>48,2</w:t>
            </w:r>
          </w:p>
        </w:tc>
        <w:tc>
          <w:tcPr>
            <w:tcW w:w="545"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49,3</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53,3</w:t>
            </w:r>
          </w:p>
        </w:tc>
        <w:tc>
          <w:tcPr>
            <w:tcW w:w="430"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37,8</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39,8</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59,1</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35,5</w:t>
            </w:r>
          </w:p>
        </w:tc>
        <w:tc>
          <w:tcPr>
            <w:tcW w:w="507" w:type="pct"/>
            <w:tcBorders>
              <w:lef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100</w:t>
            </w:r>
            <w:r w:rsidR="007F441F">
              <w:rPr>
                <w:rFonts w:cs="Arial"/>
                <w:bCs/>
                <w:sz w:val="16"/>
                <w:szCs w:val="16"/>
              </w:rPr>
              <w:t>,0</w:t>
            </w:r>
          </w:p>
        </w:tc>
      </w:tr>
      <w:tr w:rsidR="00952143" w:rsidRPr="00D25555" w:rsidTr="00D86960">
        <w:trPr>
          <w:jc w:val="center"/>
        </w:trPr>
        <w:tc>
          <w:tcPr>
            <w:tcW w:w="1301" w:type="pct"/>
            <w:tcBorders>
              <w:right w:val="single" w:sz="4" w:space="0" w:color="BFBFBF" w:themeColor="background1" w:themeShade="BF"/>
            </w:tcBorders>
            <w:vAlign w:val="bottom"/>
          </w:tcPr>
          <w:p w:rsidR="00952143" w:rsidRPr="006C3F34" w:rsidRDefault="00952143" w:rsidP="00D86960">
            <w:pPr>
              <w:spacing w:line="240" w:lineRule="exact"/>
              <w:jc w:val="left"/>
              <w:rPr>
                <w:rFonts w:cs="Arial"/>
                <w:sz w:val="16"/>
                <w:szCs w:val="16"/>
              </w:rPr>
            </w:pPr>
            <w:r w:rsidRPr="006C3F34">
              <w:rPr>
                <w:rFonts w:cs="Arial"/>
                <w:sz w:val="16"/>
                <w:szCs w:val="16"/>
                <w:lang w:val="es-ES_tradnl"/>
              </w:rPr>
              <w:t>Plan de Formación</w:t>
            </w:r>
          </w:p>
        </w:tc>
        <w:tc>
          <w:tcPr>
            <w:tcW w:w="505" w:type="pct"/>
            <w:tcBorders>
              <w:left w:val="single" w:sz="4" w:space="0" w:color="BFBFBF" w:themeColor="background1" w:themeShade="BF"/>
              <w:right w:val="single" w:sz="4" w:space="0" w:color="BFBFBF" w:themeColor="background1" w:themeShade="BF"/>
            </w:tcBorders>
            <w:vAlign w:val="bottom"/>
          </w:tcPr>
          <w:p w:rsidR="00952143" w:rsidRPr="00C952B0" w:rsidRDefault="00952143" w:rsidP="00D86960">
            <w:pPr>
              <w:spacing w:line="240" w:lineRule="exact"/>
              <w:ind w:right="170"/>
              <w:jc w:val="right"/>
              <w:rPr>
                <w:rFonts w:cs="Arial"/>
                <w:bCs/>
                <w:sz w:val="16"/>
                <w:szCs w:val="16"/>
              </w:rPr>
            </w:pPr>
            <w:r>
              <w:rPr>
                <w:rFonts w:cs="Arial"/>
                <w:bCs/>
                <w:sz w:val="16"/>
                <w:szCs w:val="16"/>
              </w:rPr>
              <w:t>34,5</w:t>
            </w:r>
          </w:p>
        </w:tc>
        <w:tc>
          <w:tcPr>
            <w:tcW w:w="545"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34,6</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32,4</w:t>
            </w:r>
          </w:p>
        </w:tc>
        <w:tc>
          <w:tcPr>
            <w:tcW w:w="430"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29,6</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40,6</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21,1</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55,8</w:t>
            </w:r>
          </w:p>
        </w:tc>
        <w:tc>
          <w:tcPr>
            <w:tcW w:w="507" w:type="pct"/>
            <w:tcBorders>
              <w:lef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100</w:t>
            </w:r>
            <w:r w:rsidR="007F441F">
              <w:rPr>
                <w:rFonts w:cs="Arial"/>
                <w:bCs/>
                <w:sz w:val="16"/>
                <w:szCs w:val="16"/>
              </w:rPr>
              <w:t>,0</w:t>
            </w:r>
          </w:p>
        </w:tc>
      </w:tr>
      <w:tr w:rsidR="00952143" w:rsidRPr="00D25555" w:rsidTr="00D86960">
        <w:trPr>
          <w:jc w:val="center"/>
        </w:trPr>
        <w:tc>
          <w:tcPr>
            <w:tcW w:w="1301" w:type="pct"/>
            <w:tcBorders>
              <w:right w:val="single" w:sz="4" w:space="0" w:color="BFBFBF" w:themeColor="background1" w:themeShade="BF"/>
            </w:tcBorders>
            <w:vAlign w:val="bottom"/>
          </w:tcPr>
          <w:p w:rsidR="00952143" w:rsidRPr="006C3F34" w:rsidRDefault="00952143" w:rsidP="00D86960">
            <w:pPr>
              <w:spacing w:line="240" w:lineRule="exact"/>
              <w:jc w:val="left"/>
              <w:rPr>
                <w:rFonts w:cs="Arial"/>
                <w:sz w:val="16"/>
                <w:szCs w:val="16"/>
              </w:rPr>
            </w:pPr>
            <w:r w:rsidRPr="006C3F34">
              <w:rPr>
                <w:rFonts w:cs="Arial"/>
                <w:sz w:val="16"/>
                <w:szCs w:val="16"/>
                <w:lang w:val="es-ES_tradnl"/>
              </w:rPr>
              <w:t>Plan Estratégico</w:t>
            </w:r>
          </w:p>
        </w:tc>
        <w:tc>
          <w:tcPr>
            <w:tcW w:w="505" w:type="pct"/>
            <w:tcBorders>
              <w:left w:val="single" w:sz="4" w:space="0" w:color="BFBFBF" w:themeColor="background1" w:themeShade="BF"/>
              <w:right w:val="single" w:sz="4" w:space="0" w:color="BFBFBF" w:themeColor="background1" w:themeShade="BF"/>
            </w:tcBorders>
            <w:vAlign w:val="bottom"/>
          </w:tcPr>
          <w:p w:rsidR="00952143" w:rsidRPr="00DF176F" w:rsidRDefault="00952143" w:rsidP="00D86960">
            <w:pPr>
              <w:spacing w:line="240" w:lineRule="exact"/>
              <w:ind w:right="170"/>
              <w:jc w:val="right"/>
              <w:rPr>
                <w:rFonts w:cs="Arial"/>
                <w:bCs/>
                <w:sz w:val="16"/>
                <w:szCs w:val="16"/>
              </w:rPr>
            </w:pPr>
            <w:r w:rsidRPr="00DF176F">
              <w:rPr>
                <w:rFonts w:cs="Arial"/>
                <w:bCs/>
                <w:sz w:val="16"/>
                <w:szCs w:val="16"/>
              </w:rPr>
              <w:t>40,9</w:t>
            </w:r>
          </w:p>
        </w:tc>
        <w:tc>
          <w:tcPr>
            <w:tcW w:w="545" w:type="pct"/>
            <w:tcBorders>
              <w:left w:val="single" w:sz="4" w:space="0" w:color="BFBFBF" w:themeColor="background1" w:themeShade="BF"/>
              <w:right w:val="single" w:sz="4" w:space="0" w:color="BFBFBF" w:themeColor="background1" w:themeShade="BF"/>
            </w:tcBorders>
            <w:vAlign w:val="bottom"/>
          </w:tcPr>
          <w:p w:rsidR="00952143" w:rsidRPr="00DF176F" w:rsidRDefault="00952143" w:rsidP="00D86960">
            <w:pPr>
              <w:spacing w:line="240" w:lineRule="exact"/>
              <w:jc w:val="right"/>
              <w:rPr>
                <w:rFonts w:cs="Arial"/>
                <w:bCs/>
                <w:sz w:val="16"/>
                <w:szCs w:val="16"/>
              </w:rPr>
            </w:pPr>
            <w:r w:rsidRPr="00DF176F">
              <w:rPr>
                <w:rFonts w:cs="Arial"/>
                <w:bCs/>
                <w:sz w:val="16"/>
                <w:szCs w:val="16"/>
              </w:rPr>
              <w:t>30,2</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F176F" w:rsidRDefault="00952143" w:rsidP="00D86960">
            <w:pPr>
              <w:spacing w:line="240" w:lineRule="exact"/>
              <w:jc w:val="right"/>
              <w:rPr>
                <w:rFonts w:cs="Arial"/>
                <w:bCs/>
                <w:sz w:val="16"/>
                <w:szCs w:val="16"/>
              </w:rPr>
            </w:pPr>
            <w:r w:rsidRPr="00DF176F">
              <w:rPr>
                <w:rFonts w:cs="Arial"/>
                <w:bCs/>
                <w:sz w:val="16"/>
                <w:szCs w:val="16"/>
              </w:rPr>
              <w:t>45,7</w:t>
            </w:r>
          </w:p>
        </w:tc>
        <w:tc>
          <w:tcPr>
            <w:tcW w:w="430" w:type="pct"/>
            <w:tcBorders>
              <w:left w:val="single" w:sz="4" w:space="0" w:color="BFBFBF" w:themeColor="background1" w:themeShade="BF"/>
              <w:right w:val="single" w:sz="4" w:space="0" w:color="BFBFBF" w:themeColor="background1" w:themeShade="BF"/>
            </w:tcBorders>
            <w:vAlign w:val="bottom"/>
          </w:tcPr>
          <w:p w:rsidR="00952143" w:rsidRPr="00DF176F" w:rsidRDefault="00952143" w:rsidP="00D86960">
            <w:pPr>
              <w:spacing w:line="240" w:lineRule="exact"/>
              <w:jc w:val="right"/>
              <w:rPr>
                <w:rFonts w:cs="Arial"/>
                <w:bCs/>
                <w:sz w:val="16"/>
                <w:szCs w:val="16"/>
              </w:rPr>
            </w:pPr>
            <w:r w:rsidRPr="00DF176F">
              <w:rPr>
                <w:rFonts w:cs="Arial"/>
                <w:bCs/>
                <w:sz w:val="16"/>
                <w:szCs w:val="16"/>
              </w:rPr>
              <w:t>49,4</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F176F" w:rsidRDefault="00952143" w:rsidP="00D86960">
            <w:pPr>
              <w:spacing w:line="240" w:lineRule="exact"/>
              <w:jc w:val="right"/>
              <w:rPr>
                <w:rFonts w:cs="Arial"/>
                <w:bCs/>
                <w:sz w:val="16"/>
                <w:szCs w:val="16"/>
              </w:rPr>
            </w:pPr>
            <w:r w:rsidRPr="00DF176F">
              <w:rPr>
                <w:rFonts w:cs="Arial"/>
                <w:bCs/>
                <w:sz w:val="16"/>
                <w:szCs w:val="16"/>
              </w:rPr>
              <w:t>42,3</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F176F" w:rsidRDefault="00952143" w:rsidP="00D86960">
            <w:pPr>
              <w:spacing w:line="240" w:lineRule="exact"/>
              <w:jc w:val="right"/>
              <w:rPr>
                <w:rFonts w:cs="Arial"/>
                <w:bCs/>
                <w:sz w:val="16"/>
                <w:szCs w:val="16"/>
              </w:rPr>
            </w:pPr>
            <w:r w:rsidRPr="00DF176F">
              <w:rPr>
                <w:rFonts w:cs="Arial"/>
                <w:bCs/>
                <w:sz w:val="16"/>
                <w:szCs w:val="16"/>
              </w:rPr>
              <w:t>100</w:t>
            </w:r>
            <w:r w:rsidR="007F441F">
              <w:rPr>
                <w:rFonts w:cs="Arial"/>
                <w:bCs/>
                <w:sz w:val="16"/>
                <w:szCs w:val="16"/>
              </w:rPr>
              <w:t>,0</w:t>
            </w:r>
          </w:p>
        </w:tc>
        <w:tc>
          <w:tcPr>
            <w:tcW w:w="428" w:type="pct"/>
            <w:tcBorders>
              <w:left w:val="single" w:sz="4" w:space="0" w:color="BFBFBF" w:themeColor="background1" w:themeShade="BF"/>
              <w:right w:val="single" w:sz="4" w:space="0" w:color="BFBFBF" w:themeColor="background1" w:themeShade="BF"/>
            </w:tcBorders>
            <w:vAlign w:val="bottom"/>
          </w:tcPr>
          <w:p w:rsidR="00952143" w:rsidRPr="00DF176F" w:rsidRDefault="00952143" w:rsidP="00D86960">
            <w:pPr>
              <w:spacing w:line="240" w:lineRule="exact"/>
              <w:jc w:val="right"/>
              <w:rPr>
                <w:rFonts w:cs="Arial"/>
                <w:bCs/>
                <w:sz w:val="16"/>
                <w:szCs w:val="16"/>
              </w:rPr>
            </w:pPr>
            <w:r w:rsidRPr="00DF176F">
              <w:rPr>
                <w:rFonts w:cs="Arial"/>
                <w:bCs/>
                <w:sz w:val="16"/>
                <w:szCs w:val="16"/>
              </w:rPr>
              <w:t>55,4</w:t>
            </w:r>
          </w:p>
        </w:tc>
        <w:tc>
          <w:tcPr>
            <w:tcW w:w="507" w:type="pct"/>
            <w:tcBorders>
              <w:left w:val="single" w:sz="4" w:space="0" w:color="BFBFBF" w:themeColor="background1" w:themeShade="BF"/>
            </w:tcBorders>
            <w:vAlign w:val="bottom"/>
          </w:tcPr>
          <w:p w:rsidR="00952143" w:rsidRPr="00DF176F" w:rsidRDefault="00952143" w:rsidP="00D86960">
            <w:pPr>
              <w:spacing w:line="240" w:lineRule="exact"/>
              <w:jc w:val="right"/>
              <w:rPr>
                <w:rFonts w:cs="Arial"/>
                <w:bCs/>
                <w:sz w:val="16"/>
                <w:szCs w:val="16"/>
              </w:rPr>
            </w:pPr>
            <w:r w:rsidRPr="00DF176F">
              <w:rPr>
                <w:rFonts w:cs="Arial"/>
                <w:bCs/>
                <w:sz w:val="16"/>
                <w:szCs w:val="16"/>
              </w:rPr>
              <w:t>100</w:t>
            </w:r>
            <w:r w:rsidR="007F441F">
              <w:rPr>
                <w:rFonts w:cs="Arial"/>
                <w:bCs/>
                <w:sz w:val="16"/>
                <w:szCs w:val="16"/>
              </w:rPr>
              <w:t>,0</w:t>
            </w:r>
          </w:p>
        </w:tc>
      </w:tr>
      <w:tr w:rsidR="00952143" w:rsidRPr="00D25555" w:rsidTr="00D86960">
        <w:trPr>
          <w:jc w:val="center"/>
        </w:trPr>
        <w:tc>
          <w:tcPr>
            <w:tcW w:w="1301" w:type="pct"/>
            <w:tcBorders>
              <w:bottom w:val="single" w:sz="4" w:space="0" w:color="BFBFBF" w:themeColor="background1" w:themeShade="BF"/>
              <w:right w:val="single" w:sz="4" w:space="0" w:color="BFBFBF" w:themeColor="background1" w:themeShade="BF"/>
            </w:tcBorders>
            <w:vAlign w:val="bottom"/>
          </w:tcPr>
          <w:p w:rsidR="00952143" w:rsidRDefault="00952143" w:rsidP="00D86960">
            <w:pPr>
              <w:spacing w:line="240" w:lineRule="exact"/>
              <w:jc w:val="left"/>
              <w:rPr>
                <w:rFonts w:cs="Arial"/>
                <w:sz w:val="16"/>
                <w:szCs w:val="16"/>
              </w:rPr>
            </w:pPr>
            <w:r>
              <w:rPr>
                <w:rFonts w:cs="Arial"/>
                <w:sz w:val="16"/>
                <w:szCs w:val="16"/>
                <w:lang w:val="es-ES_tradnl"/>
              </w:rPr>
              <w:t>Manual Valoración Puestos</w:t>
            </w:r>
          </w:p>
        </w:tc>
        <w:tc>
          <w:tcPr>
            <w:tcW w:w="50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C952B0" w:rsidRDefault="00952143" w:rsidP="00D86960">
            <w:pPr>
              <w:spacing w:line="240" w:lineRule="exact"/>
              <w:ind w:right="170"/>
              <w:jc w:val="right"/>
              <w:rPr>
                <w:rFonts w:cs="Arial"/>
                <w:bCs/>
                <w:sz w:val="16"/>
                <w:szCs w:val="16"/>
              </w:rPr>
            </w:pPr>
            <w:r>
              <w:rPr>
                <w:rFonts w:cs="Arial"/>
                <w:bCs/>
                <w:sz w:val="16"/>
                <w:szCs w:val="16"/>
              </w:rPr>
              <w:t>25,1</w:t>
            </w:r>
          </w:p>
        </w:tc>
        <w:tc>
          <w:tcPr>
            <w:tcW w:w="54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19,8</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30,3</w:t>
            </w:r>
          </w:p>
        </w:tc>
        <w:tc>
          <w:tcPr>
            <w:tcW w:w="43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29,7</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10,1</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21,1</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59,8</w:t>
            </w:r>
          </w:p>
        </w:tc>
        <w:tc>
          <w:tcPr>
            <w:tcW w:w="507" w:type="pct"/>
            <w:tcBorders>
              <w:left w:val="single" w:sz="4" w:space="0" w:color="BFBFBF" w:themeColor="background1" w:themeShade="BF"/>
              <w:bottom w:val="single" w:sz="4" w:space="0" w:color="BFBFBF" w:themeColor="background1" w:themeShade="BF"/>
            </w:tcBorders>
            <w:vAlign w:val="bottom"/>
          </w:tcPr>
          <w:p w:rsidR="00952143" w:rsidRPr="00D25555" w:rsidRDefault="00952143" w:rsidP="00D86960">
            <w:pPr>
              <w:spacing w:line="240" w:lineRule="exact"/>
              <w:jc w:val="right"/>
              <w:rPr>
                <w:rFonts w:cs="Arial"/>
                <w:bCs/>
                <w:sz w:val="16"/>
                <w:szCs w:val="16"/>
              </w:rPr>
            </w:pPr>
            <w:r w:rsidRPr="00D25555">
              <w:rPr>
                <w:rFonts w:cs="Arial"/>
                <w:bCs/>
                <w:sz w:val="16"/>
                <w:szCs w:val="16"/>
              </w:rPr>
              <w:t>100</w:t>
            </w:r>
            <w:r w:rsidR="007F441F">
              <w:rPr>
                <w:rFonts w:cs="Arial"/>
                <w:bCs/>
                <w:sz w:val="16"/>
                <w:szCs w:val="16"/>
              </w:rPr>
              <w:t>,0</w:t>
            </w:r>
          </w:p>
        </w:tc>
      </w:tr>
    </w:tbl>
    <w:p w:rsidR="00952143" w:rsidRDefault="00952143" w:rsidP="00952143">
      <w:pPr>
        <w:spacing w:line="240" w:lineRule="auto"/>
        <w:ind w:left="142" w:hanging="568"/>
        <w:rPr>
          <w:rFonts w:cs="Arial"/>
          <w:sz w:val="16"/>
          <w:szCs w:val="16"/>
        </w:rPr>
      </w:pPr>
      <w:r>
        <w:rPr>
          <w:rFonts w:cs="Arial"/>
          <w:sz w:val="16"/>
          <w:szCs w:val="16"/>
        </w:rPr>
        <w:t>Base:</w:t>
      </w:r>
      <w:r>
        <w:rPr>
          <w:rFonts w:cs="Arial"/>
          <w:sz w:val="16"/>
          <w:szCs w:val="16"/>
        </w:rPr>
        <w:tab/>
        <w:t>E</w:t>
      </w:r>
      <w:r w:rsidRPr="001803D1">
        <w:rPr>
          <w:rFonts w:cs="Arial"/>
          <w:sz w:val="16"/>
          <w:szCs w:val="16"/>
        </w:rPr>
        <w:t>mpresas que no poseen alguna de las herramientas pero que tienen previsto incorporar documentos/herramientas en los próximos 2 años.</w:t>
      </w:r>
    </w:p>
    <w:p w:rsidR="00952143" w:rsidRDefault="00952143" w:rsidP="00952143">
      <w:pPr>
        <w:rPr>
          <w:rFonts w:cs="Arial"/>
        </w:rPr>
      </w:pPr>
    </w:p>
    <w:p w:rsidR="00952143" w:rsidRDefault="00952143" w:rsidP="00952143">
      <w:pPr>
        <w:rPr>
          <w:rFonts w:cs="Arial"/>
        </w:rPr>
      </w:pPr>
    </w:p>
    <w:p w:rsidR="00952143" w:rsidRDefault="00952143" w:rsidP="00952143">
      <w:pPr>
        <w:spacing w:after="200" w:line="276" w:lineRule="auto"/>
        <w:jc w:val="left"/>
        <w:rPr>
          <w:rFonts w:eastAsia="Times New Roman" w:cs="Times New Roman"/>
          <w:b/>
          <w:snapToGrid w:val="0"/>
          <w:color w:val="1F497D" w:themeColor="text2"/>
          <w:sz w:val="26"/>
          <w:szCs w:val="26"/>
          <w:lang w:eastAsia="es-ES"/>
        </w:rPr>
      </w:pPr>
      <w:bookmarkStart w:id="313" w:name="_Toc391999533"/>
      <w:r>
        <w:rPr>
          <w:color w:val="1F497D" w:themeColor="text2"/>
          <w:sz w:val="26"/>
          <w:szCs w:val="26"/>
        </w:rPr>
        <w:br w:type="page"/>
      </w:r>
    </w:p>
    <w:p w:rsidR="00952143" w:rsidRPr="007F1968" w:rsidRDefault="00952143" w:rsidP="00952143">
      <w:pPr>
        <w:pStyle w:val="Ttulo1"/>
        <w:ind w:left="708" w:hanging="708"/>
        <w:rPr>
          <w:color w:val="1F497D" w:themeColor="text2"/>
          <w:sz w:val="26"/>
          <w:szCs w:val="26"/>
        </w:rPr>
      </w:pPr>
      <w:bookmarkStart w:id="314" w:name="_Toc450118927"/>
      <w:r w:rsidRPr="007F1968">
        <w:rPr>
          <w:color w:val="1F497D" w:themeColor="text2"/>
          <w:sz w:val="26"/>
          <w:szCs w:val="26"/>
        </w:rPr>
        <w:lastRenderedPageBreak/>
        <w:t xml:space="preserve">3.- </w:t>
      </w:r>
      <w:r w:rsidRPr="007F1968">
        <w:rPr>
          <w:color w:val="1F497D" w:themeColor="text2"/>
          <w:sz w:val="26"/>
          <w:szCs w:val="26"/>
        </w:rPr>
        <w:tab/>
        <w:t>OTRAS ACTIVIDADES LIGADAS A LA GESTIÓN</w:t>
      </w:r>
      <w:bookmarkEnd w:id="313"/>
      <w:bookmarkEnd w:id="314"/>
      <w:r w:rsidRPr="007F1968">
        <w:rPr>
          <w:color w:val="1F497D" w:themeColor="text2"/>
          <w:sz w:val="26"/>
          <w:szCs w:val="26"/>
        </w:rPr>
        <w:t xml:space="preserve"> </w:t>
      </w:r>
    </w:p>
    <w:p w:rsidR="00952143" w:rsidRDefault="00952143" w:rsidP="00952143">
      <w:pPr>
        <w:rPr>
          <w:rFonts w:cs="Arial"/>
        </w:rPr>
      </w:pPr>
    </w:p>
    <w:p w:rsidR="00952143" w:rsidRPr="009C4E1F" w:rsidRDefault="008D5779" w:rsidP="00952143">
      <w:pPr>
        <w:spacing w:line="240" w:lineRule="auto"/>
        <w:jc w:val="center"/>
        <w:rPr>
          <w:rFonts w:cs="Arial"/>
          <w:b/>
          <w:snapToGrid w:val="0"/>
          <w:color w:val="1F497D" w:themeColor="text2"/>
          <w:sz w:val="18"/>
          <w:szCs w:val="18"/>
          <w:lang w:val="es-ES_tradnl"/>
        </w:rPr>
      </w:pPr>
      <w:bookmarkStart w:id="315" w:name="_Toc392756758"/>
      <w:bookmarkStart w:id="316" w:name="_Toc450119765"/>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5</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DISPOSICIÓN DE SISTEMAS DE PREVENCIÓN DE RIESGOS LABORALES POR SECTOR DE ACTIVIDAD. 201</w:t>
      </w:r>
      <w:bookmarkEnd w:id="315"/>
      <w:r w:rsidR="00952143">
        <w:rPr>
          <w:rFonts w:cs="Arial"/>
          <w:b/>
          <w:snapToGrid w:val="0"/>
          <w:color w:val="1F497D" w:themeColor="text2"/>
          <w:sz w:val="18"/>
          <w:szCs w:val="18"/>
          <w:lang w:val="es-ES_tradnl"/>
        </w:rPr>
        <w:t>4</w:t>
      </w:r>
      <w:bookmarkEnd w:id="316"/>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564"/>
        <w:gridCol w:w="1476"/>
        <w:gridCol w:w="1475"/>
        <w:gridCol w:w="1475"/>
        <w:gridCol w:w="1475"/>
        <w:gridCol w:w="1475"/>
      </w:tblGrid>
      <w:tr w:rsidR="00952143" w:rsidTr="00D86960">
        <w:trPr>
          <w:jc w:val="center"/>
        </w:trPr>
        <w:tc>
          <w:tcPr>
            <w:tcW w:w="1288"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bCs/>
                <w:sz w:val="16"/>
                <w:szCs w:val="16"/>
              </w:rPr>
            </w:pP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lang w:val="es-ES_tradnl"/>
              </w:rPr>
              <w:t>TOTAL</w:t>
            </w: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rPr>
              <w:t>Primario</w:t>
            </w: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rPr>
              <w:t>Industria</w:t>
            </w:r>
          </w:p>
        </w:tc>
        <w:tc>
          <w:tcPr>
            <w:tcW w:w="74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rPr>
              <w:t>Construcción</w:t>
            </w:r>
          </w:p>
        </w:tc>
        <w:tc>
          <w:tcPr>
            <w:tcW w:w="742"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rPr>
              <w:t>Servicios</w:t>
            </w:r>
          </w:p>
        </w:tc>
      </w:tr>
      <w:tr w:rsidR="00952143" w:rsidTr="00D86960">
        <w:trPr>
          <w:jc w:val="center"/>
        </w:trPr>
        <w:tc>
          <w:tcPr>
            <w:tcW w:w="1288" w:type="pct"/>
            <w:vMerge/>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auto"/>
              <w:jc w:val="left"/>
              <w:rPr>
                <w:rFonts w:cs="Arial"/>
                <w:b/>
                <w:bCs/>
                <w:sz w:val="16"/>
                <w:szCs w:val="16"/>
              </w:rPr>
            </w:pP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lang w:val="es-ES_tradnl"/>
              </w:rPr>
              <w:t>%</w:t>
            </w: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lang w:val="es-ES_tradnl"/>
              </w:rPr>
              <w:t>%</w:t>
            </w: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lang w:val="es-ES_tradnl"/>
              </w:rPr>
              <w:t>%</w:t>
            </w:r>
          </w:p>
        </w:tc>
        <w:tc>
          <w:tcPr>
            <w:tcW w:w="74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lang w:val="es-ES_tradnl"/>
              </w:rPr>
              <w:t>%</w:t>
            </w:r>
          </w:p>
        </w:tc>
        <w:tc>
          <w:tcPr>
            <w:tcW w:w="742"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952143" w:rsidRDefault="00952143" w:rsidP="00D86960">
            <w:pPr>
              <w:spacing w:line="240" w:lineRule="auto"/>
              <w:jc w:val="center"/>
              <w:rPr>
                <w:rFonts w:cs="Arial"/>
                <w:b/>
                <w:sz w:val="16"/>
                <w:szCs w:val="16"/>
              </w:rPr>
            </w:pPr>
            <w:r>
              <w:rPr>
                <w:rFonts w:cs="Arial"/>
                <w:b/>
                <w:sz w:val="16"/>
                <w:szCs w:val="16"/>
                <w:lang w:val="es-ES_tradnl"/>
              </w:rPr>
              <w:t>%</w:t>
            </w:r>
          </w:p>
        </w:tc>
      </w:tr>
      <w:tr w:rsidR="00952143" w:rsidTr="00D86960">
        <w:trPr>
          <w:jc w:val="center"/>
        </w:trPr>
        <w:tc>
          <w:tcPr>
            <w:tcW w:w="128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952143" w:rsidRDefault="00952143" w:rsidP="00D86960">
            <w:pPr>
              <w:spacing w:line="240" w:lineRule="auto"/>
              <w:jc w:val="left"/>
              <w:rPr>
                <w:rFonts w:cs="Arial"/>
                <w:sz w:val="16"/>
                <w:szCs w:val="16"/>
              </w:rPr>
            </w:pPr>
            <w:r>
              <w:rPr>
                <w:rFonts w:cs="Arial"/>
                <w:sz w:val="16"/>
                <w:szCs w:val="16"/>
                <w:lang w:val="es-ES_tradnl"/>
              </w:rPr>
              <w:t xml:space="preserve">Disposición de sistemas de prevención de riesgos laborales </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D25555" w:rsidRDefault="00952143" w:rsidP="00D86960">
            <w:pPr>
              <w:spacing w:line="240" w:lineRule="auto"/>
              <w:ind w:right="170"/>
              <w:jc w:val="right"/>
              <w:rPr>
                <w:rFonts w:cs="Arial"/>
                <w:sz w:val="16"/>
                <w:szCs w:val="16"/>
              </w:rPr>
            </w:pPr>
            <w:r w:rsidRPr="00D25555">
              <w:rPr>
                <w:rFonts w:cs="Arial"/>
                <w:sz w:val="16"/>
                <w:szCs w:val="16"/>
              </w:rPr>
              <w:t>78,3</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D25555" w:rsidRDefault="00952143" w:rsidP="00D86960">
            <w:pPr>
              <w:spacing w:line="240" w:lineRule="auto"/>
              <w:ind w:right="170"/>
              <w:jc w:val="right"/>
              <w:rPr>
                <w:rFonts w:cs="Arial"/>
                <w:sz w:val="16"/>
                <w:szCs w:val="16"/>
              </w:rPr>
            </w:pPr>
            <w:r w:rsidRPr="00D25555">
              <w:rPr>
                <w:rFonts w:cs="Arial"/>
                <w:sz w:val="16"/>
                <w:szCs w:val="16"/>
              </w:rPr>
              <w:t>65,3</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D25555" w:rsidRDefault="00952143" w:rsidP="00D86960">
            <w:pPr>
              <w:spacing w:line="240" w:lineRule="auto"/>
              <w:ind w:right="170"/>
              <w:jc w:val="right"/>
              <w:rPr>
                <w:rFonts w:cs="Arial"/>
                <w:sz w:val="16"/>
                <w:szCs w:val="16"/>
              </w:rPr>
            </w:pPr>
            <w:r w:rsidRPr="00D25555">
              <w:rPr>
                <w:rFonts w:cs="Arial"/>
                <w:sz w:val="16"/>
                <w:szCs w:val="16"/>
              </w:rPr>
              <w:t>84,9</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D25555" w:rsidRDefault="00952143" w:rsidP="00D86960">
            <w:pPr>
              <w:spacing w:line="240" w:lineRule="auto"/>
              <w:ind w:right="170"/>
              <w:jc w:val="right"/>
              <w:rPr>
                <w:rFonts w:cs="Arial"/>
                <w:sz w:val="16"/>
                <w:szCs w:val="16"/>
              </w:rPr>
            </w:pPr>
            <w:r w:rsidRPr="00D25555">
              <w:rPr>
                <w:rFonts w:cs="Arial"/>
                <w:sz w:val="16"/>
                <w:szCs w:val="16"/>
              </w:rPr>
              <w:t>85,8</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952143" w:rsidRPr="00D25555" w:rsidRDefault="00952143" w:rsidP="00D86960">
            <w:pPr>
              <w:spacing w:line="240" w:lineRule="auto"/>
              <w:ind w:right="170"/>
              <w:jc w:val="right"/>
              <w:rPr>
                <w:rFonts w:cs="Arial"/>
                <w:sz w:val="16"/>
                <w:szCs w:val="16"/>
              </w:rPr>
            </w:pPr>
            <w:r w:rsidRPr="00D25555">
              <w:rPr>
                <w:rFonts w:cs="Arial"/>
                <w:sz w:val="16"/>
                <w:szCs w:val="16"/>
              </w:rPr>
              <w:t>73,9</w:t>
            </w:r>
          </w:p>
        </w:tc>
      </w:tr>
    </w:tbl>
    <w:p w:rsidR="00952143" w:rsidRPr="00A90376" w:rsidRDefault="00952143" w:rsidP="00952143">
      <w:pPr>
        <w:rPr>
          <w:rFonts w:cs="Arial"/>
          <w:b/>
          <w:snapToGrid w:val="0"/>
          <w:color w:val="1F497D" w:themeColor="text2"/>
          <w:sz w:val="18"/>
          <w:szCs w:val="18"/>
          <w:lang w:val="es-ES_tradnl"/>
        </w:rPr>
      </w:pPr>
    </w:p>
    <w:p w:rsidR="00952143" w:rsidRDefault="008D5779" w:rsidP="00952143">
      <w:pPr>
        <w:spacing w:line="240" w:lineRule="auto"/>
        <w:jc w:val="center"/>
        <w:rPr>
          <w:rFonts w:cs="Arial"/>
          <w:b/>
          <w:snapToGrid w:val="0"/>
          <w:color w:val="1F497D" w:themeColor="text2"/>
          <w:sz w:val="18"/>
          <w:szCs w:val="18"/>
          <w:lang w:val="es-ES_tradnl"/>
        </w:rPr>
      </w:pPr>
      <w:bookmarkStart w:id="317" w:name="_Toc392756759"/>
      <w:bookmarkStart w:id="318" w:name="_Toc450119766"/>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6</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w:t>
      </w:r>
      <w:r w:rsidR="00952143" w:rsidRPr="00A90376">
        <w:rPr>
          <w:rFonts w:cs="Arial"/>
          <w:b/>
          <w:snapToGrid w:val="0"/>
          <w:color w:val="1F497D" w:themeColor="text2"/>
          <w:sz w:val="18"/>
          <w:szCs w:val="18"/>
          <w:lang w:val="es-ES_tradnl"/>
        </w:rPr>
        <w:t>DISPOSICIÓN DE SISTEMAS DE PREVENCIÓN DE RIESGOS LABORALES POR TAMAÑO EMPRESARIAL. 201</w:t>
      </w:r>
      <w:bookmarkEnd w:id="317"/>
      <w:r w:rsidR="00952143">
        <w:rPr>
          <w:rFonts w:cs="Arial"/>
          <w:b/>
          <w:snapToGrid w:val="0"/>
          <w:color w:val="1F497D" w:themeColor="text2"/>
          <w:sz w:val="18"/>
          <w:szCs w:val="18"/>
          <w:lang w:val="es-ES_tradnl"/>
        </w:rPr>
        <w:t>4</w:t>
      </w:r>
      <w:bookmarkEnd w:id="318"/>
    </w:p>
    <w:tbl>
      <w:tblPr>
        <w:tblW w:w="9940" w:type="dxa"/>
        <w:jc w:val="center"/>
        <w:tblBorders>
          <w:bottom w:val="single" w:sz="4" w:space="0" w:color="BFBFBF" w:themeColor="background1" w:themeShade="BF"/>
        </w:tblBorders>
        <w:tblLayout w:type="fixed"/>
        <w:tblLook w:val="04A0" w:firstRow="1" w:lastRow="0" w:firstColumn="1" w:lastColumn="0" w:noHBand="0" w:noVBand="1"/>
      </w:tblPr>
      <w:tblGrid>
        <w:gridCol w:w="2587"/>
        <w:gridCol w:w="919"/>
        <w:gridCol w:w="919"/>
        <w:gridCol w:w="919"/>
        <w:gridCol w:w="921"/>
        <w:gridCol w:w="919"/>
        <w:gridCol w:w="918"/>
        <w:gridCol w:w="918"/>
        <w:gridCol w:w="920"/>
      </w:tblGrid>
      <w:tr w:rsidR="00952143" w:rsidTr="00D86960">
        <w:trPr>
          <w:trHeight w:val="100"/>
          <w:jc w:val="center"/>
        </w:trPr>
        <w:tc>
          <w:tcPr>
            <w:tcW w:w="1301"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44494A" w:rsidRDefault="00952143" w:rsidP="00D86960">
            <w:pPr>
              <w:spacing w:line="240" w:lineRule="auto"/>
              <w:jc w:val="center"/>
              <w:rPr>
                <w:rFonts w:cs="Arial"/>
                <w:b/>
                <w:bCs/>
                <w:sz w:val="16"/>
                <w:szCs w:val="16"/>
              </w:rPr>
            </w:pPr>
            <w:r w:rsidRPr="0044494A">
              <w:rPr>
                <w:rFonts w:cs="Arial"/>
                <w:b/>
                <w:bCs/>
                <w:sz w:val="16"/>
                <w:szCs w:val="16"/>
              </w:rPr>
              <w:t> </w:t>
            </w:r>
          </w:p>
        </w:tc>
        <w:tc>
          <w:tcPr>
            <w:tcW w:w="46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TOTAL</w:t>
            </w:r>
          </w:p>
        </w:tc>
        <w:tc>
          <w:tcPr>
            <w:tcW w:w="46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Menos</w:t>
            </w:r>
            <w:r>
              <w:rPr>
                <w:rFonts w:cs="Arial"/>
                <w:b/>
                <w:bCs/>
                <w:sz w:val="16"/>
                <w:szCs w:val="16"/>
              </w:rPr>
              <w:t xml:space="preserve"> </w:t>
            </w:r>
            <w:r w:rsidRPr="0044494A">
              <w:rPr>
                <w:rFonts w:cs="Arial"/>
                <w:b/>
                <w:bCs/>
                <w:sz w:val="16"/>
                <w:szCs w:val="16"/>
              </w:rPr>
              <w:t>de 6</w:t>
            </w:r>
            <w:r>
              <w:rPr>
                <w:rFonts w:cs="Arial"/>
                <w:b/>
                <w:bCs/>
                <w:sz w:val="16"/>
                <w:szCs w:val="16"/>
              </w:rPr>
              <w:t xml:space="preserve"> </w:t>
            </w:r>
            <w:r w:rsidRPr="0044494A">
              <w:rPr>
                <w:rFonts w:cs="Arial"/>
                <w:b/>
                <w:bCs/>
                <w:sz w:val="16"/>
                <w:szCs w:val="16"/>
              </w:rPr>
              <w:t>Empleos</w:t>
            </w:r>
          </w:p>
        </w:tc>
        <w:tc>
          <w:tcPr>
            <w:tcW w:w="46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15</w:t>
            </w:r>
          </w:p>
        </w:tc>
        <w:tc>
          <w:tcPr>
            <w:tcW w:w="46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50</w:t>
            </w:r>
          </w:p>
        </w:tc>
        <w:tc>
          <w:tcPr>
            <w:tcW w:w="46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51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100</w:t>
            </w:r>
          </w:p>
        </w:tc>
        <w:tc>
          <w:tcPr>
            <w:tcW w:w="46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101 a</w:t>
            </w:r>
            <w:r>
              <w:rPr>
                <w:rFonts w:cs="Arial"/>
                <w:b/>
                <w:bCs/>
                <w:sz w:val="16"/>
                <w:szCs w:val="16"/>
              </w:rPr>
              <w:t xml:space="preserve"> </w:t>
            </w:r>
            <w:r w:rsidRPr="0044494A">
              <w:rPr>
                <w:rFonts w:cs="Arial"/>
                <w:b/>
                <w:bCs/>
                <w:sz w:val="16"/>
                <w:szCs w:val="16"/>
              </w:rPr>
              <w:t>200</w:t>
            </w:r>
          </w:p>
        </w:tc>
        <w:tc>
          <w:tcPr>
            <w:tcW w:w="46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201 a 500</w:t>
            </w:r>
          </w:p>
        </w:tc>
        <w:tc>
          <w:tcPr>
            <w:tcW w:w="463"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Más de 500</w:t>
            </w:r>
            <w:r>
              <w:rPr>
                <w:rFonts w:cs="Arial"/>
                <w:b/>
                <w:bCs/>
                <w:sz w:val="16"/>
                <w:szCs w:val="16"/>
              </w:rPr>
              <w:t xml:space="preserve"> empleos</w:t>
            </w:r>
          </w:p>
        </w:tc>
      </w:tr>
      <w:tr w:rsidR="00952143" w:rsidTr="00D86960">
        <w:trPr>
          <w:jc w:val="center"/>
        </w:trPr>
        <w:tc>
          <w:tcPr>
            <w:tcW w:w="1301"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952143" w:rsidRDefault="00952143" w:rsidP="00D86960">
            <w:pPr>
              <w:spacing w:line="240" w:lineRule="auto"/>
              <w:jc w:val="left"/>
              <w:rPr>
                <w:rFonts w:cs="Arial"/>
                <w:b/>
                <w:bCs/>
                <w:color w:val="000080"/>
                <w:sz w:val="16"/>
                <w:szCs w:val="16"/>
              </w:rPr>
            </w:pPr>
          </w:p>
        </w:tc>
        <w:tc>
          <w:tcPr>
            <w:tcW w:w="46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6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6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6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6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6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6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63"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r>
      <w:tr w:rsidR="00952143" w:rsidTr="00D86960">
        <w:trPr>
          <w:jc w:val="center"/>
        </w:trPr>
        <w:tc>
          <w:tcPr>
            <w:tcW w:w="1301" w:type="pct"/>
            <w:tcBorders>
              <w:bottom w:val="single" w:sz="4" w:space="0" w:color="BFBFBF" w:themeColor="background1" w:themeShade="BF"/>
              <w:right w:val="single" w:sz="4" w:space="0" w:color="BFBFBF" w:themeColor="background1" w:themeShade="BF"/>
            </w:tcBorders>
          </w:tcPr>
          <w:p w:rsidR="00952143" w:rsidRDefault="00952143" w:rsidP="00D86960">
            <w:pPr>
              <w:spacing w:line="240" w:lineRule="auto"/>
              <w:jc w:val="left"/>
              <w:rPr>
                <w:rFonts w:cs="Arial"/>
                <w:sz w:val="16"/>
                <w:szCs w:val="16"/>
                <w:lang w:val="es-ES_tradnl"/>
              </w:rPr>
            </w:pPr>
            <w:r>
              <w:rPr>
                <w:rFonts w:cs="Arial"/>
                <w:sz w:val="16"/>
                <w:szCs w:val="16"/>
                <w:lang w:val="es-ES_tradnl"/>
              </w:rPr>
              <w:t>Disposición de sistemas de prevención de riesgos laborales</w:t>
            </w:r>
          </w:p>
        </w:tc>
        <w:tc>
          <w:tcPr>
            <w:tcW w:w="46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D25555" w:rsidRDefault="00952143" w:rsidP="00D86960">
            <w:pPr>
              <w:spacing w:line="240" w:lineRule="auto"/>
              <w:ind w:right="170"/>
              <w:jc w:val="right"/>
              <w:rPr>
                <w:rFonts w:cs="Arial"/>
                <w:sz w:val="16"/>
                <w:szCs w:val="16"/>
              </w:rPr>
            </w:pPr>
            <w:r>
              <w:rPr>
                <w:rFonts w:cs="Arial"/>
                <w:sz w:val="16"/>
                <w:szCs w:val="16"/>
              </w:rPr>
              <w:t>78,3</w:t>
            </w:r>
          </w:p>
        </w:tc>
        <w:tc>
          <w:tcPr>
            <w:tcW w:w="46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BB7AC0" w:rsidRDefault="00952143" w:rsidP="00D86960">
            <w:pPr>
              <w:spacing w:line="240" w:lineRule="auto"/>
              <w:ind w:right="170"/>
              <w:jc w:val="right"/>
              <w:rPr>
                <w:rFonts w:cs="Arial"/>
                <w:sz w:val="16"/>
                <w:szCs w:val="16"/>
              </w:rPr>
            </w:pPr>
            <w:r>
              <w:rPr>
                <w:rFonts w:cs="Arial"/>
                <w:sz w:val="16"/>
                <w:szCs w:val="16"/>
              </w:rPr>
              <w:t>77,9</w:t>
            </w:r>
          </w:p>
        </w:tc>
        <w:tc>
          <w:tcPr>
            <w:tcW w:w="46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Default="00952143" w:rsidP="00D86960">
            <w:pPr>
              <w:spacing w:line="240" w:lineRule="auto"/>
              <w:ind w:right="170"/>
              <w:jc w:val="right"/>
              <w:rPr>
                <w:rFonts w:cs="Arial"/>
                <w:sz w:val="16"/>
                <w:szCs w:val="16"/>
              </w:rPr>
            </w:pPr>
            <w:r>
              <w:rPr>
                <w:rFonts w:cs="Arial"/>
                <w:sz w:val="16"/>
                <w:szCs w:val="16"/>
              </w:rPr>
              <w:t>96,8</w:t>
            </w:r>
          </w:p>
        </w:tc>
        <w:tc>
          <w:tcPr>
            <w:tcW w:w="46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14482C" w:rsidRDefault="00952143" w:rsidP="00D86960">
            <w:pPr>
              <w:spacing w:line="240" w:lineRule="auto"/>
              <w:ind w:right="170"/>
              <w:jc w:val="right"/>
              <w:rPr>
                <w:rFonts w:cs="Arial"/>
                <w:sz w:val="16"/>
                <w:szCs w:val="16"/>
              </w:rPr>
            </w:pPr>
            <w:r>
              <w:rPr>
                <w:rFonts w:cs="Arial"/>
                <w:sz w:val="16"/>
                <w:szCs w:val="16"/>
              </w:rPr>
              <w:t>97,1</w:t>
            </w:r>
          </w:p>
        </w:tc>
        <w:tc>
          <w:tcPr>
            <w:tcW w:w="46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14482C" w:rsidRDefault="00952143" w:rsidP="00D86960">
            <w:pPr>
              <w:spacing w:line="240" w:lineRule="auto"/>
              <w:ind w:right="170"/>
              <w:jc w:val="right"/>
              <w:rPr>
                <w:rFonts w:cs="Arial"/>
                <w:sz w:val="16"/>
                <w:szCs w:val="16"/>
              </w:rPr>
            </w:pPr>
            <w:r>
              <w:rPr>
                <w:rFonts w:cs="Arial"/>
                <w:sz w:val="16"/>
                <w:szCs w:val="16"/>
              </w:rPr>
              <w:t>98,3</w:t>
            </w:r>
          </w:p>
        </w:tc>
        <w:tc>
          <w:tcPr>
            <w:tcW w:w="46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14482C" w:rsidRDefault="007F441F" w:rsidP="00D86960">
            <w:pPr>
              <w:spacing w:line="240" w:lineRule="auto"/>
              <w:ind w:right="170"/>
              <w:jc w:val="right"/>
              <w:rPr>
                <w:rFonts w:cs="Arial"/>
                <w:sz w:val="16"/>
                <w:szCs w:val="16"/>
              </w:rPr>
            </w:pPr>
            <w:r>
              <w:rPr>
                <w:rFonts w:cs="Arial"/>
                <w:sz w:val="16"/>
                <w:szCs w:val="16"/>
              </w:rPr>
              <w:t>100,0</w:t>
            </w:r>
          </w:p>
        </w:tc>
        <w:tc>
          <w:tcPr>
            <w:tcW w:w="46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14482C" w:rsidRDefault="00952143" w:rsidP="00D86960">
            <w:pPr>
              <w:spacing w:line="240" w:lineRule="auto"/>
              <w:ind w:right="170"/>
              <w:jc w:val="right"/>
              <w:rPr>
                <w:rFonts w:cs="Arial"/>
                <w:sz w:val="16"/>
                <w:szCs w:val="16"/>
              </w:rPr>
            </w:pPr>
            <w:r>
              <w:rPr>
                <w:rFonts w:cs="Arial"/>
                <w:sz w:val="16"/>
                <w:szCs w:val="16"/>
              </w:rPr>
              <w:t>100</w:t>
            </w:r>
            <w:r w:rsidR="007F441F">
              <w:rPr>
                <w:rFonts w:cs="Arial"/>
                <w:sz w:val="16"/>
                <w:szCs w:val="16"/>
              </w:rPr>
              <w:t>,0</w:t>
            </w:r>
          </w:p>
        </w:tc>
        <w:tc>
          <w:tcPr>
            <w:tcW w:w="463" w:type="pct"/>
            <w:tcBorders>
              <w:left w:val="single" w:sz="4" w:space="0" w:color="BFBFBF" w:themeColor="background1" w:themeShade="BF"/>
              <w:bottom w:val="single" w:sz="4" w:space="0" w:color="BFBFBF" w:themeColor="background1" w:themeShade="BF"/>
            </w:tcBorders>
            <w:vAlign w:val="center"/>
          </w:tcPr>
          <w:p w:rsidR="00952143" w:rsidRPr="0014482C" w:rsidRDefault="00952143" w:rsidP="00D86960">
            <w:pPr>
              <w:spacing w:line="240" w:lineRule="auto"/>
              <w:ind w:right="170"/>
              <w:jc w:val="right"/>
              <w:rPr>
                <w:rFonts w:cs="Arial"/>
                <w:sz w:val="16"/>
                <w:szCs w:val="16"/>
              </w:rPr>
            </w:pPr>
            <w:r>
              <w:rPr>
                <w:rFonts w:cs="Arial"/>
                <w:sz w:val="16"/>
                <w:szCs w:val="16"/>
              </w:rPr>
              <w:t>100</w:t>
            </w:r>
            <w:r w:rsidR="007F441F">
              <w:rPr>
                <w:rFonts w:cs="Arial"/>
                <w:sz w:val="16"/>
                <w:szCs w:val="16"/>
              </w:rPr>
              <w:t>,0</w:t>
            </w:r>
          </w:p>
        </w:tc>
      </w:tr>
    </w:tbl>
    <w:p w:rsidR="00952143" w:rsidRPr="00AE18BE" w:rsidRDefault="00952143" w:rsidP="00952143">
      <w:pPr>
        <w:rPr>
          <w:rFonts w:cs="Arial"/>
        </w:rPr>
      </w:pPr>
    </w:p>
    <w:p w:rsidR="00952143" w:rsidRDefault="008D5779" w:rsidP="00952143">
      <w:pPr>
        <w:spacing w:line="240" w:lineRule="auto"/>
        <w:jc w:val="center"/>
        <w:rPr>
          <w:rFonts w:cs="Arial"/>
          <w:b/>
          <w:snapToGrid w:val="0"/>
          <w:color w:val="1F497D" w:themeColor="text2"/>
          <w:sz w:val="18"/>
          <w:szCs w:val="18"/>
          <w:lang w:val="es-ES_tradnl"/>
        </w:rPr>
      </w:pPr>
      <w:bookmarkStart w:id="319" w:name="_Toc391999687"/>
      <w:bookmarkStart w:id="320" w:name="_Toc450120183"/>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5</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 xml:space="preserve"> </w:t>
      </w:r>
      <w:r w:rsidR="00952143" w:rsidRPr="008E5394">
        <w:rPr>
          <w:rFonts w:cs="Arial"/>
          <w:b/>
          <w:snapToGrid w:val="0"/>
          <w:color w:val="1F497D" w:themeColor="text2"/>
          <w:sz w:val="18"/>
          <w:szCs w:val="18"/>
          <w:lang w:val="es-ES_tradnl"/>
        </w:rPr>
        <w:t>PORCENTAJE DE EMPRESAS QUE REALIZAN ALGÚN TIPO DE ACTIVIDAD LIGADA AL MEDIO AMBIENTE SEGÚN</w:t>
      </w:r>
      <w:r w:rsidR="00952143">
        <w:rPr>
          <w:rFonts w:cs="Arial"/>
          <w:b/>
          <w:snapToGrid w:val="0"/>
          <w:color w:val="1F497D" w:themeColor="text2"/>
          <w:sz w:val="18"/>
          <w:szCs w:val="18"/>
          <w:lang w:val="es-ES_tradnl"/>
        </w:rPr>
        <w:t xml:space="preserve"> ESTRATO DE EMPLEO 2014</w:t>
      </w:r>
      <w:r w:rsidR="00952143" w:rsidRPr="008E5394">
        <w:rPr>
          <w:rFonts w:cs="Arial"/>
          <w:b/>
          <w:snapToGrid w:val="0"/>
          <w:color w:val="1F497D" w:themeColor="text2"/>
          <w:sz w:val="18"/>
          <w:szCs w:val="18"/>
          <w:lang w:val="es-ES_tradnl"/>
        </w:rPr>
        <w:t xml:space="preserve"> (% del total de empresas de cada estrato)</w:t>
      </w:r>
      <w:bookmarkEnd w:id="319"/>
      <w:bookmarkEnd w:id="320"/>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r>
        <w:rPr>
          <w:rFonts w:cs="Arial"/>
          <w:b/>
          <w:noProof/>
          <w:color w:val="1F497D" w:themeColor="text2"/>
          <w:sz w:val="18"/>
          <w:szCs w:val="18"/>
          <w:lang w:eastAsia="es-ES"/>
        </w:rPr>
        <w:drawing>
          <wp:inline distT="0" distB="0" distL="0" distR="0">
            <wp:extent cx="4867275" cy="1619250"/>
            <wp:effectExtent l="0" t="0" r="0" b="0"/>
            <wp:docPr id="3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52143" w:rsidRDefault="00952143" w:rsidP="00952143">
      <w:pPr>
        <w:rPr>
          <w:highlight w:val="yellow"/>
        </w:rPr>
      </w:pPr>
    </w:p>
    <w:p w:rsidR="00952143" w:rsidRPr="008E5394" w:rsidRDefault="008D5779" w:rsidP="00952143">
      <w:pPr>
        <w:spacing w:line="240" w:lineRule="auto"/>
        <w:jc w:val="center"/>
        <w:rPr>
          <w:rFonts w:cs="Arial"/>
          <w:b/>
          <w:snapToGrid w:val="0"/>
          <w:color w:val="1F497D" w:themeColor="text2"/>
          <w:sz w:val="18"/>
          <w:szCs w:val="18"/>
          <w:lang w:val="es-ES_tradnl"/>
        </w:rPr>
      </w:pPr>
      <w:bookmarkStart w:id="321" w:name="_Toc391999688"/>
      <w:bookmarkStart w:id="322" w:name="_Toc450120184"/>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6</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 xml:space="preserve"> </w:t>
      </w:r>
      <w:r w:rsidR="00952143" w:rsidRPr="008E5394">
        <w:rPr>
          <w:rFonts w:cs="Arial"/>
          <w:b/>
          <w:snapToGrid w:val="0"/>
          <w:color w:val="1F497D" w:themeColor="text2"/>
          <w:sz w:val="18"/>
          <w:szCs w:val="18"/>
          <w:lang w:val="es-ES_tradnl"/>
        </w:rPr>
        <w:t>FORMACIÓN COOPERATIVA Y DE SOCIEDADES LABORALES POR TAMAÑO DE EMPRESA (% de empresas que realizan actividades en este ámbito según estrato de empleo). 201</w:t>
      </w:r>
      <w:bookmarkEnd w:id="321"/>
      <w:r w:rsidR="00952143">
        <w:rPr>
          <w:rFonts w:cs="Arial"/>
          <w:b/>
          <w:snapToGrid w:val="0"/>
          <w:color w:val="1F497D" w:themeColor="text2"/>
          <w:sz w:val="18"/>
          <w:szCs w:val="18"/>
          <w:lang w:val="es-ES_tradnl"/>
        </w:rPr>
        <w:t>4</w:t>
      </w:r>
      <w:bookmarkEnd w:id="322"/>
    </w:p>
    <w:p w:rsidR="00952143" w:rsidRPr="008E5394" w:rsidRDefault="00952143" w:rsidP="00952143">
      <w:pPr>
        <w:spacing w:line="240" w:lineRule="auto"/>
        <w:jc w:val="center"/>
        <w:rPr>
          <w:rFonts w:cs="Arial"/>
          <w:b/>
          <w:snapToGrid w:val="0"/>
          <w:color w:val="1F497D" w:themeColor="text2"/>
          <w:sz w:val="18"/>
          <w:szCs w:val="18"/>
          <w:lang w:val="es-ES_tradnl"/>
        </w:rPr>
      </w:pPr>
    </w:p>
    <w:p w:rsidR="00952143" w:rsidRPr="0025448F" w:rsidRDefault="00952143" w:rsidP="00952143">
      <w:pPr>
        <w:pStyle w:val="Encabezado"/>
        <w:tabs>
          <w:tab w:val="clear" w:pos="4252"/>
          <w:tab w:val="clear" w:pos="8504"/>
        </w:tabs>
        <w:jc w:val="center"/>
        <w:rPr>
          <w:rFonts w:ascii="Tahoma" w:hAnsi="Tahoma" w:cs="Arial"/>
          <w:sz w:val="16"/>
          <w:szCs w:val="16"/>
          <w:lang w:val="es-ES_tradnl"/>
        </w:rPr>
      </w:pPr>
      <w:r w:rsidRPr="00446215">
        <w:rPr>
          <w:rFonts w:ascii="Tahoma" w:hAnsi="Tahoma" w:cs="Arial"/>
          <w:noProof/>
          <w:sz w:val="16"/>
          <w:szCs w:val="16"/>
          <w:lang w:eastAsia="es-ES"/>
        </w:rPr>
        <w:drawing>
          <wp:inline distT="0" distB="0" distL="0" distR="0">
            <wp:extent cx="4943475" cy="1847850"/>
            <wp:effectExtent l="0" t="0" r="0" b="0"/>
            <wp:docPr id="3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52143" w:rsidRDefault="00952143" w:rsidP="00952143"/>
    <w:p w:rsidR="00952143" w:rsidRPr="009C4E1F" w:rsidRDefault="008D5779" w:rsidP="00952143">
      <w:pPr>
        <w:spacing w:line="240" w:lineRule="auto"/>
        <w:jc w:val="center"/>
        <w:rPr>
          <w:rFonts w:cs="Arial"/>
          <w:b/>
          <w:snapToGrid w:val="0"/>
          <w:color w:val="1F497D" w:themeColor="text2"/>
          <w:sz w:val="18"/>
          <w:szCs w:val="18"/>
          <w:lang w:val="es-ES_tradnl"/>
        </w:rPr>
      </w:pPr>
      <w:bookmarkStart w:id="323" w:name="_Toc391999689"/>
      <w:bookmarkStart w:id="324" w:name="_Toc450120185"/>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7</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FORMACIÓN COOPERATIVA Y DE SOCIEDADES LABORALES. Receptores de la formación 201</w:t>
      </w:r>
      <w:bookmarkEnd w:id="323"/>
      <w:r w:rsidR="00952143">
        <w:rPr>
          <w:rFonts w:cs="Arial"/>
          <w:b/>
          <w:snapToGrid w:val="0"/>
          <w:color w:val="1F497D" w:themeColor="text2"/>
          <w:sz w:val="18"/>
          <w:szCs w:val="18"/>
          <w:lang w:val="es-ES_tradnl"/>
        </w:rPr>
        <w:t>4</w:t>
      </w:r>
      <w:r w:rsidR="00952143" w:rsidRPr="00A32CFB">
        <w:rPr>
          <w:rFonts w:cs="Arial"/>
          <w:b/>
          <w:noProof/>
          <w:color w:val="000080"/>
          <w:sz w:val="22"/>
          <w:lang w:eastAsia="es-ES"/>
        </w:rPr>
        <w:drawing>
          <wp:anchor distT="0" distB="0" distL="114300" distR="114300" simplePos="0" relativeHeight="251824128" behindDoc="0" locked="0" layoutInCell="1" allowOverlap="1">
            <wp:simplePos x="0" y="0"/>
            <wp:positionH relativeFrom="column">
              <wp:posOffset>260985</wp:posOffset>
            </wp:positionH>
            <wp:positionV relativeFrom="paragraph">
              <wp:posOffset>263525</wp:posOffset>
            </wp:positionV>
            <wp:extent cx="5057775" cy="1114425"/>
            <wp:effectExtent l="0" t="0" r="0" b="0"/>
            <wp:wrapNone/>
            <wp:docPr id="3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bookmarkEnd w:id="324"/>
    </w:p>
    <w:p w:rsidR="00952143" w:rsidRDefault="00952143" w:rsidP="00952143">
      <w:pPr>
        <w:pStyle w:val="Encabezado"/>
        <w:tabs>
          <w:tab w:val="clear" w:pos="4252"/>
          <w:tab w:val="clear" w:pos="8504"/>
        </w:tabs>
        <w:ind w:left="708" w:hanging="708"/>
        <w:rPr>
          <w:rFonts w:cs="Arial"/>
          <w:b/>
          <w:color w:val="000080"/>
          <w:sz w:val="22"/>
        </w:rPr>
      </w:pPr>
    </w:p>
    <w:p w:rsidR="00952143" w:rsidRDefault="00952143" w:rsidP="00952143">
      <w:pPr>
        <w:spacing w:after="200" w:line="276" w:lineRule="auto"/>
        <w:jc w:val="left"/>
        <w:rPr>
          <w:rFonts w:cs="Arial"/>
          <w:b/>
          <w:color w:val="1F497D" w:themeColor="text2"/>
          <w:szCs w:val="26"/>
        </w:rPr>
      </w:pPr>
      <w:r>
        <w:rPr>
          <w:rFonts w:cs="Arial"/>
          <w:b/>
          <w:color w:val="1F497D" w:themeColor="text2"/>
          <w:szCs w:val="26"/>
        </w:rPr>
        <w:br w:type="page"/>
      </w:r>
    </w:p>
    <w:p w:rsidR="00952143" w:rsidRDefault="00952143" w:rsidP="00952143">
      <w:pPr>
        <w:spacing w:line="240" w:lineRule="auto"/>
        <w:jc w:val="left"/>
        <w:rPr>
          <w:rFonts w:cs="Arial"/>
          <w:b/>
          <w:color w:val="1F497D" w:themeColor="text2"/>
          <w:szCs w:val="26"/>
        </w:rPr>
      </w:pPr>
    </w:p>
    <w:p w:rsidR="00952143" w:rsidRPr="007F1968" w:rsidRDefault="00952143" w:rsidP="00952143">
      <w:pPr>
        <w:pStyle w:val="Ttulo1"/>
        <w:ind w:left="708" w:hanging="708"/>
        <w:rPr>
          <w:color w:val="1F497D" w:themeColor="text2"/>
          <w:sz w:val="26"/>
          <w:szCs w:val="26"/>
        </w:rPr>
      </w:pPr>
      <w:bookmarkStart w:id="325" w:name="_Toc391999534"/>
      <w:bookmarkStart w:id="326" w:name="_Toc450118928"/>
      <w:r w:rsidRPr="007F1968">
        <w:rPr>
          <w:color w:val="1F497D" w:themeColor="text2"/>
          <w:sz w:val="26"/>
          <w:szCs w:val="26"/>
        </w:rPr>
        <w:t>4.-</w:t>
      </w:r>
      <w:r w:rsidRPr="007F1968">
        <w:rPr>
          <w:color w:val="1F497D" w:themeColor="text2"/>
          <w:sz w:val="26"/>
          <w:szCs w:val="26"/>
        </w:rPr>
        <w:tab/>
        <w:t>COOPERACIÓN INTEREMPRESARIAL</w:t>
      </w:r>
      <w:bookmarkEnd w:id="325"/>
      <w:bookmarkEnd w:id="326"/>
      <w:r w:rsidRPr="007F1968">
        <w:rPr>
          <w:color w:val="1F497D" w:themeColor="text2"/>
          <w:sz w:val="26"/>
          <w:szCs w:val="26"/>
        </w:rPr>
        <w:t xml:space="preserve"> </w:t>
      </w:r>
    </w:p>
    <w:p w:rsidR="00952143" w:rsidRPr="00755895" w:rsidRDefault="00952143" w:rsidP="00952143">
      <w:pPr>
        <w:rPr>
          <w:rFonts w:cs="Arial"/>
          <w:color w:val="000000"/>
        </w:rPr>
      </w:pPr>
    </w:p>
    <w:p w:rsidR="00952143" w:rsidRDefault="008D5779" w:rsidP="00952143">
      <w:pPr>
        <w:spacing w:line="240" w:lineRule="auto"/>
        <w:jc w:val="center"/>
        <w:rPr>
          <w:rFonts w:cs="Arial"/>
          <w:b/>
          <w:snapToGrid w:val="0"/>
          <w:color w:val="1F497D" w:themeColor="text2"/>
          <w:sz w:val="18"/>
          <w:szCs w:val="18"/>
          <w:lang w:val="es-ES_tradnl"/>
        </w:rPr>
      </w:pPr>
      <w:bookmarkStart w:id="327" w:name="_Toc392756760"/>
      <w:bookmarkStart w:id="328" w:name="_Toc450119767"/>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7</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RELACIONES DE COOPERACIÓN DE LAS EMPRESAS DE LA ECONOMÍA SOCIAL SEGÚN FORMA JURÍDICA. 201</w:t>
      </w:r>
      <w:bookmarkEnd w:id="327"/>
      <w:r w:rsidR="00952143">
        <w:rPr>
          <w:rFonts w:cs="Arial"/>
          <w:b/>
          <w:snapToGrid w:val="0"/>
          <w:color w:val="1F497D" w:themeColor="text2"/>
          <w:sz w:val="18"/>
          <w:szCs w:val="18"/>
          <w:lang w:val="es-ES_tradnl"/>
        </w:rPr>
        <w:t>4</w:t>
      </w:r>
      <w:bookmarkEnd w:id="328"/>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895"/>
        <w:gridCol w:w="1512"/>
        <w:gridCol w:w="1511"/>
        <w:gridCol w:w="1511"/>
        <w:gridCol w:w="1511"/>
      </w:tblGrid>
      <w:tr w:rsidR="00952143" w:rsidRPr="00F4159C" w:rsidTr="00D86960">
        <w:trPr>
          <w:jc w:val="center"/>
        </w:trPr>
        <w:tc>
          <w:tcPr>
            <w:tcW w:w="19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rPr>
                <w:rFonts w:cs="Arial"/>
                <w:b/>
                <w:bCs/>
                <w:sz w:val="16"/>
                <w:szCs w:val="16"/>
              </w:rPr>
            </w:pPr>
          </w:p>
        </w:tc>
        <w:tc>
          <w:tcPr>
            <w:tcW w:w="76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Pr>
                <w:rFonts w:cs="Arial"/>
                <w:b/>
                <w:bCs/>
                <w:sz w:val="16"/>
                <w:szCs w:val="16"/>
                <w:lang w:val="en-GB"/>
              </w:rPr>
              <w:t>Total</w:t>
            </w:r>
          </w:p>
          <w:p w:rsidR="00952143" w:rsidRPr="00F4159C" w:rsidRDefault="00952143" w:rsidP="00D86960">
            <w:pPr>
              <w:spacing w:line="240" w:lineRule="exact"/>
              <w:jc w:val="center"/>
              <w:rPr>
                <w:rFonts w:cs="Arial"/>
                <w:b/>
                <w:bCs/>
                <w:sz w:val="16"/>
                <w:szCs w:val="16"/>
                <w:lang w:val="en-GB"/>
              </w:rPr>
            </w:pPr>
            <w:r>
              <w:rPr>
                <w:rFonts w:cs="Arial"/>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 Coop.</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S.A.L.es</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7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S.L.L.es</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r>
      <w:tr w:rsidR="00952143" w:rsidRPr="00A32CFB" w:rsidTr="00D86960">
        <w:trPr>
          <w:trHeight w:val="280"/>
          <w:jc w:val="center"/>
        </w:trPr>
        <w:tc>
          <w:tcPr>
            <w:tcW w:w="1959" w:type="pct"/>
            <w:tcBorders>
              <w:right w:val="single" w:sz="4" w:space="0" w:color="BFBFBF" w:themeColor="background1" w:themeShade="BF"/>
            </w:tcBorders>
            <w:noWrap/>
            <w:vAlign w:val="bottom"/>
          </w:tcPr>
          <w:p w:rsidR="00952143" w:rsidRDefault="00952143" w:rsidP="00D86960">
            <w:pPr>
              <w:spacing w:line="240" w:lineRule="exact"/>
              <w:jc w:val="center"/>
              <w:rPr>
                <w:rFonts w:cs="Arial"/>
                <w:sz w:val="16"/>
                <w:szCs w:val="16"/>
              </w:rPr>
            </w:pPr>
            <w:r>
              <w:rPr>
                <w:rFonts w:cs="Arial"/>
                <w:sz w:val="16"/>
                <w:szCs w:val="16"/>
              </w:rPr>
              <w:t>Establecen relaciones de cooperación</w:t>
            </w:r>
          </w:p>
        </w:tc>
        <w:tc>
          <w:tcPr>
            <w:tcW w:w="760" w:type="pct"/>
            <w:tcBorders>
              <w:right w:val="single" w:sz="4" w:space="0" w:color="BFBFBF" w:themeColor="background1" w:themeShade="BF"/>
            </w:tcBorders>
            <w:vAlign w:val="center"/>
          </w:tcPr>
          <w:p w:rsidR="00952143" w:rsidRPr="00A32CFB" w:rsidRDefault="00952143" w:rsidP="00D508DF">
            <w:pPr>
              <w:spacing w:line="240" w:lineRule="exact"/>
              <w:ind w:right="170"/>
              <w:jc w:val="right"/>
              <w:rPr>
                <w:rFonts w:cs="Arial"/>
                <w:sz w:val="16"/>
                <w:szCs w:val="16"/>
              </w:rPr>
            </w:pPr>
            <w:r w:rsidRPr="00A32CFB">
              <w:rPr>
                <w:rFonts w:cs="Arial"/>
                <w:sz w:val="16"/>
                <w:szCs w:val="16"/>
              </w:rPr>
              <w:t>26,1</w:t>
            </w:r>
          </w:p>
        </w:tc>
        <w:tc>
          <w:tcPr>
            <w:tcW w:w="760" w:type="pct"/>
            <w:tcBorders>
              <w:left w:val="single" w:sz="4" w:space="0" w:color="BFBFBF" w:themeColor="background1" w:themeShade="BF"/>
              <w:right w:val="single" w:sz="4" w:space="0" w:color="BFBFBF" w:themeColor="background1" w:themeShade="BF"/>
            </w:tcBorders>
            <w:vAlign w:val="center"/>
          </w:tcPr>
          <w:p w:rsidR="00952143" w:rsidRPr="00A32CFB" w:rsidRDefault="00952143" w:rsidP="00D508DF">
            <w:pPr>
              <w:spacing w:line="240" w:lineRule="exact"/>
              <w:ind w:right="170"/>
              <w:jc w:val="right"/>
              <w:rPr>
                <w:rFonts w:cs="Arial"/>
                <w:sz w:val="16"/>
                <w:szCs w:val="16"/>
              </w:rPr>
            </w:pPr>
            <w:r w:rsidRPr="00A32CFB">
              <w:rPr>
                <w:rFonts w:cs="Arial"/>
                <w:sz w:val="16"/>
                <w:szCs w:val="16"/>
              </w:rPr>
              <w:t>32,6</w:t>
            </w:r>
          </w:p>
        </w:tc>
        <w:tc>
          <w:tcPr>
            <w:tcW w:w="760" w:type="pct"/>
            <w:tcBorders>
              <w:left w:val="single" w:sz="4" w:space="0" w:color="BFBFBF" w:themeColor="background1" w:themeShade="BF"/>
              <w:right w:val="single" w:sz="4" w:space="0" w:color="BFBFBF" w:themeColor="background1" w:themeShade="BF"/>
            </w:tcBorders>
            <w:vAlign w:val="center"/>
          </w:tcPr>
          <w:p w:rsidR="00952143" w:rsidRPr="00A32CFB" w:rsidRDefault="00952143" w:rsidP="00D508DF">
            <w:pPr>
              <w:spacing w:line="240" w:lineRule="exact"/>
              <w:ind w:right="170"/>
              <w:jc w:val="right"/>
              <w:rPr>
                <w:rFonts w:cs="Arial"/>
                <w:sz w:val="16"/>
                <w:szCs w:val="16"/>
              </w:rPr>
            </w:pPr>
            <w:r w:rsidRPr="00A32CFB">
              <w:rPr>
                <w:rFonts w:cs="Arial"/>
                <w:sz w:val="16"/>
                <w:szCs w:val="16"/>
              </w:rPr>
              <w:t>14,6</w:t>
            </w:r>
          </w:p>
        </w:tc>
        <w:tc>
          <w:tcPr>
            <w:tcW w:w="760" w:type="pct"/>
            <w:tcBorders>
              <w:left w:val="single" w:sz="4" w:space="0" w:color="BFBFBF" w:themeColor="background1" w:themeShade="BF"/>
            </w:tcBorders>
            <w:vAlign w:val="center"/>
          </w:tcPr>
          <w:p w:rsidR="00952143" w:rsidRPr="00A32CFB" w:rsidRDefault="00952143" w:rsidP="00D508DF">
            <w:pPr>
              <w:spacing w:line="240" w:lineRule="exact"/>
              <w:ind w:right="170"/>
              <w:jc w:val="right"/>
              <w:rPr>
                <w:rFonts w:cs="Arial"/>
                <w:sz w:val="16"/>
                <w:szCs w:val="16"/>
              </w:rPr>
            </w:pPr>
            <w:r w:rsidRPr="00A32CFB">
              <w:rPr>
                <w:rFonts w:cs="Arial"/>
                <w:sz w:val="16"/>
                <w:szCs w:val="16"/>
              </w:rPr>
              <w:t>14,8</w:t>
            </w:r>
          </w:p>
        </w:tc>
      </w:tr>
    </w:tbl>
    <w:p w:rsidR="00952143" w:rsidRDefault="00952143" w:rsidP="00952143">
      <w:pPr>
        <w:rPr>
          <w:snapToGrid w:val="0"/>
          <w:lang w:val="es-ES_tradnl"/>
        </w:rPr>
      </w:pPr>
    </w:p>
    <w:p w:rsidR="00952143" w:rsidRPr="008B5DB0" w:rsidRDefault="00952143" w:rsidP="00952143"/>
    <w:p w:rsidR="00952143" w:rsidRPr="009C4E1F" w:rsidRDefault="008D5779" w:rsidP="00952143">
      <w:pPr>
        <w:spacing w:line="240" w:lineRule="auto"/>
        <w:jc w:val="center"/>
        <w:rPr>
          <w:rFonts w:cs="Arial"/>
          <w:b/>
          <w:snapToGrid w:val="0"/>
          <w:color w:val="1F497D" w:themeColor="text2"/>
          <w:sz w:val="18"/>
          <w:szCs w:val="18"/>
          <w:lang w:val="es-ES_tradnl"/>
        </w:rPr>
      </w:pPr>
      <w:bookmarkStart w:id="329" w:name="_Toc391999690"/>
      <w:bookmarkStart w:id="330" w:name="_Toc450120186"/>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8</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sidRPr="007348F4">
        <w:rPr>
          <w:rFonts w:cs="Arial"/>
          <w:b/>
          <w:snapToGrid w:val="0"/>
          <w:color w:val="1F497D" w:themeColor="text2"/>
          <w:sz w:val="18"/>
          <w:szCs w:val="18"/>
          <w:lang w:val="es-ES_tradnl"/>
        </w:rPr>
        <w:t>NATURALEZA DE LAS RELACIONES DE COOPERACIÓN DE LAS EMPRESAS DE LA ECONOMÍA SOCIAL. 2014 (porcentaje de empresas sobre el total)</w:t>
      </w:r>
      <w:bookmarkEnd w:id="329"/>
      <w:bookmarkEnd w:id="330"/>
      <w:r w:rsidR="00952143" w:rsidRPr="009C4E1F">
        <w:rPr>
          <w:rFonts w:cs="Arial"/>
          <w:b/>
          <w:snapToGrid w:val="0"/>
          <w:color w:val="1F497D" w:themeColor="text2"/>
          <w:sz w:val="18"/>
          <w:szCs w:val="18"/>
          <w:lang w:val="es-ES_tradnl"/>
        </w:rPr>
        <w:t xml:space="preserve"> </w:t>
      </w:r>
    </w:p>
    <w:p w:rsidR="00952143" w:rsidRDefault="00952143" w:rsidP="00952143">
      <w:pPr>
        <w:rPr>
          <w:snapToGrid w:val="0"/>
          <w:lang w:val="es-ES_tradnl"/>
        </w:rPr>
      </w:pPr>
    </w:p>
    <w:p w:rsidR="00952143" w:rsidRDefault="00952143" w:rsidP="00952143">
      <w:pPr>
        <w:rPr>
          <w:snapToGrid w:val="0"/>
          <w:lang w:val="es-ES_tradnl"/>
        </w:rPr>
      </w:pPr>
      <w:r>
        <w:rPr>
          <w:noProof/>
          <w:lang w:eastAsia="es-ES"/>
        </w:rPr>
        <w:drawing>
          <wp:inline distT="0" distB="0" distL="0" distR="0">
            <wp:extent cx="5486400" cy="1781175"/>
            <wp:effectExtent l="0" t="0" r="0" b="0"/>
            <wp:docPr id="3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52143" w:rsidRPr="009C4E1F" w:rsidRDefault="008D5779" w:rsidP="00952143">
      <w:pPr>
        <w:spacing w:line="240" w:lineRule="auto"/>
        <w:jc w:val="center"/>
        <w:rPr>
          <w:rFonts w:cs="Arial"/>
          <w:b/>
          <w:snapToGrid w:val="0"/>
          <w:color w:val="1F497D" w:themeColor="text2"/>
          <w:sz w:val="18"/>
          <w:szCs w:val="18"/>
          <w:lang w:val="es-ES_tradnl"/>
        </w:rPr>
      </w:pPr>
      <w:bookmarkStart w:id="331" w:name="_Toc392756761"/>
      <w:bookmarkStart w:id="332" w:name="_Toc450119768"/>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8</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FORMA JURÍDICA DE LAS EMPRESAS CON LAS QUE SE MANTIENEN RELACIONES DE COOPERACIÓN SEGÚN LA FORMA JURÍDICA. 201</w:t>
      </w:r>
      <w:bookmarkEnd w:id="331"/>
      <w:r w:rsidR="00952143">
        <w:rPr>
          <w:rFonts w:cs="Arial"/>
          <w:b/>
          <w:snapToGrid w:val="0"/>
          <w:color w:val="1F497D" w:themeColor="text2"/>
          <w:sz w:val="18"/>
          <w:szCs w:val="18"/>
          <w:lang w:val="es-ES_tradnl"/>
        </w:rPr>
        <w:t>4</w:t>
      </w:r>
      <w:bookmarkEnd w:id="332"/>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951"/>
        <w:gridCol w:w="1748"/>
        <w:gridCol w:w="1747"/>
        <w:gridCol w:w="1747"/>
        <w:gridCol w:w="1747"/>
      </w:tblGrid>
      <w:tr w:rsidR="00952143" w:rsidRPr="00F4159C" w:rsidTr="00D86960">
        <w:trPr>
          <w:jc w:val="center"/>
        </w:trPr>
        <w:tc>
          <w:tcPr>
            <w:tcW w:w="148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rPr>
                <w:rFonts w:cs="Arial"/>
                <w:b/>
                <w:bCs/>
                <w:sz w:val="16"/>
                <w:szCs w:val="16"/>
              </w:rPr>
            </w:pPr>
          </w:p>
        </w:tc>
        <w:tc>
          <w:tcPr>
            <w:tcW w:w="8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D508DF" w:rsidP="00D86960">
            <w:pPr>
              <w:spacing w:line="240" w:lineRule="exact"/>
              <w:jc w:val="center"/>
              <w:rPr>
                <w:rFonts w:cs="Arial"/>
                <w:b/>
                <w:bCs/>
                <w:sz w:val="16"/>
                <w:szCs w:val="16"/>
                <w:lang w:val="en-GB"/>
              </w:rPr>
            </w:pPr>
            <w:r>
              <w:rPr>
                <w:rFonts w:cs="Arial"/>
                <w:b/>
                <w:bCs/>
                <w:sz w:val="16"/>
                <w:szCs w:val="16"/>
                <w:lang w:val="en-GB"/>
              </w:rPr>
              <w:t>TOTAL</w:t>
            </w:r>
          </w:p>
          <w:p w:rsidR="00952143" w:rsidRPr="00F4159C" w:rsidRDefault="00952143" w:rsidP="00D86960">
            <w:pPr>
              <w:spacing w:line="240" w:lineRule="exact"/>
              <w:jc w:val="center"/>
              <w:rPr>
                <w:rFonts w:cs="Arial"/>
                <w:b/>
                <w:bCs/>
                <w:sz w:val="16"/>
                <w:szCs w:val="16"/>
                <w:lang w:val="en-GB"/>
              </w:rPr>
            </w:pPr>
            <w:r>
              <w:rPr>
                <w:rFonts w:cs="Arial"/>
                <w:b/>
                <w:bCs/>
                <w:sz w:val="16"/>
                <w:szCs w:val="16"/>
                <w:lang w:val="en-GB"/>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 Coop.</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S.A.L.es </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S.L.L.es</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r>
      <w:tr w:rsidR="00952143" w:rsidRPr="00F4159C" w:rsidTr="00D86960">
        <w:trPr>
          <w:trHeight w:val="108"/>
          <w:jc w:val="center"/>
        </w:trPr>
        <w:tc>
          <w:tcPr>
            <w:tcW w:w="1484" w:type="pct"/>
            <w:tcBorders>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sz w:val="16"/>
                <w:szCs w:val="16"/>
                <w:lang w:val="es-ES_tradnl"/>
              </w:rPr>
              <w:t xml:space="preserve">Cooperativas </w:t>
            </w:r>
          </w:p>
        </w:tc>
        <w:tc>
          <w:tcPr>
            <w:tcW w:w="879" w:type="pct"/>
            <w:tcBorders>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73,3</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85</w:t>
            </w:r>
            <w:r>
              <w:rPr>
                <w:rFonts w:cs="Arial"/>
                <w:sz w:val="16"/>
                <w:szCs w:val="16"/>
              </w:rPr>
              <w:t>,0</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38</w:t>
            </w:r>
            <w:r>
              <w:rPr>
                <w:rFonts w:cs="Arial"/>
                <w:sz w:val="16"/>
                <w:szCs w:val="16"/>
              </w:rPr>
              <w:t>,0</w:t>
            </w:r>
          </w:p>
        </w:tc>
        <w:tc>
          <w:tcPr>
            <w:tcW w:w="879" w:type="pct"/>
            <w:tcBorders>
              <w:lef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24,5</w:t>
            </w:r>
          </w:p>
        </w:tc>
      </w:tr>
      <w:tr w:rsidR="00952143" w:rsidRPr="00F4159C" w:rsidTr="00D86960">
        <w:trPr>
          <w:trHeight w:val="108"/>
          <w:jc w:val="center"/>
        </w:trPr>
        <w:tc>
          <w:tcPr>
            <w:tcW w:w="1484" w:type="pct"/>
            <w:tcBorders>
              <w:right w:val="single" w:sz="4" w:space="0" w:color="BFBFBF" w:themeColor="background1" w:themeShade="BF"/>
            </w:tcBorders>
            <w:noWrap/>
          </w:tcPr>
          <w:p w:rsidR="00952143" w:rsidRPr="000072C2" w:rsidRDefault="00952143" w:rsidP="00D86960">
            <w:pPr>
              <w:spacing w:line="240" w:lineRule="exact"/>
              <w:jc w:val="left"/>
              <w:rPr>
                <w:rFonts w:cs="Arial"/>
                <w:sz w:val="16"/>
                <w:szCs w:val="16"/>
              </w:rPr>
            </w:pPr>
            <w:r>
              <w:rPr>
                <w:rFonts w:cs="Arial"/>
                <w:sz w:val="16"/>
                <w:szCs w:val="16"/>
                <w:lang w:val="en-GB"/>
              </w:rPr>
              <w:t>SAL/SLL</w:t>
            </w:r>
          </w:p>
        </w:tc>
        <w:tc>
          <w:tcPr>
            <w:tcW w:w="879" w:type="pct"/>
            <w:tcBorders>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28,7</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26,7</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38,2</w:t>
            </w:r>
          </w:p>
        </w:tc>
        <w:tc>
          <w:tcPr>
            <w:tcW w:w="879" w:type="pct"/>
            <w:tcBorders>
              <w:lef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35,7</w:t>
            </w:r>
          </w:p>
        </w:tc>
      </w:tr>
      <w:tr w:rsidR="00952143" w:rsidRPr="00F4159C" w:rsidTr="00D86960">
        <w:trPr>
          <w:trHeight w:val="108"/>
          <w:jc w:val="center"/>
        </w:trPr>
        <w:tc>
          <w:tcPr>
            <w:tcW w:w="1484" w:type="pct"/>
            <w:tcBorders>
              <w:right w:val="single" w:sz="4" w:space="0" w:color="BFBFBF" w:themeColor="background1" w:themeShade="BF"/>
            </w:tcBorders>
            <w:noWrap/>
          </w:tcPr>
          <w:p w:rsidR="00952143" w:rsidRPr="000072C2" w:rsidRDefault="00952143" w:rsidP="00D86960">
            <w:pPr>
              <w:spacing w:line="240" w:lineRule="exact"/>
              <w:jc w:val="left"/>
              <w:rPr>
                <w:rFonts w:cs="Arial"/>
                <w:sz w:val="16"/>
                <w:szCs w:val="16"/>
                <w:lang w:val="es-ES_tradnl"/>
              </w:rPr>
            </w:pPr>
            <w:r w:rsidRPr="000072C2">
              <w:rPr>
                <w:rFonts w:cs="Arial"/>
                <w:sz w:val="16"/>
                <w:szCs w:val="16"/>
                <w:lang w:val="es-ES_tradnl"/>
              </w:rPr>
              <w:t>Sociedades Mercantiles</w:t>
            </w:r>
          </w:p>
        </w:tc>
        <w:tc>
          <w:tcPr>
            <w:tcW w:w="879" w:type="pct"/>
            <w:tcBorders>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52,2</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46,4</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75,5</w:t>
            </w:r>
          </w:p>
        </w:tc>
        <w:tc>
          <w:tcPr>
            <w:tcW w:w="879" w:type="pct"/>
            <w:tcBorders>
              <w:lef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74,3</w:t>
            </w:r>
          </w:p>
        </w:tc>
      </w:tr>
      <w:tr w:rsidR="00952143" w:rsidRPr="00F4159C" w:rsidTr="00D86960">
        <w:trPr>
          <w:trHeight w:val="108"/>
          <w:jc w:val="center"/>
        </w:trPr>
        <w:tc>
          <w:tcPr>
            <w:tcW w:w="1484" w:type="pct"/>
            <w:tcBorders>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sz w:val="16"/>
                <w:szCs w:val="16"/>
                <w:lang w:val="es-ES_tradnl"/>
              </w:rPr>
              <w:t>Otras Sociedades</w:t>
            </w:r>
          </w:p>
        </w:tc>
        <w:tc>
          <w:tcPr>
            <w:tcW w:w="879" w:type="pct"/>
            <w:tcBorders>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39</w:t>
            </w:r>
            <w:r>
              <w:rPr>
                <w:rFonts w:cs="Arial"/>
                <w:sz w:val="16"/>
                <w:szCs w:val="16"/>
              </w:rPr>
              <w:t>,0</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38,8</w:t>
            </w:r>
          </w:p>
        </w:tc>
        <w:tc>
          <w:tcPr>
            <w:tcW w:w="879" w:type="pct"/>
            <w:tcBorders>
              <w:left w:val="single" w:sz="4" w:space="0" w:color="BFBFBF" w:themeColor="background1" w:themeShade="BF"/>
              <w:righ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41,6</w:t>
            </w:r>
          </w:p>
        </w:tc>
        <w:tc>
          <w:tcPr>
            <w:tcW w:w="879" w:type="pct"/>
            <w:tcBorders>
              <w:left w:val="single" w:sz="4" w:space="0" w:color="BFBFBF" w:themeColor="background1" w:themeShade="BF"/>
            </w:tcBorders>
            <w:vAlign w:val="bottom"/>
          </w:tcPr>
          <w:p w:rsidR="00952143" w:rsidRPr="007348F4" w:rsidRDefault="00952143" w:rsidP="00D86960">
            <w:pPr>
              <w:spacing w:line="240" w:lineRule="exact"/>
              <w:ind w:right="170"/>
              <w:jc w:val="right"/>
              <w:rPr>
                <w:rFonts w:cs="Arial"/>
                <w:sz w:val="16"/>
                <w:szCs w:val="16"/>
              </w:rPr>
            </w:pPr>
            <w:r w:rsidRPr="007348F4">
              <w:rPr>
                <w:rFonts w:cs="Arial"/>
                <w:sz w:val="16"/>
                <w:szCs w:val="16"/>
              </w:rPr>
              <w:t>39</w:t>
            </w:r>
            <w:r>
              <w:rPr>
                <w:rFonts w:cs="Arial"/>
                <w:sz w:val="16"/>
                <w:szCs w:val="16"/>
              </w:rPr>
              <w:t>,0</w:t>
            </w:r>
          </w:p>
        </w:tc>
      </w:tr>
    </w:tbl>
    <w:p w:rsidR="00952143" w:rsidRDefault="00952143" w:rsidP="00952143"/>
    <w:p w:rsidR="00952143" w:rsidRDefault="00952143" w:rsidP="00952143">
      <w:pPr>
        <w:rPr>
          <w:color w:val="000080"/>
        </w:rPr>
      </w:pPr>
    </w:p>
    <w:p w:rsidR="00952143" w:rsidRPr="009C4E1F" w:rsidRDefault="008D5779" w:rsidP="00952143">
      <w:pPr>
        <w:spacing w:line="240" w:lineRule="auto"/>
        <w:jc w:val="center"/>
        <w:rPr>
          <w:rFonts w:cs="Arial"/>
          <w:b/>
          <w:snapToGrid w:val="0"/>
          <w:color w:val="1F497D" w:themeColor="text2"/>
          <w:sz w:val="18"/>
          <w:szCs w:val="18"/>
          <w:lang w:val="es-ES_tradnl"/>
        </w:rPr>
      </w:pPr>
      <w:bookmarkStart w:id="333" w:name="_Toc391999691"/>
      <w:bookmarkStart w:id="334" w:name="_Toc450120187"/>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9</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COOPERACIÓN INTEREMPRESARIAL SEGÚN EL TAMAÑO DEL ESTABLECIMIENTO. 201</w:t>
      </w:r>
      <w:bookmarkEnd w:id="333"/>
      <w:r w:rsidR="00952143">
        <w:rPr>
          <w:rFonts w:cs="Arial"/>
          <w:b/>
          <w:snapToGrid w:val="0"/>
          <w:color w:val="1F497D" w:themeColor="text2"/>
          <w:sz w:val="18"/>
          <w:szCs w:val="18"/>
          <w:lang w:val="es-ES_tradnl"/>
        </w:rPr>
        <w:t>4</w:t>
      </w:r>
      <w:bookmarkEnd w:id="334"/>
    </w:p>
    <w:p w:rsidR="00952143" w:rsidRPr="009C4E1F" w:rsidRDefault="00952143" w:rsidP="00952143">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de las empresas según el tamaño de las mismas)</w:t>
      </w:r>
    </w:p>
    <w:p w:rsidR="00952143" w:rsidRDefault="00952143" w:rsidP="00952143">
      <w:pPr>
        <w:spacing w:line="240" w:lineRule="auto"/>
        <w:jc w:val="center"/>
        <w:rPr>
          <w:rFonts w:ascii="Tahoma" w:hAnsi="Tahoma" w:cs="Arial"/>
          <w:b/>
          <w:i/>
          <w:sz w:val="16"/>
          <w:szCs w:val="16"/>
        </w:rPr>
      </w:pPr>
    </w:p>
    <w:p w:rsidR="00952143" w:rsidRDefault="00952143" w:rsidP="00952143">
      <w:pPr>
        <w:jc w:val="center"/>
        <w:rPr>
          <w:rFonts w:cs="Arial"/>
        </w:rPr>
      </w:pPr>
      <w:r w:rsidRPr="0093672C">
        <w:rPr>
          <w:rFonts w:cs="Arial"/>
          <w:noProof/>
          <w:lang w:eastAsia="es-ES"/>
        </w:rPr>
        <w:drawing>
          <wp:inline distT="0" distB="0" distL="0" distR="0">
            <wp:extent cx="4943475" cy="1847850"/>
            <wp:effectExtent l="0" t="0" r="0" b="0"/>
            <wp:docPr id="3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52143" w:rsidRDefault="00952143" w:rsidP="00952143">
      <w:pPr>
        <w:rPr>
          <w:rFonts w:cs="Arial"/>
        </w:rPr>
      </w:pPr>
    </w:p>
    <w:p w:rsidR="00952143" w:rsidRDefault="00952143" w:rsidP="00952143">
      <w:pPr>
        <w:rPr>
          <w:rFonts w:cs="Arial"/>
        </w:rPr>
      </w:pPr>
    </w:p>
    <w:p w:rsidR="00952143" w:rsidRDefault="00952143" w:rsidP="00952143">
      <w:pPr>
        <w:spacing w:line="240" w:lineRule="auto"/>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952143" w:rsidRPr="009C4E1F" w:rsidRDefault="008D5779" w:rsidP="00952143">
      <w:pPr>
        <w:spacing w:line="240" w:lineRule="auto"/>
        <w:jc w:val="center"/>
        <w:rPr>
          <w:rFonts w:cs="Arial"/>
          <w:b/>
          <w:snapToGrid w:val="0"/>
          <w:color w:val="1F497D" w:themeColor="text2"/>
          <w:sz w:val="18"/>
          <w:szCs w:val="18"/>
          <w:lang w:val="es-ES_tradnl"/>
        </w:rPr>
      </w:pPr>
      <w:bookmarkStart w:id="335" w:name="_Toc392756762"/>
      <w:bookmarkStart w:id="336" w:name="_Toc450119769"/>
      <w:r w:rsidRPr="008D5779">
        <w:rPr>
          <w:rFonts w:cs="Arial"/>
          <w:b/>
          <w:bCs/>
          <w:snapToGrid w:val="0"/>
          <w:color w:val="1F497D" w:themeColor="text2"/>
          <w:sz w:val="18"/>
          <w:szCs w:val="18"/>
          <w:lang w:val="es-ES_tradnl"/>
        </w:rPr>
        <w:lastRenderedPageBreak/>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9</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LOCALIZACIÓN GEOGRÁFICA DE LAS EMPRESAS SEGÚN FORMA JURÍDICA. 201</w:t>
      </w:r>
      <w:bookmarkEnd w:id="335"/>
      <w:r w:rsidR="00952143">
        <w:rPr>
          <w:rFonts w:cs="Arial"/>
          <w:b/>
          <w:snapToGrid w:val="0"/>
          <w:color w:val="1F497D" w:themeColor="text2"/>
          <w:sz w:val="18"/>
          <w:szCs w:val="18"/>
          <w:lang w:val="es-ES_tradnl"/>
        </w:rPr>
        <w:t>4</w:t>
      </w:r>
      <w:bookmarkEnd w:id="336"/>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019"/>
        <w:gridCol w:w="1731"/>
        <w:gridCol w:w="1732"/>
        <w:gridCol w:w="1732"/>
        <w:gridCol w:w="1726"/>
      </w:tblGrid>
      <w:tr w:rsidR="00952143" w:rsidRPr="00F4159C" w:rsidTr="00D86960">
        <w:trPr>
          <w:jc w:val="center"/>
        </w:trPr>
        <w:tc>
          <w:tcPr>
            <w:tcW w:w="151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rPr>
                <w:rFonts w:cs="Arial"/>
                <w:b/>
                <w:bCs/>
                <w:sz w:val="16"/>
                <w:szCs w:val="16"/>
              </w:rPr>
            </w:pPr>
          </w:p>
        </w:tc>
        <w:tc>
          <w:tcPr>
            <w:tcW w:w="87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D508DF" w:rsidP="00D86960">
            <w:pPr>
              <w:spacing w:line="240" w:lineRule="exact"/>
              <w:jc w:val="center"/>
              <w:rPr>
                <w:rFonts w:cs="Arial"/>
                <w:b/>
                <w:bCs/>
                <w:sz w:val="16"/>
                <w:szCs w:val="16"/>
                <w:lang w:val="en-GB"/>
              </w:rPr>
            </w:pPr>
            <w:r>
              <w:rPr>
                <w:rFonts w:cs="Arial"/>
                <w:b/>
                <w:bCs/>
                <w:sz w:val="16"/>
                <w:szCs w:val="16"/>
                <w:lang w:val="en-GB"/>
              </w:rPr>
              <w:t>TOTAL</w:t>
            </w:r>
          </w:p>
          <w:p w:rsidR="00952143" w:rsidRPr="00F4159C" w:rsidRDefault="00952143" w:rsidP="00D86960">
            <w:pPr>
              <w:spacing w:line="240" w:lineRule="exact"/>
              <w:jc w:val="center"/>
              <w:rPr>
                <w:rFonts w:cs="Arial"/>
                <w:b/>
                <w:bCs/>
                <w:sz w:val="16"/>
                <w:szCs w:val="16"/>
                <w:lang w:val="en-GB"/>
              </w:rPr>
            </w:pPr>
            <w:r>
              <w:rPr>
                <w:rFonts w:cs="Arial"/>
                <w:b/>
                <w:bCs/>
                <w:sz w:val="16"/>
                <w:szCs w:val="16"/>
                <w:lang w:val="en-GB"/>
              </w:rPr>
              <w:t>%</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 Coop.</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S.A.L.es </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86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S.L.L.es</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r>
      <w:tr w:rsidR="00952143" w:rsidRPr="00F4159C" w:rsidTr="00D86960">
        <w:trPr>
          <w:jc w:val="center"/>
        </w:trPr>
        <w:tc>
          <w:tcPr>
            <w:tcW w:w="1519" w:type="pct"/>
            <w:tcBorders>
              <w:right w:val="single" w:sz="4" w:space="0" w:color="BFBFBF" w:themeColor="background1" w:themeShade="BF"/>
            </w:tcBorders>
            <w:noWrap/>
            <w:vAlign w:val="bottom"/>
          </w:tcPr>
          <w:p w:rsidR="00952143" w:rsidRDefault="00952143" w:rsidP="00D86960">
            <w:pPr>
              <w:spacing w:line="240" w:lineRule="exact"/>
              <w:jc w:val="left"/>
              <w:rPr>
                <w:rFonts w:cs="Arial"/>
                <w:sz w:val="16"/>
                <w:szCs w:val="16"/>
              </w:rPr>
            </w:pPr>
            <w:r>
              <w:rPr>
                <w:rFonts w:cs="Arial"/>
                <w:sz w:val="16"/>
                <w:szCs w:val="16"/>
                <w:lang w:val="es-ES_tradnl"/>
              </w:rPr>
              <w:t>Comunidad Autónoma de Euskadi</w:t>
            </w:r>
          </w:p>
        </w:tc>
        <w:tc>
          <w:tcPr>
            <w:tcW w:w="871" w:type="pct"/>
            <w:tcBorders>
              <w:right w:val="single" w:sz="4" w:space="0" w:color="BFBFBF" w:themeColor="background1" w:themeShade="BF"/>
            </w:tcBorders>
            <w:vAlign w:val="bottom"/>
          </w:tcPr>
          <w:p w:rsidR="00952143" w:rsidRPr="007B43E5" w:rsidRDefault="00952143" w:rsidP="00D86960">
            <w:pPr>
              <w:spacing w:line="240" w:lineRule="exact"/>
              <w:ind w:right="170"/>
              <w:jc w:val="right"/>
              <w:rPr>
                <w:rFonts w:cs="Arial"/>
                <w:bCs/>
                <w:sz w:val="16"/>
                <w:szCs w:val="16"/>
              </w:rPr>
            </w:pPr>
            <w:r>
              <w:rPr>
                <w:rFonts w:cs="Arial"/>
                <w:bCs/>
                <w:sz w:val="16"/>
                <w:szCs w:val="16"/>
              </w:rPr>
              <w:t>93,5</w:t>
            </w:r>
          </w:p>
        </w:tc>
        <w:tc>
          <w:tcPr>
            <w:tcW w:w="871" w:type="pct"/>
            <w:tcBorders>
              <w:left w:val="single" w:sz="4" w:space="0" w:color="BFBFBF" w:themeColor="background1" w:themeShade="BF"/>
              <w:right w:val="single" w:sz="4" w:space="0" w:color="BFBFBF" w:themeColor="background1" w:themeShade="BF"/>
            </w:tcBorders>
            <w:vAlign w:val="bottom"/>
          </w:tcPr>
          <w:p w:rsidR="00952143" w:rsidRPr="00A10B63" w:rsidRDefault="00952143" w:rsidP="00D86960">
            <w:pPr>
              <w:spacing w:line="240" w:lineRule="exact"/>
              <w:ind w:right="170"/>
              <w:jc w:val="right"/>
              <w:rPr>
                <w:rFonts w:cs="Arial"/>
                <w:bCs/>
                <w:sz w:val="16"/>
                <w:szCs w:val="16"/>
              </w:rPr>
            </w:pPr>
            <w:r w:rsidRPr="00A10B63">
              <w:rPr>
                <w:rFonts w:cs="Arial"/>
                <w:bCs/>
                <w:sz w:val="16"/>
                <w:szCs w:val="16"/>
              </w:rPr>
              <w:t>94,4</w:t>
            </w:r>
          </w:p>
        </w:tc>
        <w:tc>
          <w:tcPr>
            <w:tcW w:w="871" w:type="pct"/>
            <w:tcBorders>
              <w:left w:val="single" w:sz="4" w:space="0" w:color="BFBFBF" w:themeColor="background1" w:themeShade="BF"/>
              <w:righ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88,9</w:t>
            </w:r>
          </w:p>
        </w:tc>
        <w:tc>
          <w:tcPr>
            <w:tcW w:w="868" w:type="pct"/>
            <w:tcBorders>
              <w:lef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90,7</w:t>
            </w:r>
          </w:p>
        </w:tc>
      </w:tr>
      <w:tr w:rsidR="00952143" w:rsidRPr="00F4159C" w:rsidTr="00D86960">
        <w:trPr>
          <w:jc w:val="center"/>
        </w:trPr>
        <w:tc>
          <w:tcPr>
            <w:tcW w:w="1519" w:type="pct"/>
            <w:tcBorders>
              <w:right w:val="single" w:sz="4" w:space="0" w:color="BFBFBF" w:themeColor="background1" w:themeShade="BF"/>
            </w:tcBorders>
            <w:noWrap/>
            <w:vAlign w:val="bottom"/>
          </w:tcPr>
          <w:p w:rsidR="00952143" w:rsidRPr="007B43E5" w:rsidRDefault="00952143" w:rsidP="00D86960">
            <w:pPr>
              <w:spacing w:line="240" w:lineRule="exact"/>
              <w:jc w:val="left"/>
              <w:rPr>
                <w:rFonts w:cs="Arial"/>
                <w:sz w:val="16"/>
                <w:szCs w:val="16"/>
              </w:rPr>
            </w:pPr>
            <w:r w:rsidRPr="007B43E5">
              <w:rPr>
                <w:rFonts w:ascii="Tahoma" w:hAnsi="Tahoma" w:cs="Arial"/>
                <w:sz w:val="16"/>
                <w:szCs w:val="16"/>
                <w:lang w:val="es-ES_tradnl"/>
              </w:rPr>
              <w:t>Estado Español</w:t>
            </w:r>
          </w:p>
        </w:tc>
        <w:tc>
          <w:tcPr>
            <w:tcW w:w="871" w:type="pct"/>
            <w:tcBorders>
              <w:right w:val="single" w:sz="4" w:space="0" w:color="BFBFBF" w:themeColor="background1" w:themeShade="BF"/>
            </w:tcBorders>
            <w:vAlign w:val="bottom"/>
          </w:tcPr>
          <w:p w:rsidR="00952143" w:rsidRPr="007B43E5" w:rsidRDefault="00952143" w:rsidP="00D86960">
            <w:pPr>
              <w:spacing w:line="240" w:lineRule="exact"/>
              <w:ind w:right="170"/>
              <w:jc w:val="right"/>
              <w:rPr>
                <w:rFonts w:cs="Arial"/>
                <w:bCs/>
                <w:sz w:val="16"/>
                <w:szCs w:val="16"/>
              </w:rPr>
            </w:pPr>
            <w:r>
              <w:rPr>
                <w:rFonts w:cs="Arial"/>
                <w:bCs/>
                <w:sz w:val="16"/>
                <w:szCs w:val="16"/>
              </w:rPr>
              <w:t>24,9</w:t>
            </w:r>
          </w:p>
        </w:tc>
        <w:tc>
          <w:tcPr>
            <w:tcW w:w="871" w:type="pct"/>
            <w:tcBorders>
              <w:left w:val="single" w:sz="4" w:space="0" w:color="BFBFBF" w:themeColor="background1" w:themeShade="BF"/>
              <w:right w:val="single" w:sz="4" w:space="0" w:color="BFBFBF" w:themeColor="background1" w:themeShade="BF"/>
            </w:tcBorders>
            <w:vAlign w:val="bottom"/>
          </w:tcPr>
          <w:p w:rsidR="00952143" w:rsidRPr="00A10B63" w:rsidRDefault="00952143" w:rsidP="00D86960">
            <w:pPr>
              <w:spacing w:line="240" w:lineRule="exact"/>
              <w:ind w:right="170"/>
              <w:jc w:val="right"/>
              <w:rPr>
                <w:rFonts w:cs="Arial"/>
                <w:bCs/>
                <w:sz w:val="16"/>
                <w:szCs w:val="16"/>
              </w:rPr>
            </w:pPr>
            <w:r w:rsidRPr="00A10B63">
              <w:rPr>
                <w:rFonts w:cs="Arial"/>
                <w:bCs/>
                <w:sz w:val="16"/>
                <w:szCs w:val="16"/>
              </w:rPr>
              <w:t>24,7</w:t>
            </w:r>
          </w:p>
        </w:tc>
        <w:tc>
          <w:tcPr>
            <w:tcW w:w="871" w:type="pct"/>
            <w:tcBorders>
              <w:left w:val="single" w:sz="4" w:space="0" w:color="BFBFBF" w:themeColor="background1" w:themeShade="BF"/>
              <w:righ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25,9</w:t>
            </w:r>
          </w:p>
        </w:tc>
        <w:tc>
          <w:tcPr>
            <w:tcW w:w="868" w:type="pct"/>
            <w:tcBorders>
              <w:lef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25,3</w:t>
            </w:r>
          </w:p>
        </w:tc>
      </w:tr>
      <w:tr w:rsidR="00952143" w:rsidRPr="00F4159C" w:rsidTr="00D86960">
        <w:trPr>
          <w:jc w:val="center"/>
        </w:trPr>
        <w:tc>
          <w:tcPr>
            <w:tcW w:w="1519" w:type="pct"/>
            <w:tcBorders>
              <w:right w:val="single" w:sz="4" w:space="0" w:color="BFBFBF" w:themeColor="background1" w:themeShade="BF"/>
            </w:tcBorders>
            <w:noWrap/>
            <w:vAlign w:val="bottom"/>
          </w:tcPr>
          <w:p w:rsidR="00952143" w:rsidRPr="007B43E5" w:rsidRDefault="00952143" w:rsidP="00D86960">
            <w:pPr>
              <w:spacing w:line="240" w:lineRule="exact"/>
              <w:jc w:val="left"/>
              <w:rPr>
                <w:rFonts w:cs="Arial"/>
                <w:sz w:val="16"/>
                <w:szCs w:val="16"/>
              </w:rPr>
            </w:pPr>
            <w:r w:rsidRPr="007B43E5">
              <w:rPr>
                <w:rFonts w:ascii="Tahoma" w:hAnsi="Tahoma" w:cs="Arial"/>
                <w:sz w:val="16"/>
                <w:szCs w:val="16"/>
                <w:lang w:val="es-ES_tradnl"/>
              </w:rPr>
              <w:t>Unión Europea</w:t>
            </w:r>
          </w:p>
        </w:tc>
        <w:tc>
          <w:tcPr>
            <w:tcW w:w="871" w:type="pct"/>
            <w:tcBorders>
              <w:right w:val="single" w:sz="4" w:space="0" w:color="BFBFBF" w:themeColor="background1" w:themeShade="BF"/>
            </w:tcBorders>
            <w:vAlign w:val="bottom"/>
          </w:tcPr>
          <w:p w:rsidR="00952143" w:rsidRPr="007B43E5" w:rsidRDefault="00952143" w:rsidP="00D86960">
            <w:pPr>
              <w:spacing w:line="240" w:lineRule="exact"/>
              <w:ind w:right="170"/>
              <w:jc w:val="right"/>
              <w:rPr>
                <w:rFonts w:cs="Arial"/>
                <w:bCs/>
                <w:sz w:val="16"/>
                <w:szCs w:val="16"/>
              </w:rPr>
            </w:pPr>
            <w:r>
              <w:rPr>
                <w:rFonts w:cs="Arial"/>
                <w:bCs/>
                <w:sz w:val="16"/>
                <w:szCs w:val="16"/>
              </w:rPr>
              <w:t>10,9</w:t>
            </w:r>
          </w:p>
        </w:tc>
        <w:tc>
          <w:tcPr>
            <w:tcW w:w="871" w:type="pct"/>
            <w:tcBorders>
              <w:left w:val="single" w:sz="4" w:space="0" w:color="BFBFBF" w:themeColor="background1" w:themeShade="BF"/>
              <w:right w:val="single" w:sz="4" w:space="0" w:color="BFBFBF" w:themeColor="background1" w:themeShade="BF"/>
            </w:tcBorders>
            <w:vAlign w:val="bottom"/>
          </w:tcPr>
          <w:p w:rsidR="00952143" w:rsidRPr="00A10B63" w:rsidRDefault="00952143" w:rsidP="00D86960">
            <w:pPr>
              <w:spacing w:line="240" w:lineRule="exact"/>
              <w:ind w:right="170"/>
              <w:jc w:val="right"/>
              <w:rPr>
                <w:rFonts w:cs="Arial"/>
                <w:bCs/>
                <w:sz w:val="16"/>
                <w:szCs w:val="16"/>
              </w:rPr>
            </w:pPr>
            <w:r w:rsidRPr="00A10B63">
              <w:rPr>
                <w:rFonts w:cs="Arial"/>
                <w:bCs/>
                <w:sz w:val="16"/>
                <w:szCs w:val="16"/>
              </w:rPr>
              <w:t>12,3</w:t>
            </w:r>
          </w:p>
        </w:tc>
        <w:tc>
          <w:tcPr>
            <w:tcW w:w="871" w:type="pct"/>
            <w:tcBorders>
              <w:left w:val="single" w:sz="4" w:space="0" w:color="BFBFBF" w:themeColor="background1" w:themeShade="BF"/>
              <w:righ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5,0</w:t>
            </w:r>
          </w:p>
        </w:tc>
        <w:tc>
          <w:tcPr>
            <w:tcW w:w="868" w:type="pct"/>
            <w:tcBorders>
              <w:lef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5,7</w:t>
            </w:r>
          </w:p>
        </w:tc>
      </w:tr>
      <w:tr w:rsidR="00952143" w:rsidRPr="00F4159C" w:rsidTr="00D86960">
        <w:trPr>
          <w:jc w:val="center"/>
        </w:trPr>
        <w:tc>
          <w:tcPr>
            <w:tcW w:w="1519" w:type="pct"/>
            <w:tcBorders>
              <w:right w:val="single" w:sz="4" w:space="0" w:color="BFBFBF" w:themeColor="background1" w:themeShade="BF"/>
            </w:tcBorders>
            <w:noWrap/>
            <w:vAlign w:val="bottom"/>
          </w:tcPr>
          <w:p w:rsidR="00952143" w:rsidRPr="007B43E5" w:rsidRDefault="00952143" w:rsidP="00D86960">
            <w:pPr>
              <w:spacing w:line="240" w:lineRule="exact"/>
              <w:jc w:val="left"/>
              <w:rPr>
                <w:rFonts w:cs="Arial"/>
                <w:sz w:val="16"/>
                <w:szCs w:val="16"/>
              </w:rPr>
            </w:pPr>
            <w:r w:rsidRPr="007B43E5">
              <w:rPr>
                <w:rFonts w:ascii="Tahoma" w:hAnsi="Tahoma" w:cs="Arial"/>
                <w:sz w:val="16"/>
                <w:szCs w:val="16"/>
                <w:lang w:val="es-ES_tradnl"/>
              </w:rPr>
              <w:t>Resto del Mundo</w:t>
            </w:r>
          </w:p>
        </w:tc>
        <w:tc>
          <w:tcPr>
            <w:tcW w:w="871" w:type="pct"/>
            <w:tcBorders>
              <w:right w:val="single" w:sz="4" w:space="0" w:color="BFBFBF" w:themeColor="background1" w:themeShade="BF"/>
            </w:tcBorders>
            <w:vAlign w:val="bottom"/>
          </w:tcPr>
          <w:p w:rsidR="00952143" w:rsidRPr="007B43E5" w:rsidRDefault="00952143" w:rsidP="00D86960">
            <w:pPr>
              <w:spacing w:line="240" w:lineRule="exact"/>
              <w:ind w:right="170"/>
              <w:jc w:val="right"/>
              <w:rPr>
                <w:rFonts w:cs="Arial"/>
                <w:bCs/>
                <w:sz w:val="16"/>
                <w:szCs w:val="16"/>
              </w:rPr>
            </w:pPr>
            <w:r>
              <w:rPr>
                <w:rFonts w:cs="Arial"/>
                <w:bCs/>
                <w:sz w:val="16"/>
                <w:szCs w:val="16"/>
              </w:rPr>
              <w:t>4,4</w:t>
            </w:r>
          </w:p>
        </w:tc>
        <w:tc>
          <w:tcPr>
            <w:tcW w:w="871" w:type="pct"/>
            <w:tcBorders>
              <w:left w:val="single" w:sz="4" w:space="0" w:color="BFBFBF" w:themeColor="background1" w:themeShade="BF"/>
              <w:right w:val="single" w:sz="4" w:space="0" w:color="BFBFBF" w:themeColor="background1" w:themeShade="BF"/>
            </w:tcBorders>
            <w:vAlign w:val="bottom"/>
          </w:tcPr>
          <w:p w:rsidR="00952143" w:rsidRPr="00A10B63" w:rsidRDefault="00952143" w:rsidP="00D86960">
            <w:pPr>
              <w:spacing w:line="240" w:lineRule="exact"/>
              <w:ind w:right="170"/>
              <w:jc w:val="right"/>
              <w:rPr>
                <w:rFonts w:cs="Arial"/>
                <w:bCs/>
                <w:sz w:val="16"/>
                <w:szCs w:val="16"/>
              </w:rPr>
            </w:pPr>
            <w:r w:rsidRPr="00A10B63">
              <w:rPr>
                <w:rFonts w:cs="Arial"/>
                <w:bCs/>
                <w:sz w:val="16"/>
                <w:szCs w:val="16"/>
              </w:rPr>
              <w:t>5</w:t>
            </w:r>
            <w:r>
              <w:rPr>
                <w:rFonts w:cs="Arial"/>
                <w:bCs/>
                <w:sz w:val="16"/>
                <w:szCs w:val="16"/>
              </w:rPr>
              <w:t>,0</w:t>
            </w:r>
          </w:p>
        </w:tc>
        <w:tc>
          <w:tcPr>
            <w:tcW w:w="871" w:type="pct"/>
            <w:tcBorders>
              <w:left w:val="single" w:sz="4" w:space="0" w:color="BFBFBF" w:themeColor="background1" w:themeShade="BF"/>
              <w:righ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5,0</w:t>
            </w:r>
          </w:p>
        </w:tc>
        <w:tc>
          <w:tcPr>
            <w:tcW w:w="868" w:type="pct"/>
            <w:tcBorders>
              <w:left w:val="single" w:sz="4" w:space="0" w:color="BFBFBF" w:themeColor="background1" w:themeShade="BF"/>
            </w:tcBorders>
            <w:vAlign w:val="bottom"/>
          </w:tcPr>
          <w:p w:rsidR="00952143" w:rsidRPr="00421786" w:rsidRDefault="00952143" w:rsidP="00D86960">
            <w:pPr>
              <w:spacing w:line="240" w:lineRule="exact"/>
              <w:ind w:right="170"/>
              <w:jc w:val="right"/>
              <w:rPr>
                <w:rFonts w:cs="Arial"/>
                <w:bCs/>
                <w:sz w:val="16"/>
                <w:szCs w:val="16"/>
              </w:rPr>
            </w:pPr>
            <w:r w:rsidRPr="00421786">
              <w:rPr>
                <w:rFonts w:cs="Arial"/>
                <w:bCs/>
                <w:sz w:val="16"/>
                <w:szCs w:val="16"/>
              </w:rPr>
              <w:t>1,3</w:t>
            </w:r>
          </w:p>
        </w:tc>
      </w:tr>
    </w:tbl>
    <w:p w:rsidR="00952143" w:rsidRDefault="00952143" w:rsidP="00952143"/>
    <w:p w:rsidR="00952143" w:rsidRDefault="008D5779" w:rsidP="00952143">
      <w:pPr>
        <w:spacing w:line="240" w:lineRule="auto"/>
        <w:jc w:val="center"/>
        <w:rPr>
          <w:rFonts w:cs="Arial"/>
          <w:b/>
          <w:snapToGrid w:val="0"/>
          <w:color w:val="1F497D" w:themeColor="text2"/>
          <w:sz w:val="18"/>
          <w:szCs w:val="18"/>
          <w:lang w:val="es-ES_tradnl"/>
        </w:rPr>
      </w:pPr>
      <w:bookmarkStart w:id="337" w:name="_Toc391999692"/>
      <w:bookmarkStart w:id="338" w:name="_Toc450120188"/>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10</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D508DF">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 xml:space="preserve"> </w:t>
      </w:r>
      <w:r w:rsidR="00952143" w:rsidRPr="009C4E1F">
        <w:rPr>
          <w:rFonts w:cs="Arial"/>
          <w:b/>
          <w:snapToGrid w:val="0"/>
          <w:color w:val="1F497D" w:themeColor="text2"/>
          <w:sz w:val="18"/>
          <w:szCs w:val="18"/>
          <w:lang w:val="es-ES_tradnl"/>
        </w:rPr>
        <w:t>PORCENTAJE DE EMPRESAS ASOCIADAS A ALGÚN TIPO DE ASOCIACIÓN EMPRESARIAL SEGÚN SU FORMA JURÍDICA Y SU DIMENSIÓN 201</w:t>
      </w:r>
      <w:bookmarkEnd w:id="337"/>
      <w:r w:rsidR="00952143">
        <w:rPr>
          <w:rFonts w:cs="Arial"/>
          <w:b/>
          <w:snapToGrid w:val="0"/>
          <w:color w:val="1F497D" w:themeColor="text2"/>
          <w:sz w:val="18"/>
          <w:szCs w:val="18"/>
          <w:lang w:val="es-ES_tradnl"/>
        </w:rPr>
        <w:t>4</w:t>
      </w:r>
      <w:bookmarkEnd w:id="338"/>
    </w:p>
    <w:p w:rsidR="00952143" w:rsidRDefault="00952143" w:rsidP="00952143">
      <w:pPr>
        <w:spacing w:line="240" w:lineRule="auto"/>
        <w:jc w:val="left"/>
        <w:rPr>
          <w:rFonts w:cs="Arial"/>
          <w:b/>
          <w:snapToGrid w:val="0"/>
          <w:color w:val="1F497D" w:themeColor="text2"/>
          <w:sz w:val="18"/>
          <w:szCs w:val="18"/>
          <w:lang w:val="es-ES_tradnl"/>
        </w:rPr>
      </w:pPr>
    </w:p>
    <w:p w:rsidR="00952143" w:rsidRDefault="00952143" w:rsidP="00952143">
      <w:pPr>
        <w:jc w:val="center"/>
        <w:rPr>
          <w:rFonts w:cs="Arial"/>
        </w:rPr>
      </w:pPr>
      <w:r>
        <w:rPr>
          <w:rFonts w:cs="Arial"/>
          <w:noProof/>
          <w:lang w:eastAsia="es-ES"/>
        </w:rPr>
        <w:drawing>
          <wp:anchor distT="0" distB="0" distL="114300" distR="114300" simplePos="0" relativeHeight="251823104" behindDoc="1" locked="0" layoutInCell="1" allowOverlap="1">
            <wp:simplePos x="0" y="0"/>
            <wp:positionH relativeFrom="column">
              <wp:posOffset>2864485</wp:posOffset>
            </wp:positionH>
            <wp:positionV relativeFrom="paragraph">
              <wp:posOffset>201930</wp:posOffset>
            </wp:positionV>
            <wp:extent cx="3009900" cy="1695450"/>
            <wp:effectExtent l="0" t="0" r="0" b="0"/>
            <wp:wrapTight wrapText="bothSides">
              <wp:wrapPolygon edited="0">
                <wp:start x="4785" y="2184"/>
                <wp:lineTo x="3418" y="4611"/>
                <wp:lineTo x="2871" y="6067"/>
                <wp:lineTo x="3281" y="13591"/>
                <wp:lineTo x="684" y="14562"/>
                <wp:lineTo x="547" y="17717"/>
                <wp:lineTo x="5195" y="17717"/>
                <wp:lineTo x="5195" y="17960"/>
                <wp:lineTo x="7246" y="20144"/>
                <wp:lineTo x="7382" y="20144"/>
                <wp:lineTo x="20643" y="20144"/>
                <wp:lineTo x="20916" y="19416"/>
                <wp:lineTo x="19959" y="19173"/>
                <wp:lineTo x="14491" y="17717"/>
                <wp:lineTo x="16542" y="16261"/>
                <wp:lineTo x="16132" y="14562"/>
                <wp:lineTo x="20096" y="13834"/>
                <wp:lineTo x="20096" y="10436"/>
                <wp:lineTo x="21053" y="9708"/>
                <wp:lineTo x="21053" y="6310"/>
                <wp:lineTo x="19686" y="5582"/>
                <wp:lineTo x="19549" y="2184"/>
                <wp:lineTo x="7109" y="2184"/>
                <wp:lineTo x="4785" y="2184"/>
              </wp:wrapPolygon>
            </wp:wrapTight>
            <wp:docPr id="3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Pr>
          <w:rFonts w:cs="Arial"/>
          <w:noProof/>
          <w:lang w:eastAsia="es-ES"/>
        </w:rPr>
        <w:drawing>
          <wp:anchor distT="0" distB="0" distL="114300" distR="114300" simplePos="0" relativeHeight="251822080" behindDoc="1" locked="0" layoutInCell="1" allowOverlap="1">
            <wp:simplePos x="0" y="0"/>
            <wp:positionH relativeFrom="column">
              <wp:posOffset>-326390</wp:posOffset>
            </wp:positionH>
            <wp:positionV relativeFrom="paragraph">
              <wp:posOffset>201930</wp:posOffset>
            </wp:positionV>
            <wp:extent cx="3009900" cy="1695450"/>
            <wp:effectExtent l="0" t="0" r="0" b="0"/>
            <wp:wrapTight wrapText="bothSides">
              <wp:wrapPolygon edited="0">
                <wp:start x="957" y="3398"/>
                <wp:lineTo x="957" y="4126"/>
                <wp:lineTo x="9159" y="7281"/>
                <wp:lineTo x="1641" y="7281"/>
                <wp:lineTo x="1641" y="8494"/>
                <wp:lineTo x="10800" y="11164"/>
                <wp:lineTo x="1641" y="11407"/>
                <wp:lineTo x="1641" y="12620"/>
                <wp:lineTo x="10800" y="15047"/>
                <wp:lineTo x="547" y="15533"/>
                <wp:lineTo x="547" y="16746"/>
                <wp:lineTo x="10800" y="18930"/>
                <wp:lineTo x="3691" y="19173"/>
                <wp:lineTo x="3691" y="20144"/>
                <wp:lineTo x="20780" y="20144"/>
                <wp:lineTo x="21053" y="19416"/>
                <wp:lineTo x="10800" y="18930"/>
                <wp:lineTo x="20233" y="16746"/>
                <wp:lineTo x="20233" y="15533"/>
                <wp:lineTo x="10800" y="15047"/>
                <wp:lineTo x="14765" y="12620"/>
                <wp:lineTo x="14765" y="11407"/>
                <wp:lineTo x="10800" y="11164"/>
                <wp:lineTo x="15038" y="8252"/>
                <wp:lineTo x="15038" y="7281"/>
                <wp:lineTo x="12577" y="7281"/>
                <wp:lineTo x="18456" y="4369"/>
                <wp:lineTo x="18319" y="3398"/>
                <wp:lineTo x="957" y="3398"/>
              </wp:wrapPolygon>
            </wp:wrapTight>
            <wp:docPr id="4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952143" w:rsidRDefault="00952143" w:rsidP="00952143">
      <w:pPr>
        <w:jc w:val="center"/>
        <w:rPr>
          <w:rFonts w:cs="Arial"/>
        </w:rPr>
      </w:pPr>
    </w:p>
    <w:p w:rsidR="00952143" w:rsidRDefault="00952143" w:rsidP="00952143">
      <w:pPr>
        <w:jc w:val="center"/>
        <w:rPr>
          <w:rFonts w:cs="Arial"/>
        </w:rPr>
      </w:pPr>
    </w:p>
    <w:p w:rsidR="00952143" w:rsidRDefault="00952143" w:rsidP="00952143">
      <w:pPr>
        <w:jc w:val="center"/>
        <w:rPr>
          <w:rFonts w:cs="Arial"/>
        </w:rPr>
      </w:pPr>
    </w:p>
    <w:p w:rsidR="00952143" w:rsidRDefault="00952143" w:rsidP="00952143">
      <w:pPr>
        <w:pStyle w:val="Textoindependiente"/>
        <w:rPr>
          <w:rFonts w:ascii="Tahoma" w:hAnsi="Tahoma" w:cs="Arial"/>
          <w:b/>
          <w:i/>
          <w:sz w:val="16"/>
          <w:szCs w:val="16"/>
        </w:rPr>
      </w:pPr>
    </w:p>
    <w:p w:rsidR="00952143" w:rsidRDefault="00952143" w:rsidP="00952143">
      <w:pPr>
        <w:pStyle w:val="Textoindependiente"/>
        <w:rPr>
          <w:rFonts w:ascii="Tahoma" w:hAnsi="Tahoma" w:cs="Arial"/>
          <w:b/>
          <w:i/>
          <w:sz w:val="16"/>
          <w:szCs w:val="16"/>
        </w:rPr>
      </w:pPr>
    </w:p>
    <w:p w:rsidR="00952143" w:rsidRDefault="00952143" w:rsidP="00952143">
      <w:pPr>
        <w:pStyle w:val="Textoindependiente"/>
        <w:rPr>
          <w:rFonts w:ascii="Tahoma" w:hAnsi="Tahoma" w:cs="Arial"/>
          <w:b/>
          <w:i/>
          <w:sz w:val="16"/>
          <w:szCs w:val="16"/>
        </w:rPr>
      </w:pPr>
    </w:p>
    <w:p w:rsidR="00952143" w:rsidRDefault="00952143" w:rsidP="00952143">
      <w:pPr>
        <w:pStyle w:val="Textoindependiente"/>
        <w:rPr>
          <w:rFonts w:ascii="Tahoma" w:hAnsi="Tahoma" w:cs="Arial"/>
          <w:b/>
          <w:i/>
          <w:sz w:val="16"/>
          <w:szCs w:val="16"/>
        </w:rPr>
      </w:pPr>
    </w:p>
    <w:p w:rsidR="00952143" w:rsidRDefault="00952143" w:rsidP="00952143">
      <w:pPr>
        <w:pStyle w:val="Textoindependiente"/>
        <w:rPr>
          <w:rFonts w:ascii="Tahoma" w:hAnsi="Tahoma" w:cs="Arial"/>
          <w:b/>
          <w:i/>
          <w:sz w:val="16"/>
          <w:szCs w:val="16"/>
        </w:rPr>
      </w:pPr>
    </w:p>
    <w:p w:rsidR="00952143" w:rsidRDefault="00952143" w:rsidP="00952143">
      <w:pPr>
        <w:pStyle w:val="Textoindependiente"/>
        <w:rPr>
          <w:rFonts w:ascii="Tahoma" w:hAnsi="Tahoma" w:cs="Arial"/>
          <w:b/>
          <w:i/>
          <w:sz w:val="16"/>
          <w:szCs w:val="16"/>
        </w:rPr>
      </w:pPr>
    </w:p>
    <w:p w:rsidR="00952143" w:rsidRDefault="00952143" w:rsidP="00952143">
      <w:pPr>
        <w:spacing w:line="240" w:lineRule="auto"/>
        <w:rPr>
          <w:rFonts w:ascii="Tahoma" w:hAnsi="Tahoma" w:cs="Arial"/>
          <w:b/>
          <w:i/>
          <w:sz w:val="16"/>
          <w:szCs w:val="16"/>
        </w:rPr>
      </w:pPr>
    </w:p>
    <w:p w:rsidR="00952143" w:rsidRDefault="00952143" w:rsidP="00952143">
      <w:pPr>
        <w:spacing w:line="240" w:lineRule="auto"/>
        <w:rPr>
          <w:rFonts w:ascii="Tahoma" w:hAnsi="Tahoma" w:cs="Arial"/>
          <w:b/>
          <w:i/>
          <w:sz w:val="16"/>
          <w:szCs w:val="16"/>
        </w:rPr>
      </w:pPr>
    </w:p>
    <w:p w:rsidR="00952143" w:rsidRDefault="00952143" w:rsidP="00952143"/>
    <w:p w:rsidR="00952143" w:rsidRDefault="00952143" w:rsidP="00952143"/>
    <w:p w:rsidR="00952143" w:rsidRDefault="00952143" w:rsidP="00952143"/>
    <w:p w:rsidR="00952143" w:rsidRDefault="00952143" w:rsidP="00952143"/>
    <w:p w:rsidR="00952143" w:rsidRDefault="00952143" w:rsidP="00952143"/>
    <w:p w:rsidR="00952143" w:rsidRDefault="00952143" w:rsidP="00952143"/>
    <w:p w:rsidR="00952143" w:rsidRDefault="00952143" w:rsidP="00952143"/>
    <w:p w:rsidR="00952143" w:rsidRDefault="00952143" w:rsidP="00952143">
      <w:pPr>
        <w:spacing w:line="240" w:lineRule="auto"/>
        <w:jc w:val="left"/>
        <w:rPr>
          <w:rFonts w:ascii="Tahoma" w:hAnsi="Tahoma" w:cs="Arial"/>
          <w:b/>
          <w:color w:val="000080"/>
        </w:rPr>
      </w:pPr>
      <w:r>
        <w:rPr>
          <w:rFonts w:ascii="Tahoma" w:hAnsi="Tahoma" w:cs="Arial"/>
          <w:b/>
          <w:color w:val="000080"/>
        </w:rPr>
        <w:br w:type="page"/>
      </w:r>
    </w:p>
    <w:p w:rsidR="00952143" w:rsidRDefault="00952143" w:rsidP="00952143">
      <w:pPr>
        <w:pStyle w:val="Ttulo1"/>
        <w:ind w:left="708" w:hanging="708"/>
        <w:rPr>
          <w:color w:val="1F497D" w:themeColor="text2"/>
          <w:sz w:val="26"/>
          <w:szCs w:val="26"/>
        </w:rPr>
      </w:pPr>
      <w:bookmarkStart w:id="339" w:name="_Toc450118929"/>
      <w:r>
        <w:rPr>
          <w:color w:val="1F497D" w:themeColor="text2"/>
          <w:sz w:val="26"/>
          <w:szCs w:val="26"/>
        </w:rPr>
        <w:lastRenderedPageBreak/>
        <w:t>5</w:t>
      </w:r>
      <w:r w:rsidRPr="007F1968">
        <w:rPr>
          <w:color w:val="1F497D" w:themeColor="text2"/>
          <w:sz w:val="26"/>
          <w:szCs w:val="26"/>
        </w:rPr>
        <w:t>.-</w:t>
      </w:r>
      <w:r w:rsidRPr="007F1968">
        <w:rPr>
          <w:color w:val="1F497D" w:themeColor="text2"/>
          <w:sz w:val="26"/>
          <w:szCs w:val="26"/>
        </w:rPr>
        <w:tab/>
      </w:r>
      <w:r>
        <w:rPr>
          <w:color w:val="1F497D" w:themeColor="text2"/>
          <w:sz w:val="26"/>
          <w:szCs w:val="26"/>
        </w:rPr>
        <w:t>ACTIVIDADES E IMPACTO DE LA INNOVACIÓN</w:t>
      </w:r>
      <w:bookmarkEnd w:id="339"/>
      <w:r w:rsidRPr="007F1968">
        <w:rPr>
          <w:color w:val="1F497D" w:themeColor="text2"/>
          <w:sz w:val="26"/>
          <w:szCs w:val="26"/>
        </w:rPr>
        <w:t xml:space="preserve"> </w:t>
      </w:r>
    </w:p>
    <w:p w:rsidR="00952143" w:rsidRDefault="00952143" w:rsidP="00952143">
      <w:pPr>
        <w:rPr>
          <w:lang w:eastAsia="es-ES"/>
        </w:rPr>
      </w:pPr>
    </w:p>
    <w:p w:rsidR="00952143" w:rsidRPr="00724B27" w:rsidRDefault="00952143" w:rsidP="00952143">
      <w:pPr>
        <w:pStyle w:val="Ttulo1"/>
        <w:ind w:left="708" w:hanging="708"/>
        <w:rPr>
          <w:color w:val="1F497D" w:themeColor="text2"/>
          <w:sz w:val="22"/>
          <w:szCs w:val="22"/>
        </w:rPr>
      </w:pPr>
      <w:bookmarkStart w:id="340" w:name="_Toc450118930"/>
      <w:r w:rsidRPr="00724B27">
        <w:rPr>
          <w:color w:val="1F497D" w:themeColor="text2"/>
          <w:sz w:val="22"/>
          <w:szCs w:val="22"/>
        </w:rPr>
        <w:t>5.1.-</w:t>
      </w:r>
      <w:r w:rsidRPr="00724B27">
        <w:rPr>
          <w:color w:val="1F497D" w:themeColor="text2"/>
          <w:sz w:val="22"/>
          <w:szCs w:val="22"/>
        </w:rPr>
        <w:tab/>
        <w:t>REALIZACIÓN DE ACTIVIDADES DE INNOVACIÓN</w:t>
      </w:r>
      <w:bookmarkEnd w:id="340"/>
      <w:r w:rsidRPr="00724B27">
        <w:rPr>
          <w:color w:val="1F497D" w:themeColor="text2"/>
          <w:sz w:val="22"/>
          <w:szCs w:val="22"/>
        </w:rPr>
        <w:t xml:space="preserve">  </w:t>
      </w:r>
    </w:p>
    <w:p w:rsidR="00952143" w:rsidRPr="00984488" w:rsidRDefault="00952143" w:rsidP="00952143">
      <w:pPr>
        <w:rPr>
          <w:lang w:eastAsia="es-ES"/>
        </w:rPr>
      </w:pPr>
    </w:p>
    <w:p w:rsidR="00952143" w:rsidRDefault="00952143" w:rsidP="00952143">
      <w:pPr>
        <w:pStyle w:val="Tabladeilustraciones"/>
        <w:tabs>
          <w:tab w:val="right" w:leader="dot" w:pos="9072"/>
        </w:tabs>
        <w:spacing w:line="240" w:lineRule="auto"/>
        <w:ind w:left="1134" w:hanging="1134"/>
        <w:rPr>
          <w:rFonts w:eastAsia="Times New Roman" w:cs="Arial"/>
          <w:szCs w:val="20"/>
          <w:lang w:eastAsia="es-ES"/>
        </w:rPr>
      </w:pPr>
    </w:p>
    <w:p w:rsidR="00952143" w:rsidRDefault="008D5779" w:rsidP="00952143">
      <w:pPr>
        <w:spacing w:line="240" w:lineRule="auto"/>
        <w:jc w:val="center"/>
        <w:rPr>
          <w:rFonts w:cs="Arial"/>
          <w:b/>
          <w:snapToGrid w:val="0"/>
          <w:color w:val="1F497D" w:themeColor="text2"/>
          <w:sz w:val="18"/>
          <w:szCs w:val="18"/>
          <w:lang w:val="es-ES_tradnl"/>
        </w:rPr>
      </w:pPr>
      <w:bookmarkStart w:id="341" w:name="_Toc450120189"/>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11</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REALIZACIÓN DE ACTIVIDADES DE INNOVACIÓN. 2014</w:t>
      </w:r>
      <w:bookmarkEnd w:id="341"/>
      <w:r w:rsidR="00952143">
        <w:rPr>
          <w:rFonts w:cs="Arial"/>
          <w:b/>
          <w:snapToGrid w:val="0"/>
          <w:color w:val="1F497D" w:themeColor="text2"/>
          <w:sz w:val="18"/>
          <w:szCs w:val="18"/>
          <w:lang w:val="es-ES_tradnl"/>
        </w:rPr>
        <w:t xml:space="preserve"> </w:t>
      </w:r>
    </w:p>
    <w:p w:rsidR="00952143" w:rsidRDefault="00952143" w:rsidP="00952143">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r w:rsidRPr="00A640AC">
        <w:rPr>
          <w:rFonts w:cs="Arial"/>
          <w:b/>
          <w:noProof/>
          <w:snapToGrid w:val="0"/>
          <w:color w:val="1F497D" w:themeColor="text2"/>
          <w:sz w:val="18"/>
          <w:szCs w:val="18"/>
          <w:lang w:eastAsia="es-ES"/>
        </w:rPr>
        <w:drawing>
          <wp:inline distT="0" distB="0" distL="0" distR="0">
            <wp:extent cx="4200525" cy="1704975"/>
            <wp:effectExtent l="0" t="0" r="0" b="0"/>
            <wp:docPr id="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52143" w:rsidRDefault="00952143" w:rsidP="00952143">
      <w:pPr>
        <w:spacing w:line="240" w:lineRule="auto"/>
        <w:jc w:val="center"/>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952143" w:rsidRPr="00135BA1" w:rsidRDefault="00952143" w:rsidP="00952143">
      <w:pPr>
        <w:spacing w:line="240" w:lineRule="auto"/>
        <w:jc w:val="center"/>
        <w:rPr>
          <w:rFonts w:eastAsia="Times New Roman" w:cs="Arial"/>
          <w:i/>
          <w:sz w:val="16"/>
          <w:szCs w:val="20"/>
          <w:lang w:val="es-ES_tradnl" w:eastAsia="es-ES"/>
        </w:rPr>
      </w:pPr>
    </w:p>
    <w:p w:rsidR="00952143" w:rsidRDefault="00952143" w:rsidP="00952143">
      <w:pPr>
        <w:spacing w:line="240" w:lineRule="auto"/>
        <w:jc w:val="left"/>
        <w:rPr>
          <w:rFonts w:eastAsia="Times New Roman" w:cs="Arial"/>
          <w:i/>
          <w:sz w:val="16"/>
          <w:szCs w:val="20"/>
          <w:lang w:val="es-ES_tradnl" w:eastAsia="es-ES"/>
        </w:rPr>
      </w:pPr>
      <w:r>
        <w:rPr>
          <w:rFonts w:eastAsia="Times New Roman" w:cs="Arial"/>
          <w:i/>
          <w:sz w:val="16"/>
          <w:szCs w:val="20"/>
          <w:lang w:val="es-ES_tradnl" w:eastAsia="es-ES"/>
        </w:rPr>
        <w:t>* Incluye los establecimientos con innovación tecnológica y/o innovación de producto y proceso</w:t>
      </w:r>
    </w:p>
    <w:p w:rsidR="00952143" w:rsidRDefault="00952143" w:rsidP="00952143">
      <w:pPr>
        <w:spacing w:line="240" w:lineRule="auto"/>
        <w:jc w:val="left"/>
        <w:rPr>
          <w:rFonts w:cs="Arial"/>
          <w:b/>
          <w:snapToGrid w:val="0"/>
          <w:color w:val="1F497D" w:themeColor="text2"/>
          <w:sz w:val="18"/>
          <w:szCs w:val="18"/>
          <w:lang w:val="es-ES_tradnl"/>
        </w:rPr>
      </w:pPr>
      <w:r>
        <w:rPr>
          <w:rFonts w:eastAsia="Times New Roman" w:cs="Arial"/>
          <w:i/>
          <w:sz w:val="16"/>
          <w:szCs w:val="20"/>
          <w:lang w:val="es-ES_tradnl" w:eastAsia="es-ES"/>
        </w:rPr>
        <w:t>**Incluye</w:t>
      </w:r>
      <w:r w:rsidRPr="00900456">
        <w:rPr>
          <w:rFonts w:eastAsia="Times New Roman" w:cs="Arial"/>
          <w:i/>
          <w:sz w:val="16"/>
          <w:szCs w:val="20"/>
          <w:lang w:val="es-ES_tradnl" w:eastAsia="es-ES"/>
        </w:rPr>
        <w:t xml:space="preserve"> los establecimientos con innova</w:t>
      </w:r>
      <w:r>
        <w:rPr>
          <w:rFonts w:eastAsia="Times New Roman" w:cs="Arial"/>
          <w:i/>
          <w:sz w:val="16"/>
          <w:szCs w:val="20"/>
          <w:lang w:val="es-ES_tradnl" w:eastAsia="es-ES"/>
        </w:rPr>
        <w:t>ción tecnológica e innovación no</w:t>
      </w:r>
      <w:r w:rsidRPr="00900456">
        <w:rPr>
          <w:rFonts w:eastAsia="Times New Roman" w:cs="Arial"/>
          <w:i/>
          <w:sz w:val="16"/>
          <w:szCs w:val="20"/>
          <w:lang w:val="es-ES_tradnl" w:eastAsia="es-ES"/>
        </w:rPr>
        <w:t xml:space="preserve"> tecnológica. </w:t>
      </w: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8D5779" w:rsidP="00952143">
      <w:pPr>
        <w:spacing w:line="240" w:lineRule="auto"/>
        <w:jc w:val="center"/>
        <w:rPr>
          <w:rFonts w:cs="Arial"/>
          <w:b/>
          <w:snapToGrid w:val="0"/>
          <w:color w:val="1F497D" w:themeColor="text2"/>
          <w:sz w:val="18"/>
          <w:szCs w:val="18"/>
          <w:lang w:val="es-ES_tradnl"/>
        </w:rPr>
      </w:pPr>
      <w:bookmarkStart w:id="342" w:name="_Toc450119770"/>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10</w:t>
      </w:r>
      <w:r w:rsidR="00771A61" w:rsidRPr="008D5779">
        <w:rPr>
          <w:rFonts w:cs="Arial"/>
          <w:b/>
          <w:bCs/>
          <w:snapToGrid w:val="0"/>
          <w:color w:val="1F497D" w:themeColor="text2"/>
          <w:sz w:val="18"/>
          <w:szCs w:val="18"/>
          <w:lang w:val="es-ES_tradnl"/>
        </w:rPr>
        <w:fldChar w:fldCharType="end"/>
      </w:r>
      <w:r w:rsidR="00537ABD">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 xml:space="preserve"> REALIZACIÓN DE ACTIVIDADES DE INNOVACIÓN POR TERRITORIO HISTÓRICO. 2014</w:t>
      </w:r>
      <w:bookmarkEnd w:id="342"/>
      <w:r w:rsidR="00952143">
        <w:rPr>
          <w:rFonts w:cs="Arial"/>
          <w:b/>
          <w:snapToGrid w:val="0"/>
          <w:color w:val="1F497D" w:themeColor="text2"/>
          <w:sz w:val="18"/>
          <w:szCs w:val="18"/>
          <w:lang w:val="es-ES_tradnl"/>
        </w:rPr>
        <w:t xml:space="preserve"> </w:t>
      </w:r>
    </w:p>
    <w:p w:rsidR="00952143" w:rsidRDefault="00952143" w:rsidP="00952143">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677"/>
        <w:gridCol w:w="1067"/>
        <w:gridCol w:w="1066"/>
        <w:gridCol w:w="1066"/>
        <w:gridCol w:w="1064"/>
      </w:tblGrid>
      <w:tr w:rsidR="00952143" w:rsidRPr="00F4159C" w:rsidTr="00D86960">
        <w:trPr>
          <w:jc w:val="center"/>
        </w:trPr>
        <w:tc>
          <w:tcPr>
            <w:tcW w:w="28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rPr>
                <w:rFonts w:cs="Arial"/>
                <w:b/>
                <w:bCs/>
                <w:sz w:val="16"/>
                <w:szCs w:val="16"/>
              </w:rPr>
            </w:pP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D508DF" w:rsidP="00D86960">
            <w:pPr>
              <w:spacing w:line="240" w:lineRule="exact"/>
              <w:jc w:val="center"/>
              <w:rPr>
                <w:rFonts w:cs="Arial"/>
                <w:b/>
                <w:bCs/>
                <w:sz w:val="16"/>
                <w:szCs w:val="16"/>
                <w:lang w:val="en-GB"/>
              </w:rPr>
            </w:pPr>
            <w:r>
              <w:rPr>
                <w:rFonts w:cs="Arial"/>
                <w:b/>
                <w:bCs/>
                <w:sz w:val="16"/>
                <w:szCs w:val="16"/>
                <w:lang w:val="en-GB"/>
              </w:rPr>
              <w:t>TOTAL</w:t>
            </w:r>
          </w:p>
          <w:p w:rsidR="00952143" w:rsidRPr="00F4159C" w:rsidRDefault="00952143" w:rsidP="00D86960">
            <w:pPr>
              <w:spacing w:line="240" w:lineRule="exact"/>
              <w:jc w:val="center"/>
              <w:rPr>
                <w:rFonts w:cs="Arial"/>
                <w:b/>
                <w:bCs/>
                <w:sz w:val="16"/>
                <w:szCs w:val="16"/>
                <w:lang w:val="en-GB"/>
              </w:rPr>
            </w:pPr>
            <w:r>
              <w:rPr>
                <w:rFonts w:cs="Arial"/>
                <w:b/>
                <w:bCs/>
                <w:sz w:val="16"/>
                <w:szCs w:val="16"/>
                <w:lang w:val="en-GB"/>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proofErr w:type="spellStart"/>
            <w:r>
              <w:rPr>
                <w:rFonts w:cs="Arial"/>
                <w:b/>
                <w:bCs/>
                <w:sz w:val="16"/>
                <w:szCs w:val="16"/>
                <w:lang w:val="en-GB"/>
              </w:rPr>
              <w:t>Álava</w:t>
            </w:r>
            <w:proofErr w:type="spellEnd"/>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proofErr w:type="spellStart"/>
            <w:r>
              <w:rPr>
                <w:rFonts w:cs="Arial"/>
                <w:b/>
                <w:bCs/>
                <w:sz w:val="16"/>
                <w:szCs w:val="16"/>
                <w:lang w:val="en-GB"/>
              </w:rPr>
              <w:t>Bizkaia</w:t>
            </w:r>
            <w:proofErr w:type="spellEnd"/>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535"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952143" w:rsidRDefault="00952143" w:rsidP="00D86960">
            <w:pPr>
              <w:spacing w:line="240" w:lineRule="exact"/>
              <w:jc w:val="center"/>
              <w:rPr>
                <w:rFonts w:cs="Arial"/>
                <w:b/>
                <w:bCs/>
                <w:sz w:val="16"/>
                <w:szCs w:val="16"/>
                <w:lang w:val="en-GB"/>
              </w:rPr>
            </w:pPr>
            <w:proofErr w:type="spellStart"/>
            <w:r>
              <w:rPr>
                <w:rFonts w:cs="Arial"/>
                <w:b/>
                <w:bCs/>
                <w:sz w:val="16"/>
                <w:szCs w:val="16"/>
                <w:lang w:val="en-GB"/>
              </w:rPr>
              <w:t>Gipuzkoa</w:t>
            </w:r>
            <w:proofErr w:type="spellEnd"/>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r>
      <w:tr w:rsidR="00952143" w:rsidRPr="00F4159C" w:rsidTr="00D86960">
        <w:trPr>
          <w:jc w:val="center"/>
        </w:trPr>
        <w:tc>
          <w:tcPr>
            <w:tcW w:w="2856" w:type="pct"/>
            <w:tcBorders>
              <w:top w:val="single" w:sz="4" w:space="0" w:color="BFBFBF" w:themeColor="background1" w:themeShade="BF"/>
              <w:right w:val="single" w:sz="4" w:space="0" w:color="BFBFBF" w:themeColor="background1" w:themeShade="BF"/>
            </w:tcBorders>
            <w:noWrap/>
          </w:tcPr>
          <w:p w:rsidR="00952143" w:rsidRPr="005B1DE0" w:rsidRDefault="00952143" w:rsidP="00D86960">
            <w:pPr>
              <w:spacing w:line="240" w:lineRule="exact"/>
              <w:jc w:val="left"/>
              <w:rPr>
                <w:rFonts w:cs="Arial"/>
                <w:b/>
                <w:sz w:val="16"/>
                <w:szCs w:val="16"/>
              </w:rPr>
            </w:pPr>
            <w:r>
              <w:rPr>
                <w:rFonts w:cs="Arial"/>
                <w:b/>
                <w:sz w:val="16"/>
                <w:szCs w:val="16"/>
              </w:rPr>
              <w:t>% INNOVACIÓN ECONOMÍA SOCIAL</w:t>
            </w:r>
          </w:p>
        </w:tc>
        <w:tc>
          <w:tcPr>
            <w:tcW w:w="537" w:type="pct"/>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21,6</w:t>
            </w:r>
          </w:p>
        </w:tc>
        <w:tc>
          <w:tcPr>
            <w:tcW w:w="536" w:type="pct"/>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16,7</w:t>
            </w:r>
          </w:p>
        </w:tc>
        <w:tc>
          <w:tcPr>
            <w:tcW w:w="536" w:type="pct"/>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22,3</w:t>
            </w:r>
          </w:p>
        </w:tc>
        <w:tc>
          <w:tcPr>
            <w:tcW w:w="535" w:type="pct"/>
            <w:tcBorders>
              <w:top w:val="single" w:sz="4" w:space="0" w:color="BFBFBF" w:themeColor="background1" w:themeShade="BF"/>
              <w:right w:val="nil"/>
            </w:tcBorders>
          </w:tcPr>
          <w:p w:rsidR="00952143" w:rsidRPr="00EE16BE" w:rsidRDefault="00952143" w:rsidP="00D86960">
            <w:pPr>
              <w:spacing w:line="240" w:lineRule="exact"/>
              <w:ind w:right="170"/>
              <w:jc w:val="right"/>
              <w:rPr>
                <w:rFonts w:cs="Arial"/>
                <w:bCs/>
                <w:sz w:val="16"/>
                <w:szCs w:val="16"/>
              </w:rPr>
            </w:pPr>
            <w:r>
              <w:rPr>
                <w:rFonts w:cs="Arial"/>
                <w:bCs/>
                <w:sz w:val="16"/>
                <w:szCs w:val="16"/>
              </w:rPr>
              <w:t>22,8</w:t>
            </w:r>
          </w:p>
        </w:tc>
      </w:tr>
      <w:tr w:rsidR="00952143" w:rsidRPr="00F4159C" w:rsidTr="00D86960">
        <w:trPr>
          <w:jc w:val="center"/>
        </w:trPr>
        <w:tc>
          <w:tcPr>
            <w:tcW w:w="2856" w:type="pct"/>
            <w:tcBorders>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b/>
                <w:sz w:val="16"/>
                <w:szCs w:val="16"/>
              </w:rPr>
              <w:t>% INNOVACIÓN ECONOMÍA CAE</w:t>
            </w:r>
            <w:r>
              <w:rPr>
                <w:rFonts w:cs="Arial"/>
                <w:sz w:val="16"/>
                <w:szCs w:val="16"/>
              </w:rPr>
              <w:t xml:space="preserve"> </w:t>
            </w:r>
          </w:p>
        </w:tc>
        <w:tc>
          <w:tcPr>
            <w:tcW w:w="537"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17,0</w:t>
            </w: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15,6</w:t>
            </w: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15,8</w:t>
            </w:r>
          </w:p>
        </w:tc>
        <w:tc>
          <w:tcPr>
            <w:tcW w:w="535" w:type="pct"/>
            <w:tcBorders>
              <w:bottom w:val="single" w:sz="4" w:space="0" w:color="BFBFBF" w:themeColor="background1" w:themeShade="BF"/>
              <w:right w:val="nil"/>
            </w:tcBorders>
          </w:tcPr>
          <w:p w:rsidR="00952143" w:rsidRDefault="00952143" w:rsidP="00D86960">
            <w:pPr>
              <w:spacing w:line="240" w:lineRule="exact"/>
              <w:ind w:right="170"/>
              <w:jc w:val="right"/>
              <w:rPr>
                <w:rFonts w:cs="Arial"/>
                <w:bCs/>
                <w:sz w:val="16"/>
                <w:szCs w:val="16"/>
              </w:rPr>
            </w:pPr>
            <w:r>
              <w:rPr>
                <w:rFonts w:cs="Arial"/>
                <w:bCs/>
                <w:sz w:val="16"/>
                <w:szCs w:val="16"/>
              </w:rPr>
              <w:t>19,5</w:t>
            </w:r>
          </w:p>
        </w:tc>
      </w:tr>
    </w:tbl>
    <w:p w:rsidR="00952143" w:rsidRDefault="00952143" w:rsidP="00952143">
      <w:pPr>
        <w:spacing w:line="240" w:lineRule="auto"/>
        <w:jc w:val="center"/>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8D5779" w:rsidP="00952143">
      <w:pPr>
        <w:spacing w:line="240" w:lineRule="auto"/>
        <w:jc w:val="center"/>
        <w:rPr>
          <w:rFonts w:cs="Arial"/>
          <w:b/>
          <w:snapToGrid w:val="0"/>
          <w:color w:val="1F497D" w:themeColor="text2"/>
          <w:sz w:val="18"/>
          <w:szCs w:val="18"/>
          <w:lang w:val="es-ES_tradnl"/>
        </w:rPr>
      </w:pPr>
      <w:bookmarkStart w:id="343" w:name="_Toc450120190"/>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12</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REALIZACIÓN DE ACTIVIDADES DE INNOVACIÓN POR SECTOR DE ACTIVIDAD. 2014</w:t>
      </w:r>
      <w:bookmarkEnd w:id="343"/>
      <w:r w:rsidR="00952143">
        <w:rPr>
          <w:rFonts w:cs="Arial"/>
          <w:b/>
          <w:snapToGrid w:val="0"/>
          <w:color w:val="1F497D" w:themeColor="text2"/>
          <w:sz w:val="18"/>
          <w:szCs w:val="18"/>
          <w:lang w:val="es-ES_tradnl"/>
        </w:rPr>
        <w:t xml:space="preserve"> </w:t>
      </w:r>
    </w:p>
    <w:p w:rsidR="00952143" w:rsidRDefault="00952143" w:rsidP="00952143">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r w:rsidRPr="008843E4">
        <w:rPr>
          <w:rFonts w:cs="Arial"/>
          <w:b/>
          <w:noProof/>
          <w:snapToGrid w:val="0"/>
          <w:color w:val="1F497D" w:themeColor="text2"/>
          <w:sz w:val="18"/>
          <w:szCs w:val="18"/>
          <w:lang w:eastAsia="es-ES"/>
        </w:rPr>
        <w:drawing>
          <wp:inline distT="0" distB="0" distL="0" distR="0">
            <wp:extent cx="4962525" cy="1743075"/>
            <wp:effectExtent l="0" t="0" r="0" b="0"/>
            <wp:docPr id="4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52143" w:rsidRDefault="00952143" w:rsidP="00952143">
      <w:pPr>
        <w:spacing w:line="240" w:lineRule="auto"/>
        <w:jc w:val="center"/>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952143" w:rsidRDefault="00952143" w:rsidP="00952143">
      <w:pPr>
        <w:spacing w:line="240" w:lineRule="auto"/>
        <w:jc w:val="center"/>
        <w:rPr>
          <w:rFonts w:cs="Arial"/>
          <w:b/>
          <w:snapToGrid w:val="0"/>
          <w:color w:val="1F497D" w:themeColor="text2"/>
          <w:sz w:val="18"/>
          <w:szCs w:val="18"/>
          <w:lang w:val="es-ES_tradnl"/>
        </w:rPr>
      </w:pPr>
    </w:p>
    <w:p w:rsidR="00D508DF" w:rsidRDefault="00D508DF">
      <w:pPr>
        <w:spacing w:after="200" w:line="276" w:lineRule="auto"/>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952143" w:rsidRDefault="008D5779" w:rsidP="00952143">
      <w:pPr>
        <w:spacing w:line="240" w:lineRule="auto"/>
        <w:jc w:val="center"/>
        <w:rPr>
          <w:rFonts w:cs="Arial"/>
          <w:b/>
          <w:snapToGrid w:val="0"/>
          <w:color w:val="1F497D" w:themeColor="text2"/>
          <w:sz w:val="18"/>
          <w:szCs w:val="18"/>
          <w:lang w:val="es-ES_tradnl"/>
        </w:rPr>
      </w:pPr>
      <w:bookmarkStart w:id="344" w:name="_Toc450119771"/>
      <w:r w:rsidRPr="008D5779">
        <w:rPr>
          <w:rFonts w:cs="Arial"/>
          <w:b/>
          <w:bCs/>
          <w:snapToGrid w:val="0"/>
          <w:color w:val="1F497D" w:themeColor="text2"/>
          <w:sz w:val="18"/>
          <w:szCs w:val="18"/>
          <w:lang w:val="es-ES_tradnl"/>
        </w:rPr>
        <w:lastRenderedPageBreak/>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11</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REALIZACIÓN DE ACTIVIDADES DE INNOVACIÓN POR TAMAÑO EMPRESARIAL. 2014</w:t>
      </w:r>
      <w:bookmarkEnd w:id="344"/>
      <w:r w:rsidR="00952143">
        <w:rPr>
          <w:rFonts w:cs="Arial"/>
          <w:b/>
          <w:snapToGrid w:val="0"/>
          <w:color w:val="1F497D" w:themeColor="text2"/>
          <w:sz w:val="18"/>
          <w:szCs w:val="18"/>
          <w:lang w:val="es-ES_tradnl"/>
        </w:rPr>
        <w:t xml:space="preserve"> </w:t>
      </w:r>
    </w:p>
    <w:p w:rsidR="00952143" w:rsidRDefault="00952143" w:rsidP="00952143">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p w:rsidR="00952143" w:rsidRDefault="00952143" w:rsidP="00952143">
      <w:pPr>
        <w:spacing w:line="240" w:lineRule="auto"/>
        <w:jc w:val="center"/>
        <w:rPr>
          <w:rFonts w:cs="Arial"/>
          <w:b/>
          <w:snapToGrid w:val="0"/>
          <w:color w:val="1F497D" w:themeColor="text2"/>
          <w:sz w:val="18"/>
          <w:szCs w:val="18"/>
          <w:lang w:val="es-ES_tradnl"/>
        </w:rPr>
      </w:pPr>
    </w:p>
    <w:tbl>
      <w:tblPr>
        <w:tblW w:w="9940" w:type="dxa"/>
        <w:jc w:val="center"/>
        <w:tblBorders>
          <w:bottom w:val="single" w:sz="4" w:space="0" w:color="BFBFBF" w:themeColor="background1" w:themeShade="BF"/>
        </w:tblBorders>
        <w:tblLayout w:type="fixed"/>
        <w:tblLook w:val="04A0" w:firstRow="1" w:lastRow="0" w:firstColumn="1" w:lastColumn="0" w:noHBand="0" w:noVBand="1"/>
      </w:tblPr>
      <w:tblGrid>
        <w:gridCol w:w="2952"/>
        <w:gridCol w:w="803"/>
        <w:gridCol w:w="1056"/>
        <w:gridCol w:w="829"/>
        <w:gridCol w:w="833"/>
        <w:gridCol w:w="829"/>
        <w:gridCol w:w="829"/>
        <w:gridCol w:w="829"/>
        <w:gridCol w:w="980"/>
      </w:tblGrid>
      <w:tr w:rsidR="00952143" w:rsidTr="00D86960">
        <w:trPr>
          <w:trHeight w:val="100"/>
          <w:jc w:val="center"/>
        </w:trPr>
        <w:tc>
          <w:tcPr>
            <w:tcW w:w="1485"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44494A" w:rsidRDefault="00952143" w:rsidP="00D86960">
            <w:pPr>
              <w:spacing w:line="240" w:lineRule="auto"/>
              <w:jc w:val="center"/>
              <w:rPr>
                <w:rFonts w:cs="Arial"/>
                <w:b/>
                <w:bCs/>
                <w:sz w:val="16"/>
                <w:szCs w:val="16"/>
              </w:rPr>
            </w:pPr>
            <w:r w:rsidRPr="0044494A">
              <w:rPr>
                <w:rFonts w:cs="Arial"/>
                <w:b/>
                <w:bCs/>
                <w:sz w:val="16"/>
                <w:szCs w:val="16"/>
              </w:rPr>
              <w:t> </w:t>
            </w:r>
          </w:p>
        </w:tc>
        <w:tc>
          <w:tcPr>
            <w:tcW w:w="40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TOTAL</w:t>
            </w:r>
          </w:p>
        </w:tc>
        <w:tc>
          <w:tcPr>
            <w:tcW w:w="53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Menos</w:t>
            </w:r>
            <w:r>
              <w:rPr>
                <w:rFonts w:cs="Arial"/>
                <w:b/>
                <w:bCs/>
                <w:sz w:val="16"/>
                <w:szCs w:val="16"/>
              </w:rPr>
              <w:t xml:space="preserve"> </w:t>
            </w:r>
            <w:r w:rsidRPr="0044494A">
              <w:rPr>
                <w:rFonts w:cs="Arial"/>
                <w:b/>
                <w:bCs/>
                <w:sz w:val="16"/>
                <w:szCs w:val="16"/>
              </w:rPr>
              <w:t>de 6</w:t>
            </w:r>
            <w:r>
              <w:rPr>
                <w:rFonts w:cs="Arial"/>
                <w:b/>
                <w:bCs/>
                <w:sz w:val="16"/>
                <w:szCs w:val="16"/>
              </w:rPr>
              <w:t xml:space="preserve"> </w:t>
            </w:r>
            <w:r w:rsidRPr="0044494A">
              <w:rPr>
                <w:rFonts w:cs="Arial"/>
                <w:b/>
                <w:bCs/>
                <w:sz w:val="16"/>
                <w:szCs w:val="16"/>
              </w:rPr>
              <w:t>Empleos</w:t>
            </w:r>
          </w:p>
        </w:tc>
        <w:tc>
          <w:tcPr>
            <w:tcW w:w="41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15</w:t>
            </w:r>
          </w:p>
        </w:tc>
        <w:tc>
          <w:tcPr>
            <w:tcW w:w="41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16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50</w:t>
            </w:r>
          </w:p>
        </w:tc>
        <w:tc>
          <w:tcPr>
            <w:tcW w:w="41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51 a</w:t>
            </w:r>
          </w:p>
          <w:p w:rsidR="00952143" w:rsidRPr="0044494A" w:rsidRDefault="00952143" w:rsidP="00D86960">
            <w:pPr>
              <w:spacing w:line="240" w:lineRule="auto"/>
              <w:jc w:val="center"/>
              <w:rPr>
                <w:rFonts w:cs="Arial"/>
                <w:b/>
                <w:bCs/>
                <w:sz w:val="16"/>
                <w:szCs w:val="16"/>
              </w:rPr>
            </w:pPr>
            <w:r w:rsidRPr="0044494A">
              <w:rPr>
                <w:rFonts w:cs="Arial"/>
                <w:b/>
                <w:bCs/>
                <w:sz w:val="16"/>
                <w:szCs w:val="16"/>
              </w:rPr>
              <w:t>100</w:t>
            </w:r>
          </w:p>
        </w:tc>
        <w:tc>
          <w:tcPr>
            <w:tcW w:w="41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101 a</w:t>
            </w:r>
            <w:r>
              <w:rPr>
                <w:rFonts w:cs="Arial"/>
                <w:b/>
                <w:bCs/>
                <w:sz w:val="16"/>
                <w:szCs w:val="16"/>
              </w:rPr>
              <w:t xml:space="preserve"> </w:t>
            </w:r>
            <w:r w:rsidRPr="0044494A">
              <w:rPr>
                <w:rFonts w:cs="Arial"/>
                <w:b/>
                <w:bCs/>
                <w:sz w:val="16"/>
                <w:szCs w:val="16"/>
              </w:rPr>
              <w:t>200</w:t>
            </w:r>
          </w:p>
        </w:tc>
        <w:tc>
          <w:tcPr>
            <w:tcW w:w="41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De 201 a 500</w:t>
            </w:r>
          </w:p>
        </w:tc>
        <w:tc>
          <w:tcPr>
            <w:tcW w:w="493" w:type="pct"/>
            <w:tcBorders>
              <w:top w:val="single" w:sz="4" w:space="0" w:color="BFBFBF" w:themeColor="background1" w:themeShade="BF"/>
              <w:left w:val="single" w:sz="4" w:space="0" w:color="BFBFBF" w:themeColor="background1" w:themeShade="BF"/>
              <w:bottom w:val="nil"/>
            </w:tcBorders>
            <w:shd w:val="clear" w:color="auto" w:fill="DBE5F1" w:themeFill="accent1" w:themeFillTint="33"/>
            <w:vAlign w:val="center"/>
          </w:tcPr>
          <w:p w:rsidR="00952143" w:rsidRPr="0044494A" w:rsidRDefault="00952143" w:rsidP="00D86960">
            <w:pPr>
              <w:spacing w:line="240" w:lineRule="auto"/>
              <w:jc w:val="center"/>
              <w:rPr>
                <w:rFonts w:cs="Arial"/>
                <w:b/>
                <w:bCs/>
                <w:sz w:val="16"/>
                <w:szCs w:val="16"/>
              </w:rPr>
            </w:pPr>
            <w:r w:rsidRPr="0044494A">
              <w:rPr>
                <w:rFonts w:cs="Arial"/>
                <w:b/>
                <w:bCs/>
                <w:sz w:val="16"/>
                <w:szCs w:val="16"/>
              </w:rPr>
              <w:t>Más de 500</w:t>
            </w:r>
            <w:r>
              <w:rPr>
                <w:rFonts w:cs="Arial"/>
                <w:b/>
                <w:bCs/>
                <w:sz w:val="16"/>
                <w:szCs w:val="16"/>
              </w:rPr>
              <w:t xml:space="preserve"> empleos</w:t>
            </w:r>
          </w:p>
        </w:tc>
      </w:tr>
      <w:tr w:rsidR="00952143" w:rsidTr="00D86960">
        <w:trPr>
          <w:jc w:val="center"/>
        </w:trPr>
        <w:tc>
          <w:tcPr>
            <w:tcW w:w="1485"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952143" w:rsidRDefault="00952143" w:rsidP="00D86960">
            <w:pPr>
              <w:spacing w:line="240" w:lineRule="auto"/>
              <w:jc w:val="left"/>
              <w:rPr>
                <w:rFonts w:cs="Arial"/>
                <w:b/>
                <w:bCs/>
                <w:color w:val="000080"/>
                <w:sz w:val="16"/>
                <w:szCs w:val="16"/>
              </w:rPr>
            </w:pPr>
          </w:p>
        </w:tc>
        <w:tc>
          <w:tcPr>
            <w:tcW w:w="404"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53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1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c>
          <w:tcPr>
            <w:tcW w:w="493" w:type="pct"/>
            <w:tcBorders>
              <w:top w:val="nil"/>
              <w:left w:val="single" w:sz="4" w:space="0" w:color="BFBFBF" w:themeColor="background1" w:themeShade="BF"/>
              <w:bottom w:val="single" w:sz="4" w:space="0" w:color="BFBFBF" w:themeColor="background1" w:themeShade="BF"/>
            </w:tcBorders>
            <w:shd w:val="clear" w:color="auto" w:fill="DBE5F1" w:themeFill="accent1" w:themeFillTint="33"/>
          </w:tcPr>
          <w:p w:rsidR="00952143" w:rsidRPr="009C4E1F" w:rsidRDefault="00952143" w:rsidP="00D86960">
            <w:pPr>
              <w:spacing w:line="240" w:lineRule="auto"/>
              <w:jc w:val="center"/>
              <w:rPr>
                <w:rFonts w:cs="Arial"/>
                <w:b/>
                <w:sz w:val="16"/>
                <w:szCs w:val="16"/>
              </w:rPr>
            </w:pPr>
            <w:r w:rsidRPr="009C4E1F">
              <w:rPr>
                <w:rFonts w:cs="Arial"/>
                <w:b/>
                <w:sz w:val="16"/>
                <w:szCs w:val="16"/>
                <w:lang w:val="es-ES_tradnl"/>
              </w:rPr>
              <w:t>%</w:t>
            </w:r>
          </w:p>
        </w:tc>
      </w:tr>
      <w:tr w:rsidR="00952143" w:rsidTr="00D86960">
        <w:trPr>
          <w:jc w:val="center"/>
        </w:trPr>
        <w:tc>
          <w:tcPr>
            <w:tcW w:w="1485" w:type="pct"/>
            <w:tcBorders>
              <w:top w:val="nil"/>
              <w:bottom w:val="single" w:sz="4" w:space="0" w:color="BFBFBF" w:themeColor="background1" w:themeShade="BF"/>
              <w:right w:val="single" w:sz="4" w:space="0" w:color="BFBFBF" w:themeColor="background1" w:themeShade="BF"/>
            </w:tcBorders>
          </w:tcPr>
          <w:p w:rsidR="00952143" w:rsidRDefault="00952143" w:rsidP="00D86960">
            <w:pPr>
              <w:spacing w:line="240" w:lineRule="auto"/>
              <w:jc w:val="left"/>
              <w:rPr>
                <w:rFonts w:cs="Arial"/>
                <w:sz w:val="16"/>
                <w:szCs w:val="16"/>
              </w:rPr>
            </w:pPr>
            <w:r>
              <w:rPr>
                <w:rFonts w:cs="Arial"/>
                <w:b/>
                <w:sz w:val="16"/>
                <w:szCs w:val="16"/>
              </w:rPr>
              <w:t>% INNOVACIÓN ECONOMÍA SOCIAL</w:t>
            </w:r>
          </w:p>
        </w:tc>
        <w:tc>
          <w:tcPr>
            <w:tcW w:w="404"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9B7268" w:rsidRDefault="00952143" w:rsidP="00D86960">
            <w:pPr>
              <w:spacing w:line="240" w:lineRule="auto"/>
              <w:ind w:right="170"/>
              <w:jc w:val="right"/>
              <w:rPr>
                <w:rFonts w:cs="Arial"/>
                <w:sz w:val="16"/>
                <w:szCs w:val="16"/>
              </w:rPr>
            </w:pPr>
            <w:r>
              <w:rPr>
                <w:rFonts w:cs="Arial"/>
                <w:sz w:val="16"/>
                <w:szCs w:val="16"/>
              </w:rPr>
              <w:t>21,6</w:t>
            </w:r>
          </w:p>
        </w:tc>
        <w:tc>
          <w:tcPr>
            <w:tcW w:w="53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5D09C2" w:rsidRDefault="00952143" w:rsidP="00D86960">
            <w:pPr>
              <w:spacing w:line="240" w:lineRule="auto"/>
              <w:ind w:right="170"/>
              <w:jc w:val="right"/>
              <w:rPr>
                <w:rFonts w:cs="Arial"/>
                <w:sz w:val="16"/>
                <w:szCs w:val="16"/>
              </w:rPr>
            </w:pPr>
            <w:r w:rsidRPr="005D09C2">
              <w:rPr>
                <w:rFonts w:cs="Arial"/>
                <w:sz w:val="16"/>
                <w:szCs w:val="16"/>
              </w:rPr>
              <w:t>11,4</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5D09C2" w:rsidRDefault="00952143" w:rsidP="00D86960">
            <w:pPr>
              <w:spacing w:line="240" w:lineRule="auto"/>
              <w:ind w:right="170"/>
              <w:jc w:val="right"/>
              <w:rPr>
                <w:rFonts w:cs="Arial"/>
                <w:sz w:val="16"/>
                <w:szCs w:val="16"/>
              </w:rPr>
            </w:pPr>
            <w:r w:rsidRPr="005D09C2">
              <w:rPr>
                <w:rFonts w:cs="Arial"/>
                <w:sz w:val="16"/>
                <w:szCs w:val="16"/>
              </w:rPr>
              <w:t>25,7</w:t>
            </w:r>
          </w:p>
        </w:tc>
        <w:tc>
          <w:tcPr>
            <w:tcW w:w="41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5D09C2" w:rsidRDefault="00952143" w:rsidP="00D86960">
            <w:pPr>
              <w:spacing w:line="240" w:lineRule="auto"/>
              <w:ind w:right="170"/>
              <w:jc w:val="right"/>
              <w:rPr>
                <w:rFonts w:cs="Arial"/>
                <w:sz w:val="16"/>
                <w:szCs w:val="16"/>
              </w:rPr>
            </w:pPr>
            <w:r w:rsidRPr="005D09C2">
              <w:rPr>
                <w:rFonts w:cs="Arial"/>
                <w:sz w:val="16"/>
                <w:szCs w:val="16"/>
              </w:rPr>
              <w:t>43,9</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5D09C2" w:rsidRDefault="00952143" w:rsidP="00D86960">
            <w:pPr>
              <w:spacing w:line="240" w:lineRule="auto"/>
              <w:ind w:right="170"/>
              <w:jc w:val="right"/>
              <w:rPr>
                <w:rFonts w:cs="Arial"/>
                <w:sz w:val="16"/>
                <w:szCs w:val="16"/>
              </w:rPr>
            </w:pPr>
            <w:r w:rsidRPr="005D09C2">
              <w:rPr>
                <w:rFonts w:cs="Arial"/>
                <w:sz w:val="16"/>
                <w:szCs w:val="16"/>
              </w:rPr>
              <w:t>65,1</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5D09C2" w:rsidRDefault="00952143" w:rsidP="00D86960">
            <w:pPr>
              <w:spacing w:line="240" w:lineRule="auto"/>
              <w:ind w:right="170"/>
              <w:jc w:val="right"/>
              <w:rPr>
                <w:rFonts w:cs="Arial"/>
                <w:sz w:val="16"/>
                <w:szCs w:val="16"/>
              </w:rPr>
            </w:pPr>
            <w:r w:rsidRPr="005D09C2">
              <w:rPr>
                <w:rFonts w:cs="Arial"/>
                <w:sz w:val="16"/>
                <w:szCs w:val="16"/>
              </w:rPr>
              <w:t>70,3</w:t>
            </w:r>
          </w:p>
        </w:tc>
        <w:tc>
          <w:tcPr>
            <w:tcW w:w="41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52143" w:rsidRPr="005D09C2" w:rsidRDefault="00952143" w:rsidP="00D86960">
            <w:pPr>
              <w:spacing w:line="240" w:lineRule="auto"/>
              <w:ind w:right="170"/>
              <w:jc w:val="right"/>
              <w:rPr>
                <w:rFonts w:cs="Arial"/>
                <w:sz w:val="16"/>
                <w:szCs w:val="16"/>
              </w:rPr>
            </w:pPr>
            <w:r w:rsidRPr="005D09C2">
              <w:rPr>
                <w:rFonts w:cs="Arial"/>
                <w:sz w:val="16"/>
                <w:szCs w:val="16"/>
              </w:rPr>
              <w:t>89,4</w:t>
            </w:r>
          </w:p>
        </w:tc>
        <w:tc>
          <w:tcPr>
            <w:tcW w:w="493" w:type="pct"/>
            <w:tcBorders>
              <w:top w:val="nil"/>
              <w:left w:val="single" w:sz="4" w:space="0" w:color="BFBFBF" w:themeColor="background1" w:themeShade="BF"/>
              <w:bottom w:val="single" w:sz="4" w:space="0" w:color="BFBFBF" w:themeColor="background1" w:themeShade="BF"/>
            </w:tcBorders>
            <w:vAlign w:val="center"/>
          </w:tcPr>
          <w:p w:rsidR="00952143" w:rsidRPr="005D09C2" w:rsidRDefault="00952143" w:rsidP="00D86960">
            <w:pPr>
              <w:spacing w:line="240" w:lineRule="auto"/>
              <w:ind w:right="170"/>
              <w:jc w:val="right"/>
              <w:rPr>
                <w:rFonts w:cs="Arial"/>
                <w:sz w:val="16"/>
                <w:szCs w:val="16"/>
              </w:rPr>
            </w:pPr>
            <w:r w:rsidRPr="005D09C2">
              <w:rPr>
                <w:rFonts w:cs="Arial"/>
                <w:sz w:val="16"/>
                <w:szCs w:val="16"/>
              </w:rPr>
              <w:t>100</w:t>
            </w:r>
            <w:r w:rsidR="007F441F">
              <w:rPr>
                <w:rFonts w:cs="Arial"/>
                <w:sz w:val="16"/>
                <w:szCs w:val="16"/>
              </w:rPr>
              <w:t>,0</w:t>
            </w:r>
          </w:p>
        </w:tc>
      </w:tr>
    </w:tbl>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952143" w:rsidP="00952143">
      <w:pPr>
        <w:spacing w:line="240" w:lineRule="auto"/>
        <w:jc w:val="center"/>
        <w:rPr>
          <w:rFonts w:cs="Arial"/>
          <w:b/>
          <w:snapToGrid w:val="0"/>
          <w:color w:val="1F497D" w:themeColor="text2"/>
          <w:sz w:val="18"/>
          <w:szCs w:val="18"/>
          <w:lang w:val="es-ES_tradnl"/>
        </w:rPr>
      </w:pPr>
    </w:p>
    <w:p w:rsidR="00952143" w:rsidRDefault="008D5779" w:rsidP="00952143">
      <w:pPr>
        <w:spacing w:line="240" w:lineRule="auto"/>
        <w:jc w:val="center"/>
        <w:rPr>
          <w:rFonts w:cs="Arial"/>
          <w:b/>
          <w:snapToGrid w:val="0"/>
          <w:color w:val="1F497D" w:themeColor="text2"/>
          <w:sz w:val="18"/>
          <w:szCs w:val="18"/>
          <w:lang w:val="es-ES_tradnl"/>
        </w:rPr>
      </w:pPr>
      <w:bookmarkStart w:id="345" w:name="_Toc450119772"/>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12</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REALIZACIÓN DE ACTIVIDADES DE INNOVACIÓN POR TIPO DE ACTIVIDAD. 2014</w:t>
      </w:r>
      <w:bookmarkEnd w:id="345"/>
      <w:r w:rsidR="00952143">
        <w:rPr>
          <w:rFonts w:cs="Arial"/>
          <w:b/>
          <w:snapToGrid w:val="0"/>
          <w:color w:val="1F497D" w:themeColor="text2"/>
          <w:sz w:val="18"/>
          <w:szCs w:val="18"/>
          <w:lang w:val="es-ES_tradnl"/>
        </w:rPr>
        <w:t xml:space="preserve"> </w:t>
      </w:r>
    </w:p>
    <w:p w:rsidR="00952143" w:rsidRDefault="00952143" w:rsidP="00952143">
      <w:pPr>
        <w:spacing w:line="240" w:lineRule="auto"/>
        <w:jc w:val="center"/>
        <w:rPr>
          <w:rFonts w:cs="Arial"/>
          <w:b/>
          <w:snapToGrid w:val="0"/>
          <w:color w:val="1F497D" w:themeColor="text2"/>
          <w:sz w:val="18"/>
          <w:szCs w:val="18"/>
          <w:lang w:val="es-ES_tradnl"/>
        </w:rPr>
      </w:pPr>
      <w:r w:rsidRPr="009C4E1F">
        <w:rPr>
          <w:rFonts w:cs="Arial"/>
          <w:b/>
          <w:snapToGrid w:val="0"/>
          <w:color w:val="1F497D" w:themeColor="text2"/>
          <w:sz w:val="18"/>
          <w:szCs w:val="18"/>
          <w:lang w:val="es-ES_tradnl"/>
        </w:rPr>
        <w:t xml:space="preserve">(% de las empresas que </w:t>
      </w:r>
      <w:r>
        <w:rPr>
          <w:rFonts w:cs="Arial"/>
          <w:b/>
          <w:snapToGrid w:val="0"/>
          <w:color w:val="1F497D" w:themeColor="text2"/>
          <w:sz w:val="18"/>
          <w:szCs w:val="18"/>
          <w:lang w:val="es-ES_tradnl"/>
        </w:rPr>
        <w:t>han desarrollado actividades de innovación en el periodo 2012-2014)</w:t>
      </w:r>
    </w:p>
    <w:p w:rsidR="00952143" w:rsidRPr="009C4E1F" w:rsidRDefault="00952143" w:rsidP="00952143">
      <w:pPr>
        <w:spacing w:line="240" w:lineRule="auto"/>
        <w:jc w:val="center"/>
        <w:rPr>
          <w:rFonts w:cs="Arial"/>
          <w:b/>
          <w:snapToGrid w:val="0"/>
          <w:color w:val="1F497D" w:themeColor="text2"/>
          <w:sz w:val="18"/>
          <w:szCs w:val="18"/>
          <w:lang w:val="es-ES_tradnl"/>
        </w:rPr>
      </w:pP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677"/>
        <w:gridCol w:w="1067"/>
        <w:gridCol w:w="1066"/>
        <w:gridCol w:w="1066"/>
        <w:gridCol w:w="1064"/>
      </w:tblGrid>
      <w:tr w:rsidR="00952143" w:rsidRPr="00F4159C" w:rsidTr="00D86960">
        <w:trPr>
          <w:jc w:val="center"/>
        </w:trPr>
        <w:tc>
          <w:tcPr>
            <w:tcW w:w="28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rPr>
                <w:rFonts w:cs="Arial"/>
                <w:b/>
                <w:bCs/>
                <w:sz w:val="16"/>
                <w:szCs w:val="16"/>
              </w:rPr>
            </w:pP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Pr>
                <w:rFonts w:cs="Arial"/>
                <w:b/>
                <w:bCs/>
                <w:sz w:val="16"/>
                <w:szCs w:val="16"/>
                <w:lang w:val="en-GB"/>
              </w:rPr>
              <w:t>Total</w:t>
            </w:r>
          </w:p>
          <w:p w:rsidR="00952143" w:rsidRPr="00F4159C" w:rsidRDefault="00952143" w:rsidP="00D86960">
            <w:pPr>
              <w:spacing w:line="240" w:lineRule="exact"/>
              <w:jc w:val="center"/>
              <w:rPr>
                <w:rFonts w:cs="Arial"/>
                <w:b/>
                <w:bCs/>
                <w:sz w:val="16"/>
                <w:szCs w:val="16"/>
                <w:lang w:val="en-GB"/>
              </w:rPr>
            </w:pPr>
            <w:r>
              <w:rPr>
                <w:rFonts w:cs="Arial"/>
                <w:b/>
                <w:bCs/>
                <w:sz w:val="16"/>
                <w:szCs w:val="16"/>
                <w:lang w:val="en-GB"/>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 Coop.</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S.A.L.es </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c>
          <w:tcPr>
            <w:tcW w:w="535"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F4159C">
              <w:rPr>
                <w:rFonts w:cs="Arial"/>
                <w:b/>
                <w:bCs/>
                <w:sz w:val="16"/>
                <w:szCs w:val="16"/>
                <w:lang w:val="en-GB"/>
              </w:rPr>
              <w:t>S.L.L.es</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r>
      <w:tr w:rsidR="00952143" w:rsidRPr="00F4159C" w:rsidTr="00D86960">
        <w:trPr>
          <w:jc w:val="center"/>
        </w:trPr>
        <w:tc>
          <w:tcPr>
            <w:tcW w:w="2856" w:type="pct"/>
            <w:tcBorders>
              <w:top w:val="single" w:sz="4" w:space="0" w:color="BFBFBF" w:themeColor="background1" w:themeShade="BF"/>
              <w:right w:val="single" w:sz="4" w:space="0" w:color="BFBFBF" w:themeColor="background1" w:themeShade="BF"/>
            </w:tcBorders>
            <w:noWrap/>
          </w:tcPr>
          <w:p w:rsidR="00952143" w:rsidRPr="005B1DE0" w:rsidRDefault="00952143" w:rsidP="00D86960">
            <w:pPr>
              <w:spacing w:line="240" w:lineRule="exact"/>
              <w:jc w:val="left"/>
              <w:rPr>
                <w:rFonts w:cs="Arial"/>
                <w:b/>
                <w:sz w:val="16"/>
                <w:szCs w:val="16"/>
              </w:rPr>
            </w:pPr>
            <w:r>
              <w:rPr>
                <w:rFonts w:cs="Arial"/>
                <w:b/>
                <w:sz w:val="16"/>
                <w:szCs w:val="16"/>
              </w:rPr>
              <w:t xml:space="preserve">A) </w:t>
            </w:r>
            <w:r w:rsidRPr="005B1DE0">
              <w:rPr>
                <w:rFonts w:cs="Arial"/>
                <w:b/>
                <w:sz w:val="16"/>
                <w:szCs w:val="16"/>
              </w:rPr>
              <w:t>INNOVACIÓN TECNOLÓGICA</w:t>
            </w:r>
          </w:p>
        </w:tc>
        <w:tc>
          <w:tcPr>
            <w:tcW w:w="537" w:type="pct"/>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p>
        </w:tc>
        <w:tc>
          <w:tcPr>
            <w:tcW w:w="536" w:type="pct"/>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p>
        </w:tc>
        <w:tc>
          <w:tcPr>
            <w:tcW w:w="536" w:type="pct"/>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p>
        </w:tc>
        <w:tc>
          <w:tcPr>
            <w:tcW w:w="535" w:type="pct"/>
            <w:tcBorders>
              <w:top w:val="single" w:sz="4" w:space="0" w:color="BFBFBF" w:themeColor="background1" w:themeShade="BF"/>
              <w:right w:val="nil"/>
            </w:tcBorders>
          </w:tcPr>
          <w:p w:rsidR="00952143" w:rsidRPr="00EE16BE" w:rsidRDefault="00952143" w:rsidP="00D86960">
            <w:pPr>
              <w:spacing w:line="240" w:lineRule="exact"/>
              <w:ind w:right="170"/>
              <w:jc w:val="right"/>
              <w:rPr>
                <w:rFonts w:cs="Arial"/>
                <w:bCs/>
                <w:sz w:val="16"/>
                <w:szCs w:val="16"/>
              </w:rPr>
            </w:pPr>
          </w:p>
        </w:tc>
      </w:tr>
      <w:tr w:rsidR="00952143" w:rsidRPr="00F4159C" w:rsidTr="00D86960">
        <w:trPr>
          <w:jc w:val="center"/>
        </w:trPr>
        <w:tc>
          <w:tcPr>
            <w:tcW w:w="2856" w:type="pct"/>
            <w:tcBorders>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Pr>
                <w:rFonts w:cs="Arial"/>
                <w:sz w:val="16"/>
                <w:szCs w:val="16"/>
              </w:rPr>
              <w:tab/>
              <w:t>I+D INTERNA</w:t>
            </w:r>
          </w:p>
        </w:tc>
        <w:tc>
          <w:tcPr>
            <w:tcW w:w="537" w:type="pct"/>
            <w:tcBorders>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14,2</w:t>
            </w: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18,9</w:t>
            </w: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8,5</w:t>
            </w:r>
          </w:p>
        </w:tc>
        <w:tc>
          <w:tcPr>
            <w:tcW w:w="535" w:type="pct"/>
            <w:tcBorders>
              <w:right w:val="nil"/>
            </w:tcBorders>
          </w:tcPr>
          <w:p w:rsidR="00952143" w:rsidRDefault="00952143" w:rsidP="00D86960">
            <w:pPr>
              <w:spacing w:line="240" w:lineRule="exact"/>
              <w:ind w:right="170"/>
              <w:jc w:val="right"/>
              <w:rPr>
                <w:rFonts w:cs="Arial"/>
                <w:bCs/>
                <w:sz w:val="16"/>
                <w:szCs w:val="16"/>
              </w:rPr>
            </w:pPr>
            <w:r>
              <w:rPr>
                <w:rFonts w:cs="Arial"/>
                <w:bCs/>
                <w:sz w:val="16"/>
                <w:szCs w:val="16"/>
              </w:rPr>
              <w:t>5,3</w:t>
            </w:r>
          </w:p>
        </w:tc>
      </w:tr>
      <w:tr w:rsidR="00952143" w:rsidRPr="00F4159C" w:rsidTr="00D86960">
        <w:trPr>
          <w:jc w:val="center"/>
        </w:trPr>
        <w:tc>
          <w:tcPr>
            <w:tcW w:w="2856" w:type="pct"/>
            <w:tcBorders>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Pr>
                <w:rFonts w:cs="Arial"/>
                <w:sz w:val="16"/>
                <w:szCs w:val="16"/>
              </w:rPr>
              <w:tab/>
              <w:t>ADQUISICIÓN DE I+ D EXTERNA</w:t>
            </w:r>
          </w:p>
        </w:tc>
        <w:tc>
          <w:tcPr>
            <w:tcW w:w="537" w:type="pct"/>
            <w:tcBorders>
              <w:right w:val="single" w:sz="4" w:space="0" w:color="BFBFBF" w:themeColor="background1" w:themeShade="BF"/>
            </w:tcBorders>
          </w:tcPr>
          <w:p w:rsidR="00952143" w:rsidRPr="00EE16BE" w:rsidRDefault="00952143" w:rsidP="00D86960">
            <w:pPr>
              <w:spacing w:line="240" w:lineRule="exact"/>
              <w:ind w:right="170"/>
              <w:jc w:val="right"/>
              <w:rPr>
                <w:rFonts w:cs="Arial"/>
                <w:bCs/>
                <w:sz w:val="16"/>
                <w:szCs w:val="16"/>
              </w:rPr>
            </w:pPr>
            <w:r>
              <w:rPr>
                <w:rFonts w:cs="Arial"/>
                <w:bCs/>
                <w:sz w:val="16"/>
                <w:szCs w:val="16"/>
              </w:rPr>
              <w:t>7,2</w:t>
            </w: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9,4</w:t>
            </w: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3,7</w:t>
            </w:r>
          </w:p>
        </w:tc>
        <w:tc>
          <w:tcPr>
            <w:tcW w:w="535" w:type="pct"/>
            <w:tcBorders>
              <w:right w:val="nil"/>
            </w:tcBorders>
          </w:tcPr>
          <w:p w:rsidR="00952143" w:rsidRDefault="00952143" w:rsidP="00D86960">
            <w:pPr>
              <w:spacing w:line="240" w:lineRule="exact"/>
              <w:ind w:right="170"/>
              <w:jc w:val="right"/>
              <w:rPr>
                <w:rFonts w:cs="Arial"/>
                <w:bCs/>
                <w:sz w:val="16"/>
                <w:szCs w:val="16"/>
              </w:rPr>
            </w:pPr>
            <w:r>
              <w:rPr>
                <w:rFonts w:cs="Arial"/>
                <w:bCs/>
                <w:sz w:val="16"/>
                <w:szCs w:val="16"/>
              </w:rPr>
              <w:t>3,0</w:t>
            </w:r>
          </w:p>
        </w:tc>
      </w:tr>
      <w:tr w:rsidR="00952143" w:rsidRPr="00F4159C" w:rsidTr="00D86960">
        <w:trPr>
          <w:jc w:val="center"/>
        </w:trPr>
        <w:tc>
          <w:tcPr>
            <w:tcW w:w="2856" w:type="pct"/>
            <w:tcBorders>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b/>
                <w:sz w:val="16"/>
                <w:szCs w:val="16"/>
              </w:rPr>
              <w:t xml:space="preserve">B) </w:t>
            </w:r>
            <w:r w:rsidRPr="005B1DE0">
              <w:rPr>
                <w:rFonts w:cs="Arial"/>
                <w:b/>
                <w:sz w:val="16"/>
                <w:szCs w:val="16"/>
              </w:rPr>
              <w:t>INNOVACIÓN DE PRODUCTO Y PROCESO</w:t>
            </w:r>
            <w:r>
              <w:rPr>
                <w:rFonts w:cs="Arial"/>
                <w:sz w:val="16"/>
                <w:szCs w:val="16"/>
              </w:rPr>
              <w:t xml:space="preserve"> </w:t>
            </w:r>
          </w:p>
        </w:tc>
        <w:tc>
          <w:tcPr>
            <w:tcW w:w="537"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p>
        </w:tc>
        <w:tc>
          <w:tcPr>
            <w:tcW w:w="536"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p>
        </w:tc>
        <w:tc>
          <w:tcPr>
            <w:tcW w:w="535" w:type="pct"/>
            <w:tcBorders>
              <w:right w:val="nil"/>
            </w:tcBorders>
          </w:tcPr>
          <w:p w:rsidR="00952143" w:rsidRDefault="00952143" w:rsidP="00D86960">
            <w:pPr>
              <w:spacing w:line="240" w:lineRule="exact"/>
              <w:ind w:right="170"/>
              <w:jc w:val="right"/>
              <w:rPr>
                <w:rFonts w:cs="Arial"/>
                <w:bCs/>
                <w:sz w:val="16"/>
                <w:szCs w:val="16"/>
              </w:rPr>
            </w:pPr>
          </w:p>
        </w:tc>
      </w:tr>
      <w:tr w:rsidR="00952143" w:rsidRPr="00F4159C" w:rsidTr="00D86960">
        <w:trPr>
          <w:jc w:val="center"/>
        </w:trPr>
        <w:tc>
          <w:tcPr>
            <w:tcW w:w="2856" w:type="pct"/>
            <w:tcBorders>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sz w:val="16"/>
                <w:szCs w:val="16"/>
              </w:rPr>
              <w:tab/>
              <w:t>INNOVACIÓN DE PRODUCTO (BIENES O SERVICIOS)</w:t>
            </w:r>
          </w:p>
        </w:tc>
        <w:tc>
          <w:tcPr>
            <w:tcW w:w="537" w:type="pct"/>
            <w:tcBorders>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14,7</w:t>
            </w:r>
          </w:p>
        </w:tc>
        <w:tc>
          <w:tcPr>
            <w:tcW w:w="536" w:type="pct"/>
            <w:tcBorders>
              <w:right w:val="single" w:sz="4" w:space="0" w:color="BFBFBF" w:themeColor="background1" w:themeShade="BF"/>
            </w:tcBorders>
            <w:vAlign w:val="bottom"/>
          </w:tcPr>
          <w:p w:rsidR="00952143" w:rsidRPr="00D41F6E" w:rsidRDefault="00952143" w:rsidP="00D86960">
            <w:pPr>
              <w:spacing w:line="240" w:lineRule="exact"/>
              <w:ind w:right="170"/>
              <w:jc w:val="right"/>
              <w:rPr>
                <w:rFonts w:cs="Arial"/>
                <w:bCs/>
                <w:sz w:val="16"/>
                <w:szCs w:val="16"/>
              </w:rPr>
            </w:pPr>
            <w:r w:rsidRPr="00D41F6E">
              <w:rPr>
                <w:rFonts w:cs="Arial"/>
                <w:bCs/>
                <w:sz w:val="16"/>
                <w:szCs w:val="16"/>
              </w:rPr>
              <w:t>17,5</w:t>
            </w:r>
          </w:p>
        </w:tc>
        <w:tc>
          <w:tcPr>
            <w:tcW w:w="536" w:type="pct"/>
            <w:tcBorders>
              <w:right w:val="single" w:sz="4" w:space="0" w:color="BFBFBF" w:themeColor="background1" w:themeShade="BF"/>
            </w:tcBorders>
            <w:vAlign w:val="bottom"/>
          </w:tcPr>
          <w:p w:rsidR="00952143" w:rsidRPr="00D41F6E" w:rsidRDefault="00952143" w:rsidP="00D86960">
            <w:pPr>
              <w:spacing w:line="240" w:lineRule="exact"/>
              <w:ind w:right="170"/>
              <w:jc w:val="right"/>
              <w:rPr>
                <w:rFonts w:cs="Arial"/>
                <w:bCs/>
                <w:sz w:val="16"/>
                <w:szCs w:val="16"/>
              </w:rPr>
            </w:pPr>
            <w:r w:rsidRPr="00D41F6E">
              <w:rPr>
                <w:rFonts w:cs="Arial"/>
                <w:bCs/>
                <w:sz w:val="16"/>
                <w:szCs w:val="16"/>
              </w:rPr>
              <w:t>11,3</w:t>
            </w:r>
          </w:p>
        </w:tc>
        <w:tc>
          <w:tcPr>
            <w:tcW w:w="535" w:type="pct"/>
            <w:tcBorders>
              <w:right w:val="nil"/>
            </w:tcBorders>
            <w:vAlign w:val="bottom"/>
          </w:tcPr>
          <w:p w:rsidR="00952143" w:rsidRPr="00D41F6E" w:rsidRDefault="00952143" w:rsidP="00D86960">
            <w:pPr>
              <w:spacing w:line="240" w:lineRule="exact"/>
              <w:ind w:right="170"/>
              <w:jc w:val="right"/>
              <w:rPr>
                <w:rFonts w:cs="Arial"/>
                <w:bCs/>
                <w:sz w:val="16"/>
                <w:szCs w:val="16"/>
              </w:rPr>
            </w:pPr>
            <w:r w:rsidRPr="00D41F6E">
              <w:rPr>
                <w:rFonts w:cs="Arial"/>
                <w:bCs/>
                <w:sz w:val="16"/>
                <w:szCs w:val="16"/>
              </w:rPr>
              <w:t>9,1</w:t>
            </w:r>
          </w:p>
        </w:tc>
      </w:tr>
      <w:tr w:rsidR="00952143" w:rsidRPr="00F4159C" w:rsidTr="007F441F">
        <w:trPr>
          <w:jc w:val="center"/>
        </w:trPr>
        <w:tc>
          <w:tcPr>
            <w:tcW w:w="2856" w:type="pct"/>
            <w:tcBorders>
              <w:bottom w:val="single" w:sz="4" w:space="0" w:color="BFBFBF" w:themeColor="background1" w:themeShade="BF"/>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sz w:val="16"/>
                <w:szCs w:val="16"/>
              </w:rPr>
              <w:tab/>
              <w:t>INNOVACIÓN DE PROCESO</w:t>
            </w:r>
          </w:p>
        </w:tc>
        <w:tc>
          <w:tcPr>
            <w:tcW w:w="537" w:type="pct"/>
            <w:tcBorders>
              <w:bottom w:val="single" w:sz="4" w:space="0" w:color="BFBFBF" w:themeColor="background1" w:themeShade="BF"/>
              <w:right w:val="single" w:sz="4" w:space="0" w:color="BFBFBF" w:themeColor="background1" w:themeShade="BF"/>
            </w:tcBorders>
          </w:tcPr>
          <w:p w:rsidR="00952143" w:rsidRDefault="00952143" w:rsidP="00D86960">
            <w:pPr>
              <w:spacing w:line="240" w:lineRule="exact"/>
              <w:ind w:right="170"/>
              <w:jc w:val="right"/>
              <w:rPr>
                <w:rFonts w:cs="Arial"/>
                <w:bCs/>
                <w:sz w:val="16"/>
                <w:szCs w:val="16"/>
              </w:rPr>
            </w:pPr>
            <w:r>
              <w:rPr>
                <w:rFonts w:cs="Arial"/>
                <w:bCs/>
                <w:sz w:val="16"/>
                <w:szCs w:val="16"/>
              </w:rPr>
              <w:t>13,7</w:t>
            </w:r>
          </w:p>
        </w:tc>
        <w:tc>
          <w:tcPr>
            <w:tcW w:w="536" w:type="pct"/>
            <w:tcBorders>
              <w:bottom w:val="single" w:sz="4" w:space="0" w:color="BFBFBF" w:themeColor="background1" w:themeShade="BF"/>
              <w:right w:val="single" w:sz="4" w:space="0" w:color="BFBFBF" w:themeColor="background1" w:themeShade="BF"/>
            </w:tcBorders>
            <w:vAlign w:val="bottom"/>
          </w:tcPr>
          <w:p w:rsidR="00952143" w:rsidRPr="00D41F6E" w:rsidRDefault="00952143" w:rsidP="00D86960">
            <w:pPr>
              <w:spacing w:line="240" w:lineRule="exact"/>
              <w:ind w:right="170"/>
              <w:jc w:val="right"/>
              <w:rPr>
                <w:rFonts w:cs="Arial"/>
                <w:bCs/>
                <w:sz w:val="16"/>
                <w:szCs w:val="16"/>
              </w:rPr>
            </w:pPr>
            <w:r w:rsidRPr="00D41F6E">
              <w:rPr>
                <w:rFonts w:cs="Arial"/>
                <w:bCs/>
                <w:sz w:val="16"/>
                <w:szCs w:val="16"/>
              </w:rPr>
              <w:t>15,9</w:t>
            </w:r>
          </w:p>
        </w:tc>
        <w:tc>
          <w:tcPr>
            <w:tcW w:w="536" w:type="pct"/>
            <w:tcBorders>
              <w:bottom w:val="single" w:sz="4" w:space="0" w:color="BFBFBF" w:themeColor="background1" w:themeShade="BF"/>
              <w:right w:val="single" w:sz="4" w:space="0" w:color="BFBFBF" w:themeColor="background1" w:themeShade="BF"/>
            </w:tcBorders>
            <w:vAlign w:val="bottom"/>
          </w:tcPr>
          <w:p w:rsidR="00952143" w:rsidRPr="00D41F6E" w:rsidRDefault="00952143" w:rsidP="00D86960">
            <w:pPr>
              <w:spacing w:line="240" w:lineRule="exact"/>
              <w:ind w:right="170"/>
              <w:jc w:val="right"/>
              <w:rPr>
                <w:rFonts w:cs="Arial"/>
                <w:bCs/>
                <w:sz w:val="16"/>
                <w:szCs w:val="16"/>
              </w:rPr>
            </w:pPr>
            <w:r w:rsidRPr="00D41F6E">
              <w:rPr>
                <w:rFonts w:cs="Arial"/>
                <w:bCs/>
                <w:sz w:val="16"/>
                <w:szCs w:val="16"/>
              </w:rPr>
              <w:t>15</w:t>
            </w:r>
            <w:r>
              <w:rPr>
                <w:rFonts w:cs="Arial"/>
                <w:bCs/>
                <w:sz w:val="16"/>
                <w:szCs w:val="16"/>
              </w:rPr>
              <w:t>,0</w:t>
            </w:r>
          </w:p>
        </w:tc>
        <w:tc>
          <w:tcPr>
            <w:tcW w:w="535" w:type="pct"/>
            <w:tcBorders>
              <w:bottom w:val="single" w:sz="4" w:space="0" w:color="BFBFBF" w:themeColor="background1" w:themeShade="BF"/>
              <w:right w:val="nil"/>
            </w:tcBorders>
            <w:vAlign w:val="bottom"/>
          </w:tcPr>
          <w:p w:rsidR="00952143" w:rsidRPr="00D41F6E" w:rsidRDefault="00952143" w:rsidP="00D86960">
            <w:pPr>
              <w:spacing w:line="240" w:lineRule="exact"/>
              <w:ind w:right="170"/>
              <w:jc w:val="right"/>
              <w:rPr>
                <w:rFonts w:cs="Arial"/>
                <w:bCs/>
                <w:sz w:val="16"/>
                <w:szCs w:val="16"/>
              </w:rPr>
            </w:pPr>
            <w:r w:rsidRPr="00D41F6E">
              <w:rPr>
                <w:rFonts w:cs="Arial"/>
                <w:bCs/>
                <w:sz w:val="16"/>
                <w:szCs w:val="16"/>
              </w:rPr>
              <w:t>7,8</w:t>
            </w:r>
          </w:p>
        </w:tc>
      </w:tr>
      <w:tr w:rsidR="00952143" w:rsidRPr="00F4159C" w:rsidTr="007F441F">
        <w:trPr>
          <w:jc w:val="center"/>
        </w:trPr>
        <w:tc>
          <w:tcPr>
            <w:tcW w:w="2856" w:type="pct"/>
            <w:tcBorders>
              <w:top w:val="single" w:sz="4" w:space="0" w:color="BFBFBF" w:themeColor="background1" w:themeShade="BF"/>
              <w:bottom w:val="single" w:sz="4" w:space="0" w:color="BFBFBF" w:themeColor="background1" w:themeShade="BF"/>
              <w:right w:val="single" w:sz="4" w:space="0" w:color="BFBFBF" w:themeColor="background1" w:themeShade="BF"/>
            </w:tcBorders>
            <w:noWrap/>
          </w:tcPr>
          <w:p w:rsidR="00952143" w:rsidRPr="0025338A" w:rsidRDefault="00952143" w:rsidP="00D86960">
            <w:pPr>
              <w:spacing w:line="240" w:lineRule="exact"/>
              <w:jc w:val="left"/>
              <w:rPr>
                <w:rFonts w:cs="Arial"/>
                <w:b/>
                <w:sz w:val="16"/>
                <w:szCs w:val="16"/>
              </w:rPr>
            </w:pPr>
            <w:r w:rsidRPr="0025338A">
              <w:rPr>
                <w:rFonts w:cs="Arial"/>
                <w:b/>
                <w:sz w:val="16"/>
                <w:szCs w:val="16"/>
              </w:rPr>
              <w:t>TOTAL</w:t>
            </w:r>
            <w:r>
              <w:rPr>
                <w:rStyle w:val="Refdenotaalpie"/>
                <w:rFonts w:cs="Arial"/>
                <w:b/>
                <w:sz w:val="16"/>
                <w:szCs w:val="16"/>
              </w:rPr>
              <w:footnoteReference w:id="15"/>
            </w:r>
          </w:p>
        </w:tc>
        <w:tc>
          <w:tcPr>
            <w:tcW w:w="53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952143" w:rsidRPr="0025338A" w:rsidRDefault="00952143" w:rsidP="00D86960">
            <w:pPr>
              <w:spacing w:line="240" w:lineRule="exact"/>
              <w:ind w:right="170"/>
              <w:jc w:val="right"/>
              <w:rPr>
                <w:rFonts w:cs="Arial"/>
                <w:b/>
                <w:bCs/>
                <w:sz w:val="16"/>
                <w:szCs w:val="16"/>
              </w:rPr>
            </w:pPr>
            <w:r>
              <w:rPr>
                <w:rFonts w:cs="Arial"/>
                <w:b/>
                <w:bCs/>
                <w:sz w:val="16"/>
                <w:szCs w:val="16"/>
              </w:rPr>
              <w:t>21,6</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41F6E" w:rsidRDefault="00952143" w:rsidP="00D86960">
            <w:pPr>
              <w:spacing w:line="240" w:lineRule="exact"/>
              <w:ind w:right="170"/>
              <w:jc w:val="right"/>
              <w:rPr>
                <w:rFonts w:cs="Arial"/>
                <w:b/>
                <w:bCs/>
                <w:sz w:val="16"/>
                <w:szCs w:val="16"/>
              </w:rPr>
            </w:pPr>
            <w:r w:rsidRPr="00D41F6E">
              <w:rPr>
                <w:rFonts w:cs="Arial"/>
                <w:b/>
                <w:bCs/>
                <w:sz w:val="16"/>
                <w:szCs w:val="16"/>
              </w:rPr>
              <w:t>25,8</w:t>
            </w:r>
          </w:p>
        </w:tc>
        <w:tc>
          <w:tcPr>
            <w:tcW w:w="536"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952143" w:rsidRPr="00D41F6E" w:rsidRDefault="00952143" w:rsidP="00D86960">
            <w:pPr>
              <w:spacing w:line="240" w:lineRule="exact"/>
              <w:ind w:right="170"/>
              <w:jc w:val="right"/>
              <w:rPr>
                <w:rFonts w:cs="Arial"/>
                <w:b/>
                <w:bCs/>
                <w:sz w:val="16"/>
                <w:szCs w:val="16"/>
              </w:rPr>
            </w:pPr>
            <w:r w:rsidRPr="00D41F6E">
              <w:rPr>
                <w:rFonts w:cs="Arial"/>
                <w:b/>
                <w:bCs/>
                <w:sz w:val="16"/>
                <w:szCs w:val="16"/>
              </w:rPr>
              <w:t>17</w:t>
            </w:r>
            <w:r>
              <w:rPr>
                <w:rFonts w:cs="Arial"/>
                <w:b/>
                <w:bCs/>
                <w:sz w:val="16"/>
                <w:szCs w:val="16"/>
              </w:rPr>
              <w:t>,0</w:t>
            </w:r>
          </w:p>
        </w:tc>
        <w:tc>
          <w:tcPr>
            <w:tcW w:w="535" w:type="pct"/>
            <w:tcBorders>
              <w:top w:val="single" w:sz="4" w:space="0" w:color="BFBFBF" w:themeColor="background1" w:themeShade="BF"/>
              <w:bottom w:val="single" w:sz="4" w:space="0" w:color="BFBFBF" w:themeColor="background1" w:themeShade="BF"/>
              <w:right w:val="nil"/>
            </w:tcBorders>
            <w:vAlign w:val="bottom"/>
          </w:tcPr>
          <w:p w:rsidR="00952143" w:rsidRPr="00D41F6E" w:rsidRDefault="00952143" w:rsidP="00D86960">
            <w:pPr>
              <w:spacing w:line="240" w:lineRule="exact"/>
              <w:ind w:right="170"/>
              <w:jc w:val="right"/>
              <w:rPr>
                <w:rFonts w:cs="Arial"/>
                <w:b/>
                <w:bCs/>
                <w:sz w:val="16"/>
                <w:szCs w:val="16"/>
              </w:rPr>
            </w:pPr>
            <w:r w:rsidRPr="00D41F6E">
              <w:rPr>
                <w:rFonts w:cs="Arial"/>
                <w:b/>
                <w:bCs/>
                <w:sz w:val="16"/>
                <w:szCs w:val="16"/>
              </w:rPr>
              <w:t>13,3</w:t>
            </w:r>
          </w:p>
        </w:tc>
      </w:tr>
    </w:tbl>
    <w:p w:rsidR="00952143" w:rsidRDefault="00952143" w:rsidP="00952143">
      <w:pPr>
        <w:rPr>
          <w:lang w:eastAsia="es-ES"/>
        </w:rPr>
      </w:pPr>
    </w:p>
    <w:p w:rsidR="00952143" w:rsidRPr="00724B27" w:rsidRDefault="00952143" w:rsidP="00952143">
      <w:pPr>
        <w:pStyle w:val="Ttulo1"/>
        <w:ind w:left="708" w:hanging="708"/>
        <w:rPr>
          <w:color w:val="1F497D" w:themeColor="text2"/>
          <w:sz w:val="22"/>
          <w:szCs w:val="22"/>
        </w:rPr>
      </w:pPr>
      <w:bookmarkStart w:id="346" w:name="_Toc450118931"/>
      <w:r w:rsidRPr="00724B27">
        <w:rPr>
          <w:color w:val="1F497D" w:themeColor="text2"/>
          <w:sz w:val="22"/>
          <w:szCs w:val="22"/>
        </w:rPr>
        <w:t>5.</w:t>
      </w:r>
      <w:r w:rsidR="00724B27">
        <w:rPr>
          <w:color w:val="1F497D" w:themeColor="text2"/>
          <w:sz w:val="22"/>
          <w:szCs w:val="22"/>
        </w:rPr>
        <w:t>2.</w:t>
      </w:r>
      <w:r w:rsidRPr="00724B27">
        <w:rPr>
          <w:color w:val="1F497D" w:themeColor="text2"/>
          <w:sz w:val="22"/>
          <w:szCs w:val="22"/>
        </w:rPr>
        <w:t>-</w:t>
      </w:r>
      <w:r w:rsidRPr="00724B27">
        <w:rPr>
          <w:color w:val="1F497D" w:themeColor="text2"/>
          <w:sz w:val="22"/>
          <w:szCs w:val="22"/>
        </w:rPr>
        <w:tab/>
        <w:t>IMPACTO DE LA INNOVACIÓN SOBRE EL EMPLEO</w:t>
      </w:r>
      <w:bookmarkEnd w:id="346"/>
    </w:p>
    <w:p w:rsidR="00952143" w:rsidRDefault="00952143" w:rsidP="00952143">
      <w:pPr>
        <w:rPr>
          <w:lang w:eastAsia="es-ES"/>
        </w:rPr>
      </w:pPr>
    </w:p>
    <w:p w:rsidR="00952143" w:rsidRDefault="008D5779" w:rsidP="00952143">
      <w:pPr>
        <w:spacing w:line="240" w:lineRule="auto"/>
        <w:jc w:val="center"/>
        <w:rPr>
          <w:rFonts w:cs="Arial"/>
          <w:b/>
          <w:snapToGrid w:val="0"/>
          <w:color w:val="1F497D" w:themeColor="text2"/>
          <w:sz w:val="18"/>
          <w:szCs w:val="18"/>
          <w:lang w:val="es-ES_tradnl"/>
        </w:rPr>
      </w:pPr>
      <w:bookmarkStart w:id="347" w:name="_Toc450120191"/>
      <w:r w:rsidRPr="008D5779">
        <w:rPr>
          <w:rFonts w:cs="Arial"/>
          <w:b/>
          <w:bCs/>
          <w:color w:val="1F497D" w:themeColor="text2"/>
          <w:sz w:val="18"/>
          <w:szCs w:val="18"/>
        </w:rPr>
        <w:t>Gráfico 3.</w:t>
      </w:r>
      <w:r w:rsidR="00771A61" w:rsidRPr="008D5779">
        <w:rPr>
          <w:rFonts w:cs="Arial"/>
          <w:b/>
          <w:bCs/>
          <w:color w:val="1F497D" w:themeColor="text2"/>
          <w:sz w:val="18"/>
          <w:szCs w:val="18"/>
        </w:rPr>
        <w:fldChar w:fldCharType="begin"/>
      </w:r>
      <w:r w:rsidRPr="008D5779">
        <w:rPr>
          <w:rFonts w:cs="Arial"/>
          <w:b/>
          <w:bCs/>
          <w:color w:val="1F497D" w:themeColor="text2"/>
          <w:sz w:val="18"/>
          <w:szCs w:val="18"/>
        </w:rPr>
        <w:instrText xml:space="preserve"> SEQ Gráfico_3. \* ARABIC </w:instrText>
      </w:r>
      <w:r w:rsidR="00771A61" w:rsidRPr="008D5779">
        <w:rPr>
          <w:rFonts w:cs="Arial"/>
          <w:b/>
          <w:bCs/>
          <w:color w:val="1F497D" w:themeColor="text2"/>
          <w:sz w:val="18"/>
          <w:szCs w:val="18"/>
        </w:rPr>
        <w:fldChar w:fldCharType="separate"/>
      </w:r>
      <w:r w:rsidR="00FC71A9">
        <w:rPr>
          <w:rFonts w:cs="Arial"/>
          <w:b/>
          <w:bCs/>
          <w:noProof/>
          <w:color w:val="1F497D" w:themeColor="text2"/>
          <w:sz w:val="18"/>
          <w:szCs w:val="18"/>
        </w:rPr>
        <w:t>13</w:t>
      </w:r>
      <w:r w:rsidR="00771A61" w:rsidRPr="008D5779">
        <w:rPr>
          <w:rFonts w:cs="Arial"/>
          <w:b/>
          <w:bCs/>
          <w:color w:val="1F497D" w:themeColor="text2"/>
          <w:sz w:val="18"/>
          <w:szCs w:val="18"/>
        </w:rPr>
        <w:fldChar w:fldCharType="end"/>
      </w:r>
      <w:r w:rsidRPr="008D5779">
        <w:rPr>
          <w:rFonts w:cs="Arial"/>
          <w:b/>
          <w:snapToGrid w:val="0"/>
          <w:color w:val="1F497D" w:themeColor="text2"/>
          <w:sz w:val="18"/>
          <w:szCs w:val="18"/>
          <w:lang w:val="es-ES_tradnl"/>
        </w:rPr>
        <w:t xml:space="preserve"> </w:t>
      </w:r>
      <w:r w:rsidR="00952143">
        <w:rPr>
          <w:rFonts w:cs="Arial"/>
          <w:b/>
          <w:snapToGrid w:val="0"/>
          <w:color w:val="1F497D" w:themeColor="text2"/>
          <w:sz w:val="18"/>
          <w:szCs w:val="18"/>
          <w:lang w:val="es-ES_tradnl"/>
        </w:rPr>
        <w:t xml:space="preserve"> IMPACTO DE LA INNOVACIÓN SOBRE EL EMPLEO TOTAL. 2014</w:t>
      </w:r>
      <w:bookmarkEnd w:id="347"/>
      <w:r w:rsidR="00952143">
        <w:rPr>
          <w:rFonts w:cs="Arial"/>
          <w:b/>
          <w:snapToGrid w:val="0"/>
          <w:color w:val="1F497D" w:themeColor="text2"/>
          <w:sz w:val="18"/>
          <w:szCs w:val="18"/>
          <w:lang w:val="es-ES_tradnl"/>
        </w:rPr>
        <w:t xml:space="preserve"> </w:t>
      </w:r>
    </w:p>
    <w:p w:rsidR="00952143" w:rsidRDefault="00952143" w:rsidP="00952143">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 empresas que confirman algún tipo de impacto de la innovación sobre el empleo)</w:t>
      </w:r>
    </w:p>
    <w:p w:rsidR="00952143" w:rsidRDefault="00952143" w:rsidP="00952143">
      <w:pPr>
        <w:jc w:val="center"/>
        <w:rPr>
          <w:lang w:val="es-ES_tradnl" w:eastAsia="es-ES"/>
        </w:rPr>
      </w:pPr>
      <w:r w:rsidRPr="00641140">
        <w:rPr>
          <w:noProof/>
          <w:lang w:eastAsia="es-ES"/>
        </w:rPr>
        <w:drawing>
          <wp:inline distT="0" distB="0" distL="0" distR="0">
            <wp:extent cx="4457700" cy="1524000"/>
            <wp:effectExtent l="0" t="0" r="0" b="0"/>
            <wp:docPr id="4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52143" w:rsidRDefault="00952143" w:rsidP="00D508DF">
      <w:pPr>
        <w:spacing w:line="240" w:lineRule="auto"/>
        <w:jc w:val="center"/>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952143" w:rsidRDefault="00952143" w:rsidP="00D508DF">
      <w:pPr>
        <w:jc w:val="center"/>
        <w:rPr>
          <w:rFonts w:eastAsia="Times New Roman" w:cs="Arial"/>
          <w:i/>
          <w:sz w:val="16"/>
          <w:szCs w:val="20"/>
          <w:lang w:val="es-ES_tradnl" w:eastAsia="es-ES"/>
        </w:rPr>
      </w:pPr>
      <w:r w:rsidRPr="00406864">
        <w:rPr>
          <w:rFonts w:eastAsia="Times New Roman" w:cs="Arial"/>
          <w:i/>
          <w:sz w:val="16"/>
          <w:szCs w:val="20"/>
          <w:lang w:val="es-ES_tradnl" w:eastAsia="es-ES"/>
        </w:rPr>
        <w:t xml:space="preserve">Base: </w:t>
      </w:r>
      <w:r>
        <w:rPr>
          <w:rFonts w:eastAsia="Times New Roman" w:cs="Arial"/>
          <w:i/>
          <w:sz w:val="16"/>
          <w:szCs w:val="20"/>
          <w:lang w:val="es-ES_tradnl" w:eastAsia="es-ES"/>
        </w:rPr>
        <w:t>E</w:t>
      </w:r>
      <w:r w:rsidRPr="00406864">
        <w:rPr>
          <w:rFonts w:eastAsia="Times New Roman" w:cs="Arial"/>
          <w:i/>
          <w:sz w:val="16"/>
          <w:szCs w:val="20"/>
          <w:lang w:val="es-ES_tradnl" w:eastAsia="es-ES"/>
        </w:rPr>
        <w:t>mpresas que han realizado innovación en el periodo 2012-2014</w:t>
      </w:r>
    </w:p>
    <w:p w:rsidR="00952143" w:rsidRDefault="00952143" w:rsidP="00952143">
      <w:pPr>
        <w:ind w:left="708"/>
        <w:rPr>
          <w:rFonts w:eastAsia="Times New Roman" w:cs="Arial"/>
          <w:i/>
          <w:sz w:val="16"/>
          <w:szCs w:val="20"/>
          <w:lang w:val="es-ES_tradnl" w:eastAsia="es-ES"/>
        </w:rPr>
      </w:pPr>
    </w:p>
    <w:p w:rsidR="00952143" w:rsidRDefault="008D5779" w:rsidP="00952143">
      <w:pPr>
        <w:spacing w:line="240" w:lineRule="auto"/>
        <w:jc w:val="center"/>
        <w:rPr>
          <w:rFonts w:cs="Arial"/>
          <w:b/>
          <w:snapToGrid w:val="0"/>
          <w:color w:val="1F497D" w:themeColor="text2"/>
          <w:sz w:val="18"/>
          <w:szCs w:val="18"/>
          <w:lang w:val="es-ES_tradnl"/>
        </w:rPr>
      </w:pPr>
      <w:bookmarkStart w:id="348" w:name="_Toc450119773"/>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13</w:t>
      </w:r>
      <w:r w:rsidR="00771A61" w:rsidRPr="008D5779">
        <w:rPr>
          <w:rFonts w:cs="Arial"/>
          <w:b/>
          <w:bCs/>
          <w:snapToGrid w:val="0"/>
          <w:color w:val="1F497D" w:themeColor="text2"/>
          <w:sz w:val="18"/>
          <w:szCs w:val="18"/>
          <w:lang w:val="es-ES_tradnl"/>
        </w:rPr>
        <w:fldChar w:fldCharType="end"/>
      </w:r>
      <w:r w:rsidR="00952143">
        <w:rPr>
          <w:rFonts w:cs="Arial"/>
          <w:b/>
          <w:snapToGrid w:val="0"/>
          <w:color w:val="1F497D" w:themeColor="text2"/>
          <w:sz w:val="18"/>
          <w:szCs w:val="18"/>
          <w:lang w:val="es-ES_tradnl"/>
        </w:rPr>
        <w:t xml:space="preserve"> TIPO DE IMPACTOS DE LA INNOVACIÓN SOBRE EL EMPLEO TOTAL. 2014</w:t>
      </w:r>
      <w:bookmarkEnd w:id="348"/>
    </w:p>
    <w:p w:rsidR="00952143" w:rsidRDefault="00952143" w:rsidP="00952143">
      <w:pPr>
        <w:spacing w:line="240" w:lineRule="auto"/>
        <w:jc w:val="center"/>
        <w:rPr>
          <w:rFonts w:cs="Arial"/>
          <w:b/>
          <w:snapToGrid w:val="0"/>
          <w:color w:val="1F497D" w:themeColor="text2"/>
          <w:sz w:val="18"/>
          <w:szCs w:val="18"/>
          <w:lang w:val="es-ES_tradnl"/>
        </w:rPr>
      </w:pPr>
      <w:r>
        <w:rPr>
          <w:rFonts w:cs="Arial"/>
          <w:b/>
          <w:snapToGrid w:val="0"/>
          <w:color w:val="1F497D" w:themeColor="text2"/>
          <w:sz w:val="18"/>
          <w:szCs w:val="18"/>
          <w:lang w:val="es-ES_tradnl"/>
        </w:rPr>
        <w:t>(% empresas que confirman impacto de la innovación sobre el empleo)</w:t>
      </w:r>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622"/>
        <w:gridCol w:w="2159"/>
        <w:gridCol w:w="2159"/>
      </w:tblGrid>
      <w:tr w:rsidR="00952143" w:rsidRPr="00F4159C" w:rsidTr="00D86960">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F4159C" w:rsidRDefault="00952143" w:rsidP="00D86960">
            <w:pPr>
              <w:spacing w:line="240" w:lineRule="exact"/>
              <w:rPr>
                <w:rFonts w:cs="Arial"/>
                <w:b/>
                <w:bCs/>
                <w:sz w:val="16"/>
                <w:szCs w:val="16"/>
              </w:rPr>
            </w:pPr>
          </w:p>
        </w:tc>
        <w:tc>
          <w:tcPr>
            <w:tcW w:w="2159"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03702B">
              <w:rPr>
                <w:rFonts w:cs="Arial"/>
                <w:b/>
                <w:bCs/>
                <w:sz w:val="16"/>
                <w:szCs w:val="16"/>
              </w:rPr>
              <w:t xml:space="preserve">Economía </w:t>
            </w:r>
            <w:r>
              <w:rPr>
                <w:rFonts w:cs="Arial"/>
                <w:b/>
                <w:bCs/>
                <w:sz w:val="16"/>
                <w:szCs w:val="16"/>
                <w:lang w:val="en-GB"/>
              </w:rPr>
              <w:t>Social</w:t>
            </w:r>
          </w:p>
          <w:p w:rsidR="00952143" w:rsidRPr="00F4159C" w:rsidRDefault="00952143" w:rsidP="00D86960">
            <w:pPr>
              <w:spacing w:line="240" w:lineRule="exact"/>
              <w:jc w:val="center"/>
              <w:rPr>
                <w:rFonts w:cs="Arial"/>
                <w:b/>
                <w:bCs/>
                <w:sz w:val="16"/>
                <w:szCs w:val="16"/>
                <w:lang w:val="en-GB"/>
              </w:rPr>
            </w:pPr>
            <w:r>
              <w:rPr>
                <w:rFonts w:cs="Arial"/>
                <w:b/>
                <w:bCs/>
                <w:sz w:val="16"/>
                <w:szCs w:val="16"/>
                <w:lang w:val="en-GB"/>
              </w:rPr>
              <w:t>%</w:t>
            </w:r>
          </w:p>
        </w:tc>
        <w:tc>
          <w:tcPr>
            <w:tcW w:w="2159"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952143" w:rsidRDefault="00952143" w:rsidP="00D86960">
            <w:pPr>
              <w:spacing w:line="240" w:lineRule="exact"/>
              <w:jc w:val="center"/>
              <w:rPr>
                <w:rFonts w:cs="Arial"/>
                <w:b/>
                <w:bCs/>
                <w:sz w:val="16"/>
                <w:szCs w:val="16"/>
                <w:lang w:val="en-GB"/>
              </w:rPr>
            </w:pPr>
            <w:r w:rsidRPr="0003702B">
              <w:rPr>
                <w:rFonts w:cs="Arial"/>
                <w:b/>
                <w:bCs/>
                <w:sz w:val="16"/>
                <w:szCs w:val="16"/>
              </w:rPr>
              <w:t>Economía</w:t>
            </w:r>
            <w:r>
              <w:rPr>
                <w:rFonts w:cs="Arial"/>
                <w:b/>
                <w:bCs/>
                <w:sz w:val="16"/>
                <w:szCs w:val="16"/>
                <w:lang w:val="en-GB"/>
              </w:rPr>
              <w:t xml:space="preserve"> CAE</w:t>
            </w:r>
          </w:p>
          <w:p w:rsidR="00952143" w:rsidRPr="00F4159C" w:rsidRDefault="00952143" w:rsidP="00D86960">
            <w:pPr>
              <w:spacing w:line="240" w:lineRule="exact"/>
              <w:jc w:val="center"/>
              <w:rPr>
                <w:rFonts w:cs="Arial"/>
                <w:b/>
                <w:bCs/>
                <w:sz w:val="16"/>
                <w:szCs w:val="16"/>
              </w:rPr>
            </w:pPr>
            <w:r>
              <w:rPr>
                <w:rFonts w:cs="Arial"/>
                <w:b/>
                <w:bCs/>
                <w:sz w:val="16"/>
                <w:szCs w:val="16"/>
                <w:lang w:val="en-GB"/>
              </w:rPr>
              <w:t>%</w:t>
            </w:r>
          </w:p>
        </w:tc>
      </w:tr>
      <w:tr w:rsidR="00952143" w:rsidRPr="00F4159C" w:rsidTr="00D86960">
        <w:trPr>
          <w:jc w:val="center"/>
        </w:trPr>
        <w:tc>
          <w:tcPr>
            <w:tcW w:w="0" w:type="auto"/>
            <w:tcBorders>
              <w:top w:val="single" w:sz="4" w:space="0" w:color="BFBFBF" w:themeColor="background1" w:themeShade="BF"/>
              <w:right w:val="single" w:sz="4" w:space="0" w:color="BFBFBF" w:themeColor="background1" w:themeShade="BF"/>
            </w:tcBorders>
            <w:noWrap/>
          </w:tcPr>
          <w:p w:rsidR="00952143" w:rsidRPr="002917B0" w:rsidRDefault="00952143" w:rsidP="00D86960">
            <w:pPr>
              <w:spacing w:line="240" w:lineRule="exact"/>
              <w:jc w:val="left"/>
              <w:rPr>
                <w:rFonts w:cs="Arial"/>
                <w:sz w:val="16"/>
                <w:szCs w:val="16"/>
              </w:rPr>
            </w:pPr>
            <w:r w:rsidRPr="002917B0">
              <w:rPr>
                <w:rFonts w:cs="Arial"/>
                <w:sz w:val="16"/>
                <w:szCs w:val="16"/>
              </w:rPr>
              <w:t xml:space="preserve">Ha aumentado el empleo total </w:t>
            </w:r>
          </w:p>
        </w:tc>
        <w:tc>
          <w:tcPr>
            <w:tcW w:w="2159" w:type="dxa"/>
            <w:tcBorders>
              <w:top w:val="single" w:sz="4" w:space="0" w:color="BFBFBF" w:themeColor="background1" w:themeShade="BF"/>
              <w:right w:val="single" w:sz="4" w:space="0" w:color="BFBFBF" w:themeColor="background1" w:themeShade="BF"/>
            </w:tcBorders>
          </w:tcPr>
          <w:p w:rsidR="00952143" w:rsidRPr="00EE16BE" w:rsidRDefault="00952143" w:rsidP="00D86960">
            <w:pPr>
              <w:spacing w:line="240" w:lineRule="exact"/>
              <w:ind w:right="170"/>
              <w:jc w:val="center"/>
              <w:rPr>
                <w:rFonts w:cs="Arial"/>
                <w:bCs/>
                <w:sz w:val="16"/>
                <w:szCs w:val="16"/>
              </w:rPr>
            </w:pPr>
            <w:r>
              <w:rPr>
                <w:rFonts w:cs="Arial"/>
                <w:bCs/>
                <w:sz w:val="16"/>
                <w:szCs w:val="16"/>
              </w:rPr>
              <w:t>20,1</w:t>
            </w:r>
          </w:p>
        </w:tc>
        <w:tc>
          <w:tcPr>
            <w:tcW w:w="2159" w:type="dxa"/>
            <w:tcBorders>
              <w:top w:val="single" w:sz="4" w:space="0" w:color="BFBFBF" w:themeColor="background1" w:themeShade="BF"/>
              <w:right w:val="nil"/>
            </w:tcBorders>
          </w:tcPr>
          <w:p w:rsidR="00952143" w:rsidRPr="00EE16BE" w:rsidRDefault="00952143" w:rsidP="00D86960">
            <w:pPr>
              <w:spacing w:line="240" w:lineRule="exact"/>
              <w:ind w:right="170"/>
              <w:jc w:val="center"/>
              <w:rPr>
                <w:rFonts w:cs="Arial"/>
                <w:bCs/>
                <w:sz w:val="16"/>
                <w:szCs w:val="16"/>
              </w:rPr>
            </w:pPr>
            <w:r>
              <w:rPr>
                <w:rFonts w:cs="Arial"/>
                <w:bCs/>
                <w:sz w:val="16"/>
                <w:szCs w:val="16"/>
              </w:rPr>
              <w:t>18,7</w:t>
            </w:r>
          </w:p>
        </w:tc>
      </w:tr>
      <w:tr w:rsidR="00952143" w:rsidRPr="00F4159C" w:rsidTr="00D86960">
        <w:trPr>
          <w:jc w:val="center"/>
        </w:trPr>
        <w:tc>
          <w:tcPr>
            <w:tcW w:w="0" w:type="auto"/>
            <w:tcBorders>
              <w:right w:val="single" w:sz="4" w:space="0" w:color="BFBFBF" w:themeColor="background1" w:themeShade="BF"/>
            </w:tcBorders>
            <w:noWrap/>
          </w:tcPr>
          <w:p w:rsidR="00952143" w:rsidRPr="00BC494E" w:rsidRDefault="00952143" w:rsidP="00D86960">
            <w:pPr>
              <w:spacing w:line="240" w:lineRule="exact"/>
              <w:jc w:val="left"/>
              <w:rPr>
                <w:rFonts w:cs="Arial"/>
                <w:sz w:val="16"/>
                <w:szCs w:val="16"/>
              </w:rPr>
            </w:pPr>
            <w:r>
              <w:rPr>
                <w:rFonts w:cs="Arial"/>
                <w:sz w:val="16"/>
                <w:szCs w:val="16"/>
              </w:rPr>
              <w:t xml:space="preserve">Ha aumentado el empleo cualificado </w:t>
            </w:r>
          </w:p>
        </w:tc>
        <w:tc>
          <w:tcPr>
            <w:tcW w:w="2159" w:type="dxa"/>
            <w:tcBorders>
              <w:right w:val="single" w:sz="4" w:space="0" w:color="BFBFBF" w:themeColor="background1" w:themeShade="BF"/>
            </w:tcBorders>
          </w:tcPr>
          <w:p w:rsidR="00952143" w:rsidRPr="00EE16BE" w:rsidRDefault="00952143" w:rsidP="00D86960">
            <w:pPr>
              <w:spacing w:line="240" w:lineRule="exact"/>
              <w:ind w:right="170"/>
              <w:jc w:val="center"/>
              <w:rPr>
                <w:rFonts w:cs="Arial"/>
                <w:bCs/>
                <w:sz w:val="16"/>
                <w:szCs w:val="16"/>
              </w:rPr>
            </w:pPr>
            <w:r>
              <w:rPr>
                <w:rFonts w:cs="Arial"/>
                <w:bCs/>
                <w:sz w:val="16"/>
                <w:szCs w:val="16"/>
              </w:rPr>
              <w:t>20,9</w:t>
            </w:r>
          </w:p>
        </w:tc>
        <w:tc>
          <w:tcPr>
            <w:tcW w:w="2159" w:type="dxa"/>
            <w:tcBorders>
              <w:right w:val="nil"/>
            </w:tcBorders>
          </w:tcPr>
          <w:p w:rsidR="00952143" w:rsidRDefault="00952143" w:rsidP="00D86960">
            <w:pPr>
              <w:spacing w:line="240" w:lineRule="exact"/>
              <w:ind w:right="170"/>
              <w:jc w:val="center"/>
              <w:rPr>
                <w:rFonts w:cs="Arial"/>
                <w:bCs/>
                <w:sz w:val="16"/>
                <w:szCs w:val="16"/>
              </w:rPr>
            </w:pPr>
            <w:r>
              <w:rPr>
                <w:rFonts w:cs="Arial"/>
                <w:bCs/>
                <w:sz w:val="16"/>
                <w:szCs w:val="16"/>
              </w:rPr>
              <w:t>15,0</w:t>
            </w:r>
          </w:p>
        </w:tc>
      </w:tr>
      <w:tr w:rsidR="00952143" w:rsidRPr="00F4159C" w:rsidTr="00D86960">
        <w:trPr>
          <w:jc w:val="center"/>
        </w:trPr>
        <w:tc>
          <w:tcPr>
            <w:tcW w:w="0" w:type="auto"/>
            <w:tcBorders>
              <w:right w:val="single" w:sz="4" w:space="0" w:color="BFBFBF" w:themeColor="background1" w:themeShade="BF"/>
            </w:tcBorders>
            <w:shd w:val="clear" w:color="auto" w:fill="D9D9D9" w:themeFill="background1" w:themeFillShade="D9"/>
            <w:noWrap/>
          </w:tcPr>
          <w:p w:rsidR="00952143" w:rsidRPr="00BC494E" w:rsidRDefault="00952143" w:rsidP="00D86960">
            <w:pPr>
              <w:spacing w:line="240" w:lineRule="exact"/>
              <w:jc w:val="left"/>
              <w:rPr>
                <w:rFonts w:cs="Arial"/>
                <w:sz w:val="16"/>
                <w:szCs w:val="16"/>
              </w:rPr>
            </w:pPr>
          </w:p>
        </w:tc>
        <w:tc>
          <w:tcPr>
            <w:tcW w:w="2159" w:type="dxa"/>
            <w:tcBorders>
              <w:right w:val="single" w:sz="4" w:space="0" w:color="BFBFBF" w:themeColor="background1" w:themeShade="BF"/>
            </w:tcBorders>
            <w:shd w:val="clear" w:color="auto" w:fill="D9D9D9" w:themeFill="background1" w:themeFillShade="D9"/>
          </w:tcPr>
          <w:p w:rsidR="00952143" w:rsidRPr="00EE16BE" w:rsidRDefault="00952143" w:rsidP="00D86960">
            <w:pPr>
              <w:spacing w:line="240" w:lineRule="exact"/>
              <w:ind w:right="170"/>
              <w:jc w:val="center"/>
              <w:rPr>
                <w:rFonts w:cs="Arial"/>
                <w:bCs/>
                <w:sz w:val="16"/>
                <w:szCs w:val="16"/>
              </w:rPr>
            </w:pPr>
          </w:p>
        </w:tc>
        <w:tc>
          <w:tcPr>
            <w:tcW w:w="2159" w:type="dxa"/>
            <w:tcBorders>
              <w:right w:val="nil"/>
            </w:tcBorders>
            <w:shd w:val="clear" w:color="auto" w:fill="D9D9D9" w:themeFill="background1" w:themeFillShade="D9"/>
          </w:tcPr>
          <w:p w:rsidR="00952143" w:rsidRDefault="00952143" w:rsidP="00D86960">
            <w:pPr>
              <w:spacing w:line="240" w:lineRule="exact"/>
              <w:ind w:right="170"/>
              <w:jc w:val="center"/>
              <w:rPr>
                <w:rFonts w:cs="Arial"/>
                <w:bCs/>
                <w:sz w:val="16"/>
                <w:szCs w:val="16"/>
              </w:rPr>
            </w:pPr>
          </w:p>
        </w:tc>
      </w:tr>
      <w:tr w:rsidR="00952143" w:rsidRPr="00F4159C" w:rsidTr="00D86960">
        <w:trPr>
          <w:jc w:val="center"/>
        </w:trPr>
        <w:tc>
          <w:tcPr>
            <w:tcW w:w="0" w:type="auto"/>
            <w:tcBorders>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sz w:val="16"/>
                <w:szCs w:val="16"/>
              </w:rPr>
              <w:t>Se ha mantenido el empleo total</w:t>
            </w:r>
          </w:p>
        </w:tc>
        <w:tc>
          <w:tcPr>
            <w:tcW w:w="2159" w:type="dxa"/>
            <w:tcBorders>
              <w:right w:val="single" w:sz="4" w:space="0" w:color="BFBFBF" w:themeColor="background1" w:themeShade="BF"/>
            </w:tcBorders>
          </w:tcPr>
          <w:p w:rsidR="00952143" w:rsidRDefault="00952143" w:rsidP="00D86960">
            <w:pPr>
              <w:spacing w:line="240" w:lineRule="exact"/>
              <w:ind w:right="170"/>
              <w:jc w:val="center"/>
              <w:rPr>
                <w:rFonts w:cs="Arial"/>
                <w:bCs/>
                <w:sz w:val="16"/>
                <w:szCs w:val="16"/>
              </w:rPr>
            </w:pPr>
            <w:r>
              <w:rPr>
                <w:rFonts w:cs="Arial"/>
                <w:bCs/>
                <w:sz w:val="16"/>
                <w:szCs w:val="16"/>
              </w:rPr>
              <w:t>19,9</w:t>
            </w:r>
          </w:p>
        </w:tc>
        <w:tc>
          <w:tcPr>
            <w:tcW w:w="2159" w:type="dxa"/>
            <w:tcBorders>
              <w:right w:val="nil"/>
            </w:tcBorders>
          </w:tcPr>
          <w:p w:rsidR="00952143" w:rsidRDefault="00952143" w:rsidP="00D86960">
            <w:pPr>
              <w:spacing w:line="240" w:lineRule="exact"/>
              <w:ind w:right="170"/>
              <w:jc w:val="center"/>
              <w:rPr>
                <w:rFonts w:cs="Arial"/>
                <w:bCs/>
                <w:sz w:val="16"/>
                <w:szCs w:val="16"/>
              </w:rPr>
            </w:pPr>
            <w:r>
              <w:rPr>
                <w:rFonts w:cs="Arial"/>
                <w:bCs/>
                <w:sz w:val="16"/>
                <w:szCs w:val="16"/>
              </w:rPr>
              <w:t>41,8</w:t>
            </w:r>
          </w:p>
        </w:tc>
      </w:tr>
      <w:tr w:rsidR="00952143" w:rsidRPr="00F4159C" w:rsidTr="00D86960">
        <w:trPr>
          <w:jc w:val="center"/>
        </w:trPr>
        <w:tc>
          <w:tcPr>
            <w:tcW w:w="0" w:type="auto"/>
            <w:tcBorders>
              <w:right w:val="single" w:sz="4" w:space="0" w:color="BFBFBF" w:themeColor="background1" w:themeShade="BF"/>
            </w:tcBorders>
            <w:shd w:val="clear" w:color="auto" w:fill="D9D9D9" w:themeFill="background1" w:themeFillShade="D9"/>
            <w:noWrap/>
          </w:tcPr>
          <w:p w:rsidR="00952143" w:rsidRDefault="00952143" w:rsidP="00D86960">
            <w:pPr>
              <w:spacing w:line="240" w:lineRule="exact"/>
              <w:jc w:val="left"/>
              <w:rPr>
                <w:rFonts w:cs="Arial"/>
                <w:sz w:val="16"/>
                <w:szCs w:val="16"/>
              </w:rPr>
            </w:pPr>
          </w:p>
        </w:tc>
        <w:tc>
          <w:tcPr>
            <w:tcW w:w="2159" w:type="dxa"/>
            <w:tcBorders>
              <w:right w:val="single" w:sz="4" w:space="0" w:color="BFBFBF" w:themeColor="background1" w:themeShade="BF"/>
            </w:tcBorders>
            <w:shd w:val="clear" w:color="auto" w:fill="D9D9D9" w:themeFill="background1" w:themeFillShade="D9"/>
          </w:tcPr>
          <w:p w:rsidR="00952143" w:rsidRDefault="00952143" w:rsidP="00D86960">
            <w:pPr>
              <w:spacing w:line="240" w:lineRule="exact"/>
              <w:ind w:right="170"/>
              <w:jc w:val="center"/>
              <w:rPr>
                <w:rFonts w:cs="Arial"/>
                <w:bCs/>
                <w:sz w:val="16"/>
                <w:szCs w:val="16"/>
              </w:rPr>
            </w:pPr>
          </w:p>
        </w:tc>
        <w:tc>
          <w:tcPr>
            <w:tcW w:w="2159" w:type="dxa"/>
            <w:tcBorders>
              <w:right w:val="nil"/>
            </w:tcBorders>
            <w:shd w:val="clear" w:color="auto" w:fill="D9D9D9" w:themeFill="background1" w:themeFillShade="D9"/>
            <w:vAlign w:val="bottom"/>
          </w:tcPr>
          <w:p w:rsidR="00952143" w:rsidRPr="00D41F6E" w:rsidRDefault="00952143" w:rsidP="00D86960">
            <w:pPr>
              <w:spacing w:line="240" w:lineRule="exact"/>
              <w:ind w:right="170"/>
              <w:jc w:val="center"/>
              <w:rPr>
                <w:rFonts w:cs="Arial"/>
                <w:bCs/>
                <w:sz w:val="16"/>
                <w:szCs w:val="16"/>
              </w:rPr>
            </w:pPr>
          </w:p>
        </w:tc>
      </w:tr>
      <w:tr w:rsidR="00952143" w:rsidRPr="00F4159C" w:rsidTr="00D86960">
        <w:trPr>
          <w:jc w:val="center"/>
        </w:trPr>
        <w:tc>
          <w:tcPr>
            <w:tcW w:w="0" w:type="auto"/>
            <w:tcBorders>
              <w:right w:val="single" w:sz="4" w:space="0" w:color="BFBFBF" w:themeColor="background1" w:themeShade="BF"/>
            </w:tcBorders>
            <w:noWrap/>
          </w:tcPr>
          <w:p w:rsidR="00952143" w:rsidRDefault="00952143" w:rsidP="00D86960">
            <w:pPr>
              <w:spacing w:line="240" w:lineRule="exact"/>
              <w:jc w:val="left"/>
              <w:rPr>
                <w:rFonts w:cs="Arial"/>
                <w:sz w:val="16"/>
                <w:szCs w:val="16"/>
              </w:rPr>
            </w:pPr>
            <w:r>
              <w:rPr>
                <w:rFonts w:cs="Arial"/>
                <w:sz w:val="16"/>
                <w:szCs w:val="16"/>
              </w:rPr>
              <w:t xml:space="preserve">Se ha reducido el empleo total </w:t>
            </w:r>
          </w:p>
        </w:tc>
        <w:tc>
          <w:tcPr>
            <w:tcW w:w="2159" w:type="dxa"/>
            <w:tcBorders>
              <w:right w:val="single" w:sz="4" w:space="0" w:color="BFBFBF" w:themeColor="background1" w:themeShade="BF"/>
            </w:tcBorders>
          </w:tcPr>
          <w:p w:rsidR="00952143" w:rsidRDefault="00952143" w:rsidP="00D86960">
            <w:pPr>
              <w:spacing w:line="240" w:lineRule="exact"/>
              <w:ind w:right="170"/>
              <w:jc w:val="center"/>
              <w:rPr>
                <w:rFonts w:cs="Arial"/>
                <w:bCs/>
                <w:sz w:val="16"/>
                <w:szCs w:val="16"/>
              </w:rPr>
            </w:pPr>
            <w:r>
              <w:rPr>
                <w:rFonts w:cs="Arial"/>
                <w:bCs/>
                <w:sz w:val="16"/>
                <w:szCs w:val="16"/>
              </w:rPr>
              <w:t>0,2</w:t>
            </w:r>
          </w:p>
        </w:tc>
        <w:tc>
          <w:tcPr>
            <w:tcW w:w="2159" w:type="dxa"/>
            <w:tcBorders>
              <w:bottom w:val="single" w:sz="4" w:space="0" w:color="BFBFBF" w:themeColor="background1" w:themeShade="BF"/>
              <w:right w:val="nil"/>
            </w:tcBorders>
            <w:vAlign w:val="bottom"/>
          </w:tcPr>
          <w:p w:rsidR="00952143" w:rsidRPr="00D41F6E" w:rsidRDefault="00952143" w:rsidP="00D86960">
            <w:pPr>
              <w:spacing w:line="240" w:lineRule="exact"/>
              <w:ind w:right="170"/>
              <w:jc w:val="center"/>
              <w:rPr>
                <w:rFonts w:cs="Arial"/>
                <w:bCs/>
                <w:sz w:val="16"/>
                <w:szCs w:val="16"/>
              </w:rPr>
            </w:pPr>
            <w:r>
              <w:rPr>
                <w:rFonts w:cs="Arial"/>
                <w:bCs/>
                <w:sz w:val="16"/>
                <w:szCs w:val="16"/>
              </w:rPr>
              <w:t>6,0</w:t>
            </w:r>
          </w:p>
        </w:tc>
      </w:tr>
    </w:tbl>
    <w:p w:rsidR="00952143" w:rsidRDefault="00952143" w:rsidP="00D508DF">
      <w:pPr>
        <w:spacing w:line="240" w:lineRule="auto"/>
        <w:jc w:val="center"/>
        <w:rPr>
          <w:rFonts w:eastAsia="Times New Roman" w:cs="Arial"/>
          <w:i/>
          <w:sz w:val="16"/>
          <w:szCs w:val="20"/>
          <w:lang w:val="es-ES_tradnl" w:eastAsia="es-ES"/>
        </w:rPr>
      </w:pPr>
      <w:r w:rsidRPr="00135BA1">
        <w:rPr>
          <w:rFonts w:eastAsia="Times New Roman" w:cs="Arial"/>
          <w:i/>
          <w:sz w:val="16"/>
          <w:szCs w:val="20"/>
          <w:lang w:val="es-ES_tradnl" w:eastAsia="es-ES"/>
        </w:rPr>
        <w:t xml:space="preserve">Fuente: </w:t>
      </w:r>
      <w:r>
        <w:rPr>
          <w:rFonts w:eastAsia="Times New Roman" w:cs="Arial"/>
          <w:i/>
          <w:sz w:val="16"/>
          <w:szCs w:val="20"/>
          <w:lang w:val="es-ES_tradnl" w:eastAsia="es-ES"/>
        </w:rPr>
        <w:t xml:space="preserve">Elaboración propia a partir de </w:t>
      </w:r>
      <w:proofErr w:type="spellStart"/>
      <w:r w:rsidRPr="00135BA1">
        <w:rPr>
          <w:rFonts w:eastAsia="Times New Roman" w:cs="Arial"/>
          <w:i/>
          <w:sz w:val="16"/>
          <w:szCs w:val="20"/>
          <w:lang w:val="es-ES_tradnl" w:eastAsia="es-ES"/>
        </w:rPr>
        <w:t>Eustat</w:t>
      </w:r>
      <w:proofErr w:type="spellEnd"/>
      <w:r w:rsidRPr="00135BA1">
        <w:rPr>
          <w:rFonts w:eastAsia="Times New Roman" w:cs="Arial"/>
          <w:i/>
          <w:sz w:val="16"/>
          <w:szCs w:val="20"/>
          <w:lang w:val="es-ES_tradnl" w:eastAsia="es-ES"/>
        </w:rPr>
        <w:t>. Encuesta de innovación</w:t>
      </w:r>
      <w:r>
        <w:rPr>
          <w:rFonts w:eastAsia="Times New Roman" w:cs="Arial"/>
          <w:i/>
          <w:sz w:val="16"/>
          <w:szCs w:val="20"/>
          <w:lang w:val="es-ES_tradnl" w:eastAsia="es-ES"/>
        </w:rPr>
        <w:t xml:space="preserve"> 2015</w:t>
      </w:r>
    </w:p>
    <w:p w:rsidR="00952143" w:rsidRDefault="00952143" w:rsidP="00D508DF">
      <w:pPr>
        <w:jc w:val="center"/>
        <w:rPr>
          <w:rFonts w:eastAsia="Times New Roman" w:cs="Arial"/>
          <w:i/>
          <w:sz w:val="16"/>
          <w:szCs w:val="20"/>
          <w:lang w:val="es-ES_tradnl" w:eastAsia="es-ES"/>
        </w:rPr>
      </w:pPr>
      <w:r w:rsidRPr="00406864">
        <w:rPr>
          <w:rFonts w:eastAsia="Times New Roman" w:cs="Arial"/>
          <w:i/>
          <w:sz w:val="16"/>
          <w:szCs w:val="20"/>
          <w:lang w:val="es-ES_tradnl" w:eastAsia="es-ES"/>
        </w:rPr>
        <w:t xml:space="preserve">Base: </w:t>
      </w:r>
      <w:r>
        <w:rPr>
          <w:rFonts w:eastAsia="Times New Roman" w:cs="Arial"/>
          <w:i/>
          <w:sz w:val="16"/>
          <w:szCs w:val="20"/>
          <w:lang w:val="es-ES_tradnl" w:eastAsia="es-ES"/>
        </w:rPr>
        <w:t>E</w:t>
      </w:r>
      <w:r w:rsidRPr="00406864">
        <w:rPr>
          <w:rFonts w:eastAsia="Times New Roman" w:cs="Arial"/>
          <w:i/>
          <w:sz w:val="16"/>
          <w:szCs w:val="20"/>
          <w:lang w:val="es-ES_tradnl" w:eastAsia="es-ES"/>
        </w:rPr>
        <w:t>mpresas que han realizado innovación en el periodo 2012-2014</w:t>
      </w:r>
    </w:p>
    <w:p w:rsidR="00952143" w:rsidRDefault="00952143" w:rsidP="00952143">
      <w:pPr>
        <w:ind w:left="708"/>
        <w:rPr>
          <w:rFonts w:eastAsia="Times New Roman" w:cs="Arial"/>
          <w:i/>
          <w:sz w:val="16"/>
          <w:szCs w:val="20"/>
          <w:lang w:val="es-ES_tradnl" w:eastAsia="es-ES"/>
        </w:rPr>
      </w:pPr>
    </w:p>
    <w:p w:rsidR="00952143" w:rsidRDefault="00952143" w:rsidP="00952143">
      <w:pPr>
        <w:spacing w:after="200" w:line="276" w:lineRule="auto"/>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952143" w:rsidRDefault="008D5779" w:rsidP="00952143">
      <w:pPr>
        <w:spacing w:line="240" w:lineRule="auto"/>
        <w:jc w:val="center"/>
        <w:rPr>
          <w:rFonts w:cs="Arial"/>
          <w:b/>
          <w:snapToGrid w:val="0"/>
          <w:color w:val="1F497D" w:themeColor="text2"/>
          <w:sz w:val="18"/>
          <w:szCs w:val="18"/>
          <w:lang w:val="es-ES_tradnl"/>
        </w:rPr>
      </w:pPr>
      <w:bookmarkStart w:id="349" w:name="_Toc450119774"/>
      <w:r w:rsidRPr="008D5779">
        <w:rPr>
          <w:rFonts w:cs="Arial"/>
          <w:b/>
          <w:bCs/>
          <w:snapToGrid w:val="0"/>
          <w:color w:val="1F497D" w:themeColor="text2"/>
          <w:sz w:val="18"/>
          <w:szCs w:val="18"/>
          <w:lang w:val="es-ES_tradnl"/>
        </w:rPr>
        <w:lastRenderedPageBreak/>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14</w:t>
      </w:r>
      <w:r w:rsidR="00771A61" w:rsidRPr="008D5779">
        <w:rPr>
          <w:rFonts w:cs="Arial"/>
          <w:b/>
          <w:bCs/>
          <w:snapToGrid w:val="0"/>
          <w:color w:val="1F497D" w:themeColor="text2"/>
          <w:sz w:val="18"/>
          <w:szCs w:val="18"/>
          <w:lang w:val="es-ES_tradnl"/>
        </w:rPr>
        <w:fldChar w:fldCharType="end"/>
      </w:r>
      <w:r w:rsidR="00537ABD">
        <w:rPr>
          <w:rFonts w:cs="Arial"/>
          <w:b/>
          <w:snapToGrid w:val="0"/>
          <w:color w:val="1F497D" w:themeColor="text2"/>
          <w:sz w:val="18"/>
          <w:szCs w:val="18"/>
          <w:lang w:val="es-ES_tradnl"/>
        </w:rPr>
        <w:t xml:space="preserve"> </w:t>
      </w:r>
      <w:r w:rsidR="00AD2922">
        <w:rPr>
          <w:rFonts w:cs="Arial"/>
          <w:b/>
          <w:snapToGrid w:val="0"/>
          <w:color w:val="1F497D" w:themeColor="text2"/>
          <w:sz w:val="18"/>
          <w:szCs w:val="18"/>
          <w:lang w:val="es-ES_tradnl"/>
        </w:rPr>
        <w:t xml:space="preserve"> TIPO E INTENSIDAD</w:t>
      </w:r>
      <w:r w:rsidR="00952143">
        <w:rPr>
          <w:rFonts w:cs="Arial"/>
          <w:b/>
          <w:snapToGrid w:val="0"/>
          <w:color w:val="1F497D" w:themeColor="text2"/>
          <w:sz w:val="18"/>
          <w:szCs w:val="18"/>
          <w:lang w:val="es-ES_tradnl"/>
        </w:rPr>
        <w:t xml:space="preserve"> DEL IMPACTO DE LA INNOVACIÓN SOBRE EL EMPLEO TOTAL. 2014</w:t>
      </w:r>
      <w:bookmarkEnd w:id="349"/>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18"/>
        <w:gridCol w:w="1599"/>
        <w:gridCol w:w="1903"/>
        <w:gridCol w:w="1660"/>
        <w:gridCol w:w="1660"/>
      </w:tblGrid>
      <w:tr w:rsidR="00952143" w:rsidRPr="001A3A42" w:rsidTr="00D86960">
        <w:trPr>
          <w:jc w:val="center"/>
        </w:trPr>
        <w:tc>
          <w:tcPr>
            <w:tcW w:w="2976"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1A3A42" w:rsidRDefault="00952143" w:rsidP="00D86960">
            <w:pPr>
              <w:spacing w:line="240" w:lineRule="exact"/>
              <w:rPr>
                <w:rFonts w:cs="Arial"/>
                <w:b/>
                <w:bCs/>
                <w:sz w:val="16"/>
                <w:szCs w:val="16"/>
              </w:rPr>
            </w:pPr>
          </w:p>
        </w:tc>
        <w:tc>
          <w:tcPr>
            <w:tcW w:w="1527"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D508DF" w:rsidP="00D86960">
            <w:pPr>
              <w:spacing w:line="240" w:lineRule="exact"/>
              <w:jc w:val="center"/>
              <w:rPr>
                <w:rFonts w:cs="Arial"/>
                <w:b/>
                <w:bCs/>
                <w:sz w:val="16"/>
                <w:szCs w:val="16"/>
              </w:rPr>
            </w:pPr>
            <w:r>
              <w:rPr>
                <w:rFonts w:cs="Arial"/>
                <w:b/>
                <w:bCs/>
                <w:sz w:val="16"/>
                <w:szCs w:val="16"/>
              </w:rPr>
              <w:t>TOTAL</w:t>
            </w:r>
          </w:p>
          <w:p w:rsidR="00952143" w:rsidRPr="001A3A42" w:rsidRDefault="00952143" w:rsidP="00D86960">
            <w:pPr>
              <w:spacing w:line="240" w:lineRule="exact"/>
              <w:jc w:val="center"/>
              <w:rPr>
                <w:rFonts w:cs="Arial"/>
                <w:b/>
                <w:bCs/>
                <w:sz w:val="16"/>
                <w:szCs w:val="16"/>
              </w:rPr>
            </w:pPr>
            <w:r w:rsidRPr="001A3A42">
              <w:rPr>
                <w:rFonts w:cs="Arial"/>
                <w:b/>
                <w:bCs/>
                <w:sz w:val="16"/>
                <w:szCs w:val="16"/>
              </w:rPr>
              <w:t>%</w:t>
            </w:r>
          </w:p>
        </w:tc>
        <w:tc>
          <w:tcPr>
            <w:tcW w:w="4987" w:type="dxa"/>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952143" w:rsidRPr="001A3A42" w:rsidRDefault="00952143" w:rsidP="00D86960">
            <w:pPr>
              <w:spacing w:line="240" w:lineRule="exact"/>
              <w:jc w:val="center"/>
              <w:rPr>
                <w:rFonts w:cs="Arial"/>
                <w:b/>
                <w:bCs/>
                <w:sz w:val="16"/>
                <w:szCs w:val="16"/>
              </w:rPr>
            </w:pPr>
            <w:r w:rsidRPr="001A3A42">
              <w:rPr>
                <w:rFonts w:cs="Arial"/>
                <w:b/>
                <w:bCs/>
                <w:sz w:val="16"/>
                <w:szCs w:val="16"/>
              </w:rPr>
              <w:t>Grado del impacto</w:t>
            </w:r>
          </w:p>
        </w:tc>
      </w:tr>
      <w:tr w:rsidR="00952143" w:rsidRPr="001A3A42" w:rsidTr="00D86960">
        <w:trPr>
          <w:jc w:val="center"/>
        </w:trPr>
        <w:tc>
          <w:tcPr>
            <w:tcW w:w="2976"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1A3A42" w:rsidRDefault="00952143" w:rsidP="00D86960">
            <w:pPr>
              <w:spacing w:line="240" w:lineRule="exact"/>
              <w:rPr>
                <w:rFonts w:cs="Arial"/>
                <w:b/>
                <w:bCs/>
                <w:sz w:val="16"/>
                <w:szCs w:val="16"/>
              </w:rPr>
            </w:pPr>
          </w:p>
        </w:tc>
        <w:tc>
          <w:tcPr>
            <w:tcW w:w="1527"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952143" w:rsidP="00D86960">
            <w:pPr>
              <w:spacing w:line="240" w:lineRule="exact"/>
              <w:jc w:val="center"/>
              <w:rPr>
                <w:rFonts w:cs="Arial"/>
                <w:b/>
                <w:bCs/>
                <w:sz w:val="16"/>
                <w:szCs w:val="16"/>
              </w:rPr>
            </w:pPr>
          </w:p>
        </w:tc>
        <w:tc>
          <w:tcPr>
            <w:tcW w:w="18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952143" w:rsidP="00D86960">
            <w:pPr>
              <w:spacing w:line="240" w:lineRule="exact"/>
              <w:jc w:val="center"/>
              <w:rPr>
                <w:rFonts w:cs="Arial"/>
                <w:bCs/>
                <w:sz w:val="16"/>
                <w:szCs w:val="16"/>
              </w:rPr>
            </w:pPr>
            <w:r w:rsidRPr="001A3A42">
              <w:rPr>
                <w:rFonts w:cs="Arial"/>
                <w:bCs/>
                <w:sz w:val="16"/>
                <w:szCs w:val="16"/>
              </w:rPr>
              <w:t>De forma significativa</w:t>
            </w:r>
          </w:p>
        </w:tc>
        <w:tc>
          <w:tcPr>
            <w:tcW w:w="158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952143" w:rsidP="00D86960">
            <w:pPr>
              <w:spacing w:line="240" w:lineRule="exact"/>
              <w:jc w:val="center"/>
              <w:rPr>
                <w:rFonts w:cs="Arial"/>
                <w:bCs/>
                <w:sz w:val="16"/>
                <w:szCs w:val="16"/>
              </w:rPr>
            </w:pPr>
            <w:r w:rsidRPr="001A3A42">
              <w:rPr>
                <w:rFonts w:cs="Arial"/>
                <w:bCs/>
                <w:sz w:val="16"/>
                <w:szCs w:val="16"/>
              </w:rPr>
              <w:t>De forma limitada</w:t>
            </w:r>
          </w:p>
        </w:tc>
        <w:tc>
          <w:tcPr>
            <w:tcW w:w="1585"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952143" w:rsidRPr="001A3A42" w:rsidRDefault="00952143" w:rsidP="00D86960">
            <w:pPr>
              <w:spacing w:line="240" w:lineRule="exact"/>
              <w:jc w:val="center"/>
              <w:rPr>
                <w:rFonts w:cs="Arial"/>
                <w:bCs/>
                <w:sz w:val="16"/>
                <w:szCs w:val="16"/>
              </w:rPr>
            </w:pPr>
            <w:proofErr w:type="spellStart"/>
            <w:r w:rsidRPr="001A3A42">
              <w:rPr>
                <w:rFonts w:cs="Arial"/>
                <w:bCs/>
                <w:sz w:val="16"/>
                <w:szCs w:val="16"/>
              </w:rPr>
              <w:t>Ns</w:t>
            </w:r>
            <w:proofErr w:type="spellEnd"/>
            <w:r w:rsidRPr="001A3A42">
              <w:rPr>
                <w:rFonts w:cs="Arial"/>
                <w:bCs/>
                <w:sz w:val="16"/>
                <w:szCs w:val="16"/>
              </w:rPr>
              <w:t>/</w:t>
            </w:r>
            <w:proofErr w:type="spellStart"/>
            <w:r w:rsidRPr="001A3A42">
              <w:rPr>
                <w:rFonts w:cs="Arial"/>
                <w:bCs/>
                <w:sz w:val="16"/>
                <w:szCs w:val="16"/>
              </w:rPr>
              <w:t>Nc</w:t>
            </w:r>
            <w:proofErr w:type="spellEnd"/>
          </w:p>
        </w:tc>
      </w:tr>
      <w:tr w:rsidR="00952143" w:rsidRPr="001A3A42" w:rsidTr="00D86960">
        <w:trPr>
          <w:jc w:val="center"/>
        </w:trPr>
        <w:tc>
          <w:tcPr>
            <w:tcW w:w="2976" w:type="dxa"/>
            <w:tcBorders>
              <w:top w:val="single" w:sz="4" w:space="0" w:color="BFBFBF" w:themeColor="background1" w:themeShade="BF"/>
              <w:right w:val="single" w:sz="4" w:space="0" w:color="BFBFBF" w:themeColor="background1" w:themeShade="BF"/>
            </w:tcBorders>
            <w:noWrap/>
          </w:tcPr>
          <w:p w:rsidR="00952143" w:rsidRPr="001A3A42" w:rsidRDefault="00952143" w:rsidP="00D86960">
            <w:pPr>
              <w:spacing w:line="240" w:lineRule="auto"/>
              <w:jc w:val="left"/>
              <w:rPr>
                <w:rFonts w:cs="Arial"/>
                <w:b/>
                <w:sz w:val="16"/>
                <w:szCs w:val="16"/>
              </w:rPr>
            </w:pPr>
            <w:r w:rsidRPr="001A3A42">
              <w:rPr>
                <w:rFonts w:cs="Arial"/>
                <w:b/>
                <w:sz w:val="16"/>
                <w:szCs w:val="16"/>
              </w:rPr>
              <w:t xml:space="preserve">HA TENIDO EFECTO SOBRE EL EMPLEO TOTAL </w:t>
            </w:r>
          </w:p>
        </w:tc>
        <w:tc>
          <w:tcPr>
            <w:tcW w:w="1527"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52,6</w:t>
            </w:r>
          </w:p>
        </w:tc>
        <w:tc>
          <w:tcPr>
            <w:tcW w:w="4987" w:type="dxa"/>
            <w:gridSpan w:val="3"/>
            <w:vMerge w:val="restart"/>
            <w:tcBorders>
              <w:top w:val="single" w:sz="4" w:space="0" w:color="BFBFBF" w:themeColor="background1" w:themeShade="BF"/>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2976" w:type="dxa"/>
            <w:tcBorders>
              <w:top w:val="single" w:sz="4" w:space="0" w:color="BFBFBF" w:themeColor="background1" w:themeShade="BF"/>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auto"/>
              <w:jc w:val="left"/>
              <w:rPr>
                <w:rFonts w:cs="Arial"/>
                <w:sz w:val="16"/>
                <w:szCs w:val="16"/>
              </w:rPr>
            </w:pPr>
          </w:p>
        </w:tc>
        <w:tc>
          <w:tcPr>
            <w:tcW w:w="1527" w:type="dxa"/>
            <w:tcBorders>
              <w:top w:val="single" w:sz="4" w:space="0" w:color="BFBFBF" w:themeColor="background1" w:themeShade="BF"/>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
                <w:bCs/>
                <w:sz w:val="16"/>
                <w:szCs w:val="16"/>
              </w:rPr>
            </w:pPr>
          </w:p>
        </w:tc>
        <w:tc>
          <w:tcPr>
            <w:tcW w:w="4987" w:type="dxa"/>
            <w:gridSpan w:val="3"/>
            <w:vMerge/>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2976" w:type="dxa"/>
            <w:tcBorders>
              <w:top w:val="single" w:sz="4" w:space="0" w:color="BFBFBF" w:themeColor="background1" w:themeShade="BF"/>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 xml:space="preserve">Ha aumentado el empleo total </w:t>
            </w:r>
          </w:p>
        </w:tc>
        <w:tc>
          <w:tcPr>
            <w:tcW w:w="1527"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20,1</w:t>
            </w:r>
          </w:p>
        </w:tc>
        <w:tc>
          <w:tcPr>
            <w:tcW w:w="1817"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33,1</w:t>
            </w:r>
          </w:p>
        </w:tc>
        <w:tc>
          <w:tcPr>
            <w:tcW w:w="1585"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56,4</w:t>
            </w:r>
          </w:p>
        </w:tc>
        <w:tc>
          <w:tcPr>
            <w:tcW w:w="1585" w:type="dxa"/>
            <w:tcBorders>
              <w:top w:val="single" w:sz="4" w:space="0" w:color="BFBFBF" w:themeColor="background1" w:themeShade="BF"/>
              <w:right w:val="nil"/>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10,5</w:t>
            </w:r>
          </w:p>
        </w:tc>
      </w:tr>
      <w:tr w:rsidR="00952143" w:rsidRPr="001A3A42" w:rsidTr="00D86960">
        <w:trPr>
          <w:jc w:val="center"/>
        </w:trPr>
        <w:tc>
          <w:tcPr>
            <w:tcW w:w="2976" w:type="dxa"/>
            <w:tcBorders>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auto"/>
              <w:jc w:val="left"/>
              <w:rPr>
                <w:rFonts w:cs="Arial"/>
                <w:sz w:val="16"/>
                <w:szCs w:val="16"/>
              </w:rPr>
            </w:pPr>
          </w:p>
        </w:tc>
        <w:tc>
          <w:tcPr>
            <w:tcW w:w="1527"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
                <w:bCs/>
                <w:sz w:val="16"/>
                <w:szCs w:val="16"/>
              </w:rPr>
            </w:pPr>
          </w:p>
        </w:tc>
        <w:tc>
          <w:tcPr>
            <w:tcW w:w="1817"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8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85" w:type="dxa"/>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2976" w:type="dxa"/>
            <w:tcBorders>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Se ha mantenido el empleo total</w:t>
            </w:r>
          </w:p>
        </w:tc>
        <w:tc>
          <w:tcPr>
            <w:tcW w:w="1527"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19,9</w:t>
            </w:r>
          </w:p>
        </w:tc>
        <w:tc>
          <w:tcPr>
            <w:tcW w:w="1817"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54,5</w:t>
            </w:r>
          </w:p>
        </w:tc>
        <w:tc>
          <w:tcPr>
            <w:tcW w:w="1585"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42,2</w:t>
            </w:r>
          </w:p>
        </w:tc>
        <w:tc>
          <w:tcPr>
            <w:tcW w:w="1585" w:type="dxa"/>
            <w:tcBorders>
              <w:right w:val="nil"/>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3,3</w:t>
            </w:r>
          </w:p>
        </w:tc>
      </w:tr>
      <w:tr w:rsidR="00952143" w:rsidRPr="001A3A42" w:rsidTr="00D86960">
        <w:trPr>
          <w:jc w:val="center"/>
        </w:trPr>
        <w:tc>
          <w:tcPr>
            <w:tcW w:w="2976" w:type="dxa"/>
            <w:tcBorders>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auto"/>
              <w:jc w:val="left"/>
              <w:rPr>
                <w:rFonts w:cs="Arial"/>
                <w:sz w:val="16"/>
                <w:szCs w:val="16"/>
              </w:rPr>
            </w:pPr>
          </w:p>
        </w:tc>
        <w:tc>
          <w:tcPr>
            <w:tcW w:w="1527"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
                <w:bCs/>
                <w:sz w:val="16"/>
                <w:szCs w:val="16"/>
              </w:rPr>
            </w:pPr>
          </w:p>
        </w:tc>
        <w:tc>
          <w:tcPr>
            <w:tcW w:w="1817"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8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85" w:type="dxa"/>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2976" w:type="dxa"/>
            <w:tcBorders>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 xml:space="preserve">Se ha permitido limitar la reducción del </w:t>
            </w:r>
          </w:p>
          <w:p w:rsidR="00952143" w:rsidRPr="001A3A42" w:rsidRDefault="00952143" w:rsidP="00D86960">
            <w:pPr>
              <w:spacing w:line="240" w:lineRule="auto"/>
              <w:jc w:val="left"/>
              <w:rPr>
                <w:rFonts w:cs="Arial"/>
                <w:sz w:val="16"/>
                <w:szCs w:val="16"/>
              </w:rPr>
            </w:pPr>
            <w:r w:rsidRPr="001A3A42">
              <w:rPr>
                <w:rFonts w:cs="Arial"/>
                <w:sz w:val="16"/>
                <w:szCs w:val="16"/>
              </w:rPr>
              <w:t>nivel del empleo total</w:t>
            </w:r>
          </w:p>
        </w:tc>
        <w:tc>
          <w:tcPr>
            <w:tcW w:w="1527"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2,8</w:t>
            </w:r>
          </w:p>
        </w:tc>
        <w:tc>
          <w:tcPr>
            <w:tcW w:w="1817"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39,4</w:t>
            </w:r>
          </w:p>
        </w:tc>
        <w:tc>
          <w:tcPr>
            <w:tcW w:w="1585"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60,6</w:t>
            </w:r>
          </w:p>
        </w:tc>
        <w:tc>
          <w:tcPr>
            <w:tcW w:w="1585" w:type="dxa"/>
            <w:tcBorders>
              <w:right w:val="nil"/>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0</w:t>
            </w:r>
          </w:p>
        </w:tc>
      </w:tr>
      <w:tr w:rsidR="00952143" w:rsidRPr="001A3A42" w:rsidTr="00D86960">
        <w:trPr>
          <w:jc w:val="center"/>
        </w:trPr>
        <w:tc>
          <w:tcPr>
            <w:tcW w:w="2976" w:type="dxa"/>
            <w:tcBorders>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auto"/>
              <w:jc w:val="left"/>
              <w:rPr>
                <w:rFonts w:cs="Arial"/>
                <w:sz w:val="16"/>
                <w:szCs w:val="16"/>
              </w:rPr>
            </w:pPr>
          </w:p>
        </w:tc>
        <w:tc>
          <w:tcPr>
            <w:tcW w:w="1527"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
                <w:bCs/>
                <w:sz w:val="16"/>
                <w:szCs w:val="16"/>
              </w:rPr>
            </w:pPr>
          </w:p>
        </w:tc>
        <w:tc>
          <w:tcPr>
            <w:tcW w:w="1817"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8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85" w:type="dxa"/>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2976" w:type="dxa"/>
            <w:tcBorders>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 xml:space="preserve">Se ha reducido el empleo total </w:t>
            </w:r>
          </w:p>
        </w:tc>
        <w:tc>
          <w:tcPr>
            <w:tcW w:w="1527"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0</w:t>
            </w:r>
          </w:p>
        </w:tc>
        <w:tc>
          <w:tcPr>
            <w:tcW w:w="1817" w:type="dxa"/>
            <w:tcBorders>
              <w:bottom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p>
        </w:tc>
        <w:tc>
          <w:tcPr>
            <w:tcW w:w="1585" w:type="dxa"/>
            <w:tcBorders>
              <w:bottom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p>
        </w:tc>
        <w:tc>
          <w:tcPr>
            <w:tcW w:w="1585" w:type="dxa"/>
            <w:tcBorders>
              <w:bottom w:val="single" w:sz="4" w:space="0" w:color="BFBFBF" w:themeColor="background1" w:themeShade="BF"/>
              <w:right w:val="nil"/>
            </w:tcBorders>
          </w:tcPr>
          <w:p w:rsidR="00952143" w:rsidRPr="001A3A42" w:rsidRDefault="00952143" w:rsidP="00D86960">
            <w:pPr>
              <w:spacing w:line="240" w:lineRule="exact"/>
              <w:ind w:right="170"/>
              <w:jc w:val="center"/>
              <w:rPr>
                <w:rFonts w:cs="Arial"/>
                <w:bCs/>
                <w:sz w:val="16"/>
                <w:szCs w:val="16"/>
              </w:rPr>
            </w:pPr>
          </w:p>
        </w:tc>
      </w:tr>
    </w:tbl>
    <w:p w:rsidR="00952143" w:rsidRDefault="00952143" w:rsidP="00952143">
      <w:pPr>
        <w:ind w:left="708"/>
        <w:rPr>
          <w:rFonts w:eastAsia="Times New Roman" w:cs="Arial"/>
          <w:i/>
          <w:sz w:val="16"/>
          <w:szCs w:val="20"/>
          <w:lang w:val="es-ES_tradnl" w:eastAsia="es-ES"/>
        </w:rPr>
      </w:pPr>
    </w:p>
    <w:p w:rsidR="00952143" w:rsidRDefault="00952143" w:rsidP="00952143">
      <w:pPr>
        <w:ind w:left="708"/>
        <w:rPr>
          <w:rFonts w:eastAsia="Times New Roman" w:cs="Arial"/>
          <w:i/>
          <w:sz w:val="16"/>
          <w:szCs w:val="20"/>
          <w:lang w:val="es-ES_tradnl" w:eastAsia="es-ES"/>
        </w:rPr>
      </w:pPr>
    </w:p>
    <w:p w:rsidR="00952143" w:rsidRDefault="008D5779" w:rsidP="00952143">
      <w:pPr>
        <w:spacing w:line="240" w:lineRule="auto"/>
        <w:jc w:val="center"/>
        <w:rPr>
          <w:rFonts w:cs="Arial"/>
          <w:b/>
          <w:snapToGrid w:val="0"/>
          <w:color w:val="1F497D" w:themeColor="text2"/>
          <w:sz w:val="18"/>
          <w:szCs w:val="18"/>
          <w:lang w:val="es-ES_tradnl"/>
        </w:rPr>
      </w:pPr>
      <w:bookmarkStart w:id="350" w:name="_Toc450119775"/>
      <w:r w:rsidRPr="008D5779">
        <w:rPr>
          <w:rFonts w:cs="Arial"/>
          <w:b/>
          <w:bCs/>
          <w:snapToGrid w:val="0"/>
          <w:color w:val="1F497D" w:themeColor="text2"/>
          <w:sz w:val="18"/>
          <w:szCs w:val="18"/>
          <w:lang w:val="es-ES_tradnl"/>
        </w:rPr>
        <w:t>Cuadro 3.</w:t>
      </w:r>
      <w:r w:rsidR="00771A61" w:rsidRPr="008D5779">
        <w:rPr>
          <w:rFonts w:cs="Arial"/>
          <w:b/>
          <w:bCs/>
          <w:snapToGrid w:val="0"/>
          <w:color w:val="1F497D" w:themeColor="text2"/>
          <w:sz w:val="18"/>
          <w:szCs w:val="18"/>
          <w:lang w:val="es-ES_tradnl"/>
        </w:rPr>
        <w:fldChar w:fldCharType="begin"/>
      </w:r>
      <w:r w:rsidRPr="008D5779">
        <w:rPr>
          <w:rFonts w:cs="Arial"/>
          <w:b/>
          <w:bCs/>
          <w:snapToGrid w:val="0"/>
          <w:color w:val="1F497D" w:themeColor="text2"/>
          <w:sz w:val="18"/>
          <w:szCs w:val="18"/>
          <w:lang w:val="es-ES_tradnl"/>
        </w:rPr>
        <w:instrText xml:space="preserve"> SEQ Cuadro_3. \* ARABIC </w:instrText>
      </w:r>
      <w:r w:rsidR="00771A61" w:rsidRPr="008D5779">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15</w:t>
      </w:r>
      <w:r w:rsidR="00771A61" w:rsidRPr="008D5779">
        <w:rPr>
          <w:rFonts w:cs="Arial"/>
          <w:b/>
          <w:bCs/>
          <w:snapToGrid w:val="0"/>
          <w:color w:val="1F497D" w:themeColor="text2"/>
          <w:sz w:val="18"/>
          <w:szCs w:val="18"/>
          <w:lang w:val="es-ES_tradnl"/>
        </w:rPr>
        <w:fldChar w:fldCharType="end"/>
      </w:r>
      <w:r w:rsidR="00537ABD">
        <w:rPr>
          <w:rFonts w:cs="Arial"/>
          <w:b/>
          <w:snapToGrid w:val="0"/>
          <w:color w:val="1F497D" w:themeColor="text2"/>
          <w:sz w:val="18"/>
          <w:szCs w:val="18"/>
          <w:lang w:val="es-ES_tradnl"/>
        </w:rPr>
        <w:t xml:space="preserve"> </w:t>
      </w:r>
      <w:r w:rsidR="00AD2922">
        <w:rPr>
          <w:rFonts w:cs="Arial"/>
          <w:b/>
          <w:snapToGrid w:val="0"/>
          <w:color w:val="1F497D" w:themeColor="text2"/>
          <w:sz w:val="18"/>
          <w:szCs w:val="18"/>
          <w:lang w:val="es-ES_tradnl"/>
        </w:rPr>
        <w:t xml:space="preserve"> TIPO E INTENSIDAD</w:t>
      </w:r>
      <w:r w:rsidR="00952143">
        <w:rPr>
          <w:rFonts w:cs="Arial"/>
          <w:b/>
          <w:snapToGrid w:val="0"/>
          <w:color w:val="1F497D" w:themeColor="text2"/>
          <w:sz w:val="18"/>
          <w:szCs w:val="18"/>
          <w:lang w:val="es-ES_tradnl"/>
        </w:rPr>
        <w:t xml:space="preserve"> DEL IMPACTO DE LA INNOVACIÓN SOBRE EL EMPLEO CUALIFICADO. 2014</w:t>
      </w:r>
      <w:bookmarkEnd w:id="350"/>
    </w:p>
    <w:tbl>
      <w:tblPr>
        <w:tblW w:w="9940"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272"/>
        <w:gridCol w:w="1555"/>
        <w:gridCol w:w="1974"/>
        <w:gridCol w:w="1677"/>
        <w:gridCol w:w="1462"/>
      </w:tblGrid>
      <w:tr w:rsidR="00952143" w:rsidRPr="001A3A42" w:rsidTr="00D86960">
        <w:trPr>
          <w:trHeight w:val="240"/>
          <w:jc w:val="center"/>
        </w:trPr>
        <w:tc>
          <w:tcPr>
            <w:tcW w:w="3041"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1A3A42" w:rsidRDefault="00952143" w:rsidP="00D86960">
            <w:pPr>
              <w:spacing w:line="240" w:lineRule="exact"/>
              <w:rPr>
                <w:rFonts w:cs="Arial"/>
                <w:b/>
                <w:bCs/>
                <w:sz w:val="16"/>
                <w:szCs w:val="16"/>
              </w:rPr>
            </w:pPr>
          </w:p>
        </w:tc>
        <w:tc>
          <w:tcPr>
            <w:tcW w:w="1445"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D508DF" w:rsidP="00D86960">
            <w:pPr>
              <w:spacing w:line="240" w:lineRule="exact"/>
              <w:jc w:val="center"/>
              <w:rPr>
                <w:rFonts w:cs="Arial"/>
                <w:b/>
                <w:bCs/>
                <w:sz w:val="16"/>
                <w:szCs w:val="16"/>
              </w:rPr>
            </w:pPr>
            <w:r>
              <w:rPr>
                <w:rFonts w:cs="Arial"/>
                <w:b/>
                <w:bCs/>
                <w:sz w:val="16"/>
                <w:szCs w:val="16"/>
              </w:rPr>
              <w:t>TOTAL</w:t>
            </w:r>
          </w:p>
          <w:p w:rsidR="00952143" w:rsidRPr="001A3A42" w:rsidRDefault="00952143" w:rsidP="00D86960">
            <w:pPr>
              <w:spacing w:line="240" w:lineRule="exact"/>
              <w:jc w:val="center"/>
              <w:rPr>
                <w:rFonts w:cs="Arial"/>
                <w:b/>
                <w:bCs/>
                <w:sz w:val="16"/>
                <w:szCs w:val="16"/>
              </w:rPr>
            </w:pPr>
            <w:r w:rsidRPr="001A3A42">
              <w:rPr>
                <w:rFonts w:cs="Arial"/>
                <w:b/>
                <w:bCs/>
                <w:sz w:val="16"/>
                <w:szCs w:val="16"/>
              </w:rPr>
              <w:t>%</w:t>
            </w:r>
          </w:p>
        </w:tc>
        <w:tc>
          <w:tcPr>
            <w:tcW w:w="4753" w:type="dxa"/>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952143" w:rsidRPr="001A3A42" w:rsidRDefault="00952143" w:rsidP="00D86960">
            <w:pPr>
              <w:spacing w:line="240" w:lineRule="exact"/>
              <w:jc w:val="center"/>
              <w:rPr>
                <w:rFonts w:cs="Arial"/>
                <w:b/>
                <w:bCs/>
                <w:sz w:val="16"/>
                <w:szCs w:val="16"/>
              </w:rPr>
            </w:pPr>
            <w:r w:rsidRPr="001A3A42">
              <w:rPr>
                <w:rFonts w:cs="Arial"/>
                <w:b/>
                <w:bCs/>
                <w:sz w:val="16"/>
                <w:szCs w:val="16"/>
              </w:rPr>
              <w:t>Grado del impacto</w:t>
            </w:r>
          </w:p>
        </w:tc>
      </w:tr>
      <w:tr w:rsidR="00952143" w:rsidRPr="001A3A42" w:rsidTr="00D86960">
        <w:trPr>
          <w:trHeight w:val="240"/>
          <w:jc w:val="center"/>
        </w:trPr>
        <w:tc>
          <w:tcPr>
            <w:tcW w:w="3041" w:type="dxa"/>
            <w:vMerge/>
            <w:tcBorders>
              <w:bottom w:val="single" w:sz="4" w:space="0" w:color="BFBFBF" w:themeColor="background1" w:themeShade="BF"/>
              <w:right w:val="single" w:sz="4" w:space="0" w:color="BFBFBF" w:themeColor="background1" w:themeShade="BF"/>
            </w:tcBorders>
            <w:shd w:val="clear" w:color="auto" w:fill="DBE5F1" w:themeFill="accent1" w:themeFillTint="33"/>
            <w:noWrap/>
          </w:tcPr>
          <w:p w:rsidR="00952143" w:rsidRPr="001A3A42" w:rsidRDefault="00952143" w:rsidP="00D86960">
            <w:pPr>
              <w:spacing w:line="240" w:lineRule="exact"/>
              <w:rPr>
                <w:rFonts w:cs="Arial"/>
                <w:b/>
                <w:bCs/>
                <w:sz w:val="16"/>
                <w:szCs w:val="16"/>
              </w:rPr>
            </w:pPr>
          </w:p>
        </w:tc>
        <w:tc>
          <w:tcPr>
            <w:tcW w:w="1445"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952143" w:rsidP="00D86960">
            <w:pPr>
              <w:spacing w:line="240" w:lineRule="exact"/>
              <w:jc w:val="center"/>
              <w:rPr>
                <w:rFonts w:cs="Arial"/>
                <w:b/>
                <w:bCs/>
                <w:sz w:val="16"/>
                <w:szCs w:val="16"/>
              </w:rPr>
            </w:pPr>
          </w:p>
        </w:tc>
        <w:tc>
          <w:tcPr>
            <w:tcW w:w="183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952143" w:rsidP="00D86960">
            <w:pPr>
              <w:spacing w:line="240" w:lineRule="exact"/>
              <w:jc w:val="center"/>
              <w:rPr>
                <w:rFonts w:cs="Arial"/>
                <w:bCs/>
                <w:sz w:val="16"/>
                <w:szCs w:val="16"/>
              </w:rPr>
            </w:pPr>
            <w:r w:rsidRPr="001A3A42">
              <w:rPr>
                <w:rFonts w:cs="Arial"/>
                <w:bCs/>
                <w:sz w:val="16"/>
                <w:szCs w:val="16"/>
              </w:rPr>
              <w:t>De forma significativa</w:t>
            </w:r>
          </w:p>
        </w:tc>
        <w:tc>
          <w:tcPr>
            <w:tcW w:w="1559"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952143" w:rsidRPr="001A3A42" w:rsidRDefault="00952143" w:rsidP="00D86960">
            <w:pPr>
              <w:spacing w:line="240" w:lineRule="exact"/>
              <w:jc w:val="center"/>
              <w:rPr>
                <w:rFonts w:cs="Arial"/>
                <w:bCs/>
                <w:sz w:val="16"/>
                <w:szCs w:val="16"/>
              </w:rPr>
            </w:pPr>
            <w:r w:rsidRPr="001A3A42">
              <w:rPr>
                <w:rFonts w:cs="Arial"/>
                <w:bCs/>
                <w:sz w:val="16"/>
                <w:szCs w:val="16"/>
              </w:rPr>
              <w:t>De forma limitada</w:t>
            </w:r>
          </w:p>
        </w:tc>
        <w:tc>
          <w:tcPr>
            <w:tcW w:w="1359"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rsidR="00952143" w:rsidRPr="001A3A42" w:rsidRDefault="00952143" w:rsidP="00D86960">
            <w:pPr>
              <w:spacing w:line="240" w:lineRule="exact"/>
              <w:jc w:val="center"/>
              <w:rPr>
                <w:rFonts w:cs="Arial"/>
                <w:bCs/>
                <w:sz w:val="16"/>
                <w:szCs w:val="16"/>
              </w:rPr>
            </w:pPr>
            <w:proofErr w:type="spellStart"/>
            <w:r w:rsidRPr="001A3A42">
              <w:rPr>
                <w:rFonts w:cs="Arial"/>
                <w:bCs/>
                <w:sz w:val="16"/>
                <w:szCs w:val="16"/>
              </w:rPr>
              <w:t>Ns</w:t>
            </w:r>
            <w:proofErr w:type="spellEnd"/>
            <w:r w:rsidRPr="001A3A42">
              <w:rPr>
                <w:rFonts w:cs="Arial"/>
                <w:bCs/>
                <w:sz w:val="16"/>
                <w:szCs w:val="16"/>
              </w:rPr>
              <w:t>/</w:t>
            </w:r>
            <w:proofErr w:type="spellStart"/>
            <w:r w:rsidRPr="001A3A42">
              <w:rPr>
                <w:rFonts w:cs="Arial"/>
                <w:bCs/>
                <w:sz w:val="16"/>
                <w:szCs w:val="16"/>
              </w:rPr>
              <w:t>Nc</w:t>
            </w:r>
            <w:proofErr w:type="spellEnd"/>
          </w:p>
        </w:tc>
      </w:tr>
      <w:tr w:rsidR="00952143" w:rsidRPr="001A3A42" w:rsidTr="00D86960">
        <w:trPr>
          <w:jc w:val="center"/>
        </w:trPr>
        <w:tc>
          <w:tcPr>
            <w:tcW w:w="3041" w:type="dxa"/>
            <w:tcBorders>
              <w:top w:val="single" w:sz="4" w:space="0" w:color="BFBFBF" w:themeColor="background1" w:themeShade="BF"/>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b/>
                <w:sz w:val="16"/>
                <w:szCs w:val="16"/>
              </w:rPr>
              <w:t>HA TENIDO EFECTO SOBRE EL EMPLEO CUALIFICADO</w:t>
            </w:r>
          </w:p>
        </w:tc>
        <w:tc>
          <w:tcPr>
            <w:tcW w:w="1445"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47,9</w:t>
            </w:r>
          </w:p>
        </w:tc>
        <w:tc>
          <w:tcPr>
            <w:tcW w:w="4753" w:type="dxa"/>
            <w:gridSpan w:val="3"/>
            <w:vMerge w:val="restart"/>
            <w:tcBorders>
              <w:top w:val="single" w:sz="4" w:space="0" w:color="BFBFBF" w:themeColor="background1" w:themeShade="BF"/>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4486" w:type="dxa"/>
            <w:gridSpan w:val="2"/>
            <w:tcBorders>
              <w:top w:val="single" w:sz="4" w:space="0" w:color="BFBFBF" w:themeColor="background1" w:themeShade="BF"/>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exact"/>
              <w:ind w:right="170"/>
              <w:jc w:val="center"/>
              <w:rPr>
                <w:rFonts w:cs="Arial"/>
                <w:b/>
                <w:bCs/>
                <w:sz w:val="16"/>
                <w:szCs w:val="16"/>
              </w:rPr>
            </w:pPr>
          </w:p>
        </w:tc>
        <w:tc>
          <w:tcPr>
            <w:tcW w:w="4753" w:type="dxa"/>
            <w:gridSpan w:val="3"/>
            <w:vMerge/>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3041" w:type="dxa"/>
            <w:tcBorders>
              <w:top w:val="single" w:sz="4" w:space="0" w:color="BFBFBF" w:themeColor="background1" w:themeShade="BF"/>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Ha aumentado el empleo cualificado</w:t>
            </w:r>
          </w:p>
        </w:tc>
        <w:tc>
          <w:tcPr>
            <w:tcW w:w="1445"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20,9</w:t>
            </w:r>
          </w:p>
        </w:tc>
        <w:tc>
          <w:tcPr>
            <w:tcW w:w="1835"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41,0</w:t>
            </w:r>
          </w:p>
        </w:tc>
        <w:tc>
          <w:tcPr>
            <w:tcW w:w="1559" w:type="dxa"/>
            <w:tcBorders>
              <w:top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51,4</w:t>
            </w:r>
          </w:p>
        </w:tc>
        <w:tc>
          <w:tcPr>
            <w:tcW w:w="1359" w:type="dxa"/>
            <w:tcBorders>
              <w:top w:val="single" w:sz="4" w:space="0" w:color="BFBFBF" w:themeColor="background1" w:themeShade="BF"/>
              <w:right w:val="nil"/>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7,6</w:t>
            </w:r>
          </w:p>
        </w:tc>
      </w:tr>
      <w:tr w:rsidR="00952143" w:rsidRPr="001A3A42" w:rsidTr="00D86960">
        <w:trPr>
          <w:jc w:val="center"/>
        </w:trPr>
        <w:tc>
          <w:tcPr>
            <w:tcW w:w="3041" w:type="dxa"/>
            <w:tcBorders>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auto"/>
              <w:jc w:val="left"/>
              <w:rPr>
                <w:rFonts w:cs="Arial"/>
                <w:sz w:val="16"/>
                <w:szCs w:val="16"/>
              </w:rPr>
            </w:pPr>
          </w:p>
        </w:tc>
        <w:tc>
          <w:tcPr>
            <w:tcW w:w="144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
                <w:bCs/>
                <w:sz w:val="16"/>
                <w:szCs w:val="16"/>
              </w:rPr>
            </w:pPr>
          </w:p>
        </w:tc>
        <w:tc>
          <w:tcPr>
            <w:tcW w:w="183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59"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359" w:type="dxa"/>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3041" w:type="dxa"/>
            <w:tcBorders>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Se ha mantenido el empleo cualificado</w:t>
            </w:r>
          </w:p>
        </w:tc>
        <w:tc>
          <w:tcPr>
            <w:tcW w:w="1445"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15,6</w:t>
            </w:r>
          </w:p>
        </w:tc>
        <w:tc>
          <w:tcPr>
            <w:tcW w:w="1835"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38,3</w:t>
            </w:r>
          </w:p>
        </w:tc>
        <w:tc>
          <w:tcPr>
            <w:tcW w:w="1559"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57,7</w:t>
            </w:r>
          </w:p>
        </w:tc>
        <w:tc>
          <w:tcPr>
            <w:tcW w:w="1359" w:type="dxa"/>
            <w:tcBorders>
              <w:right w:val="nil"/>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4,0</w:t>
            </w:r>
          </w:p>
        </w:tc>
      </w:tr>
      <w:tr w:rsidR="00952143" w:rsidRPr="001A3A42" w:rsidTr="00D86960">
        <w:trPr>
          <w:jc w:val="center"/>
        </w:trPr>
        <w:tc>
          <w:tcPr>
            <w:tcW w:w="3041" w:type="dxa"/>
            <w:tcBorders>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auto"/>
              <w:jc w:val="left"/>
              <w:rPr>
                <w:rFonts w:cs="Arial"/>
                <w:sz w:val="16"/>
                <w:szCs w:val="16"/>
              </w:rPr>
            </w:pPr>
          </w:p>
        </w:tc>
        <w:tc>
          <w:tcPr>
            <w:tcW w:w="144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
                <w:bCs/>
                <w:sz w:val="16"/>
                <w:szCs w:val="16"/>
              </w:rPr>
            </w:pPr>
          </w:p>
        </w:tc>
        <w:tc>
          <w:tcPr>
            <w:tcW w:w="183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59"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359" w:type="dxa"/>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3041" w:type="dxa"/>
            <w:tcBorders>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Se ha permitido limitar la reducción del nivel del empleo cualificado</w:t>
            </w:r>
          </w:p>
        </w:tc>
        <w:tc>
          <w:tcPr>
            <w:tcW w:w="1445"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0,8</w:t>
            </w:r>
          </w:p>
        </w:tc>
        <w:tc>
          <w:tcPr>
            <w:tcW w:w="1835"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100</w:t>
            </w:r>
            <w:r w:rsidR="007F441F">
              <w:rPr>
                <w:rFonts w:cs="Arial"/>
                <w:bCs/>
                <w:sz w:val="16"/>
                <w:szCs w:val="16"/>
              </w:rPr>
              <w:t>,0</w:t>
            </w:r>
          </w:p>
        </w:tc>
        <w:tc>
          <w:tcPr>
            <w:tcW w:w="1559"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0</w:t>
            </w:r>
          </w:p>
        </w:tc>
        <w:tc>
          <w:tcPr>
            <w:tcW w:w="1359" w:type="dxa"/>
            <w:tcBorders>
              <w:right w:val="nil"/>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0</w:t>
            </w:r>
          </w:p>
        </w:tc>
      </w:tr>
      <w:tr w:rsidR="00952143" w:rsidRPr="001A3A42" w:rsidTr="00D86960">
        <w:trPr>
          <w:jc w:val="center"/>
        </w:trPr>
        <w:tc>
          <w:tcPr>
            <w:tcW w:w="3041" w:type="dxa"/>
            <w:tcBorders>
              <w:right w:val="single" w:sz="4" w:space="0" w:color="BFBFBF" w:themeColor="background1" w:themeShade="BF"/>
            </w:tcBorders>
            <w:shd w:val="clear" w:color="auto" w:fill="D9D9D9" w:themeFill="background1" w:themeFillShade="D9"/>
            <w:noWrap/>
          </w:tcPr>
          <w:p w:rsidR="00952143" w:rsidRPr="001A3A42" w:rsidRDefault="00952143" w:rsidP="00D86960">
            <w:pPr>
              <w:spacing w:line="240" w:lineRule="auto"/>
              <w:jc w:val="left"/>
              <w:rPr>
                <w:rFonts w:cs="Arial"/>
                <w:sz w:val="16"/>
                <w:szCs w:val="16"/>
              </w:rPr>
            </w:pPr>
          </w:p>
        </w:tc>
        <w:tc>
          <w:tcPr>
            <w:tcW w:w="144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
                <w:bCs/>
                <w:sz w:val="16"/>
                <w:szCs w:val="16"/>
              </w:rPr>
            </w:pPr>
          </w:p>
        </w:tc>
        <w:tc>
          <w:tcPr>
            <w:tcW w:w="1835"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559" w:type="dxa"/>
            <w:tcBorders>
              <w:right w:val="single" w:sz="4" w:space="0" w:color="BFBFBF" w:themeColor="background1" w:themeShade="BF"/>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c>
          <w:tcPr>
            <w:tcW w:w="1359" w:type="dxa"/>
            <w:tcBorders>
              <w:right w:val="nil"/>
            </w:tcBorders>
            <w:shd w:val="clear" w:color="auto" w:fill="D9D9D9" w:themeFill="background1" w:themeFillShade="D9"/>
          </w:tcPr>
          <w:p w:rsidR="00952143" w:rsidRPr="001A3A42" w:rsidRDefault="00952143" w:rsidP="00D86960">
            <w:pPr>
              <w:spacing w:line="240" w:lineRule="exact"/>
              <w:ind w:right="170"/>
              <w:jc w:val="center"/>
              <w:rPr>
                <w:rFonts w:cs="Arial"/>
                <w:bCs/>
                <w:sz w:val="16"/>
                <w:szCs w:val="16"/>
              </w:rPr>
            </w:pPr>
          </w:p>
        </w:tc>
      </w:tr>
      <w:tr w:rsidR="00952143" w:rsidRPr="001A3A42" w:rsidTr="00D86960">
        <w:trPr>
          <w:jc w:val="center"/>
        </w:trPr>
        <w:tc>
          <w:tcPr>
            <w:tcW w:w="3041" w:type="dxa"/>
            <w:tcBorders>
              <w:right w:val="single" w:sz="4" w:space="0" w:color="BFBFBF" w:themeColor="background1" w:themeShade="BF"/>
            </w:tcBorders>
            <w:noWrap/>
          </w:tcPr>
          <w:p w:rsidR="00952143" w:rsidRPr="001A3A42" w:rsidRDefault="00952143" w:rsidP="00D86960">
            <w:pPr>
              <w:spacing w:line="240" w:lineRule="auto"/>
              <w:jc w:val="left"/>
              <w:rPr>
                <w:rFonts w:cs="Arial"/>
                <w:sz w:val="16"/>
                <w:szCs w:val="16"/>
              </w:rPr>
            </w:pPr>
            <w:r w:rsidRPr="001A3A42">
              <w:rPr>
                <w:rFonts w:cs="Arial"/>
                <w:sz w:val="16"/>
                <w:szCs w:val="16"/>
              </w:rPr>
              <w:t>Se ha reducido el empleo cualificado</w:t>
            </w:r>
          </w:p>
        </w:tc>
        <w:tc>
          <w:tcPr>
            <w:tcW w:w="1445" w:type="dxa"/>
            <w:tcBorders>
              <w:right w:val="single" w:sz="4" w:space="0" w:color="BFBFBF" w:themeColor="background1" w:themeShade="BF"/>
            </w:tcBorders>
          </w:tcPr>
          <w:p w:rsidR="00952143" w:rsidRPr="001A3A42" w:rsidRDefault="00952143" w:rsidP="00D86960">
            <w:pPr>
              <w:spacing w:line="240" w:lineRule="exact"/>
              <w:ind w:right="170"/>
              <w:jc w:val="center"/>
              <w:rPr>
                <w:rFonts w:cs="Arial"/>
                <w:b/>
                <w:bCs/>
                <w:sz w:val="16"/>
                <w:szCs w:val="16"/>
              </w:rPr>
            </w:pPr>
            <w:r w:rsidRPr="001A3A42">
              <w:rPr>
                <w:rFonts w:cs="Arial"/>
                <w:b/>
                <w:bCs/>
                <w:sz w:val="16"/>
                <w:szCs w:val="16"/>
              </w:rPr>
              <w:t>0</w:t>
            </w:r>
          </w:p>
        </w:tc>
        <w:tc>
          <w:tcPr>
            <w:tcW w:w="1835" w:type="dxa"/>
            <w:tcBorders>
              <w:bottom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0</w:t>
            </w:r>
          </w:p>
        </w:tc>
        <w:tc>
          <w:tcPr>
            <w:tcW w:w="1559" w:type="dxa"/>
            <w:tcBorders>
              <w:bottom w:val="single" w:sz="4" w:space="0" w:color="BFBFBF" w:themeColor="background1" w:themeShade="BF"/>
              <w:right w:val="single" w:sz="4" w:space="0" w:color="BFBFBF" w:themeColor="background1" w:themeShade="BF"/>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0</w:t>
            </w:r>
          </w:p>
        </w:tc>
        <w:tc>
          <w:tcPr>
            <w:tcW w:w="1359" w:type="dxa"/>
            <w:tcBorders>
              <w:bottom w:val="single" w:sz="4" w:space="0" w:color="BFBFBF" w:themeColor="background1" w:themeShade="BF"/>
              <w:right w:val="nil"/>
            </w:tcBorders>
          </w:tcPr>
          <w:p w:rsidR="00952143" w:rsidRPr="001A3A42" w:rsidRDefault="00952143" w:rsidP="00D86960">
            <w:pPr>
              <w:spacing w:line="240" w:lineRule="exact"/>
              <w:ind w:right="170"/>
              <w:jc w:val="center"/>
              <w:rPr>
                <w:rFonts w:cs="Arial"/>
                <w:bCs/>
                <w:sz w:val="16"/>
                <w:szCs w:val="16"/>
              </w:rPr>
            </w:pPr>
            <w:r w:rsidRPr="001A3A42">
              <w:rPr>
                <w:rFonts w:cs="Arial"/>
                <w:bCs/>
                <w:sz w:val="16"/>
                <w:szCs w:val="16"/>
              </w:rPr>
              <w:t>0</w:t>
            </w:r>
          </w:p>
        </w:tc>
      </w:tr>
    </w:tbl>
    <w:p w:rsidR="00952143" w:rsidRPr="00406864" w:rsidRDefault="00952143" w:rsidP="00952143">
      <w:pPr>
        <w:ind w:left="708"/>
        <w:rPr>
          <w:rFonts w:eastAsia="Times New Roman" w:cs="Arial"/>
          <w:i/>
          <w:sz w:val="16"/>
          <w:szCs w:val="20"/>
          <w:lang w:val="es-ES_tradnl" w:eastAsia="es-ES"/>
        </w:rPr>
      </w:pPr>
    </w:p>
    <w:p w:rsidR="00952143" w:rsidRPr="00406864" w:rsidRDefault="00952143" w:rsidP="00952143">
      <w:pPr>
        <w:ind w:left="708"/>
        <w:rPr>
          <w:rFonts w:eastAsia="Times New Roman" w:cs="Arial"/>
          <w:i/>
          <w:sz w:val="16"/>
          <w:szCs w:val="20"/>
          <w:lang w:val="es-ES_tradnl" w:eastAsia="es-ES"/>
        </w:rPr>
      </w:pPr>
    </w:p>
    <w:p w:rsidR="00A917B1" w:rsidRDefault="00A917B1" w:rsidP="00A917B1">
      <w:pPr>
        <w:rPr>
          <w:lang w:eastAsia="es-ES"/>
        </w:rPr>
      </w:pPr>
    </w:p>
    <w:p w:rsidR="006B3EB9" w:rsidRDefault="006B3EB9">
      <w:pPr>
        <w:spacing w:after="200" w:line="276" w:lineRule="auto"/>
        <w:jc w:val="left"/>
        <w:rPr>
          <w:lang w:eastAsia="es-ES"/>
        </w:rPr>
      </w:pPr>
      <w:r>
        <w:rPr>
          <w:lang w:eastAsia="es-ES"/>
        </w:rPr>
        <w:br w:type="page"/>
      </w:r>
    </w:p>
    <w:p w:rsidR="00A917B1" w:rsidRPr="00A917B1" w:rsidRDefault="00A917B1" w:rsidP="00A917B1">
      <w:pPr>
        <w:rPr>
          <w:lang w:eastAsia="es-ES"/>
        </w:rPr>
      </w:pPr>
    </w:p>
    <w:p w:rsidR="006B3EB9" w:rsidRDefault="006B3EB9" w:rsidP="006B3EB9">
      <w:pPr>
        <w:pStyle w:val="Ttulo1"/>
        <w:keepNext w:val="0"/>
        <w:ind w:left="708" w:hanging="708"/>
        <w:rPr>
          <w:color w:val="1F497D" w:themeColor="text2"/>
        </w:rPr>
      </w:pPr>
      <w:bookmarkStart w:id="351" w:name="_Toc450118932"/>
      <w:r w:rsidRPr="00665097">
        <w:rPr>
          <w:color w:val="1F497D" w:themeColor="text2"/>
        </w:rPr>
        <w:t>I</w:t>
      </w:r>
      <w:r>
        <w:rPr>
          <w:color w:val="1F497D" w:themeColor="text2"/>
        </w:rPr>
        <w:t>V</w:t>
      </w:r>
      <w:r w:rsidRPr="00665097">
        <w:rPr>
          <w:color w:val="1F497D" w:themeColor="text2"/>
        </w:rPr>
        <w:t xml:space="preserve">.- </w:t>
      </w:r>
      <w:r w:rsidRPr="00665097">
        <w:rPr>
          <w:color w:val="1F497D" w:themeColor="text2"/>
        </w:rPr>
        <w:tab/>
      </w:r>
      <w:r>
        <w:rPr>
          <w:color w:val="1F497D" w:themeColor="text2"/>
        </w:rPr>
        <w:t>NUEVAS FORMAS DE LA ECONOMÍA SOCIAL (NFES)</w:t>
      </w:r>
      <w:bookmarkEnd w:id="351"/>
    </w:p>
    <w:p w:rsidR="00B01F04" w:rsidRDefault="00B01F04" w:rsidP="00B01F04">
      <w:pPr>
        <w:widowControl w:val="0"/>
        <w:rPr>
          <w:b/>
          <w:color w:val="1F497D" w:themeColor="text2"/>
          <w:sz w:val="28"/>
          <w:szCs w:val="28"/>
        </w:rPr>
      </w:pPr>
    </w:p>
    <w:p w:rsidR="00B01F04" w:rsidRPr="00724B27" w:rsidRDefault="00B01F04" w:rsidP="00724B27">
      <w:pPr>
        <w:pStyle w:val="Ttulo1"/>
        <w:ind w:left="708" w:hanging="708"/>
        <w:rPr>
          <w:color w:val="1F497D" w:themeColor="text2"/>
          <w:sz w:val="26"/>
          <w:szCs w:val="26"/>
        </w:rPr>
      </w:pPr>
      <w:bookmarkStart w:id="352" w:name="_Toc450118933"/>
      <w:r w:rsidRPr="00724B27">
        <w:rPr>
          <w:color w:val="1F497D" w:themeColor="text2"/>
          <w:sz w:val="26"/>
          <w:szCs w:val="26"/>
        </w:rPr>
        <w:t>1.- EMPLEO Y ESTABLECIMIENTOS DE LAS NFES 2014</w:t>
      </w:r>
      <w:bookmarkEnd w:id="352"/>
    </w:p>
    <w:p w:rsidR="00B01F04" w:rsidRPr="00A67658" w:rsidRDefault="00B01F04" w:rsidP="00A67658">
      <w:pPr>
        <w:widowControl w:val="0"/>
        <w:jc w:val="center"/>
        <w:rPr>
          <w:rFonts w:cs="Arial"/>
          <w:b/>
          <w:snapToGrid w:val="0"/>
          <w:color w:val="1F497D" w:themeColor="text2"/>
          <w:sz w:val="18"/>
          <w:szCs w:val="18"/>
          <w:lang w:val="es-ES_tradnl"/>
        </w:rPr>
      </w:pPr>
    </w:p>
    <w:p w:rsidR="00B01F04" w:rsidRPr="00537ABD" w:rsidRDefault="00A67658" w:rsidP="00A67658">
      <w:pPr>
        <w:pStyle w:val="Epgrafe"/>
        <w:jc w:val="center"/>
        <w:rPr>
          <w:rFonts w:ascii="Arial" w:eastAsiaTheme="minorHAnsi" w:hAnsi="Arial" w:cs="Arial"/>
          <w:bCs w:val="0"/>
          <w:snapToGrid w:val="0"/>
          <w:color w:val="1F497D" w:themeColor="text2"/>
          <w:sz w:val="18"/>
          <w:szCs w:val="18"/>
          <w:lang w:val="es-ES_tradnl" w:eastAsia="en-US"/>
        </w:rPr>
      </w:pPr>
      <w:bookmarkStart w:id="353" w:name="_Toc445380974"/>
      <w:bookmarkStart w:id="354" w:name="_Toc450119826"/>
      <w:r w:rsidRPr="00A67658">
        <w:rPr>
          <w:rFonts w:ascii="Arial" w:eastAsiaTheme="minorHAnsi" w:hAnsi="Arial" w:cs="Arial"/>
          <w:bCs w:val="0"/>
          <w:snapToGrid w:val="0"/>
          <w:color w:val="1F497D" w:themeColor="text2"/>
          <w:sz w:val="18"/>
          <w:szCs w:val="18"/>
          <w:lang w:val="es-ES_tradnl" w:eastAsia="en-US"/>
        </w:rPr>
        <w:t>Cuadro 4.</w:t>
      </w:r>
      <w:r w:rsidR="00771A61" w:rsidRPr="00A67658">
        <w:rPr>
          <w:rFonts w:ascii="Arial" w:eastAsiaTheme="minorHAnsi" w:hAnsi="Arial" w:cs="Arial"/>
          <w:bCs w:val="0"/>
          <w:snapToGrid w:val="0"/>
          <w:color w:val="1F497D" w:themeColor="text2"/>
          <w:sz w:val="18"/>
          <w:szCs w:val="18"/>
          <w:lang w:val="es-ES_tradnl" w:eastAsia="en-US"/>
        </w:rPr>
        <w:fldChar w:fldCharType="begin"/>
      </w:r>
      <w:r w:rsidRPr="00A67658">
        <w:rPr>
          <w:rFonts w:ascii="Arial" w:eastAsiaTheme="minorHAnsi" w:hAnsi="Arial" w:cs="Arial"/>
          <w:bCs w:val="0"/>
          <w:snapToGrid w:val="0"/>
          <w:color w:val="1F497D" w:themeColor="text2"/>
          <w:sz w:val="18"/>
          <w:szCs w:val="18"/>
          <w:lang w:val="es-ES_tradnl" w:eastAsia="en-US"/>
        </w:rPr>
        <w:instrText xml:space="preserve"> SEQ Cuadro_4. \* ARABIC </w:instrText>
      </w:r>
      <w:r w:rsidR="00771A61" w:rsidRPr="00A67658">
        <w:rPr>
          <w:rFonts w:ascii="Arial" w:eastAsiaTheme="minorHAnsi" w:hAnsi="Arial" w:cs="Arial"/>
          <w:bCs w:val="0"/>
          <w:snapToGrid w:val="0"/>
          <w:color w:val="1F497D" w:themeColor="text2"/>
          <w:sz w:val="18"/>
          <w:szCs w:val="18"/>
          <w:lang w:val="es-ES_tradnl" w:eastAsia="en-US"/>
        </w:rPr>
        <w:fldChar w:fldCharType="separate"/>
      </w:r>
      <w:r w:rsidR="00FC71A9">
        <w:rPr>
          <w:rFonts w:ascii="Arial" w:eastAsiaTheme="minorHAnsi" w:hAnsi="Arial" w:cs="Arial"/>
          <w:bCs w:val="0"/>
          <w:noProof/>
          <w:snapToGrid w:val="0"/>
          <w:color w:val="1F497D" w:themeColor="text2"/>
          <w:sz w:val="18"/>
          <w:szCs w:val="18"/>
          <w:lang w:val="es-ES_tradnl" w:eastAsia="en-US"/>
        </w:rPr>
        <w:t>1</w:t>
      </w:r>
      <w:r w:rsidR="00771A61" w:rsidRPr="00A67658">
        <w:rPr>
          <w:rFonts w:ascii="Arial" w:eastAsiaTheme="minorHAnsi" w:hAnsi="Arial" w:cs="Arial"/>
          <w:bCs w:val="0"/>
          <w:snapToGrid w:val="0"/>
          <w:color w:val="1F497D" w:themeColor="text2"/>
          <w:sz w:val="18"/>
          <w:szCs w:val="18"/>
          <w:lang w:val="es-ES_tradnl" w:eastAsia="en-US"/>
        </w:rPr>
        <w:fldChar w:fldCharType="end"/>
      </w:r>
      <w:r w:rsidRPr="00A67658">
        <w:rPr>
          <w:rFonts w:ascii="Arial" w:eastAsiaTheme="minorHAnsi" w:hAnsi="Arial" w:cs="Arial"/>
          <w:bCs w:val="0"/>
          <w:snapToGrid w:val="0"/>
          <w:color w:val="1F497D" w:themeColor="text2"/>
          <w:sz w:val="18"/>
          <w:szCs w:val="18"/>
          <w:lang w:val="es-ES_tradnl" w:eastAsia="en-US"/>
        </w:rPr>
        <w:t xml:space="preserve"> </w:t>
      </w:r>
      <w:r w:rsidR="00B01F04" w:rsidRPr="00537ABD">
        <w:rPr>
          <w:rFonts w:ascii="Arial" w:eastAsiaTheme="minorHAnsi" w:hAnsi="Arial" w:cs="Arial"/>
          <w:bCs w:val="0"/>
          <w:snapToGrid w:val="0"/>
          <w:color w:val="1F497D" w:themeColor="text2"/>
          <w:sz w:val="18"/>
          <w:szCs w:val="18"/>
          <w:lang w:val="es-ES_tradnl" w:eastAsia="en-US"/>
        </w:rPr>
        <w:t>DISTRIBUCIÓN DE ENTIDADES NUEVAS FORMAS DE LA ECONOMÍA SOCIAL 2012 y 2014 (cifras absolutas y % verticales)</w:t>
      </w:r>
      <w:bookmarkEnd w:id="353"/>
      <w:bookmarkEnd w:id="354"/>
    </w:p>
    <w:tbl>
      <w:tblPr>
        <w:tblW w:w="9940" w:type="dxa"/>
        <w:jc w:val="center"/>
        <w:tblLayout w:type="fixed"/>
        <w:tblCellMar>
          <w:left w:w="70" w:type="dxa"/>
          <w:right w:w="70" w:type="dxa"/>
        </w:tblCellMar>
        <w:tblLook w:val="04A0" w:firstRow="1" w:lastRow="0" w:firstColumn="1" w:lastColumn="0" w:noHBand="0" w:noVBand="1"/>
      </w:tblPr>
      <w:tblGrid>
        <w:gridCol w:w="4729"/>
        <w:gridCol w:w="1053"/>
        <w:gridCol w:w="1282"/>
        <w:gridCol w:w="1438"/>
        <w:gridCol w:w="1438"/>
      </w:tblGrid>
      <w:tr w:rsidR="00B01F04" w:rsidRPr="00080818" w:rsidTr="00D86960">
        <w:trPr>
          <w:jc w:val="center"/>
        </w:trPr>
        <w:tc>
          <w:tcPr>
            <w:tcW w:w="2586" w:type="dxa"/>
            <w:tcBorders>
              <w:top w:val="single" w:sz="8" w:space="0" w:color="BFBFBF"/>
              <w:left w:val="nil"/>
              <w:bottom w:val="single" w:sz="8" w:space="0" w:color="BFBFBF"/>
              <w:right w:val="single" w:sz="8" w:space="0" w:color="BFBFBF"/>
            </w:tcBorders>
            <w:shd w:val="clear" w:color="000000" w:fill="DBE5F1"/>
            <w:hideMark/>
          </w:tcPr>
          <w:p w:rsidR="00B01F04" w:rsidRPr="00080818" w:rsidRDefault="00B01F04" w:rsidP="00D86960">
            <w:pPr>
              <w:spacing w:line="240" w:lineRule="exact"/>
              <w:jc w:val="left"/>
              <w:rPr>
                <w:rFonts w:ascii="Calibri" w:eastAsia="Times New Roman" w:hAnsi="Calibri" w:cs="Times New Roman"/>
                <w:color w:val="000000"/>
                <w:sz w:val="22"/>
                <w:lang w:eastAsia="es-ES"/>
              </w:rPr>
            </w:pPr>
          </w:p>
        </w:tc>
        <w:tc>
          <w:tcPr>
            <w:tcW w:w="2849" w:type="dxa"/>
            <w:gridSpan w:val="4"/>
            <w:tcBorders>
              <w:top w:val="single" w:sz="8" w:space="0" w:color="BFBFBF"/>
              <w:left w:val="nil"/>
              <w:bottom w:val="single" w:sz="4" w:space="0" w:color="BFBFBF" w:themeColor="background1" w:themeShade="BF"/>
            </w:tcBorders>
            <w:shd w:val="clear" w:color="000000" w:fill="DBE5F1"/>
          </w:tcPr>
          <w:p w:rsidR="00B01F04" w:rsidRPr="00080818"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Entidades</w:t>
            </w:r>
          </w:p>
        </w:tc>
      </w:tr>
      <w:tr w:rsidR="00B01F04" w:rsidRPr="00080818" w:rsidTr="00D86960">
        <w:trPr>
          <w:jc w:val="center"/>
        </w:trPr>
        <w:tc>
          <w:tcPr>
            <w:tcW w:w="2586" w:type="dxa"/>
            <w:vMerge w:val="restart"/>
            <w:tcBorders>
              <w:top w:val="single" w:sz="8" w:space="0" w:color="BFBFBF"/>
              <w:left w:val="nil"/>
              <w:bottom w:val="single" w:sz="8" w:space="0" w:color="BFBFBF"/>
              <w:right w:val="single" w:sz="8" w:space="0" w:color="BFBFBF"/>
            </w:tcBorders>
            <w:shd w:val="clear" w:color="000000" w:fill="DBE5F1"/>
            <w:hideMark/>
          </w:tcPr>
          <w:p w:rsidR="00B01F04" w:rsidRPr="00080818" w:rsidRDefault="00B01F04" w:rsidP="00D86960">
            <w:pPr>
              <w:spacing w:line="240" w:lineRule="exact"/>
              <w:jc w:val="left"/>
              <w:rPr>
                <w:rFonts w:ascii="Calibri" w:eastAsia="Times New Roman" w:hAnsi="Calibri" w:cs="Times New Roman"/>
                <w:color w:val="000000"/>
                <w:sz w:val="22"/>
                <w:lang w:eastAsia="es-ES"/>
              </w:rPr>
            </w:pPr>
          </w:p>
        </w:tc>
        <w:tc>
          <w:tcPr>
            <w:tcW w:w="1277" w:type="dxa"/>
            <w:gridSpan w:val="2"/>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tcPr>
          <w:p w:rsidR="00B01F04" w:rsidRPr="00080818"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2012</w:t>
            </w:r>
          </w:p>
        </w:tc>
        <w:tc>
          <w:tcPr>
            <w:tcW w:w="1572" w:type="dxa"/>
            <w:gridSpan w:val="2"/>
            <w:tcBorders>
              <w:top w:val="single" w:sz="8" w:space="0" w:color="BFBFBF"/>
              <w:left w:val="single" w:sz="4" w:space="0" w:color="BFBFBF" w:themeColor="background1" w:themeShade="BF"/>
              <w:bottom w:val="single" w:sz="4" w:space="0" w:color="BFBFBF" w:themeColor="background1" w:themeShade="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2014</w:t>
            </w:r>
          </w:p>
        </w:tc>
      </w:tr>
      <w:tr w:rsidR="00B01F04" w:rsidRPr="00080818" w:rsidTr="00D86960">
        <w:trPr>
          <w:jc w:val="center"/>
        </w:trPr>
        <w:tc>
          <w:tcPr>
            <w:tcW w:w="2586" w:type="dxa"/>
            <w:vMerge/>
            <w:tcBorders>
              <w:top w:val="single" w:sz="8" w:space="0" w:color="BFBFBF"/>
              <w:left w:val="nil"/>
              <w:bottom w:val="single" w:sz="8" w:space="0" w:color="BFBFBF"/>
              <w:right w:val="single" w:sz="8" w:space="0" w:color="BFBFBF"/>
            </w:tcBorders>
            <w:vAlign w:val="center"/>
            <w:hideMark/>
          </w:tcPr>
          <w:p w:rsidR="00B01F04" w:rsidRPr="00080818" w:rsidRDefault="00B01F04" w:rsidP="00D86960">
            <w:pPr>
              <w:spacing w:line="240" w:lineRule="exact"/>
              <w:jc w:val="left"/>
              <w:rPr>
                <w:rFonts w:ascii="Calibri" w:eastAsia="Times New Roman" w:hAnsi="Calibri" w:cs="Times New Roman"/>
                <w:color w:val="000000"/>
                <w:sz w:val="22"/>
                <w:lang w:eastAsia="es-ES"/>
              </w:rPr>
            </w:pPr>
          </w:p>
        </w:tc>
        <w:tc>
          <w:tcPr>
            <w:tcW w:w="576" w:type="dxa"/>
            <w:tcBorders>
              <w:top w:val="single" w:sz="4" w:space="0" w:color="BFBFBF" w:themeColor="background1" w:themeShade="BF"/>
              <w:left w:val="nil"/>
              <w:bottom w:val="single" w:sz="8" w:space="0" w:color="BFBFBF"/>
              <w:right w:val="nil"/>
            </w:tcBorders>
            <w:shd w:val="clear" w:color="000000" w:fill="DBE5F1"/>
          </w:tcPr>
          <w:p w:rsidR="00B01F04" w:rsidRPr="00080818"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701" w:type="dxa"/>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tcPr>
          <w:p w:rsidR="00B01F04" w:rsidRPr="00080818"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ver.</w:t>
            </w:r>
          </w:p>
        </w:tc>
        <w:tc>
          <w:tcPr>
            <w:tcW w:w="786" w:type="dxa"/>
            <w:tcBorders>
              <w:top w:val="single" w:sz="4" w:space="0" w:color="BFBFBF" w:themeColor="background1" w:themeShade="BF"/>
              <w:left w:val="single" w:sz="4" w:space="0" w:color="BFBFBF" w:themeColor="background1" w:themeShade="BF"/>
              <w:bottom w:val="single" w:sz="8" w:space="0" w:color="BFBF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786" w:type="dxa"/>
            <w:tcBorders>
              <w:top w:val="single" w:sz="4" w:space="0" w:color="BFBFBF" w:themeColor="background1" w:themeShade="BF"/>
              <w:left w:val="nil"/>
              <w:bottom w:val="single" w:sz="8" w:space="0" w:color="BFBF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ver.</w:t>
            </w:r>
          </w:p>
        </w:tc>
      </w:tr>
      <w:tr w:rsidR="00B01F04" w:rsidRPr="00080818" w:rsidTr="00D86960">
        <w:trPr>
          <w:jc w:val="center"/>
        </w:trPr>
        <w:tc>
          <w:tcPr>
            <w:tcW w:w="258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576" w:type="dxa"/>
            <w:tcBorders>
              <w:top w:val="nil"/>
              <w:left w:val="nil"/>
              <w:bottom w:val="nil"/>
              <w:right w:val="nil"/>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615</w:t>
            </w:r>
          </w:p>
        </w:tc>
        <w:tc>
          <w:tcPr>
            <w:tcW w:w="701" w:type="dxa"/>
            <w:tcBorders>
              <w:top w:val="nil"/>
              <w:left w:val="nil"/>
              <w:bottom w:val="nil"/>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50,2</w:t>
            </w:r>
          </w:p>
        </w:tc>
        <w:tc>
          <w:tcPr>
            <w:tcW w:w="786" w:type="dxa"/>
            <w:tcBorders>
              <w:top w:val="nil"/>
              <w:left w:val="single" w:sz="4" w:space="0" w:color="BFBFBF" w:themeColor="background1" w:themeShade="BF"/>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619</w:t>
            </w:r>
          </w:p>
        </w:tc>
        <w:tc>
          <w:tcPr>
            <w:tcW w:w="786" w:type="dxa"/>
            <w:tcBorders>
              <w:top w:val="nil"/>
              <w:left w:val="nil"/>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51,5</w:t>
            </w:r>
          </w:p>
        </w:tc>
      </w:tr>
      <w:tr w:rsidR="00B01F04" w:rsidRPr="00080818" w:rsidTr="00D86960">
        <w:trPr>
          <w:jc w:val="center"/>
        </w:trPr>
        <w:tc>
          <w:tcPr>
            <w:tcW w:w="258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576" w:type="dxa"/>
            <w:tcBorders>
              <w:top w:val="nil"/>
              <w:left w:val="nil"/>
              <w:bottom w:val="nil"/>
              <w:right w:val="nil"/>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42</w:t>
            </w:r>
          </w:p>
        </w:tc>
        <w:tc>
          <w:tcPr>
            <w:tcW w:w="701" w:type="dxa"/>
            <w:tcBorders>
              <w:top w:val="nil"/>
              <w:left w:val="nil"/>
              <w:bottom w:val="nil"/>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3,4</w:t>
            </w:r>
          </w:p>
        </w:tc>
        <w:tc>
          <w:tcPr>
            <w:tcW w:w="786" w:type="dxa"/>
            <w:tcBorders>
              <w:top w:val="nil"/>
              <w:left w:val="single" w:sz="4" w:space="0" w:color="BFBFBF" w:themeColor="background1" w:themeShade="BF"/>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42</w:t>
            </w:r>
          </w:p>
        </w:tc>
        <w:tc>
          <w:tcPr>
            <w:tcW w:w="786" w:type="dxa"/>
            <w:tcBorders>
              <w:top w:val="nil"/>
              <w:left w:val="nil"/>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3,5</w:t>
            </w:r>
          </w:p>
        </w:tc>
      </w:tr>
      <w:tr w:rsidR="00B01F04" w:rsidRPr="00080818" w:rsidTr="00D86960">
        <w:trPr>
          <w:jc w:val="center"/>
        </w:trPr>
        <w:tc>
          <w:tcPr>
            <w:tcW w:w="258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576" w:type="dxa"/>
            <w:tcBorders>
              <w:top w:val="nil"/>
              <w:left w:val="nil"/>
              <w:bottom w:val="nil"/>
              <w:right w:val="nil"/>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189</w:t>
            </w:r>
          </w:p>
        </w:tc>
        <w:tc>
          <w:tcPr>
            <w:tcW w:w="701" w:type="dxa"/>
            <w:tcBorders>
              <w:top w:val="nil"/>
              <w:left w:val="nil"/>
              <w:bottom w:val="nil"/>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15,4</w:t>
            </w:r>
          </w:p>
        </w:tc>
        <w:tc>
          <w:tcPr>
            <w:tcW w:w="786" w:type="dxa"/>
            <w:tcBorders>
              <w:top w:val="nil"/>
              <w:left w:val="single" w:sz="4" w:space="0" w:color="BFBFBF" w:themeColor="background1" w:themeShade="BF"/>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184</w:t>
            </w:r>
          </w:p>
        </w:tc>
        <w:tc>
          <w:tcPr>
            <w:tcW w:w="786" w:type="dxa"/>
            <w:tcBorders>
              <w:top w:val="nil"/>
              <w:left w:val="nil"/>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15,3</w:t>
            </w:r>
          </w:p>
        </w:tc>
      </w:tr>
      <w:tr w:rsidR="00B01F04" w:rsidRPr="00080818" w:rsidTr="00D86960">
        <w:trPr>
          <w:jc w:val="center"/>
        </w:trPr>
        <w:tc>
          <w:tcPr>
            <w:tcW w:w="2586" w:type="dxa"/>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576" w:type="dxa"/>
            <w:tcBorders>
              <w:top w:val="nil"/>
              <w:left w:val="nil"/>
              <w:bottom w:val="nil"/>
              <w:right w:val="nil"/>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78</w:t>
            </w:r>
          </w:p>
        </w:tc>
        <w:tc>
          <w:tcPr>
            <w:tcW w:w="701" w:type="dxa"/>
            <w:tcBorders>
              <w:top w:val="nil"/>
              <w:left w:val="nil"/>
              <w:bottom w:val="nil"/>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6,4</w:t>
            </w:r>
          </w:p>
        </w:tc>
        <w:tc>
          <w:tcPr>
            <w:tcW w:w="786" w:type="dxa"/>
            <w:tcBorders>
              <w:top w:val="nil"/>
              <w:left w:val="single" w:sz="4" w:space="0" w:color="BFBFBF" w:themeColor="background1" w:themeShade="BF"/>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76</w:t>
            </w:r>
          </w:p>
        </w:tc>
        <w:tc>
          <w:tcPr>
            <w:tcW w:w="786" w:type="dxa"/>
            <w:tcBorders>
              <w:top w:val="nil"/>
              <w:left w:val="nil"/>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6,3</w:t>
            </w:r>
          </w:p>
        </w:tc>
      </w:tr>
      <w:tr w:rsidR="00B01F04" w:rsidRPr="00080818" w:rsidTr="00D86960">
        <w:trPr>
          <w:jc w:val="center"/>
        </w:trPr>
        <w:tc>
          <w:tcPr>
            <w:tcW w:w="2586" w:type="dxa"/>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576" w:type="dxa"/>
            <w:tcBorders>
              <w:top w:val="nil"/>
              <w:left w:val="nil"/>
              <w:bottom w:val="nil"/>
              <w:right w:val="nil"/>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97</w:t>
            </w:r>
          </w:p>
        </w:tc>
        <w:tc>
          <w:tcPr>
            <w:tcW w:w="701" w:type="dxa"/>
            <w:tcBorders>
              <w:top w:val="nil"/>
              <w:left w:val="nil"/>
              <w:bottom w:val="nil"/>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7,9</w:t>
            </w:r>
          </w:p>
        </w:tc>
        <w:tc>
          <w:tcPr>
            <w:tcW w:w="786" w:type="dxa"/>
            <w:tcBorders>
              <w:top w:val="nil"/>
              <w:left w:val="single" w:sz="4" w:space="0" w:color="BFBFBF" w:themeColor="background1" w:themeShade="BF"/>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87</w:t>
            </w:r>
          </w:p>
        </w:tc>
        <w:tc>
          <w:tcPr>
            <w:tcW w:w="786" w:type="dxa"/>
            <w:tcBorders>
              <w:top w:val="nil"/>
              <w:left w:val="nil"/>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7,2</w:t>
            </w:r>
          </w:p>
        </w:tc>
      </w:tr>
      <w:tr w:rsidR="00B01F04" w:rsidRPr="00080818" w:rsidTr="00D86960">
        <w:trPr>
          <w:jc w:val="center"/>
        </w:trPr>
        <w:tc>
          <w:tcPr>
            <w:tcW w:w="2586" w:type="dxa"/>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576" w:type="dxa"/>
            <w:tcBorders>
              <w:top w:val="nil"/>
              <w:left w:val="nil"/>
              <w:bottom w:val="nil"/>
              <w:right w:val="nil"/>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16</w:t>
            </w:r>
          </w:p>
        </w:tc>
        <w:tc>
          <w:tcPr>
            <w:tcW w:w="701" w:type="dxa"/>
            <w:tcBorders>
              <w:top w:val="nil"/>
              <w:left w:val="nil"/>
              <w:bottom w:val="nil"/>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1,3</w:t>
            </w:r>
          </w:p>
        </w:tc>
        <w:tc>
          <w:tcPr>
            <w:tcW w:w="786" w:type="dxa"/>
            <w:tcBorders>
              <w:top w:val="nil"/>
              <w:left w:val="single" w:sz="4" w:space="0" w:color="BFBFBF" w:themeColor="background1" w:themeShade="BF"/>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w:t>
            </w:r>
            <w:r>
              <w:rPr>
                <w:rFonts w:eastAsia="Times New Roman" w:cs="Arial"/>
                <w:color w:val="000000"/>
                <w:sz w:val="16"/>
                <w:szCs w:val="16"/>
                <w:lang w:eastAsia="es-ES"/>
              </w:rPr>
              <w:t>5</w:t>
            </w:r>
            <w:r>
              <w:rPr>
                <w:rStyle w:val="Refdenotaalpie"/>
                <w:rFonts w:eastAsia="Times New Roman" w:cs="Arial"/>
                <w:color w:val="000000"/>
                <w:sz w:val="16"/>
                <w:szCs w:val="16"/>
                <w:lang w:eastAsia="es-ES"/>
              </w:rPr>
              <w:footnoteReference w:id="16"/>
            </w:r>
          </w:p>
        </w:tc>
        <w:tc>
          <w:tcPr>
            <w:tcW w:w="786" w:type="dxa"/>
            <w:tcBorders>
              <w:top w:val="nil"/>
              <w:left w:val="nil"/>
              <w:bottom w:val="nil"/>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1,2</w:t>
            </w:r>
          </w:p>
        </w:tc>
      </w:tr>
      <w:tr w:rsidR="00B01F04" w:rsidRPr="00080818" w:rsidTr="00D86960">
        <w:trPr>
          <w:jc w:val="center"/>
        </w:trPr>
        <w:tc>
          <w:tcPr>
            <w:tcW w:w="2586" w:type="dxa"/>
            <w:tcBorders>
              <w:top w:val="nil"/>
              <w:left w:val="nil"/>
              <w:bottom w:val="single" w:sz="8" w:space="0" w:color="BFBFBF"/>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576" w:type="dxa"/>
            <w:tcBorders>
              <w:top w:val="nil"/>
              <w:left w:val="nil"/>
              <w:bottom w:val="single" w:sz="8" w:space="0" w:color="BFBFBF"/>
              <w:right w:val="nil"/>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189</w:t>
            </w:r>
          </w:p>
        </w:tc>
        <w:tc>
          <w:tcPr>
            <w:tcW w:w="701" w:type="dxa"/>
            <w:tcBorders>
              <w:top w:val="nil"/>
              <w:left w:val="nil"/>
              <w:bottom w:val="single" w:sz="8" w:space="0" w:color="BFBFBF"/>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color w:val="000000"/>
                <w:sz w:val="16"/>
                <w:szCs w:val="16"/>
                <w:lang w:eastAsia="es-ES"/>
              </w:rPr>
            </w:pPr>
            <w:r>
              <w:rPr>
                <w:rFonts w:eastAsia="Times New Roman" w:cs="Arial"/>
                <w:color w:val="000000"/>
                <w:sz w:val="16"/>
                <w:szCs w:val="16"/>
                <w:lang w:eastAsia="es-ES"/>
              </w:rPr>
              <w:t>15,4</w:t>
            </w:r>
          </w:p>
        </w:tc>
        <w:tc>
          <w:tcPr>
            <w:tcW w:w="786" w:type="dxa"/>
            <w:tcBorders>
              <w:top w:val="nil"/>
              <w:left w:val="single" w:sz="4" w:space="0" w:color="BFBFBF" w:themeColor="background1" w:themeShade="BF"/>
              <w:bottom w:val="single" w:sz="8" w:space="0" w:color="BFBFBF"/>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179</w:t>
            </w:r>
          </w:p>
        </w:tc>
        <w:tc>
          <w:tcPr>
            <w:tcW w:w="786" w:type="dxa"/>
            <w:tcBorders>
              <w:top w:val="nil"/>
              <w:left w:val="nil"/>
              <w:bottom w:val="single" w:sz="8" w:space="0" w:color="BFBFBF"/>
            </w:tcBorders>
            <w:shd w:val="clear" w:color="auto" w:fill="auto"/>
            <w:noWrap/>
            <w:hideMark/>
          </w:tcPr>
          <w:p w:rsidR="00B01F04" w:rsidRPr="00080818" w:rsidRDefault="00B01F04" w:rsidP="00D86960">
            <w:pPr>
              <w:spacing w:line="240" w:lineRule="exact"/>
              <w:ind w:right="245"/>
              <w:jc w:val="right"/>
              <w:rPr>
                <w:rFonts w:eastAsia="Times New Roman" w:cs="Arial"/>
                <w:color w:val="000000"/>
                <w:sz w:val="16"/>
                <w:szCs w:val="16"/>
                <w:lang w:eastAsia="es-ES"/>
              </w:rPr>
            </w:pPr>
            <w:r w:rsidRPr="00080818">
              <w:rPr>
                <w:rFonts w:eastAsia="Times New Roman" w:cs="Arial"/>
                <w:color w:val="000000"/>
                <w:sz w:val="16"/>
                <w:szCs w:val="16"/>
                <w:lang w:eastAsia="es-ES"/>
              </w:rPr>
              <w:t>1</w:t>
            </w:r>
            <w:r>
              <w:rPr>
                <w:rFonts w:eastAsia="Times New Roman" w:cs="Arial"/>
                <w:color w:val="000000"/>
                <w:sz w:val="16"/>
                <w:szCs w:val="16"/>
                <w:lang w:eastAsia="es-ES"/>
              </w:rPr>
              <w:t>5,0</w:t>
            </w:r>
          </w:p>
        </w:tc>
      </w:tr>
      <w:tr w:rsidR="00B01F04" w:rsidRPr="00080818" w:rsidTr="00D86960">
        <w:trPr>
          <w:jc w:val="center"/>
        </w:trPr>
        <w:tc>
          <w:tcPr>
            <w:tcW w:w="2586" w:type="dxa"/>
            <w:tcBorders>
              <w:top w:val="nil"/>
              <w:left w:val="nil"/>
              <w:bottom w:val="single" w:sz="8" w:space="0" w:color="BFBFBF"/>
              <w:right w:val="single" w:sz="8" w:space="0" w:color="BFBFBF"/>
            </w:tcBorders>
            <w:shd w:val="clear" w:color="auto" w:fill="auto"/>
            <w:noWrap/>
            <w:hideMark/>
          </w:tcPr>
          <w:p w:rsidR="00B01F04" w:rsidRPr="00623693" w:rsidRDefault="00B01F04" w:rsidP="00D86960">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576" w:type="dxa"/>
            <w:tcBorders>
              <w:top w:val="nil"/>
              <w:left w:val="nil"/>
              <w:bottom w:val="single" w:sz="8" w:space="0" w:color="BFBFBF"/>
              <w:right w:val="nil"/>
            </w:tcBorders>
          </w:tcPr>
          <w:p w:rsidR="00B01F04" w:rsidRPr="00080818" w:rsidRDefault="00B01F04" w:rsidP="00D86960">
            <w:pPr>
              <w:spacing w:line="240" w:lineRule="exact"/>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1.226</w:t>
            </w:r>
          </w:p>
        </w:tc>
        <w:tc>
          <w:tcPr>
            <w:tcW w:w="701" w:type="dxa"/>
            <w:tcBorders>
              <w:top w:val="single" w:sz="8" w:space="0" w:color="BFBFBF"/>
              <w:left w:val="nil"/>
              <w:bottom w:val="single" w:sz="4" w:space="0" w:color="BFBFBF" w:themeColor="background1" w:themeShade="BF"/>
              <w:right w:val="single" w:sz="4" w:space="0" w:color="BFBFBF" w:themeColor="background1" w:themeShade="BF"/>
            </w:tcBorders>
          </w:tcPr>
          <w:p w:rsidR="00B01F04" w:rsidRPr="00080818" w:rsidRDefault="00B01F04" w:rsidP="00D86960">
            <w:pPr>
              <w:spacing w:line="240" w:lineRule="exact"/>
              <w:ind w:right="245"/>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c>
          <w:tcPr>
            <w:tcW w:w="786" w:type="dxa"/>
            <w:tcBorders>
              <w:top w:val="single" w:sz="8" w:space="0" w:color="BFBFBF"/>
              <w:left w:val="single" w:sz="4" w:space="0" w:color="BFBFBF" w:themeColor="background1" w:themeShade="BF"/>
              <w:bottom w:val="single" w:sz="4" w:space="0" w:color="BFBFBF" w:themeColor="background1" w:themeShade="BF"/>
            </w:tcBorders>
            <w:shd w:val="clear" w:color="auto" w:fill="auto"/>
            <w:hideMark/>
          </w:tcPr>
          <w:p w:rsidR="00B01F04" w:rsidRPr="00080818" w:rsidRDefault="00B01F04" w:rsidP="00D86960">
            <w:pPr>
              <w:spacing w:line="240" w:lineRule="exact"/>
              <w:ind w:right="245"/>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1.201</w:t>
            </w:r>
          </w:p>
        </w:tc>
        <w:tc>
          <w:tcPr>
            <w:tcW w:w="786" w:type="dxa"/>
            <w:tcBorders>
              <w:top w:val="single" w:sz="8" w:space="0" w:color="BFBFBF"/>
              <w:left w:val="nil"/>
              <w:bottom w:val="single" w:sz="4" w:space="0" w:color="BFBFBF" w:themeColor="background1" w:themeShade="BF"/>
            </w:tcBorders>
            <w:shd w:val="clear" w:color="auto" w:fill="auto"/>
            <w:hideMark/>
          </w:tcPr>
          <w:p w:rsidR="00B01F04" w:rsidRPr="00080818" w:rsidRDefault="00B01F04" w:rsidP="00D86960">
            <w:pPr>
              <w:spacing w:line="240" w:lineRule="exact"/>
              <w:ind w:right="245"/>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100,0</w:t>
            </w:r>
          </w:p>
        </w:tc>
      </w:tr>
    </w:tbl>
    <w:p w:rsidR="00B01F04" w:rsidRPr="00A67658" w:rsidRDefault="00B01F04" w:rsidP="00A67658">
      <w:pPr>
        <w:widowControl w:val="0"/>
        <w:jc w:val="center"/>
        <w:rPr>
          <w:rFonts w:cs="Arial"/>
          <w:b/>
          <w:snapToGrid w:val="0"/>
          <w:color w:val="1F497D" w:themeColor="text2"/>
          <w:sz w:val="18"/>
          <w:szCs w:val="18"/>
          <w:lang w:val="es-ES_tradnl"/>
        </w:rPr>
      </w:pPr>
    </w:p>
    <w:p w:rsidR="00B01F04" w:rsidRPr="00537ABD" w:rsidRDefault="00A67658" w:rsidP="00A67658">
      <w:pPr>
        <w:pStyle w:val="Epgrafe"/>
        <w:jc w:val="center"/>
        <w:rPr>
          <w:rFonts w:ascii="Arial" w:eastAsiaTheme="minorHAnsi" w:hAnsi="Arial" w:cs="Arial"/>
          <w:bCs w:val="0"/>
          <w:snapToGrid w:val="0"/>
          <w:color w:val="1F497D" w:themeColor="text2"/>
          <w:sz w:val="18"/>
          <w:szCs w:val="18"/>
          <w:lang w:val="es-ES_tradnl" w:eastAsia="en-US"/>
        </w:rPr>
      </w:pPr>
      <w:bookmarkStart w:id="355" w:name="_Toc445381009"/>
      <w:bookmarkStart w:id="356" w:name="_Toc450120192"/>
      <w:r w:rsidRPr="00A67658">
        <w:rPr>
          <w:rFonts w:ascii="Arial" w:eastAsiaTheme="minorHAnsi" w:hAnsi="Arial" w:cs="Arial"/>
          <w:bCs w:val="0"/>
          <w:snapToGrid w:val="0"/>
          <w:color w:val="1F497D" w:themeColor="text2"/>
          <w:sz w:val="18"/>
          <w:szCs w:val="18"/>
          <w:lang w:val="es-ES_tradnl" w:eastAsia="en-US"/>
        </w:rPr>
        <w:t>Gráfico 4.</w:t>
      </w:r>
      <w:r w:rsidR="00771A61" w:rsidRPr="00A67658">
        <w:rPr>
          <w:rFonts w:ascii="Arial" w:eastAsiaTheme="minorHAnsi" w:hAnsi="Arial" w:cs="Arial"/>
          <w:bCs w:val="0"/>
          <w:snapToGrid w:val="0"/>
          <w:color w:val="1F497D" w:themeColor="text2"/>
          <w:sz w:val="18"/>
          <w:szCs w:val="18"/>
          <w:lang w:val="es-ES_tradnl" w:eastAsia="en-US"/>
        </w:rPr>
        <w:fldChar w:fldCharType="begin"/>
      </w:r>
      <w:r w:rsidRPr="00A67658">
        <w:rPr>
          <w:rFonts w:ascii="Arial" w:eastAsiaTheme="minorHAnsi" w:hAnsi="Arial" w:cs="Arial"/>
          <w:bCs w:val="0"/>
          <w:snapToGrid w:val="0"/>
          <w:color w:val="1F497D" w:themeColor="text2"/>
          <w:sz w:val="18"/>
          <w:szCs w:val="18"/>
          <w:lang w:val="es-ES_tradnl" w:eastAsia="en-US"/>
        </w:rPr>
        <w:instrText xml:space="preserve"> SEQ Gráfico_4. \* ARABIC </w:instrText>
      </w:r>
      <w:r w:rsidR="00771A61" w:rsidRPr="00A67658">
        <w:rPr>
          <w:rFonts w:ascii="Arial" w:eastAsiaTheme="minorHAnsi" w:hAnsi="Arial" w:cs="Arial"/>
          <w:bCs w:val="0"/>
          <w:snapToGrid w:val="0"/>
          <w:color w:val="1F497D" w:themeColor="text2"/>
          <w:sz w:val="18"/>
          <w:szCs w:val="18"/>
          <w:lang w:val="es-ES_tradnl" w:eastAsia="en-US"/>
        </w:rPr>
        <w:fldChar w:fldCharType="separate"/>
      </w:r>
      <w:r w:rsidR="00FC71A9">
        <w:rPr>
          <w:rFonts w:ascii="Arial" w:eastAsiaTheme="minorHAnsi" w:hAnsi="Arial" w:cs="Arial"/>
          <w:bCs w:val="0"/>
          <w:noProof/>
          <w:snapToGrid w:val="0"/>
          <w:color w:val="1F497D" w:themeColor="text2"/>
          <w:sz w:val="18"/>
          <w:szCs w:val="18"/>
          <w:lang w:val="es-ES_tradnl" w:eastAsia="en-US"/>
        </w:rPr>
        <w:t>1</w:t>
      </w:r>
      <w:r w:rsidR="00771A61" w:rsidRPr="00A67658">
        <w:rPr>
          <w:rFonts w:ascii="Arial" w:eastAsiaTheme="minorHAnsi" w:hAnsi="Arial" w:cs="Arial"/>
          <w:bCs w:val="0"/>
          <w:snapToGrid w:val="0"/>
          <w:color w:val="1F497D" w:themeColor="text2"/>
          <w:sz w:val="18"/>
          <w:szCs w:val="18"/>
          <w:lang w:val="es-ES_tradnl" w:eastAsia="en-US"/>
        </w:rPr>
        <w:fldChar w:fldCharType="end"/>
      </w:r>
      <w:r>
        <w:rPr>
          <w:rFonts w:ascii="Arial" w:eastAsiaTheme="minorHAnsi" w:hAnsi="Arial" w:cs="Arial"/>
          <w:bCs w:val="0"/>
          <w:snapToGrid w:val="0"/>
          <w:color w:val="1F497D" w:themeColor="text2"/>
          <w:sz w:val="18"/>
          <w:szCs w:val="18"/>
          <w:lang w:val="es-ES_tradnl" w:eastAsia="en-US"/>
        </w:rPr>
        <w:t xml:space="preserve"> </w:t>
      </w:r>
      <w:r w:rsidR="00B01F04" w:rsidRPr="00537ABD">
        <w:rPr>
          <w:rFonts w:ascii="Arial" w:eastAsiaTheme="minorHAnsi" w:hAnsi="Arial" w:cs="Arial"/>
          <w:bCs w:val="0"/>
          <w:snapToGrid w:val="0"/>
          <w:color w:val="1F497D" w:themeColor="text2"/>
          <w:sz w:val="18"/>
          <w:szCs w:val="18"/>
          <w:lang w:val="es-ES_tradnl" w:eastAsia="en-US"/>
        </w:rPr>
        <w:t>EVOLUCIÓN DEL NÚMERO DE ENTIDADES NUEVAS FORMAS DE LA ECONOMÍA SOCIAL 2012 - 2014 (diferencia en cifras absolutas)</w:t>
      </w:r>
      <w:bookmarkEnd w:id="355"/>
      <w:bookmarkEnd w:id="356"/>
    </w:p>
    <w:p w:rsidR="00B01F04" w:rsidRDefault="00B01F04" w:rsidP="00B01F04">
      <w:pPr>
        <w:widowControl w:val="0"/>
        <w:rPr>
          <w:rFonts w:cs="Arial"/>
        </w:rPr>
      </w:pPr>
      <w:r>
        <w:rPr>
          <w:rFonts w:cs="Arial"/>
          <w:noProof/>
          <w:lang w:eastAsia="es-ES"/>
        </w:rPr>
        <w:drawing>
          <wp:anchor distT="0" distB="0" distL="114300" distR="114300" simplePos="0" relativeHeight="251835392" behindDoc="1" locked="0" layoutInCell="1" allowOverlap="1">
            <wp:simplePos x="0" y="0"/>
            <wp:positionH relativeFrom="column">
              <wp:posOffset>567690</wp:posOffset>
            </wp:positionH>
            <wp:positionV relativeFrom="paragraph">
              <wp:posOffset>114935</wp:posOffset>
            </wp:positionV>
            <wp:extent cx="4629150" cy="1390650"/>
            <wp:effectExtent l="0" t="0" r="0" b="0"/>
            <wp:wrapThrough wrapText="bothSides">
              <wp:wrapPolygon edited="0">
                <wp:start x="2667" y="592"/>
                <wp:lineTo x="800" y="1479"/>
                <wp:lineTo x="444" y="9173"/>
                <wp:lineTo x="1067" y="10948"/>
                <wp:lineTo x="178" y="11244"/>
                <wp:lineTo x="178" y="17162"/>
                <wp:lineTo x="5422" y="19529"/>
                <wp:lineTo x="4711" y="19529"/>
                <wp:lineTo x="4533" y="21008"/>
                <wp:lineTo x="5778" y="21008"/>
                <wp:lineTo x="6133" y="21008"/>
                <wp:lineTo x="15111" y="21008"/>
                <wp:lineTo x="15200" y="19529"/>
                <wp:lineTo x="20889" y="18641"/>
                <wp:lineTo x="20711" y="15978"/>
                <wp:lineTo x="1156" y="14795"/>
                <wp:lineTo x="20444" y="14203"/>
                <wp:lineTo x="20711" y="13019"/>
                <wp:lineTo x="14667" y="10060"/>
                <wp:lineTo x="14844" y="8877"/>
                <wp:lineTo x="11289" y="7693"/>
                <wp:lineTo x="1156" y="5326"/>
                <wp:lineTo x="5956" y="4142"/>
                <wp:lineTo x="6044" y="2959"/>
                <wp:lineTo x="3111" y="592"/>
                <wp:lineTo x="2667" y="592"/>
              </wp:wrapPolygon>
            </wp:wrapThrough>
            <wp:docPr id="4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A67658" w:rsidP="00B01F04">
      <w:pPr>
        <w:widowControl w:val="0"/>
        <w:spacing w:line="240" w:lineRule="auto"/>
        <w:jc w:val="center"/>
        <w:rPr>
          <w:rFonts w:cs="Arial"/>
          <w:b/>
          <w:color w:val="1F497D" w:themeColor="text2"/>
          <w:sz w:val="18"/>
          <w:szCs w:val="18"/>
        </w:rPr>
      </w:pPr>
      <w:bookmarkStart w:id="357" w:name="_Toc445380975"/>
      <w:bookmarkStart w:id="358" w:name="_Toc450119827"/>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w:t>
      </w:r>
      <w:r w:rsidR="00771A61" w:rsidRPr="00A67658">
        <w:rPr>
          <w:rFonts w:cs="Arial"/>
          <w:b/>
          <w:bCs/>
          <w:snapToGrid w:val="0"/>
          <w:color w:val="1F497D" w:themeColor="text2"/>
          <w:sz w:val="18"/>
          <w:szCs w:val="18"/>
          <w:lang w:val="es-ES_tradnl"/>
        </w:rPr>
        <w:fldChar w:fldCharType="end"/>
      </w:r>
      <w:r w:rsidRPr="00A67658">
        <w:rPr>
          <w:rFonts w:cs="Arial"/>
          <w:b/>
          <w:bCs/>
          <w:snapToGrid w:val="0"/>
          <w:color w:val="1F497D" w:themeColor="text2"/>
          <w:sz w:val="18"/>
          <w:szCs w:val="18"/>
          <w:lang w:val="es-ES_tradnl"/>
        </w:rPr>
        <w:t xml:space="preserve"> </w:t>
      </w:r>
      <w:r w:rsidR="00B01F04" w:rsidRPr="00A67658">
        <w:rPr>
          <w:rFonts w:cs="Arial"/>
          <w:b/>
          <w:snapToGrid w:val="0"/>
          <w:color w:val="1F497D" w:themeColor="text2"/>
          <w:sz w:val="18"/>
          <w:szCs w:val="18"/>
          <w:lang w:val="es-ES_tradnl"/>
        </w:rPr>
        <w:t xml:space="preserve"> </w:t>
      </w:r>
      <w:r w:rsidR="00B01F04" w:rsidRPr="00A67658">
        <w:rPr>
          <w:rFonts w:cs="Arial"/>
          <w:b/>
          <w:color w:val="1F497D" w:themeColor="text2"/>
          <w:sz w:val="18"/>
          <w:szCs w:val="18"/>
        </w:rPr>
        <w:t>DISTRIBUCIÓN DE ESTABLECIMIENTOS POR SEGMENTOS NUEVAS FORMAS DE LA</w:t>
      </w:r>
      <w:r w:rsidR="00B01F04">
        <w:rPr>
          <w:rFonts w:cs="Arial"/>
          <w:b/>
          <w:color w:val="1F497D" w:themeColor="text2"/>
          <w:sz w:val="18"/>
          <w:szCs w:val="18"/>
        </w:rPr>
        <w:t xml:space="preserve"> ECONOMÍA SOCIAL 2014 </w:t>
      </w:r>
      <w:r w:rsidR="00B01F04" w:rsidRPr="008D51C3">
        <w:rPr>
          <w:rFonts w:cs="Arial"/>
          <w:b/>
          <w:color w:val="1F497D" w:themeColor="text2"/>
          <w:sz w:val="18"/>
          <w:szCs w:val="18"/>
        </w:rPr>
        <w:t>(</w:t>
      </w:r>
      <w:r w:rsidR="00B01F04">
        <w:rPr>
          <w:rFonts w:cs="Arial"/>
          <w:b/>
          <w:color w:val="1F497D" w:themeColor="text2"/>
          <w:sz w:val="18"/>
          <w:szCs w:val="18"/>
        </w:rPr>
        <w:t>cifras absolutas y % verticales</w:t>
      </w:r>
      <w:r w:rsidR="00B01F04" w:rsidRPr="008D51C3">
        <w:rPr>
          <w:rFonts w:cs="Arial"/>
          <w:b/>
          <w:color w:val="1F497D" w:themeColor="text2"/>
          <w:sz w:val="18"/>
          <w:szCs w:val="18"/>
        </w:rPr>
        <w:t>)</w:t>
      </w:r>
      <w:bookmarkEnd w:id="357"/>
      <w:bookmarkEnd w:id="358"/>
    </w:p>
    <w:tbl>
      <w:tblPr>
        <w:tblW w:w="9940" w:type="dxa"/>
        <w:jc w:val="center"/>
        <w:tblCellMar>
          <w:left w:w="70" w:type="dxa"/>
          <w:right w:w="70" w:type="dxa"/>
        </w:tblCellMar>
        <w:tblLook w:val="04A0" w:firstRow="1" w:lastRow="0" w:firstColumn="1" w:lastColumn="0" w:noHBand="0" w:noVBand="1"/>
      </w:tblPr>
      <w:tblGrid>
        <w:gridCol w:w="6206"/>
        <w:gridCol w:w="1867"/>
        <w:gridCol w:w="1867"/>
      </w:tblGrid>
      <w:tr w:rsidR="00B01F04" w:rsidRPr="00080818" w:rsidTr="00D86960">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B01F04" w:rsidRPr="00080818" w:rsidRDefault="00B01F04" w:rsidP="00D86960">
            <w:pPr>
              <w:spacing w:line="240" w:lineRule="exact"/>
              <w:jc w:val="left"/>
              <w:rPr>
                <w:rFonts w:ascii="Calibri" w:eastAsia="Times New Roman" w:hAnsi="Calibri" w:cs="Times New Roman"/>
                <w:color w:val="000000"/>
                <w:sz w:val="22"/>
                <w:lang w:eastAsia="es-ES"/>
              </w:rPr>
            </w:pPr>
          </w:p>
        </w:tc>
        <w:tc>
          <w:tcPr>
            <w:tcW w:w="0" w:type="auto"/>
            <w:gridSpan w:val="2"/>
            <w:tcBorders>
              <w:top w:val="single" w:sz="8" w:space="0" w:color="BFBFBF"/>
              <w:left w:val="nil"/>
              <w:bottom w:val="single" w:sz="4" w:space="0" w:color="BFBFBF" w:themeColor="background1" w:themeShade="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sidRPr="00080818">
              <w:rPr>
                <w:rFonts w:eastAsia="Times New Roman" w:cs="Arial"/>
                <w:b/>
                <w:bCs/>
                <w:color w:val="000000"/>
                <w:sz w:val="16"/>
                <w:szCs w:val="16"/>
                <w:lang w:eastAsia="es-ES"/>
              </w:rPr>
              <w:t xml:space="preserve">Establecimientos </w:t>
            </w:r>
          </w:p>
        </w:tc>
      </w:tr>
      <w:tr w:rsidR="00B01F04" w:rsidRPr="00080818" w:rsidTr="00D86960">
        <w:trPr>
          <w:trHeight w:val="60"/>
          <w:jc w:val="center"/>
        </w:trPr>
        <w:tc>
          <w:tcPr>
            <w:tcW w:w="0" w:type="auto"/>
            <w:vMerge/>
            <w:tcBorders>
              <w:top w:val="single" w:sz="8" w:space="0" w:color="BFBFBF"/>
              <w:left w:val="nil"/>
              <w:bottom w:val="single" w:sz="8" w:space="0" w:color="BFBFBF"/>
              <w:right w:val="single" w:sz="8" w:space="0" w:color="BFBFBF"/>
            </w:tcBorders>
            <w:vAlign w:val="center"/>
            <w:hideMark/>
          </w:tcPr>
          <w:p w:rsidR="00B01F04" w:rsidRPr="00080818" w:rsidRDefault="00B01F04" w:rsidP="00D86960">
            <w:pPr>
              <w:spacing w:line="240" w:lineRule="exact"/>
              <w:jc w:val="left"/>
              <w:rPr>
                <w:rFonts w:ascii="Calibri" w:eastAsia="Times New Roman" w:hAnsi="Calibri" w:cs="Times New Roman"/>
                <w:color w:val="000000"/>
                <w:sz w:val="22"/>
                <w:lang w:eastAsia="es-ES"/>
              </w:rPr>
            </w:pPr>
          </w:p>
        </w:tc>
        <w:tc>
          <w:tcPr>
            <w:tcW w:w="0" w:type="auto"/>
            <w:tcBorders>
              <w:top w:val="single" w:sz="4" w:space="0" w:color="BFBFBF" w:themeColor="background1" w:themeShade="BF"/>
              <w:left w:val="nil"/>
              <w:bottom w:val="single" w:sz="8" w:space="0" w:color="BFBFBF"/>
              <w:right w:val="single" w:sz="8" w:space="0" w:color="BFBF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0" w:type="auto"/>
            <w:tcBorders>
              <w:top w:val="single" w:sz="4" w:space="0" w:color="BFBFBF" w:themeColor="background1" w:themeShade="BF"/>
              <w:left w:val="nil"/>
              <w:bottom w:val="single" w:sz="8" w:space="0" w:color="BFBF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ver.</w:t>
            </w:r>
          </w:p>
        </w:tc>
      </w:tr>
      <w:tr w:rsidR="00B01F04" w:rsidRPr="00080818" w:rsidTr="00D86960">
        <w:trPr>
          <w:jc w:val="center"/>
        </w:trPr>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1.021</w:t>
            </w:r>
          </w:p>
        </w:tc>
        <w:tc>
          <w:tcPr>
            <w:tcW w:w="0" w:type="auto"/>
            <w:tcBorders>
              <w:top w:val="nil"/>
              <w:left w:val="nil"/>
              <w:bottom w:val="nil"/>
            </w:tcBorders>
            <w:shd w:val="clear" w:color="auto" w:fill="auto"/>
            <w:noWrap/>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49,5</w:t>
            </w:r>
          </w:p>
        </w:tc>
      </w:tr>
      <w:tr w:rsidR="00B01F04" w:rsidRPr="00080818" w:rsidTr="00D86960">
        <w:trPr>
          <w:jc w:val="center"/>
        </w:trPr>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109</w:t>
            </w:r>
          </w:p>
        </w:tc>
        <w:tc>
          <w:tcPr>
            <w:tcW w:w="0" w:type="auto"/>
            <w:tcBorders>
              <w:top w:val="nil"/>
              <w:left w:val="nil"/>
              <w:bottom w:val="nil"/>
            </w:tcBorders>
            <w:shd w:val="clear" w:color="auto" w:fill="auto"/>
            <w:noWrap/>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5,3</w:t>
            </w:r>
          </w:p>
        </w:tc>
      </w:tr>
      <w:tr w:rsidR="00B01F04" w:rsidRPr="00080818" w:rsidTr="00D86960">
        <w:trPr>
          <w:jc w:val="center"/>
        </w:trPr>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533</w:t>
            </w:r>
          </w:p>
        </w:tc>
        <w:tc>
          <w:tcPr>
            <w:tcW w:w="0" w:type="auto"/>
            <w:tcBorders>
              <w:top w:val="nil"/>
              <w:left w:val="nil"/>
              <w:bottom w:val="nil"/>
            </w:tcBorders>
            <w:shd w:val="clear" w:color="auto" w:fill="auto"/>
            <w:noWrap/>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25,8</w:t>
            </w:r>
          </w:p>
        </w:tc>
      </w:tr>
      <w:tr w:rsidR="00B01F04" w:rsidRPr="00080818" w:rsidTr="00D86960">
        <w:trPr>
          <w:jc w:val="center"/>
        </w:trPr>
        <w:tc>
          <w:tcPr>
            <w:tcW w:w="0" w:type="auto"/>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117</w:t>
            </w:r>
          </w:p>
        </w:tc>
        <w:tc>
          <w:tcPr>
            <w:tcW w:w="0" w:type="auto"/>
            <w:tcBorders>
              <w:top w:val="nil"/>
              <w:left w:val="nil"/>
              <w:bottom w:val="nil"/>
            </w:tcBorders>
            <w:shd w:val="clear" w:color="auto" w:fill="auto"/>
            <w:noWrap/>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5,7</w:t>
            </w:r>
          </w:p>
        </w:tc>
      </w:tr>
      <w:tr w:rsidR="00B01F04" w:rsidRPr="00080818" w:rsidTr="00D86960">
        <w:trPr>
          <w:jc w:val="center"/>
        </w:trPr>
        <w:tc>
          <w:tcPr>
            <w:tcW w:w="0" w:type="auto"/>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87</w:t>
            </w:r>
          </w:p>
        </w:tc>
        <w:tc>
          <w:tcPr>
            <w:tcW w:w="0" w:type="auto"/>
            <w:tcBorders>
              <w:top w:val="nil"/>
              <w:left w:val="nil"/>
              <w:bottom w:val="nil"/>
            </w:tcBorders>
            <w:shd w:val="clear" w:color="auto" w:fill="auto"/>
            <w:noWrap/>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4,2</w:t>
            </w:r>
          </w:p>
        </w:tc>
      </w:tr>
      <w:tr w:rsidR="00B01F04" w:rsidRPr="00080818" w:rsidTr="00D86960">
        <w:trPr>
          <w:jc w:val="center"/>
        </w:trPr>
        <w:tc>
          <w:tcPr>
            <w:tcW w:w="0" w:type="auto"/>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0" w:type="auto"/>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15</w:t>
            </w:r>
          </w:p>
        </w:tc>
        <w:tc>
          <w:tcPr>
            <w:tcW w:w="0" w:type="auto"/>
            <w:tcBorders>
              <w:top w:val="nil"/>
              <w:left w:val="nil"/>
              <w:bottom w:val="nil"/>
            </w:tcBorders>
            <w:shd w:val="clear" w:color="auto" w:fill="auto"/>
            <w:noWrap/>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0,7</w:t>
            </w:r>
          </w:p>
        </w:tc>
      </w:tr>
      <w:tr w:rsidR="00B01F04" w:rsidRPr="00080818" w:rsidTr="00D86960">
        <w:trPr>
          <w:jc w:val="center"/>
        </w:trPr>
        <w:tc>
          <w:tcPr>
            <w:tcW w:w="0" w:type="auto"/>
            <w:tcBorders>
              <w:top w:val="nil"/>
              <w:left w:val="nil"/>
              <w:bottom w:val="single" w:sz="8" w:space="0" w:color="BFBFBF"/>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0" w:type="auto"/>
            <w:tcBorders>
              <w:top w:val="nil"/>
              <w:left w:val="nil"/>
              <w:bottom w:val="single" w:sz="8" w:space="0" w:color="BFBFBF"/>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179</w:t>
            </w:r>
          </w:p>
        </w:tc>
        <w:tc>
          <w:tcPr>
            <w:tcW w:w="0" w:type="auto"/>
            <w:tcBorders>
              <w:top w:val="nil"/>
              <w:left w:val="nil"/>
              <w:bottom w:val="single" w:sz="8" w:space="0" w:color="BFBFBF"/>
            </w:tcBorders>
            <w:shd w:val="clear" w:color="auto" w:fill="auto"/>
            <w:noWrap/>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8,7</w:t>
            </w:r>
          </w:p>
        </w:tc>
      </w:tr>
      <w:tr w:rsidR="00B01F04" w:rsidRPr="00080818" w:rsidTr="00D86960">
        <w:trPr>
          <w:jc w:val="center"/>
        </w:trPr>
        <w:tc>
          <w:tcPr>
            <w:tcW w:w="0" w:type="auto"/>
            <w:tcBorders>
              <w:top w:val="nil"/>
              <w:left w:val="nil"/>
              <w:bottom w:val="single" w:sz="8" w:space="0" w:color="BFBFBF"/>
              <w:right w:val="single" w:sz="8" w:space="0" w:color="BFBFBF"/>
            </w:tcBorders>
            <w:shd w:val="clear" w:color="auto" w:fill="auto"/>
            <w:noWrap/>
            <w:hideMark/>
          </w:tcPr>
          <w:p w:rsidR="00B01F04" w:rsidRPr="00623693" w:rsidRDefault="00B01F04" w:rsidP="00D86960">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0" w:type="auto"/>
            <w:tcBorders>
              <w:top w:val="nil"/>
              <w:left w:val="nil"/>
              <w:bottom w:val="single" w:sz="8" w:space="0" w:color="BFBFBF"/>
              <w:right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2.062</w:t>
            </w:r>
          </w:p>
        </w:tc>
        <w:tc>
          <w:tcPr>
            <w:tcW w:w="0" w:type="auto"/>
            <w:tcBorders>
              <w:top w:val="nil"/>
              <w:left w:val="nil"/>
              <w:bottom w:val="single" w:sz="8" w:space="0" w:color="BFBFBF"/>
            </w:tcBorders>
            <w:shd w:val="clear" w:color="auto" w:fill="auto"/>
            <w:hideMark/>
          </w:tcPr>
          <w:p w:rsidR="00B01F04" w:rsidRPr="00080818" w:rsidRDefault="00B01F04" w:rsidP="00D86960">
            <w:pPr>
              <w:spacing w:line="240" w:lineRule="exact"/>
              <w:ind w:right="237"/>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rsidR="00B01F04" w:rsidRDefault="00B01F04" w:rsidP="00B01F04">
      <w:pPr>
        <w:widowControl w:val="0"/>
        <w:rPr>
          <w:rFonts w:cs="Arial"/>
        </w:rPr>
      </w:pPr>
    </w:p>
    <w:p w:rsidR="00B01F04" w:rsidRDefault="00B01F04" w:rsidP="00B01F04">
      <w:pPr>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B01F04" w:rsidRDefault="00A67658" w:rsidP="00B01F04">
      <w:pPr>
        <w:widowControl w:val="0"/>
        <w:spacing w:line="240" w:lineRule="auto"/>
        <w:jc w:val="center"/>
        <w:rPr>
          <w:rFonts w:cs="Arial"/>
          <w:b/>
          <w:color w:val="1F497D" w:themeColor="text2"/>
          <w:sz w:val="18"/>
          <w:szCs w:val="18"/>
        </w:rPr>
      </w:pPr>
      <w:bookmarkStart w:id="359" w:name="_Toc445380976"/>
      <w:bookmarkStart w:id="360" w:name="_Toc450119828"/>
      <w:r w:rsidRPr="00A67658">
        <w:rPr>
          <w:rFonts w:cs="Arial"/>
          <w:b/>
          <w:bCs/>
          <w:snapToGrid w:val="0"/>
          <w:color w:val="1F497D" w:themeColor="text2"/>
          <w:sz w:val="18"/>
          <w:szCs w:val="18"/>
          <w:lang w:val="es-ES_tradnl"/>
        </w:rPr>
        <w:lastRenderedPageBreak/>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w:t>
      </w:r>
      <w:r w:rsidR="00771A61" w:rsidRPr="00A67658">
        <w:rPr>
          <w:rFonts w:cs="Arial"/>
          <w:b/>
          <w:bCs/>
          <w:snapToGrid w:val="0"/>
          <w:color w:val="1F497D" w:themeColor="text2"/>
          <w:sz w:val="18"/>
          <w:szCs w:val="18"/>
          <w:lang w:val="es-ES_tradnl"/>
        </w:rPr>
        <w:fldChar w:fldCharType="end"/>
      </w:r>
      <w:r w:rsidR="00B01F04" w:rsidRPr="00537ABD">
        <w:rPr>
          <w:rFonts w:cs="Arial"/>
          <w:b/>
          <w:bCs/>
          <w:color w:val="1F497D" w:themeColor="text2"/>
          <w:sz w:val="18"/>
          <w:szCs w:val="18"/>
        </w:rPr>
        <w:t xml:space="preserve"> </w:t>
      </w:r>
      <w:r w:rsidR="00B01F04" w:rsidRPr="00537ABD">
        <w:rPr>
          <w:rFonts w:cs="Arial"/>
          <w:b/>
          <w:color w:val="1F497D" w:themeColor="text2"/>
          <w:sz w:val="18"/>
          <w:szCs w:val="18"/>
        </w:rPr>
        <w:t>DISTRIBUCIÓN DE EMPLEO REMUNERADO ANUALIZADO ESTIMADO POR SEGMENTOS</w:t>
      </w:r>
      <w:r w:rsidR="00B01F04" w:rsidRPr="008D51C3">
        <w:rPr>
          <w:rFonts w:cs="Arial"/>
          <w:b/>
          <w:color w:val="1F497D" w:themeColor="text2"/>
          <w:sz w:val="18"/>
          <w:szCs w:val="18"/>
        </w:rPr>
        <w:t xml:space="preserve"> NUEVAS F</w:t>
      </w:r>
      <w:r w:rsidR="00B01F04">
        <w:rPr>
          <w:rFonts w:cs="Arial"/>
          <w:b/>
          <w:color w:val="1F497D" w:themeColor="text2"/>
          <w:sz w:val="18"/>
          <w:szCs w:val="18"/>
        </w:rPr>
        <w:t xml:space="preserve">ORMAS DE LA ECONOMÍA SOCIAL 2014 </w:t>
      </w:r>
      <w:r w:rsidR="00B01F04" w:rsidRPr="008D51C3">
        <w:rPr>
          <w:rFonts w:cs="Arial"/>
          <w:b/>
          <w:color w:val="1F497D" w:themeColor="text2"/>
          <w:sz w:val="18"/>
          <w:szCs w:val="18"/>
        </w:rPr>
        <w:t>(</w:t>
      </w:r>
      <w:r w:rsidR="00B01F04">
        <w:rPr>
          <w:rFonts w:cs="Arial"/>
          <w:b/>
          <w:color w:val="1F497D" w:themeColor="text2"/>
          <w:sz w:val="18"/>
          <w:szCs w:val="18"/>
        </w:rPr>
        <w:t>cifras absolutas y % verticales</w:t>
      </w:r>
      <w:r w:rsidR="00B01F04" w:rsidRPr="008D51C3">
        <w:rPr>
          <w:rFonts w:cs="Arial"/>
          <w:b/>
          <w:color w:val="1F497D" w:themeColor="text2"/>
          <w:sz w:val="18"/>
          <w:szCs w:val="18"/>
        </w:rPr>
        <w:t>)</w:t>
      </w:r>
      <w:bookmarkEnd w:id="359"/>
      <w:bookmarkEnd w:id="360"/>
    </w:p>
    <w:tbl>
      <w:tblPr>
        <w:tblW w:w="9940" w:type="dxa"/>
        <w:jc w:val="center"/>
        <w:tblCellMar>
          <w:left w:w="70" w:type="dxa"/>
          <w:right w:w="70" w:type="dxa"/>
        </w:tblCellMar>
        <w:tblLook w:val="04A0" w:firstRow="1" w:lastRow="0" w:firstColumn="1" w:lastColumn="0" w:noHBand="0" w:noVBand="1"/>
      </w:tblPr>
      <w:tblGrid>
        <w:gridCol w:w="6247"/>
        <w:gridCol w:w="1846"/>
        <w:gridCol w:w="1847"/>
      </w:tblGrid>
      <w:tr w:rsidR="00B01F04" w:rsidRPr="00080818" w:rsidTr="00D86960">
        <w:trPr>
          <w:jc w:val="center"/>
        </w:trPr>
        <w:tc>
          <w:tcPr>
            <w:tcW w:w="6247" w:type="dxa"/>
            <w:vMerge w:val="restart"/>
            <w:tcBorders>
              <w:top w:val="single" w:sz="8" w:space="0" w:color="BFBFBF"/>
              <w:left w:val="nil"/>
              <w:bottom w:val="single" w:sz="8" w:space="0" w:color="BFBFBF"/>
              <w:right w:val="single" w:sz="8" w:space="0" w:color="BFBFBF"/>
            </w:tcBorders>
            <w:shd w:val="clear" w:color="000000" w:fill="DBE5F1"/>
            <w:hideMark/>
          </w:tcPr>
          <w:p w:rsidR="00B01F04" w:rsidRPr="00080818" w:rsidRDefault="00B01F04" w:rsidP="00D86960">
            <w:pPr>
              <w:spacing w:line="240" w:lineRule="exact"/>
              <w:jc w:val="left"/>
              <w:rPr>
                <w:rFonts w:ascii="Calibri" w:eastAsia="Times New Roman" w:hAnsi="Calibri" w:cs="Times New Roman"/>
                <w:color w:val="000000"/>
                <w:sz w:val="22"/>
                <w:lang w:eastAsia="es-ES"/>
              </w:rPr>
            </w:pPr>
          </w:p>
        </w:tc>
        <w:tc>
          <w:tcPr>
            <w:tcW w:w="3693" w:type="dxa"/>
            <w:gridSpan w:val="2"/>
            <w:tcBorders>
              <w:top w:val="single" w:sz="8" w:space="0" w:color="BFBFBF"/>
              <w:left w:val="nil"/>
              <w:bottom w:val="single" w:sz="4" w:space="0" w:color="BFBFBF" w:themeColor="background1" w:themeShade="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sidRPr="00080818">
              <w:rPr>
                <w:rFonts w:eastAsia="Times New Roman" w:cs="Arial"/>
                <w:b/>
                <w:bCs/>
                <w:color w:val="000000"/>
                <w:sz w:val="16"/>
                <w:szCs w:val="16"/>
                <w:lang w:eastAsia="es-ES"/>
              </w:rPr>
              <w:t>Empleo remunerado</w:t>
            </w:r>
            <w:r>
              <w:rPr>
                <w:rFonts w:eastAsia="Times New Roman" w:cs="Arial"/>
                <w:b/>
                <w:bCs/>
                <w:color w:val="000000"/>
                <w:sz w:val="16"/>
                <w:szCs w:val="16"/>
                <w:lang w:eastAsia="es-ES"/>
              </w:rPr>
              <w:t xml:space="preserve"> anualizado</w:t>
            </w:r>
          </w:p>
        </w:tc>
      </w:tr>
      <w:tr w:rsidR="00B01F04" w:rsidRPr="00080818" w:rsidTr="00D86960">
        <w:trPr>
          <w:trHeight w:val="60"/>
          <w:jc w:val="center"/>
        </w:trPr>
        <w:tc>
          <w:tcPr>
            <w:tcW w:w="6247" w:type="dxa"/>
            <w:vMerge/>
            <w:tcBorders>
              <w:top w:val="single" w:sz="8" w:space="0" w:color="BFBFBF"/>
              <w:left w:val="nil"/>
              <w:bottom w:val="single" w:sz="8" w:space="0" w:color="BFBFBF"/>
              <w:right w:val="single" w:sz="8" w:space="0" w:color="BFBFBF"/>
            </w:tcBorders>
            <w:vAlign w:val="center"/>
            <w:hideMark/>
          </w:tcPr>
          <w:p w:rsidR="00B01F04" w:rsidRPr="00080818" w:rsidRDefault="00B01F04" w:rsidP="00D86960">
            <w:pPr>
              <w:spacing w:line="240" w:lineRule="exact"/>
              <w:jc w:val="left"/>
              <w:rPr>
                <w:rFonts w:ascii="Calibri" w:eastAsia="Times New Roman" w:hAnsi="Calibri" w:cs="Times New Roman"/>
                <w:color w:val="000000"/>
                <w:sz w:val="22"/>
                <w:lang w:eastAsia="es-ES"/>
              </w:rPr>
            </w:pPr>
          </w:p>
        </w:tc>
        <w:tc>
          <w:tcPr>
            <w:tcW w:w="1846" w:type="dxa"/>
            <w:tcBorders>
              <w:top w:val="single" w:sz="4" w:space="0" w:color="BFBFBF" w:themeColor="background1" w:themeShade="BF"/>
              <w:left w:val="nil"/>
              <w:bottom w:val="single" w:sz="8" w:space="0" w:color="BFBFBF"/>
              <w:right w:val="single" w:sz="8" w:space="0" w:color="BFBF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1847" w:type="dxa"/>
            <w:tcBorders>
              <w:top w:val="single" w:sz="4" w:space="0" w:color="BFBFBF" w:themeColor="background1" w:themeShade="BF"/>
              <w:left w:val="nil"/>
              <w:bottom w:val="single" w:sz="8" w:space="0" w:color="BFBFBF"/>
            </w:tcBorders>
            <w:shd w:val="clear" w:color="000000" w:fill="DBE5F1"/>
            <w:hideMark/>
          </w:tcPr>
          <w:p w:rsidR="00B01F04" w:rsidRPr="00080818"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ver.</w:t>
            </w:r>
          </w:p>
        </w:tc>
      </w:tr>
      <w:tr w:rsidR="00B01F04" w:rsidRPr="00080818" w:rsidTr="00D86960">
        <w:trPr>
          <w:jc w:val="center"/>
        </w:trPr>
        <w:tc>
          <w:tcPr>
            <w:tcW w:w="6247"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184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10.482</w:t>
            </w:r>
          </w:p>
        </w:tc>
        <w:tc>
          <w:tcPr>
            <w:tcW w:w="1847" w:type="dxa"/>
            <w:tcBorders>
              <w:top w:val="nil"/>
              <w:left w:val="nil"/>
              <w:bottom w:val="nil"/>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45,1</w:t>
            </w:r>
          </w:p>
        </w:tc>
      </w:tr>
      <w:tr w:rsidR="00B01F04" w:rsidRPr="00080818" w:rsidTr="00D86960">
        <w:trPr>
          <w:jc w:val="center"/>
        </w:trPr>
        <w:tc>
          <w:tcPr>
            <w:tcW w:w="6247"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184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7.920</w:t>
            </w:r>
          </w:p>
        </w:tc>
        <w:tc>
          <w:tcPr>
            <w:tcW w:w="1847" w:type="dxa"/>
            <w:tcBorders>
              <w:top w:val="nil"/>
              <w:left w:val="nil"/>
              <w:bottom w:val="nil"/>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34,1</w:t>
            </w:r>
          </w:p>
        </w:tc>
      </w:tr>
      <w:tr w:rsidR="00B01F04" w:rsidRPr="00080818" w:rsidTr="00D86960">
        <w:trPr>
          <w:jc w:val="center"/>
        </w:trPr>
        <w:tc>
          <w:tcPr>
            <w:tcW w:w="6247"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184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3.593</w:t>
            </w:r>
          </w:p>
        </w:tc>
        <w:tc>
          <w:tcPr>
            <w:tcW w:w="1847" w:type="dxa"/>
            <w:tcBorders>
              <w:top w:val="nil"/>
              <w:left w:val="nil"/>
              <w:bottom w:val="nil"/>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15,5</w:t>
            </w:r>
          </w:p>
        </w:tc>
      </w:tr>
      <w:tr w:rsidR="00B01F04" w:rsidRPr="00080818" w:rsidTr="00D86960">
        <w:trPr>
          <w:jc w:val="center"/>
        </w:trPr>
        <w:tc>
          <w:tcPr>
            <w:tcW w:w="6247" w:type="dxa"/>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184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846</w:t>
            </w:r>
          </w:p>
        </w:tc>
        <w:tc>
          <w:tcPr>
            <w:tcW w:w="1847" w:type="dxa"/>
            <w:tcBorders>
              <w:top w:val="nil"/>
              <w:left w:val="nil"/>
              <w:bottom w:val="nil"/>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3,6</w:t>
            </w:r>
          </w:p>
        </w:tc>
      </w:tr>
      <w:tr w:rsidR="00B01F04" w:rsidRPr="00080818" w:rsidTr="00D86960">
        <w:trPr>
          <w:jc w:val="center"/>
        </w:trPr>
        <w:tc>
          <w:tcPr>
            <w:tcW w:w="6247" w:type="dxa"/>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184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239</w:t>
            </w:r>
          </w:p>
        </w:tc>
        <w:tc>
          <w:tcPr>
            <w:tcW w:w="1847" w:type="dxa"/>
            <w:tcBorders>
              <w:top w:val="nil"/>
              <w:left w:val="nil"/>
              <w:bottom w:val="nil"/>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1,0</w:t>
            </w:r>
          </w:p>
        </w:tc>
      </w:tr>
      <w:tr w:rsidR="00B01F04" w:rsidRPr="00080818" w:rsidTr="00D86960">
        <w:trPr>
          <w:jc w:val="center"/>
        </w:trPr>
        <w:tc>
          <w:tcPr>
            <w:tcW w:w="6247" w:type="dxa"/>
            <w:tcBorders>
              <w:top w:val="nil"/>
              <w:left w:val="nil"/>
              <w:bottom w:val="nil"/>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1846" w:type="dxa"/>
            <w:tcBorders>
              <w:top w:val="nil"/>
              <w:left w:val="nil"/>
              <w:bottom w:val="nil"/>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63</w:t>
            </w:r>
          </w:p>
        </w:tc>
        <w:tc>
          <w:tcPr>
            <w:tcW w:w="1847" w:type="dxa"/>
            <w:tcBorders>
              <w:top w:val="nil"/>
              <w:left w:val="nil"/>
              <w:bottom w:val="nil"/>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0,3</w:t>
            </w:r>
          </w:p>
        </w:tc>
      </w:tr>
      <w:tr w:rsidR="00B01F04" w:rsidRPr="00080818" w:rsidTr="00D86960">
        <w:trPr>
          <w:jc w:val="center"/>
        </w:trPr>
        <w:tc>
          <w:tcPr>
            <w:tcW w:w="6247" w:type="dxa"/>
            <w:tcBorders>
              <w:top w:val="nil"/>
              <w:left w:val="nil"/>
              <w:bottom w:val="single" w:sz="8" w:space="0" w:color="BFBFBF"/>
              <w:right w:val="single" w:sz="8" w:space="0" w:color="BFBFBF"/>
            </w:tcBorders>
            <w:shd w:val="clear" w:color="auto" w:fill="auto"/>
            <w:noWrap/>
            <w:hideMark/>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1846" w:type="dxa"/>
            <w:tcBorders>
              <w:top w:val="nil"/>
              <w:left w:val="nil"/>
              <w:bottom w:val="single" w:sz="8" w:space="0" w:color="BFBFBF"/>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95</w:t>
            </w:r>
          </w:p>
        </w:tc>
        <w:tc>
          <w:tcPr>
            <w:tcW w:w="1847" w:type="dxa"/>
            <w:tcBorders>
              <w:top w:val="nil"/>
              <w:left w:val="nil"/>
              <w:bottom w:val="single" w:sz="8" w:space="0" w:color="BFBFBF"/>
            </w:tcBorders>
            <w:shd w:val="clear" w:color="auto" w:fill="auto"/>
            <w:noWrap/>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080818">
              <w:rPr>
                <w:rFonts w:eastAsia="Times New Roman" w:cs="Arial"/>
                <w:color w:val="000000"/>
                <w:sz w:val="16"/>
                <w:szCs w:val="16"/>
                <w:lang w:eastAsia="es-ES"/>
              </w:rPr>
              <w:t>0,4</w:t>
            </w:r>
          </w:p>
        </w:tc>
      </w:tr>
      <w:tr w:rsidR="00B01F04" w:rsidRPr="00080818" w:rsidTr="00D86960">
        <w:trPr>
          <w:jc w:val="center"/>
        </w:trPr>
        <w:tc>
          <w:tcPr>
            <w:tcW w:w="6247" w:type="dxa"/>
            <w:tcBorders>
              <w:top w:val="nil"/>
              <w:left w:val="nil"/>
              <w:bottom w:val="single" w:sz="8" w:space="0" w:color="BFBFBF"/>
              <w:right w:val="single" w:sz="8" w:space="0" w:color="BFBFBF"/>
            </w:tcBorders>
            <w:shd w:val="clear" w:color="auto" w:fill="auto"/>
            <w:noWrap/>
            <w:hideMark/>
          </w:tcPr>
          <w:p w:rsidR="00B01F04" w:rsidRPr="00623693" w:rsidRDefault="00B01F04" w:rsidP="00D86960">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1846" w:type="dxa"/>
            <w:tcBorders>
              <w:top w:val="nil"/>
              <w:left w:val="nil"/>
              <w:bottom w:val="single" w:sz="8" w:space="0" w:color="BFBFBF"/>
              <w:right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23.238</w:t>
            </w:r>
          </w:p>
        </w:tc>
        <w:tc>
          <w:tcPr>
            <w:tcW w:w="1847" w:type="dxa"/>
            <w:tcBorders>
              <w:top w:val="nil"/>
              <w:left w:val="nil"/>
              <w:bottom w:val="single" w:sz="8" w:space="0" w:color="BFBFBF"/>
            </w:tcBorders>
            <w:shd w:val="clear" w:color="auto" w:fill="auto"/>
            <w:hideMark/>
          </w:tcPr>
          <w:p w:rsidR="00B01F04" w:rsidRPr="00080818" w:rsidRDefault="00B01F04" w:rsidP="00D86960">
            <w:pPr>
              <w:spacing w:line="240" w:lineRule="exact"/>
              <w:ind w:right="347"/>
              <w:jc w:val="right"/>
              <w:rPr>
                <w:rFonts w:eastAsia="Times New Roman" w:cs="Arial"/>
                <w:b/>
                <w:bCs/>
                <w:color w:val="000000"/>
                <w:sz w:val="16"/>
                <w:szCs w:val="16"/>
                <w:lang w:eastAsia="es-ES"/>
              </w:rPr>
            </w:pPr>
            <w:r w:rsidRPr="00080818">
              <w:rPr>
                <w:rFonts w:eastAsia="Times New Roman" w:cs="Arial"/>
                <w:b/>
                <w:bCs/>
                <w:color w:val="000000"/>
                <w:sz w:val="16"/>
                <w:szCs w:val="16"/>
                <w:lang w:eastAsia="es-ES"/>
              </w:rPr>
              <w:t>100,0</w:t>
            </w:r>
          </w:p>
        </w:tc>
      </w:tr>
    </w:tbl>
    <w:p w:rsidR="00B01F04" w:rsidRDefault="00B01F04" w:rsidP="00B01F04">
      <w:pPr>
        <w:widowControl w:val="0"/>
        <w:rPr>
          <w:rFonts w:cs="Arial"/>
        </w:rPr>
      </w:pPr>
    </w:p>
    <w:p w:rsidR="00B01F04" w:rsidRPr="00F8288A" w:rsidRDefault="00A67658" w:rsidP="00B01F04">
      <w:pPr>
        <w:widowControl w:val="0"/>
        <w:spacing w:line="240" w:lineRule="auto"/>
        <w:jc w:val="center"/>
        <w:rPr>
          <w:rFonts w:cs="Arial"/>
          <w:b/>
          <w:color w:val="1F497D" w:themeColor="text2"/>
          <w:sz w:val="18"/>
          <w:szCs w:val="18"/>
        </w:rPr>
      </w:pPr>
      <w:bookmarkStart w:id="361" w:name="_Toc445380977"/>
      <w:bookmarkStart w:id="362" w:name="_Toc450119829"/>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4</w:t>
      </w:r>
      <w:r w:rsidR="00771A61" w:rsidRPr="00A67658">
        <w:rPr>
          <w:rFonts w:cs="Arial"/>
          <w:b/>
          <w:bCs/>
          <w:snapToGrid w:val="0"/>
          <w:color w:val="1F497D" w:themeColor="text2"/>
          <w:sz w:val="18"/>
          <w:szCs w:val="18"/>
          <w:lang w:val="es-ES_tradnl"/>
        </w:rPr>
        <w:fldChar w:fldCharType="end"/>
      </w:r>
      <w:r>
        <w:rPr>
          <w:rFonts w:cs="Arial"/>
          <w:b/>
          <w:bCs/>
          <w:snapToGrid w:val="0"/>
          <w:color w:val="1F497D" w:themeColor="text2"/>
          <w:sz w:val="18"/>
          <w:szCs w:val="18"/>
          <w:lang w:val="es-ES_tradnl"/>
        </w:rPr>
        <w:t xml:space="preserve"> </w:t>
      </w:r>
      <w:r w:rsidR="00B01F04" w:rsidRPr="00537ABD">
        <w:rPr>
          <w:rFonts w:cs="Arial"/>
          <w:b/>
          <w:bCs/>
          <w:color w:val="1F497D" w:themeColor="text2"/>
          <w:sz w:val="18"/>
          <w:szCs w:val="18"/>
        </w:rPr>
        <w:t>INDICADORES DE LA DIMENSIÓN DE LAS EMPRESAS DE LAS NUEVAS FORMAS DE LA</w:t>
      </w:r>
      <w:r w:rsidR="00B01F04">
        <w:rPr>
          <w:rFonts w:cs="Arial"/>
          <w:b/>
          <w:bCs/>
          <w:color w:val="1F497D" w:themeColor="text2"/>
          <w:sz w:val="18"/>
          <w:szCs w:val="18"/>
        </w:rPr>
        <w:t xml:space="preserve"> ECONOMÍA SOCIAL 2014</w:t>
      </w:r>
      <w:bookmarkEnd w:id="361"/>
      <w:bookmarkEnd w:id="362"/>
      <w:r w:rsidR="00B01F04">
        <w:rPr>
          <w:rFonts w:cs="Arial"/>
          <w:b/>
          <w:bCs/>
          <w:color w:val="1F497D" w:themeColor="text2"/>
          <w:sz w:val="18"/>
          <w:szCs w:val="18"/>
        </w:rPr>
        <w:t xml:space="preserve"> </w:t>
      </w:r>
    </w:p>
    <w:tbl>
      <w:tblPr>
        <w:tblW w:w="9940" w:type="dxa"/>
        <w:jc w:val="center"/>
        <w:tblLayout w:type="fixed"/>
        <w:tblLook w:val="04A0" w:firstRow="1" w:lastRow="0" w:firstColumn="1" w:lastColumn="0" w:noHBand="0" w:noVBand="1"/>
      </w:tblPr>
      <w:tblGrid>
        <w:gridCol w:w="4546"/>
        <w:gridCol w:w="1798"/>
        <w:gridCol w:w="1798"/>
        <w:gridCol w:w="1798"/>
      </w:tblGrid>
      <w:tr w:rsidR="00B01F04" w:rsidRPr="00404CA5" w:rsidTr="00D86960">
        <w:trPr>
          <w:jc w:val="center"/>
        </w:trPr>
        <w:tc>
          <w:tcPr>
            <w:tcW w:w="454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404CA5" w:rsidRDefault="00B01F04" w:rsidP="00D86960">
            <w:pPr>
              <w:widowControl w:val="0"/>
              <w:spacing w:line="240" w:lineRule="exact"/>
              <w:rPr>
                <w:rFonts w:cs="Arial"/>
                <w:b/>
                <w:sz w:val="16"/>
                <w:szCs w:val="16"/>
              </w:rPr>
            </w:pPr>
          </w:p>
        </w:tc>
        <w:tc>
          <w:tcPr>
            <w:tcW w:w="1798"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01F04" w:rsidRPr="00404CA5" w:rsidRDefault="00B01F04" w:rsidP="00D86960">
            <w:pPr>
              <w:widowControl w:val="0"/>
              <w:spacing w:line="240" w:lineRule="exact"/>
              <w:jc w:val="center"/>
              <w:rPr>
                <w:rFonts w:cs="Arial"/>
                <w:b/>
                <w:sz w:val="16"/>
                <w:szCs w:val="16"/>
              </w:rPr>
            </w:pPr>
            <w:r w:rsidRPr="0046149F">
              <w:rPr>
                <w:rFonts w:cs="Arial"/>
                <w:b/>
                <w:sz w:val="16"/>
                <w:szCs w:val="16"/>
              </w:rPr>
              <w:t>Nº Establecimientos/</w:t>
            </w:r>
            <w:r>
              <w:rPr>
                <w:rFonts w:cs="Arial"/>
                <w:b/>
                <w:sz w:val="16"/>
                <w:szCs w:val="16"/>
              </w:rPr>
              <w:t xml:space="preserve"> </w:t>
            </w:r>
            <w:r w:rsidRPr="0046149F">
              <w:rPr>
                <w:rFonts w:cs="Arial"/>
                <w:b/>
                <w:sz w:val="16"/>
                <w:szCs w:val="16"/>
              </w:rPr>
              <w:t>Empresa</w:t>
            </w:r>
          </w:p>
        </w:tc>
        <w:tc>
          <w:tcPr>
            <w:tcW w:w="179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B01F04" w:rsidRPr="00404CA5" w:rsidRDefault="00B01F04" w:rsidP="00D86960">
            <w:pPr>
              <w:widowControl w:val="0"/>
              <w:spacing w:line="240" w:lineRule="exact"/>
              <w:jc w:val="center"/>
              <w:rPr>
                <w:rFonts w:cs="Arial"/>
                <w:b/>
                <w:sz w:val="16"/>
                <w:szCs w:val="16"/>
              </w:rPr>
            </w:pPr>
            <w:r w:rsidRPr="0046149F">
              <w:rPr>
                <w:rFonts w:cs="Arial"/>
                <w:b/>
                <w:sz w:val="16"/>
                <w:szCs w:val="16"/>
              </w:rPr>
              <w:t>Tamaño Medio de Empresa (Empleos)</w:t>
            </w:r>
          </w:p>
        </w:tc>
        <w:tc>
          <w:tcPr>
            <w:tcW w:w="179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B01F04" w:rsidRPr="0046149F" w:rsidRDefault="00B01F04" w:rsidP="00D86960">
            <w:pPr>
              <w:widowControl w:val="0"/>
              <w:spacing w:line="240" w:lineRule="exact"/>
              <w:jc w:val="center"/>
              <w:rPr>
                <w:rFonts w:cs="Arial"/>
                <w:b/>
                <w:sz w:val="16"/>
                <w:szCs w:val="16"/>
              </w:rPr>
            </w:pPr>
            <w:r w:rsidRPr="0046149F">
              <w:rPr>
                <w:rFonts w:cs="Arial"/>
                <w:b/>
                <w:sz w:val="16"/>
                <w:szCs w:val="16"/>
              </w:rPr>
              <w:t>Tamaño Medio de Establecimiento (Empleos)</w:t>
            </w:r>
          </w:p>
        </w:tc>
      </w:tr>
      <w:tr w:rsidR="00B01F04" w:rsidRPr="00404CA5" w:rsidTr="00D86960">
        <w:trPr>
          <w:jc w:val="center"/>
        </w:trPr>
        <w:tc>
          <w:tcPr>
            <w:tcW w:w="4546" w:type="dxa"/>
            <w:tcBorders>
              <w:top w:val="single" w:sz="4" w:space="0" w:color="BFBFBF" w:themeColor="background1" w:themeShade="BF"/>
              <w:right w:val="single" w:sz="4" w:space="0" w:color="BFBFBF" w:themeColor="background1" w:themeShade="BF"/>
            </w:tcBorders>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1798" w:type="dxa"/>
            <w:tcBorders>
              <w:top w:val="single" w:sz="4" w:space="0" w:color="BFBFBF" w:themeColor="background1" w:themeShade="BF"/>
              <w:righ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1,6</w:t>
            </w:r>
          </w:p>
        </w:tc>
        <w:tc>
          <w:tcPr>
            <w:tcW w:w="1798" w:type="dxa"/>
            <w:tcBorders>
              <w:top w:val="single" w:sz="4" w:space="0" w:color="BFBFBF" w:themeColor="background1" w:themeShade="BF"/>
              <w:lef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16,9</w:t>
            </w:r>
          </w:p>
        </w:tc>
        <w:tc>
          <w:tcPr>
            <w:tcW w:w="1798" w:type="dxa"/>
            <w:tcBorders>
              <w:top w:val="single" w:sz="4" w:space="0" w:color="BFBFBF" w:themeColor="background1" w:themeShade="BF"/>
              <w:left w:val="single" w:sz="4" w:space="0" w:color="BFBFBF" w:themeColor="background1" w:themeShade="BF"/>
            </w:tcBorders>
          </w:tcPr>
          <w:p w:rsidR="00B01F04" w:rsidRDefault="00B01F04" w:rsidP="00D86960">
            <w:pPr>
              <w:widowControl w:val="0"/>
              <w:spacing w:line="240" w:lineRule="exact"/>
              <w:ind w:right="284"/>
              <w:jc w:val="right"/>
              <w:rPr>
                <w:rFonts w:cs="Arial"/>
                <w:sz w:val="16"/>
                <w:szCs w:val="16"/>
              </w:rPr>
            </w:pPr>
            <w:r>
              <w:rPr>
                <w:rFonts w:cs="Arial"/>
                <w:sz w:val="16"/>
                <w:szCs w:val="16"/>
              </w:rPr>
              <w:t>10,3</w:t>
            </w:r>
          </w:p>
        </w:tc>
      </w:tr>
      <w:tr w:rsidR="00B01F04" w:rsidRPr="00404CA5" w:rsidTr="00D86960">
        <w:trPr>
          <w:jc w:val="center"/>
        </w:trPr>
        <w:tc>
          <w:tcPr>
            <w:tcW w:w="4546" w:type="dxa"/>
            <w:tcBorders>
              <w:right w:val="single" w:sz="4" w:space="0" w:color="BFBFBF" w:themeColor="background1" w:themeShade="BF"/>
            </w:tcBorders>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1798" w:type="dxa"/>
            <w:tcBorders>
              <w:righ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2,6</w:t>
            </w:r>
          </w:p>
        </w:tc>
        <w:tc>
          <w:tcPr>
            <w:tcW w:w="1798" w:type="dxa"/>
            <w:tcBorders>
              <w:lef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188,6</w:t>
            </w:r>
          </w:p>
        </w:tc>
        <w:tc>
          <w:tcPr>
            <w:tcW w:w="1798" w:type="dxa"/>
            <w:tcBorders>
              <w:left w:val="single" w:sz="4" w:space="0" w:color="BFBFBF" w:themeColor="background1" w:themeShade="BF"/>
            </w:tcBorders>
          </w:tcPr>
          <w:p w:rsidR="00B01F04" w:rsidRDefault="00B01F04" w:rsidP="00D86960">
            <w:pPr>
              <w:widowControl w:val="0"/>
              <w:spacing w:line="240" w:lineRule="exact"/>
              <w:ind w:right="284"/>
              <w:jc w:val="right"/>
              <w:rPr>
                <w:rFonts w:cs="Arial"/>
                <w:sz w:val="16"/>
                <w:szCs w:val="16"/>
              </w:rPr>
            </w:pPr>
            <w:r>
              <w:rPr>
                <w:rFonts w:cs="Arial"/>
                <w:sz w:val="16"/>
                <w:szCs w:val="16"/>
              </w:rPr>
              <w:t>72,7</w:t>
            </w:r>
          </w:p>
        </w:tc>
      </w:tr>
      <w:tr w:rsidR="00B01F04" w:rsidRPr="00404CA5" w:rsidTr="00D86960">
        <w:trPr>
          <w:jc w:val="center"/>
        </w:trPr>
        <w:tc>
          <w:tcPr>
            <w:tcW w:w="4546" w:type="dxa"/>
            <w:tcBorders>
              <w:right w:val="single" w:sz="4" w:space="0" w:color="BFBFBF" w:themeColor="background1" w:themeShade="BF"/>
            </w:tcBorders>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1798" w:type="dxa"/>
            <w:tcBorders>
              <w:righ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2,9</w:t>
            </w:r>
          </w:p>
        </w:tc>
        <w:tc>
          <w:tcPr>
            <w:tcW w:w="1798" w:type="dxa"/>
            <w:tcBorders>
              <w:lef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19,5</w:t>
            </w:r>
          </w:p>
        </w:tc>
        <w:tc>
          <w:tcPr>
            <w:tcW w:w="1798" w:type="dxa"/>
            <w:tcBorders>
              <w:left w:val="single" w:sz="4" w:space="0" w:color="BFBFBF" w:themeColor="background1" w:themeShade="BF"/>
            </w:tcBorders>
          </w:tcPr>
          <w:p w:rsidR="00B01F04" w:rsidRDefault="00B01F04" w:rsidP="00D86960">
            <w:pPr>
              <w:widowControl w:val="0"/>
              <w:spacing w:line="240" w:lineRule="exact"/>
              <w:ind w:right="284"/>
              <w:jc w:val="right"/>
              <w:rPr>
                <w:rFonts w:cs="Arial"/>
                <w:sz w:val="16"/>
                <w:szCs w:val="16"/>
              </w:rPr>
            </w:pPr>
            <w:r>
              <w:rPr>
                <w:rFonts w:cs="Arial"/>
                <w:sz w:val="16"/>
                <w:szCs w:val="16"/>
              </w:rPr>
              <w:t>6,7</w:t>
            </w:r>
          </w:p>
        </w:tc>
      </w:tr>
      <w:tr w:rsidR="00B01F04" w:rsidRPr="00404CA5" w:rsidTr="00D86960">
        <w:trPr>
          <w:jc w:val="center"/>
        </w:trPr>
        <w:tc>
          <w:tcPr>
            <w:tcW w:w="4546" w:type="dxa"/>
            <w:tcBorders>
              <w:right w:val="single" w:sz="4" w:space="0" w:color="BFBFBF" w:themeColor="background1" w:themeShade="BF"/>
            </w:tcBorders>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1798" w:type="dxa"/>
            <w:tcBorders>
              <w:righ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1,5</w:t>
            </w:r>
          </w:p>
        </w:tc>
        <w:tc>
          <w:tcPr>
            <w:tcW w:w="1798" w:type="dxa"/>
            <w:tcBorders>
              <w:lef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11,1</w:t>
            </w:r>
          </w:p>
        </w:tc>
        <w:tc>
          <w:tcPr>
            <w:tcW w:w="1798" w:type="dxa"/>
            <w:tcBorders>
              <w:left w:val="single" w:sz="4" w:space="0" w:color="BFBFBF" w:themeColor="background1" w:themeShade="BF"/>
            </w:tcBorders>
          </w:tcPr>
          <w:p w:rsidR="00B01F04" w:rsidRDefault="00B01F04" w:rsidP="00D86960">
            <w:pPr>
              <w:widowControl w:val="0"/>
              <w:spacing w:line="240" w:lineRule="exact"/>
              <w:ind w:right="284"/>
              <w:jc w:val="right"/>
              <w:rPr>
                <w:rFonts w:cs="Arial"/>
                <w:sz w:val="16"/>
                <w:szCs w:val="16"/>
              </w:rPr>
            </w:pPr>
            <w:r>
              <w:rPr>
                <w:rFonts w:cs="Arial"/>
                <w:sz w:val="16"/>
                <w:szCs w:val="16"/>
              </w:rPr>
              <w:t>7,2</w:t>
            </w:r>
          </w:p>
        </w:tc>
      </w:tr>
      <w:tr w:rsidR="00B01F04" w:rsidRPr="00404CA5" w:rsidTr="00D86960">
        <w:trPr>
          <w:jc w:val="center"/>
        </w:trPr>
        <w:tc>
          <w:tcPr>
            <w:tcW w:w="4546" w:type="dxa"/>
            <w:tcBorders>
              <w:right w:val="single" w:sz="4" w:space="0" w:color="BFBFBF" w:themeColor="background1" w:themeShade="BF"/>
            </w:tcBorders>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1798" w:type="dxa"/>
            <w:tcBorders>
              <w:righ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w:t>
            </w:r>
          </w:p>
        </w:tc>
        <w:tc>
          <w:tcPr>
            <w:tcW w:w="1798" w:type="dxa"/>
            <w:tcBorders>
              <w:lef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2,7</w:t>
            </w:r>
          </w:p>
        </w:tc>
        <w:tc>
          <w:tcPr>
            <w:tcW w:w="1798" w:type="dxa"/>
            <w:tcBorders>
              <w:left w:val="single" w:sz="4" w:space="0" w:color="BFBFBF" w:themeColor="background1" w:themeShade="BF"/>
            </w:tcBorders>
          </w:tcPr>
          <w:p w:rsidR="00B01F04" w:rsidRDefault="00B01F04" w:rsidP="00D86960">
            <w:pPr>
              <w:widowControl w:val="0"/>
              <w:spacing w:line="240" w:lineRule="exact"/>
              <w:ind w:right="284"/>
              <w:jc w:val="right"/>
              <w:rPr>
                <w:rFonts w:cs="Arial"/>
                <w:sz w:val="16"/>
                <w:szCs w:val="16"/>
              </w:rPr>
            </w:pPr>
            <w:r>
              <w:rPr>
                <w:rFonts w:cs="Arial"/>
                <w:sz w:val="16"/>
                <w:szCs w:val="16"/>
              </w:rPr>
              <w:t>2,7</w:t>
            </w:r>
          </w:p>
        </w:tc>
      </w:tr>
      <w:tr w:rsidR="00B01F04" w:rsidRPr="00404CA5" w:rsidTr="00D86960">
        <w:trPr>
          <w:jc w:val="center"/>
        </w:trPr>
        <w:tc>
          <w:tcPr>
            <w:tcW w:w="4546" w:type="dxa"/>
            <w:tcBorders>
              <w:right w:val="single" w:sz="4" w:space="0" w:color="BFBFBF" w:themeColor="background1" w:themeShade="BF"/>
            </w:tcBorders>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1798" w:type="dxa"/>
            <w:tcBorders>
              <w:righ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w:t>
            </w:r>
          </w:p>
        </w:tc>
        <w:tc>
          <w:tcPr>
            <w:tcW w:w="1798" w:type="dxa"/>
            <w:tcBorders>
              <w:lef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4,2</w:t>
            </w:r>
          </w:p>
        </w:tc>
        <w:tc>
          <w:tcPr>
            <w:tcW w:w="1798" w:type="dxa"/>
            <w:tcBorders>
              <w:left w:val="single" w:sz="4" w:space="0" w:color="BFBFBF" w:themeColor="background1" w:themeShade="BF"/>
            </w:tcBorders>
          </w:tcPr>
          <w:p w:rsidR="00B01F04" w:rsidRDefault="00B01F04" w:rsidP="00D86960">
            <w:pPr>
              <w:widowControl w:val="0"/>
              <w:spacing w:line="240" w:lineRule="exact"/>
              <w:ind w:right="284"/>
              <w:jc w:val="right"/>
              <w:rPr>
                <w:rFonts w:cs="Arial"/>
                <w:sz w:val="16"/>
                <w:szCs w:val="16"/>
              </w:rPr>
            </w:pPr>
            <w:r>
              <w:rPr>
                <w:rFonts w:cs="Arial"/>
                <w:sz w:val="16"/>
                <w:szCs w:val="16"/>
              </w:rPr>
              <w:t>4,2</w:t>
            </w:r>
          </w:p>
        </w:tc>
      </w:tr>
      <w:tr w:rsidR="00B01F04" w:rsidRPr="00404CA5" w:rsidTr="00D86960">
        <w:trPr>
          <w:jc w:val="center"/>
        </w:trPr>
        <w:tc>
          <w:tcPr>
            <w:tcW w:w="4546" w:type="dxa"/>
            <w:tcBorders>
              <w:bottom w:val="single" w:sz="4" w:space="0" w:color="BFBFBF" w:themeColor="background1" w:themeShade="BF"/>
              <w:right w:val="single" w:sz="4" w:space="0" w:color="BFBFBF" w:themeColor="background1" w:themeShade="BF"/>
            </w:tcBorders>
          </w:tcPr>
          <w:p w:rsidR="00B01F04" w:rsidRPr="00080818" w:rsidRDefault="00B01F04"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1798" w:type="dxa"/>
            <w:tcBorders>
              <w:bottom w:val="single" w:sz="4" w:space="0" w:color="BFBFBF" w:themeColor="background1" w:themeShade="BF"/>
              <w:right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1</w:t>
            </w:r>
          </w:p>
        </w:tc>
        <w:tc>
          <w:tcPr>
            <w:tcW w:w="1798" w:type="dxa"/>
            <w:tcBorders>
              <w:left w:val="single" w:sz="4" w:space="0" w:color="BFBFBF" w:themeColor="background1" w:themeShade="BF"/>
              <w:bottom w:val="single" w:sz="4" w:space="0" w:color="BFBFBF" w:themeColor="background1" w:themeShade="BF"/>
            </w:tcBorders>
          </w:tcPr>
          <w:p w:rsidR="00B01F04" w:rsidRPr="00404CA5" w:rsidRDefault="00B01F04" w:rsidP="00D86960">
            <w:pPr>
              <w:widowControl w:val="0"/>
              <w:spacing w:line="240" w:lineRule="exact"/>
              <w:ind w:right="284"/>
              <w:jc w:val="right"/>
              <w:rPr>
                <w:rFonts w:cs="Arial"/>
                <w:sz w:val="16"/>
                <w:szCs w:val="16"/>
              </w:rPr>
            </w:pPr>
            <w:r>
              <w:rPr>
                <w:rFonts w:cs="Arial"/>
                <w:sz w:val="16"/>
                <w:szCs w:val="16"/>
              </w:rPr>
              <w:t>0,5</w:t>
            </w:r>
          </w:p>
        </w:tc>
        <w:tc>
          <w:tcPr>
            <w:tcW w:w="1798" w:type="dxa"/>
            <w:tcBorders>
              <w:left w:val="single" w:sz="4" w:space="0" w:color="BFBFBF" w:themeColor="background1" w:themeShade="BF"/>
              <w:bottom w:val="single" w:sz="4" w:space="0" w:color="BFBFBF" w:themeColor="background1" w:themeShade="BF"/>
            </w:tcBorders>
          </w:tcPr>
          <w:p w:rsidR="00B01F04" w:rsidRDefault="00B01F04" w:rsidP="00D86960">
            <w:pPr>
              <w:widowControl w:val="0"/>
              <w:spacing w:line="240" w:lineRule="exact"/>
              <w:ind w:right="284"/>
              <w:jc w:val="right"/>
              <w:rPr>
                <w:rFonts w:cs="Arial"/>
                <w:sz w:val="16"/>
                <w:szCs w:val="16"/>
              </w:rPr>
            </w:pPr>
            <w:r>
              <w:rPr>
                <w:rFonts w:cs="Arial"/>
                <w:sz w:val="16"/>
                <w:szCs w:val="16"/>
              </w:rPr>
              <w:t>0,5</w:t>
            </w:r>
          </w:p>
        </w:tc>
      </w:tr>
    </w:tbl>
    <w:p w:rsidR="00B01F04" w:rsidRDefault="00B01F04" w:rsidP="00B01F04">
      <w:pPr>
        <w:widowControl w:val="0"/>
      </w:pPr>
    </w:p>
    <w:p w:rsidR="00B01F04" w:rsidRPr="00A25CF2" w:rsidRDefault="00B01F04" w:rsidP="00A25CF2">
      <w:pPr>
        <w:pStyle w:val="Ttulo1"/>
        <w:ind w:left="708" w:hanging="708"/>
        <w:rPr>
          <w:color w:val="1F497D" w:themeColor="text2"/>
          <w:sz w:val="22"/>
          <w:szCs w:val="22"/>
        </w:rPr>
      </w:pPr>
      <w:bookmarkStart w:id="363" w:name="_Toc450118934"/>
      <w:r w:rsidRPr="00A25CF2">
        <w:rPr>
          <w:color w:val="1F497D" w:themeColor="text2"/>
          <w:sz w:val="22"/>
          <w:szCs w:val="22"/>
        </w:rPr>
        <w:t>1.</w:t>
      </w:r>
      <w:r w:rsidR="00A25CF2">
        <w:rPr>
          <w:color w:val="1F497D" w:themeColor="text2"/>
          <w:sz w:val="22"/>
          <w:szCs w:val="22"/>
        </w:rPr>
        <w:t>1</w:t>
      </w:r>
      <w:r w:rsidRPr="00A25CF2">
        <w:rPr>
          <w:color w:val="1F497D" w:themeColor="text2"/>
          <w:sz w:val="22"/>
          <w:szCs w:val="22"/>
        </w:rPr>
        <w:t>.-</w:t>
      </w:r>
      <w:r w:rsidRPr="00A25CF2">
        <w:rPr>
          <w:color w:val="1F497D" w:themeColor="text2"/>
          <w:sz w:val="22"/>
          <w:szCs w:val="22"/>
        </w:rPr>
        <w:tab/>
        <w:t>PRINCIPALES RASGOS DEL EMPLEO DE LAS NUEVAS FORMAS DE LA ECONOMÍA SOCIAL</w:t>
      </w:r>
      <w:bookmarkEnd w:id="363"/>
    </w:p>
    <w:p w:rsidR="00B01F04" w:rsidRDefault="00B01F04" w:rsidP="00B01F04">
      <w:pPr>
        <w:widowControl w:val="0"/>
      </w:pPr>
    </w:p>
    <w:p w:rsidR="00B01F04" w:rsidRPr="00A25CF2" w:rsidRDefault="00B01F04" w:rsidP="00A25CF2">
      <w:pPr>
        <w:pStyle w:val="Ttulo1"/>
        <w:ind w:left="708" w:hanging="708"/>
        <w:rPr>
          <w:color w:val="1F497D" w:themeColor="text2"/>
          <w:sz w:val="22"/>
          <w:szCs w:val="22"/>
        </w:rPr>
      </w:pPr>
      <w:bookmarkStart w:id="364" w:name="_Toc450118935"/>
      <w:r w:rsidRPr="00A25CF2">
        <w:rPr>
          <w:color w:val="1F497D" w:themeColor="text2"/>
          <w:sz w:val="22"/>
          <w:szCs w:val="22"/>
        </w:rPr>
        <w:t>1.</w:t>
      </w:r>
      <w:r w:rsidR="00A25CF2">
        <w:rPr>
          <w:color w:val="1F497D" w:themeColor="text2"/>
          <w:sz w:val="22"/>
          <w:szCs w:val="22"/>
        </w:rPr>
        <w:t>1</w:t>
      </w:r>
      <w:r w:rsidRPr="00A25CF2">
        <w:rPr>
          <w:color w:val="1F497D" w:themeColor="text2"/>
          <w:sz w:val="22"/>
          <w:szCs w:val="22"/>
        </w:rPr>
        <w:t>.1.- El Género del empleo remunerado</w:t>
      </w:r>
      <w:bookmarkEnd w:id="364"/>
      <w:r w:rsidRPr="00A25CF2">
        <w:rPr>
          <w:color w:val="1F497D" w:themeColor="text2"/>
          <w:sz w:val="22"/>
          <w:szCs w:val="22"/>
        </w:rPr>
        <w:t xml:space="preserve"> </w:t>
      </w:r>
    </w:p>
    <w:p w:rsidR="00B01F04" w:rsidRPr="00537ABD" w:rsidRDefault="00B01F04" w:rsidP="00B01F04">
      <w:pPr>
        <w:widowControl w:val="0"/>
        <w:spacing w:line="240" w:lineRule="auto"/>
        <w:jc w:val="center"/>
        <w:rPr>
          <w:rFonts w:cs="Arial"/>
          <w:b/>
          <w:color w:val="1F497D" w:themeColor="text2"/>
          <w:sz w:val="18"/>
          <w:szCs w:val="18"/>
        </w:rPr>
      </w:pPr>
    </w:p>
    <w:p w:rsidR="00B01F04" w:rsidRPr="003B5717" w:rsidRDefault="00A67658" w:rsidP="00B01F04">
      <w:pPr>
        <w:widowControl w:val="0"/>
        <w:spacing w:line="240" w:lineRule="auto"/>
        <w:jc w:val="center"/>
        <w:rPr>
          <w:rFonts w:cs="Arial"/>
          <w:b/>
          <w:color w:val="1F497D" w:themeColor="text2"/>
          <w:sz w:val="18"/>
          <w:szCs w:val="18"/>
        </w:rPr>
      </w:pPr>
      <w:bookmarkStart w:id="365" w:name="_Toc445380978"/>
      <w:bookmarkStart w:id="366" w:name="_Toc450119830"/>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5</w:t>
      </w:r>
      <w:r w:rsidR="00771A61" w:rsidRPr="00A67658">
        <w:rPr>
          <w:rFonts w:cs="Arial"/>
          <w:b/>
          <w:bCs/>
          <w:snapToGrid w:val="0"/>
          <w:color w:val="1F497D" w:themeColor="text2"/>
          <w:sz w:val="18"/>
          <w:szCs w:val="18"/>
          <w:lang w:val="es-ES_tradnl"/>
        </w:rPr>
        <w:fldChar w:fldCharType="end"/>
      </w:r>
      <w:r w:rsidR="00B01F04" w:rsidRPr="00537ABD">
        <w:rPr>
          <w:rFonts w:cs="Arial"/>
          <w:b/>
          <w:color w:val="1F497D" w:themeColor="text2"/>
          <w:sz w:val="18"/>
          <w:szCs w:val="18"/>
        </w:rPr>
        <w:t xml:space="preserve"> </w:t>
      </w:r>
      <w:r w:rsidR="00A43E0F">
        <w:rPr>
          <w:rFonts w:cs="Arial"/>
          <w:b/>
          <w:color w:val="1F497D" w:themeColor="text2"/>
          <w:sz w:val="18"/>
          <w:szCs w:val="18"/>
        </w:rPr>
        <w:t xml:space="preserve">DISTRIBUCIÓN POR </w:t>
      </w:r>
      <w:r w:rsidR="009F3B45">
        <w:rPr>
          <w:rFonts w:cs="Arial"/>
          <w:b/>
          <w:color w:val="1F497D" w:themeColor="text2"/>
          <w:sz w:val="18"/>
          <w:szCs w:val="18"/>
        </w:rPr>
        <w:t>DEL</w:t>
      </w:r>
      <w:r w:rsidR="00A43E0F">
        <w:rPr>
          <w:rFonts w:cs="Arial"/>
          <w:b/>
          <w:color w:val="1F497D" w:themeColor="text2"/>
          <w:sz w:val="18"/>
          <w:szCs w:val="18"/>
        </w:rPr>
        <w:t xml:space="preserve"> EMPLEO</w:t>
      </w:r>
      <w:r w:rsidR="009F3B45">
        <w:rPr>
          <w:rFonts w:cs="Arial"/>
          <w:b/>
          <w:color w:val="1F497D" w:themeColor="text2"/>
          <w:sz w:val="18"/>
          <w:szCs w:val="18"/>
        </w:rPr>
        <w:t xml:space="preserve"> SEGÚN GÉNERO POR TIPO DE ENTIDAD</w:t>
      </w:r>
      <w:r w:rsidR="00B01F04" w:rsidRPr="003B5717">
        <w:rPr>
          <w:rFonts w:cs="Arial"/>
          <w:b/>
          <w:color w:val="1F497D" w:themeColor="text2"/>
          <w:sz w:val="18"/>
          <w:szCs w:val="18"/>
        </w:rPr>
        <w:t xml:space="preserve"> EN L</w:t>
      </w:r>
      <w:r w:rsidR="00B01F04">
        <w:rPr>
          <w:rFonts w:cs="Arial"/>
          <w:b/>
          <w:color w:val="1F497D" w:themeColor="text2"/>
          <w:sz w:val="18"/>
          <w:szCs w:val="18"/>
        </w:rPr>
        <w:t xml:space="preserve">AS NFES </w:t>
      </w:r>
      <w:r w:rsidR="009F3B45">
        <w:rPr>
          <w:rFonts w:cs="Arial"/>
          <w:b/>
          <w:color w:val="1F497D" w:themeColor="text2"/>
          <w:sz w:val="18"/>
          <w:szCs w:val="18"/>
        </w:rPr>
        <w:t xml:space="preserve">2014 </w:t>
      </w:r>
      <w:r w:rsidR="00B01F04" w:rsidRPr="003B5717">
        <w:rPr>
          <w:rFonts w:cs="Arial"/>
          <w:b/>
          <w:color w:val="1F497D" w:themeColor="text2"/>
          <w:sz w:val="18"/>
          <w:szCs w:val="18"/>
        </w:rPr>
        <w:t>(%</w:t>
      </w:r>
      <w:r w:rsidR="00B01F04">
        <w:rPr>
          <w:rFonts w:cs="Arial"/>
          <w:b/>
          <w:color w:val="1F497D" w:themeColor="text2"/>
          <w:sz w:val="18"/>
          <w:szCs w:val="18"/>
        </w:rPr>
        <w:t xml:space="preserve"> verticales</w:t>
      </w:r>
      <w:r w:rsidR="00B01F04" w:rsidRPr="003B5717">
        <w:rPr>
          <w:rFonts w:cs="Arial"/>
          <w:b/>
          <w:color w:val="1F497D" w:themeColor="text2"/>
          <w:sz w:val="18"/>
          <w:szCs w:val="18"/>
        </w:rPr>
        <w:t>)</w:t>
      </w:r>
      <w:bookmarkEnd w:id="365"/>
      <w:bookmarkEnd w:id="366"/>
    </w:p>
    <w:tbl>
      <w:tblPr>
        <w:tblW w:w="10093" w:type="dxa"/>
        <w:jc w:val="center"/>
        <w:tblInd w:w="802" w:type="dxa"/>
        <w:tblLook w:val="04A0" w:firstRow="1" w:lastRow="0" w:firstColumn="1" w:lastColumn="0" w:noHBand="0" w:noVBand="1"/>
      </w:tblPr>
      <w:tblGrid>
        <w:gridCol w:w="867"/>
        <w:gridCol w:w="1037"/>
        <w:gridCol w:w="1270"/>
        <w:gridCol w:w="1225"/>
        <w:gridCol w:w="1282"/>
        <w:gridCol w:w="1209"/>
        <w:gridCol w:w="1108"/>
        <w:gridCol w:w="1246"/>
        <w:gridCol w:w="849"/>
      </w:tblGrid>
      <w:tr w:rsidR="003D0BAE" w:rsidRPr="003B5717" w:rsidTr="006367E5">
        <w:trPr>
          <w:jc w:val="center"/>
        </w:trPr>
        <w:tc>
          <w:tcPr>
            <w:tcW w:w="69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3D0BAE" w:rsidRPr="003B5717" w:rsidRDefault="003D0BAE" w:rsidP="00D86960">
            <w:pPr>
              <w:widowControl w:val="0"/>
              <w:spacing w:line="240" w:lineRule="auto"/>
              <w:jc w:val="center"/>
              <w:rPr>
                <w:rFonts w:cs="Arial"/>
                <w:sz w:val="16"/>
                <w:szCs w:val="16"/>
              </w:rPr>
            </w:pPr>
            <w:r w:rsidRPr="003B5717">
              <w:rPr>
                <w:rFonts w:cs="Arial"/>
                <w:sz w:val="16"/>
                <w:szCs w:val="16"/>
              </w:rPr>
              <w:t> </w:t>
            </w:r>
          </w:p>
        </w:tc>
        <w:tc>
          <w:tcPr>
            <w:tcW w:w="108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3D0BAE" w:rsidRPr="008E7DE5" w:rsidRDefault="006367E5" w:rsidP="006367E5">
            <w:pPr>
              <w:widowControl w:val="0"/>
              <w:spacing w:line="240" w:lineRule="auto"/>
              <w:jc w:val="center"/>
              <w:rPr>
                <w:rFonts w:cs="Arial"/>
                <w:b/>
                <w:bCs/>
                <w:sz w:val="16"/>
                <w:szCs w:val="16"/>
              </w:rPr>
            </w:pPr>
            <w:r w:rsidRPr="008E7DE5">
              <w:rPr>
                <w:rFonts w:cs="Arial"/>
                <w:b/>
                <w:bCs/>
                <w:sz w:val="16"/>
                <w:szCs w:val="16"/>
              </w:rPr>
              <w:t>NFES Total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3D0BAE" w:rsidRPr="003B5717" w:rsidRDefault="003D0BAE" w:rsidP="00D86960">
            <w:pPr>
              <w:widowControl w:val="0"/>
              <w:spacing w:line="240" w:lineRule="auto"/>
              <w:jc w:val="center"/>
              <w:rPr>
                <w:rFonts w:cs="Arial"/>
                <w:b/>
                <w:bCs/>
                <w:sz w:val="16"/>
                <w:szCs w:val="16"/>
              </w:rPr>
            </w:pPr>
            <w:r>
              <w:rPr>
                <w:rFonts w:cs="Arial"/>
                <w:b/>
                <w:bCs/>
                <w:sz w:val="16"/>
                <w:szCs w:val="16"/>
              </w:rPr>
              <w:t>1.- Fundaciones</w:t>
            </w:r>
          </w:p>
        </w:tc>
        <w:tc>
          <w:tcPr>
            <w:tcW w:w="1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3D0BAE" w:rsidRPr="003B5717" w:rsidRDefault="003D0BAE" w:rsidP="00D86960">
            <w:pPr>
              <w:widowControl w:val="0"/>
              <w:spacing w:line="240" w:lineRule="auto"/>
              <w:jc w:val="center"/>
              <w:rPr>
                <w:rFonts w:cs="Arial"/>
                <w:b/>
                <w:bCs/>
                <w:sz w:val="16"/>
                <w:szCs w:val="16"/>
              </w:rPr>
            </w:pPr>
            <w:r>
              <w:rPr>
                <w:rFonts w:cs="Arial"/>
                <w:b/>
                <w:bCs/>
                <w:sz w:val="16"/>
                <w:szCs w:val="16"/>
              </w:rPr>
              <w:t>2. Centros Especiales de Empleo</w:t>
            </w:r>
          </w:p>
        </w:tc>
        <w:tc>
          <w:tcPr>
            <w:tcW w:w="12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3D0BAE" w:rsidRPr="003B5717" w:rsidRDefault="003D0BAE" w:rsidP="00D86960">
            <w:pPr>
              <w:widowControl w:val="0"/>
              <w:spacing w:line="240" w:lineRule="auto"/>
              <w:jc w:val="center"/>
              <w:rPr>
                <w:rFonts w:cs="Arial"/>
                <w:b/>
                <w:bCs/>
                <w:sz w:val="16"/>
                <w:szCs w:val="16"/>
              </w:rPr>
            </w:pPr>
            <w:r>
              <w:rPr>
                <w:rFonts w:cs="Arial"/>
                <w:b/>
                <w:bCs/>
                <w:sz w:val="16"/>
                <w:szCs w:val="16"/>
              </w:rPr>
              <w:t>3.- Asociaciones de Utilidad Pública</w:t>
            </w:r>
          </w:p>
        </w:tc>
        <w:tc>
          <w:tcPr>
            <w:tcW w:w="12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3D0BAE" w:rsidRPr="003B5717" w:rsidRDefault="003D0BAE" w:rsidP="00D86960">
            <w:pPr>
              <w:widowControl w:val="0"/>
              <w:spacing w:line="240" w:lineRule="auto"/>
              <w:jc w:val="center"/>
              <w:rPr>
                <w:rFonts w:cs="Arial"/>
                <w:b/>
                <w:bCs/>
                <w:sz w:val="16"/>
                <w:szCs w:val="16"/>
              </w:rPr>
            </w:pPr>
            <w:r>
              <w:rPr>
                <w:rFonts w:cs="Arial"/>
                <w:b/>
                <w:bCs/>
                <w:sz w:val="16"/>
                <w:szCs w:val="16"/>
              </w:rPr>
              <w:t>4.- Empresas de Inserción</w:t>
            </w:r>
          </w:p>
        </w:tc>
        <w:tc>
          <w:tcPr>
            <w:tcW w:w="11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3D0BAE" w:rsidRPr="003B5717" w:rsidRDefault="003D0BAE" w:rsidP="00D86960">
            <w:pPr>
              <w:widowControl w:val="0"/>
              <w:spacing w:line="240" w:lineRule="auto"/>
              <w:jc w:val="center"/>
              <w:rPr>
                <w:rFonts w:cs="Arial"/>
                <w:b/>
                <w:bCs/>
                <w:sz w:val="16"/>
                <w:szCs w:val="16"/>
              </w:rPr>
            </w:pPr>
            <w:r>
              <w:rPr>
                <w:rFonts w:cs="Arial"/>
                <w:b/>
                <w:bCs/>
                <w:sz w:val="16"/>
                <w:szCs w:val="16"/>
              </w:rPr>
              <w:t xml:space="preserve">5.- </w:t>
            </w:r>
            <w:proofErr w:type="spellStart"/>
            <w:r>
              <w:rPr>
                <w:rFonts w:cs="Arial"/>
                <w:b/>
                <w:bCs/>
                <w:sz w:val="16"/>
                <w:szCs w:val="16"/>
              </w:rPr>
              <w:t>SATs</w:t>
            </w:r>
            <w:proofErr w:type="spellEnd"/>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3D0BAE" w:rsidRDefault="003D0BAE" w:rsidP="00D86960">
            <w:pPr>
              <w:widowControl w:val="0"/>
              <w:spacing w:line="240" w:lineRule="auto"/>
              <w:jc w:val="center"/>
              <w:rPr>
                <w:rFonts w:cs="Arial"/>
                <w:b/>
                <w:bCs/>
                <w:sz w:val="16"/>
                <w:szCs w:val="16"/>
              </w:rPr>
            </w:pPr>
            <w:r>
              <w:rPr>
                <w:rFonts w:cs="Arial"/>
                <w:b/>
                <w:bCs/>
                <w:sz w:val="16"/>
                <w:szCs w:val="16"/>
              </w:rPr>
              <w:t>6.- Cofradías de Pescadores</w:t>
            </w:r>
          </w:p>
        </w:tc>
        <w:tc>
          <w:tcPr>
            <w:tcW w:w="85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rsidR="003D0BAE" w:rsidRDefault="003D0BAE" w:rsidP="00D86960">
            <w:pPr>
              <w:widowControl w:val="0"/>
              <w:spacing w:line="240" w:lineRule="auto"/>
              <w:jc w:val="center"/>
              <w:rPr>
                <w:rFonts w:cs="Arial"/>
                <w:b/>
                <w:bCs/>
                <w:sz w:val="16"/>
                <w:szCs w:val="16"/>
              </w:rPr>
            </w:pPr>
            <w:r>
              <w:rPr>
                <w:rFonts w:cs="Arial"/>
                <w:b/>
                <w:bCs/>
                <w:sz w:val="16"/>
                <w:szCs w:val="16"/>
              </w:rPr>
              <w:t xml:space="preserve">7. </w:t>
            </w:r>
            <w:proofErr w:type="spellStart"/>
            <w:r>
              <w:rPr>
                <w:rFonts w:cs="Arial"/>
                <w:b/>
                <w:bCs/>
                <w:sz w:val="16"/>
                <w:szCs w:val="16"/>
              </w:rPr>
              <w:t>EPSVs</w:t>
            </w:r>
            <w:proofErr w:type="spellEnd"/>
            <w:r>
              <w:rPr>
                <w:rFonts w:cs="Arial"/>
                <w:b/>
                <w:bCs/>
                <w:sz w:val="16"/>
                <w:szCs w:val="16"/>
              </w:rPr>
              <w:t>*</w:t>
            </w:r>
          </w:p>
        </w:tc>
      </w:tr>
      <w:tr w:rsidR="003D0BAE" w:rsidRPr="003B5717" w:rsidTr="006367E5">
        <w:trPr>
          <w:trHeight w:val="70"/>
          <w:jc w:val="center"/>
        </w:trPr>
        <w:tc>
          <w:tcPr>
            <w:tcW w:w="695" w:type="dxa"/>
            <w:tcBorders>
              <w:top w:val="single" w:sz="4" w:space="0" w:color="BFBFBF" w:themeColor="background1" w:themeShade="BF"/>
              <w:right w:val="single" w:sz="4" w:space="0" w:color="BFBFBF" w:themeColor="background1" w:themeShade="BF"/>
            </w:tcBorders>
          </w:tcPr>
          <w:p w:rsidR="003D0BAE" w:rsidRPr="00AB3187" w:rsidRDefault="003D0BAE" w:rsidP="00D86960">
            <w:pPr>
              <w:widowControl w:val="0"/>
              <w:spacing w:line="240" w:lineRule="exact"/>
              <w:rPr>
                <w:rFonts w:cs="Arial"/>
                <w:sz w:val="16"/>
                <w:szCs w:val="16"/>
              </w:rPr>
            </w:pPr>
            <w:r w:rsidRPr="00AB3187">
              <w:rPr>
                <w:rFonts w:cs="Arial"/>
                <w:sz w:val="16"/>
                <w:szCs w:val="16"/>
              </w:rPr>
              <w:t>Hombres</w:t>
            </w:r>
          </w:p>
        </w:tc>
        <w:tc>
          <w:tcPr>
            <w:tcW w:w="1080" w:type="dxa"/>
            <w:tcBorders>
              <w:top w:val="single" w:sz="4" w:space="0" w:color="BFBFBF" w:themeColor="background1" w:themeShade="BF"/>
              <w:right w:val="single" w:sz="4" w:space="0" w:color="BFBFBF" w:themeColor="background1" w:themeShade="BF"/>
            </w:tcBorders>
          </w:tcPr>
          <w:p w:rsidR="003D0BAE" w:rsidRPr="008E7DE5" w:rsidRDefault="006367E5" w:rsidP="00D86960">
            <w:pPr>
              <w:spacing w:line="240" w:lineRule="exact"/>
              <w:jc w:val="right"/>
              <w:rPr>
                <w:rFonts w:cs="Arial"/>
                <w:color w:val="000000"/>
                <w:sz w:val="16"/>
                <w:szCs w:val="16"/>
              </w:rPr>
            </w:pPr>
            <w:r w:rsidRPr="008E7DE5">
              <w:rPr>
                <w:rFonts w:cs="Arial"/>
                <w:color w:val="000000"/>
                <w:sz w:val="16"/>
                <w:szCs w:val="16"/>
              </w:rPr>
              <w:t>43,3</w:t>
            </w:r>
          </w:p>
        </w:tc>
        <w:tc>
          <w:tcPr>
            <w:tcW w:w="1277"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39,1</w:t>
            </w:r>
          </w:p>
        </w:tc>
        <w:tc>
          <w:tcPr>
            <w:tcW w:w="124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54,7</w:t>
            </w:r>
          </w:p>
        </w:tc>
        <w:tc>
          <w:tcPr>
            <w:tcW w:w="128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26,9</w:t>
            </w:r>
          </w:p>
        </w:tc>
        <w:tc>
          <w:tcPr>
            <w:tcW w:w="1234"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46,1</w:t>
            </w:r>
          </w:p>
        </w:tc>
        <w:tc>
          <w:tcPr>
            <w:tcW w:w="1161" w:type="dxa"/>
            <w:tcBorders>
              <w:top w:val="single" w:sz="4" w:space="0" w:color="BFBFBF" w:themeColor="background1" w:themeShade="BF"/>
              <w:lef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77,8</w:t>
            </w:r>
          </w:p>
        </w:tc>
        <w:tc>
          <w:tcPr>
            <w:tcW w:w="1260" w:type="dxa"/>
            <w:tcBorders>
              <w:top w:val="single" w:sz="4" w:space="0" w:color="BFBFBF" w:themeColor="background1" w:themeShade="BF"/>
              <w:lef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60,3</w:t>
            </w:r>
          </w:p>
        </w:tc>
        <w:tc>
          <w:tcPr>
            <w:tcW w:w="855" w:type="dxa"/>
            <w:tcBorders>
              <w:top w:val="single" w:sz="4" w:space="0" w:color="BFBFBF" w:themeColor="background1" w:themeShade="BF"/>
              <w:left w:val="single" w:sz="4" w:space="0" w:color="BFBFBF" w:themeColor="background1" w:themeShade="BF"/>
            </w:tcBorders>
          </w:tcPr>
          <w:p w:rsidR="003D0BAE" w:rsidRPr="00AB3187" w:rsidRDefault="003D0BAE" w:rsidP="00D86960">
            <w:pPr>
              <w:widowControl w:val="0"/>
              <w:spacing w:line="240" w:lineRule="exact"/>
              <w:ind w:right="151"/>
              <w:jc w:val="right"/>
              <w:rPr>
                <w:rFonts w:cs="Arial"/>
                <w:sz w:val="16"/>
                <w:szCs w:val="16"/>
              </w:rPr>
            </w:pPr>
            <w:r w:rsidRPr="00AB3187">
              <w:rPr>
                <w:rFonts w:cs="Arial"/>
                <w:sz w:val="16"/>
                <w:szCs w:val="16"/>
              </w:rPr>
              <w:t>63,2</w:t>
            </w:r>
          </w:p>
        </w:tc>
      </w:tr>
      <w:tr w:rsidR="003D0BAE" w:rsidRPr="003B5717" w:rsidTr="006367E5">
        <w:trPr>
          <w:jc w:val="center"/>
        </w:trPr>
        <w:tc>
          <w:tcPr>
            <w:tcW w:w="695" w:type="dxa"/>
            <w:tcBorders>
              <w:bottom w:val="single" w:sz="4" w:space="0" w:color="BFBFBF" w:themeColor="background1" w:themeShade="BF"/>
              <w:right w:val="single" w:sz="4" w:space="0" w:color="BFBFBF" w:themeColor="background1" w:themeShade="BF"/>
            </w:tcBorders>
          </w:tcPr>
          <w:p w:rsidR="003D0BAE" w:rsidRPr="00AB3187" w:rsidRDefault="003D0BAE" w:rsidP="00D86960">
            <w:pPr>
              <w:widowControl w:val="0"/>
              <w:spacing w:line="240" w:lineRule="exact"/>
              <w:rPr>
                <w:rFonts w:cs="Arial"/>
                <w:sz w:val="16"/>
                <w:szCs w:val="16"/>
              </w:rPr>
            </w:pPr>
            <w:r w:rsidRPr="00AB3187">
              <w:rPr>
                <w:rFonts w:cs="Arial"/>
                <w:sz w:val="16"/>
                <w:szCs w:val="16"/>
              </w:rPr>
              <w:t>Mujeres</w:t>
            </w:r>
          </w:p>
        </w:tc>
        <w:tc>
          <w:tcPr>
            <w:tcW w:w="1080" w:type="dxa"/>
            <w:tcBorders>
              <w:bottom w:val="single" w:sz="4" w:space="0" w:color="BFBFBF" w:themeColor="background1" w:themeShade="BF"/>
              <w:right w:val="single" w:sz="4" w:space="0" w:color="BFBFBF" w:themeColor="background1" w:themeShade="BF"/>
            </w:tcBorders>
          </w:tcPr>
          <w:p w:rsidR="003D0BAE" w:rsidRPr="008E7DE5" w:rsidRDefault="006367E5" w:rsidP="00D86960">
            <w:pPr>
              <w:spacing w:line="240" w:lineRule="exact"/>
              <w:jc w:val="right"/>
              <w:rPr>
                <w:rFonts w:cs="Arial"/>
                <w:color w:val="000000"/>
                <w:sz w:val="16"/>
                <w:szCs w:val="16"/>
              </w:rPr>
            </w:pPr>
            <w:r w:rsidRPr="008E7DE5">
              <w:rPr>
                <w:rFonts w:cs="Arial"/>
                <w:color w:val="000000"/>
                <w:sz w:val="16"/>
                <w:szCs w:val="16"/>
              </w:rPr>
              <w:t>56,7</w:t>
            </w:r>
          </w:p>
        </w:tc>
        <w:tc>
          <w:tcPr>
            <w:tcW w:w="127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60,9</w:t>
            </w:r>
          </w:p>
        </w:tc>
        <w:tc>
          <w:tcPr>
            <w:tcW w:w="124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45,3</w:t>
            </w:r>
          </w:p>
        </w:tc>
        <w:tc>
          <w:tcPr>
            <w:tcW w:w="128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73,1</w:t>
            </w:r>
          </w:p>
        </w:tc>
        <w:tc>
          <w:tcPr>
            <w:tcW w:w="1234"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53,8</w:t>
            </w:r>
          </w:p>
        </w:tc>
        <w:tc>
          <w:tcPr>
            <w:tcW w:w="1161" w:type="dxa"/>
            <w:tcBorders>
              <w:left w:val="single" w:sz="4" w:space="0" w:color="BFBFBF" w:themeColor="background1" w:themeShade="BF"/>
              <w:bottom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22,2</w:t>
            </w:r>
          </w:p>
        </w:tc>
        <w:tc>
          <w:tcPr>
            <w:tcW w:w="1260" w:type="dxa"/>
            <w:tcBorders>
              <w:left w:val="single" w:sz="4" w:space="0" w:color="BFBFBF" w:themeColor="background1" w:themeShade="BF"/>
              <w:bottom w:val="single" w:sz="4" w:space="0" w:color="BFBFBF" w:themeColor="background1" w:themeShade="BF"/>
            </w:tcBorders>
          </w:tcPr>
          <w:p w:rsidR="003D0BAE" w:rsidRPr="00AB3187" w:rsidRDefault="003D0BAE" w:rsidP="00D86960">
            <w:pPr>
              <w:spacing w:line="240" w:lineRule="exact"/>
              <w:jc w:val="right"/>
              <w:rPr>
                <w:rFonts w:cs="Arial"/>
                <w:color w:val="000000"/>
                <w:sz w:val="16"/>
                <w:szCs w:val="16"/>
              </w:rPr>
            </w:pPr>
            <w:r w:rsidRPr="00AB3187">
              <w:rPr>
                <w:rFonts w:cs="Arial"/>
                <w:color w:val="000000"/>
                <w:sz w:val="16"/>
                <w:szCs w:val="16"/>
              </w:rPr>
              <w:t>39,7</w:t>
            </w:r>
          </w:p>
        </w:tc>
        <w:tc>
          <w:tcPr>
            <w:tcW w:w="855" w:type="dxa"/>
            <w:tcBorders>
              <w:left w:val="single" w:sz="4" w:space="0" w:color="BFBFBF" w:themeColor="background1" w:themeShade="BF"/>
              <w:bottom w:val="single" w:sz="4" w:space="0" w:color="BFBFBF" w:themeColor="background1" w:themeShade="BF"/>
            </w:tcBorders>
          </w:tcPr>
          <w:p w:rsidR="003D0BAE" w:rsidRPr="00AB3187" w:rsidRDefault="003D0BAE" w:rsidP="00D86960">
            <w:pPr>
              <w:widowControl w:val="0"/>
              <w:spacing w:line="240" w:lineRule="exact"/>
              <w:ind w:right="151"/>
              <w:jc w:val="right"/>
              <w:rPr>
                <w:rFonts w:cs="Arial"/>
                <w:sz w:val="16"/>
                <w:szCs w:val="16"/>
              </w:rPr>
            </w:pPr>
            <w:r w:rsidRPr="00AB3187">
              <w:rPr>
                <w:rFonts w:cs="Arial"/>
                <w:sz w:val="16"/>
                <w:szCs w:val="16"/>
              </w:rPr>
              <w:t>36,8</w:t>
            </w:r>
          </w:p>
        </w:tc>
      </w:tr>
    </w:tbl>
    <w:p w:rsidR="00B01F04" w:rsidRPr="0088597F" w:rsidRDefault="00B01F04" w:rsidP="00B01F04">
      <w:pPr>
        <w:spacing w:line="240" w:lineRule="auto"/>
        <w:rPr>
          <w:rFonts w:cs="Arial"/>
          <w:i/>
          <w:sz w:val="16"/>
          <w:szCs w:val="16"/>
        </w:rPr>
      </w:pPr>
      <w:r w:rsidRPr="0088597F">
        <w:rPr>
          <w:rFonts w:cs="Arial"/>
          <w:i/>
          <w:sz w:val="16"/>
          <w:szCs w:val="16"/>
        </w:rPr>
        <w:t>*</w:t>
      </w:r>
      <w:r w:rsidRPr="00B27F35">
        <w:rPr>
          <w:rFonts w:cs="Arial"/>
          <w:i/>
          <w:sz w:val="16"/>
          <w:szCs w:val="16"/>
        </w:rPr>
        <w:t xml:space="preserve"> </w:t>
      </w:r>
      <w:r w:rsidRPr="0088597F">
        <w:rPr>
          <w:rFonts w:cs="Arial"/>
          <w:i/>
          <w:sz w:val="16"/>
          <w:szCs w:val="16"/>
        </w:rPr>
        <w:t xml:space="preserve">Fuente: </w:t>
      </w:r>
      <w:r>
        <w:rPr>
          <w:rFonts w:cs="Arial"/>
          <w:i/>
          <w:sz w:val="16"/>
          <w:szCs w:val="16"/>
        </w:rPr>
        <w:t xml:space="preserve">Informe nº 35 Nº empleados de las </w:t>
      </w:r>
      <w:proofErr w:type="spellStart"/>
      <w:r>
        <w:rPr>
          <w:rFonts w:cs="Arial"/>
          <w:i/>
          <w:sz w:val="16"/>
          <w:szCs w:val="16"/>
        </w:rPr>
        <w:t>EPSVs</w:t>
      </w:r>
      <w:proofErr w:type="spellEnd"/>
      <w:r>
        <w:rPr>
          <w:rFonts w:cs="Arial"/>
          <w:i/>
          <w:sz w:val="16"/>
          <w:szCs w:val="16"/>
        </w:rPr>
        <w:t xml:space="preserve">, </w:t>
      </w:r>
      <w:r w:rsidRPr="0088597F">
        <w:rPr>
          <w:rFonts w:cs="Arial"/>
          <w:i/>
          <w:sz w:val="16"/>
          <w:szCs w:val="16"/>
        </w:rPr>
        <w:t>IV Trimestre de 2014</w:t>
      </w:r>
      <w:r>
        <w:rPr>
          <w:rFonts w:cs="Arial"/>
          <w:i/>
          <w:sz w:val="16"/>
          <w:szCs w:val="16"/>
        </w:rPr>
        <w:t>,</w:t>
      </w:r>
      <w:r w:rsidRPr="0088597F">
        <w:rPr>
          <w:rFonts w:cs="Arial"/>
          <w:i/>
          <w:sz w:val="16"/>
          <w:szCs w:val="16"/>
        </w:rPr>
        <w:t xml:space="preserve"> Departamento de Hacienda y Finanzas. Dirección de Política Financ</w:t>
      </w:r>
      <w:r>
        <w:rPr>
          <w:rFonts w:cs="Arial"/>
          <w:i/>
          <w:sz w:val="16"/>
          <w:szCs w:val="16"/>
        </w:rPr>
        <w:t>iera y Recursos Institucionales.</w:t>
      </w:r>
    </w:p>
    <w:p w:rsidR="00B01F04" w:rsidRDefault="00B01F04" w:rsidP="00B01F04">
      <w:pPr>
        <w:widowControl w:val="0"/>
      </w:pPr>
    </w:p>
    <w:p w:rsidR="00B01F04" w:rsidRPr="00A25CF2" w:rsidRDefault="00B01F04" w:rsidP="00A25CF2">
      <w:pPr>
        <w:pStyle w:val="Ttulo1"/>
        <w:ind w:left="708" w:hanging="708"/>
        <w:rPr>
          <w:color w:val="1F497D" w:themeColor="text2"/>
          <w:sz w:val="22"/>
          <w:szCs w:val="22"/>
        </w:rPr>
      </w:pPr>
      <w:bookmarkStart w:id="367" w:name="_Toc450118936"/>
      <w:r w:rsidRPr="00A25CF2">
        <w:rPr>
          <w:color w:val="1F497D" w:themeColor="text2"/>
          <w:sz w:val="22"/>
          <w:szCs w:val="22"/>
        </w:rPr>
        <w:t>1.</w:t>
      </w:r>
      <w:r w:rsidR="00A25CF2">
        <w:rPr>
          <w:color w:val="1F497D" w:themeColor="text2"/>
          <w:sz w:val="22"/>
          <w:szCs w:val="22"/>
        </w:rPr>
        <w:t>1</w:t>
      </w:r>
      <w:r w:rsidRPr="00A25CF2">
        <w:rPr>
          <w:color w:val="1F497D" w:themeColor="text2"/>
          <w:sz w:val="22"/>
          <w:szCs w:val="22"/>
        </w:rPr>
        <w:t>.2.- Tipo de relación contractual del empleo remunerado</w:t>
      </w:r>
      <w:bookmarkEnd w:id="367"/>
      <w:r w:rsidRPr="00A25CF2">
        <w:rPr>
          <w:color w:val="1F497D" w:themeColor="text2"/>
          <w:sz w:val="22"/>
          <w:szCs w:val="22"/>
        </w:rPr>
        <w:t xml:space="preserve"> </w:t>
      </w:r>
    </w:p>
    <w:p w:rsidR="00B01F04" w:rsidRDefault="00B01F04" w:rsidP="00B01F04">
      <w:pPr>
        <w:widowControl w:val="0"/>
      </w:pPr>
    </w:p>
    <w:p w:rsidR="00B01F04" w:rsidRDefault="00A67658" w:rsidP="00B01F04">
      <w:pPr>
        <w:widowControl w:val="0"/>
        <w:spacing w:line="240" w:lineRule="auto"/>
        <w:jc w:val="center"/>
        <w:rPr>
          <w:rFonts w:cs="Arial"/>
          <w:b/>
          <w:color w:val="1F497D" w:themeColor="text2"/>
          <w:sz w:val="18"/>
          <w:szCs w:val="18"/>
        </w:rPr>
      </w:pPr>
      <w:bookmarkStart w:id="368" w:name="_Toc445380979"/>
      <w:bookmarkStart w:id="369" w:name="_Toc450119831"/>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6</w:t>
      </w:r>
      <w:r w:rsidR="00771A61" w:rsidRPr="00A67658">
        <w:rPr>
          <w:rFonts w:cs="Arial"/>
          <w:b/>
          <w:bCs/>
          <w:snapToGrid w:val="0"/>
          <w:color w:val="1F497D" w:themeColor="text2"/>
          <w:sz w:val="18"/>
          <w:szCs w:val="18"/>
          <w:lang w:val="es-ES_tradnl"/>
        </w:rPr>
        <w:fldChar w:fldCharType="end"/>
      </w:r>
      <w:r w:rsidR="00B01F04" w:rsidRPr="00537ABD">
        <w:rPr>
          <w:rFonts w:cs="Arial"/>
          <w:b/>
          <w:snapToGrid w:val="0"/>
          <w:color w:val="1F497D" w:themeColor="text2"/>
          <w:sz w:val="18"/>
          <w:szCs w:val="18"/>
          <w:lang w:val="es-ES_tradnl"/>
        </w:rPr>
        <w:t xml:space="preserve"> </w:t>
      </w:r>
      <w:r w:rsidR="00B01F04" w:rsidRPr="00537ABD">
        <w:rPr>
          <w:rFonts w:cs="Arial"/>
          <w:b/>
          <w:bCs/>
          <w:color w:val="1F497D" w:themeColor="text2"/>
          <w:sz w:val="18"/>
          <w:szCs w:val="18"/>
        </w:rPr>
        <w:t>DISTRIBUCIÓN DEL EMPLEO SEGÚN RELACIÓN CONTRACTUAL POR TIPO DE ENTIDAD</w:t>
      </w:r>
      <w:r w:rsidR="00B01F04">
        <w:rPr>
          <w:rFonts w:cs="Arial"/>
          <w:b/>
          <w:bCs/>
          <w:color w:val="1F497D" w:themeColor="text2"/>
          <w:sz w:val="18"/>
          <w:szCs w:val="18"/>
        </w:rPr>
        <w:t xml:space="preserve"> EN LAS NFES. 2014 (% horizontales)</w:t>
      </w:r>
      <w:bookmarkEnd w:id="368"/>
      <w:bookmarkEnd w:id="369"/>
    </w:p>
    <w:tbl>
      <w:tblPr>
        <w:tblW w:w="9940" w:type="dxa"/>
        <w:jc w:val="center"/>
        <w:tblLook w:val="04A0" w:firstRow="1" w:lastRow="0" w:firstColumn="1" w:lastColumn="0" w:noHBand="0" w:noVBand="1"/>
      </w:tblPr>
      <w:tblGrid>
        <w:gridCol w:w="6135"/>
        <w:gridCol w:w="1902"/>
        <w:gridCol w:w="1903"/>
      </w:tblGrid>
      <w:tr w:rsidR="00B01F04" w:rsidRPr="00404CA5" w:rsidTr="00D86960">
        <w:trPr>
          <w:jc w:val="center"/>
        </w:trPr>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404CA5" w:rsidRDefault="00B01F04" w:rsidP="00D86960">
            <w:pPr>
              <w:widowControl w:val="0"/>
              <w:spacing w:line="240" w:lineRule="exact"/>
              <w:rPr>
                <w:rFonts w:cs="Arial"/>
                <w:b/>
                <w:sz w:val="16"/>
                <w:szCs w:val="16"/>
              </w:rPr>
            </w:pPr>
          </w:p>
        </w:tc>
        <w:tc>
          <w:tcPr>
            <w:tcW w:w="1902"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404CA5" w:rsidRDefault="00B01F04" w:rsidP="00D86960">
            <w:pPr>
              <w:widowControl w:val="0"/>
              <w:spacing w:line="240" w:lineRule="exact"/>
              <w:jc w:val="center"/>
              <w:rPr>
                <w:rFonts w:cs="Arial"/>
                <w:b/>
                <w:sz w:val="16"/>
                <w:szCs w:val="16"/>
              </w:rPr>
            </w:pPr>
            <w:r>
              <w:rPr>
                <w:rFonts w:cs="Arial"/>
                <w:b/>
                <w:sz w:val="16"/>
                <w:szCs w:val="16"/>
              </w:rPr>
              <w:t>Fijos</w:t>
            </w:r>
          </w:p>
        </w:tc>
        <w:tc>
          <w:tcPr>
            <w:tcW w:w="190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B01F04" w:rsidRPr="00404CA5" w:rsidRDefault="00B01F04" w:rsidP="00D86960">
            <w:pPr>
              <w:widowControl w:val="0"/>
              <w:spacing w:line="240" w:lineRule="exact"/>
              <w:jc w:val="center"/>
              <w:rPr>
                <w:rFonts w:cs="Arial"/>
                <w:b/>
                <w:sz w:val="16"/>
                <w:szCs w:val="16"/>
              </w:rPr>
            </w:pPr>
            <w:r>
              <w:rPr>
                <w:rFonts w:cs="Arial"/>
                <w:b/>
                <w:sz w:val="16"/>
                <w:szCs w:val="16"/>
              </w:rPr>
              <w:t>Eventuales</w:t>
            </w:r>
          </w:p>
        </w:tc>
      </w:tr>
      <w:tr w:rsidR="00B01F04" w:rsidRPr="00404CA5" w:rsidTr="00D86960">
        <w:trPr>
          <w:jc w:val="center"/>
        </w:trPr>
        <w:tc>
          <w:tcPr>
            <w:tcW w:w="0" w:type="auto"/>
            <w:tcBorders>
              <w:top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1902" w:type="dxa"/>
            <w:tcBorders>
              <w:top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82,4</w:t>
            </w:r>
          </w:p>
        </w:tc>
        <w:tc>
          <w:tcPr>
            <w:tcW w:w="1903" w:type="dxa"/>
            <w:tcBorders>
              <w:top w:val="single" w:sz="4" w:space="0" w:color="BFBFBF" w:themeColor="background1" w:themeShade="BF"/>
              <w:lef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17,6</w:t>
            </w:r>
          </w:p>
        </w:tc>
      </w:tr>
      <w:tr w:rsidR="00B01F04" w:rsidRPr="00404CA5" w:rsidTr="00D86960">
        <w:trPr>
          <w:jc w:val="center"/>
        </w:trPr>
        <w:tc>
          <w:tcPr>
            <w:tcW w:w="0" w:type="auto"/>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1902" w:type="dxa"/>
            <w:tcBorders>
              <w:righ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65,3</w:t>
            </w:r>
          </w:p>
        </w:tc>
        <w:tc>
          <w:tcPr>
            <w:tcW w:w="1903" w:type="dxa"/>
            <w:tcBorders>
              <w:lef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34,7</w:t>
            </w:r>
          </w:p>
        </w:tc>
      </w:tr>
      <w:tr w:rsidR="00B01F04" w:rsidRPr="00404CA5" w:rsidTr="00D86960">
        <w:trPr>
          <w:jc w:val="center"/>
        </w:trPr>
        <w:tc>
          <w:tcPr>
            <w:tcW w:w="0" w:type="auto"/>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1902" w:type="dxa"/>
            <w:tcBorders>
              <w:righ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79,0</w:t>
            </w:r>
          </w:p>
        </w:tc>
        <w:tc>
          <w:tcPr>
            <w:tcW w:w="1903" w:type="dxa"/>
            <w:tcBorders>
              <w:lef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21,0</w:t>
            </w:r>
          </w:p>
        </w:tc>
      </w:tr>
      <w:tr w:rsidR="00B01F04" w:rsidRPr="00404CA5" w:rsidTr="00D86960">
        <w:trPr>
          <w:jc w:val="center"/>
        </w:trPr>
        <w:tc>
          <w:tcPr>
            <w:tcW w:w="0" w:type="auto"/>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1902" w:type="dxa"/>
            <w:tcBorders>
              <w:righ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49,1</w:t>
            </w:r>
          </w:p>
        </w:tc>
        <w:tc>
          <w:tcPr>
            <w:tcW w:w="1903" w:type="dxa"/>
            <w:tcBorders>
              <w:lef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50,8</w:t>
            </w:r>
          </w:p>
        </w:tc>
      </w:tr>
      <w:tr w:rsidR="00B01F04" w:rsidRPr="00404CA5" w:rsidTr="00D86960">
        <w:trPr>
          <w:jc w:val="center"/>
        </w:trPr>
        <w:tc>
          <w:tcPr>
            <w:tcW w:w="0" w:type="auto"/>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1902" w:type="dxa"/>
            <w:tcBorders>
              <w:righ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82,4</w:t>
            </w:r>
          </w:p>
        </w:tc>
        <w:tc>
          <w:tcPr>
            <w:tcW w:w="1903" w:type="dxa"/>
            <w:tcBorders>
              <w:lef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17,6</w:t>
            </w:r>
          </w:p>
        </w:tc>
      </w:tr>
      <w:tr w:rsidR="00B01F04" w:rsidRPr="00404CA5" w:rsidTr="00D86960">
        <w:trPr>
          <w:jc w:val="center"/>
        </w:trPr>
        <w:tc>
          <w:tcPr>
            <w:tcW w:w="0" w:type="auto"/>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1902" w:type="dxa"/>
            <w:tcBorders>
              <w:righ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95,2</w:t>
            </w:r>
          </w:p>
        </w:tc>
        <w:tc>
          <w:tcPr>
            <w:tcW w:w="1903" w:type="dxa"/>
            <w:tcBorders>
              <w:lef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r w:rsidRPr="00AB3187">
              <w:rPr>
                <w:rFonts w:cs="Arial"/>
                <w:color w:val="000000"/>
                <w:sz w:val="16"/>
                <w:szCs w:val="16"/>
              </w:rPr>
              <w:t>4,8</w:t>
            </w:r>
          </w:p>
        </w:tc>
      </w:tr>
      <w:tr w:rsidR="00B01F04" w:rsidRPr="00404CA5" w:rsidTr="00D86960">
        <w:trPr>
          <w:jc w:val="center"/>
        </w:trPr>
        <w:tc>
          <w:tcPr>
            <w:tcW w:w="0" w:type="auto"/>
            <w:tcBorders>
              <w:bottom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7.EPSVs</w:t>
            </w:r>
          </w:p>
        </w:tc>
        <w:tc>
          <w:tcPr>
            <w:tcW w:w="1902" w:type="dxa"/>
            <w:tcBorders>
              <w:bottom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proofErr w:type="spellStart"/>
            <w:r w:rsidRPr="00AB3187">
              <w:rPr>
                <w:rFonts w:cs="Arial"/>
                <w:color w:val="000000"/>
                <w:sz w:val="16"/>
                <w:szCs w:val="16"/>
              </w:rPr>
              <w:t>n.d</w:t>
            </w:r>
            <w:proofErr w:type="spellEnd"/>
            <w:r w:rsidRPr="00AB3187">
              <w:rPr>
                <w:rFonts w:cs="Arial"/>
                <w:color w:val="000000"/>
                <w:sz w:val="16"/>
                <w:szCs w:val="16"/>
              </w:rPr>
              <w:t>.</w:t>
            </w:r>
          </w:p>
        </w:tc>
        <w:tc>
          <w:tcPr>
            <w:tcW w:w="1903" w:type="dxa"/>
            <w:tcBorders>
              <w:left w:val="single" w:sz="4" w:space="0" w:color="BFBFBF" w:themeColor="background1" w:themeShade="BF"/>
              <w:bottom w:val="single" w:sz="4" w:space="0" w:color="BFBFBF" w:themeColor="background1" w:themeShade="BF"/>
            </w:tcBorders>
          </w:tcPr>
          <w:p w:rsidR="00B01F04" w:rsidRPr="00AB3187" w:rsidRDefault="00B01F04" w:rsidP="00D86960">
            <w:pPr>
              <w:spacing w:line="240" w:lineRule="exact"/>
              <w:ind w:right="123"/>
              <w:jc w:val="right"/>
              <w:rPr>
                <w:rFonts w:cs="Arial"/>
                <w:color w:val="000000"/>
                <w:sz w:val="16"/>
                <w:szCs w:val="16"/>
              </w:rPr>
            </w:pPr>
            <w:proofErr w:type="spellStart"/>
            <w:r w:rsidRPr="00AB3187">
              <w:rPr>
                <w:rFonts w:cs="Arial"/>
                <w:color w:val="000000"/>
                <w:sz w:val="16"/>
                <w:szCs w:val="16"/>
              </w:rPr>
              <w:t>n.d</w:t>
            </w:r>
            <w:proofErr w:type="spellEnd"/>
            <w:r w:rsidRPr="00AB3187">
              <w:rPr>
                <w:rFonts w:cs="Arial"/>
                <w:color w:val="000000"/>
                <w:sz w:val="16"/>
                <w:szCs w:val="16"/>
              </w:rPr>
              <w:t>.</w:t>
            </w:r>
          </w:p>
        </w:tc>
      </w:tr>
    </w:tbl>
    <w:p w:rsidR="00B01F04" w:rsidRDefault="00B01F04" w:rsidP="00B01F04">
      <w:pPr>
        <w:widowControl w:val="0"/>
      </w:pPr>
    </w:p>
    <w:p w:rsidR="00164203" w:rsidRDefault="00164203" w:rsidP="00B01F04">
      <w:pPr>
        <w:widowControl w:val="0"/>
      </w:pPr>
    </w:p>
    <w:p w:rsidR="00B01F04" w:rsidRPr="00A25CF2" w:rsidRDefault="00B01F04" w:rsidP="00A25CF2">
      <w:pPr>
        <w:pStyle w:val="Ttulo1"/>
        <w:ind w:left="708" w:hanging="708"/>
        <w:rPr>
          <w:color w:val="1F497D" w:themeColor="text2"/>
          <w:sz w:val="22"/>
          <w:szCs w:val="22"/>
        </w:rPr>
      </w:pPr>
      <w:bookmarkStart w:id="370" w:name="_Toc450118937"/>
      <w:r w:rsidRPr="00A25CF2">
        <w:rPr>
          <w:color w:val="1F497D" w:themeColor="text2"/>
          <w:sz w:val="22"/>
          <w:szCs w:val="22"/>
        </w:rPr>
        <w:lastRenderedPageBreak/>
        <w:t>1.</w:t>
      </w:r>
      <w:r w:rsidR="00A25CF2">
        <w:rPr>
          <w:color w:val="1F497D" w:themeColor="text2"/>
          <w:sz w:val="22"/>
          <w:szCs w:val="22"/>
        </w:rPr>
        <w:t>1</w:t>
      </w:r>
      <w:r w:rsidRPr="00A25CF2">
        <w:rPr>
          <w:color w:val="1F497D" w:themeColor="text2"/>
          <w:sz w:val="22"/>
          <w:szCs w:val="22"/>
        </w:rPr>
        <w:t>.3.- El empleo voluntario</w:t>
      </w:r>
      <w:bookmarkEnd w:id="370"/>
      <w:r w:rsidRPr="00A25CF2">
        <w:rPr>
          <w:color w:val="1F497D" w:themeColor="text2"/>
          <w:sz w:val="22"/>
          <w:szCs w:val="22"/>
        </w:rPr>
        <w:t xml:space="preserve"> </w:t>
      </w:r>
    </w:p>
    <w:p w:rsidR="00B01F04" w:rsidRDefault="00B01F04" w:rsidP="009D099F">
      <w:pPr>
        <w:widowControl w:val="0"/>
        <w:spacing w:line="240" w:lineRule="auto"/>
      </w:pPr>
    </w:p>
    <w:p w:rsidR="00B01F04" w:rsidRDefault="00A67658" w:rsidP="00B01F04">
      <w:pPr>
        <w:widowControl w:val="0"/>
        <w:spacing w:line="240" w:lineRule="auto"/>
        <w:jc w:val="center"/>
        <w:rPr>
          <w:rFonts w:cs="Arial"/>
          <w:b/>
          <w:bCs/>
          <w:color w:val="1F497D" w:themeColor="text2"/>
          <w:sz w:val="18"/>
          <w:szCs w:val="18"/>
        </w:rPr>
      </w:pPr>
      <w:bookmarkStart w:id="371" w:name="_Toc445380980"/>
      <w:bookmarkStart w:id="372" w:name="_Toc450119832"/>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7</w:t>
      </w:r>
      <w:r w:rsidR="00771A61" w:rsidRPr="00A67658">
        <w:rPr>
          <w:rFonts w:cs="Arial"/>
          <w:b/>
          <w:bCs/>
          <w:snapToGrid w:val="0"/>
          <w:color w:val="1F497D" w:themeColor="text2"/>
          <w:sz w:val="18"/>
          <w:szCs w:val="18"/>
          <w:lang w:val="es-ES_tradnl"/>
        </w:rPr>
        <w:fldChar w:fldCharType="end"/>
      </w:r>
      <w:r>
        <w:rPr>
          <w:rFonts w:cs="Arial"/>
          <w:b/>
          <w:bCs/>
          <w:snapToGrid w:val="0"/>
          <w:color w:val="1F497D" w:themeColor="text2"/>
          <w:sz w:val="18"/>
          <w:szCs w:val="18"/>
          <w:lang w:val="es-ES_tradnl"/>
        </w:rPr>
        <w:t xml:space="preserve"> </w:t>
      </w:r>
      <w:r w:rsidR="00B01F04" w:rsidRPr="00537ABD">
        <w:rPr>
          <w:rFonts w:cs="Arial"/>
          <w:b/>
          <w:bCs/>
          <w:color w:val="1F497D" w:themeColor="text2"/>
          <w:sz w:val="18"/>
          <w:szCs w:val="18"/>
        </w:rPr>
        <w:t>DISTRIBUCIÓN DEL EMPLEO VOLUNTARIO ANUALIZADO POR GÉNERO Y POR TIPO DE</w:t>
      </w:r>
      <w:r w:rsidR="00B01F04">
        <w:rPr>
          <w:rFonts w:cs="Arial"/>
          <w:b/>
          <w:bCs/>
          <w:color w:val="1F497D" w:themeColor="text2"/>
          <w:sz w:val="18"/>
          <w:szCs w:val="18"/>
        </w:rPr>
        <w:t xml:space="preserve"> ENTIDAD EN LAS NFES. 2014 (cifras absolutas y % verticales) Y PESO RELATIVO S/ EMPLEO REMUNERADO</w:t>
      </w:r>
      <w:bookmarkEnd w:id="371"/>
      <w:bookmarkEnd w:id="372"/>
    </w:p>
    <w:tbl>
      <w:tblPr>
        <w:tblW w:w="9940" w:type="dxa"/>
        <w:jc w:val="center"/>
        <w:tblLook w:val="04A0" w:firstRow="1" w:lastRow="0" w:firstColumn="1" w:lastColumn="0" w:noHBand="0" w:noVBand="1"/>
      </w:tblPr>
      <w:tblGrid>
        <w:gridCol w:w="3695"/>
        <w:gridCol w:w="1913"/>
        <w:gridCol w:w="1914"/>
        <w:gridCol w:w="2418"/>
      </w:tblGrid>
      <w:tr w:rsidR="00B01F04" w:rsidRPr="00404CA5" w:rsidTr="00D86960">
        <w:trPr>
          <w:jc w:val="center"/>
        </w:trPr>
        <w:tc>
          <w:tcPr>
            <w:tcW w:w="369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404CA5" w:rsidRDefault="00B01F04" w:rsidP="00D86960">
            <w:pPr>
              <w:widowControl w:val="0"/>
              <w:spacing w:line="240" w:lineRule="exact"/>
              <w:rPr>
                <w:rFonts w:cs="Arial"/>
                <w:b/>
                <w:sz w:val="16"/>
                <w:szCs w:val="16"/>
              </w:rPr>
            </w:pPr>
          </w:p>
        </w:tc>
        <w:tc>
          <w:tcPr>
            <w:tcW w:w="38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B01F04" w:rsidRDefault="00B01F04" w:rsidP="00D86960">
            <w:pPr>
              <w:widowControl w:val="0"/>
              <w:spacing w:line="240" w:lineRule="exact"/>
              <w:jc w:val="center"/>
              <w:rPr>
                <w:rFonts w:cs="Arial"/>
                <w:b/>
                <w:sz w:val="16"/>
                <w:szCs w:val="16"/>
              </w:rPr>
            </w:pPr>
            <w:r>
              <w:rPr>
                <w:rFonts w:cs="Arial"/>
                <w:b/>
                <w:sz w:val="16"/>
                <w:szCs w:val="16"/>
              </w:rPr>
              <w:t>Empleo voluntario anualizado</w:t>
            </w:r>
          </w:p>
        </w:tc>
        <w:tc>
          <w:tcPr>
            <w:tcW w:w="2418" w:type="dxa"/>
            <w:vMerge w:val="restart"/>
            <w:tcBorders>
              <w:top w:val="single" w:sz="4" w:space="0" w:color="BFBFBF" w:themeColor="background1" w:themeShade="BF"/>
              <w:left w:val="single" w:sz="4" w:space="0" w:color="BFBFBF" w:themeColor="background1" w:themeShade="BF"/>
            </w:tcBorders>
            <w:shd w:val="clear" w:color="auto" w:fill="DBE5F1" w:themeFill="accent1" w:themeFillTint="33"/>
          </w:tcPr>
          <w:p w:rsidR="00B01F04" w:rsidRDefault="00B01F04" w:rsidP="00D86960">
            <w:pPr>
              <w:widowControl w:val="0"/>
              <w:spacing w:line="240" w:lineRule="exact"/>
              <w:jc w:val="center"/>
              <w:rPr>
                <w:rFonts w:cs="Arial"/>
                <w:b/>
                <w:sz w:val="16"/>
                <w:szCs w:val="16"/>
              </w:rPr>
            </w:pPr>
            <w:r>
              <w:rPr>
                <w:rFonts w:cs="Arial"/>
                <w:b/>
                <w:sz w:val="16"/>
                <w:szCs w:val="16"/>
              </w:rPr>
              <w:t>Peso del Empleo voluntario s/ Empleo remunerado</w:t>
            </w:r>
          </w:p>
        </w:tc>
      </w:tr>
      <w:tr w:rsidR="00B01F04" w:rsidRPr="00404CA5" w:rsidTr="00D86960">
        <w:trPr>
          <w:jc w:val="center"/>
        </w:trPr>
        <w:tc>
          <w:tcPr>
            <w:tcW w:w="369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404CA5" w:rsidRDefault="00B01F04" w:rsidP="00D86960">
            <w:pPr>
              <w:widowControl w:val="0"/>
              <w:spacing w:line="240" w:lineRule="exact"/>
              <w:rPr>
                <w:rFonts w:cs="Arial"/>
                <w:b/>
                <w:sz w:val="16"/>
                <w:szCs w:val="16"/>
              </w:rPr>
            </w:pPr>
          </w:p>
        </w:tc>
        <w:tc>
          <w:tcPr>
            <w:tcW w:w="191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B01F04" w:rsidRDefault="00B01F04" w:rsidP="00D86960">
            <w:pPr>
              <w:widowControl w:val="0"/>
              <w:spacing w:line="240" w:lineRule="exact"/>
              <w:ind w:right="104"/>
              <w:jc w:val="center"/>
              <w:rPr>
                <w:rFonts w:cs="Arial"/>
                <w:b/>
                <w:sz w:val="16"/>
                <w:szCs w:val="16"/>
              </w:rPr>
            </w:pPr>
            <w:r>
              <w:rPr>
                <w:rFonts w:cs="Arial"/>
                <w:b/>
                <w:bCs/>
                <w:sz w:val="16"/>
                <w:szCs w:val="16"/>
                <w:lang w:val="en-GB"/>
              </w:rPr>
              <w:t>Abs.</w:t>
            </w:r>
          </w:p>
        </w:tc>
        <w:tc>
          <w:tcPr>
            <w:tcW w:w="191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B01F04" w:rsidRDefault="00B01F04" w:rsidP="00D86960">
            <w:pPr>
              <w:widowControl w:val="0"/>
              <w:spacing w:line="240" w:lineRule="exact"/>
              <w:ind w:right="104"/>
              <w:jc w:val="center"/>
              <w:rPr>
                <w:rFonts w:cs="Arial"/>
                <w:b/>
                <w:sz w:val="16"/>
                <w:szCs w:val="16"/>
              </w:rPr>
            </w:pPr>
            <w:r>
              <w:rPr>
                <w:rFonts w:cs="Arial"/>
                <w:b/>
                <w:sz w:val="16"/>
                <w:szCs w:val="16"/>
              </w:rPr>
              <w:t>% ver.</w:t>
            </w:r>
          </w:p>
        </w:tc>
        <w:tc>
          <w:tcPr>
            <w:tcW w:w="2418" w:type="dxa"/>
            <w:vMerge/>
            <w:tcBorders>
              <w:left w:val="single" w:sz="4" w:space="0" w:color="BFBFBF" w:themeColor="background1" w:themeShade="BF"/>
              <w:bottom w:val="single" w:sz="4" w:space="0" w:color="BFBFBF" w:themeColor="background1" w:themeShade="BF"/>
            </w:tcBorders>
            <w:shd w:val="clear" w:color="auto" w:fill="DBE5F1" w:themeFill="accent1" w:themeFillTint="33"/>
          </w:tcPr>
          <w:p w:rsidR="00B01F04" w:rsidRDefault="00B01F04" w:rsidP="00D86960">
            <w:pPr>
              <w:widowControl w:val="0"/>
              <w:spacing w:line="240" w:lineRule="exact"/>
              <w:ind w:right="104"/>
              <w:jc w:val="center"/>
              <w:rPr>
                <w:rFonts w:cs="Arial"/>
                <w:b/>
                <w:sz w:val="16"/>
                <w:szCs w:val="16"/>
              </w:rPr>
            </w:pPr>
          </w:p>
        </w:tc>
      </w:tr>
      <w:tr w:rsidR="00B01F04" w:rsidRPr="00404CA5" w:rsidTr="00D86960">
        <w:trPr>
          <w:jc w:val="center"/>
        </w:trPr>
        <w:tc>
          <w:tcPr>
            <w:tcW w:w="3695" w:type="dxa"/>
            <w:tcBorders>
              <w:top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1913" w:type="dxa"/>
            <w:tcBorders>
              <w:top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949</w:t>
            </w:r>
          </w:p>
        </w:tc>
        <w:tc>
          <w:tcPr>
            <w:tcW w:w="1914" w:type="dxa"/>
            <w:tcBorders>
              <w:top w:val="single" w:sz="4" w:space="0" w:color="BFBFBF" w:themeColor="background1" w:themeShade="BF"/>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53,7</w:t>
            </w:r>
          </w:p>
        </w:tc>
        <w:tc>
          <w:tcPr>
            <w:tcW w:w="2418" w:type="dxa"/>
            <w:tcBorders>
              <w:top w:val="single" w:sz="4" w:space="0" w:color="BFBFBF" w:themeColor="background1" w:themeShade="BF"/>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9,1%</w:t>
            </w:r>
          </w:p>
        </w:tc>
      </w:tr>
      <w:tr w:rsidR="00B01F04" w:rsidRPr="00404CA5" w:rsidTr="00D86960">
        <w:trPr>
          <w:jc w:val="center"/>
        </w:trPr>
        <w:tc>
          <w:tcPr>
            <w:tcW w:w="3695" w:type="dxa"/>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1913" w:type="dxa"/>
            <w:tcBorders>
              <w:righ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43</w:t>
            </w:r>
          </w:p>
        </w:tc>
        <w:tc>
          <w:tcPr>
            <w:tcW w:w="1914"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2,4</w:t>
            </w:r>
          </w:p>
        </w:tc>
        <w:tc>
          <w:tcPr>
            <w:tcW w:w="2418"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0,5%</w:t>
            </w:r>
          </w:p>
        </w:tc>
      </w:tr>
      <w:tr w:rsidR="00B01F04" w:rsidRPr="00404CA5" w:rsidTr="00D86960">
        <w:trPr>
          <w:jc w:val="center"/>
        </w:trPr>
        <w:tc>
          <w:tcPr>
            <w:tcW w:w="3695" w:type="dxa"/>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1913" w:type="dxa"/>
            <w:tcBorders>
              <w:righ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597</w:t>
            </w:r>
          </w:p>
        </w:tc>
        <w:tc>
          <w:tcPr>
            <w:tcW w:w="1914"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33,8</w:t>
            </w:r>
          </w:p>
        </w:tc>
        <w:tc>
          <w:tcPr>
            <w:tcW w:w="2418"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16,6%</w:t>
            </w:r>
          </w:p>
        </w:tc>
      </w:tr>
      <w:tr w:rsidR="00B01F04" w:rsidRPr="00404CA5" w:rsidTr="00D86960">
        <w:trPr>
          <w:jc w:val="center"/>
        </w:trPr>
        <w:tc>
          <w:tcPr>
            <w:tcW w:w="3695" w:type="dxa"/>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1913" w:type="dxa"/>
            <w:tcBorders>
              <w:righ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123</w:t>
            </w:r>
          </w:p>
        </w:tc>
        <w:tc>
          <w:tcPr>
            <w:tcW w:w="1914"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7,0</w:t>
            </w:r>
          </w:p>
        </w:tc>
        <w:tc>
          <w:tcPr>
            <w:tcW w:w="2418"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14,5%</w:t>
            </w:r>
          </w:p>
        </w:tc>
      </w:tr>
      <w:tr w:rsidR="00B01F04" w:rsidRPr="00404CA5" w:rsidTr="00D86960">
        <w:trPr>
          <w:jc w:val="center"/>
        </w:trPr>
        <w:tc>
          <w:tcPr>
            <w:tcW w:w="3695" w:type="dxa"/>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1913" w:type="dxa"/>
            <w:tcBorders>
              <w:righ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55</w:t>
            </w:r>
          </w:p>
        </w:tc>
        <w:tc>
          <w:tcPr>
            <w:tcW w:w="1914"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3,1</w:t>
            </w:r>
          </w:p>
        </w:tc>
        <w:tc>
          <w:tcPr>
            <w:tcW w:w="2418"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23,0%</w:t>
            </w:r>
          </w:p>
        </w:tc>
      </w:tr>
      <w:tr w:rsidR="00B01F04" w:rsidRPr="00404CA5" w:rsidTr="00D86960">
        <w:trPr>
          <w:jc w:val="center"/>
        </w:trPr>
        <w:tc>
          <w:tcPr>
            <w:tcW w:w="3695" w:type="dxa"/>
            <w:tcBorders>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1913" w:type="dxa"/>
            <w:tcBorders>
              <w:righ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 xml:space="preserve">0 </w:t>
            </w:r>
          </w:p>
        </w:tc>
        <w:tc>
          <w:tcPr>
            <w:tcW w:w="1914"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0</w:t>
            </w:r>
          </w:p>
        </w:tc>
        <w:tc>
          <w:tcPr>
            <w:tcW w:w="2418" w:type="dxa"/>
            <w:tcBorders>
              <w:left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r w:rsidRPr="00AB3187">
              <w:rPr>
                <w:rFonts w:cs="Arial"/>
                <w:color w:val="000000"/>
                <w:sz w:val="16"/>
                <w:szCs w:val="16"/>
              </w:rPr>
              <w:t>0,0%</w:t>
            </w:r>
          </w:p>
        </w:tc>
      </w:tr>
      <w:tr w:rsidR="00B01F04" w:rsidRPr="00052224" w:rsidTr="00D86960">
        <w:trPr>
          <w:jc w:val="center"/>
        </w:trPr>
        <w:tc>
          <w:tcPr>
            <w:tcW w:w="3695" w:type="dxa"/>
            <w:tcBorders>
              <w:bottom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7.EPSVs</w:t>
            </w:r>
          </w:p>
        </w:tc>
        <w:tc>
          <w:tcPr>
            <w:tcW w:w="1913" w:type="dxa"/>
            <w:tcBorders>
              <w:left w:val="single" w:sz="4" w:space="0" w:color="BFBFBF" w:themeColor="background1" w:themeShade="BF"/>
              <w:bottom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proofErr w:type="spellStart"/>
            <w:r w:rsidRPr="00AB3187">
              <w:rPr>
                <w:rFonts w:cs="Arial"/>
                <w:color w:val="000000"/>
                <w:sz w:val="16"/>
                <w:szCs w:val="16"/>
              </w:rPr>
              <w:t>n.d</w:t>
            </w:r>
            <w:proofErr w:type="spellEnd"/>
            <w:r w:rsidRPr="00AB3187">
              <w:rPr>
                <w:rFonts w:cs="Arial"/>
                <w:color w:val="000000"/>
                <w:sz w:val="16"/>
                <w:szCs w:val="16"/>
              </w:rPr>
              <w:t>.</w:t>
            </w:r>
          </w:p>
        </w:tc>
        <w:tc>
          <w:tcPr>
            <w:tcW w:w="1914" w:type="dxa"/>
            <w:tcBorders>
              <w:left w:val="single" w:sz="4" w:space="0" w:color="BFBFBF" w:themeColor="background1" w:themeShade="BF"/>
              <w:bottom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proofErr w:type="spellStart"/>
            <w:r w:rsidRPr="00AB3187">
              <w:rPr>
                <w:rFonts w:cs="Arial"/>
                <w:color w:val="000000"/>
                <w:sz w:val="16"/>
                <w:szCs w:val="16"/>
              </w:rPr>
              <w:t>n.d</w:t>
            </w:r>
            <w:proofErr w:type="spellEnd"/>
            <w:r w:rsidRPr="00AB3187">
              <w:rPr>
                <w:rFonts w:cs="Arial"/>
                <w:color w:val="000000"/>
                <w:sz w:val="16"/>
                <w:szCs w:val="16"/>
              </w:rPr>
              <w:t>.</w:t>
            </w:r>
          </w:p>
        </w:tc>
        <w:tc>
          <w:tcPr>
            <w:tcW w:w="2418" w:type="dxa"/>
            <w:tcBorders>
              <w:left w:val="single" w:sz="4" w:space="0" w:color="BFBFBF" w:themeColor="background1" w:themeShade="BF"/>
              <w:bottom w:val="single" w:sz="4" w:space="0" w:color="BFBFBF" w:themeColor="background1" w:themeShade="BF"/>
            </w:tcBorders>
          </w:tcPr>
          <w:p w:rsidR="00B01F04" w:rsidRPr="00AB3187" w:rsidRDefault="00B01F04" w:rsidP="00D86960">
            <w:pPr>
              <w:spacing w:line="240" w:lineRule="exact"/>
              <w:ind w:right="104"/>
              <w:jc w:val="right"/>
              <w:rPr>
                <w:rFonts w:cs="Arial"/>
                <w:color w:val="000000"/>
                <w:sz w:val="16"/>
                <w:szCs w:val="16"/>
              </w:rPr>
            </w:pPr>
            <w:proofErr w:type="spellStart"/>
            <w:r w:rsidRPr="00AB3187">
              <w:rPr>
                <w:rFonts w:cs="Arial"/>
                <w:color w:val="000000"/>
                <w:sz w:val="16"/>
                <w:szCs w:val="16"/>
              </w:rPr>
              <w:t>n.d</w:t>
            </w:r>
            <w:proofErr w:type="spellEnd"/>
            <w:r w:rsidRPr="00AB3187">
              <w:rPr>
                <w:rFonts w:cs="Arial"/>
                <w:color w:val="000000"/>
                <w:sz w:val="16"/>
                <w:szCs w:val="16"/>
              </w:rPr>
              <w:t>.</w:t>
            </w:r>
          </w:p>
        </w:tc>
      </w:tr>
      <w:tr w:rsidR="00B01F04" w:rsidRPr="00052224" w:rsidTr="00D86960">
        <w:trPr>
          <w:jc w:val="center"/>
        </w:trPr>
        <w:tc>
          <w:tcPr>
            <w:tcW w:w="3695" w:type="dxa"/>
            <w:tcBorders>
              <w:bottom w:val="single" w:sz="4" w:space="0" w:color="BFBFBF" w:themeColor="background1" w:themeShade="BF"/>
              <w:right w:val="single" w:sz="4" w:space="0" w:color="BFBFBF" w:themeColor="background1" w:themeShade="BF"/>
            </w:tcBorders>
          </w:tcPr>
          <w:p w:rsidR="00B01F04" w:rsidRPr="00AB3187" w:rsidRDefault="00B01F04" w:rsidP="00D86960">
            <w:pPr>
              <w:spacing w:line="240" w:lineRule="exact"/>
              <w:rPr>
                <w:rFonts w:eastAsia="Times New Roman" w:cs="Arial"/>
                <w:b/>
                <w:color w:val="000000"/>
                <w:sz w:val="16"/>
                <w:szCs w:val="16"/>
                <w:lang w:eastAsia="es-ES"/>
              </w:rPr>
            </w:pPr>
            <w:r w:rsidRPr="00AB3187">
              <w:rPr>
                <w:rFonts w:eastAsia="Times New Roman" w:cs="Arial"/>
                <w:b/>
                <w:color w:val="000000"/>
                <w:sz w:val="16"/>
                <w:szCs w:val="16"/>
                <w:lang w:eastAsia="es-ES"/>
              </w:rPr>
              <w:t>TOTAL</w:t>
            </w:r>
          </w:p>
        </w:tc>
        <w:tc>
          <w:tcPr>
            <w:tcW w:w="1913" w:type="dxa"/>
            <w:tcBorders>
              <w:left w:val="single" w:sz="4" w:space="0" w:color="BFBFBF" w:themeColor="background1" w:themeShade="BF"/>
              <w:bottom w:val="single" w:sz="4" w:space="0" w:color="BFBFBF" w:themeColor="background1" w:themeShade="BF"/>
            </w:tcBorders>
          </w:tcPr>
          <w:p w:rsidR="00B01F04" w:rsidRPr="00AB3187" w:rsidRDefault="00B01F04" w:rsidP="00D86960">
            <w:pPr>
              <w:spacing w:line="240" w:lineRule="exact"/>
              <w:ind w:right="104"/>
              <w:jc w:val="right"/>
              <w:rPr>
                <w:rFonts w:eastAsia="Times New Roman" w:cs="Arial"/>
                <w:b/>
                <w:color w:val="000000"/>
                <w:sz w:val="16"/>
                <w:szCs w:val="16"/>
                <w:lang w:eastAsia="es-ES"/>
              </w:rPr>
            </w:pPr>
            <w:r w:rsidRPr="00AB3187">
              <w:rPr>
                <w:rFonts w:eastAsia="Times New Roman" w:cs="Arial"/>
                <w:b/>
                <w:color w:val="000000"/>
                <w:sz w:val="16"/>
                <w:szCs w:val="16"/>
                <w:lang w:eastAsia="es-ES"/>
              </w:rPr>
              <w:t>1.766</w:t>
            </w:r>
          </w:p>
        </w:tc>
        <w:tc>
          <w:tcPr>
            <w:tcW w:w="1914" w:type="dxa"/>
            <w:tcBorders>
              <w:left w:val="single" w:sz="4" w:space="0" w:color="BFBFBF" w:themeColor="background1" w:themeShade="BF"/>
              <w:bottom w:val="single" w:sz="4" w:space="0" w:color="BFBFBF" w:themeColor="background1" w:themeShade="BF"/>
            </w:tcBorders>
          </w:tcPr>
          <w:p w:rsidR="00B01F04" w:rsidRPr="00AB3187" w:rsidRDefault="00B01F04" w:rsidP="00D86960">
            <w:pPr>
              <w:spacing w:line="240" w:lineRule="exact"/>
              <w:ind w:right="104"/>
              <w:jc w:val="right"/>
              <w:rPr>
                <w:rFonts w:eastAsia="Times New Roman" w:cs="Arial"/>
                <w:b/>
                <w:color w:val="000000"/>
                <w:sz w:val="16"/>
                <w:szCs w:val="16"/>
                <w:lang w:eastAsia="es-ES"/>
              </w:rPr>
            </w:pPr>
            <w:r w:rsidRPr="00AB3187">
              <w:rPr>
                <w:rFonts w:eastAsia="Times New Roman" w:cs="Arial"/>
                <w:b/>
                <w:color w:val="000000"/>
                <w:sz w:val="16"/>
                <w:szCs w:val="16"/>
                <w:lang w:eastAsia="es-ES"/>
              </w:rPr>
              <w:t>100,0</w:t>
            </w:r>
          </w:p>
        </w:tc>
        <w:tc>
          <w:tcPr>
            <w:tcW w:w="2418" w:type="dxa"/>
            <w:tcBorders>
              <w:left w:val="single" w:sz="4" w:space="0" w:color="BFBFBF" w:themeColor="background1" w:themeShade="BF"/>
              <w:bottom w:val="single" w:sz="4" w:space="0" w:color="BFBFBF" w:themeColor="background1" w:themeShade="BF"/>
            </w:tcBorders>
          </w:tcPr>
          <w:p w:rsidR="00B01F04" w:rsidRPr="00AB3187" w:rsidRDefault="00B01F04" w:rsidP="00D86960">
            <w:pPr>
              <w:spacing w:line="240" w:lineRule="exact"/>
              <w:ind w:right="104"/>
              <w:jc w:val="right"/>
              <w:rPr>
                <w:rFonts w:eastAsia="Times New Roman" w:cs="Arial"/>
                <w:b/>
                <w:color w:val="000000"/>
                <w:sz w:val="16"/>
                <w:szCs w:val="16"/>
                <w:lang w:eastAsia="es-ES"/>
              </w:rPr>
            </w:pPr>
            <w:r w:rsidRPr="00AB3187">
              <w:rPr>
                <w:rFonts w:eastAsia="Times New Roman" w:cs="Arial"/>
                <w:b/>
                <w:color w:val="000000"/>
                <w:sz w:val="16"/>
                <w:szCs w:val="16"/>
                <w:lang w:eastAsia="es-ES"/>
              </w:rPr>
              <w:t>7,6%</w:t>
            </w:r>
          </w:p>
        </w:tc>
      </w:tr>
    </w:tbl>
    <w:p w:rsidR="00B01F04" w:rsidRDefault="00B01F04" w:rsidP="00B01F04">
      <w:pPr>
        <w:widowControl w:val="0"/>
        <w:spacing w:line="240" w:lineRule="auto"/>
        <w:jc w:val="center"/>
        <w:rPr>
          <w:rFonts w:cs="Arial"/>
          <w:b/>
          <w:bCs/>
          <w:color w:val="1F497D" w:themeColor="text2"/>
          <w:sz w:val="18"/>
          <w:szCs w:val="18"/>
        </w:rPr>
      </w:pPr>
    </w:p>
    <w:p w:rsidR="00B01F04" w:rsidRDefault="00A67658" w:rsidP="00B01F04">
      <w:pPr>
        <w:widowControl w:val="0"/>
        <w:spacing w:line="240" w:lineRule="auto"/>
        <w:jc w:val="center"/>
        <w:rPr>
          <w:rFonts w:cs="Arial"/>
          <w:b/>
          <w:bCs/>
          <w:color w:val="1F497D" w:themeColor="text2"/>
          <w:sz w:val="18"/>
          <w:szCs w:val="18"/>
        </w:rPr>
      </w:pPr>
      <w:bookmarkStart w:id="373" w:name="_Toc445380981"/>
      <w:bookmarkStart w:id="374" w:name="_Toc450119833"/>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8</w:t>
      </w:r>
      <w:r w:rsidR="00771A61" w:rsidRPr="00A67658">
        <w:rPr>
          <w:rFonts w:cs="Arial"/>
          <w:b/>
          <w:bCs/>
          <w:snapToGrid w:val="0"/>
          <w:color w:val="1F497D" w:themeColor="text2"/>
          <w:sz w:val="18"/>
          <w:szCs w:val="18"/>
          <w:lang w:val="es-ES_tradnl"/>
        </w:rPr>
        <w:fldChar w:fldCharType="end"/>
      </w:r>
      <w:r w:rsidR="00B01F04" w:rsidRPr="00537ABD">
        <w:rPr>
          <w:rFonts w:cs="Arial"/>
          <w:b/>
          <w:bCs/>
          <w:color w:val="1F497D" w:themeColor="text2"/>
          <w:sz w:val="18"/>
          <w:szCs w:val="18"/>
        </w:rPr>
        <w:t xml:space="preserve"> DISTRIBUCIÓN DEL EMPLEO –total personas- POR TIPO DE ENTIDAD EN LAS NFES. 2014</w:t>
      </w:r>
      <w:r w:rsidR="00B01F04">
        <w:rPr>
          <w:rFonts w:cs="Arial"/>
          <w:b/>
          <w:bCs/>
          <w:color w:val="1F497D" w:themeColor="text2"/>
          <w:sz w:val="18"/>
          <w:szCs w:val="18"/>
        </w:rPr>
        <w:t xml:space="preserve"> (cifras absolutas y % verticales) Y EMPLEO VOLUNTARIO POR ENTIDAD</w:t>
      </w:r>
      <w:bookmarkEnd w:id="373"/>
      <w:bookmarkEnd w:id="374"/>
    </w:p>
    <w:tbl>
      <w:tblPr>
        <w:tblW w:w="9940" w:type="dxa"/>
        <w:jc w:val="center"/>
        <w:tblCellMar>
          <w:left w:w="70" w:type="dxa"/>
          <w:right w:w="70" w:type="dxa"/>
        </w:tblCellMar>
        <w:tblLook w:val="04A0" w:firstRow="1" w:lastRow="0" w:firstColumn="1" w:lastColumn="0" w:noHBand="0" w:noVBand="1"/>
      </w:tblPr>
      <w:tblGrid>
        <w:gridCol w:w="3614"/>
        <w:gridCol w:w="1954"/>
        <w:gridCol w:w="1954"/>
        <w:gridCol w:w="2418"/>
      </w:tblGrid>
      <w:tr w:rsidR="00B01F04" w:rsidRPr="00172736" w:rsidTr="00D86960">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B01F04" w:rsidRPr="00172736" w:rsidRDefault="00B01F04" w:rsidP="00D86960">
            <w:pPr>
              <w:spacing w:line="240" w:lineRule="atLeast"/>
              <w:rPr>
                <w:rFonts w:eastAsia="Times New Roman" w:cs="Arial"/>
                <w:b/>
                <w:bCs/>
                <w:color w:val="000000"/>
                <w:sz w:val="16"/>
                <w:szCs w:val="16"/>
                <w:lang w:eastAsia="es-ES"/>
              </w:rPr>
            </w:pPr>
            <w:r w:rsidRPr="00172736">
              <w:rPr>
                <w:rFonts w:eastAsia="Times New Roman" w:cs="Arial"/>
                <w:b/>
                <w:bCs/>
                <w:color w:val="000000"/>
                <w:sz w:val="16"/>
                <w:szCs w:val="16"/>
                <w:lang w:eastAsia="es-ES"/>
              </w:rPr>
              <w:t> </w:t>
            </w:r>
          </w:p>
        </w:tc>
        <w:tc>
          <w:tcPr>
            <w:tcW w:w="3908" w:type="dxa"/>
            <w:gridSpan w:val="2"/>
            <w:tcBorders>
              <w:top w:val="single" w:sz="8" w:space="0" w:color="BFBFBF"/>
              <w:left w:val="nil"/>
              <w:bottom w:val="nil"/>
              <w:right w:val="single" w:sz="8" w:space="0" w:color="BFBFBF"/>
            </w:tcBorders>
            <w:shd w:val="clear" w:color="000000" w:fill="DBE5F1"/>
            <w:hideMark/>
          </w:tcPr>
          <w:p w:rsidR="00B01F04" w:rsidRPr="00172736" w:rsidRDefault="00B01F04" w:rsidP="00D86960">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Empleo voluntario</w:t>
            </w:r>
          </w:p>
        </w:tc>
        <w:tc>
          <w:tcPr>
            <w:tcW w:w="2418" w:type="dxa"/>
            <w:vMerge w:val="restart"/>
            <w:tcBorders>
              <w:top w:val="single" w:sz="8" w:space="0" w:color="BFBFBF"/>
              <w:left w:val="single" w:sz="8" w:space="0" w:color="BFBFBF"/>
              <w:bottom w:val="single" w:sz="8" w:space="0" w:color="BFBFBF"/>
              <w:right w:val="nil"/>
            </w:tcBorders>
            <w:shd w:val="clear" w:color="000000" w:fill="DBE5F1"/>
            <w:vAlign w:val="center"/>
            <w:hideMark/>
          </w:tcPr>
          <w:p w:rsidR="00B01F04" w:rsidRPr="00172736" w:rsidRDefault="00B01F04" w:rsidP="00D86960">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Empleo voluntario por entidad</w:t>
            </w:r>
          </w:p>
        </w:tc>
      </w:tr>
      <w:tr w:rsidR="00B01F04" w:rsidRPr="00172736" w:rsidTr="00D86960">
        <w:trPr>
          <w:jc w:val="center"/>
        </w:trPr>
        <w:tc>
          <w:tcPr>
            <w:tcW w:w="0" w:type="auto"/>
            <w:vMerge/>
            <w:tcBorders>
              <w:top w:val="single" w:sz="8" w:space="0" w:color="BFBFBF"/>
              <w:left w:val="nil"/>
              <w:bottom w:val="single" w:sz="8" w:space="0" w:color="BFBFBF"/>
              <w:right w:val="single" w:sz="8" w:space="0" w:color="BFBFBF"/>
            </w:tcBorders>
            <w:vAlign w:val="center"/>
            <w:hideMark/>
          </w:tcPr>
          <w:p w:rsidR="00B01F04" w:rsidRPr="00172736" w:rsidRDefault="00B01F04" w:rsidP="00D86960">
            <w:pPr>
              <w:spacing w:line="240" w:lineRule="atLeast"/>
              <w:jc w:val="left"/>
              <w:rPr>
                <w:rFonts w:eastAsia="Times New Roman" w:cs="Arial"/>
                <w:b/>
                <w:bCs/>
                <w:color w:val="000000"/>
                <w:sz w:val="16"/>
                <w:szCs w:val="16"/>
                <w:lang w:eastAsia="es-ES"/>
              </w:rPr>
            </w:pPr>
          </w:p>
        </w:tc>
        <w:tc>
          <w:tcPr>
            <w:tcW w:w="3908" w:type="dxa"/>
            <w:gridSpan w:val="2"/>
            <w:tcBorders>
              <w:top w:val="nil"/>
              <w:left w:val="nil"/>
              <w:bottom w:val="single" w:sz="8" w:space="0" w:color="BFBFBF"/>
              <w:right w:val="single" w:sz="8" w:space="0" w:color="BFBFBF"/>
            </w:tcBorders>
            <w:shd w:val="clear" w:color="000000" w:fill="DBE5F1"/>
            <w:hideMark/>
          </w:tcPr>
          <w:p w:rsidR="00B01F04" w:rsidRPr="00172736" w:rsidRDefault="00B01F04" w:rsidP="00D86960">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 total personas-</w:t>
            </w:r>
          </w:p>
        </w:tc>
        <w:tc>
          <w:tcPr>
            <w:tcW w:w="2418" w:type="dxa"/>
            <w:vMerge/>
            <w:tcBorders>
              <w:top w:val="single" w:sz="8" w:space="0" w:color="BFBFBF"/>
              <w:left w:val="single" w:sz="8" w:space="0" w:color="BFBFBF"/>
              <w:bottom w:val="single" w:sz="8" w:space="0" w:color="BFBFBF"/>
              <w:right w:val="nil"/>
            </w:tcBorders>
            <w:vAlign w:val="center"/>
            <w:hideMark/>
          </w:tcPr>
          <w:p w:rsidR="00B01F04" w:rsidRPr="00172736" w:rsidRDefault="00B01F04" w:rsidP="00D86960">
            <w:pPr>
              <w:spacing w:line="240" w:lineRule="atLeast"/>
              <w:jc w:val="left"/>
              <w:rPr>
                <w:rFonts w:eastAsia="Times New Roman" w:cs="Arial"/>
                <w:b/>
                <w:bCs/>
                <w:color w:val="000000"/>
                <w:sz w:val="16"/>
                <w:szCs w:val="16"/>
                <w:lang w:eastAsia="es-ES"/>
              </w:rPr>
            </w:pPr>
          </w:p>
        </w:tc>
      </w:tr>
      <w:tr w:rsidR="00B01F04" w:rsidRPr="00172736" w:rsidTr="00D86960">
        <w:trPr>
          <w:jc w:val="center"/>
        </w:trPr>
        <w:tc>
          <w:tcPr>
            <w:tcW w:w="0" w:type="auto"/>
            <w:tcBorders>
              <w:top w:val="nil"/>
              <w:left w:val="nil"/>
              <w:bottom w:val="single" w:sz="8" w:space="0" w:color="BFBFBF"/>
              <w:right w:val="single" w:sz="8" w:space="0" w:color="BFBFBF"/>
            </w:tcBorders>
            <w:shd w:val="clear" w:color="000000" w:fill="DBE5F1"/>
            <w:hideMark/>
          </w:tcPr>
          <w:p w:rsidR="00B01F04" w:rsidRPr="00172736" w:rsidRDefault="00B01F04" w:rsidP="00D86960">
            <w:pPr>
              <w:spacing w:line="240" w:lineRule="atLeast"/>
              <w:rPr>
                <w:rFonts w:eastAsia="Times New Roman" w:cs="Arial"/>
                <w:b/>
                <w:bCs/>
                <w:color w:val="000000"/>
                <w:sz w:val="16"/>
                <w:szCs w:val="16"/>
                <w:lang w:eastAsia="es-ES"/>
              </w:rPr>
            </w:pPr>
            <w:r w:rsidRPr="00172736">
              <w:rPr>
                <w:rFonts w:eastAsia="Times New Roman" w:cs="Arial"/>
                <w:b/>
                <w:bCs/>
                <w:color w:val="000000"/>
                <w:sz w:val="16"/>
                <w:szCs w:val="16"/>
                <w:lang w:eastAsia="es-ES"/>
              </w:rPr>
              <w:t> </w:t>
            </w:r>
          </w:p>
        </w:tc>
        <w:tc>
          <w:tcPr>
            <w:tcW w:w="1954" w:type="dxa"/>
            <w:tcBorders>
              <w:top w:val="nil"/>
              <w:left w:val="nil"/>
              <w:bottom w:val="single" w:sz="8" w:space="0" w:color="BFBFBF"/>
              <w:right w:val="single" w:sz="8" w:space="0" w:color="BFBFBF"/>
            </w:tcBorders>
            <w:shd w:val="clear" w:color="000000" w:fill="DBE5F1"/>
            <w:hideMark/>
          </w:tcPr>
          <w:p w:rsidR="00B01F04" w:rsidRPr="00172736" w:rsidRDefault="00B01F04" w:rsidP="00D86960">
            <w:pPr>
              <w:spacing w:line="240" w:lineRule="atLeast"/>
              <w:jc w:val="center"/>
              <w:rPr>
                <w:rFonts w:eastAsia="Times New Roman" w:cs="Arial"/>
                <w:b/>
                <w:bCs/>
                <w:color w:val="000000"/>
                <w:sz w:val="16"/>
                <w:szCs w:val="16"/>
                <w:lang w:eastAsia="es-ES"/>
              </w:rPr>
            </w:pPr>
            <w:r>
              <w:rPr>
                <w:rFonts w:cs="Arial"/>
                <w:b/>
                <w:bCs/>
                <w:sz w:val="16"/>
                <w:szCs w:val="16"/>
                <w:lang w:val="en-GB"/>
              </w:rPr>
              <w:t>Abs.</w:t>
            </w:r>
          </w:p>
        </w:tc>
        <w:tc>
          <w:tcPr>
            <w:tcW w:w="1954" w:type="dxa"/>
            <w:tcBorders>
              <w:top w:val="nil"/>
              <w:left w:val="nil"/>
              <w:bottom w:val="single" w:sz="8" w:space="0" w:color="BFBFBF"/>
              <w:right w:val="nil"/>
            </w:tcBorders>
            <w:shd w:val="clear" w:color="000000" w:fill="DBE5F1"/>
            <w:hideMark/>
          </w:tcPr>
          <w:p w:rsidR="00B01F04" w:rsidRPr="00172736" w:rsidRDefault="00B01F04" w:rsidP="00D86960">
            <w:pPr>
              <w:spacing w:line="240" w:lineRule="atLeast"/>
              <w:jc w:val="center"/>
              <w:rPr>
                <w:rFonts w:eastAsia="Times New Roman" w:cs="Arial"/>
                <w:b/>
                <w:bCs/>
                <w:color w:val="000000"/>
                <w:sz w:val="16"/>
                <w:szCs w:val="16"/>
                <w:lang w:eastAsia="es-ES"/>
              </w:rPr>
            </w:pPr>
            <w:r w:rsidRPr="00172736">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r w:rsidRPr="00172736">
              <w:rPr>
                <w:rFonts w:eastAsia="Times New Roman" w:cs="Arial"/>
                <w:b/>
                <w:bCs/>
                <w:color w:val="000000"/>
                <w:sz w:val="16"/>
                <w:szCs w:val="16"/>
                <w:lang w:eastAsia="es-ES"/>
              </w:rPr>
              <w:t>v</w:t>
            </w:r>
            <w:r>
              <w:rPr>
                <w:rFonts w:eastAsia="Times New Roman" w:cs="Arial"/>
                <w:b/>
                <w:bCs/>
                <w:color w:val="000000"/>
                <w:sz w:val="16"/>
                <w:szCs w:val="16"/>
                <w:lang w:eastAsia="es-ES"/>
              </w:rPr>
              <w:t>er</w:t>
            </w:r>
            <w:r w:rsidRPr="00172736">
              <w:rPr>
                <w:rFonts w:eastAsia="Times New Roman" w:cs="Arial"/>
                <w:b/>
                <w:bCs/>
                <w:color w:val="000000"/>
                <w:sz w:val="16"/>
                <w:szCs w:val="16"/>
                <w:lang w:eastAsia="es-ES"/>
              </w:rPr>
              <w:t>.</w:t>
            </w:r>
          </w:p>
        </w:tc>
        <w:tc>
          <w:tcPr>
            <w:tcW w:w="2418" w:type="dxa"/>
            <w:vMerge/>
            <w:tcBorders>
              <w:top w:val="single" w:sz="8" w:space="0" w:color="BFBFBF"/>
              <w:left w:val="single" w:sz="8" w:space="0" w:color="BFBFBF"/>
              <w:bottom w:val="single" w:sz="8" w:space="0" w:color="BFBFBF"/>
              <w:right w:val="nil"/>
            </w:tcBorders>
            <w:vAlign w:val="center"/>
            <w:hideMark/>
          </w:tcPr>
          <w:p w:rsidR="00B01F04" w:rsidRPr="00172736" w:rsidRDefault="00B01F04" w:rsidP="00D86960">
            <w:pPr>
              <w:spacing w:line="240" w:lineRule="atLeast"/>
              <w:jc w:val="left"/>
              <w:rPr>
                <w:rFonts w:eastAsia="Times New Roman" w:cs="Arial"/>
                <w:b/>
                <w:bCs/>
                <w:color w:val="000000"/>
                <w:sz w:val="16"/>
                <w:szCs w:val="16"/>
                <w:lang w:eastAsia="es-ES"/>
              </w:rPr>
            </w:pPr>
          </w:p>
        </w:tc>
      </w:tr>
      <w:tr w:rsidR="00B01F04" w:rsidRPr="00172736" w:rsidTr="00D86960">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1954" w:type="dxa"/>
            <w:tcBorders>
              <w:top w:val="nil"/>
              <w:left w:val="nil"/>
              <w:bottom w:val="nil"/>
              <w:right w:val="single" w:sz="8" w:space="0" w:color="BFBFBF"/>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10.730</w:t>
            </w:r>
          </w:p>
        </w:tc>
        <w:tc>
          <w:tcPr>
            <w:tcW w:w="1954" w:type="dxa"/>
            <w:tcBorders>
              <w:top w:val="nil"/>
              <w:left w:val="nil"/>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56,6</w:t>
            </w:r>
          </w:p>
        </w:tc>
        <w:tc>
          <w:tcPr>
            <w:tcW w:w="2418" w:type="dxa"/>
            <w:tcBorders>
              <w:top w:val="nil"/>
              <w:left w:val="single" w:sz="8" w:space="0" w:color="BFBFBF"/>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17,3</w:t>
            </w:r>
          </w:p>
        </w:tc>
      </w:tr>
      <w:tr w:rsidR="00B01F04" w:rsidRPr="00172736" w:rsidTr="00D86960">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1954" w:type="dxa"/>
            <w:tcBorders>
              <w:top w:val="nil"/>
              <w:left w:val="nil"/>
              <w:bottom w:val="nil"/>
              <w:right w:val="single" w:sz="8" w:space="0" w:color="BFBFBF"/>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98</w:t>
            </w:r>
          </w:p>
        </w:tc>
        <w:tc>
          <w:tcPr>
            <w:tcW w:w="1954" w:type="dxa"/>
            <w:tcBorders>
              <w:top w:val="nil"/>
              <w:left w:val="nil"/>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0,5</w:t>
            </w:r>
          </w:p>
        </w:tc>
        <w:tc>
          <w:tcPr>
            <w:tcW w:w="2418" w:type="dxa"/>
            <w:tcBorders>
              <w:top w:val="nil"/>
              <w:left w:val="single" w:sz="8" w:space="0" w:color="BFBFBF"/>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2,3</w:t>
            </w:r>
          </w:p>
        </w:tc>
      </w:tr>
      <w:tr w:rsidR="00B01F04" w:rsidRPr="00172736" w:rsidTr="00D86960">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1954" w:type="dxa"/>
            <w:tcBorders>
              <w:top w:val="nil"/>
              <w:left w:val="nil"/>
              <w:bottom w:val="nil"/>
              <w:right w:val="single" w:sz="8" w:space="0" w:color="BFBFBF"/>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7.901</w:t>
            </w:r>
          </w:p>
        </w:tc>
        <w:tc>
          <w:tcPr>
            <w:tcW w:w="1954" w:type="dxa"/>
            <w:tcBorders>
              <w:top w:val="nil"/>
              <w:left w:val="nil"/>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41,7</w:t>
            </w:r>
          </w:p>
        </w:tc>
        <w:tc>
          <w:tcPr>
            <w:tcW w:w="2418" w:type="dxa"/>
            <w:tcBorders>
              <w:top w:val="nil"/>
              <w:left w:val="single" w:sz="8" w:space="0" w:color="BFBFBF"/>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42,9</w:t>
            </w:r>
          </w:p>
        </w:tc>
      </w:tr>
      <w:tr w:rsidR="00B01F04" w:rsidRPr="00172736" w:rsidTr="00D86960">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1954" w:type="dxa"/>
            <w:tcBorders>
              <w:top w:val="nil"/>
              <w:left w:val="nil"/>
              <w:bottom w:val="nil"/>
              <w:right w:val="single" w:sz="8" w:space="0" w:color="BFBFBF"/>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123</w:t>
            </w:r>
          </w:p>
        </w:tc>
        <w:tc>
          <w:tcPr>
            <w:tcW w:w="1954" w:type="dxa"/>
            <w:tcBorders>
              <w:top w:val="nil"/>
              <w:left w:val="nil"/>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0,6</w:t>
            </w:r>
          </w:p>
        </w:tc>
        <w:tc>
          <w:tcPr>
            <w:tcW w:w="2418" w:type="dxa"/>
            <w:tcBorders>
              <w:top w:val="nil"/>
              <w:left w:val="single" w:sz="8" w:space="0" w:color="BFBFBF"/>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1,6</w:t>
            </w:r>
          </w:p>
        </w:tc>
      </w:tr>
      <w:tr w:rsidR="00B01F04" w:rsidRPr="00172736" w:rsidTr="00D86960">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1954" w:type="dxa"/>
            <w:tcBorders>
              <w:top w:val="nil"/>
              <w:left w:val="nil"/>
              <w:bottom w:val="nil"/>
              <w:right w:val="single" w:sz="8" w:space="0" w:color="BFBFBF"/>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52</w:t>
            </w:r>
          </w:p>
        </w:tc>
        <w:tc>
          <w:tcPr>
            <w:tcW w:w="1954" w:type="dxa"/>
            <w:tcBorders>
              <w:top w:val="nil"/>
              <w:left w:val="nil"/>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0,3</w:t>
            </w:r>
          </w:p>
        </w:tc>
        <w:tc>
          <w:tcPr>
            <w:tcW w:w="2418" w:type="dxa"/>
            <w:tcBorders>
              <w:top w:val="nil"/>
              <w:left w:val="single" w:sz="8" w:space="0" w:color="BFBFBF"/>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0,5</w:t>
            </w:r>
          </w:p>
        </w:tc>
      </w:tr>
      <w:tr w:rsidR="00B01F04" w:rsidRPr="00172736" w:rsidTr="00D86960">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1954" w:type="dxa"/>
            <w:tcBorders>
              <w:top w:val="nil"/>
              <w:left w:val="nil"/>
              <w:bottom w:val="nil"/>
              <w:right w:val="single" w:sz="8" w:space="0" w:color="BFBFBF"/>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46</w:t>
            </w:r>
          </w:p>
        </w:tc>
        <w:tc>
          <w:tcPr>
            <w:tcW w:w="1954" w:type="dxa"/>
            <w:tcBorders>
              <w:top w:val="nil"/>
              <w:left w:val="nil"/>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0,2</w:t>
            </w:r>
          </w:p>
        </w:tc>
        <w:tc>
          <w:tcPr>
            <w:tcW w:w="2418" w:type="dxa"/>
            <w:tcBorders>
              <w:top w:val="nil"/>
              <w:left w:val="single" w:sz="8" w:space="0" w:color="BFBFBF"/>
              <w:bottom w:val="nil"/>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r w:rsidRPr="00AB3187">
              <w:rPr>
                <w:rFonts w:eastAsia="Times New Roman" w:cs="Arial"/>
                <w:color w:val="000000"/>
                <w:sz w:val="16"/>
                <w:szCs w:val="16"/>
                <w:lang w:eastAsia="es-ES"/>
              </w:rPr>
              <w:t>3,1</w:t>
            </w:r>
          </w:p>
        </w:tc>
      </w:tr>
      <w:tr w:rsidR="00B01F04" w:rsidRPr="00172736" w:rsidTr="00D86960">
        <w:trPr>
          <w:jc w:val="center"/>
        </w:trPr>
        <w:tc>
          <w:tcPr>
            <w:tcW w:w="0" w:type="auto"/>
            <w:tcBorders>
              <w:top w:val="nil"/>
              <w:left w:val="nil"/>
              <w:bottom w:val="single" w:sz="8" w:space="0" w:color="BFBFBF"/>
              <w:right w:val="single" w:sz="8" w:space="0" w:color="BFBFBF"/>
            </w:tcBorders>
            <w:shd w:val="clear" w:color="auto" w:fill="auto"/>
            <w:hideMark/>
          </w:tcPr>
          <w:p w:rsidR="00B01F04" w:rsidRPr="00AB3187" w:rsidRDefault="00B01F04" w:rsidP="00D86960">
            <w:pPr>
              <w:spacing w:line="240" w:lineRule="atLeast"/>
              <w:rPr>
                <w:rFonts w:eastAsia="Times New Roman" w:cs="Arial"/>
                <w:color w:val="000000"/>
                <w:sz w:val="16"/>
                <w:szCs w:val="16"/>
                <w:lang w:eastAsia="es-ES"/>
              </w:rPr>
            </w:pPr>
            <w:r w:rsidRPr="00AB3187">
              <w:rPr>
                <w:rFonts w:eastAsia="Times New Roman" w:cs="Arial"/>
                <w:color w:val="000000"/>
                <w:sz w:val="16"/>
                <w:szCs w:val="16"/>
                <w:lang w:eastAsia="es-ES"/>
              </w:rPr>
              <w:t>7.EPSVs</w:t>
            </w:r>
          </w:p>
        </w:tc>
        <w:tc>
          <w:tcPr>
            <w:tcW w:w="1954" w:type="dxa"/>
            <w:tcBorders>
              <w:top w:val="nil"/>
              <w:left w:val="nil"/>
              <w:bottom w:val="single" w:sz="8" w:space="0" w:color="BFBFBF"/>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954" w:type="dxa"/>
            <w:tcBorders>
              <w:top w:val="nil"/>
              <w:left w:val="single" w:sz="8" w:space="0" w:color="BFBFBF"/>
              <w:bottom w:val="single" w:sz="8" w:space="0" w:color="BFBFBF"/>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2418" w:type="dxa"/>
            <w:tcBorders>
              <w:top w:val="nil"/>
              <w:left w:val="single" w:sz="8" w:space="0" w:color="BFBFBF"/>
              <w:bottom w:val="single" w:sz="8" w:space="0" w:color="BFBFBF"/>
              <w:right w:val="nil"/>
            </w:tcBorders>
            <w:shd w:val="clear" w:color="auto" w:fill="auto"/>
            <w:hideMark/>
          </w:tcPr>
          <w:p w:rsidR="00B01F04" w:rsidRPr="00AB3187" w:rsidRDefault="00B01F04" w:rsidP="00D86960">
            <w:pPr>
              <w:spacing w:line="240" w:lineRule="atLeast"/>
              <w:ind w:right="244"/>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r>
      <w:tr w:rsidR="00B01F04" w:rsidRPr="00172736" w:rsidTr="00D86960">
        <w:trPr>
          <w:jc w:val="center"/>
        </w:trPr>
        <w:tc>
          <w:tcPr>
            <w:tcW w:w="0" w:type="auto"/>
            <w:tcBorders>
              <w:top w:val="nil"/>
              <w:left w:val="nil"/>
              <w:bottom w:val="single" w:sz="8" w:space="0" w:color="BFBFBF"/>
              <w:right w:val="single" w:sz="8" w:space="0" w:color="BFBFBF"/>
            </w:tcBorders>
            <w:shd w:val="clear" w:color="auto" w:fill="auto"/>
            <w:hideMark/>
          </w:tcPr>
          <w:p w:rsidR="00B01F04" w:rsidRPr="00AB3187" w:rsidRDefault="00B01F04" w:rsidP="00D86960">
            <w:pPr>
              <w:spacing w:line="240" w:lineRule="atLeast"/>
              <w:rPr>
                <w:rFonts w:eastAsia="Times New Roman" w:cs="Arial"/>
                <w:b/>
                <w:color w:val="000000"/>
                <w:sz w:val="16"/>
                <w:szCs w:val="16"/>
                <w:lang w:eastAsia="es-ES"/>
              </w:rPr>
            </w:pPr>
            <w:r w:rsidRPr="00AB3187">
              <w:rPr>
                <w:rFonts w:eastAsia="Times New Roman" w:cs="Arial"/>
                <w:b/>
                <w:color w:val="000000"/>
                <w:sz w:val="16"/>
                <w:szCs w:val="16"/>
                <w:lang w:eastAsia="es-ES"/>
              </w:rPr>
              <w:t>TOTAL</w:t>
            </w:r>
          </w:p>
        </w:tc>
        <w:tc>
          <w:tcPr>
            <w:tcW w:w="1954" w:type="dxa"/>
            <w:tcBorders>
              <w:top w:val="nil"/>
              <w:left w:val="nil"/>
              <w:bottom w:val="single" w:sz="8" w:space="0" w:color="BFBFBF"/>
              <w:right w:val="nil"/>
            </w:tcBorders>
            <w:shd w:val="clear" w:color="auto" w:fill="auto"/>
            <w:hideMark/>
          </w:tcPr>
          <w:p w:rsidR="00B01F04" w:rsidRPr="00AB3187" w:rsidRDefault="00B01F04" w:rsidP="00D86960">
            <w:pPr>
              <w:spacing w:line="240" w:lineRule="atLeast"/>
              <w:ind w:right="244"/>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18.950</w:t>
            </w:r>
          </w:p>
        </w:tc>
        <w:tc>
          <w:tcPr>
            <w:tcW w:w="1954" w:type="dxa"/>
            <w:tcBorders>
              <w:top w:val="nil"/>
              <w:left w:val="single" w:sz="8" w:space="0" w:color="BFBFBF"/>
              <w:bottom w:val="single" w:sz="8" w:space="0" w:color="BFBFBF"/>
              <w:right w:val="nil"/>
            </w:tcBorders>
            <w:shd w:val="clear" w:color="auto" w:fill="auto"/>
            <w:hideMark/>
          </w:tcPr>
          <w:p w:rsidR="00B01F04" w:rsidRPr="00AB3187" w:rsidRDefault="00B01F04" w:rsidP="00D86960">
            <w:pPr>
              <w:spacing w:line="240" w:lineRule="atLeast"/>
              <w:ind w:right="244"/>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100</w:t>
            </w:r>
            <w:r w:rsidR="007F441F">
              <w:rPr>
                <w:rFonts w:eastAsia="Times New Roman" w:cs="Arial"/>
                <w:b/>
                <w:bCs/>
                <w:color w:val="000000"/>
                <w:sz w:val="16"/>
                <w:szCs w:val="16"/>
                <w:lang w:eastAsia="es-ES"/>
              </w:rPr>
              <w:t>,0</w:t>
            </w:r>
          </w:p>
        </w:tc>
        <w:tc>
          <w:tcPr>
            <w:tcW w:w="2418" w:type="dxa"/>
            <w:tcBorders>
              <w:top w:val="nil"/>
              <w:left w:val="single" w:sz="8" w:space="0" w:color="BFBFBF"/>
              <w:bottom w:val="single" w:sz="8" w:space="0" w:color="BFBFBF"/>
              <w:right w:val="nil"/>
            </w:tcBorders>
            <w:shd w:val="clear" w:color="auto" w:fill="auto"/>
            <w:hideMark/>
          </w:tcPr>
          <w:p w:rsidR="00B01F04" w:rsidRPr="00AB3187" w:rsidRDefault="00B01F04" w:rsidP="00D86960">
            <w:pPr>
              <w:spacing w:line="240" w:lineRule="atLeast"/>
              <w:ind w:right="244"/>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15,8</w:t>
            </w:r>
          </w:p>
        </w:tc>
      </w:tr>
    </w:tbl>
    <w:p w:rsidR="00B01F04" w:rsidRDefault="00B01F04" w:rsidP="00B01F04">
      <w:pPr>
        <w:widowControl w:val="0"/>
        <w:spacing w:line="240" w:lineRule="auto"/>
        <w:jc w:val="center"/>
        <w:rPr>
          <w:rFonts w:cs="Arial"/>
          <w:b/>
          <w:bCs/>
          <w:color w:val="1F497D" w:themeColor="text2"/>
          <w:sz w:val="18"/>
          <w:szCs w:val="18"/>
        </w:rPr>
      </w:pPr>
    </w:p>
    <w:p w:rsidR="00B01F04" w:rsidRDefault="00A67658" w:rsidP="00B01F04">
      <w:pPr>
        <w:widowControl w:val="0"/>
        <w:spacing w:line="240" w:lineRule="auto"/>
        <w:jc w:val="center"/>
        <w:rPr>
          <w:rFonts w:cs="Arial"/>
          <w:b/>
          <w:bCs/>
          <w:color w:val="1F497D" w:themeColor="text2"/>
          <w:sz w:val="18"/>
          <w:szCs w:val="18"/>
        </w:rPr>
      </w:pPr>
      <w:bookmarkStart w:id="375" w:name="_Toc445381010"/>
      <w:bookmarkStart w:id="376" w:name="_Toc450120193"/>
      <w:r w:rsidRPr="00A67658">
        <w:rPr>
          <w:rFonts w:cs="Arial"/>
          <w:b/>
          <w:bCs/>
          <w:snapToGrid w:val="0"/>
          <w:color w:val="1F497D" w:themeColor="text2"/>
          <w:sz w:val="18"/>
          <w:szCs w:val="18"/>
          <w:lang w:val="es-ES_tradnl"/>
        </w:rPr>
        <w:t>Gráfico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Gráfico_4.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w:t>
      </w:r>
      <w:r w:rsidR="00771A61" w:rsidRPr="00A67658">
        <w:rPr>
          <w:rFonts w:cs="Arial"/>
          <w:b/>
          <w:bCs/>
          <w:snapToGrid w:val="0"/>
          <w:color w:val="1F497D" w:themeColor="text2"/>
          <w:sz w:val="18"/>
          <w:szCs w:val="18"/>
          <w:lang w:val="es-ES_tradnl"/>
        </w:rPr>
        <w:fldChar w:fldCharType="end"/>
      </w:r>
      <w:r w:rsidR="00537ABD" w:rsidRPr="00A67658">
        <w:rPr>
          <w:rFonts w:cs="Arial"/>
          <w:b/>
          <w:bCs/>
          <w:snapToGrid w:val="0"/>
          <w:color w:val="1F497D" w:themeColor="text2"/>
          <w:sz w:val="18"/>
          <w:szCs w:val="18"/>
          <w:lang w:val="es-ES_tradnl"/>
        </w:rPr>
        <w:t xml:space="preserve"> </w:t>
      </w:r>
      <w:r w:rsidR="00B01F04" w:rsidRPr="00A67658">
        <w:rPr>
          <w:rFonts w:cs="Arial"/>
          <w:b/>
          <w:snapToGrid w:val="0"/>
          <w:color w:val="1F497D" w:themeColor="text2"/>
          <w:sz w:val="18"/>
          <w:szCs w:val="18"/>
          <w:lang w:val="es-ES_tradnl"/>
        </w:rPr>
        <w:t xml:space="preserve"> </w:t>
      </w:r>
      <w:r w:rsidR="00B01F04" w:rsidRPr="00A67658">
        <w:rPr>
          <w:rFonts w:cs="Arial"/>
          <w:b/>
          <w:bCs/>
          <w:color w:val="1F497D" w:themeColor="text2"/>
          <w:sz w:val="18"/>
          <w:szCs w:val="18"/>
        </w:rPr>
        <w:t>EMPLEO VOLUNTARIO–empleo voluntario anualizado y empleo voluntario total personas-</w:t>
      </w:r>
      <w:r w:rsidR="00B01F04">
        <w:rPr>
          <w:rFonts w:cs="Arial"/>
          <w:b/>
          <w:bCs/>
          <w:color w:val="1F497D" w:themeColor="text2"/>
          <w:sz w:val="18"/>
          <w:szCs w:val="18"/>
        </w:rPr>
        <w:t xml:space="preserve"> EN LAS NFES. 2014</w:t>
      </w:r>
      <w:bookmarkEnd w:id="375"/>
      <w:bookmarkEnd w:id="376"/>
      <w:r w:rsidR="00B01F04">
        <w:rPr>
          <w:rFonts w:cs="Arial"/>
          <w:b/>
          <w:bCs/>
          <w:color w:val="1F497D" w:themeColor="text2"/>
          <w:sz w:val="18"/>
          <w:szCs w:val="18"/>
        </w:rPr>
        <w:t xml:space="preserve"> </w:t>
      </w:r>
    </w:p>
    <w:p w:rsidR="00B01F04" w:rsidRDefault="00B01F04" w:rsidP="00B01F04">
      <w:pPr>
        <w:widowControl w:val="0"/>
        <w:spacing w:line="240" w:lineRule="auto"/>
        <w:jc w:val="center"/>
        <w:rPr>
          <w:rFonts w:cs="Arial"/>
          <w:b/>
          <w:bCs/>
          <w:color w:val="1F497D" w:themeColor="text2"/>
          <w:sz w:val="18"/>
          <w:szCs w:val="18"/>
        </w:rPr>
      </w:pPr>
      <w:r>
        <w:rPr>
          <w:rFonts w:cs="Arial"/>
          <w:b/>
          <w:bCs/>
          <w:noProof/>
          <w:color w:val="1F497D" w:themeColor="text2"/>
          <w:sz w:val="18"/>
          <w:szCs w:val="18"/>
          <w:lang w:eastAsia="es-ES"/>
        </w:rPr>
        <w:drawing>
          <wp:anchor distT="0" distB="0" distL="114300" distR="114300" simplePos="0" relativeHeight="251829248" behindDoc="1" locked="0" layoutInCell="1" allowOverlap="1">
            <wp:simplePos x="0" y="0"/>
            <wp:positionH relativeFrom="column">
              <wp:posOffset>701040</wp:posOffset>
            </wp:positionH>
            <wp:positionV relativeFrom="paragraph">
              <wp:posOffset>117475</wp:posOffset>
            </wp:positionV>
            <wp:extent cx="4171950" cy="1619250"/>
            <wp:effectExtent l="0" t="0" r="0" b="0"/>
            <wp:wrapThrough wrapText="bothSides">
              <wp:wrapPolygon edited="0">
                <wp:start x="15386" y="762"/>
                <wp:lineTo x="296" y="1016"/>
                <wp:lineTo x="296" y="2287"/>
                <wp:lineTo x="10751" y="4828"/>
                <wp:lineTo x="296" y="5082"/>
                <wp:lineTo x="296" y="6353"/>
                <wp:lineTo x="10751" y="8894"/>
                <wp:lineTo x="296" y="9148"/>
                <wp:lineTo x="296" y="10419"/>
                <wp:lineTo x="10751" y="12960"/>
                <wp:lineTo x="592" y="13214"/>
                <wp:lineTo x="592" y="14485"/>
                <wp:lineTo x="10751" y="17026"/>
                <wp:lineTo x="1677" y="17280"/>
                <wp:lineTo x="1578" y="19821"/>
                <wp:lineTo x="4142" y="20329"/>
                <wp:lineTo x="17359" y="20329"/>
                <wp:lineTo x="19627" y="20329"/>
                <wp:lineTo x="19233" y="19313"/>
                <wp:lineTo x="10652" y="17026"/>
                <wp:lineTo x="10751" y="4828"/>
                <wp:lineTo x="12132" y="4828"/>
                <wp:lineTo x="17162" y="1525"/>
                <wp:lineTo x="17063" y="762"/>
                <wp:lineTo x="15386" y="762"/>
              </wp:wrapPolygon>
            </wp:wrapThrough>
            <wp:docPr id="4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Pr>
          <w:rFonts w:cs="Arial"/>
          <w:b/>
          <w:bCs/>
          <w:color w:val="1F497D" w:themeColor="text2"/>
          <w:sz w:val="18"/>
          <w:szCs w:val="18"/>
        </w:rPr>
        <w:t>(</w:t>
      </w:r>
      <w:proofErr w:type="gramStart"/>
      <w:r>
        <w:rPr>
          <w:rFonts w:cs="Arial"/>
          <w:b/>
          <w:bCs/>
          <w:color w:val="1F497D" w:themeColor="text2"/>
          <w:sz w:val="18"/>
          <w:szCs w:val="18"/>
        </w:rPr>
        <w:t>cifras</w:t>
      </w:r>
      <w:proofErr w:type="gramEnd"/>
      <w:r>
        <w:rPr>
          <w:rFonts w:cs="Arial"/>
          <w:b/>
          <w:bCs/>
          <w:color w:val="1F497D" w:themeColor="text2"/>
          <w:sz w:val="18"/>
          <w:szCs w:val="18"/>
        </w:rPr>
        <w:t xml:space="preserve"> absolutas)</w:t>
      </w: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jc w:val="left"/>
        <w:rPr>
          <w:rFonts w:cs="Arial"/>
          <w:b/>
          <w:bCs/>
          <w:color w:val="1F497D" w:themeColor="text2"/>
          <w:sz w:val="18"/>
          <w:szCs w:val="18"/>
        </w:rPr>
      </w:pPr>
    </w:p>
    <w:p w:rsidR="009D099F" w:rsidRDefault="009D099F" w:rsidP="00B01F04">
      <w:pPr>
        <w:jc w:val="left"/>
        <w:rPr>
          <w:rFonts w:cs="Arial"/>
          <w:b/>
          <w:bCs/>
          <w:color w:val="1F497D" w:themeColor="text2"/>
          <w:sz w:val="18"/>
          <w:szCs w:val="18"/>
        </w:rPr>
      </w:pPr>
    </w:p>
    <w:p w:rsidR="009D099F" w:rsidRDefault="009D099F" w:rsidP="00B01F04">
      <w:pPr>
        <w:jc w:val="left"/>
        <w:rPr>
          <w:rFonts w:cs="Arial"/>
          <w:b/>
          <w:bCs/>
          <w:color w:val="1F497D" w:themeColor="text2"/>
          <w:sz w:val="18"/>
          <w:szCs w:val="18"/>
        </w:rPr>
      </w:pPr>
    </w:p>
    <w:p w:rsidR="009D099F" w:rsidRDefault="009D099F" w:rsidP="00B01F04">
      <w:pPr>
        <w:jc w:val="left"/>
        <w:rPr>
          <w:rFonts w:cs="Arial"/>
          <w:b/>
          <w:bCs/>
          <w:color w:val="1F497D" w:themeColor="text2"/>
          <w:sz w:val="18"/>
          <w:szCs w:val="18"/>
        </w:rPr>
      </w:pPr>
    </w:p>
    <w:p w:rsidR="009D099F" w:rsidRDefault="009D099F" w:rsidP="00B01F04">
      <w:pPr>
        <w:jc w:val="left"/>
        <w:rPr>
          <w:rFonts w:cs="Arial"/>
          <w:b/>
          <w:bCs/>
          <w:color w:val="1F497D" w:themeColor="text2"/>
          <w:sz w:val="18"/>
          <w:szCs w:val="18"/>
        </w:rPr>
      </w:pPr>
    </w:p>
    <w:p w:rsidR="009D099F" w:rsidRDefault="009D099F" w:rsidP="00B01F04">
      <w:pPr>
        <w:jc w:val="left"/>
        <w:rPr>
          <w:rFonts w:cs="Arial"/>
          <w:b/>
          <w:bCs/>
          <w:color w:val="1F497D" w:themeColor="text2"/>
          <w:sz w:val="18"/>
          <w:szCs w:val="18"/>
        </w:rPr>
      </w:pPr>
    </w:p>
    <w:p w:rsidR="00B01F04" w:rsidRDefault="00B01F04" w:rsidP="00B01F04">
      <w:pPr>
        <w:jc w:val="left"/>
        <w:rPr>
          <w:rFonts w:cs="Arial"/>
          <w:b/>
          <w:bCs/>
          <w:color w:val="1F497D" w:themeColor="text2"/>
          <w:sz w:val="18"/>
          <w:szCs w:val="18"/>
        </w:rPr>
      </w:pPr>
    </w:p>
    <w:p w:rsidR="00B01F04" w:rsidRDefault="00A67658" w:rsidP="00B01F04">
      <w:pPr>
        <w:widowControl w:val="0"/>
        <w:spacing w:line="240" w:lineRule="auto"/>
        <w:jc w:val="center"/>
        <w:rPr>
          <w:rFonts w:cs="Arial"/>
          <w:b/>
          <w:bCs/>
          <w:color w:val="1F497D" w:themeColor="text2"/>
          <w:sz w:val="18"/>
          <w:szCs w:val="18"/>
        </w:rPr>
      </w:pPr>
      <w:bookmarkStart w:id="377" w:name="_Toc445380982"/>
      <w:bookmarkStart w:id="378" w:name="_Toc450119834"/>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9</w:t>
      </w:r>
      <w:r w:rsidR="00771A61" w:rsidRPr="00A67658">
        <w:rPr>
          <w:rFonts w:cs="Arial"/>
          <w:b/>
          <w:bCs/>
          <w:snapToGrid w:val="0"/>
          <w:color w:val="1F497D" w:themeColor="text2"/>
          <w:sz w:val="18"/>
          <w:szCs w:val="18"/>
          <w:lang w:val="es-ES_tradnl"/>
        </w:rPr>
        <w:fldChar w:fldCharType="end"/>
      </w:r>
      <w:r w:rsidR="009D099F" w:rsidRPr="009D099F">
        <w:rPr>
          <w:rFonts w:cs="Arial"/>
          <w:b/>
          <w:bCs/>
          <w:snapToGrid w:val="0"/>
          <w:color w:val="1F497D" w:themeColor="text2"/>
          <w:sz w:val="18"/>
          <w:szCs w:val="18"/>
          <w:lang w:val="es-ES_tradnl"/>
        </w:rPr>
        <w:t xml:space="preserve"> </w:t>
      </w:r>
      <w:r w:rsidR="00B01F04" w:rsidRPr="009D099F">
        <w:rPr>
          <w:rFonts w:cs="Arial"/>
          <w:b/>
          <w:bCs/>
          <w:color w:val="1F497D" w:themeColor="text2"/>
          <w:sz w:val="18"/>
          <w:szCs w:val="18"/>
        </w:rPr>
        <w:t xml:space="preserve"> DISTRIBUCIÓN DEL EMPLEO VOLUNTARIO –total personas- POR GÉNERO Y POR TIPO</w:t>
      </w:r>
      <w:r w:rsidR="00B01F04">
        <w:rPr>
          <w:rFonts w:cs="Arial"/>
          <w:b/>
          <w:bCs/>
          <w:color w:val="1F497D" w:themeColor="text2"/>
          <w:sz w:val="18"/>
          <w:szCs w:val="18"/>
        </w:rPr>
        <w:t xml:space="preserve"> DE ENTIDAD EN LAS NFES. 2014 (cifras absolutas y % verticales)</w:t>
      </w:r>
      <w:bookmarkEnd w:id="377"/>
      <w:bookmarkEnd w:id="378"/>
    </w:p>
    <w:tbl>
      <w:tblPr>
        <w:tblW w:w="9940" w:type="dxa"/>
        <w:jc w:val="center"/>
        <w:tblCellMar>
          <w:left w:w="70" w:type="dxa"/>
          <w:right w:w="70" w:type="dxa"/>
        </w:tblCellMar>
        <w:tblLook w:val="04A0" w:firstRow="1" w:lastRow="0" w:firstColumn="1" w:lastColumn="0" w:noHBand="0" w:noVBand="1"/>
      </w:tblPr>
      <w:tblGrid>
        <w:gridCol w:w="4404"/>
        <w:gridCol w:w="1417"/>
        <w:gridCol w:w="1418"/>
        <w:gridCol w:w="1350"/>
        <w:gridCol w:w="1351"/>
      </w:tblGrid>
      <w:tr w:rsidR="00B01F04" w:rsidRPr="00736A1A" w:rsidTr="00D86960">
        <w:trPr>
          <w:jc w:val="center"/>
        </w:trPr>
        <w:tc>
          <w:tcPr>
            <w:tcW w:w="4404" w:type="dxa"/>
            <w:vMerge w:val="restart"/>
            <w:tcBorders>
              <w:top w:val="single" w:sz="4" w:space="0" w:color="BFBFBF" w:themeColor="background1" w:themeShade="BF"/>
              <w:left w:val="nil"/>
              <w:right w:val="single" w:sz="8" w:space="0" w:color="BFBFBF"/>
            </w:tcBorders>
            <w:shd w:val="clear" w:color="000000" w:fill="DBE5F1"/>
            <w:hideMark/>
          </w:tcPr>
          <w:p w:rsidR="00B01F04" w:rsidRPr="00736A1A" w:rsidRDefault="00B01F04" w:rsidP="00D86960">
            <w:pPr>
              <w:spacing w:line="240" w:lineRule="exact"/>
              <w:rPr>
                <w:rFonts w:eastAsia="Times New Roman" w:cs="Arial"/>
                <w:b/>
                <w:bCs/>
                <w:color w:val="000000"/>
                <w:sz w:val="16"/>
                <w:szCs w:val="16"/>
                <w:lang w:eastAsia="es-ES"/>
              </w:rPr>
            </w:pPr>
            <w:r w:rsidRPr="00736A1A">
              <w:rPr>
                <w:rFonts w:eastAsia="Times New Roman" w:cs="Arial"/>
                <w:b/>
                <w:bCs/>
                <w:color w:val="000000"/>
                <w:sz w:val="16"/>
                <w:szCs w:val="16"/>
                <w:lang w:eastAsia="es-ES"/>
              </w:rPr>
              <w:t> </w:t>
            </w:r>
          </w:p>
        </w:tc>
        <w:tc>
          <w:tcPr>
            <w:tcW w:w="2835" w:type="dxa"/>
            <w:gridSpan w:val="2"/>
            <w:tcBorders>
              <w:top w:val="single" w:sz="4" w:space="0" w:color="BFBFBF" w:themeColor="background1" w:themeShade="BF"/>
              <w:left w:val="nil"/>
              <w:bottom w:val="single" w:sz="8" w:space="0" w:color="BFBFBF"/>
              <w:right w:val="single" w:sz="8" w:space="0" w:color="BFBFBF"/>
            </w:tcBorders>
            <w:shd w:val="clear" w:color="000000" w:fill="DBE5F1"/>
            <w:hideMark/>
          </w:tcPr>
          <w:p w:rsidR="00B01F04" w:rsidRPr="00736A1A" w:rsidRDefault="00B01F04" w:rsidP="00D86960">
            <w:pPr>
              <w:spacing w:line="240" w:lineRule="exact"/>
              <w:jc w:val="center"/>
              <w:rPr>
                <w:rFonts w:eastAsia="Times New Roman" w:cs="Arial"/>
                <w:b/>
                <w:bCs/>
                <w:color w:val="000000"/>
                <w:sz w:val="16"/>
                <w:szCs w:val="16"/>
                <w:lang w:eastAsia="es-ES"/>
              </w:rPr>
            </w:pPr>
            <w:r w:rsidRPr="00736A1A">
              <w:rPr>
                <w:rFonts w:eastAsia="Times New Roman" w:cs="Arial"/>
                <w:b/>
                <w:bCs/>
                <w:color w:val="000000"/>
                <w:sz w:val="16"/>
                <w:szCs w:val="16"/>
                <w:lang w:eastAsia="es-ES"/>
              </w:rPr>
              <w:t xml:space="preserve">Personal voluntario </w:t>
            </w:r>
          </w:p>
          <w:p w:rsidR="00B01F04" w:rsidRPr="00736A1A" w:rsidRDefault="00B01F04" w:rsidP="00D86960">
            <w:pPr>
              <w:spacing w:line="240" w:lineRule="exact"/>
              <w:jc w:val="center"/>
              <w:rPr>
                <w:rFonts w:eastAsia="Times New Roman" w:cs="Arial"/>
                <w:b/>
                <w:bCs/>
                <w:color w:val="000000"/>
                <w:sz w:val="16"/>
                <w:szCs w:val="16"/>
                <w:lang w:eastAsia="es-ES"/>
              </w:rPr>
            </w:pPr>
            <w:r w:rsidRPr="00736A1A">
              <w:rPr>
                <w:rFonts w:eastAsia="Times New Roman" w:cs="Arial"/>
                <w:b/>
                <w:bCs/>
                <w:color w:val="000000"/>
                <w:sz w:val="16"/>
                <w:szCs w:val="16"/>
                <w:lang w:eastAsia="es-ES"/>
              </w:rPr>
              <w:t>mujeres</w:t>
            </w:r>
          </w:p>
        </w:tc>
        <w:tc>
          <w:tcPr>
            <w:tcW w:w="2701" w:type="dxa"/>
            <w:gridSpan w:val="2"/>
            <w:tcBorders>
              <w:top w:val="single" w:sz="4" w:space="0" w:color="BFBFBF" w:themeColor="background1" w:themeShade="BF"/>
              <w:left w:val="nil"/>
              <w:bottom w:val="single" w:sz="8" w:space="0" w:color="BFBFBF"/>
            </w:tcBorders>
            <w:shd w:val="clear" w:color="000000" w:fill="DBE5F1"/>
            <w:hideMark/>
          </w:tcPr>
          <w:p w:rsidR="00B01F04" w:rsidRPr="00736A1A" w:rsidRDefault="00B01F04" w:rsidP="00D86960">
            <w:pPr>
              <w:spacing w:line="240" w:lineRule="exact"/>
              <w:jc w:val="center"/>
              <w:rPr>
                <w:rFonts w:eastAsia="Times New Roman" w:cs="Arial"/>
                <w:b/>
                <w:bCs/>
                <w:color w:val="000000"/>
                <w:sz w:val="16"/>
                <w:szCs w:val="16"/>
                <w:lang w:eastAsia="es-ES"/>
              </w:rPr>
            </w:pPr>
            <w:r w:rsidRPr="00736A1A">
              <w:rPr>
                <w:rFonts w:eastAsia="Times New Roman" w:cs="Arial"/>
                <w:b/>
                <w:bCs/>
                <w:color w:val="000000"/>
                <w:sz w:val="16"/>
                <w:szCs w:val="16"/>
                <w:lang w:eastAsia="es-ES"/>
              </w:rPr>
              <w:t>Personal</w:t>
            </w:r>
            <w:r>
              <w:rPr>
                <w:rFonts w:eastAsia="Times New Roman" w:cs="Arial"/>
                <w:b/>
                <w:bCs/>
                <w:color w:val="000000"/>
                <w:sz w:val="16"/>
                <w:szCs w:val="16"/>
                <w:lang w:eastAsia="es-ES"/>
              </w:rPr>
              <w:t xml:space="preserve"> </w:t>
            </w:r>
            <w:r w:rsidRPr="00736A1A">
              <w:rPr>
                <w:rFonts w:eastAsia="Times New Roman" w:cs="Arial"/>
                <w:b/>
                <w:bCs/>
                <w:color w:val="000000"/>
                <w:sz w:val="16"/>
                <w:szCs w:val="16"/>
                <w:lang w:eastAsia="es-ES"/>
              </w:rPr>
              <w:t>voluntario</w:t>
            </w:r>
          </w:p>
          <w:p w:rsidR="00B01F04" w:rsidRPr="00736A1A" w:rsidRDefault="00B01F04" w:rsidP="00D86960">
            <w:pPr>
              <w:spacing w:line="240" w:lineRule="exact"/>
              <w:jc w:val="center"/>
              <w:rPr>
                <w:rFonts w:eastAsia="Times New Roman" w:cs="Arial"/>
                <w:b/>
                <w:bCs/>
                <w:color w:val="000000"/>
                <w:sz w:val="16"/>
                <w:szCs w:val="16"/>
                <w:lang w:eastAsia="es-ES"/>
              </w:rPr>
            </w:pPr>
            <w:r w:rsidRPr="00736A1A">
              <w:rPr>
                <w:rFonts w:eastAsia="Times New Roman" w:cs="Arial"/>
                <w:b/>
                <w:bCs/>
                <w:color w:val="000000"/>
                <w:sz w:val="16"/>
                <w:szCs w:val="16"/>
                <w:lang w:eastAsia="es-ES"/>
              </w:rPr>
              <w:t>hombres</w:t>
            </w:r>
          </w:p>
        </w:tc>
      </w:tr>
      <w:tr w:rsidR="00B01F04" w:rsidRPr="00736A1A" w:rsidTr="00D86960">
        <w:trPr>
          <w:jc w:val="center"/>
        </w:trPr>
        <w:tc>
          <w:tcPr>
            <w:tcW w:w="4404" w:type="dxa"/>
            <w:vMerge/>
            <w:tcBorders>
              <w:left w:val="nil"/>
              <w:bottom w:val="single" w:sz="8" w:space="0" w:color="BFBFBF"/>
              <w:right w:val="single" w:sz="8" w:space="0" w:color="BFBFBF"/>
            </w:tcBorders>
            <w:shd w:val="clear" w:color="000000" w:fill="DBE5F1"/>
            <w:hideMark/>
          </w:tcPr>
          <w:p w:rsidR="00B01F04" w:rsidRPr="00736A1A" w:rsidRDefault="00B01F04" w:rsidP="00D86960">
            <w:pPr>
              <w:spacing w:line="240" w:lineRule="exact"/>
              <w:rPr>
                <w:rFonts w:eastAsia="Times New Roman" w:cs="Arial"/>
                <w:b/>
                <w:bCs/>
                <w:color w:val="000000"/>
                <w:sz w:val="16"/>
                <w:szCs w:val="16"/>
                <w:lang w:eastAsia="es-ES"/>
              </w:rPr>
            </w:pPr>
          </w:p>
        </w:tc>
        <w:tc>
          <w:tcPr>
            <w:tcW w:w="1417" w:type="dxa"/>
            <w:tcBorders>
              <w:top w:val="nil"/>
              <w:left w:val="nil"/>
              <w:bottom w:val="single" w:sz="8" w:space="0" w:color="BFBFBF"/>
              <w:right w:val="single" w:sz="8" w:space="0" w:color="BFBFBF"/>
            </w:tcBorders>
            <w:shd w:val="clear" w:color="000000" w:fill="DBE5F1"/>
            <w:hideMark/>
          </w:tcPr>
          <w:p w:rsidR="00B01F04" w:rsidRPr="00736A1A"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1418" w:type="dxa"/>
            <w:tcBorders>
              <w:top w:val="nil"/>
              <w:left w:val="nil"/>
              <w:bottom w:val="single" w:sz="8" w:space="0" w:color="BFBFBF"/>
              <w:right w:val="single" w:sz="8" w:space="0" w:color="BFBFBF"/>
            </w:tcBorders>
            <w:shd w:val="clear" w:color="000000" w:fill="DBE5F1"/>
            <w:hideMark/>
          </w:tcPr>
          <w:p w:rsidR="00B01F04" w:rsidRPr="00736A1A" w:rsidRDefault="00B01F04" w:rsidP="00D86960">
            <w:pPr>
              <w:spacing w:line="240" w:lineRule="exact"/>
              <w:jc w:val="center"/>
              <w:rPr>
                <w:rFonts w:eastAsia="Times New Roman" w:cs="Arial"/>
                <w:b/>
                <w:bCs/>
                <w:color w:val="000000"/>
                <w:sz w:val="16"/>
                <w:szCs w:val="16"/>
                <w:lang w:eastAsia="es-ES"/>
              </w:rPr>
            </w:pPr>
            <w:r w:rsidRPr="00736A1A">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736A1A">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sidRPr="00736A1A">
              <w:rPr>
                <w:rFonts w:eastAsia="Times New Roman" w:cs="Arial"/>
                <w:b/>
                <w:bCs/>
                <w:color w:val="000000"/>
                <w:sz w:val="16"/>
                <w:szCs w:val="16"/>
                <w:lang w:eastAsia="es-ES"/>
              </w:rPr>
              <w:t>.</w:t>
            </w:r>
          </w:p>
        </w:tc>
        <w:tc>
          <w:tcPr>
            <w:tcW w:w="1350" w:type="dxa"/>
            <w:tcBorders>
              <w:top w:val="nil"/>
              <w:left w:val="nil"/>
              <w:bottom w:val="single" w:sz="8" w:space="0" w:color="BFBFBF"/>
              <w:right w:val="nil"/>
            </w:tcBorders>
            <w:shd w:val="clear" w:color="000000" w:fill="DBE5F1"/>
            <w:hideMark/>
          </w:tcPr>
          <w:p w:rsidR="00B01F04" w:rsidRPr="00736A1A"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1351" w:type="dxa"/>
            <w:tcBorders>
              <w:top w:val="nil"/>
              <w:left w:val="single" w:sz="8" w:space="0" w:color="BFBFBF"/>
              <w:bottom w:val="single" w:sz="8" w:space="0" w:color="BFBFBF"/>
            </w:tcBorders>
            <w:shd w:val="clear" w:color="000000" w:fill="DBE5F1"/>
            <w:hideMark/>
          </w:tcPr>
          <w:p w:rsidR="00B01F04" w:rsidRPr="00736A1A" w:rsidRDefault="00B01F04" w:rsidP="00D86960">
            <w:pPr>
              <w:spacing w:line="240" w:lineRule="exact"/>
              <w:jc w:val="center"/>
              <w:rPr>
                <w:rFonts w:eastAsia="Times New Roman" w:cs="Arial"/>
                <w:b/>
                <w:bCs/>
                <w:color w:val="000000"/>
                <w:sz w:val="16"/>
                <w:szCs w:val="16"/>
                <w:lang w:eastAsia="es-ES"/>
              </w:rPr>
            </w:pPr>
            <w:r w:rsidRPr="00736A1A">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736A1A">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sidRPr="00736A1A">
              <w:rPr>
                <w:rFonts w:eastAsia="Times New Roman" w:cs="Arial"/>
                <w:b/>
                <w:bCs/>
                <w:color w:val="000000"/>
                <w:sz w:val="16"/>
                <w:szCs w:val="16"/>
                <w:lang w:eastAsia="es-ES"/>
              </w:rPr>
              <w:t>.</w:t>
            </w:r>
          </w:p>
        </w:tc>
      </w:tr>
      <w:tr w:rsidR="00B01F04" w:rsidRPr="00AB3187" w:rsidTr="00D86960">
        <w:trPr>
          <w:jc w:val="center"/>
        </w:trPr>
        <w:tc>
          <w:tcPr>
            <w:tcW w:w="4404"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1417"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5.675</w:t>
            </w:r>
          </w:p>
        </w:tc>
        <w:tc>
          <w:tcPr>
            <w:tcW w:w="141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52,9</w:t>
            </w:r>
          </w:p>
        </w:tc>
        <w:tc>
          <w:tcPr>
            <w:tcW w:w="135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5.055</w:t>
            </w:r>
          </w:p>
        </w:tc>
        <w:tc>
          <w:tcPr>
            <w:tcW w:w="1351" w:type="dxa"/>
            <w:tcBorders>
              <w:top w:val="nil"/>
              <w:left w:val="nil"/>
              <w:bottom w:val="nil"/>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47,1</w:t>
            </w:r>
          </w:p>
        </w:tc>
      </w:tr>
      <w:tr w:rsidR="00B01F04" w:rsidRPr="00AB3187" w:rsidTr="00D86960">
        <w:trPr>
          <w:jc w:val="center"/>
        </w:trPr>
        <w:tc>
          <w:tcPr>
            <w:tcW w:w="4404"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1417"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40</w:t>
            </w:r>
          </w:p>
        </w:tc>
        <w:tc>
          <w:tcPr>
            <w:tcW w:w="141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40,8</w:t>
            </w:r>
          </w:p>
        </w:tc>
        <w:tc>
          <w:tcPr>
            <w:tcW w:w="135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58</w:t>
            </w:r>
          </w:p>
        </w:tc>
        <w:tc>
          <w:tcPr>
            <w:tcW w:w="1351" w:type="dxa"/>
            <w:tcBorders>
              <w:top w:val="nil"/>
              <w:left w:val="nil"/>
              <w:bottom w:val="nil"/>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59,2</w:t>
            </w:r>
          </w:p>
        </w:tc>
      </w:tr>
      <w:tr w:rsidR="00B01F04" w:rsidRPr="00AB3187" w:rsidTr="00D86960">
        <w:trPr>
          <w:jc w:val="center"/>
        </w:trPr>
        <w:tc>
          <w:tcPr>
            <w:tcW w:w="4404"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1417"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4.254</w:t>
            </w:r>
          </w:p>
        </w:tc>
        <w:tc>
          <w:tcPr>
            <w:tcW w:w="141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53,8</w:t>
            </w:r>
          </w:p>
        </w:tc>
        <w:tc>
          <w:tcPr>
            <w:tcW w:w="135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3.647</w:t>
            </w:r>
          </w:p>
        </w:tc>
        <w:tc>
          <w:tcPr>
            <w:tcW w:w="1351" w:type="dxa"/>
            <w:tcBorders>
              <w:top w:val="nil"/>
              <w:left w:val="nil"/>
              <w:bottom w:val="nil"/>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46,2</w:t>
            </w:r>
          </w:p>
        </w:tc>
      </w:tr>
      <w:tr w:rsidR="00B01F04" w:rsidRPr="00AB3187" w:rsidTr="00D86960">
        <w:trPr>
          <w:jc w:val="center"/>
        </w:trPr>
        <w:tc>
          <w:tcPr>
            <w:tcW w:w="4404"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1417"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64</w:t>
            </w:r>
          </w:p>
        </w:tc>
        <w:tc>
          <w:tcPr>
            <w:tcW w:w="141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52,0</w:t>
            </w:r>
          </w:p>
        </w:tc>
        <w:tc>
          <w:tcPr>
            <w:tcW w:w="135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59</w:t>
            </w:r>
          </w:p>
        </w:tc>
        <w:tc>
          <w:tcPr>
            <w:tcW w:w="1351" w:type="dxa"/>
            <w:tcBorders>
              <w:top w:val="nil"/>
              <w:left w:val="nil"/>
              <w:bottom w:val="nil"/>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48,0</w:t>
            </w:r>
          </w:p>
        </w:tc>
      </w:tr>
      <w:tr w:rsidR="00B01F04" w:rsidRPr="00AB3187" w:rsidTr="00D86960">
        <w:trPr>
          <w:jc w:val="center"/>
        </w:trPr>
        <w:tc>
          <w:tcPr>
            <w:tcW w:w="4404"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1417"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12</w:t>
            </w:r>
          </w:p>
        </w:tc>
        <w:tc>
          <w:tcPr>
            <w:tcW w:w="141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23,1</w:t>
            </w:r>
          </w:p>
        </w:tc>
        <w:tc>
          <w:tcPr>
            <w:tcW w:w="135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40</w:t>
            </w:r>
          </w:p>
        </w:tc>
        <w:tc>
          <w:tcPr>
            <w:tcW w:w="1351" w:type="dxa"/>
            <w:tcBorders>
              <w:top w:val="nil"/>
              <w:left w:val="nil"/>
              <w:bottom w:val="nil"/>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76,9</w:t>
            </w:r>
          </w:p>
        </w:tc>
      </w:tr>
      <w:tr w:rsidR="00B01F04" w:rsidRPr="00AB3187" w:rsidTr="00D86960">
        <w:trPr>
          <w:jc w:val="center"/>
        </w:trPr>
        <w:tc>
          <w:tcPr>
            <w:tcW w:w="4404"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1417"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20</w:t>
            </w:r>
          </w:p>
        </w:tc>
        <w:tc>
          <w:tcPr>
            <w:tcW w:w="141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43,5</w:t>
            </w:r>
          </w:p>
        </w:tc>
        <w:tc>
          <w:tcPr>
            <w:tcW w:w="135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27</w:t>
            </w:r>
          </w:p>
        </w:tc>
        <w:tc>
          <w:tcPr>
            <w:tcW w:w="1351" w:type="dxa"/>
            <w:tcBorders>
              <w:top w:val="nil"/>
              <w:left w:val="nil"/>
              <w:bottom w:val="nil"/>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r w:rsidRPr="00AB3187">
              <w:rPr>
                <w:rFonts w:eastAsia="Times New Roman" w:cs="Arial"/>
                <w:color w:val="000000"/>
                <w:sz w:val="16"/>
                <w:szCs w:val="16"/>
                <w:lang w:eastAsia="es-ES"/>
              </w:rPr>
              <w:t>58,7</w:t>
            </w:r>
          </w:p>
        </w:tc>
      </w:tr>
      <w:tr w:rsidR="00B01F04" w:rsidRPr="00AB3187" w:rsidTr="00D86960">
        <w:trPr>
          <w:jc w:val="center"/>
        </w:trPr>
        <w:tc>
          <w:tcPr>
            <w:tcW w:w="4404"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7.EPSVs</w:t>
            </w:r>
          </w:p>
        </w:tc>
        <w:tc>
          <w:tcPr>
            <w:tcW w:w="1417"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418"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350"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351" w:type="dxa"/>
            <w:tcBorders>
              <w:top w:val="nil"/>
              <w:left w:val="nil"/>
              <w:bottom w:val="single" w:sz="4" w:space="0" w:color="BFBFBF" w:themeColor="background1" w:themeShade="BF"/>
            </w:tcBorders>
            <w:shd w:val="clear" w:color="auto" w:fill="auto"/>
            <w:hideMark/>
          </w:tcPr>
          <w:p w:rsidR="00B01F04" w:rsidRPr="00AB3187" w:rsidRDefault="00B01F04" w:rsidP="00D86960">
            <w:pPr>
              <w:spacing w:line="240" w:lineRule="exact"/>
              <w:ind w:right="213"/>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r>
      <w:tr w:rsidR="00B01F04" w:rsidRPr="00AB3187" w:rsidTr="00D86960">
        <w:trPr>
          <w:jc w:val="center"/>
        </w:trPr>
        <w:tc>
          <w:tcPr>
            <w:tcW w:w="4404" w:type="dxa"/>
            <w:tcBorders>
              <w:top w:val="single" w:sz="4" w:space="0" w:color="BFBFBF" w:themeColor="background1" w:themeShade="BF"/>
              <w:left w:val="nil"/>
              <w:bottom w:val="single" w:sz="8" w:space="0" w:color="BFBFBF"/>
              <w:right w:val="single" w:sz="8" w:space="0" w:color="BFBFBF"/>
            </w:tcBorders>
            <w:shd w:val="clear" w:color="auto" w:fill="auto"/>
            <w:hideMark/>
          </w:tcPr>
          <w:p w:rsidR="00B01F04" w:rsidRPr="00AB3187" w:rsidRDefault="00B01F04" w:rsidP="00D86960">
            <w:pPr>
              <w:spacing w:line="240" w:lineRule="exact"/>
              <w:rPr>
                <w:rFonts w:eastAsia="Times New Roman" w:cs="Arial"/>
                <w:b/>
                <w:bCs/>
                <w:color w:val="000000"/>
                <w:sz w:val="16"/>
                <w:szCs w:val="16"/>
                <w:lang w:eastAsia="es-ES"/>
              </w:rPr>
            </w:pPr>
            <w:r w:rsidRPr="00AB3187">
              <w:rPr>
                <w:rFonts w:eastAsia="Times New Roman" w:cs="Arial"/>
                <w:b/>
                <w:bCs/>
                <w:color w:val="000000"/>
                <w:sz w:val="16"/>
                <w:szCs w:val="16"/>
                <w:lang w:eastAsia="es-ES"/>
              </w:rPr>
              <w:t xml:space="preserve">TOTAL </w:t>
            </w:r>
          </w:p>
        </w:tc>
        <w:tc>
          <w:tcPr>
            <w:tcW w:w="1417" w:type="dxa"/>
            <w:tcBorders>
              <w:top w:val="single" w:sz="4" w:space="0" w:color="BFBFBF" w:themeColor="background1" w:themeShade="BF"/>
              <w:left w:val="nil"/>
              <w:bottom w:val="single" w:sz="8" w:space="0" w:color="BFBFBF"/>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10.065</w:t>
            </w:r>
          </w:p>
        </w:tc>
        <w:tc>
          <w:tcPr>
            <w:tcW w:w="1418" w:type="dxa"/>
            <w:tcBorders>
              <w:top w:val="single" w:sz="4" w:space="0" w:color="BFBFBF" w:themeColor="background1" w:themeShade="BF"/>
              <w:left w:val="nil"/>
              <w:bottom w:val="single" w:sz="8" w:space="0" w:color="BFBFBF"/>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53,1</w:t>
            </w:r>
          </w:p>
        </w:tc>
        <w:tc>
          <w:tcPr>
            <w:tcW w:w="1350" w:type="dxa"/>
            <w:tcBorders>
              <w:top w:val="single" w:sz="4" w:space="0" w:color="BFBFBF" w:themeColor="background1" w:themeShade="BF"/>
              <w:left w:val="nil"/>
              <w:bottom w:val="single" w:sz="8" w:space="0" w:color="BFBFBF"/>
              <w:right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8.886</w:t>
            </w:r>
          </w:p>
        </w:tc>
        <w:tc>
          <w:tcPr>
            <w:tcW w:w="1351" w:type="dxa"/>
            <w:tcBorders>
              <w:top w:val="single" w:sz="4" w:space="0" w:color="BFBFBF" w:themeColor="background1" w:themeShade="BF"/>
              <w:left w:val="nil"/>
              <w:bottom w:val="single" w:sz="8" w:space="0" w:color="BFBFBF"/>
            </w:tcBorders>
            <w:shd w:val="clear" w:color="auto" w:fill="auto"/>
            <w:hideMark/>
          </w:tcPr>
          <w:p w:rsidR="00B01F04" w:rsidRPr="00AB3187" w:rsidRDefault="00B01F04" w:rsidP="00D86960">
            <w:pPr>
              <w:spacing w:line="240" w:lineRule="exact"/>
              <w:ind w:right="213"/>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46,9</w:t>
            </w:r>
          </w:p>
        </w:tc>
      </w:tr>
    </w:tbl>
    <w:p w:rsidR="00B01F04" w:rsidRDefault="00B01F04" w:rsidP="00B01F04">
      <w:pPr>
        <w:widowControl w:val="0"/>
        <w:spacing w:line="240" w:lineRule="auto"/>
        <w:jc w:val="center"/>
        <w:rPr>
          <w:rFonts w:cs="Arial"/>
          <w:b/>
          <w:bCs/>
          <w:color w:val="1F497D" w:themeColor="text2"/>
          <w:sz w:val="18"/>
          <w:szCs w:val="18"/>
        </w:rPr>
      </w:pPr>
    </w:p>
    <w:p w:rsidR="00B01F04" w:rsidRPr="00537ABD" w:rsidRDefault="00A67658" w:rsidP="00B01F04">
      <w:pPr>
        <w:widowControl w:val="0"/>
        <w:spacing w:line="240" w:lineRule="auto"/>
        <w:jc w:val="center"/>
        <w:rPr>
          <w:rFonts w:cs="Arial"/>
          <w:b/>
          <w:bCs/>
          <w:color w:val="1F497D" w:themeColor="text2"/>
          <w:sz w:val="18"/>
          <w:szCs w:val="18"/>
        </w:rPr>
      </w:pPr>
      <w:bookmarkStart w:id="379" w:name="_Toc445381011"/>
      <w:bookmarkStart w:id="380" w:name="_Toc450120194"/>
      <w:r w:rsidRPr="00A67658">
        <w:rPr>
          <w:rFonts w:cs="Arial"/>
          <w:b/>
          <w:bCs/>
          <w:snapToGrid w:val="0"/>
          <w:color w:val="1F497D" w:themeColor="text2"/>
          <w:sz w:val="18"/>
          <w:szCs w:val="18"/>
          <w:lang w:val="es-ES_tradnl"/>
        </w:rPr>
        <w:t>Gráfico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Gráfico_4.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w:t>
      </w:r>
      <w:r w:rsidR="00771A61" w:rsidRPr="00A67658">
        <w:rPr>
          <w:rFonts w:cs="Arial"/>
          <w:b/>
          <w:bCs/>
          <w:snapToGrid w:val="0"/>
          <w:color w:val="1F497D" w:themeColor="text2"/>
          <w:sz w:val="18"/>
          <w:szCs w:val="18"/>
          <w:lang w:val="es-ES_tradnl"/>
        </w:rPr>
        <w:fldChar w:fldCharType="end"/>
      </w:r>
      <w:r w:rsidRPr="00A67658">
        <w:rPr>
          <w:rFonts w:cs="Arial"/>
          <w:b/>
          <w:bCs/>
          <w:snapToGrid w:val="0"/>
          <w:color w:val="1F497D" w:themeColor="text2"/>
          <w:sz w:val="18"/>
          <w:szCs w:val="18"/>
          <w:lang w:val="es-ES_tradnl"/>
        </w:rPr>
        <w:t xml:space="preserve"> </w:t>
      </w:r>
      <w:r w:rsidRPr="00A67658">
        <w:rPr>
          <w:rFonts w:cs="Arial"/>
          <w:b/>
          <w:snapToGrid w:val="0"/>
          <w:color w:val="1F497D" w:themeColor="text2"/>
          <w:sz w:val="18"/>
          <w:szCs w:val="18"/>
          <w:lang w:val="es-ES_tradnl"/>
        </w:rPr>
        <w:t xml:space="preserve"> </w:t>
      </w:r>
      <w:r w:rsidR="00537ABD" w:rsidRPr="00537ABD">
        <w:rPr>
          <w:rFonts w:cs="Arial"/>
          <w:b/>
          <w:bCs/>
          <w:snapToGrid w:val="0"/>
          <w:color w:val="1F497D" w:themeColor="text2"/>
          <w:sz w:val="18"/>
          <w:szCs w:val="18"/>
          <w:lang w:val="es-ES_tradnl"/>
        </w:rPr>
        <w:t xml:space="preserve"> </w:t>
      </w:r>
      <w:r w:rsidR="00B01F04" w:rsidRPr="00537ABD">
        <w:rPr>
          <w:rFonts w:cs="Arial"/>
          <w:b/>
          <w:bCs/>
          <w:color w:val="1F497D" w:themeColor="text2"/>
          <w:sz w:val="18"/>
          <w:szCs w:val="18"/>
        </w:rPr>
        <w:t xml:space="preserve"> DISTRIBUCIÓN DEL EMPLEO VOLUNTARIO –total personas- POR GÉNERO NFES 2014</w:t>
      </w:r>
      <w:bookmarkEnd w:id="379"/>
      <w:bookmarkEnd w:id="380"/>
    </w:p>
    <w:p w:rsidR="00B01F04" w:rsidRDefault="00B01F04" w:rsidP="00B01F04">
      <w:pPr>
        <w:widowControl w:val="0"/>
        <w:spacing w:line="240" w:lineRule="auto"/>
        <w:jc w:val="center"/>
        <w:rPr>
          <w:rFonts w:cs="Arial"/>
          <w:b/>
          <w:bCs/>
          <w:color w:val="1F497D" w:themeColor="text2"/>
          <w:sz w:val="18"/>
          <w:szCs w:val="18"/>
        </w:rPr>
      </w:pPr>
      <w:r>
        <w:rPr>
          <w:rFonts w:cs="Arial"/>
          <w:b/>
          <w:bCs/>
          <w:noProof/>
          <w:color w:val="1F497D" w:themeColor="text2"/>
          <w:sz w:val="18"/>
          <w:szCs w:val="18"/>
          <w:lang w:eastAsia="es-ES"/>
        </w:rPr>
        <w:drawing>
          <wp:anchor distT="0" distB="0" distL="114300" distR="114300" simplePos="0" relativeHeight="251830272" behindDoc="1" locked="0" layoutInCell="1" allowOverlap="1">
            <wp:simplePos x="0" y="0"/>
            <wp:positionH relativeFrom="column">
              <wp:posOffset>1167765</wp:posOffset>
            </wp:positionH>
            <wp:positionV relativeFrom="paragraph">
              <wp:posOffset>78740</wp:posOffset>
            </wp:positionV>
            <wp:extent cx="3114675" cy="2066925"/>
            <wp:effectExtent l="0" t="0" r="0" b="0"/>
            <wp:wrapNone/>
            <wp:docPr id="46"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snapToGrid w:val="0"/>
          <w:color w:val="1F497D" w:themeColor="text2"/>
          <w:sz w:val="18"/>
          <w:szCs w:val="18"/>
          <w:lang w:val="es-ES_tradnl"/>
        </w:rPr>
      </w:pPr>
    </w:p>
    <w:p w:rsidR="00B01F04" w:rsidRDefault="00B01F04" w:rsidP="00B01F04">
      <w:pPr>
        <w:widowControl w:val="0"/>
        <w:spacing w:line="240" w:lineRule="auto"/>
        <w:jc w:val="center"/>
        <w:rPr>
          <w:rFonts w:cs="Arial"/>
          <w:b/>
          <w:snapToGrid w:val="0"/>
          <w:color w:val="1F497D" w:themeColor="text2"/>
          <w:sz w:val="18"/>
          <w:szCs w:val="18"/>
          <w:lang w:val="es-ES_tradnl"/>
        </w:rPr>
      </w:pPr>
    </w:p>
    <w:p w:rsidR="00B01F04" w:rsidRDefault="00A67658" w:rsidP="00B01F04">
      <w:pPr>
        <w:widowControl w:val="0"/>
        <w:spacing w:line="240" w:lineRule="auto"/>
        <w:jc w:val="center"/>
        <w:rPr>
          <w:rFonts w:cs="Arial"/>
          <w:b/>
          <w:bCs/>
          <w:color w:val="1F497D" w:themeColor="text2"/>
          <w:sz w:val="18"/>
          <w:szCs w:val="18"/>
        </w:rPr>
      </w:pPr>
      <w:bookmarkStart w:id="381" w:name="_Toc445380983"/>
      <w:bookmarkStart w:id="382" w:name="_Toc450119835"/>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10</w:t>
      </w:r>
      <w:r w:rsidR="00771A61" w:rsidRPr="00A67658">
        <w:rPr>
          <w:rFonts w:cs="Arial"/>
          <w:b/>
          <w:bCs/>
          <w:snapToGrid w:val="0"/>
          <w:color w:val="1F497D" w:themeColor="text2"/>
          <w:sz w:val="18"/>
          <w:szCs w:val="18"/>
          <w:lang w:val="es-ES_tradnl"/>
        </w:rPr>
        <w:fldChar w:fldCharType="end"/>
      </w:r>
      <w:r>
        <w:rPr>
          <w:rFonts w:cs="Arial"/>
          <w:b/>
          <w:bCs/>
          <w:snapToGrid w:val="0"/>
          <w:color w:val="1F497D" w:themeColor="text2"/>
          <w:sz w:val="18"/>
          <w:szCs w:val="18"/>
          <w:lang w:val="es-ES_tradnl"/>
        </w:rPr>
        <w:t xml:space="preserve"> </w:t>
      </w:r>
      <w:r w:rsidR="00B01F04">
        <w:rPr>
          <w:rFonts w:cs="Arial"/>
          <w:b/>
          <w:bCs/>
          <w:color w:val="1F497D" w:themeColor="text2"/>
          <w:sz w:val="18"/>
          <w:szCs w:val="18"/>
        </w:rPr>
        <w:t>DISTRIBUCIÓN DEL EMPLEO VOLUNTARIO –total personas- POR TIPO DE RELACIÓN –estructural o puntual- Y POR TIPO DE ENTIDAD EN LAS NFES. 2014 (cifras absolutas y % verticales)</w:t>
      </w:r>
      <w:bookmarkEnd w:id="381"/>
      <w:bookmarkEnd w:id="382"/>
    </w:p>
    <w:tbl>
      <w:tblPr>
        <w:tblW w:w="9940" w:type="dxa"/>
        <w:jc w:val="center"/>
        <w:tblCellMar>
          <w:left w:w="70" w:type="dxa"/>
          <w:right w:w="70" w:type="dxa"/>
        </w:tblCellMar>
        <w:tblLook w:val="04A0" w:firstRow="1" w:lastRow="0" w:firstColumn="1" w:lastColumn="0" w:noHBand="0" w:noVBand="1"/>
      </w:tblPr>
      <w:tblGrid>
        <w:gridCol w:w="4120"/>
        <w:gridCol w:w="1488"/>
        <w:gridCol w:w="1489"/>
        <w:gridCol w:w="1421"/>
        <w:gridCol w:w="1422"/>
      </w:tblGrid>
      <w:tr w:rsidR="00B01F04" w:rsidRPr="003C5156" w:rsidTr="00D86960">
        <w:trPr>
          <w:jc w:val="center"/>
        </w:trPr>
        <w:tc>
          <w:tcPr>
            <w:tcW w:w="4120" w:type="dxa"/>
            <w:vMerge w:val="restart"/>
            <w:tcBorders>
              <w:top w:val="single" w:sz="4" w:space="0" w:color="BFBFBF" w:themeColor="background1" w:themeShade="BF"/>
              <w:left w:val="nil"/>
              <w:right w:val="single" w:sz="8" w:space="0" w:color="BFBFBF"/>
            </w:tcBorders>
            <w:shd w:val="clear" w:color="000000" w:fill="DBE5F1"/>
            <w:hideMark/>
          </w:tcPr>
          <w:p w:rsidR="00B01F04" w:rsidRPr="003C5156" w:rsidRDefault="00B01F04" w:rsidP="00D86960">
            <w:pPr>
              <w:spacing w:line="240" w:lineRule="exact"/>
              <w:rPr>
                <w:rFonts w:eastAsia="Times New Roman" w:cs="Arial"/>
                <w:b/>
                <w:bCs/>
                <w:color w:val="000000"/>
                <w:sz w:val="16"/>
                <w:szCs w:val="16"/>
                <w:lang w:eastAsia="es-ES"/>
              </w:rPr>
            </w:pPr>
            <w:r w:rsidRPr="003C5156">
              <w:rPr>
                <w:rFonts w:eastAsia="Times New Roman" w:cs="Arial"/>
                <w:b/>
                <w:bCs/>
                <w:color w:val="000000"/>
                <w:sz w:val="16"/>
                <w:szCs w:val="16"/>
                <w:lang w:eastAsia="es-ES"/>
              </w:rPr>
              <w:t> </w:t>
            </w:r>
          </w:p>
        </w:tc>
        <w:tc>
          <w:tcPr>
            <w:tcW w:w="2977" w:type="dxa"/>
            <w:gridSpan w:val="2"/>
            <w:tcBorders>
              <w:top w:val="single" w:sz="4" w:space="0" w:color="BFBFBF" w:themeColor="background1" w:themeShade="BF"/>
              <w:left w:val="nil"/>
              <w:bottom w:val="single" w:sz="8" w:space="0" w:color="BFBFBF"/>
              <w:right w:val="single" w:sz="8" w:space="0" w:color="BFBFBF"/>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sidRPr="003C5156">
              <w:rPr>
                <w:rFonts w:eastAsia="Times New Roman" w:cs="Arial"/>
                <w:b/>
                <w:bCs/>
                <w:color w:val="000000"/>
                <w:sz w:val="16"/>
                <w:szCs w:val="16"/>
                <w:lang w:eastAsia="es-ES"/>
              </w:rPr>
              <w:t xml:space="preserve">Personal voluntario </w:t>
            </w:r>
          </w:p>
          <w:p w:rsidR="00B01F04" w:rsidRPr="003C5156" w:rsidRDefault="00B01F04" w:rsidP="00D86960">
            <w:pPr>
              <w:spacing w:line="240" w:lineRule="exact"/>
              <w:jc w:val="center"/>
              <w:rPr>
                <w:rFonts w:eastAsia="Times New Roman" w:cs="Arial"/>
                <w:b/>
                <w:bCs/>
                <w:color w:val="000000"/>
                <w:sz w:val="16"/>
                <w:szCs w:val="16"/>
                <w:lang w:eastAsia="es-ES"/>
              </w:rPr>
            </w:pPr>
            <w:r w:rsidRPr="003C5156">
              <w:rPr>
                <w:rFonts w:eastAsia="Times New Roman" w:cs="Arial"/>
                <w:b/>
                <w:bCs/>
                <w:color w:val="000000"/>
                <w:sz w:val="16"/>
                <w:szCs w:val="16"/>
                <w:lang w:eastAsia="es-ES"/>
              </w:rPr>
              <w:t>estructural</w:t>
            </w:r>
          </w:p>
        </w:tc>
        <w:tc>
          <w:tcPr>
            <w:tcW w:w="2843" w:type="dxa"/>
            <w:gridSpan w:val="2"/>
            <w:tcBorders>
              <w:top w:val="single" w:sz="4" w:space="0" w:color="BFBFBF" w:themeColor="background1" w:themeShade="BF"/>
              <w:left w:val="nil"/>
              <w:bottom w:val="single" w:sz="8" w:space="0" w:color="BFBFBF"/>
              <w:right w:val="nil"/>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sidRPr="003C5156">
              <w:rPr>
                <w:rFonts w:eastAsia="Times New Roman" w:cs="Arial"/>
                <w:b/>
                <w:bCs/>
                <w:color w:val="000000"/>
                <w:sz w:val="16"/>
                <w:szCs w:val="16"/>
                <w:lang w:eastAsia="es-ES"/>
              </w:rPr>
              <w:t xml:space="preserve">Personal voluntario </w:t>
            </w:r>
          </w:p>
          <w:p w:rsidR="00B01F04" w:rsidRPr="003C5156" w:rsidRDefault="00B01F04" w:rsidP="00D86960">
            <w:pPr>
              <w:spacing w:line="240" w:lineRule="exact"/>
              <w:jc w:val="center"/>
              <w:rPr>
                <w:rFonts w:eastAsia="Times New Roman" w:cs="Arial"/>
                <w:b/>
                <w:bCs/>
                <w:color w:val="000000"/>
                <w:sz w:val="16"/>
                <w:szCs w:val="16"/>
                <w:lang w:eastAsia="es-ES"/>
              </w:rPr>
            </w:pPr>
            <w:r w:rsidRPr="003C5156">
              <w:rPr>
                <w:rFonts w:eastAsia="Times New Roman" w:cs="Arial"/>
                <w:b/>
                <w:bCs/>
                <w:color w:val="000000"/>
                <w:sz w:val="16"/>
                <w:szCs w:val="16"/>
                <w:lang w:eastAsia="es-ES"/>
              </w:rPr>
              <w:t>puntual</w:t>
            </w:r>
          </w:p>
        </w:tc>
      </w:tr>
      <w:tr w:rsidR="00B01F04" w:rsidRPr="003C5156" w:rsidTr="00D86960">
        <w:trPr>
          <w:jc w:val="center"/>
        </w:trPr>
        <w:tc>
          <w:tcPr>
            <w:tcW w:w="4120" w:type="dxa"/>
            <w:vMerge/>
            <w:tcBorders>
              <w:left w:val="nil"/>
              <w:bottom w:val="single" w:sz="8" w:space="0" w:color="BFBFBF"/>
              <w:right w:val="single" w:sz="8" w:space="0" w:color="BFBFBF"/>
            </w:tcBorders>
            <w:shd w:val="clear" w:color="000000" w:fill="DBE5F1"/>
            <w:hideMark/>
          </w:tcPr>
          <w:p w:rsidR="00B01F04" w:rsidRPr="003C5156" w:rsidRDefault="00B01F04" w:rsidP="00D86960">
            <w:pPr>
              <w:spacing w:line="240" w:lineRule="exact"/>
              <w:rPr>
                <w:rFonts w:eastAsia="Times New Roman" w:cs="Arial"/>
                <w:b/>
                <w:bCs/>
                <w:color w:val="000000"/>
                <w:sz w:val="16"/>
                <w:szCs w:val="16"/>
                <w:lang w:eastAsia="es-ES"/>
              </w:rPr>
            </w:pPr>
          </w:p>
        </w:tc>
        <w:tc>
          <w:tcPr>
            <w:tcW w:w="1488" w:type="dxa"/>
            <w:tcBorders>
              <w:top w:val="nil"/>
              <w:left w:val="nil"/>
              <w:bottom w:val="single" w:sz="8" w:space="0" w:color="BFBFBF"/>
              <w:right w:val="single" w:sz="8" w:space="0" w:color="BFBFBF"/>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1489" w:type="dxa"/>
            <w:tcBorders>
              <w:top w:val="nil"/>
              <w:left w:val="nil"/>
              <w:bottom w:val="single" w:sz="8" w:space="0" w:color="BFBFBF"/>
              <w:right w:val="single" w:sz="8" w:space="0" w:color="BFBFBF"/>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sidRPr="003C5156">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3C5156">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sidRPr="003C5156">
              <w:rPr>
                <w:rFonts w:eastAsia="Times New Roman" w:cs="Arial"/>
                <w:b/>
                <w:bCs/>
                <w:color w:val="000000"/>
                <w:sz w:val="16"/>
                <w:szCs w:val="16"/>
                <w:lang w:eastAsia="es-ES"/>
              </w:rPr>
              <w:t>.</w:t>
            </w:r>
          </w:p>
        </w:tc>
        <w:tc>
          <w:tcPr>
            <w:tcW w:w="1421" w:type="dxa"/>
            <w:tcBorders>
              <w:top w:val="nil"/>
              <w:left w:val="nil"/>
              <w:bottom w:val="single" w:sz="8" w:space="0" w:color="BFBFBF"/>
              <w:right w:val="nil"/>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1422" w:type="dxa"/>
            <w:tcBorders>
              <w:top w:val="nil"/>
              <w:left w:val="single" w:sz="8" w:space="0" w:color="BFBFBF"/>
              <w:bottom w:val="single" w:sz="8" w:space="0" w:color="BFBFBF"/>
              <w:right w:val="nil"/>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sidRPr="003C5156">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3C5156">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sidRPr="003C5156">
              <w:rPr>
                <w:rFonts w:eastAsia="Times New Roman" w:cs="Arial"/>
                <w:b/>
                <w:bCs/>
                <w:color w:val="000000"/>
                <w:sz w:val="16"/>
                <w:szCs w:val="16"/>
                <w:lang w:eastAsia="es-ES"/>
              </w:rPr>
              <w:t>.</w:t>
            </w:r>
          </w:p>
        </w:tc>
      </w:tr>
      <w:tr w:rsidR="00B01F04" w:rsidRPr="003C5156" w:rsidTr="00D86960">
        <w:trPr>
          <w:jc w:val="center"/>
        </w:trPr>
        <w:tc>
          <w:tcPr>
            <w:tcW w:w="412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14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6.912</w:t>
            </w:r>
          </w:p>
        </w:tc>
        <w:tc>
          <w:tcPr>
            <w:tcW w:w="1489"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64,4</w:t>
            </w:r>
          </w:p>
        </w:tc>
        <w:tc>
          <w:tcPr>
            <w:tcW w:w="1421" w:type="dxa"/>
            <w:tcBorders>
              <w:top w:val="nil"/>
              <w:left w:val="nil"/>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3.818</w:t>
            </w:r>
          </w:p>
        </w:tc>
        <w:tc>
          <w:tcPr>
            <w:tcW w:w="1422" w:type="dxa"/>
            <w:tcBorders>
              <w:top w:val="nil"/>
              <w:left w:val="single" w:sz="8" w:space="0" w:color="BFBFBF"/>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35,6</w:t>
            </w:r>
          </w:p>
        </w:tc>
      </w:tr>
      <w:tr w:rsidR="00B01F04" w:rsidRPr="003C5156" w:rsidTr="00D86960">
        <w:trPr>
          <w:jc w:val="center"/>
        </w:trPr>
        <w:tc>
          <w:tcPr>
            <w:tcW w:w="412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14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90</w:t>
            </w:r>
          </w:p>
        </w:tc>
        <w:tc>
          <w:tcPr>
            <w:tcW w:w="1489"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91,8</w:t>
            </w:r>
          </w:p>
        </w:tc>
        <w:tc>
          <w:tcPr>
            <w:tcW w:w="1421" w:type="dxa"/>
            <w:tcBorders>
              <w:top w:val="nil"/>
              <w:left w:val="nil"/>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8</w:t>
            </w:r>
          </w:p>
        </w:tc>
        <w:tc>
          <w:tcPr>
            <w:tcW w:w="1422" w:type="dxa"/>
            <w:tcBorders>
              <w:top w:val="nil"/>
              <w:left w:val="single" w:sz="8" w:space="0" w:color="BFBFBF"/>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8,2</w:t>
            </w:r>
          </w:p>
        </w:tc>
      </w:tr>
      <w:tr w:rsidR="00B01F04" w:rsidRPr="003C5156" w:rsidTr="00D86960">
        <w:trPr>
          <w:jc w:val="center"/>
        </w:trPr>
        <w:tc>
          <w:tcPr>
            <w:tcW w:w="412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14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5.398</w:t>
            </w:r>
          </w:p>
        </w:tc>
        <w:tc>
          <w:tcPr>
            <w:tcW w:w="1489"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68,3</w:t>
            </w:r>
          </w:p>
        </w:tc>
        <w:tc>
          <w:tcPr>
            <w:tcW w:w="1421" w:type="dxa"/>
            <w:tcBorders>
              <w:top w:val="nil"/>
              <w:left w:val="nil"/>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2.502</w:t>
            </w:r>
          </w:p>
        </w:tc>
        <w:tc>
          <w:tcPr>
            <w:tcW w:w="1422" w:type="dxa"/>
            <w:tcBorders>
              <w:top w:val="nil"/>
              <w:left w:val="single" w:sz="8" w:space="0" w:color="BFBFBF"/>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31,7</w:t>
            </w:r>
          </w:p>
        </w:tc>
      </w:tr>
      <w:tr w:rsidR="00B01F04" w:rsidRPr="003C5156" w:rsidTr="00D86960">
        <w:trPr>
          <w:jc w:val="center"/>
        </w:trPr>
        <w:tc>
          <w:tcPr>
            <w:tcW w:w="412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14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2</w:t>
            </w:r>
          </w:p>
        </w:tc>
        <w:tc>
          <w:tcPr>
            <w:tcW w:w="1489"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1,6</w:t>
            </w:r>
          </w:p>
        </w:tc>
        <w:tc>
          <w:tcPr>
            <w:tcW w:w="1421" w:type="dxa"/>
            <w:tcBorders>
              <w:top w:val="nil"/>
              <w:left w:val="nil"/>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121</w:t>
            </w:r>
          </w:p>
        </w:tc>
        <w:tc>
          <w:tcPr>
            <w:tcW w:w="1422" w:type="dxa"/>
            <w:tcBorders>
              <w:top w:val="nil"/>
              <w:left w:val="single" w:sz="8" w:space="0" w:color="BFBFBF"/>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98,4</w:t>
            </w:r>
          </w:p>
        </w:tc>
      </w:tr>
      <w:tr w:rsidR="00B01F04" w:rsidRPr="003C5156" w:rsidTr="00D86960">
        <w:trPr>
          <w:jc w:val="center"/>
        </w:trPr>
        <w:tc>
          <w:tcPr>
            <w:tcW w:w="412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14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3</w:t>
            </w:r>
          </w:p>
        </w:tc>
        <w:tc>
          <w:tcPr>
            <w:tcW w:w="1489"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5,8</w:t>
            </w:r>
          </w:p>
        </w:tc>
        <w:tc>
          <w:tcPr>
            <w:tcW w:w="1421" w:type="dxa"/>
            <w:tcBorders>
              <w:top w:val="nil"/>
              <w:left w:val="nil"/>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49</w:t>
            </w:r>
          </w:p>
        </w:tc>
        <w:tc>
          <w:tcPr>
            <w:tcW w:w="1422" w:type="dxa"/>
            <w:tcBorders>
              <w:top w:val="nil"/>
              <w:left w:val="single" w:sz="8" w:space="0" w:color="BFBFBF"/>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94,2</w:t>
            </w:r>
          </w:p>
        </w:tc>
      </w:tr>
      <w:tr w:rsidR="00B01F04" w:rsidRPr="003C5156" w:rsidTr="00D86960">
        <w:trPr>
          <w:jc w:val="center"/>
        </w:trPr>
        <w:tc>
          <w:tcPr>
            <w:tcW w:w="4120"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14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0</w:t>
            </w:r>
          </w:p>
        </w:tc>
        <w:tc>
          <w:tcPr>
            <w:tcW w:w="1489"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0</w:t>
            </w:r>
          </w:p>
        </w:tc>
        <w:tc>
          <w:tcPr>
            <w:tcW w:w="1421" w:type="dxa"/>
            <w:tcBorders>
              <w:top w:val="nil"/>
              <w:left w:val="nil"/>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46</w:t>
            </w:r>
          </w:p>
        </w:tc>
        <w:tc>
          <w:tcPr>
            <w:tcW w:w="1422" w:type="dxa"/>
            <w:tcBorders>
              <w:top w:val="nil"/>
              <w:left w:val="single" w:sz="8" w:space="0" w:color="BFBFBF"/>
              <w:bottom w:val="nil"/>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r w:rsidRPr="00AB3187">
              <w:rPr>
                <w:rFonts w:eastAsia="Times New Roman" w:cs="Arial"/>
                <w:color w:val="000000"/>
                <w:sz w:val="16"/>
                <w:szCs w:val="16"/>
                <w:lang w:eastAsia="es-ES"/>
              </w:rPr>
              <w:t>100</w:t>
            </w:r>
            <w:r w:rsidR="007F441F">
              <w:rPr>
                <w:rFonts w:eastAsia="Times New Roman" w:cs="Arial"/>
                <w:color w:val="000000"/>
                <w:sz w:val="16"/>
                <w:szCs w:val="16"/>
                <w:lang w:eastAsia="es-ES"/>
              </w:rPr>
              <w:t>,0</w:t>
            </w:r>
          </w:p>
        </w:tc>
      </w:tr>
      <w:tr w:rsidR="00B01F04" w:rsidRPr="003C5156" w:rsidTr="00D86960">
        <w:trPr>
          <w:jc w:val="center"/>
        </w:trPr>
        <w:tc>
          <w:tcPr>
            <w:tcW w:w="4120"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7.EPSVs</w:t>
            </w:r>
          </w:p>
        </w:tc>
        <w:tc>
          <w:tcPr>
            <w:tcW w:w="1488"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489"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421" w:type="dxa"/>
            <w:tcBorders>
              <w:top w:val="nil"/>
              <w:left w:val="nil"/>
              <w:bottom w:val="single" w:sz="4" w:space="0" w:color="BFBFBF" w:themeColor="background1" w:themeShade="BF"/>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c>
          <w:tcPr>
            <w:tcW w:w="1422" w:type="dxa"/>
            <w:tcBorders>
              <w:top w:val="nil"/>
              <w:left w:val="single" w:sz="8" w:space="0" w:color="BFBFBF"/>
              <w:bottom w:val="single" w:sz="4" w:space="0" w:color="BFBFBF" w:themeColor="background1" w:themeShade="BF"/>
              <w:right w:val="nil"/>
            </w:tcBorders>
            <w:shd w:val="clear" w:color="auto" w:fill="auto"/>
            <w:hideMark/>
          </w:tcPr>
          <w:p w:rsidR="00B01F04" w:rsidRPr="00AB3187" w:rsidRDefault="00B01F04" w:rsidP="00D86960">
            <w:pPr>
              <w:spacing w:line="240" w:lineRule="exact"/>
              <w:ind w:right="142"/>
              <w:jc w:val="right"/>
              <w:rPr>
                <w:rFonts w:eastAsia="Times New Roman" w:cs="Arial"/>
                <w:color w:val="000000"/>
                <w:sz w:val="16"/>
                <w:szCs w:val="16"/>
                <w:lang w:eastAsia="es-ES"/>
              </w:rPr>
            </w:pPr>
            <w:proofErr w:type="spellStart"/>
            <w:r w:rsidRPr="00AB3187">
              <w:rPr>
                <w:rFonts w:eastAsia="Times New Roman" w:cs="Arial"/>
                <w:color w:val="000000"/>
                <w:sz w:val="16"/>
                <w:szCs w:val="16"/>
                <w:lang w:eastAsia="es-ES"/>
              </w:rPr>
              <w:t>n.d</w:t>
            </w:r>
            <w:proofErr w:type="spellEnd"/>
            <w:r w:rsidRPr="00AB3187">
              <w:rPr>
                <w:rFonts w:eastAsia="Times New Roman" w:cs="Arial"/>
                <w:color w:val="000000"/>
                <w:sz w:val="16"/>
                <w:szCs w:val="16"/>
                <w:lang w:eastAsia="es-ES"/>
              </w:rPr>
              <w:t>.</w:t>
            </w:r>
          </w:p>
        </w:tc>
      </w:tr>
      <w:tr w:rsidR="00B01F04" w:rsidRPr="003C5156" w:rsidTr="00D86960">
        <w:trPr>
          <w:jc w:val="center"/>
        </w:trPr>
        <w:tc>
          <w:tcPr>
            <w:tcW w:w="4120" w:type="dxa"/>
            <w:tcBorders>
              <w:top w:val="single" w:sz="4" w:space="0" w:color="BFBFBF" w:themeColor="background1" w:themeShade="BF"/>
              <w:left w:val="nil"/>
              <w:bottom w:val="single" w:sz="8" w:space="0" w:color="BFBFBF"/>
              <w:right w:val="single" w:sz="8" w:space="0" w:color="BFBFBF"/>
            </w:tcBorders>
            <w:shd w:val="clear" w:color="auto" w:fill="auto"/>
            <w:hideMark/>
          </w:tcPr>
          <w:p w:rsidR="00B01F04" w:rsidRPr="00AB3187" w:rsidRDefault="00B01F04" w:rsidP="00D86960">
            <w:pPr>
              <w:spacing w:line="240" w:lineRule="exact"/>
              <w:rPr>
                <w:rFonts w:eastAsia="Times New Roman" w:cs="Arial"/>
                <w:b/>
                <w:bCs/>
                <w:color w:val="000000"/>
                <w:sz w:val="16"/>
                <w:szCs w:val="16"/>
                <w:lang w:eastAsia="es-ES"/>
              </w:rPr>
            </w:pPr>
            <w:r w:rsidRPr="00AB3187">
              <w:rPr>
                <w:rFonts w:eastAsia="Times New Roman" w:cs="Arial"/>
                <w:b/>
                <w:bCs/>
                <w:color w:val="000000"/>
                <w:sz w:val="16"/>
                <w:szCs w:val="16"/>
                <w:lang w:eastAsia="es-ES"/>
              </w:rPr>
              <w:t xml:space="preserve">TOTAL </w:t>
            </w:r>
          </w:p>
        </w:tc>
        <w:tc>
          <w:tcPr>
            <w:tcW w:w="1488" w:type="dxa"/>
            <w:tcBorders>
              <w:top w:val="single" w:sz="4" w:space="0" w:color="BFBFBF" w:themeColor="background1" w:themeShade="BF"/>
              <w:left w:val="nil"/>
              <w:bottom w:val="single" w:sz="8" w:space="0" w:color="BFBFBF"/>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12.405</w:t>
            </w:r>
          </w:p>
        </w:tc>
        <w:tc>
          <w:tcPr>
            <w:tcW w:w="1489" w:type="dxa"/>
            <w:tcBorders>
              <w:top w:val="single" w:sz="4" w:space="0" w:color="BFBFBF" w:themeColor="background1" w:themeShade="BF"/>
              <w:left w:val="nil"/>
              <w:bottom w:val="single" w:sz="8" w:space="0" w:color="BFBFBF"/>
              <w:right w:val="single" w:sz="8" w:space="0" w:color="BFBFBF"/>
            </w:tcBorders>
            <w:shd w:val="clear" w:color="auto" w:fill="auto"/>
            <w:hideMark/>
          </w:tcPr>
          <w:p w:rsidR="00B01F04" w:rsidRPr="00AB3187" w:rsidRDefault="00B01F04" w:rsidP="00D86960">
            <w:pPr>
              <w:spacing w:line="240" w:lineRule="exact"/>
              <w:ind w:right="142"/>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65,5</w:t>
            </w:r>
          </w:p>
        </w:tc>
        <w:tc>
          <w:tcPr>
            <w:tcW w:w="1421" w:type="dxa"/>
            <w:tcBorders>
              <w:top w:val="single" w:sz="4" w:space="0" w:color="BFBFBF" w:themeColor="background1" w:themeShade="BF"/>
              <w:left w:val="nil"/>
              <w:bottom w:val="single" w:sz="8" w:space="0" w:color="BFBFBF"/>
              <w:right w:val="nil"/>
            </w:tcBorders>
            <w:shd w:val="clear" w:color="auto" w:fill="auto"/>
            <w:hideMark/>
          </w:tcPr>
          <w:p w:rsidR="00B01F04" w:rsidRPr="00AB3187" w:rsidRDefault="00B01F04" w:rsidP="00D86960">
            <w:pPr>
              <w:spacing w:line="240" w:lineRule="exact"/>
              <w:ind w:right="142"/>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6.544</w:t>
            </w:r>
          </w:p>
        </w:tc>
        <w:tc>
          <w:tcPr>
            <w:tcW w:w="1422" w:type="dxa"/>
            <w:tcBorders>
              <w:top w:val="single" w:sz="4" w:space="0" w:color="BFBFBF" w:themeColor="background1" w:themeShade="BF"/>
              <w:left w:val="single" w:sz="8" w:space="0" w:color="BFBFBF"/>
              <w:bottom w:val="single" w:sz="8" w:space="0" w:color="BFBFBF"/>
              <w:right w:val="nil"/>
            </w:tcBorders>
            <w:shd w:val="clear" w:color="auto" w:fill="auto"/>
            <w:hideMark/>
          </w:tcPr>
          <w:p w:rsidR="00B01F04" w:rsidRPr="00AB3187" w:rsidRDefault="00B01F04" w:rsidP="00D86960">
            <w:pPr>
              <w:spacing w:line="240" w:lineRule="exact"/>
              <w:ind w:right="142"/>
              <w:jc w:val="right"/>
              <w:rPr>
                <w:rFonts w:eastAsia="Times New Roman" w:cs="Arial"/>
                <w:b/>
                <w:bCs/>
                <w:color w:val="000000"/>
                <w:sz w:val="16"/>
                <w:szCs w:val="16"/>
                <w:lang w:eastAsia="es-ES"/>
              </w:rPr>
            </w:pPr>
            <w:r w:rsidRPr="00AB3187">
              <w:rPr>
                <w:rFonts w:eastAsia="Times New Roman" w:cs="Arial"/>
                <w:b/>
                <w:bCs/>
                <w:color w:val="000000"/>
                <w:sz w:val="16"/>
                <w:szCs w:val="16"/>
                <w:lang w:eastAsia="es-ES"/>
              </w:rPr>
              <w:t>34,5</w:t>
            </w:r>
          </w:p>
        </w:tc>
      </w:tr>
    </w:tbl>
    <w:p w:rsidR="00B01F04" w:rsidRDefault="00B01F04" w:rsidP="00B01F04">
      <w:pPr>
        <w:widowControl w:val="0"/>
      </w:pPr>
    </w:p>
    <w:p w:rsidR="00B01F04" w:rsidRDefault="00A67658" w:rsidP="00B01F04">
      <w:pPr>
        <w:widowControl w:val="0"/>
        <w:spacing w:line="240" w:lineRule="auto"/>
        <w:jc w:val="center"/>
        <w:rPr>
          <w:rFonts w:cs="Arial"/>
          <w:b/>
          <w:bCs/>
          <w:color w:val="1F497D" w:themeColor="text2"/>
          <w:sz w:val="18"/>
          <w:szCs w:val="18"/>
        </w:rPr>
      </w:pPr>
      <w:bookmarkStart w:id="383" w:name="_Toc445381012"/>
      <w:bookmarkStart w:id="384" w:name="_Toc450120195"/>
      <w:r w:rsidRPr="00A67658">
        <w:rPr>
          <w:rFonts w:cs="Arial"/>
          <w:b/>
          <w:bCs/>
          <w:snapToGrid w:val="0"/>
          <w:color w:val="1F497D" w:themeColor="text2"/>
          <w:sz w:val="18"/>
          <w:szCs w:val="18"/>
          <w:lang w:val="es-ES_tradnl"/>
        </w:rPr>
        <w:t>Gráfico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Gráfico_4.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4</w:t>
      </w:r>
      <w:r w:rsidR="00771A61" w:rsidRPr="00A67658">
        <w:rPr>
          <w:rFonts w:cs="Arial"/>
          <w:b/>
          <w:bCs/>
          <w:snapToGrid w:val="0"/>
          <w:color w:val="1F497D" w:themeColor="text2"/>
          <w:sz w:val="18"/>
          <w:szCs w:val="18"/>
          <w:lang w:val="es-ES_tradnl"/>
        </w:rPr>
        <w:fldChar w:fldCharType="end"/>
      </w:r>
      <w:r w:rsidRPr="00A67658">
        <w:rPr>
          <w:rFonts w:cs="Arial"/>
          <w:b/>
          <w:bCs/>
          <w:snapToGrid w:val="0"/>
          <w:color w:val="1F497D" w:themeColor="text2"/>
          <w:sz w:val="18"/>
          <w:szCs w:val="18"/>
          <w:lang w:val="es-ES_tradnl"/>
        </w:rPr>
        <w:t xml:space="preserve"> </w:t>
      </w:r>
      <w:r w:rsidRPr="00A67658">
        <w:rPr>
          <w:rFonts w:cs="Arial"/>
          <w:b/>
          <w:snapToGrid w:val="0"/>
          <w:color w:val="1F497D" w:themeColor="text2"/>
          <w:sz w:val="18"/>
          <w:szCs w:val="18"/>
          <w:lang w:val="es-ES_tradnl"/>
        </w:rPr>
        <w:t xml:space="preserve"> </w:t>
      </w:r>
      <w:r w:rsidR="00537ABD" w:rsidRPr="00537ABD">
        <w:rPr>
          <w:rFonts w:cs="Arial"/>
          <w:b/>
          <w:bCs/>
          <w:snapToGrid w:val="0"/>
          <w:color w:val="1F497D" w:themeColor="text2"/>
          <w:sz w:val="18"/>
          <w:szCs w:val="18"/>
          <w:lang w:val="es-ES_tradnl"/>
        </w:rPr>
        <w:t xml:space="preserve"> </w:t>
      </w:r>
      <w:r w:rsidR="00B01F04" w:rsidRPr="00537ABD">
        <w:rPr>
          <w:rFonts w:cs="Arial"/>
          <w:b/>
          <w:bCs/>
          <w:color w:val="1F497D" w:themeColor="text2"/>
          <w:sz w:val="18"/>
          <w:szCs w:val="18"/>
        </w:rPr>
        <w:t xml:space="preserve"> DISTRIBUCIÓN DEL EMPLEO VOLUNTARIO –total personas- POR TIPO DE RELACIÓN –</w:t>
      </w:r>
      <w:r w:rsidR="00B01F04">
        <w:rPr>
          <w:rFonts w:cs="Arial"/>
          <w:b/>
          <w:bCs/>
          <w:color w:val="1F497D" w:themeColor="text2"/>
          <w:sz w:val="18"/>
          <w:szCs w:val="18"/>
        </w:rPr>
        <w:t>estructural o puntual- NFES 2014</w:t>
      </w:r>
      <w:bookmarkEnd w:id="383"/>
      <w:bookmarkEnd w:id="384"/>
    </w:p>
    <w:p w:rsidR="00B01F04" w:rsidRDefault="00B01F04" w:rsidP="00B01F04">
      <w:pPr>
        <w:widowControl w:val="0"/>
        <w:spacing w:line="240" w:lineRule="auto"/>
        <w:jc w:val="center"/>
        <w:rPr>
          <w:rFonts w:cs="Arial"/>
          <w:b/>
          <w:bCs/>
          <w:color w:val="1F497D" w:themeColor="text2"/>
          <w:sz w:val="18"/>
          <w:szCs w:val="18"/>
        </w:rPr>
      </w:pPr>
      <w:r>
        <w:rPr>
          <w:rFonts w:cs="Arial"/>
          <w:b/>
          <w:bCs/>
          <w:noProof/>
          <w:color w:val="1F497D" w:themeColor="text2"/>
          <w:sz w:val="18"/>
          <w:szCs w:val="18"/>
          <w:lang w:eastAsia="es-ES"/>
        </w:rPr>
        <w:drawing>
          <wp:anchor distT="0" distB="0" distL="114300" distR="114300" simplePos="0" relativeHeight="251831296" behindDoc="1" locked="0" layoutInCell="1" allowOverlap="1">
            <wp:simplePos x="0" y="0"/>
            <wp:positionH relativeFrom="column">
              <wp:posOffset>1167765</wp:posOffset>
            </wp:positionH>
            <wp:positionV relativeFrom="paragraph">
              <wp:posOffset>44450</wp:posOffset>
            </wp:positionV>
            <wp:extent cx="3114675" cy="2066925"/>
            <wp:effectExtent l="0" t="0" r="0" b="0"/>
            <wp:wrapNone/>
            <wp:docPr id="47"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widowControl w:val="0"/>
        <w:spacing w:line="240" w:lineRule="auto"/>
        <w:jc w:val="center"/>
        <w:rPr>
          <w:rFonts w:cs="Arial"/>
          <w:b/>
          <w:bCs/>
          <w:color w:val="1F497D" w:themeColor="text2"/>
          <w:sz w:val="18"/>
          <w:szCs w:val="18"/>
        </w:rPr>
      </w:pPr>
    </w:p>
    <w:p w:rsidR="00B01F04" w:rsidRDefault="00B01F04" w:rsidP="00B01F04">
      <w:pPr>
        <w:jc w:val="left"/>
        <w:rPr>
          <w:rFonts w:eastAsia="Times New Roman" w:cs="Times New Roman"/>
          <w:b/>
          <w:snapToGrid w:val="0"/>
          <w:color w:val="1F497D" w:themeColor="text2"/>
          <w:sz w:val="22"/>
          <w:lang w:eastAsia="es-ES"/>
        </w:rPr>
      </w:pPr>
      <w:r>
        <w:rPr>
          <w:rFonts w:eastAsia="Times New Roman" w:cs="Times New Roman"/>
          <w:b/>
          <w:snapToGrid w:val="0"/>
          <w:color w:val="1F497D" w:themeColor="text2"/>
          <w:sz w:val="22"/>
          <w:lang w:eastAsia="es-ES"/>
        </w:rPr>
        <w:br w:type="page"/>
      </w:r>
    </w:p>
    <w:p w:rsidR="00B01F04" w:rsidRPr="00A25CF2" w:rsidRDefault="00B01F04" w:rsidP="00A25CF2">
      <w:pPr>
        <w:pStyle w:val="Ttulo1"/>
        <w:ind w:left="708" w:hanging="708"/>
        <w:rPr>
          <w:color w:val="1F497D" w:themeColor="text2"/>
          <w:sz w:val="22"/>
          <w:szCs w:val="22"/>
        </w:rPr>
      </w:pPr>
      <w:bookmarkStart w:id="385" w:name="_Toc450118938"/>
      <w:r w:rsidRPr="00A25CF2">
        <w:rPr>
          <w:color w:val="1F497D" w:themeColor="text2"/>
          <w:sz w:val="22"/>
          <w:szCs w:val="22"/>
        </w:rPr>
        <w:lastRenderedPageBreak/>
        <w:t>1.</w:t>
      </w:r>
      <w:r w:rsidR="00A25CF2">
        <w:rPr>
          <w:color w:val="1F497D" w:themeColor="text2"/>
          <w:sz w:val="22"/>
          <w:szCs w:val="22"/>
        </w:rPr>
        <w:t>2</w:t>
      </w:r>
      <w:r w:rsidRPr="00A25CF2">
        <w:rPr>
          <w:color w:val="1F497D" w:themeColor="text2"/>
          <w:sz w:val="22"/>
          <w:szCs w:val="22"/>
        </w:rPr>
        <w:t>.-</w:t>
      </w:r>
      <w:r w:rsidRPr="00A25CF2">
        <w:rPr>
          <w:color w:val="1F497D" w:themeColor="text2"/>
          <w:sz w:val="22"/>
          <w:szCs w:val="22"/>
        </w:rPr>
        <w:tab/>
        <w:t>LAS CUENTAS DE LAS DE LAS NUEVAS FORMAS DE LA ECONOMÍA SOCIAL</w:t>
      </w:r>
      <w:bookmarkEnd w:id="385"/>
    </w:p>
    <w:p w:rsidR="00B01F04" w:rsidRDefault="00B01F04" w:rsidP="00B01F04">
      <w:pPr>
        <w:widowControl w:val="0"/>
      </w:pPr>
    </w:p>
    <w:p w:rsidR="00B01F04" w:rsidRPr="00537ABD" w:rsidRDefault="00A67658" w:rsidP="00B01F04">
      <w:pPr>
        <w:widowControl w:val="0"/>
        <w:jc w:val="center"/>
        <w:rPr>
          <w:rFonts w:cs="Arial"/>
          <w:b/>
        </w:rPr>
      </w:pPr>
      <w:bookmarkStart w:id="386" w:name="_Toc445381013"/>
      <w:bookmarkStart w:id="387" w:name="_Toc450120196"/>
      <w:r w:rsidRPr="00A67658">
        <w:rPr>
          <w:rFonts w:cs="Arial"/>
          <w:b/>
          <w:bCs/>
          <w:snapToGrid w:val="0"/>
          <w:color w:val="1F497D" w:themeColor="text2"/>
          <w:sz w:val="18"/>
          <w:szCs w:val="18"/>
          <w:lang w:val="es-ES_tradnl"/>
        </w:rPr>
        <w:t>Gráfico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Gráfico_4.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5</w:t>
      </w:r>
      <w:r w:rsidR="00771A61" w:rsidRPr="00A67658">
        <w:rPr>
          <w:rFonts w:cs="Arial"/>
          <w:b/>
          <w:bCs/>
          <w:snapToGrid w:val="0"/>
          <w:color w:val="1F497D" w:themeColor="text2"/>
          <w:sz w:val="18"/>
          <w:szCs w:val="18"/>
          <w:lang w:val="es-ES_tradnl"/>
        </w:rPr>
        <w:fldChar w:fldCharType="end"/>
      </w:r>
      <w:r w:rsidRPr="00A67658">
        <w:rPr>
          <w:rFonts w:cs="Arial"/>
          <w:b/>
          <w:bCs/>
          <w:snapToGrid w:val="0"/>
          <w:color w:val="1F497D" w:themeColor="text2"/>
          <w:sz w:val="18"/>
          <w:szCs w:val="18"/>
          <w:lang w:val="es-ES_tradnl"/>
        </w:rPr>
        <w:t xml:space="preserve"> </w:t>
      </w:r>
      <w:r w:rsidRPr="00A67658">
        <w:rPr>
          <w:rFonts w:cs="Arial"/>
          <w:b/>
          <w:snapToGrid w:val="0"/>
          <w:color w:val="1F497D" w:themeColor="text2"/>
          <w:sz w:val="18"/>
          <w:szCs w:val="18"/>
          <w:lang w:val="es-ES_tradnl"/>
        </w:rPr>
        <w:t xml:space="preserve"> </w:t>
      </w:r>
      <w:r w:rsidR="00B01F04" w:rsidRPr="00537ABD">
        <w:rPr>
          <w:rFonts w:cs="Arial"/>
          <w:b/>
          <w:color w:val="1F497D" w:themeColor="text2"/>
          <w:sz w:val="18"/>
          <w:szCs w:val="18"/>
        </w:rPr>
        <w:t>FACTURACIÓN POR TIPO DE ENTIDAD NFES 2014 (cifras absolutas)</w:t>
      </w:r>
      <w:bookmarkEnd w:id="386"/>
      <w:bookmarkEnd w:id="387"/>
    </w:p>
    <w:p w:rsidR="00B01F04" w:rsidRDefault="00B01F04" w:rsidP="00B01F04">
      <w:pPr>
        <w:widowControl w:val="0"/>
        <w:rPr>
          <w:rFonts w:cs="Arial"/>
        </w:rPr>
      </w:pPr>
      <w:r>
        <w:rPr>
          <w:rFonts w:cs="Arial"/>
          <w:noProof/>
          <w:lang w:eastAsia="es-ES"/>
        </w:rPr>
        <w:drawing>
          <wp:anchor distT="103632" distB="78613" distL="547116" distR="556260" simplePos="0" relativeHeight="251827200" behindDoc="0" locked="0" layoutInCell="1" allowOverlap="1">
            <wp:simplePos x="0" y="0"/>
            <wp:positionH relativeFrom="column">
              <wp:posOffset>-356235</wp:posOffset>
            </wp:positionH>
            <wp:positionV relativeFrom="paragraph">
              <wp:posOffset>-1905</wp:posOffset>
            </wp:positionV>
            <wp:extent cx="6038850" cy="2143125"/>
            <wp:effectExtent l="0" t="0" r="0" b="0"/>
            <wp:wrapNone/>
            <wp:docPr id="48"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Pr="006E2E85" w:rsidRDefault="00A67658" w:rsidP="00B01F04">
      <w:pPr>
        <w:widowControl w:val="0"/>
        <w:spacing w:line="240" w:lineRule="auto"/>
        <w:jc w:val="center"/>
        <w:rPr>
          <w:rFonts w:cs="Arial"/>
          <w:b/>
          <w:snapToGrid w:val="0"/>
          <w:color w:val="1F497D" w:themeColor="text2"/>
          <w:sz w:val="18"/>
          <w:szCs w:val="18"/>
        </w:rPr>
      </w:pPr>
      <w:bookmarkStart w:id="388" w:name="_Toc445380984"/>
      <w:bookmarkStart w:id="389" w:name="_Toc450119836"/>
      <w:r w:rsidRPr="003B7EB5">
        <w:rPr>
          <w:rFonts w:cs="Arial"/>
          <w:b/>
          <w:bCs/>
          <w:snapToGrid w:val="0"/>
          <w:color w:val="1F497D" w:themeColor="text2"/>
          <w:sz w:val="18"/>
          <w:szCs w:val="18"/>
          <w:lang w:val="es-ES_tradnl"/>
        </w:rPr>
        <w:t>Cuadro 4.</w:t>
      </w:r>
      <w:r w:rsidR="00771A61" w:rsidRPr="003B7EB5">
        <w:rPr>
          <w:rFonts w:cs="Arial"/>
          <w:b/>
          <w:bCs/>
          <w:snapToGrid w:val="0"/>
          <w:color w:val="1F497D" w:themeColor="text2"/>
          <w:sz w:val="18"/>
          <w:szCs w:val="18"/>
          <w:lang w:val="es-ES_tradnl"/>
        </w:rPr>
        <w:fldChar w:fldCharType="begin"/>
      </w:r>
      <w:r w:rsidRPr="003B7EB5">
        <w:rPr>
          <w:rFonts w:cs="Arial"/>
          <w:b/>
          <w:bCs/>
          <w:snapToGrid w:val="0"/>
          <w:color w:val="1F497D" w:themeColor="text2"/>
          <w:sz w:val="18"/>
          <w:szCs w:val="18"/>
          <w:lang w:val="es-ES_tradnl"/>
        </w:rPr>
        <w:instrText xml:space="preserve"> SEQ Cuadro_4. \* ARABIC </w:instrText>
      </w:r>
      <w:r w:rsidR="00771A61" w:rsidRPr="003B7EB5">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11</w:t>
      </w:r>
      <w:r w:rsidR="00771A61" w:rsidRPr="003B7EB5">
        <w:rPr>
          <w:rFonts w:cs="Arial"/>
          <w:b/>
          <w:bCs/>
          <w:snapToGrid w:val="0"/>
          <w:color w:val="1F497D" w:themeColor="text2"/>
          <w:sz w:val="18"/>
          <w:szCs w:val="18"/>
          <w:lang w:val="es-ES_tradnl"/>
        </w:rPr>
        <w:fldChar w:fldCharType="end"/>
      </w:r>
      <w:r w:rsidR="00B01F04" w:rsidRPr="003B7EB5">
        <w:rPr>
          <w:rFonts w:cs="Arial"/>
          <w:b/>
          <w:bCs/>
          <w:color w:val="1F497D" w:themeColor="text2"/>
          <w:sz w:val="18"/>
          <w:szCs w:val="18"/>
        </w:rPr>
        <w:t xml:space="preserve"> </w:t>
      </w:r>
      <w:r w:rsidR="00B01F04" w:rsidRPr="003B7EB5">
        <w:rPr>
          <w:rFonts w:cs="Arial"/>
          <w:b/>
          <w:color w:val="1F497D" w:themeColor="text2"/>
          <w:sz w:val="18"/>
          <w:szCs w:val="18"/>
        </w:rPr>
        <w:t>EVOLUCIÓN DE LA FACTURACIÓN POR SEGMENTOS NUEVAS FORMAS DE LA ECONOMÍA SOCIAL 2014 (cifras absolutas y %</w:t>
      </w:r>
      <w:r w:rsidR="00DB4D91" w:rsidRPr="003B7EB5">
        <w:rPr>
          <w:rFonts w:cs="Arial"/>
          <w:b/>
          <w:color w:val="1F497D" w:themeColor="text2"/>
          <w:sz w:val="18"/>
          <w:szCs w:val="18"/>
        </w:rPr>
        <w:t>v.</w:t>
      </w:r>
      <w:r w:rsidR="00B01F04" w:rsidRPr="003B7EB5">
        <w:rPr>
          <w:rFonts w:cs="Arial"/>
          <w:b/>
          <w:color w:val="1F497D" w:themeColor="text2"/>
          <w:sz w:val="18"/>
          <w:szCs w:val="18"/>
        </w:rPr>
        <w:t>)</w:t>
      </w:r>
      <w:bookmarkEnd w:id="388"/>
      <w:bookmarkEnd w:id="389"/>
    </w:p>
    <w:tbl>
      <w:tblPr>
        <w:tblW w:w="9628" w:type="dxa"/>
        <w:jc w:val="center"/>
        <w:tblInd w:w="2409" w:type="dxa"/>
        <w:tblCellMar>
          <w:left w:w="70" w:type="dxa"/>
          <w:right w:w="70" w:type="dxa"/>
        </w:tblCellMar>
        <w:tblLook w:val="04A0" w:firstRow="1" w:lastRow="0" w:firstColumn="1" w:lastColumn="0" w:noHBand="0" w:noVBand="1"/>
      </w:tblPr>
      <w:tblGrid>
        <w:gridCol w:w="5523"/>
        <w:gridCol w:w="2052"/>
        <w:gridCol w:w="2053"/>
      </w:tblGrid>
      <w:tr w:rsidR="00596EB7" w:rsidRPr="00080818" w:rsidTr="00581F11">
        <w:trPr>
          <w:jc w:val="center"/>
        </w:trPr>
        <w:tc>
          <w:tcPr>
            <w:tcW w:w="5523" w:type="dxa"/>
            <w:vMerge w:val="restart"/>
            <w:tcBorders>
              <w:top w:val="single" w:sz="8" w:space="0" w:color="BFBFBF"/>
              <w:left w:val="nil"/>
              <w:bottom w:val="single" w:sz="8" w:space="0" w:color="BFBFBF"/>
              <w:right w:val="single" w:sz="8" w:space="0" w:color="BFBFBF"/>
            </w:tcBorders>
            <w:shd w:val="clear" w:color="000000" w:fill="DBE5F1"/>
            <w:hideMark/>
          </w:tcPr>
          <w:p w:rsidR="00596EB7" w:rsidRPr="00080818" w:rsidRDefault="00596EB7" w:rsidP="00D86960">
            <w:pPr>
              <w:spacing w:line="240" w:lineRule="exact"/>
              <w:jc w:val="left"/>
              <w:rPr>
                <w:rFonts w:ascii="Calibri" w:eastAsia="Times New Roman" w:hAnsi="Calibri" w:cs="Times New Roman"/>
                <w:color w:val="000000"/>
                <w:sz w:val="22"/>
                <w:lang w:eastAsia="es-ES"/>
              </w:rPr>
            </w:pPr>
          </w:p>
        </w:tc>
        <w:tc>
          <w:tcPr>
            <w:tcW w:w="4105" w:type="dxa"/>
            <w:gridSpan w:val="2"/>
            <w:tcBorders>
              <w:top w:val="single" w:sz="8" w:space="0" w:color="BFBFBF"/>
              <w:left w:val="nil"/>
              <w:bottom w:val="single" w:sz="4" w:space="0" w:color="BFBFBF" w:themeColor="background1" w:themeShade="BF"/>
            </w:tcBorders>
            <w:shd w:val="clear" w:color="000000" w:fill="DBE5F1"/>
          </w:tcPr>
          <w:p w:rsidR="00596EB7" w:rsidRPr="00080818" w:rsidRDefault="00596EB7" w:rsidP="00596EB7">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Facturación 2014</w:t>
            </w:r>
          </w:p>
        </w:tc>
      </w:tr>
      <w:tr w:rsidR="00DB4D91" w:rsidRPr="00080818" w:rsidTr="003B7EB5">
        <w:trPr>
          <w:trHeight w:val="60"/>
          <w:jc w:val="center"/>
        </w:trPr>
        <w:tc>
          <w:tcPr>
            <w:tcW w:w="5523" w:type="dxa"/>
            <w:vMerge/>
            <w:tcBorders>
              <w:top w:val="single" w:sz="8" w:space="0" w:color="BFBFBF"/>
              <w:left w:val="nil"/>
              <w:bottom w:val="single" w:sz="8" w:space="0" w:color="BFBFBF"/>
              <w:right w:val="single" w:sz="8" w:space="0" w:color="BFBFBF"/>
            </w:tcBorders>
            <w:vAlign w:val="center"/>
            <w:hideMark/>
          </w:tcPr>
          <w:p w:rsidR="00DB4D91" w:rsidRPr="00080818" w:rsidRDefault="00DB4D91" w:rsidP="00D86960">
            <w:pPr>
              <w:spacing w:line="240" w:lineRule="exact"/>
              <w:jc w:val="left"/>
              <w:rPr>
                <w:rFonts w:ascii="Calibri" w:eastAsia="Times New Roman" w:hAnsi="Calibri" w:cs="Times New Roman"/>
                <w:color w:val="000000"/>
                <w:sz w:val="22"/>
                <w:lang w:eastAsia="es-ES"/>
              </w:rPr>
            </w:pPr>
          </w:p>
        </w:tc>
        <w:tc>
          <w:tcPr>
            <w:tcW w:w="2052"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hideMark/>
          </w:tcPr>
          <w:p w:rsidR="00DB4D91" w:rsidRPr="00080818" w:rsidRDefault="003B7EB5" w:rsidP="00D86960">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2053"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tcPr>
          <w:p w:rsidR="00DB4D91" w:rsidRDefault="00DB4D91"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%v.</w:t>
            </w:r>
          </w:p>
        </w:tc>
      </w:tr>
      <w:tr w:rsidR="00DB4D91" w:rsidRPr="00080818" w:rsidTr="003B7EB5">
        <w:trPr>
          <w:jc w:val="center"/>
        </w:trPr>
        <w:tc>
          <w:tcPr>
            <w:tcW w:w="5523" w:type="dxa"/>
            <w:tcBorders>
              <w:top w:val="nil"/>
              <w:left w:val="nil"/>
              <w:bottom w:val="nil"/>
              <w:right w:val="single" w:sz="8" w:space="0" w:color="BFBFBF"/>
            </w:tcBorders>
            <w:shd w:val="clear" w:color="auto" w:fill="auto"/>
            <w:hideMark/>
          </w:tcPr>
          <w:p w:rsidR="00DB4D91" w:rsidRPr="00080818" w:rsidRDefault="00DB4D91"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DB4D91" w:rsidRPr="00080818" w:rsidRDefault="00DB4D91" w:rsidP="003B7EB5">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524.009.095</w:t>
            </w:r>
          </w:p>
        </w:tc>
        <w:tc>
          <w:tcPr>
            <w:tcW w:w="2053" w:type="dxa"/>
            <w:tcBorders>
              <w:top w:val="nil"/>
              <w:left w:val="single" w:sz="4" w:space="0" w:color="BFBFBF" w:themeColor="background1" w:themeShade="BF"/>
              <w:bottom w:val="nil"/>
              <w:right w:val="single" w:sz="8" w:space="0" w:color="BFBFBF"/>
            </w:tcBorders>
          </w:tcPr>
          <w:p w:rsidR="00DB4D91" w:rsidRPr="0098245D" w:rsidRDefault="00DB4D91" w:rsidP="003B7EB5">
            <w:pPr>
              <w:spacing w:line="240" w:lineRule="exact"/>
              <w:ind w:right="142"/>
              <w:jc w:val="right"/>
              <w:rPr>
                <w:rFonts w:eastAsia="Times New Roman" w:cs="Arial"/>
                <w:color w:val="000000"/>
                <w:sz w:val="16"/>
                <w:szCs w:val="16"/>
                <w:lang w:eastAsia="es-ES"/>
              </w:rPr>
            </w:pPr>
            <w:r w:rsidRPr="00DB4D91">
              <w:rPr>
                <w:rFonts w:eastAsia="Times New Roman" w:cs="Arial"/>
                <w:color w:val="000000"/>
                <w:sz w:val="16"/>
                <w:szCs w:val="16"/>
                <w:lang w:eastAsia="es-ES"/>
              </w:rPr>
              <w:t>24,0</w:t>
            </w:r>
          </w:p>
        </w:tc>
      </w:tr>
      <w:tr w:rsidR="00DB4D91" w:rsidRPr="00080818" w:rsidTr="003B7EB5">
        <w:trPr>
          <w:jc w:val="center"/>
        </w:trPr>
        <w:tc>
          <w:tcPr>
            <w:tcW w:w="5523" w:type="dxa"/>
            <w:tcBorders>
              <w:top w:val="nil"/>
              <w:left w:val="nil"/>
              <w:bottom w:val="nil"/>
              <w:right w:val="single" w:sz="8" w:space="0" w:color="BFBFBF"/>
            </w:tcBorders>
            <w:shd w:val="clear" w:color="auto" w:fill="auto"/>
            <w:hideMark/>
          </w:tcPr>
          <w:p w:rsidR="00DB4D91" w:rsidRPr="00080818" w:rsidRDefault="00DB4D91"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DB4D91" w:rsidRPr="00080818" w:rsidRDefault="00DB4D91" w:rsidP="003B7EB5">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229.053.360</w:t>
            </w:r>
          </w:p>
        </w:tc>
        <w:tc>
          <w:tcPr>
            <w:tcW w:w="2053" w:type="dxa"/>
            <w:tcBorders>
              <w:top w:val="nil"/>
              <w:left w:val="single" w:sz="4" w:space="0" w:color="BFBFBF" w:themeColor="background1" w:themeShade="BF"/>
              <w:bottom w:val="nil"/>
              <w:right w:val="single" w:sz="8" w:space="0" w:color="BFBFBF"/>
            </w:tcBorders>
          </w:tcPr>
          <w:p w:rsidR="00DB4D91" w:rsidRPr="0098245D" w:rsidRDefault="00DB4D91" w:rsidP="003B7EB5">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10,5</w:t>
            </w:r>
          </w:p>
        </w:tc>
      </w:tr>
      <w:tr w:rsidR="00DB4D91" w:rsidRPr="00080818" w:rsidTr="003B7EB5">
        <w:trPr>
          <w:jc w:val="center"/>
        </w:trPr>
        <w:tc>
          <w:tcPr>
            <w:tcW w:w="5523" w:type="dxa"/>
            <w:tcBorders>
              <w:top w:val="nil"/>
              <w:left w:val="nil"/>
              <w:bottom w:val="nil"/>
              <w:right w:val="single" w:sz="8" w:space="0" w:color="BFBFBF"/>
            </w:tcBorders>
            <w:shd w:val="clear" w:color="auto" w:fill="auto"/>
            <w:hideMark/>
          </w:tcPr>
          <w:p w:rsidR="00DB4D91" w:rsidRPr="00080818" w:rsidRDefault="00DB4D91"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DB4D91" w:rsidRPr="00080818" w:rsidRDefault="00DB4D91" w:rsidP="003B7EB5">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92.434.283</w:t>
            </w:r>
          </w:p>
        </w:tc>
        <w:tc>
          <w:tcPr>
            <w:tcW w:w="2053" w:type="dxa"/>
            <w:tcBorders>
              <w:top w:val="nil"/>
              <w:left w:val="single" w:sz="4" w:space="0" w:color="BFBFBF" w:themeColor="background1" w:themeShade="BF"/>
              <w:bottom w:val="nil"/>
              <w:right w:val="single" w:sz="8" w:space="0" w:color="BFBFBF"/>
            </w:tcBorders>
          </w:tcPr>
          <w:p w:rsidR="00DB4D91" w:rsidRPr="0098245D" w:rsidRDefault="00DB4D91" w:rsidP="003B7EB5">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4,2</w:t>
            </w:r>
          </w:p>
        </w:tc>
      </w:tr>
      <w:tr w:rsidR="00DB4D91" w:rsidRPr="00080818" w:rsidTr="003B7EB5">
        <w:trPr>
          <w:jc w:val="center"/>
        </w:trPr>
        <w:tc>
          <w:tcPr>
            <w:tcW w:w="5523" w:type="dxa"/>
            <w:tcBorders>
              <w:top w:val="nil"/>
              <w:left w:val="nil"/>
              <w:bottom w:val="nil"/>
              <w:right w:val="single" w:sz="8" w:space="0" w:color="BFBFBF"/>
            </w:tcBorders>
            <w:shd w:val="clear" w:color="auto" w:fill="auto"/>
            <w:noWrap/>
            <w:hideMark/>
          </w:tcPr>
          <w:p w:rsidR="00DB4D91" w:rsidRPr="00080818" w:rsidRDefault="00DB4D91"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DB4D91" w:rsidRPr="00080818" w:rsidRDefault="00DB4D91" w:rsidP="003B7EB5">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33.862.744</w:t>
            </w:r>
          </w:p>
        </w:tc>
        <w:tc>
          <w:tcPr>
            <w:tcW w:w="2053" w:type="dxa"/>
            <w:tcBorders>
              <w:top w:val="nil"/>
              <w:left w:val="single" w:sz="4" w:space="0" w:color="BFBFBF" w:themeColor="background1" w:themeShade="BF"/>
              <w:bottom w:val="nil"/>
              <w:right w:val="single" w:sz="8" w:space="0" w:color="BFBFBF"/>
            </w:tcBorders>
          </w:tcPr>
          <w:p w:rsidR="00DB4D91" w:rsidRPr="0098245D" w:rsidRDefault="00DB4D91" w:rsidP="003B7EB5">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1,6</w:t>
            </w:r>
          </w:p>
        </w:tc>
      </w:tr>
      <w:tr w:rsidR="00DB4D91" w:rsidRPr="00080818" w:rsidTr="003B7EB5">
        <w:trPr>
          <w:jc w:val="center"/>
        </w:trPr>
        <w:tc>
          <w:tcPr>
            <w:tcW w:w="5523" w:type="dxa"/>
            <w:tcBorders>
              <w:top w:val="nil"/>
              <w:left w:val="nil"/>
              <w:bottom w:val="nil"/>
              <w:right w:val="single" w:sz="8" w:space="0" w:color="BFBFBF"/>
            </w:tcBorders>
            <w:shd w:val="clear" w:color="auto" w:fill="auto"/>
            <w:noWrap/>
            <w:hideMark/>
          </w:tcPr>
          <w:p w:rsidR="00DB4D91" w:rsidRPr="00080818" w:rsidRDefault="00DB4D91"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DB4D91" w:rsidRPr="00080818" w:rsidRDefault="00DB4D91" w:rsidP="003B7EB5">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40.498.269</w:t>
            </w:r>
          </w:p>
        </w:tc>
        <w:tc>
          <w:tcPr>
            <w:tcW w:w="2053" w:type="dxa"/>
            <w:tcBorders>
              <w:top w:val="nil"/>
              <w:left w:val="single" w:sz="4" w:space="0" w:color="BFBFBF" w:themeColor="background1" w:themeShade="BF"/>
              <w:bottom w:val="nil"/>
              <w:right w:val="single" w:sz="8" w:space="0" w:color="BFBFBF"/>
            </w:tcBorders>
          </w:tcPr>
          <w:p w:rsidR="00DB4D91" w:rsidRPr="0098245D" w:rsidRDefault="00DB4D91" w:rsidP="003B7EB5">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1,9</w:t>
            </w:r>
          </w:p>
        </w:tc>
      </w:tr>
      <w:tr w:rsidR="00DB4D91" w:rsidRPr="00080818" w:rsidTr="003B7EB5">
        <w:trPr>
          <w:jc w:val="center"/>
        </w:trPr>
        <w:tc>
          <w:tcPr>
            <w:tcW w:w="5523" w:type="dxa"/>
            <w:tcBorders>
              <w:top w:val="nil"/>
              <w:left w:val="nil"/>
              <w:bottom w:val="nil"/>
              <w:right w:val="single" w:sz="8" w:space="0" w:color="BFBFBF"/>
            </w:tcBorders>
            <w:shd w:val="clear" w:color="auto" w:fill="auto"/>
            <w:noWrap/>
            <w:hideMark/>
          </w:tcPr>
          <w:p w:rsidR="00DB4D91" w:rsidRPr="00080818" w:rsidRDefault="00DB4D91"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2052" w:type="dxa"/>
            <w:tcBorders>
              <w:top w:val="nil"/>
              <w:left w:val="single" w:sz="4" w:space="0" w:color="BFBFBF" w:themeColor="background1" w:themeShade="BF"/>
              <w:bottom w:val="nil"/>
              <w:right w:val="single" w:sz="8" w:space="0" w:color="BFBFBF"/>
            </w:tcBorders>
            <w:shd w:val="clear" w:color="auto" w:fill="auto"/>
            <w:hideMark/>
          </w:tcPr>
          <w:p w:rsidR="00DB4D91" w:rsidRPr="00080818" w:rsidRDefault="00DB4D91" w:rsidP="003B7EB5">
            <w:pPr>
              <w:spacing w:line="240" w:lineRule="exact"/>
              <w:ind w:right="142"/>
              <w:jc w:val="right"/>
              <w:rPr>
                <w:rFonts w:eastAsia="Times New Roman" w:cs="Arial"/>
                <w:color w:val="000000"/>
                <w:sz w:val="16"/>
                <w:szCs w:val="16"/>
                <w:lang w:eastAsia="es-ES"/>
              </w:rPr>
            </w:pPr>
            <w:r w:rsidRPr="0098245D">
              <w:rPr>
                <w:rFonts w:eastAsia="Times New Roman" w:cs="Arial"/>
                <w:color w:val="000000"/>
                <w:sz w:val="16"/>
                <w:szCs w:val="16"/>
                <w:lang w:eastAsia="es-ES"/>
              </w:rPr>
              <w:t>31.817.185</w:t>
            </w:r>
          </w:p>
        </w:tc>
        <w:tc>
          <w:tcPr>
            <w:tcW w:w="2053" w:type="dxa"/>
            <w:tcBorders>
              <w:top w:val="nil"/>
              <w:left w:val="single" w:sz="4" w:space="0" w:color="BFBFBF" w:themeColor="background1" w:themeShade="BF"/>
              <w:bottom w:val="nil"/>
              <w:right w:val="single" w:sz="8" w:space="0" w:color="BFBFBF"/>
            </w:tcBorders>
          </w:tcPr>
          <w:p w:rsidR="00DB4D91" w:rsidRPr="0098245D" w:rsidRDefault="00DB4D91" w:rsidP="003B7EB5">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1,5</w:t>
            </w:r>
          </w:p>
        </w:tc>
      </w:tr>
      <w:tr w:rsidR="00DB4D91" w:rsidRPr="00080818" w:rsidTr="003B7EB5">
        <w:trPr>
          <w:jc w:val="center"/>
        </w:trPr>
        <w:tc>
          <w:tcPr>
            <w:tcW w:w="5523" w:type="dxa"/>
            <w:tcBorders>
              <w:top w:val="nil"/>
              <w:left w:val="nil"/>
              <w:bottom w:val="single" w:sz="8" w:space="0" w:color="BFBFBF"/>
              <w:right w:val="single" w:sz="8" w:space="0" w:color="BFBFBF"/>
            </w:tcBorders>
            <w:shd w:val="clear" w:color="auto" w:fill="auto"/>
            <w:noWrap/>
            <w:hideMark/>
          </w:tcPr>
          <w:p w:rsidR="00DB4D91" w:rsidRPr="00080818" w:rsidRDefault="00DB4D91" w:rsidP="00D86960">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DB4D91" w:rsidRPr="00080818" w:rsidRDefault="00DB4D91" w:rsidP="003B7EB5">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1.231.566.704</w:t>
            </w:r>
          </w:p>
        </w:tc>
        <w:tc>
          <w:tcPr>
            <w:tcW w:w="2053" w:type="dxa"/>
            <w:tcBorders>
              <w:top w:val="nil"/>
              <w:left w:val="single" w:sz="4" w:space="0" w:color="BFBFBF" w:themeColor="background1" w:themeShade="BF"/>
              <w:bottom w:val="single" w:sz="8" w:space="0" w:color="BFBFBF"/>
              <w:right w:val="single" w:sz="8" w:space="0" w:color="BFBFBF"/>
            </w:tcBorders>
          </w:tcPr>
          <w:p w:rsidR="00DB4D91" w:rsidRDefault="00DB4D91" w:rsidP="003B7EB5">
            <w:pPr>
              <w:spacing w:line="240" w:lineRule="exact"/>
              <w:ind w:right="142"/>
              <w:jc w:val="right"/>
              <w:rPr>
                <w:rFonts w:eastAsia="Times New Roman" w:cs="Arial"/>
                <w:color w:val="000000"/>
                <w:sz w:val="16"/>
                <w:szCs w:val="16"/>
                <w:lang w:eastAsia="es-ES"/>
              </w:rPr>
            </w:pPr>
            <w:r>
              <w:rPr>
                <w:rFonts w:eastAsia="Times New Roman" w:cs="Arial"/>
                <w:color w:val="000000"/>
                <w:sz w:val="16"/>
                <w:szCs w:val="16"/>
                <w:lang w:eastAsia="es-ES"/>
              </w:rPr>
              <w:t>56,4</w:t>
            </w:r>
          </w:p>
        </w:tc>
      </w:tr>
      <w:tr w:rsidR="00DB4D91" w:rsidRPr="00080818" w:rsidTr="003B7EB5">
        <w:trPr>
          <w:jc w:val="center"/>
        </w:trPr>
        <w:tc>
          <w:tcPr>
            <w:tcW w:w="5523" w:type="dxa"/>
            <w:tcBorders>
              <w:top w:val="nil"/>
              <w:left w:val="nil"/>
              <w:bottom w:val="single" w:sz="8" w:space="0" w:color="BFBFBF"/>
              <w:right w:val="single" w:sz="8" w:space="0" w:color="BFBFBF"/>
            </w:tcBorders>
            <w:shd w:val="clear" w:color="auto" w:fill="auto"/>
            <w:noWrap/>
            <w:hideMark/>
          </w:tcPr>
          <w:p w:rsidR="00DB4D91" w:rsidRPr="00623693" w:rsidRDefault="00DB4D91" w:rsidP="00D86960">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2052" w:type="dxa"/>
            <w:tcBorders>
              <w:top w:val="nil"/>
              <w:left w:val="single" w:sz="4" w:space="0" w:color="BFBFBF" w:themeColor="background1" w:themeShade="BF"/>
              <w:bottom w:val="single" w:sz="8" w:space="0" w:color="BFBFBF"/>
              <w:right w:val="single" w:sz="8" w:space="0" w:color="BFBFBF"/>
            </w:tcBorders>
            <w:shd w:val="clear" w:color="auto" w:fill="auto"/>
            <w:hideMark/>
          </w:tcPr>
          <w:p w:rsidR="00DB4D91" w:rsidRPr="0098245D" w:rsidRDefault="00DB4D91" w:rsidP="003B7EB5">
            <w:pPr>
              <w:spacing w:line="240" w:lineRule="exact"/>
              <w:ind w:right="142"/>
              <w:jc w:val="right"/>
              <w:rPr>
                <w:rFonts w:eastAsia="Times New Roman" w:cs="Arial"/>
                <w:b/>
                <w:bCs/>
                <w:color w:val="000000"/>
                <w:sz w:val="16"/>
                <w:szCs w:val="16"/>
                <w:lang w:eastAsia="es-ES"/>
              </w:rPr>
            </w:pPr>
            <w:r w:rsidRPr="0098245D">
              <w:rPr>
                <w:rFonts w:eastAsia="Times New Roman" w:cs="Arial"/>
                <w:b/>
                <w:bCs/>
                <w:color w:val="000000"/>
                <w:sz w:val="16"/>
                <w:szCs w:val="16"/>
                <w:lang w:eastAsia="es-ES"/>
              </w:rPr>
              <w:t>2.183.241.640</w:t>
            </w:r>
          </w:p>
        </w:tc>
        <w:tc>
          <w:tcPr>
            <w:tcW w:w="2053" w:type="dxa"/>
            <w:tcBorders>
              <w:top w:val="nil"/>
              <w:left w:val="single" w:sz="4" w:space="0" w:color="BFBFBF" w:themeColor="background1" w:themeShade="BF"/>
              <w:bottom w:val="single" w:sz="8" w:space="0" w:color="BFBFBF"/>
              <w:right w:val="single" w:sz="8" w:space="0" w:color="BFBFBF"/>
            </w:tcBorders>
          </w:tcPr>
          <w:p w:rsidR="00DB4D91" w:rsidRPr="0098245D" w:rsidRDefault="00DB4D91" w:rsidP="003B7EB5">
            <w:pPr>
              <w:spacing w:line="240" w:lineRule="exact"/>
              <w:ind w:right="142"/>
              <w:jc w:val="right"/>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rsidR="00B01F04" w:rsidRDefault="00B01F04" w:rsidP="00B01F04">
      <w:pPr>
        <w:widowControl w:val="0"/>
        <w:spacing w:line="240" w:lineRule="auto"/>
        <w:jc w:val="center"/>
        <w:rPr>
          <w:rFonts w:cs="Arial"/>
          <w:b/>
          <w:snapToGrid w:val="0"/>
          <w:color w:val="1F497D" w:themeColor="text2"/>
          <w:sz w:val="18"/>
          <w:szCs w:val="18"/>
          <w:lang w:val="es-ES_tradnl"/>
        </w:rPr>
      </w:pPr>
    </w:p>
    <w:p w:rsidR="00DB4D91" w:rsidRDefault="00DB4D91" w:rsidP="00B01F04">
      <w:pPr>
        <w:widowControl w:val="0"/>
        <w:spacing w:line="240" w:lineRule="auto"/>
        <w:jc w:val="center"/>
        <w:rPr>
          <w:rFonts w:cs="Arial"/>
          <w:b/>
          <w:snapToGrid w:val="0"/>
          <w:color w:val="1F497D" w:themeColor="text2"/>
          <w:sz w:val="18"/>
          <w:szCs w:val="18"/>
          <w:lang w:val="es-ES_tradnl"/>
        </w:rPr>
      </w:pPr>
    </w:p>
    <w:p w:rsidR="00B01F04" w:rsidRDefault="00A67658" w:rsidP="00B01F04">
      <w:pPr>
        <w:widowControl w:val="0"/>
        <w:spacing w:line="240" w:lineRule="auto"/>
        <w:jc w:val="center"/>
        <w:rPr>
          <w:rFonts w:cs="Arial"/>
        </w:rPr>
      </w:pPr>
      <w:bookmarkStart w:id="390" w:name="_Toc445380985"/>
      <w:bookmarkStart w:id="391" w:name="_Toc450119837"/>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12</w:t>
      </w:r>
      <w:r w:rsidR="00771A61" w:rsidRPr="00A67658">
        <w:rPr>
          <w:rFonts w:cs="Arial"/>
          <w:b/>
          <w:bCs/>
          <w:snapToGrid w:val="0"/>
          <w:color w:val="1F497D" w:themeColor="text2"/>
          <w:sz w:val="18"/>
          <w:szCs w:val="18"/>
          <w:lang w:val="es-ES_tradnl"/>
        </w:rPr>
        <w:fldChar w:fldCharType="end"/>
      </w:r>
      <w:r>
        <w:rPr>
          <w:rFonts w:cs="Arial"/>
          <w:b/>
          <w:bCs/>
          <w:snapToGrid w:val="0"/>
          <w:color w:val="1F497D" w:themeColor="text2"/>
          <w:sz w:val="18"/>
          <w:szCs w:val="18"/>
          <w:lang w:val="es-ES_tradnl"/>
        </w:rPr>
        <w:t xml:space="preserve"> </w:t>
      </w:r>
      <w:r w:rsidR="00B01F04">
        <w:rPr>
          <w:rFonts w:cs="Arial"/>
          <w:b/>
          <w:color w:val="1F497D" w:themeColor="text2"/>
          <w:sz w:val="18"/>
          <w:szCs w:val="18"/>
        </w:rPr>
        <w:t>SUBVENCIONES POR TIPO DE ENTIDAD NFES 2014 Y PESO DE LAS SUBVENCIONES s/ FACTURACIÓN NFES 2014(cifras absolutas)</w:t>
      </w:r>
      <w:bookmarkEnd w:id="390"/>
      <w:bookmarkEnd w:id="391"/>
    </w:p>
    <w:tbl>
      <w:tblPr>
        <w:tblW w:w="9940" w:type="dxa"/>
        <w:jc w:val="center"/>
        <w:tblCellMar>
          <w:left w:w="70" w:type="dxa"/>
          <w:right w:w="70" w:type="dxa"/>
        </w:tblCellMar>
        <w:tblLook w:val="04A0" w:firstRow="1" w:lastRow="0" w:firstColumn="1" w:lastColumn="0" w:noHBand="0" w:noVBand="1"/>
      </w:tblPr>
      <w:tblGrid>
        <w:gridCol w:w="5676"/>
        <w:gridCol w:w="2132"/>
        <w:gridCol w:w="2132"/>
      </w:tblGrid>
      <w:tr w:rsidR="00B01F04" w:rsidRPr="003C5156" w:rsidTr="003B7EB5">
        <w:trPr>
          <w:jc w:val="center"/>
        </w:trPr>
        <w:tc>
          <w:tcPr>
            <w:tcW w:w="0" w:type="auto"/>
            <w:tcBorders>
              <w:top w:val="single" w:sz="8" w:space="0" w:color="BFBFBF"/>
              <w:left w:val="nil"/>
              <w:bottom w:val="single" w:sz="8" w:space="0" w:color="BFBFBF"/>
              <w:right w:val="single" w:sz="8" w:space="0" w:color="BFBFBF"/>
            </w:tcBorders>
            <w:shd w:val="clear" w:color="000000" w:fill="DBE5F1"/>
            <w:hideMark/>
          </w:tcPr>
          <w:p w:rsidR="00B01F04" w:rsidRPr="003C5156" w:rsidRDefault="00B01F04" w:rsidP="00D86960">
            <w:pPr>
              <w:spacing w:line="240" w:lineRule="exact"/>
              <w:rPr>
                <w:rFonts w:eastAsia="Times New Roman" w:cs="Arial"/>
                <w:b/>
                <w:bCs/>
                <w:color w:val="000000"/>
                <w:sz w:val="16"/>
                <w:szCs w:val="16"/>
                <w:lang w:eastAsia="es-ES"/>
              </w:rPr>
            </w:pPr>
            <w:r w:rsidRPr="003C5156">
              <w:rPr>
                <w:rFonts w:eastAsia="Times New Roman" w:cs="Arial"/>
                <w:b/>
                <w:bCs/>
                <w:color w:val="000000"/>
                <w:sz w:val="16"/>
                <w:szCs w:val="16"/>
                <w:lang w:eastAsia="es-ES"/>
              </w:rPr>
              <w:t> </w:t>
            </w:r>
          </w:p>
        </w:tc>
        <w:tc>
          <w:tcPr>
            <w:tcW w:w="2132" w:type="dxa"/>
            <w:tcBorders>
              <w:top w:val="single" w:sz="8" w:space="0" w:color="BFBFBF"/>
              <w:left w:val="nil"/>
              <w:bottom w:val="single" w:sz="4" w:space="0" w:color="BFBFBF" w:themeColor="background1" w:themeShade="BF"/>
              <w:right w:val="single" w:sz="8" w:space="0" w:color="BFBFBF"/>
            </w:tcBorders>
            <w:shd w:val="clear" w:color="000000" w:fill="DBE5F1"/>
            <w:vAlign w:val="center"/>
            <w:hideMark/>
          </w:tcPr>
          <w:p w:rsidR="00B01F04" w:rsidRPr="003C5156"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Subvenciones</w:t>
            </w:r>
          </w:p>
        </w:tc>
        <w:tc>
          <w:tcPr>
            <w:tcW w:w="2132" w:type="dxa"/>
            <w:tcBorders>
              <w:top w:val="single" w:sz="8" w:space="0" w:color="BFBFBF"/>
              <w:left w:val="nil"/>
              <w:bottom w:val="single" w:sz="4" w:space="0" w:color="BFBFBF" w:themeColor="background1" w:themeShade="BF"/>
              <w:right w:val="nil"/>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Ratio Subvenciones/ Facturación</w:t>
            </w:r>
          </w:p>
        </w:tc>
      </w:tr>
      <w:tr w:rsidR="00B01F04" w:rsidRPr="003C5156" w:rsidTr="003B7EB5">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2132" w:type="dxa"/>
            <w:tcBorders>
              <w:top w:val="single" w:sz="4" w:space="0" w:color="BFBFBF" w:themeColor="background1" w:themeShade="BF"/>
              <w:left w:val="nil"/>
              <w:bottom w:val="nil"/>
              <w:right w:val="single" w:sz="8" w:space="0" w:color="BFBFBF"/>
            </w:tcBorders>
            <w:shd w:val="clear" w:color="auto" w:fill="auto"/>
            <w:hideMark/>
          </w:tcPr>
          <w:p w:rsidR="00B01F04" w:rsidRPr="001013B9" w:rsidRDefault="00B01F04" w:rsidP="003B7EB5">
            <w:pPr>
              <w:spacing w:line="240" w:lineRule="exact"/>
              <w:ind w:right="216"/>
              <w:jc w:val="right"/>
              <w:rPr>
                <w:rFonts w:eastAsia="Times New Roman" w:cs="Arial"/>
                <w:color w:val="000000"/>
                <w:sz w:val="16"/>
                <w:szCs w:val="16"/>
                <w:lang w:eastAsia="es-ES"/>
              </w:rPr>
            </w:pPr>
            <w:r w:rsidRPr="0002447C">
              <w:rPr>
                <w:rFonts w:eastAsia="Times New Roman" w:cs="Arial"/>
                <w:color w:val="000000"/>
                <w:sz w:val="16"/>
                <w:szCs w:val="16"/>
                <w:lang w:eastAsia="es-ES"/>
              </w:rPr>
              <w:t>431.836.064</w:t>
            </w:r>
          </w:p>
        </w:tc>
        <w:tc>
          <w:tcPr>
            <w:tcW w:w="2132" w:type="dxa"/>
            <w:tcBorders>
              <w:top w:val="single" w:sz="4" w:space="0" w:color="BFBFBF" w:themeColor="background1" w:themeShade="BF"/>
              <w:left w:val="nil"/>
              <w:bottom w:val="nil"/>
              <w:right w:val="nil"/>
            </w:tcBorders>
            <w:shd w:val="clear" w:color="auto" w:fill="auto"/>
            <w:hideMark/>
          </w:tcPr>
          <w:p w:rsidR="00B01F04" w:rsidRPr="00C504AD" w:rsidRDefault="00B01F04" w:rsidP="003B7EB5">
            <w:pPr>
              <w:spacing w:line="240" w:lineRule="exact"/>
              <w:ind w:right="216"/>
              <w:jc w:val="right"/>
              <w:rPr>
                <w:rFonts w:eastAsia="Times New Roman" w:cs="Arial"/>
                <w:color w:val="000000"/>
                <w:sz w:val="16"/>
                <w:szCs w:val="16"/>
                <w:lang w:eastAsia="es-ES"/>
              </w:rPr>
            </w:pPr>
            <w:r w:rsidRPr="00C504AD">
              <w:rPr>
                <w:rFonts w:eastAsia="Times New Roman" w:cs="Arial"/>
                <w:color w:val="000000"/>
                <w:sz w:val="16"/>
                <w:szCs w:val="16"/>
                <w:lang w:eastAsia="es-ES"/>
              </w:rPr>
              <w:t>82,4%</w:t>
            </w:r>
          </w:p>
        </w:tc>
      </w:tr>
      <w:tr w:rsidR="00B01F04" w:rsidRPr="003C5156" w:rsidTr="003B7EB5">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2132" w:type="dxa"/>
            <w:tcBorders>
              <w:top w:val="nil"/>
              <w:left w:val="nil"/>
              <w:bottom w:val="nil"/>
              <w:right w:val="single" w:sz="8" w:space="0" w:color="BFBFBF"/>
            </w:tcBorders>
            <w:shd w:val="clear" w:color="auto" w:fill="auto"/>
            <w:hideMark/>
          </w:tcPr>
          <w:p w:rsidR="00B01F04" w:rsidRPr="001013B9" w:rsidRDefault="00B01F04" w:rsidP="003B7EB5">
            <w:pPr>
              <w:spacing w:line="240" w:lineRule="exact"/>
              <w:ind w:right="216"/>
              <w:jc w:val="right"/>
              <w:rPr>
                <w:rFonts w:eastAsia="Times New Roman" w:cs="Arial"/>
                <w:color w:val="000000"/>
                <w:sz w:val="16"/>
                <w:szCs w:val="16"/>
                <w:lang w:eastAsia="es-ES"/>
              </w:rPr>
            </w:pPr>
            <w:r w:rsidRPr="0002447C">
              <w:rPr>
                <w:rFonts w:eastAsia="Times New Roman" w:cs="Arial"/>
                <w:color w:val="000000"/>
                <w:sz w:val="16"/>
                <w:szCs w:val="16"/>
                <w:lang w:eastAsia="es-ES"/>
              </w:rPr>
              <w:t>55.844.747</w:t>
            </w:r>
          </w:p>
        </w:tc>
        <w:tc>
          <w:tcPr>
            <w:tcW w:w="2132" w:type="dxa"/>
            <w:tcBorders>
              <w:top w:val="nil"/>
              <w:left w:val="nil"/>
              <w:bottom w:val="nil"/>
              <w:right w:val="nil"/>
            </w:tcBorders>
            <w:shd w:val="clear" w:color="auto" w:fill="auto"/>
            <w:hideMark/>
          </w:tcPr>
          <w:p w:rsidR="00B01F04" w:rsidRPr="00C504AD" w:rsidRDefault="00B01F04" w:rsidP="003B7EB5">
            <w:pPr>
              <w:spacing w:line="240" w:lineRule="exact"/>
              <w:ind w:right="216"/>
              <w:jc w:val="right"/>
              <w:rPr>
                <w:rFonts w:eastAsia="Times New Roman" w:cs="Arial"/>
                <w:color w:val="000000"/>
                <w:sz w:val="16"/>
                <w:szCs w:val="16"/>
                <w:lang w:eastAsia="es-ES"/>
              </w:rPr>
            </w:pPr>
            <w:r w:rsidRPr="00C504AD">
              <w:rPr>
                <w:rFonts w:ascii="Calibri" w:eastAsia="Times New Roman" w:hAnsi="Calibri" w:cs="Times New Roman"/>
                <w:bCs/>
                <w:color w:val="000000"/>
                <w:sz w:val="18"/>
                <w:szCs w:val="18"/>
                <w:lang w:eastAsia="es-ES"/>
              </w:rPr>
              <w:t>24,4%</w:t>
            </w:r>
          </w:p>
        </w:tc>
      </w:tr>
      <w:tr w:rsidR="00B01F04" w:rsidRPr="003C5156" w:rsidTr="003B7EB5">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2132" w:type="dxa"/>
            <w:tcBorders>
              <w:top w:val="nil"/>
              <w:left w:val="nil"/>
              <w:bottom w:val="nil"/>
              <w:right w:val="single" w:sz="8" w:space="0" w:color="BFBFBF"/>
            </w:tcBorders>
            <w:shd w:val="clear" w:color="auto" w:fill="auto"/>
            <w:hideMark/>
          </w:tcPr>
          <w:p w:rsidR="00B01F04" w:rsidRPr="001013B9" w:rsidRDefault="00B01F04" w:rsidP="003B7EB5">
            <w:pPr>
              <w:spacing w:line="240" w:lineRule="exact"/>
              <w:ind w:right="216"/>
              <w:jc w:val="right"/>
              <w:rPr>
                <w:rFonts w:eastAsia="Times New Roman" w:cs="Arial"/>
                <w:color w:val="000000"/>
                <w:sz w:val="16"/>
                <w:szCs w:val="16"/>
                <w:lang w:eastAsia="es-ES"/>
              </w:rPr>
            </w:pPr>
            <w:r w:rsidRPr="0002447C">
              <w:rPr>
                <w:rFonts w:eastAsia="Times New Roman" w:cs="Arial"/>
                <w:color w:val="000000"/>
                <w:sz w:val="16"/>
                <w:szCs w:val="16"/>
                <w:lang w:eastAsia="es-ES"/>
              </w:rPr>
              <w:t>97.247.376</w:t>
            </w:r>
          </w:p>
        </w:tc>
        <w:tc>
          <w:tcPr>
            <w:tcW w:w="2132" w:type="dxa"/>
            <w:tcBorders>
              <w:top w:val="nil"/>
              <w:left w:val="nil"/>
              <w:bottom w:val="nil"/>
              <w:right w:val="nil"/>
            </w:tcBorders>
            <w:shd w:val="clear" w:color="auto" w:fill="auto"/>
            <w:hideMark/>
          </w:tcPr>
          <w:p w:rsidR="00B01F04" w:rsidRPr="00C504AD" w:rsidRDefault="00B01F04" w:rsidP="003B7EB5">
            <w:pPr>
              <w:spacing w:line="240" w:lineRule="exact"/>
              <w:ind w:right="216"/>
              <w:jc w:val="right"/>
              <w:rPr>
                <w:rFonts w:eastAsia="Times New Roman" w:cs="Arial"/>
                <w:color w:val="000000"/>
                <w:sz w:val="16"/>
                <w:szCs w:val="16"/>
                <w:lang w:eastAsia="es-ES"/>
              </w:rPr>
            </w:pPr>
            <w:r w:rsidRPr="00C504AD">
              <w:rPr>
                <w:rFonts w:eastAsia="Times New Roman" w:cs="Arial"/>
                <w:color w:val="000000"/>
                <w:sz w:val="16"/>
                <w:szCs w:val="16"/>
                <w:lang w:eastAsia="es-ES"/>
              </w:rPr>
              <w:t>105,2%</w:t>
            </w:r>
          </w:p>
        </w:tc>
      </w:tr>
      <w:tr w:rsidR="00B01F04" w:rsidRPr="003C5156" w:rsidTr="003B7EB5">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2132" w:type="dxa"/>
            <w:tcBorders>
              <w:top w:val="nil"/>
              <w:left w:val="nil"/>
              <w:bottom w:val="nil"/>
              <w:right w:val="single" w:sz="8" w:space="0" w:color="BFBFBF"/>
            </w:tcBorders>
            <w:shd w:val="clear" w:color="auto" w:fill="auto"/>
            <w:hideMark/>
          </w:tcPr>
          <w:p w:rsidR="00B01F04" w:rsidRPr="001013B9" w:rsidRDefault="00B01F04" w:rsidP="003B7EB5">
            <w:pPr>
              <w:spacing w:line="240" w:lineRule="exact"/>
              <w:ind w:right="216"/>
              <w:jc w:val="right"/>
              <w:rPr>
                <w:rFonts w:eastAsia="Times New Roman" w:cs="Arial"/>
                <w:color w:val="000000"/>
                <w:sz w:val="16"/>
                <w:szCs w:val="16"/>
                <w:lang w:eastAsia="es-ES"/>
              </w:rPr>
            </w:pPr>
            <w:r w:rsidRPr="0002447C">
              <w:rPr>
                <w:rFonts w:eastAsia="Times New Roman" w:cs="Arial"/>
                <w:color w:val="000000"/>
                <w:sz w:val="16"/>
                <w:szCs w:val="16"/>
                <w:lang w:eastAsia="es-ES"/>
              </w:rPr>
              <w:t>6.966.354</w:t>
            </w:r>
          </w:p>
        </w:tc>
        <w:tc>
          <w:tcPr>
            <w:tcW w:w="2132" w:type="dxa"/>
            <w:tcBorders>
              <w:top w:val="nil"/>
              <w:left w:val="nil"/>
              <w:bottom w:val="nil"/>
              <w:right w:val="nil"/>
            </w:tcBorders>
            <w:shd w:val="clear" w:color="auto" w:fill="auto"/>
            <w:hideMark/>
          </w:tcPr>
          <w:p w:rsidR="00B01F04" w:rsidRPr="00C504AD" w:rsidRDefault="00B01F04" w:rsidP="003B7EB5">
            <w:pPr>
              <w:spacing w:line="240" w:lineRule="exact"/>
              <w:ind w:right="216"/>
              <w:jc w:val="right"/>
              <w:rPr>
                <w:rFonts w:eastAsia="Times New Roman" w:cs="Arial"/>
                <w:color w:val="000000"/>
                <w:sz w:val="16"/>
                <w:szCs w:val="16"/>
                <w:lang w:eastAsia="es-ES"/>
              </w:rPr>
            </w:pPr>
            <w:r w:rsidRPr="00C504AD">
              <w:rPr>
                <w:rFonts w:ascii="Calibri" w:eastAsia="Times New Roman" w:hAnsi="Calibri" w:cs="Times New Roman"/>
                <w:bCs/>
                <w:color w:val="000000"/>
                <w:sz w:val="18"/>
                <w:szCs w:val="18"/>
                <w:lang w:eastAsia="es-ES"/>
              </w:rPr>
              <w:t>20,6%</w:t>
            </w:r>
          </w:p>
        </w:tc>
      </w:tr>
      <w:tr w:rsidR="00B01F04" w:rsidRPr="003C5156" w:rsidTr="003B7EB5">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2132" w:type="dxa"/>
            <w:tcBorders>
              <w:top w:val="nil"/>
              <w:left w:val="nil"/>
              <w:bottom w:val="nil"/>
              <w:right w:val="single" w:sz="8" w:space="0" w:color="BFBFBF"/>
            </w:tcBorders>
            <w:shd w:val="clear" w:color="auto" w:fill="auto"/>
            <w:hideMark/>
          </w:tcPr>
          <w:p w:rsidR="00B01F04" w:rsidRPr="001013B9" w:rsidRDefault="00B01F04" w:rsidP="003B7EB5">
            <w:pPr>
              <w:spacing w:line="240" w:lineRule="exact"/>
              <w:ind w:right="216"/>
              <w:jc w:val="right"/>
              <w:rPr>
                <w:rFonts w:eastAsia="Times New Roman" w:cs="Arial"/>
                <w:color w:val="000000"/>
                <w:sz w:val="16"/>
                <w:szCs w:val="16"/>
                <w:lang w:eastAsia="es-ES"/>
              </w:rPr>
            </w:pPr>
            <w:r w:rsidRPr="0002447C">
              <w:rPr>
                <w:rFonts w:eastAsia="Times New Roman" w:cs="Arial"/>
                <w:color w:val="000000"/>
                <w:sz w:val="16"/>
                <w:szCs w:val="16"/>
                <w:lang w:eastAsia="es-ES"/>
              </w:rPr>
              <w:t>2.153.054</w:t>
            </w:r>
          </w:p>
        </w:tc>
        <w:tc>
          <w:tcPr>
            <w:tcW w:w="2132" w:type="dxa"/>
            <w:tcBorders>
              <w:top w:val="nil"/>
              <w:left w:val="nil"/>
              <w:bottom w:val="nil"/>
              <w:right w:val="nil"/>
            </w:tcBorders>
            <w:shd w:val="clear" w:color="auto" w:fill="auto"/>
            <w:hideMark/>
          </w:tcPr>
          <w:p w:rsidR="00B01F04" w:rsidRPr="00C504AD" w:rsidRDefault="00B01F04" w:rsidP="003B7EB5">
            <w:pPr>
              <w:spacing w:line="240" w:lineRule="exact"/>
              <w:ind w:right="216"/>
              <w:jc w:val="right"/>
              <w:rPr>
                <w:rFonts w:eastAsia="Times New Roman" w:cs="Arial"/>
                <w:color w:val="000000"/>
                <w:sz w:val="16"/>
                <w:szCs w:val="16"/>
                <w:lang w:eastAsia="es-ES"/>
              </w:rPr>
            </w:pPr>
            <w:r w:rsidRPr="00C504AD">
              <w:rPr>
                <w:rFonts w:ascii="Calibri" w:eastAsia="Times New Roman" w:hAnsi="Calibri" w:cs="Times New Roman"/>
                <w:bCs/>
                <w:color w:val="000000"/>
                <w:sz w:val="18"/>
                <w:szCs w:val="18"/>
                <w:lang w:eastAsia="es-ES"/>
              </w:rPr>
              <w:t>5,3%</w:t>
            </w:r>
          </w:p>
        </w:tc>
      </w:tr>
      <w:tr w:rsidR="00B01F04" w:rsidRPr="003C5156" w:rsidTr="003B7EB5">
        <w:trPr>
          <w:jc w:val="center"/>
        </w:trPr>
        <w:tc>
          <w:tcPr>
            <w:tcW w:w="0" w:type="auto"/>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2132" w:type="dxa"/>
            <w:tcBorders>
              <w:top w:val="nil"/>
              <w:left w:val="nil"/>
              <w:bottom w:val="nil"/>
              <w:right w:val="single" w:sz="8" w:space="0" w:color="BFBFBF"/>
            </w:tcBorders>
            <w:shd w:val="clear" w:color="auto" w:fill="auto"/>
            <w:hideMark/>
          </w:tcPr>
          <w:p w:rsidR="00B01F04" w:rsidRPr="001013B9" w:rsidRDefault="00B01F04" w:rsidP="003B7EB5">
            <w:pPr>
              <w:spacing w:line="240" w:lineRule="exact"/>
              <w:ind w:right="216"/>
              <w:jc w:val="right"/>
              <w:rPr>
                <w:rFonts w:eastAsia="Times New Roman" w:cs="Arial"/>
                <w:color w:val="000000"/>
                <w:sz w:val="16"/>
                <w:szCs w:val="16"/>
                <w:lang w:eastAsia="es-ES"/>
              </w:rPr>
            </w:pPr>
            <w:r w:rsidRPr="0002447C">
              <w:rPr>
                <w:rFonts w:eastAsia="Times New Roman" w:cs="Arial"/>
                <w:color w:val="000000"/>
                <w:sz w:val="16"/>
                <w:szCs w:val="16"/>
                <w:lang w:eastAsia="es-ES"/>
              </w:rPr>
              <w:t>1.463.009</w:t>
            </w:r>
          </w:p>
        </w:tc>
        <w:tc>
          <w:tcPr>
            <w:tcW w:w="2132" w:type="dxa"/>
            <w:tcBorders>
              <w:top w:val="nil"/>
              <w:left w:val="nil"/>
              <w:bottom w:val="nil"/>
              <w:right w:val="nil"/>
            </w:tcBorders>
            <w:shd w:val="clear" w:color="auto" w:fill="auto"/>
            <w:hideMark/>
          </w:tcPr>
          <w:p w:rsidR="00B01F04" w:rsidRPr="004B529F" w:rsidRDefault="00B01F04" w:rsidP="003B7EB5">
            <w:pPr>
              <w:spacing w:line="240" w:lineRule="exact"/>
              <w:ind w:right="216"/>
              <w:jc w:val="right"/>
              <w:rPr>
                <w:rFonts w:eastAsia="Times New Roman" w:cs="Arial"/>
                <w:color w:val="000000"/>
                <w:sz w:val="16"/>
                <w:szCs w:val="16"/>
                <w:lang w:eastAsia="es-ES"/>
              </w:rPr>
            </w:pPr>
            <w:r>
              <w:rPr>
                <w:rFonts w:eastAsia="Times New Roman" w:cs="Arial"/>
                <w:color w:val="000000"/>
                <w:sz w:val="16"/>
                <w:szCs w:val="16"/>
                <w:lang w:eastAsia="es-ES"/>
              </w:rPr>
              <w:t>4,6%</w:t>
            </w:r>
          </w:p>
        </w:tc>
      </w:tr>
      <w:tr w:rsidR="00B01F04" w:rsidRPr="003C5156" w:rsidTr="003B7EB5">
        <w:trPr>
          <w:jc w:val="center"/>
        </w:trPr>
        <w:tc>
          <w:tcPr>
            <w:tcW w:w="0" w:type="auto"/>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rPr>
                <w:rFonts w:eastAsia="Times New Roman" w:cs="Arial"/>
                <w:b/>
                <w:bCs/>
                <w:color w:val="000000"/>
                <w:sz w:val="16"/>
                <w:szCs w:val="16"/>
                <w:lang w:eastAsia="es-ES"/>
              </w:rPr>
            </w:pPr>
            <w:r w:rsidRPr="00AB3187">
              <w:rPr>
                <w:rFonts w:eastAsia="Times New Roman" w:cs="Arial"/>
                <w:color w:val="000000"/>
                <w:sz w:val="16"/>
                <w:szCs w:val="16"/>
                <w:lang w:eastAsia="es-ES"/>
              </w:rPr>
              <w:t>7.EPSVs</w:t>
            </w:r>
          </w:p>
        </w:tc>
        <w:tc>
          <w:tcPr>
            <w:tcW w:w="2132" w:type="dxa"/>
            <w:tcBorders>
              <w:top w:val="nil"/>
              <w:left w:val="nil"/>
              <w:bottom w:val="single" w:sz="4" w:space="0" w:color="BFBFBF" w:themeColor="background1" w:themeShade="BF"/>
              <w:right w:val="single" w:sz="8" w:space="0" w:color="BFBFBF"/>
            </w:tcBorders>
            <w:shd w:val="clear" w:color="auto" w:fill="auto"/>
            <w:hideMark/>
          </w:tcPr>
          <w:p w:rsidR="00B01F04" w:rsidRPr="001013B9" w:rsidRDefault="00B01F04" w:rsidP="003B7EB5">
            <w:pPr>
              <w:spacing w:line="240" w:lineRule="exact"/>
              <w:ind w:right="216"/>
              <w:jc w:val="right"/>
              <w:rPr>
                <w:rFonts w:eastAsia="Times New Roman" w:cs="Arial"/>
                <w:color w:val="000000"/>
                <w:sz w:val="16"/>
                <w:szCs w:val="16"/>
                <w:lang w:eastAsia="es-ES"/>
              </w:rPr>
            </w:pPr>
            <w:proofErr w:type="spellStart"/>
            <w:r w:rsidRPr="001013B9">
              <w:rPr>
                <w:rFonts w:eastAsia="Times New Roman" w:cs="Arial"/>
                <w:color w:val="000000"/>
                <w:sz w:val="16"/>
                <w:szCs w:val="16"/>
                <w:lang w:eastAsia="es-ES"/>
              </w:rPr>
              <w:t>n.d</w:t>
            </w:r>
            <w:proofErr w:type="spellEnd"/>
            <w:r w:rsidRPr="001013B9">
              <w:rPr>
                <w:rFonts w:eastAsia="Times New Roman" w:cs="Arial"/>
                <w:color w:val="000000"/>
                <w:sz w:val="16"/>
                <w:szCs w:val="16"/>
                <w:lang w:eastAsia="es-ES"/>
              </w:rPr>
              <w:t>.</w:t>
            </w:r>
          </w:p>
        </w:tc>
        <w:tc>
          <w:tcPr>
            <w:tcW w:w="2132" w:type="dxa"/>
            <w:tcBorders>
              <w:top w:val="nil"/>
              <w:left w:val="nil"/>
              <w:bottom w:val="single" w:sz="4" w:space="0" w:color="BFBFBF" w:themeColor="background1" w:themeShade="BF"/>
              <w:right w:val="nil"/>
            </w:tcBorders>
            <w:shd w:val="clear" w:color="auto" w:fill="auto"/>
            <w:hideMark/>
          </w:tcPr>
          <w:p w:rsidR="00B01F04" w:rsidRPr="004B529F" w:rsidRDefault="00B01F04" w:rsidP="003B7EB5">
            <w:pPr>
              <w:spacing w:line="240" w:lineRule="exact"/>
              <w:ind w:right="216"/>
              <w:jc w:val="right"/>
              <w:rPr>
                <w:rFonts w:eastAsia="Times New Roman" w:cs="Arial"/>
                <w:color w:val="000000"/>
                <w:sz w:val="16"/>
                <w:szCs w:val="16"/>
                <w:lang w:eastAsia="es-ES"/>
              </w:rPr>
            </w:pPr>
            <w:proofErr w:type="spellStart"/>
            <w:r w:rsidRPr="004B529F">
              <w:rPr>
                <w:rFonts w:eastAsia="Times New Roman" w:cs="Arial"/>
                <w:color w:val="000000"/>
                <w:sz w:val="16"/>
                <w:szCs w:val="16"/>
                <w:lang w:eastAsia="es-ES"/>
              </w:rPr>
              <w:t>n.d</w:t>
            </w:r>
            <w:proofErr w:type="spellEnd"/>
            <w:r w:rsidRPr="004B529F">
              <w:rPr>
                <w:rFonts w:eastAsia="Times New Roman" w:cs="Arial"/>
                <w:color w:val="000000"/>
                <w:sz w:val="16"/>
                <w:szCs w:val="16"/>
                <w:lang w:eastAsia="es-ES"/>
              </w:rPr>
              <w:t>.</w:t>
            </w:r>
          </w:p>
        </w:tc>
      </w:tr>
      <w:tr w:rsidR="00B01F04" w:rsidRPr="003C5156" w:rsidTr="003B7EB5">
        <w:trPr>
          <w:jc w:val="center"/>
        </w:trPr>
        <w:tc>
          <w:tcPr>
            <w:tcW w:w="0" w:type="auto"/>
            <w:tcBorders>
              <w:top w:val="single" w:sz="4" w:space="0" w:color="BFBFBF" w:themeColor="background1" w:themeShade="BF"/>
              <w:left w:val="nil"/>
              <w:bottom w:val="single" w:sz="8" w:space="0" w:color="BFBFBF"/>
              <w:right w:val="single" w:sz="8" w:space="0" w:color="BFBFBF"/>
            </w:tcBorders>
            <w:shd w:val="clear" w:color="auto" w:fill="auto"/>
          </w:tcPr>
          <w:p w:rsidR="00B01F04" w:rsidRPr="001013B9" w:rsidRDefault="00B01F04" w:rsidP="00D86960">
            <w:pPr>
              <w:spacing w:line="240" w:lineRule="exact"/>
              <w:rPr>
                <w:rFonts w:eastAsia="Times New Roman" w:cs="Arial"/>
                <w:b/>
                <w:bCs/>
                <w:color w:val="000000"/>
                <w:sz w:val="16"/>
                <w:szCs w:val="16"/>
                <w:lang w:eastAsia="es-ES"/>
              </w:rPr>
            </w:pPr>
            <w:r w:rsidRPr="001013B9">
              <w:rPr>
                <w:rFonts w:eastAsia="Times New Roman" w:cs="Arial"/>
                <w:b/>
                <w:bCs/>
                <w:color w:val="000000"/>
                <w:sz w:val="16"/>
                <w:szCs w:val="16"/>
                <w:lang w:eastAsia="es-ES"/>
              </w:rPr>
              <w:t>TOTAL</w:t>
            </w:r>
          </w:p>
        </w:tc>
        <w:tc>
          <w:tcPr>
            <w:tcW w:w="2132" w:type="dxa"/>
            <w:tcBorders>
              <w:top w:val="single" w:sz="4" w:space="0" w:color="BFBFBF" w:themeColor="background1" w:themeShade="BF"/>
              <w:left w:val="nil"/>
              <w:bottom w:val="single" w:sz="8" w:space="0" w:color="BFBFBF"/>
              <w:right w:val="single" w:sz="8" w:space="0" w:color="BFBFBF"/>
            </w:tcBorders>
            <w:shd w:val="clear" w:color="auto" w:fill="auto"/>
          </w:tcPr>
          <w:p w:rsidR="00B01F04" w:rsidRPr="001013B9" w:rsidRDefault="00B01F04" w:rsidP="003B7EB5">
            <w:pPr>
              <w:spacing w:line="240" w:lineRule="exact"/>
              <w:ind w:right="216"/>
              <w:jc w:val="right"/>
              <w:rPr>
                <w:rFonts w:eastAsia="Times New Roman" w:cs="Arial"/>
                <w:b/>
                <w:bCs/>
                <w:color w:val="000000"/>
                <w:sz w:val="16"/>
                <w:szCs w:val="16"/>
                <w:lang w:eastAsia="es-ES"/>
              </w:rPr>
            </w:pPr>
            <w:r w:rsidRPr="001013B9">
              <w:rPr>
                <w:rFonts w:eastAsia="Times New Roman" w:cs="Arial"/>
                <w:b/>
                <w:color w:val="000000"/>
                <w:sz w:val="16"/>
                <w:szCs w:val="16"/>
                <w:lang w:eastAsia="es-ES"/>
              </w:rPr>
              <w:t>595</w:t>
            </w:r>
            <w:r w:rsidRPr="001013B9">
              <w:rPr>
                <w:rFonts w:eastAsia="Times New Roman" w:cs="Arial"/>
                <w:b/>
                <w:bCs/>
                <w:color w:val="000000"/>
                <w:sz w:val="16"/>
                <w:szCs w:val="16"/>
                <w:lang w:eastAsia="es-ES"/>
              </w:rPr>
              <w:t>.510.603</w:t>
            </w:r>
          </w:p>
        </w:tc>
        <w:tc>
          <w:tcPr>
            <w:tcW w:w="2132" w:type="dxa"/>
            <w:tcBorders>
              <w:top w:val="single" w:sz="4" w:space="0" w:color="BFBFBF" w:themeColor="background1" w:themeShade="BF"/>
              <w:left w:val="nil"/>
              <w:bottom w:val="single" w:sz="8" w:space="0" w:color="BFBFBF"/>
              <w:right w:val="nil"/>
            </w:tcBorders>
            <w:shd w:val="clear" w:color="auto" w:fill="auto"/>
          </w:tcPr>
          <w:p w:rsidR="00B01F04" w:rsidRPr="00A31B57" w:rsidRDefault="003D77B6" w:rsidP="003B7EB5">
            <w:pPr>
              <w:spacing w:line="240" w:lineRule="exact"/>
              <w:ind w:right="216"/>
              <w:jc w:val="right"/>
              <w:rPr>
                <w:rFonts w:eastAsia="Times New Roman" w:cs="Arial"/>
                <w:b/>
                <w:bCs/>
                <w:color w:val="000000"/>
                <w:sz w:val="16"/>
                <w:szCs w:val="16"/>
                <w:lang w:eastAsia="es-ES"/>
              </w:rPr>
            </w:pPr>
            <w:r>
              <w:rPr>
                <w:rFonts w:eastAsia="Times New Roman" w:cs="Arial"/>
                <w:b/>
                <w:bCs/>
                <w:color w:val="000000"/>
                <w:sz w:val="16"/>
                <w:szCs w:val="16"/>
                <w:lang w:eastAsia="es-ES"/>
              </w:rPr>
              <w:t>-</w:t>
            </w:r>
          </w:p>
        </w:tc>
      </w:tr>
    </w:tbl>
    <w:p w:rsidR="00B01F04" w:rsidRDefault="00B01F04" w:rsidP="00B01F04">
      <w:pPr>
        <w:widowControl w:val="0"/>
        <w:spacing w:line="240" w:lineRule="auto"/>
        <w:jc w:val="center"/>
        <w:rPr>
          <w:rFonts w:cs="Arial"/>
          <w:b/>
          <w:snapToGrid w:val="0"/>
          <w:color w:val="1F497D" w:themeColor="text2"/>
          <w:sz w:val="18"/>
          <w:szCs w:val="18"/>
          <w:lang w:val="es-ES_tradnl"/>
        </w:rPr>
      </w:pPr>
    </w:p>
    <w:p w:rsidR="00B01F04" w:rsidRDefault="00B01F04" w:rsidP="00B01F04">
      <w:pPr>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B01F04" w:rsidRPr="00A67658" w:rsidRDefault="00A67658" w:rsidP="00B01F04">
      <w:pPr>
        <w:widowControl w:val="0"/>
        <w:spacing w:line="240" w:lineRule="auto"/>
        <w:jc w:val="center"/>
        <w:rPr>
          <w:rFonts w:cs="Arial"/>
          <w:b/>
          <w:color w:val="1F497D" w:themeColor="text2"/>
          <w:sz w:val="18"/>
          <w:szCs w:val="18"/>
        </w:rPr>
      </w:pPr>
      <w:bookmarkStart w:id="392" w:name="_Toc445381014"/>
      <w:bookmarkStart w:id="393" w:name="_Toc450120197"/>
      <w:r w:rsidRPr="00A67658">
        <w:rPr>
          <w:rFonts w:cs="Arial"/>
          <w:b/>
          <w:color w:val="1F497D" w:themeColor="text2"/>
          <w:sz w:val="18"/>
          <w:szCs w:val="18"/>
        </w:rPr>
        <w:lastRenderedPageBreak/>
        <w:t>Gráfico 4.</w:t>
      </w:r>
      <w:r w:rsidR="00771A61" w:rsidRPr="00A67658">
        <w:rPr>
          <w:rFonts w:cs="Arial"/>
          <w:b/>
          <w:color w:val="1F497D" w:themeColor="text2"/>
          <w:sz w:val="18"/>
          <w:szCs w:val="18"/>
        </w:rPr>
        <w:fldChar w:fldCharType="begin"/>
      </w:r>
      <w:r w:rsidRPr="00A67658">
        <w:rPr>
          <w:rFonts w:cs="Arial"/>
          <w:b/>
          <w:color w:val="1F497D" w:themeColor="text2"/>
          <w:sz w:val="18"/>
          <w:szCs w:val="18"/>
        </w:rPr>
        <w:instrText xml:space="preserve"> SEQ Gráfico_4. \* ARABIC </w:instrText>
      </w:r>
      <w:r w:rsidR="00771A61" w:rsidRPr="00A67658">
        <w:rPr>
          <w:rFonts w:cs="Arial"/>
          <w:b/>
          <w:color w:val="1F497D" w:themeColor="text2"/>
          <w:sz w:val="18"/>
          <w:szCs w:val="18"/>
        </w:rPr>
        <w:fldChar w:fldCharType="separate"/>
      </w:r>
      <w:r w:rsidR="00FC71A9">
        <w:rPr>
          <w:rFonts w:cs="Arial"/>
          <w:b/>
          <w:noProof/>
          <w:color w:val="1F497D" w:themeColor="text2"/>
          <w:sz w:val="18"/>
          <w:szCs w:val="18"/>
        </w:rPr>
        <w:t>6</w:t>
      </w:r>
      <w:r w:rsidR="00771A61" w:rsidRPr="00A67658">
        <w:rPr>
          <w:rFonts w:cs="Arial"/>
          <w:b/>
          <w:color w:val="1F497D" w:themeColor="text2"/>
          <w:sz w:val="18"/>
          <w:szCs w:val="18"/>
        </w:rPr>
        <w:fldChar w:fldCharType="end"/>
      </w:r>
      <w:r w:rsidRPr="00A67658">
        <w:rPr>
          <w:rFonts w:cs="Arial"/>
          <w:b/>
          <w:color w:val="1F497D" w:themeColor="text2"/>
          <w:sz w:val="18"/>
          <w:szCs w:val="18"/>
        </w:rPr>
        <w:t xml:space="preserve">  </w:t>
      </w:r>
      <w:r w:rsidR="00537ABD" w:rsidRPr="00A67658">
        <w:rPr>
          <w:rFonts w:cs="Arial"/>
          <w:b/>
          <w:color w:val="1F497D" w:themeColor="text2"/>
          <w:sz w:val="18"/>
          <w:szCs w:val="18"/>
        </w:rPr>
        <w:t xml:space="preserve"> </w:t>
      </w:r>
      <w:r w:rsidR="00B01F04" w:rsidRPr="00A67658">
        <w:rPr>
          <w:rFonts w:cs="Arial"/>
          <w:b/>
          <w:color w:val="1F497D" w:themeColor="text2"/>
          <w:sz w:val="18"/>
          <w:szCs w:val="18"/>
        </w:rPr>
        <w:t xml:space="preserve"> </w:t>
      </w:r>
      <w:r w:rsidR="00B01F04" w:rsidRPr="00537ABD">
        <w:rPr>
          <w:rFonts w:cs="Arial"/>
          <w:b/>
          <w:color w:val="1F497D" w:themeColor="text2"/>
          <w:sz w:val="18"/>
          <w:szCs w:val="18"/>
        </w:rPr>
        <w:t>PESO DE LAS SUBVENCIONES s/ FACTURACIÓN por tipo de entidad (%)</w:t>
      </w:r>
      <w:bookmarkEnd w:id="392"/>
      <w:bookmarkEnd w:id="393"/>
    </w:p>
    <w:p w:rsidR="00B01F04" w:rsidRDefault="00B01F04" w:rsidP="00B01F04">
      <w:pPr>
        <w:widowControl w:val="0"/>
        <w:rPr>
          <w:rFonts w:cs="Arial"/>
        </w:rPr>
      </w:pPr>
    </w:p>
    <w:p w:rsidR="00B01F04" w:rsidRDefault="00B01F04" w:rsidP="00B01F04">
      <w:pPr>
        <w:widowControl w:val="0"/>
        <w:rPr>
          <w:rFonts w:cs="Arial"/>
        </w:rPr>
      </w:pPr>
      <w:r>
        <w:rPr>
          <w:rFonts w:cs="Arial"/>
          <w:noProof/>
          <w:lang w:eastAsia="es-ES"/>
        </w:rPr>
        <w:drawing>
          <wp:anchor distT="103632" distB="78613" distL="547116" distR="556260" simplePos="0" relativeHeight="251832320" behindDoc="0" locked="0" layoutInCell="1" allowOverlap="1">
            <wp:simplePos x="0" y="0"/>
            <wp:positionH relativeFrom="column">
              <wp:posOffset>215265</wp:posOffset>
            </wp:positionH>
            <wp:positionV relativeFrom="paragraph">
              <wp:posOffset>27305</wp:posOffset>
            </wp:positionV>
            <wp:extent cx="5029200" cy="1781175"/>
            <wp:effectExtent l="0" t="0" r="0" b="0"/>
            <wp:wrapNone/>
            <wp:docPr id="49"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D947A6" w:rsidRDefault="00D947A6" w:rsidP="00D947A6">
      <w:pPr>
        <w:widowControl w:val="0"/>
        <w:spacing w:line="240" w:lineRule="auto"/>
        <w:jc w:val="center"/>
        <w:rPr>
          <w:rFonts w:cs="Arial"/>
        </w:rPr>
      </w:pPr>
      <w:bookmarkStart w:id="394" w:name="_Toc445380987"/>
      <w:bookmarkStart w:id="395" w:name="_Toc450119838"/>
      <w:r w:rsidRPr="003B7EB5">
        <w:rPr>
          <w:rFonts w:cs="Arial"/>
          <w:b/>
          <w:bCs/>
          <w:snapToGrid w:val="0"/>
          <w:color w:val="1F497D" w:themeColor="text2"/>
          <w:sz w:val="18"/>
          <w:szCs w:val="18"/>
          <w:lang w:val="es-ES_tradnl"/>
        </w:rPr>
        <w:t>Cuadro 4.</w:t>
      </w:r>
      <w:r w:rsidR="00771A61" w:rsidRPr="003B7EB5">
        <w:rPr>
          <w:rFonts w:cs="Arial"/>
          <w:b/>
          <w:bCs/>
          <w:snapToGrid w:val="0"/>
          <w:color w:val="1F497D" w:themeColor="text2"/>
          <w:sz w:val="18"/>
          <w:szCs w:val="18"/>
          <w:lang w:val="es-ES_tradnl"/>
        </w:rPr>
        <w:fldChar w:fldCharType="begin"/>
      </w:r>
      <w:r w:rsidRPr="003B7EB5">
        <w:rPr>
          <w:rFonts w:cs="Arial"/>
          <w:b/>
          <w:bCs/>
          <w:snapToGrid w:val="0"/>
          <w:color w:val="1F497D" w:themeColor="text2"/>
          <w:sz w:val="18"/>
          <w:szCs w:val="18"/>
          <w:lang w:val="es-ES_tradnl"/>
        </w:rPr>
        <w:instrText xml:space="preserve"> SEQ Cuadro_4. \* ARABIC </w:instrText>
      </w:r>
      <w:r w:rsidR="00771A61" w:rsidRPr="003B7EB5">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13</w:t>
      </w:r>
      <w:r w:rsidR="00771A61" w:rsidRPr="003B7EB5">
        <w:rPr>
          <w:rFonts w:cs="Arial"/>
          <w:b/>
          <w:bCs/>
          <w:snapToGrid w:val="0"/>
          <w:color w:val="1F497D" w:themeColor="text2"/>
          <w:sz w:val="18"/>
          <w:szCs w:val="18"/>
          <w:lang w:val="es-ES_tradnl"/>
        </w:rPr>
        <w:fldChar w:fldCharType="end"/>
      </w:r>
      <w:r>
        <w:rPr>
          <w:rFonts w:cs="Arial"/>
          <w:b/>
          <w:bCs/>
          <w:color w:val="1F497D" w:themeColor="text2"/>
          <w:sz w:val="18"/>
          <w:szCs w:val="18"/>
        </w:rPr>
        <w:t xml:space="preserve">  </w:t>
      </w:r>
      <w:r w:rsidRPr="003B7EB5">
        <w:rPr>
          <w:rFonts w:cs="Arial"/>
          <w:b/>
          <w:color w:val="1F497D" w:themeColor="text2"/>
          <w:sz w:val="18"/>
          <w:szCs w:val="18"/>
        </w:rPr>
        <w:t>SUELDOS Y SALARIOS POR TIPO DE ENTIDAD NFES 2014 (cifras absolutas y %v)</w:t>
      </w:r>
      <w:bookmarkEnd w:id="394"/>
      <w:bookmarkEnd w:id="395"/>
    </w:p>
    <w:tbl>
      <w:tblPr>
        <w:tblW w:w="9991" w:type="dxa"/>
        <w:jc w:val="center"/>
        <w:tblInd w:w="1658" w:type="dxa"/>
        <w:tblCellMar>
          <w:left w:w="70" w:type="dxa"/>
          <w:right w:w="70" w:type="dxa"/>
        </w:tblCellMar>
        <w:tblLook w:val="04A0" w:firstRow="1" w:lastRow="0" w:firstColumn="1" w:lastColumn="0" w:noHBand="0" w:noVBand="1"/>
      </w:tblPr>
      <w:tblGrid>
        <w:gridCol w:w="4589"/>
        <w:gridCol w:w="2747"/>
        <w:gridCol w:w="2655"/>
      </w:tblGrid>
      <w:tr w:rsidR="00D947A6" w:rsidRPr="00080818" w:rsidTr="002E2BB9">
        <w:trPr>
          <w:jc w:val="center"/>
        </w:trPr>
        <w:tc>
          <w:tcPr>
            <w:tcW w:w="4589" w:type="dxa"/>
            <w:vMerge w:val="restart"/>
            <w:tcBorders>
              <w:top w:val="single" w:sz="8" w:space="0" w:color="BFBFBF"/>
              <w:left w:val="nil"/>
              <w:bottom w:val="single" w:sz="8" w:space="0" w:color="BFBFBF"/>
              <w:right w:val="single" w:sz="8" w:space="0" w:color="BFBFBF"/>
            </w:tcBorders>
            <w:shd w:val="clear" w:color="000000" w:fill="DBE5F1"/>
            <w:hideMark/>
          </w:tcPr>
          <w:p w:rsidR="00D947A6" w:rsidRPr="00080818" w:rsidRDefault="00D947A6" w:rsidP="002E2BB9">
            <w:pPr>
              <w:spacing w:line="240" w:lineRule="exact"/>
              <w:jc w:val="left"/>
              <w:rPr>
                <w:rFonts w:ascii="Calibri" w:eastAsia="Times New Roman" w:hAnsi="Calibri" w:cs="Times New Roman"/>
                <w:color w:val="000000"/>
                <w:sz w:val="22"/>
                <w:lang w:eastAsia="es-ES"/>
              </w:rPr>
            </w:pPr>
          </w:p>
        </w:tc>
        <w:tc>
          <w:tcPr>
            <w:tcW w:w="5402" w:type="dxa"/>
            <w:gridSpan w:val="2"/>
            <w:tcBorders>
              <w:top w:val="single" w:sz="8" w:space="0" w:color="BFBFBF"/>
              <w:left w:val="nil"/>
              <w:bottom w:val="single" w:sz="4" w:space="0" w:color="BFBFBF" w:themeColor="background1" w:themeShade="BF"/>
            </w:tcBorders>
            <w:shd w:val="clear" w:color="000000" w:fill="DBE5F1"/>
          </w:tcPr>
          <w:p w:rsidR="00D947A6" w:rsidRPr="00080818" w:rsidRDefault="00D947A6" w:rsidP="002E2BB9">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Sueldos y Salarios</w:t>
            </w:r>
          </w:p>
        </w:tc>
      </w:tr>
      <w:tr w:rsidR="00D947A6" w:rsidRPr="00080818" w:rsidTr="002E2BB9">
        <w:trPr>
          <w:trHeight w:val="60"/>
          <w:jc w:val="center"/>
        </w:trPr>
        <w:tc>
          <w:tcPr>
            <w:tcW w:w="4589" w:type="dxa"/>
            <w:vMerge/>
            <w:tcBorders>
              <w:top w:val="single" w:sz="8" w:space="0" w:color="BFBFBF"/>
              <w:left w:val="nil"/>
              <w:bottom w:val="single" w:sz="8" w:space="0" w:color="BFBFBF"/>
              <w:right w:val="single" w:sz="8" w:space="0" w:color="BFBFBF"/>
            </w:tcBorders>
            <w:vAlign w:val="center"/>
            <w:hideMark/>
          </w:tcPr>
          <w:p w:rsidR="00D947A6" w:rsidRPr="00080818" w:rsidRDefault="00D947A6" w:rsidP="002E2BB9">
            <w:pPr>
              <w:spacing w:line="240" w:lineRule="exact"/>
              <w:jc w:val="left"/>
              <w:rPr>
                <w:rFonts w:ascii="Calibri" w:eastAsia="Times New Roman" w:hAnsi="Calibri" w:cs="Times New Roman"/>
                <w:color w:val="000000"/>
                <w:sz w:val="22"/>
                <w:lang w:eastAsia="es-ES"/>
              </w:rPr>
            </w:pPr>
          </w:p>
        </w:tc>
        <w:tc>
          <w:tcPr>
            <w:tcW w:w="2747" w:type="dxa"/>
            <w:tcBorders>
              <w:top w:val="single" w:sz="4" w:space="0" w:color="BFBFBF" w:themeColor="background1" w:themeShade="BF"/>
              <w:left w:val="single" w:sz="4" w:space="0" w:color="BFBFBF" w:themeColor="background1" w:themeShade="BF"/>
              <w:bottom w:val="single" w:sz="8" w:space="0" w:color="BFBFBF"/>
              <w:right w:val="single" w:sz="8" w:space="0" w:color="BFBFBF"/>
            </w:tcBorders>
            <w:shd w:val="clear" w:color="000000" w:fill="DBE5F1"/>
            <w:hideMark/>
          </w:tcPr>
          <w:p w:rsidR="00D947A6" w:rsidRPr="00080818" w:rsidRDefault="00D947A6" w:rsidP="002E2BB9">
            <w:pPr>
              <w:spacing w:line="240" w:lineRule="exact"/>
              <w:jc w:val="center"/>
              <w:rPr>
                <w:rFonts w:eastAsia="Times New Roman" w:cs="Arial"/>
                <w:b/>
                <w:bCs/>
                <w:color w:val="000000"/>
                <w:sz w:val="16"/>
                <w:szCs w:val="16"/>
                <w:lang w:eastAsia="es-ES"/>
              </w:rPr>
            </w:pPr>
            <w:r>
              <w:rPr>
                <w:rFonts w:cs="Arial"/>
                <w:b/>
                <w:bCs/>
                <w:sz w:val="16"/>
                <w:szCs w:val="16"/>
                <w:lang w:val="en-GB"/>
              </w:rPr>
              <w:t>Abs.</w:t>
            </w:r>
          </w:p>
        </w:tc>
        <w:tc>
          <w:tcPr>
            <w:tcW w:w="2655" w:type="dxa"/>
            <w:tcBorders>
              <w:top w:val="single" w:sz="4" w:space="0" w:color="BFBFBF" w:themeColor="background1" w:themeShade="BF"/>
              <w:left w:val="nil"/>
              <w:bottom w:val="single" w:sz="8" w:space="0" w:color="BFBFBF"/>
            </w:tcBorders>
            <w:shd w:val="clear" w:color="000000" w:fill="DBE5F1"/>
            <w:hideMark/>
          </w:tcPr>
          <w:p w:rsidR="00D947A6" w:rsidRPr="00080818" w:rsidRDefault="00D947A6" w:rsidP="002E2BB9">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%v.</w:t>
            </w:r>
          </w:p>
        </w:tc>
      </w:tr>
      <w:tr w:rsidR="00D947A6" w:rsidRPr="00080818" w:rsidTr="002E2BB9">
        <w:trPr>
          <w:jc w:val="center"/>
        </w:trPr>
        <w:tc>
          <w:tcPr>
            <w:tcW w:w="4589" w:type="dxa"/>
            <w:tcBorders>
              <w:top w:val="nil"/>
              <w:left w:val="nil"/>
              <w:bottom w:val="nil"/>
              <w:right w:val="single" w:sz="8" w:space="0" w:color="BFBFBF"/>
            </w:tcBorders>
            <w:shd w:val="clear" w:color="auto" w:fill="auto"/>
            <w:hideMark/>
          </w:tcPr>
          <w:p w:rsidR="00D947A6" w:rsidRPr="00080818" w:rsidRDefault="00D947A6"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1. Fundaciones</w:t>
            </w:r>
          </w:p>
        </w:tc>
        <w:tc>
          <w:tcPr>
            <w:tcW w:w="2747" w:type="dxa"/>
            <w:tcBorders>
              <w:top w:val="nil"/>
              <w:left w:val="single" w:sz="4" w:space="0" w:color="BFBFBF" w:themeColor="background1" w:themeShade="BF"/>
              <w:bottom w:val="nil"/>
              <w:right w:val="single" w:sz="8" w:space="0" w:color="BFBFBF"/>
            </w:tcBorders>
            <w:shd w:val="clear" w:color="auto" w:fill="auto"/>
            <w:hideMark/>
          </w:tcPr>
          <w:p w:rsidR="00D947A6" w:rsidRPr="00080818" w:rsidRDefault="00D947A6" w:rsidP="002E2BB9">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423.096.194</w:t>
            </w:r>
          </w:p>
        </w:tc>
        <w:tc>
          <w:tcPr>
            <w:tcW w:w="2655" w:type="dxa"/>
            <w:tcBorders>
              <w:top w:val="nil"/>
              <w:left w:val="nil"/>
              <w:bottom w:val="nil"/>
            </w:tcBorders>
            <w:shd w:val="clear" w:color="auto" w:fill="auto"/>
            <w:vAlign w:val="bottom"/>
            <w:hideMark/>
          </w:tcPr>
          <w:p w:rsidR="00D947A6" w:rsidRPr="00596EB7" w:rsidRDefault="00D947A6" w:rsidP="002E2BB9">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58,3</w:t>
            </w:r>
          </w:p>
        </w:tc>
      </w:tr>
      <w:tr w:rsidR="00D947A6" w:rsidRPr="00080818" w:rsidTr="002E2BB9">
        <w:trPr>
          <w:jc w:val="center"/>
        </w:trPr>
        <w:tc>
          <w:tcPr>
            <w:tcW w:w="4589" w:type="dxa"/>
            <w:tcBorders>
              <w:top w:val="nil"/>
              <w:left w:val="nil"/>
              <w:bottom w:val="nil"/>
              <w:right w:val="single" w:sz="8" w:space="0" w:color="BFBFBF"/>
            </w:tcBorders>
            <w:shd w:val="clear" w:color="auto" w:fill="auto"/>
            <w:hideMark/>
          </w:tcPr>
          <w:p w:rsidR="00D947A6" w:rsidRPr="00080818" w:rsidRDefault="00D947A6"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2.Centros Especiales de Empleo</w:t>
            </w:r>
          </w:p>
        </w:tc>
        <w:tc>
          <w:tcPr>
            <w:tcW w:w="2747" w:type="dxa"/>
            <w:tcBorders>
              <w:top w:val="nil"/>
              <w:left w:val="single" w:sz="4" w:space="0" w:color="BFBFBF" w:themeColor="background1" w:themeShade="BF"/>
              <w:bottom w:val="nil"/>
              <w:right w:val="single" w:sz="8" w:space="0" w:color="BFBFBF"/>
            </w:tcBorders>
            <w:shd w:val="clear" w:color="auto" w:fill="auto"/>
            <w:vAlign w:val="bottom"/>
            <w:hideMark/>
          </w:tcPr>
          <w:p w:rsidR="00D947A6" w:rsidRPr="002E2473" w:rsidRDefault="00D947A6" w:rsidP="002E2BB9">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153.406.184</w:t>
            </w:r>
          </w:p>
        </w:tc>
        <w:tc>
          <w:tcPr>
            <w:tcW w:w="2655" w:type="dxa"/>
            <w:tcBorders>
              <w:top w:val="nil"/>
              <w:left w:val="nil"/>
              <w:bottom w:val="nil"/>
            </w:tcBorders>
            <w:shd w:val="clear" w:color="auto" w:fill="auto"/>
            <w:vAlign w:val="bottom"/>
            <w:hideMark/>
          </w:tcPr>
          <w:p w:rsidR="00D947A6" w:rsidRPr="00596EB7" w:rsidRDefault="00D947A6" w:rsidP="002E2BB9">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21,1</w:t>
            </w:r>
          </w:p>
        </w:tc>
      </w:tr>
      <w:tr w:rsidR="00D947A6" w:rsidRPr="00080818" w:rsidTr="002E2BB9">
        <w:trPr>
          <w:jc w:val="center"/>
        </w:trPr>
        <w:tc>
          <w:tcPr>
            <w:tcW w:w="4589" w:type="dxa"/>
            <w:tcBorders>
              <w:top w:val="nil"/>
              <w:left w:val="nil"/>
              <w:bottom w:val="nil"/>
              <w:right w:val="single" w:sz="8" w:space="0" w:color="BFBFBF"/>
            </w:tcBorders>
            <w:shd w:val="clear" w:color="auto" w:fill="auto"/>
            <w:hideMark/>
          </w:tcPr>
          <w:p w:rsidR="00D947A6" w:rsidRPr="00080818" w:rsidRDefault="00D947A6"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3.Asociaciones de Utilidad Pública</w:t>
            </w:r>
          </w:p>
        </w:tc>
        <w:tc>
          <w:tcPr>
            <w:tcW w:w="2747" w:type="dxa"/>
            <w:tcBorders>
              <w:top w:val="nil"/>
              <w:left w:val="single" w:sz="4" w:space="0" w:color="BFBFBF" w:themeColor="background1" w:themeShade="BF"/>
              <w:bottom w:val="nil"/>
              <w:right w:val="single" w:sz="8" w:space="0" w:color="BFBFBF"/>
            </w:tcBorders>
            <w:shd w:val="clear" w:color="auto" w:fill="auto"/>
            <w:vAlign w:val="bottom"/>
            <w:hideMark/>
          </w:tcPr>
          <w:p w:rsidR="00D947A6" w:rsidRPr="002E2473" w:rsidRDefault="00D947A6" w:rsidP="002E2BB9">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118.214.966</w:t>
            </w:r>
          </w:p>
        </w:tc>
        <w:tc>
          <w:tcPr>
            <w:tcW w:w="2655" w:type="dxa"/>
            <w:tcBorders>
              <w:top w:val="nil"/>
              <w:left w:val="nil"/>
              <w:bottom w:val="nil"/>
            </w:tcBorders>
            <w:shd w:val="clear" w:color="auto" w:fill="auto"/>
            <w:vAlign w:val="bottom"/>
            <w:hideMark/>
          </w:tcPr>
          <w:p w:rsidR="00D947A6" w:rsidRPr="00596EB7" w:rsidRDefault="00D947A6" w:rsidP="002E2BB9">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16,3</w:t>
            </w:r>
          </w:p>
        </w:tc>
      </w:tr>
      <w:tr w:rsidR="00D947A6" w:rsidRPr="00080818" w:rsidTr="002E2BB9">
        <w:trPr>
          <w:jc w:val="center"/>
        </w:trPr>
        <w:tc>
          <w:tcPr>
            <w:tcW w:w="4589" w:type="dxa"/>
            <w:tcBorders>
              <w:top w:val="nil"/>
              <w:left w:val="nil"/>
              <w:bottom w:val="nil"/>
              <w:right w:val="single" w:sz="8" w:space="0" w:color="BFBFBF"/>
            </w:tcBorders>
            <w:shd w:val="clear" w:color="auto" w:fill="auto"/>
            <w:noWrap/>
            <w:hideMark/>
          </w:tcPr>
          <w:p w:rsidR="00D947A6" w:rsidRPr="00080818" w:rsidRDefault="00D947A6"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4.Empresas de Inserción</w:t>
            </w:r>
          </w:p>
        </w:tc>
        <w:tc>
          <w:tcPr>
            <w:tcW w:w="2747" w:type="dxa"/>
            <w:tcBorders>
              <w:top w:val="nil"/>
              <w:left w:val="single" w:sz="4" w:space="0" w:color="BFBFBF" w:themeColor="background1" w:themeShade="BF"/>
              <w:bottom w:val="nil"/>
              <w:right w:val="single" w:sz="8" w:space="0" w:color="BFBFBF"/>
            </w:tcBorders>
            <w:shd w:val="clear" w:color="auto" w:fill="auto"/>
            <w:hideMark/>
          </w:tcPr>
          <w:p w:rsidR="00D947A6" w:rsidRPr="00080818" w:rsidRDefault="00D947A6" w:rsidP="002E2BB9">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18.701.920</w:t>
            </w:r>
          </w:p>
        </w:tc>
        <w:tc>
          <w:tcPr>
            <w:tcW w:w="2655" w:type="dxa"/>
            <w:tcBorders>
              <w:top w:val="nil"/>
              <w:left w:val="nil"/>
              <w:bottom w:val="nil"/>
            </w:tcBorders>
            <w:shd w:val="clear" w:color="auto" w:fill="auto"/>
            <w:vAlign w:val="bottom"/>
            <w:hideMark/>
          </w:tcPr>
          <w:p w:rsidR="00D947A6" w:rsidRPr="00596EB7" w:rsidRDefault="00D947A6" w:rsidP="002E2BB9">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2,6</w:t>
            </w:r>
          </w:p>
        </w:tc>
      </w:tr>
      <w:tr w:rsidR="00D947A6" w:rsidRPr="00080818" w:rsidTr="002E2BB9">
        <w:trPr>
          <w:jc w:val="center"/>
        </w:trPr>
        <w:tc>
          <w:tcPr>
            <w:tcW w:w="4589" w:type="dxa"/>
            <w:tcBorders>
              <w:top w:val="nil"/>
              <w:left w:val="nil"/>
              <w:bottom w:val="nil"/>
              <w:right w:val="single" w:sz="8" w:space="0" w:color="BFBFBF"/>
            </w:tcBorders>
            <w:shd w:val="clear" w:color="auto" w:fill="auto"/>
            <w:noWrap/>
            <w:hideMark/>
          </w:tcPr>
          <w:p w:rsidR="00D947A6" w:rsidRPr="00080818" w:rsidRDefault="00D947A6"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5.SATs</w:t>
            </w:r>
          </w:p>
        </w:tc>
        <w:tc>
          <w:tcPr>
            <w:tcW w:w="2747" w:type="dxa"/>
            <w:tcBorders>
              <w:top w:val="nil"/>
              <w:left w:val="single" w:sz="4" w:space="0" w:color="BFBFBF" w:themeColor="background1" w:themeShade="BF"/>
              <w:bottom w:val="nil"/>
              <w:right w:val="single" w:sz="8" w:space="0" w:color="BFBFBF"/>
            </w:tcBorders>
            <w:shd w:val="clear" w:color="auto" w:fill="auto"/>
            <w:hideMark/>
          </w:tcPr>
          <w:p w:rsidR="00D947A6" w:rsidRPr="00080818" w:rsidRDefault="00D947A6" w:rsidP="002E2BB9">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6.384.585</w:t>
            </w:r>
          </w:p>
        </w:tc>
        <w:tc>
          <w:tcPr>
            <w:tcW w:w="2655" w:type="dxa"/>
            <w:tcBorders>
              <w:top w:val="nil"/>
              <w:left w:val="nil"/>
              <w:bottom w:val="nil"/>
            </w:tcBorders>
            <w:shd w:val="clear" w:color="auto" w:fill="auto"/>
            <w:vAlign w:val="bottom"/>
            <w:hideMark/>
          </w:tcPr>
          <w:p w:rsidR="00D947A6" w:rsidRPr="00596EB7" w:rsidRDefault="00D947A6" w:rsidP="002E2BB9">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0,9</w:t>
            </w:r>
          </w:p>
        </w:tc>
      </w:tr>
      <w:tr w:rsidR="00D947A6" w:rsidRPr="00080818" w:rsidTr="002E2BB9">
        <w:trPr>
          <w:jc w:val="center"/>
        </w:trPr>
        <w:tc>
          <w:tcPr>
            <w:tcW w:w="4589" w:type="dxa"/>
            <w:tcBorders>
              <w:top w:val="nil"/>
              <w:left w:val="nil"/>
              <w:bottom w:val="nil"/>
              <w:right w:val="single" w:sz="8" w:space="0" w:color="BFBFBF"/>
            </w:tcBorders>
            <w:shd w:val="clear" w:color="auto" w:fill="auto"/>
            <w:noWrap/>
            <w:hideMark/>
          </w:tcPr>
          <w:p w:rsidR="00D947A6" w:rsidRPr="00080818" w:rsidRDefault="00D947A6"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6.Cofradías de Pescadores</w:t>
            </w:r>
          </w:p>
        </w:tc>
        <w:tc>
          <w:tcPr>
            <w:tcW w:w="2747" w:type="dxa"/>
            <w:tcBorders>
              <w:top w:val="nil"/>
              <w:left w:val="single" w:sz="4" w:space="0" w:color="BFBFBF" w:themeColor="background1" w:themeShade="BF"/>
              <w:bottom w:val="nil"/>
              <w:right w:val="single" w:sz="8" w:space="0" w:color="BFBFBF"/>
            </w:tcBorders>
            <w:shd w:val="clear" w:color="auto" w:fill="auto"/>
            <w:hideMark/>
          </w:tcPr>
          <w:p w:rsidR="00D947A6" w:rsidRPr="00080818" w:rsidRDefault="00D947A6" w:rsidP="002E2BB9">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2.686.363</w:t>
            </w:r>
          </w:p>
        </w:tc>
        <w:tc>
          <w:tcPr>
            <w:tcW w:w="2655" w:type="dxa"/>
            <w:tcBorders>
              <w:top w:val="nil"/>
              <w:left w:val="nil"/>
              <w:bottom w:val="nil"/>
            </w:tcBorders>
            <w:shd w:val="clear" w:color="auto" w:fill="auto"/>
            <w:vAlign w:val="bottom"/>
            <w:hideMark/>
          </w:tcPr>
          <w:p w:rsidR="00D947A6" w:rsidRPr="00596EB7" w:rsidRDefault="00D947A6" w:rsidP="002E2BB9">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0,4</w:t>
            </w:r>
          </w:p>
        </w:tc>
      </w:tr>
      <w:tr w:rsidR="00D947A6" w:rsidRPr="00080818" w:rsidTr="002E2BB9">
        <w:trPr>
          <w:jc w:val="center"/>
        </w:trPr>
        <w:tc>
          <w:tcPr>
            <w:tcW w:w="4589" w:type="dxa"/>
            <w:tcBorders>
              <w:top w:val="nil"/>
              <w:left w:val="nil"/>
              <w:bottom w:val="single" w:sz="8" w:space="0" w:color="BFBFBF"/>
              <w:right w:val="single" w:sz="8" w:space="0" w:color="BFBFBF"/>
            </w:tcBorders>
            <w:shd w:val="clear" w:color="auto" w:fill="auto"/>
            <w:noWrap/>
            <w:hideMark/>
          </w:tcPr>
          <w:p w:rsidR="00D947A6" w:rsidRPr="00080818" w:rsidRDefault="00D947A6" w:rsidP="002E2BB9">
            <w:pPr>
              <w:spacing w:line="240" w:lineRule="exact"/>
              <w:rPr>
                <w:rFonts w:eastAsia="Times New Roman" w:cs="Arial"/>
                <w:color w:val="000000"/>
                <w:sz w:val="16"/>
                <w:szCs w:val="16"/>
                <w:lang w:eastAsia="es-ES"/>
              </w:rPr>
            </w:pPr>
            <w:r w:rsidRPr="00080818">
              <w:rPr>
                <w:rFonts w:eastAsia="Times New Roman" w:cs="Arial"/>
                <w:color w:val="000000"/>
                <w:sz w:val="16"/>
                <w:szCs w:val="16"/>
                <w:lang w:eastAsia="es-ES"/>
              </w:rPr>
              <w:t>7.EPSVs</w:t>
            </w:r>
          </w:p>
        </w:tc>
        <w:tc>
          <w:tcPr>
            <w:tcW w:w="2747" w:type="dxa"/>
            <w:tcBorders>
              <w:top w:val="nil"/>
              <w:left w:val="single" w:sz="4" w:space="0" w:color="BFBFBF" w:themeColor="background1" w:themeShade="BF"/>
              <w:bottom w:val="single" w:sz="8" w:space="0" w:color="BFBFBF"/>
              <w:right w:val="single" w:sz="8" w:space="0" w:color="BFBFBF"/>
            </w:tcBorders>
            <w:shd w:val="clear" w:color="auto" w:fill="auto"/>
            <w:hideMark/>
          </w:tcPr>
          <w:p w:rsidR="00D947A6" w:rsidRPr="00080818" w:rsidRDefault="00D947A6" w:rsidP="002E2BB9">
            <w:pPr>
              <w:spacing w:line="240" w:lineRule="exact"/>
              <w:ind w:right="347"/>
              <w:jc w:val="right"/>
              <w:rPr>
                <w:rFonts w:eastAsia="Times New Roman" w:cs="Arial"/>
                <w:color w:val="000000"/>
                <w:sz w:val="16"/>
                <w:szCs w:val="16"/>
                <w:lang w:eastAsia="es-ES"/>
              </w:rPr>
            </w:pPr>
            <w:r w:rsidRPr="003B696B">
              <w:rPr>
                <w:rFonts w:eastAsia="Times New Roman" w:cs="Arial"/>
                <w:color w:val="000000"/>
                <w:sz w:val="16"/>
                <w:szCs w:val="16"/>
                <w:lang w:eastAsia="es-ES"/>
              </w:rPr>
              <w:t>3.202.037*</w:t>
            </w:r>
          </w:p>
        </w:tc>
        <w:tc>
          <w:tcPr>
            <w:tcW w:w="2655" w:type="dxa"/>
            <w:tcBorders>
              <w:top w:val="nil"/>
              <w:left w:val="nil"/>
              <w:bottom w:val="single" w:sz="8" w:space="0" w:color="BFBFBF"/>
            </w:tcBorders>
            <w:shd w:val="clear" w:color="auto" w:fill="auto"/>
            <w:noWrap/>
            <w:vAlign w:val="bottom"/>
            <w:hideMark/>
          </w:tcPr>
          <w:p w:rsidR="00D947A6" w:rsidRPr="00596EB7" w:rsidRDefault="00D947A6" w:rsidP="002E2BB9">
            <w:pPr>
              <w:spacing w:line="240" w:lineRule="exact"/>
              <w:ind w:right="347"/>
              <w:jc w:val="right"/>
              <w:rPr>
                <w:rFonts w:eastAsia="Times New Roman" w:cs="Arial"/>
                <w:color w:val="000000"/>
                <w:sz w:val="16"/>
                <w:szCs w:val="16"/>
                <w:lang w:eastAsia="es-ES"/>
              </w:rPr>
            </w:pPr>
            <w:r w:rsidRPr="00596EB7">
              <w:rPr>
                <w:rFonts w:eastAsia="Times New Roman" w:cs="Arial"/>
                <w:color w:val="000000"/>
                <w:sz w:val="16"/>
                <w:szCs w:val="16"/>
                <w:lang w:eastAsia="es-ES"/>
              </w:rPr>
              <w:t>0,4</w:t>
            </w:r>
          </w:p>
        </w:tc>
      </w:tr>
      <w:tr w:rsidR="00D947A6" w:rsidRPr="00080818" w:rsidTr="002E2BB9">
        <w:trPr>
          <w:jc w:val="center"/>
        </w:trPr>
        <w:tc>
          <w:tcPr>
            <w:tcW w:w="4589" w:type="dxa"/>
            <w:tcBorders>
              <w:top w:val="nil"/>
              <w:left w:val="nil"/>
              <w:bottom w:val="single" w:sz="8" w:space="0" w:color="BFBFBF"/>
              <w:right w:val="single" w:sz="8" w:space="0" w:color="BFBFBF"/>
            </w:tcBorders>
            <w:shd w:val="clear" w:color="auto" w:fill="auto"/>
            <w:noWrap/>
            <w:hideMark/>
          </w:tcPr>
          <w:p w:rsidR="00D947A6" w:rsidRPr="00623693" w:rsidRDefault="00D947A6" w:rsidP="002E2BB9">
            <w:pPr>
              <w:spacing w:line="240" w:lineRule="exact"/>
              <w:rPr>
                <w:rFonts w:eastAsia="Times New Roman" w:cs="Arial"/>
                <w:b/>
                <w:color w:val="000000"/>
                <w:sz w:val="16"/>
                <w:szCs w:val="16"/>
                <w:lang w:eastAsia="es-ES"/>
              </w:rPr>
            </w:pPr>
            <w:r w:rsidRPr="00623693">
              <w:rPr>
                <w:rFonts w:eastAsia="Times New Roman" w:cs="Arial"/>
                <w:b/>
                <w:color w:val="000000"/>
                <w:sz w:val="16"/>
                <w:szCs w:val="16"/>
                <w:lang w:eastAsia="es-ES"/>
              </w:rPr>
              <w:t>TOTAL</w:t>
            </w:r>
          </w:p>
        </w:tc>
        <w:tc>
          <w:tcPr>
            <w:tcW w:w="2747" w:type="dxa"/>
            <w:tcBorders>
              <w:top w:val="nil"/>
              <w:left w:val="single" w:sz="4" w:space="0" w:color="BFBFBF" w:themeColor="background1" w:themeShade="BF"/>
              <w:bottom w:val="single" w:sz="8" w:space="0" w:color="BFBFBF"/>
              <w:right w:val="single" w:sz="8" w:space="0" w:color="BFBFBF"/>
            </w:tcBorders>
            <w:shd w:val="clear" w:color="auto" w:fill="auto"/>
            <w:hideMark/>
          </w:tcPr>
          <w:p w:rsidR="00D947A6" w:rsidRPr="00080818" w:rsidRDefault="00D947A6" w:rsidP="002E2BB9">
            <w:pPr>
              <w:spacing w:line="240" w:lineRule="exact"/>
              <w:ind w:right="347"/>
              <w:jc w:val="right"/>
              <w:rPr>
                <w:rFonts w:eastAsia="Times New Roman" w:cs="Arial"/>
                <w:b/>
                <w:bCs/>
                <w:color w:val="000000"/>
                <w:sz w:val="16"/>
                <w:szCs w:val="16"/>
                <w:lang w:eastAsia="es-ES"/>
              </w:rPr>
            </w:pPr>
            <w:r>
              <w:rPr>
                <w:rFonts w:eastAsia="Times New Roman" w:cs="Arial"/>
                <w:b/>
                <w:color w:val="000000"/>
                <w:sz w:val="16"/>
                <w:szCs w:val="16"/>
                <w:lang w:eastAsia="es-ES"/>
              </w:rPr>
              <w:t>725.692.249</w:t>
            </w:r>
          </w:p>
        </w:tc>
        <w:tc>
          <w:tcPr>
            <w:tcW w:w="2655" w:type="dxa"/>
            <w:tcBorders>
              <w:top w:val="nil"/>
              <w:left w:val="nil"/>
              <w:bottom w:val="single" w:sz="8" w:space="0" w:color="BFBFBF"/>
            </w:tcBorders>
            <w:shd w:val="clear" w:color="auto" w:fill="auto"/>
            <w:hideMark/>
          </w:tcPr>
          <w:p w:rsidR="00D947A6" w:rsidRPr="00F9107D" w:rsidRDefault="00D947A6" w:rsidP="002E2BB9">
            <w:pPr>
              <w:spacing w:line="240" w:lineRule="auto"/>
              <w:ind w:left="1418"/>
              <w:jc w:val="center"/>
              <w:rPr>
                <w:rFonts w:eastAsia="Times New Roman" w:cs="Arial"/>
                <w:b/>
                <w:bCs/>
                <w:color w:val="000000"/>
                <w:sz w:val="16"/>
                <w:szCs w:val="16"/>
                <w:lang w:eastAsia="es-ES"/>
              </w:rPr>
            </w:pPr>
            <w:r>
              <w:rPr>
                <w:rFonts w:eastAsia="Times New Roman" w:cs="Arial"/>
                <w:b/>
                <w:bCs/>
                <w:color w:val="000000"/>
                <w:sz w:val="16"/>
                <w:szCs w:val="16"/>
                <w:lang w:eastAsia="es-ES"/>
              </w:rPr>
              <w:t>100,0</w:t>
            </w:r>
          </w:p>
        </w:tc>
      </w:tr>
    </w:tbl>
    <w:p w:rsidR="00D947A6" w:rsidRPr="0088597F" w:rsidRDefault="00D947A6" w:rsidP="00D947A6">
      <w:pPr>
        <w:spacing w:line="240" w:lineRule="auto"/>
        <w:rPr>
          <w:rFonts w:cs="Arial"/>
          <w:i/>
          <w:sz w:val="16"/>
          <w:szCs w:val="16"/>
        </w:rPr>
      </w:pPr>
      <w:r w:rsidRPr="0088597F">
        <w:rPr>
          <w:rFonts w:cs="Arial"/>
          <w:i/>
          <w:sz w:val="16"/>
          <w:szCs w:val="16"/>
        </w:rPr>
        <w:t>*</w:t>
      </w:r>
      <w:r w:rsidRPr="00B27F35">
        <w:rPr>
          <w:rFonts w:cs="Arial"/>
          <w:i/>
          <w:sz w:val="16"/>
          <w:szCs w:val="16"/>
        </w:rPr>
        <w:t xml:space="preserve"> </w:t>
      </w:r>
      <w:r w:rsidRPr="0088597F">
        <w:rPr>
          <w:rFonts w:cs="Arial"/>
          <w:i/>
          <w:sz w:val="16"/>
          <w:szCs w:val="16"/>
        </w:rPr>
        <w:t xml:space="preserve">Fuente: </w:t>
      </w:r>
      <w:r>
        <w:rPr>
          <w:rFonts w:cs="Arial"/>
          <w:i/>
          <w:sz w:val="16"/>
          <w:szCs w:val="16"/>
        </w:rPr>
        <w:t xml:space="preserve">Informe nº 20 Pérdidas y Ganancias Agregada, </w:t>
      </w:r>
      <w:r w:rsidRPr="0088597F">
        <w:rPr>
          <w:rFonts w:cs="Arial"/>
          <w:i/>
          <w:sz w:val="16"/>
          <w:szCs w:val="16"/>
        </w:rPr>
        <w:t>IV Trimestre de 2014</w:t>
      </w:r>
      <w:r>
        <w:rPr>
          <w:rFonts w:cs="Arial"/>
          <w:i/>
          <w:sz w:val="16"/>
          <w:szCs w:val="16"/>
        </w:rPr>
        <w:t>,</w:t>
      </w:r>
      <w:r w:rsidRPr="0088597F">
        <w:rPr>
          <w:rFonts w:cs="Arial"/>
          <w:i/>
          <w:sz w:val="16"/>
          <w:szCs w:val="16"/>
        </w:rPr>
        <w:t xml:space="preserve"> Departamento de Hacienda y Finanzas. Dirección de Política Financ</w:t>
      </w:r>
      <w:r>
        <w:rPr>
          <w:rFonts w:cs="Arial"/>
          <w:i/>
          <w:sz w:val="16"/>
          <w:szCs w:val="16"/>
        </w:rPr>
        <w:t>iera y Recursos Institucionales.</w:t>
      </w:r>
    </w:p>
    <w:p w:rsidR="00B01F04" w:rsidRDefault="00B01F04" w:rsidP="00B01F04">
      <w:pPr>
        <w:widowControl w:val="0"/>
        <w:rPr>
          <w:rFonts w:cs="Arial"/>
        </w:rPr>
      </w:pPr>
    </w:p>
    <w:p w:rsidR="00B01F04" w:rsidRDefault="00A67658" w:rsidP="00B01F04">
      <w:pPr>
        <w:widowControl w:val="0"/>
        <w:spacing w:line="240" w:lineRule="auto"/>
        <w:jc w:val="center"/>
        <w:rPr>
          <w:rFonts w:cs="Arial"/>
        </w:rPr>
      </w:pPr>
      <w:bookmarkStart w:id="396" w:name="_Toc445380986"/>
      <w:bookmarkStart w:id="397" w:name="_Toc450119839"/>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14</w:t>
      </w:r>
      <w:r w:rsidR="00771A61" w:rsidRPr="00A67658">
        <w:rPr>
          <w:rFonts w:cs="Arial"/>
          <w:b/>
          <w:bCs/>
          <w:snapToGrid w:val="0"/>
          <w:color w:val="1F497D" w:themeColor="text2"/>
          <w:sz w:val="18"/>
          <w:szCs w:val="18"/>
          <w:lang w:val="es-ES_tradnl"/>
        </w:rPr>
        <w:fldChar w:fldCharType="end"/>
      </w:r>
      <w:r w:rsidR="00B01F04">
        <w:rPr>
          <w:rFonts w:cs="Arial"/>
          <w:b/>
          <w:bCs/>
          <w:color w:val="1F497D" w:themeColor="text2"/>
          <w:sz w:val="18"/>
          <w:szCs w:val="18"/>
        </w:rPr>
        <w:t xml:space="preserve">  </w:t>
      </w:r>
      <w:r w:rsidR="00B01F04">
        <w:rPr>
          <w:rFonts w:cs="Arial"/>
          <w:b/>
          <w:color w:val="1F497D" w:themeColor="text2"/>
          <w:sz w:val="18"/>
          <w:szCs w:val="18"/>
        </w:rPr>
        <w:t>SUELDOS Y SALARIOS POR TIPO DE ENTIDAD NFES 2014 Y RATIO DE SUELDOS Y SALARIOS POR EMPLEO REMUNERADO (cifras absolutas)</w:t>
      </w:r>
      <w:bookmarkEnd w:id="396"/>
      <w:bookmarkEnd w:id="397"/>
    </w:p>
    <w:tbl>
      <w:tblPr>
        <w:tblW w:w="9940" w:type="dxa"/>
        <w:jc w:val="center"/>
        <w:tblCellMar>
          <w:left w:w="70" w:type="dxa"/>
          <w:right w:w="70" w:type="dxa"/>
        </w:tblCellMar>
        <w:tblLook w:val="04A0" w:firstRow="1" w:lastRow="0" w:firstColumn="1" w:lastColumn="0" w:noHBand="0" w:noVBand="1"/>
      </w:tblPr>
      <w:tblGrid>
        <w:gridCol w:w="6388"/>
        <w:gridCol w:w="1776"/>
        <w:gridCol w:w="1776"/>
      </w:tblGrid>
      <w:tr w:rsidR="00B01F04" w:rsidRPr="003C5156" w:rsidTr="00D86960">
        <w:trPr>
          <w:jc w:val="center"/>
        </w:trPr>
        <w:tc>
          <w:tcPr>
            <w:tcW w:w="6388" w:type="dxa"/>
            <w:tcBorders>
              <w:top w:val="single" w:sz="8" w:space="0" w:color="BFBFBF"/>
              <w:left w:val="nil"/>
              <w:bottom w:val="single" w:sz="8" w:space="0" w:color="BFBFBF"/>
              <w:right w:val="single" w:sz="8" w:space="0" w:color="BFBFBF"/>
            </w:tcBorders>
            <w:shd w:val="clear" w:color="000000" w:fill="DBE5F1"/>
            <w:hideMark/>
          </w:tcPr>
          <w:p w:rsidR="00B01F04" w:rsidRPr="003C5156" w:rsidRDefault="00B01F04" w:rsidP="00D86960">
            <w:pPr>
              <w:spacing w:line="240" w:lineRule="exact"/>
              <w:rPr>
                <w:rFonts w:eastAsia="Times New Roman" w:cs="Arial"/>
                <w:b/>
                <w:bCs/>
                <w:color w:val="000000"/>
                <w:sz w:val="16"/>
                <w:szCs w:val="16"/>
                <w:lang w:eastAsia="es-ES"/>
              </w:rPr>
            </w:pPr>
            <w:r w:rsidRPr="003C5156">
              <w:rPr>
                <w:rFonts w:eastAsia="Times New Roman" w:cs="Arial"/>
                <w:b/>
                <w:bCs/>
                <w:color w:val="000000"/>
                <w:sz w:val="16"/>
                <w:szCs w:val="16"/>
                <w:lang w:eastAsia="es-ES"/>
              </w:rPr>
              <w:t> </w:t>
            </w:r>
          </w:p>
        </w:tc>
        <w:tc>
          <w:tcPr>
            <w:tcW w:w="1776" w:type="dxa"/>
            <w:tcBorders>
              <w:top w:val="single" w:sz="8" w:space="0" w:color="BFBFBF"/>
              <w:left w:val="nil"/>
              <w:bottom w:val="single" w:sz="4" w:space="0" w:color="BFBFBF" w:themeColor="background1" w:themeShade="BF"/>
              <w:right w:val="single" w:sz="8" w:space="0" w:color="BFBFBF"/>
            </w:tcBorders>
            <w:shd w:val="clear" w:color="000000" w:fill="DBE5F1"/>
            <w:vAlign w:val="center"/>
            <w:hideMark/>
          </w:tcPr>
          <w:p w:rsidR="00B01F04" w:rsidRPr="003C5156"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Sueldos y Salarios</w:t>
            </w:r>
          </w:p>
        </w:tc>
        <w:tc>
          <w:tcPr>
            <w:tcW w:w="1776" w:type="dxa"/>
            <w:tcBorders>
              <w:top w:val="single" w:sz="8" w:space="0" w:color="BFBFBF"/>
              <w:left w:val="nil"/>
              <w:bottom w:val="single" w:sz="4" w:space="0" w:color="BFBFBF" w:themeColor="background1" w:themeShade="BF"/>
              <w:right w:val="nil"/>
            </w:tcBorders>
            <w:shd w:val="clear" w:color="000000" w:fill="DBE5F1"/>
            <w:hideMark/>
          </w:tcPr>
          <w:p w:rsidR="00B01F04" w:rsidRPr="003C5156" w:rsidRDefault="00B01F04" w:rsidP="00D86960">
            <w:pPr>
              <w:spacing w:line="240" w:lineRule="exact"/>
              <w:jc w:val="center"/>
              <w:rPr>
                <w:rFonts w:eastAsia="Times New Roman" w:cs="Arial"/>
                <w:b/>
                <w:bCs/>
                <w:color w:val="000000"/>
                <w:sz w:val="16"/>
                <w:szCs w:val="16"/>
                <w:lang w:eastAsia="es-ES"/>
              </w:rPr>
            </w:pPr>
            <w:r>
              <w:rPr>
                <w:rFonts w:eastAsia="Times New Roman" w:cs="Arial"/>
                <w:b/>
                <w:bCs/>
                <w:color w:val="000000"/>
                <w:sz w:val="16"/>
                <w:szCs w:val="16"/>
                <w:lang w:eastAsia="es-ES"/>
              </w:rPr>
              <w:t xml:space="preserve">Ratio </w:t>
            </w:r>
            <w:proofErr w:type="spellStart"/>
            <w:r>
              <w:rPr>
                <w:rFonts w:eastAsia="Times New Roman" w:cs="Arial"/>
                <w:b/>
                <w:bCs/>
                <w:color w:val="000000"/>
                <w:sz w:val="16"/>
                <w:szCs w:val="16"/>
                <w:lang w:eastAsia="es-ES"/>
              </w:rPr>
              <w:t>SyS</w:t>
            </w:r>
            <w:proofErr w:type="spellEnd"/>
            <w:r>
              <w:rPr>
                <w:rFonts w:eastAsia="Times New Roman" w:cs="Arial"/>
                <w:b/>
                <w:bCs/>
                <w:color w:val="000000"/>
                <w:sz w:val="16"/>
                <w:szCs w:val="16"/>
                <w:lang w:eastAsia="es-ES"/>
              </w:rPr>
              <w:t>/ Empleo remunerado</w:t>
            </w:r>
          </w:p>
        </w:tc>
      </w:tr>
      <w:tr w:rsidR="00B01F04" w:rsidRPr="003C5156" w:rsidTr="00D86960">
        <w:trPr>
          <w:jc w:val="center"/>
        </w:trPr>
        <w:tc>
          <w:tcPr>
            <w:tcW w:w="63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1. Fundaciones</w:t>
            </w:r>
          </w:p>
        </w:tc>
        <w:tc>
          <w:tcPr>
            <w:tcW w:w="1776" w:type="dxa"/>
            <w:tcBorders>
              <w:top w:val="single" w:sz="4" w:space="0" w:color="BFBFBF" w:themeColor="background1" w:themeShade="BF"/>
              <w:left w:val="nil"/>
              <w:bottom w:val="nil"/>
              <w:right w:val="single" w:sz="8" w:space="0" w:color="BFBFBF"/>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423.096.194</w:t>
            </w:r>
          </w:p>
        </w:tc>
        <w:tc>
          <w:tcPr>
            <w:tcW w:w="1776" w:type="dxa"/>
            <w:tcBorders>
              <w:top w:val="single" w:sz="4" w:space="0" w:color="BFBFBF" w:themeColor="background1" w:themeShade="BF"/>
              <w:left w:val="nil"/>
              <w:bottom w:val="nil"/>
              <w:right w:val="nil"/>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ascii="Calibri" w:eastAsia="Times New Roman" w:hAnsi="Calibri" w:cs="Times New Roman"/>
                <w:color w:val="000000"/>
                <w:sz w:val="18"/>
                <w:szCs w:val="18"/>
                <w:lang w:eastAsia="es-ES"/>
              </w:rPr>
              <w:t>40.364</w:t>
            </w:r>
          </w:p>
        </w:tc>
      </w:tr>
      <w:tr w:rsidR="00B01F04" w:rsidRPr="003C5156" w:rsidTr="00D86960">
        <w:trPr>
          <w:jc w:val="center"/>
        </w:trPr>
        <w:tc>
          <w:tcPr>
            <w:tcW w:w="63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2.Centros Especiales de Empleo</w:t>
            </w:r>
          </w:p>
        </w:tc>
        <w:tc>
          <w:tcPr>
            <w:tcW w:w="1776" w:type="dxa"/>
            <w:tcBorders>
              <w:top w:val="nil"/>
              <w:left w:val="nil"/>
              <w:bottom w:val="nil"/>
              <w:right w:val="single" w:sz="8" w:space="0" w:color="BFBFBF"/>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153.406.184</w:t>
            </w:r>
          </w:p>
        </w:tc>
        <w:tc>
          <w:tcPr>
            <w:tcW w:w="1776" w:type="dxa"/>
            <w:tcBorders>
              <w:top w:val="nil"/>
              <w:left w:val="nil"/>
              <w:bottom w:val="nil"/>
              <w:right w:val="nil"/>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19.369</w:t>
            </w:r>
          </w:p>
        </w:tc>
      </w:tr>
      <w:tr w:rsidR="00B01F04" w:rsidRPr="003C5156" w:rsidTr="00D86960">
        <w:trPr>
          <w:jc w:val="center"/>
        </w:trPr>
        <w:tc>
          <w:tcPr>
            <w:tcW w:w="63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3.Asociaciones de Utilidad Pública</w:t>
            </w:r>
          </w:p>
        </w:tc>
        <w:tc>
          <w:tcPr>
            <w:tcW w:w="1776" w:type="dxa"/>
            <w:tcBorders>
              <w:top w:val="nil"/>
              <w:left w:val="nil"/>
              <w:bottom w:val="nil"/>
              <w:right w:val="single" w:sz="8" w:space="0" w:color="BFBFBF"/>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118.214.966</w:t>
            </w:r>
          </w:p>
        </w:tc>
        <w:tc>
          <w:tcPr>
            <w:tcW w:w="1776" w:type="dxa"/>
            <w:tcBorders>
              <w:top w:val="nil"/>
              <w:left w:val="nil"/>
              <w:bottom w:val="nil"/>
              <w:right w:val="nil"/>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ascii="Calibri" w:eastAsia="Times New Roman" w:hAnsi="Calibri" w:cs="Times New Roman"/>
                <w:color w:val="000000"/>
                <w:sz w:val="18"/>
                <w:szCs w:val="18"/>
                <w:lang w:eastAsia="es-ES"/>
              </w:rPr>
              <w:t>22.106</w:t>
            </w:r>
          </w:p>
        </w:tc>
      </w:tr>
      <w:tr w:rsidR="00B01F04" w:rsidRPr="003C5156" w:rsidTr="00D86960">
        <w:trPr>
          <w:jc w:val="center"/>
        </w:trPr>
        <w:tc>
          <w:tcPr>
            <w:tcW w:w="63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4.Empresas de Inserción</w:t>
            </w:r>
          </w:p>
        </w:tc>
        <w:tc>
          <w:tcPr>
            <w:tcW w:w="1776" w:type="dxa"/>
            <w:tcBorders>
              <w:top w:val="nil"/>
              <w:left w:val="nil"/>
              <w:bottom w:val="nil"/>
              <w:right w:val="single" w:sz="8" w:space="0" w:color="BFBFBF"/>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18.701.920</w:t>
            </w:r>
          </w:p>
        </w:tc>
        <w:tc>
          <w:tcPr>
            <w:tcW w:w="1776" w:type="dxa"/>
            <w:tcBorders>
              <w:top w:val="nil"/>
              <w:left w:val="nil"/>
              <w:bottom w:val="nil"/>
              <w:right w:val="nil"/>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22.106</w:t>
            </w:r>
          </w:p>
        </w:tc>
      </w:tr>
      <w:tr w:rsidR="00B01F04" w:rsidRPr="003C5156" w:rsidTr="00D86960">
        <w:trPr>
          <w:jc w:val="center"/>
        </w:trPr>
        <w:tc>
          <w:tcPr>
            <w:tcW w:w="63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5.SATs</w:t>
            </w:r>
          </w:p>
        </w:tc>
        <w:tc>
          <w:tcPr>
            <w:tcW w:w="1776" w:type="dxa"/>
            <w:tcBorders>
              <w:top w:val="nil"/>
              <w:left w:val="nil"/>
              <w:bottom w:val="nil"/>
              <w:right w:val="single" w:sz="8" w:space="0" w:color="BFBFBF"/>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6.384.585</w:t>
            </w:r>
          </w:p>
        </w:tc>
        <w:tc>
          <w:tcPr>
            <w:tcW w:w="1776" w:type="dxa"/>
            <w:tcBorders>
              <w:top w:val="nil"/>
              <w:left w:val="nil"/>
              <w:bottom w:val="nil"/>
              <w:right w:val="nil"/>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26.714</w:t>
            </w:r>
          </w:p>
        </w:tc>
      </w:tr>
      <w:tr w:rsidR="00B01F04" w:rsidRPr="003C5156" w:rsidTr="00D86960">
        <w:trPr>
          <w:jc w:val="center"/>
        </w:trPr>
        <w:tc>
          <w:tcPr>
            <w:tcW w:w="6388" w:type="dxa"/>
            <w:tcBorders>
              <w:top w:val="nil"/>
              <w:left w:val="nil"/>
              <w:bottom w:val="nil"/>
              <w:right w:val="single" w:sz="8" w:space="0" w:color="BFBFBF"/>
            </w:tcBorders>
            <w:shd w:val="clear" w:color="auto" w:fill="auto"/>
            <w:hideMark/>
          </w:tcPr>
          <w:p w:rsidR="00B01F04" w:rsidRPr="00AB3187" w:rsidRDefault="00B01F04" w:rsidP="00D86960">
            <w:pPr>
              <w:spacing w:line="240" w:lineRule="exact"/>
              <w:rPr>
                <w:rFonts w:eastAsia="Times New Roman" w:cs="Arial"/>
                <w:color w:val="000000"/>
                <w:sz w:val="16"/>
                <w:szCs w:val="16"/>
                <w:lang w:eastAsia="es-ES"/>
              </w:rPr>
            </w:pPr>
            <w:r w:rsidRPr="00AB3187">
              <w:rPr>
                <w:rFonts w:eastAsia="Times New Roman" w:cs="Arial"/>
                <w:color w:val="000000"/>
                <w:sz w:val="16"/>
                <w:szCs w:val="16"/>
                <w:lang w:eastAsia="es-ES"/>
              </w:rPr>
              <w:t>6.Cofradías de Pescadores</w:t>
            </w:r>
          </w:p>
        </w:tc>
        <w:tc>
          <w:tcPr>
            <w:tcW w:w="1776" w:type="dxa"/>
            <w:tcBorders>
              <w:top w:val="nil"/>
              <w:left w:val="nil"/>
              <w:bottom w:val="nil"/>
              <w:right w:val="single" w:sz="8" w:space="0" w:color="BFBFBF"/>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2.686.363</w:t>
            </w:r>
          </w:p>
        </w:tc>
        <w:tc>
          <w:tcPr>
            <w:tcW w:w="1776" w:type="dxa"/>
            <w:tcBorders>
              <w:top w:val="nil"/>
              <w:left w:val="nil"/>
              <w:bottom w:val="nil"/>
              <w:right w:val="nil"/>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42.641</w:t>
            </w:r>
          </w:p>
        </w:tc>
      </w:tr>
      <w:tr w:rsidR="00B01F04" w:rsidRPr="003C5156" w:rsidTr="00D86960">
        <w:trPr>
          <w:jc w:val="center"/>
        </w:trPr>
        <w:tc>
          <w:tcPr>
            <w:tcW w:w="6388" w:type="dxa"/>
            <w:tcBorders>
              <w:top w:val="nil"/>
              <w:left w:val="nil"/>
              <w:bottom w:val="single" w:sz="4" w:space="0" w:color="BFBFBF" w:themeColor="background1" w:themeShade="BF"/>
              <w:right w:val="single" w:sz="8" w:space="0" w:color="BFBFBF"/>
            </w:tcBorders>
            <w:shd w:val="clear" w:color="auto" w:fill="auto"/>
            <w:hideMark/>
          </w:tcPr>
          <w:p w:rsidR="00B01F04" w:rsidRPr="00AB3187" w:rsidRDefault="00B01F04" w:rsidP="00D86960">
            <w:pPr>
              <w:spacing w:line="240" w:lineRule="exact"/>
              <w:rPr>
                <w:rFonts w:eastAsia="Times New Roman" w:cs="Arial"/>
                <w:b/>
                <w:bCs/>
                <w:color w:val="000000"/>
                <w:sz w:val="16"/>
                <w:szCs w:val="16"/>
                <w:lang w:eastAsia="es-ES"/>
              </w:rPr>
            </w:pPr>
            <w:r w:rsidRPr="00AB3187">
              <w:rPr>
                <w:rFonts w:eastAsia="Times New Roman" w:cs="Arial"/>
                <w:color w:val="000000"/>
                <w:sz w:val="16"/>
                <w:szCs w:val="16"/>
                <w:lang w:eastAsia="es-ES"/>
              </w:rPr>
              <w:t>7.EPSVs</w:t>
            </w:r>
          </w:p>
        </w:tc>
        <w:tc>
          <w:tcPr>
            <w:tcW w:w="1776" w:type="dxa"/>
            <w:tcBorders>
              <w:top w:val="nil"/>
              <w:left w:val="nil"/>
              <w:bottom w:val="single" w:sz="4" w:space="0" w:color="BFBFBF" w:themeColor="background1" w:themeShade="BF"/>
              <w:right w:val="single" w:sz="8" w:space="0" w:color="BFBFBF"/>
            </w:tcBorders>
            <w:shd w:val="clear" w:color="auto" w:fill="auto"/>
            <w:hideMark/>
          </w:tcPr>
          <w:p w:rsidR="00B01F04" w:rsidRPr="00A31B57" w:rsidRDefault="00B01F04" w:rsidP="00D86960">
            <w:pPr>
              <w:spacing w:line="240" w:lineRule="exact"/>
              <w:ind w:right="161"/>
              <w:jc w:val="right"/>
              <w:rPr>
                <w:rFonts w:eastAsia="Times New Roman" w:cs="Arial"/>
                <w:color w:val="000000"/>
                <w:sz w:val="16"/>
                <w:szCs w:val="16"/>
                <w:lang w:eastAsia="es-ES"/>
              </w:rPr>
            </w:pPr>
            <w:r w:rsidRPr="00A31B57">
              <w:rPr>
                <w:rFonts w:eastAsia="Times New Roman" w:cs="Arial"/>
                <w:color w:val="000000"/>
                <w:sz w:val="16"/>
                <w:szCs w:val="16"/>
                <w:lang w:eastAsia="es-ES"/>
              </w:rPr>
              <w:t>3.202.037*</w:t>
            </w:r>
          </w:p>
        </w:tc>
        <w:tc>
          <w:tcPr>
            <w:tcW w:w="1776" w:type="dxa"/>
            <w:tcBorders>
              <w:top w:val="nil"/>
              <w:left w:val="nil"/>
              <w:bottom w:val="single" w:sz="4" w:space="0" w:color="BFBFBF" w:themeColor="background1" w:themeShade="BF"/>
              <w:right w:val="nil"/>
            </w:tcBorders>
            <w:shd w:val="clear" w:color="auto" w:fill="auto"/>
            <w:hideMark/>
          </w:tcPr>
          <w:p w:rsidR="00B01F04" w:rsidRPr="004724D5" w:rsidRDefault="00B01F04" w:rsidP="00D86960">
            <w:pPr>
              <w:spacing w:line="240" w:lineRule="exact"/>
              <w:ind w:right="161"/>
              <w:jc w:val="right"/>
              <w:rPr>
                <w:rFonts w:eastAsia="Times New Roman" w:cs="Arial"/>
                <w:color w:val="000000"/>
                <w:sz w:val="16"/>
                <w:szCs w:val="16"/>
                <w:lang w:eastAsia="es-ES"/>
              </w:rPr>
            </w:pPr>
            <w:r w:rsidRPr="004724D5">
              <w:rPr>
                <w:rFonts w:eastAsia="Times New Roman" w:cs="Arial"/>
                <w:color w:val="000000"/>
                <w:sz w:val="16"/>
                <w:szCs w:val="16"/>
                <w:lang w:eastAsia="es-ES"/>
              </w:rPr>
              <w:t>33.706</w:t>
            </w:r>
          </w:p>
        </w:tc>
      </w:tr>
      <w:tr w:rsidR="00B01F04" w:rsidRPr="003C5156" w:rsidTr="00D86960">
        <w:trPr>
          <w:jc w:val="center"/>
        </w:trPr>
        <w:tc>
          <w:tcPr>
            <w:tcW w:w="6388" w:type="dxa"/>
            <w:tcBorders>
              <w:top w:val="single" w:sz="4" w:space="0" w:color="BFBFBF" w:themeColor="background1" w:themeShade="BF"/>
              <w:left w:val="nil"/>
              <w:bottom w:val="single" w:sz="8" w:space="0" w:color="BFBFBF"/>
              <w:right w:val="single" w:sz="8" w:space="0" w:color="BFBFBF"/>
            </w:tcBorders>
            <w:shd w:val="clear" w:color="auto" w:fill="auto"/>
          </w:tcPr>
          <w:p w:rsidR="00B01F04" w:rsidRPr="00A31B57" w:rsidRDefault="00B01F04" w:rsidP="00D86960">
            <w:pPr>
              <w:spacing w:line="240" w:lineRule="exact"/>
              <w:rPr>
                <w:rFonts w:eastAsia="Times New Roman" w:cs="Arial"/>
                <w:b/>
                <w:color w:val="000000"/>
                <w:sz w:val="16"/>
                <w:szCs w:val="16"/>
                <w:lang w:eastAsia="es-ES"/>
              </w:rPr>
            </w:pPr>
            <w:r w:rsidRPr="00A31B57">
              <w:rPr>
                <w:rFonts w:eastAsia="Times New Roman" w:cs="Arial"/>
                <w:b/>
                <w:color w:val="000000"/>
                <w:sz w:val="16"/>
                <w:szCs w:val="16"/>
                <w:lang w:eastAsia="es-ES"/>
              </w:rPr>
              <w:t>TOTAL</w:t>
            </w:r>
          </w:p>
        </w:tc>
        <w:tc>
          <w:tcPr>
            <w:tcW w:w="1776" w:type="dxa"/>
            <w:tcBorders>
              <w:top w:val="single" w:sz="4" w:space="0" w:color="BFBFBF" w:themeColor="background1" w:themeShade="BF"/>
              <w:left w:val="nil"/>
              <w:bottom w:val="single" w:sz="8" w:space="0" w:color="BFBFBF"/>
              <w:right w:val="single" w:sz="8" w:space="0" w:color="BFBFBF"/>
            </w:tcBorders>
            <w:shd w:val="clear" w:color="auto" w:fill="auto"/>
          </w:tcPr>
          <w:p w:rsidR="00B01F04" w:rsidRPr="00A31B57" w:rsidRDefault="00B01F04" w:rsidP="00D86960">
            <w:pPr>
              <w:spacing w:line="240" w:lineRule="exact"/>
              <w:ind w:right="161"/>
              <w:jc w:val="right"/>
              <w:rPr>
                <w:rFonts w:eastAsia="Times New Roman" w:cs="Arial"/>
                <w:b/>
                <w:color w:val="000000"/>
                <w:sz w:val="16"/>
                <w:szCs w:val="16"/>
                <w:lang w:eastAsia="es-ES"/>
              </w:rPr>
            </w:pPr>
            <w:r>
              <w:rPr>
                <w:rFonts w:eastAsia="Times New Roman" w:cs="Arial"/>
                <w:b/>
                <w:color w:val="000000"/>
                <w:sz w:val="16"/>
                <w:szCs w:val="16"/>
                <w:lang w:eastAsia="es-ES"/>
              </w:rPr>
              <w:t>725.692.249</w:t>
            </w:r>
          </w:p>
        </w:tc>
        <w:tc>
          <w:tcPr>
            <w:tcW w:w="1776" w:type="dxa"/>
            <w:tcBorders>
              <w:top w:val="single" w:sz="4" w:space="0" w:color="BFBFBF" w:themeColor="background1" w:themeShade="BF"/>
              <w:left w:val="nil"/>
              <w:bottom w:val="single" w:sz="8" w:space="0" w:color="BFBFBF"/>
              <w:right w:val="nil"/>
            </w:tcBorders>
            <w:shd w:val="clear" w:color="auto" w:fill="auto"/>
          </w:tcPr>
          <w:p w:rsidR="00B01F04" w:rsidRPr="00A31B57" w:rsidRDefault="00B01F04" w:rsidP="00D86960">
            <w:pPr>
              <w:spacing w:line="240" w:lineRule="exact"/>
              <w:ind w:right="161"/>
              <w:jc w:val="right"/>
              <w:rPr>
                <w:rFonts w:eastAsia="Times New Roman" w:cs="Arial"/>
                <w:b/>
                <w:bCs/>
                <w:color w:val="000000"/>
                <w:sz w:val="16"/>
                <w:szCs w:val="16"/>
                <w:lang w:eastAsia="es-ES"/>
              </w:rPr>
            </w:pPr>
            <w:r>
              <w:rPr>
                <w:rFonts w:eastAsia="Times New Roman" w:cs="Arial"/>
                <w:b/>
                <w:bCs/>
                <w:color w:val="000000"/>
                <w:sz w:val="16"/>
                <w:szCs w:val="16"/>
                <w:lang w:eastAsia="es-ES"/>
              </w:rPr>
              <w:t>31.229</w:t>
            </w:r>
          </w:p>
        </w:tc>
      </w:tr>
    </w:tbl>
    <w:p w:rsidR="00B01F04" w:rsidRPr="0088597F" w:rsidRDefault="00B01F04" w:rsidP="00B01F04">
      <w:pPr>
        <w:spacing w:line="240" w:lineRule="auto"/>
        <w:rPr>
          <w:rFonts w:cs="Arial"/>
          <w:i/>
          <w:sz w:val="16"/>
          <w:szCs w:val="16"/>
        </w:rPr>
      </w:pPr>
      <w:r w:rsidRPr="0088597F">
        <w:rPr>
          <w:rFonts w:cs="Arial"/>
          <w:i/>
          <w:sz w:val="16"/>
          <w:szCs w:val="16"/>
        </w:rPr>
        <w:t>*</w:t>
      </w:r>
      <w:r w:rsidRPr="00B27F35">
        <w:rPr>
          <w:rFonts w:cs="Arial"/>
          <w:i/>
          <w:sz w:val="16"/>
          <w:szCs w:val="16"/>
        </w:rPr>
        <w:t xml:space="preserve"> </w:t>
      </w:r>
      <w:r w:rsidRPr="0088597F">
        <w:rPr>
          <w:rFonts w:cs="Arial"/>
          <w:i/>
          <w:sz w:val="16"/>
          <w:szCs w:val="16"/>
        </w:rPr>
        <w:t xml:space="preserve">Fuente: </w:t>
      </w:r>
      <w:r>
        <w:rPr>
          <w:rFonts w:cs="Arial"/>
          <w:i/>
          <w:sz w:val="16"/>
          <w:szCs w:val="16"/>
        </w:rPr>
        <w:t xml:space="preserve">Informe nº 20 Pérdidas y Ganancias Agregada, </w:t>
      </w:r>
      <w:r w:rsidRPr="0088597F">
        <w:rPr>
          <w:rFonts w:cs="Arial"/>
          <w:i/>
          <w:sz w:val="16"/>
          <w:szCs w:val="16"/>
        </w:rPr>
        <w:t>IV Trimestre de 2014</w:t>
      </w:r>
      <w:r>
        <w:rPr>
          <w:rFonts w:cs="Arial"/>
          <w:i/>
          <w:sz w:val="16"/>
          <w:szCs w:val="16"/>
        </w:rPr>
        <w:t>,</w:t>
      </w:r>
      <w:r w:rsidRPr="0088597F">
        <w:rPr>
          <w:rFonts w:cs="Arial"/>
          <w:i/>
          <w:sz w:val="16"/>
          <w:szCs w:val="16"/>
        </w:rPr>
        <w:t xml:space="preserve"> Departamento de Hacienda y Finanzas. Dirección de Política Financ</w:t>
      </w:r>
      <w:r>
        <w:rPr>
          <w:rFonts w:cs="Arial"/>
          <w:i/>
          <w:sz w:val="16"/>
          <w:szCs w:val="16"/>
        </w:rPr>
        <w:t>iera y Recursos Institucionales.</w:t>
      </w: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B01F04" w:rsidRPr="00537ABD" w:rsidRDefault="00A67658" w:rsidP="00B01F04">
      <w:pPr>
        <w:widowControl w:val="0"/>
        <w:jc w:val="center"/>
        <w:rPr>
          <w:rFonts w:cs="Arial"/>
          <w:b/>
          <w:color w:val="1F497D" w:themeColor="text2"/>
          <w:sz w:val="18"/>
          <w:szCs w:val="18"/>
        </w:rPr>
      </w:pPr>
      <w:bookmarkStart w:id="398" w:name="_Toc445381015"/>
      <w:bookmarkStart w:id="399" w:name="_Toc450120198"/>
      <w:r w:rsidRPr="00A67658">
        <w:rPr>
          <w:rFonts w:cs="Arial"/>
          <w:b/>
          <w:bCs/>
          <w:snapToGrid w:val="0"/>
          <w:color w:val="1F497D" w:themeColor="text2"/>
          <w:sz w:val="18"/>
          <w:szCs w:val="18"/>
          <w:lang w:val="es-ES_tradnl"/>
        </w:rPr>
        <w:lastRenderedPageBreak/>
        <w:t>Gráfico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Gráfico_4.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7</w:t>
      </w:r>
      <w:r w:rsidR="00771A61" w:rsidRPr="00A67658">
        <w:rPr>
          <w:rFonts w:cs="Arial"/>
          <w:b/>
          <w:bCs/>
          <w:snapToGrid w:val="0"/>
          <w:color w:val="1F497D" w:themeColor="text2"/>
          <w:sz w:val="18"/>
          <w:szCs w:val="18"/>
          <w:lang w:val="es-ES_tradnl"/>
        </w:rPr>
        <w:fldChar w:fldCharType="end"/>
      </w:r>
      <w:r w:rsidRPr="00A67658">
        <w:rPr>
          <w:rFonts w:cs="Arial"/>
          <w:b/>
          <w:bCs/>
          <w:snapToGrid w:val="0"/>
          <w:color w:val="1F497D" w:themeColor="text2"/>
          <w:sz w:val="18"/>
          <w:szCs w:val="18"/>
          <w:lang w:val="es-ES_tradnl"/>
        </w:rPr>
        <w:t xml:space="preserve"> </w:t>
      </w:r>
      <w:r w:rsidRPr="00A67658">
        <w:rPr>
          <w:rFonts w:cs="Arial"/>
          <w:b/>
          <w:snapToGrid w:val="0"/>
          <w:color w:val="1F497D" w:themeColor="text2"/>
          <w:sz w:val="18"/>
          <w:szCs w:val="18"/>
          <w:lang w:val="es-ES_tradnl"/>
        </w:rPr>
        <w:t xml:space="preserve"> </w:t>
      </w:r>
      <w:r w:rsidR="00537ABD" w:rsidRPr="00537ABD">
        <w:rPr>
          <w:rFonts w:cs="Arial"/>
          <w:b/>
          <w:bCs/>
          <w:snapToGrid w:val="0"/>
          <w:color w:val="1F497D" w:themeColor="text2"/>
          <w:sz w:val="18"/>
          <w:szCs w:val="18"/>
          <w:lang w:val="es-ES_tradnl"/>
        </w:rPr>
        <w:t xml:space="preserve"> </w:t>
      </w:r>
      <w:r w:rsidR="00B01F04" w:rsidRPr="00537ABD">
        <w:rPr>
          <w:rFonts w:cs="Arial"/>
          <w:b/>
          <w:bCs/>
          <w:color w:val="1F497D" w:themeColor="text2"/>
          <w:sz w:val="18"/>
          <w:szCs w:val="18"/>
        </w:rPr>
        <w:t xml:space="preserve"> </w:t>
      </w:r>
      <w:r w:rsidR="00B01F04" w:rsidRPr="00537ABD">
        <w:rPr>
          <w:rFonts w:cs="Arial"/>
          <w:b/>
          <w:color w:val="1F497D" w:themeColor="text2"/>
          <w:sz w:val="18"/>
          <w:szCs w:val="18"/>
        </w:rPr>
        <w:t>RESULTADOS POR TIPO DE ENTIDAD NFES 2014 (cifras absolutas)</w:t>
      </w:r>
      <w:bookmarkEnd w:id="398"/>
      <w:bookmarkEnd w:id="399"/>
    </w:p>
    <w:p w:rsidR="00B01F04" w:rsidRDefault="00B01F04" w:rsidP="00B01F04">
      <w:pPr>
        <w:widowControl w:val="0"/>
        <w:tabs>
          <w:tab w:val="left" w:pos="1134"/>
        </w:tabs>
        <w:rPr>
          <w:rFonts w:cs="Arial"/>
        </w:rPr>
      </w:pPr>
      <w:r>
        <w:rPr>
          <w:rFonts w:cs="Arial"/>
          <w:noProof/>
          <w:lang w:eastAsia="es-ES"/>
        </w:rPr>
        <w:drawing>
          <wp:anchor distT="103632" distB="78613" distL="547116" distR="556260" simplePos="0" relativeHeight="251826176" behindDoc="0" locked="0" layoutInCell="1" allowOverlap="1">
            <wp:simplePos x="0" y="0"/>
            <wp:positionH relativeFrom="column">
              <wp:posOffset>-41910</wp:posOffset>
            </wp:positionH>
            <wp:positionV relativeFrom="paragraph">
              <wp:posOffset>109855</wp:posOffset>
            </wp:positionV>
            <wp:extent cx="5724525" cy="2028825"/>
            <wp:effectExtent l="0" t="0" r="0" b="0"/>
            <wp:wrapNone/>
            <wp:docPr id="50"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rPr>
          <w:rFonts w:cs="Arial"/>
        </w:rPr>
      </w:pPr>
    </w:p>
    <w:p w:rsidR="00B01F04" w:rsidRDefault="00B01F04" w:rsidP="00B01F04">
      <w:pPr>
        <w:widowControl w:val="0"/>
        <w:jc w:val="center"/>
        <w:rPr>
          <w:rFonts w:cs="Arial"/>
          <w:b/>
          <w:color w:val="1F497D" w:themeColor="text2"/>
          <w:sz w:val="18"/>
          <w:szCs w:val="18"/>
        </w:rPr>
      </w:pPr>
    </w:p>
    <w:p w:rsidR="00B01F04" w:rsidRDefault="00B01F04" w:rsidP="00B01F04">
      <w:pPr>
        <w:widowControl w:val="0"/>
        <w:jc w:val="center"/>
        <w:rPr>
          <w:rFonts w:cs="Arial"/>
          <w:b/>
          <w:color w:val="1F497D" w:themeColor="text2"/>
          <w:sz w:val="18"/>
          <w:szCs w:val="18"/>
        </w:rPr>
      </w:pPr>
    </w:p>
    <w:p w:rsidR="00B01F04" w:rsidRDefault="00B01F04" w:rsidP="00B01F04">
      <w:pPr>
        <w:widowControl w:val="0"/>
        <w:jc w:val="center"/>
        <w:rPr>
          <w:rFonts w:cs="Arial"/>
          <w:b/>
          <w:color w:val="1F497D" w:themeColor="text2"/>
          <w:sz w:val="18"/>
          <w:szCs w:val="18"/>
        </w:rPr>
      </w:pPr>
    </w:p>
    <w:p w:rsidR="00B01F04" w:rsidRPr="0088597F" w:rsidRDefault="00B01F04" w:rsidP="00B01F04">
      <w:pPr>
        <w:widowControl w:val="0"/>
        <w:jc w:val="center"/>
        <w:rPr>
          <w:rFonts w:cs="Arial"/>
          <w:i/>
          <w:sz w:val="18"/>
          <w:szCs w:val="18"/>
        </w:rPr>
      </w:pPr>
    </w:p>
    <w:p w:rsidR="00B01F04" w:rsidRPr="0088597F" w:rsidRDefault="00B01F04" w:rsidP="00B01F04">
      <w:pPr>
        <w:spacing w:line="240" w:lineRule="auto"/>
        <w:rPr>
          <w:rFonts w:cs="Arial"/>
          <w:i/>
          <w:sz w:val="16"/>
          <w:szCs w:val="16"/>
        </w:rPr>
      </w:pPr>
      <w:r w:rsidRPr="0088597F">
        <w:rPr>
          <w:rFonts w:cs="Arial"/>
          <w:i/>
          <w:sz w:val="16"/>
          <w:szCs w:val="16"/>
        </w:rPr>
        <w:t>*</w:t>
      </w:r>
      <w:r w:rsidRPr="00B27F35">
        <w:rPr>
          <w:rFonts w:cs="Arial"/>
          <w:i/>
          <w:sz w:val="16"/>
          <w:szCs w:val="16"/>
        </w:rPr>
        <w:t xml:space="preserve"> </w:t>
      </w:r>
      <w:r w:rsidRPr="0088597F">
        <w:rPr>
          <w:rFonts w:cs="Arial"/>
          <w:i/>
          <w:sz w:val="16"/>
          <w:szCs w:val="16"/>
        </w:rPr>
        <w:t xml:space="preserve">Fuente: </w:t>
      </w:r>
      <w:r>
        <w:rPr>
          <w:rFonts w:cs="Arial"/>
          <w:i/>
          <w:sz w:val="16"/>
          <w:szCs w:val="16"/>
        </w:rPr>
        <w:t xml:space="preserve">Informe nº 20 Pérdidas y Ganancias Agregada, </w:t>
      </w:r>
      <w:r w:rsidRPr="0088597F">
        <w:rPr>
          <w:rFonts w:cs="Arial"/>
          <w:i/>
          <w:sz w:val="16"/>
          <w:szCs w:val="16"/>
        </w:rPr>
        <w:t>IV Trimestre de 2014</w:t>
      </w:r>
      <w:r>
        <w:rPr>
          <w:rFonts w:cs="Arial"/>
          <w:i/>
          <w:sz w:val="16"/>
          <w:szCs w:val="16"/>
        </w:rPr>
        <w:t>,</w:t>
      </w:r>
      <w:r w:rsidRPr="0088597F">
        <w:rPr>
          <w:rFonts w:cs="Arial"/>
          <w:i/>
          <w:sz w:val="16"/>
          <w:szCs w:val="16"/>
        </w:rPr>
        <w:t xml:space="preserve"> Departamento de Hacienda y Finanzas. Dirección de Política Financ</w:t>
      </w:r>
      <w:r>
        <w:rPr>
          <w:rFonts w:cs="Arial"/>
          <w:i/>
          <w:sz w:val="16"/>
          <w:szCs w:val="16"/>
        </w:rPr>
        <w:t>iera y Recursos Institucionales.</w:t>
      </w:r>
    </w:p>
    <w:p w:rsidR="00B01F04" w:rsidRDefault="00B01F04" w:rsidP="00B01F04">
      <w:pPr>
        <w:jc w:val="left"/>
        <w:rPr>
          <w:rFonts w:cs="Arial"/>
          <w:i/>
          <w:sz w:val="18"/>
          <w:szCs w:val="18"/>
        </w:rPr>
      </w:pPr>
    </w:p>
    <w:p w:rsidR="00B01F04" w:rsidRDefault="00B01F04" w:rsidP="00B01F04">
      <w:pPr>
        <w:widowControl w:val="0"/>
        <w:jc w:val="center"/>
        <w:rPr>
          <w:rFonts w:cs="Arial"/>
          <w:b/>
          <w:bCs/>
          <w:color w:val="1F497D" w:themeColor="text2"/>
          <w:sz w:val="18"/>
          <w:szCs w:val="18"/>
        </w:rPr>
      </w:pPr>
    </w:p>
    <w:p w:rsidR="00B01F04" w:rsidRDefault="00B01F04" w:rsidP="00B01F04">
      <w:pPr>
        <w:widowControl w:val="0"/>
        <w:jc w:val="center"/>
        <w:rPr>
          <w:rFonts w:cs="Arial"/>
          <w:b/>
          <w:bCs/>
          <w:color w:val="1F497D" w:themeColor="text2"/>
          <w:sz w:val="18"/>
          <w:szCs w:val="18"/>
        </w:rPr>
      </w:pPr>
    </w:p>
    <w:p w:rsidR="00B01F04" w:rsidRPr="00537ABD" w:rsidRDefault="00A67658" w:rsidP="00B01F04">
      <w:pPr>
        <w:widowControl w:val="0"/>
        <w:jc w:val="center"/>
        <w:rPr>
          <w:rFonts w:cs="Arial"/>
          <w:b/>
        </w:rPr>
      </w:pPr>
      <w:bookmarkStart w:id="400" w:name="_Toc445381016"/>
      <w:bookmarkStart w:id="401" w:name="_Toc450120199"/>
      <w:r w:rsidRPr="00A67658">
        <w:rPr>
          <w:rFonts w:cs="Arial"/>
          <w:b/>
          <w:bCs/>
          <w:snapToGrid w:val="0"/>
          <w:color w:val="1F497D" w:themeColor="text2"/>
          <w:sz w:val="18"/>
          <w:szCs w:val="18"/>
          <w:lang w:val="es-ES_tradnl"/>
        </w:rPr>
        <w:t>Gráfico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Gráfico_4.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8</w:t>
      </w:r>
      <w:r w:rsidR="00771A61" w:rsidRPr="00A67658">
        <w:rPr>
          <w:rFonts w:cs="Arial"/>
          <w:b/>
          <w:bCs/>
          <w:snapToGrid w:val="0"/>
          <w:color w:val="1F497D" w:themeColor="text2"/>
          <w:sz w:val="18"/>
          <w:szCs w:val="18"/>
          <w:lang w:val="es-ES_tradnl"/>
        </w:rPr>
        <w:fldChar w:fldCharType="end"/>
      </w:r>
      <w:r w:rsidRPr="00A67658">
        <w:rPr>
          <w:rFonts w:cs="Arial"/>
          <w:b/>
          <w:bCs/>
          <w:snapToGrid w:val="0"/>
          <w:color w:val="1F497D" w:themeColor="text2"/>
          <w:sz w:val="18"/>
          <w:szCs w:val="18"/>
          <w:lang w:val="es-ES_tradnl"/>
        </w:rPr>
        <w:t xml:space="preserve"> </w:t>
      </w:r>
      <w:r w:rsidRPr="00A67658">
        <w:rPr>
          <w:rFonts w:cs="Arial"/>
          <w:b/>
          <w:snapToGrid w:val="0"/>
          <w:color w:val="1F497D" w:themeColor="text2"/>
          <w:sz w:val="18"/>
          <w:szCs w:val="18"/>
          <w:lang w:val="es-ES_tradnl"/>
        </w:rPr>
        <w:t xml:space="preserve"> </w:t>
      </w:r>
      <w:r w:rsidR="00537ABD" w:rsidRPr="00537ABD">
        <w:rPr>
          <w:rFonts w:cs="Arial"/>
          <w:b/>
          <w:bCs/>
          <w:snapToGrid w:val="0"/>
          <w:color w:val="1F497D" w:themeColor="text2"/>
          <w:sz w:val="18"/>
          <w:szCs w:val="18"/>
          <w:lang w:val="es-ES_tradnl"/>
        </w:rPr>
        <w:t xml:space="preserve"> </w:t>
      </w:r>
      <w:r w:rsidR="00B01F04" w:rsidRPr="00537ABD">
        <w:rPr>
          <w:rFonts w:cs="Arial"/>
          <w:b/>
          <w:bCs/>
          <w:color w:val="1F497D" w:themeColor="text2"/>
          <w:sz w:val="18"/>
          <w:szCs w:val="18"/>
        </w:rPr>
        <w:t xml:space="preserve"> </w:t>
      </w:r>
      <w:r w:rsidR="00B01F04" w:rsidRPr="00537ABD">
        <w:rPr>
          <w:rFonts w:cs="Arial"/>
          <w:b/>
          <w:color w:val="1F497D" w:themeColor="text2"/>
          <w:sz w:val="18"/>
          <w:szCs w:val="18"/>
        </w:rPr>
        <w:t>VAB POR TIPO DE ENTIDAD NFES 2014 (cifras absolutas)</w:t>
      </w:r>
      <w:bookmarkEnd w:id="400"/>
      <w:bookmarkEnd w:id="401"/>
    </w:p>
    <w:p w:rsidR="00B01F04" w:rsidRDefault="00B01F04" w:rsidP="00B01F04">
      <w:pPr>
        <w:jc w:val="left"/>
        <w:rPr>
          <w:rFonts w:cs="Arial"/>
          <w:i/>
          <w:sz w:val="18"/>
          <w:szCs w:val="18"/>
        </w:rPr>
      </w:pPr>
      <w:r>
        <w:rPr>
          <w:rFonts w:cs="Arial"/>
          <w:i/>
          <w:noProof/>
          <w:sz w:val="18"/>
          <w:szCs w:val="18"/>
          <w:lang w:eastAsia="es-ES"/>
        </w:rPr>
        <w:drawing>
          <wp:anchor distT="103632" distB="78613" distL="547116" distR="556260" simplePos="0" relativeHeight="251828224" behindDoc="0" locked="0" layoutInCell="1" allowOverlap="1">
            <wp:simplePos x="0" y="0"/>
            <wp:positionH relativeFrom="column">
              <wp:posOffset>-146684</wp:posOffset>
            </wp:positionH>
            <wp:positionV relativeFrom="paragraph">
              <wp:posOffset>134621</wp:posOffset>
            </wp:positionV>
            <wp:extent cx="5374532" cy="1905000"/>
            <wp:effectExtent l="19050" t="0" r="0" b="0"/>
            <wp:wrapNone/>
            <wp:docPr id="51"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B01F04" w:rsidRPr="0088597F" w:rsidRDefault="00B01F04" w:rsidP="00B01F04">
      <w:pPr>
        <w:jc w:val="left"/>
        <w:rPr>
          <w:rFonts w:cs="Arial"/>
          <w:i/>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color w:val="1F497D" w:themeColor="text2"/>
          <w:sz w:val="18"/>
          <w:szCs w:val="18"/>
        </w:rPr>
      </w:pPr>
    </w:p>
    <w:p w:rsidR="00B01F04" w:rsidRDefault="00B01F04" w:rsidP="00B01F04">
      <w:pPr>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B01F04" w:rsidRPr="00BD39D2" w:rsidRDefault="00A67658" w:rsidP="00B01F04">
      <w:pPr>
        <w:widowControl w:val="0"/>
        <w:spacing w:line="240" w:lineRule="auto"/>
        <w:jc w:val="center"/>
        <w:rPr>
          <w:rFonts w:cs="Arial"/>
          <w:b/>
          <w:bCs/>
          <w:color w:val="1F497D" w:themeColor="text2"/>
          <w:sz w:val="18"/>
          <w:szCs w:val="18"/>
        </w:rPr>
      </w:pPr>
      <w:bookmarkStart w:id="402" w:name="_Toc445380988"/>
      <w:bookmarkStart w:id="403" w:name="_Toc450119840"/>
      <w:r w:rsidRPr="00A67658">
        <w:rPr>
          <w:rFonts w:cs="Arial"/>
          <w:b/>
          <w:bCs/>
          <w:snapToGrid w:val="0"/>
          <w:color w:val="1F497D" w:themeColor="text2"/>
          <w:sz w:val="18"/>
          <w:szCs w:val="18"/>
          <w:lang w:val="es-ES_tradnl"/>
        </w:rPr>
        <w:lastRenderedPageBreak/>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15</w:t>
      </w:r>
      <w:r w:rsidR="00771A61" w:rsidRPr="00A67658">
        <w:rPr>
          <w:rFonts w:cs="Arial"/>
          <w:b/>
          <w:bCs/>
          <w:snapToGrid w:val="0"/>
          <w:color w:val="1F497D" w:themeColor="text2"/>
          <w:sz w:val="18"/>
          <w:szCs w:val="18"/>
          <w:lang w:val="es-ES_tradnl"/>
        </w:rPr>
        <w:fldChar w:fldCharType="end"/>
      </w:r>
      <w:r w:rsidR="00B01F04" w:rsidRPr="00BD39D2">
        <w:rPr>
          <w:rFonts w:cs="Arial"/>
          <w:b/>
          <w:bCs/>
          <w:color w:val="1F497D" w:themeColor="text2"/>
          <w:sz w:val="18"/>
          <w:szCs w:val="18"/>
        </w:rPr>
        <w:t xml:space="preserve"> CUENTA DE RESULTADOS DE </w:t>
      </w:r>
      <w:r w:rsidR="00B01F04">
        <w:rPr>
          <w:rFonts w:cs="Arial"/>
          <w:b/>
          <w:bCs/>
          <w:color w:val="1F497D" w:themeColor="text2"/>
          <w:sz w:val="18"/>
          <w:szCs w:val="18"/>
        </w:rPr>
        <w:t>NFES</w:t>
      </w:r>
      <w:r w:rsidR="00B01F04" w:rsidRPr="00BD39D2">
        <w:rPr>
          <w:rFonts w:cs="Arial"/>
          <w:b/>
          <w:bCs/>
          <w:color w:val="1F497D" w:themeColor="text2"/>
          <w:sz w:val="18"/>
          <w:szCs w:val="18"/>
        </w:rPr>
        <w:t xml:space="preserve"> EN 2014 (cifras absolutas en Euros) (Precios corrientes)</w:t>
      </w:r>
      <w:r w:rsidR="00B01F04">
        <w:rPr>
          <w:rFonts w:cs="Arial"/>
          <w:b/>
          <w:bCs/>
          <w:color w:val="1F497D" w:themeColor="text2"/>
          <w:sz w:val="18"/>
          <w:szCs w:val="18"/>
        </w:rPr>
        <w:t xml:space="preserve"> –Se excluyen las </w:t>
      </w:r>
      <w:proofErr w:type="spellStart"/>
      <w:r w:rsidR="00B01F04">
        <w:rPr>
          <w:rFonts w:cs="Arial"/>
          <w:b/>
          <w:bCs/>
          <w:color w:val="1F497D" w:themeColor="text2"/>
          <w:sz w:val="18"/>
          <w:szCs w:val="18"/>
        </w:rPr>
        <w:t>EPSVs</w:t>
      </w:r>
      <w:proofErr w:type="spellEnd"/>
      <w:r w:rsidR="00B01F04">
        <w:rPr>
          <w:rFonts w:cs="Arial"/>
          <w:b/>
          <w:bCs/>
          <w:color w:val="1F497D" w:themeColor="text2"/>
          <w:sz w:val="18"/>
          <w:szCs w:val="18"/>
        </w:rPr>
        <w:t>-</w:t>
      </w:r>
      <w:bookmarkEnd w:id="402"/>
      <w:bookmarkEnd w:id="403"/>
    </w:p>
    <w:tbl>
      <w:tblPr>
        <w:tblW w:w="9940" w:type="dxa"/>
        <w:jc w:val="center"/>
        <w:tblInd w:w="55" w:type="dxa"/>
        <w:tblCellMar>
          <w:left w:w="70" w:type="dxa"/>
          <w:right w:w="70" w:type="dxa"/>
        </w:tblCellMar>
        <w:tblLook w:val="04A0" w:firstRow="1" w:lastRow="0" w:firstColumn="1" w:lastColumn="0" w:noHBand="0" w:noVBand="1"/>
      </w:tblPr>
      <w:tblGrid>
        <w:gridCol w:w="4892"/>
        <w:gridCol w:w="2437"/>
        <w:gridCol w:w="2611"/>
      </w:tblGrid>
      <w:tr w:rsidR="00B01F04" w:rsidRPr="00CE3265" w:rsidTr="00D86960">
        <w:trPr>
          <w:jc w:val="center"/>
        </w:trPr>
        <w:tc>
          <w:tcPr>
            <w:tcW w:w="3984"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CE3265" w:rsidRDefault="00B01F04" w:rsidP="00D86960">
            <w:pPr>
              <w:spacing w:line="288" w:lineRule="auto"/>
              <w:rPr>
                <w:rFonts w:eastAsia="Times New Roman" w:cs="Arial"/>
                <w:color w:val="000000"/>
                <w:sz w:val="16"/>
                <w:szCs w:val="16"/>
                <w:lang w:eastAsia="es-ES"/>
              </w:rPr>
            </w:pPr>
            <w:r w:rsidRPr="00CE3265">
              <w:rPr>
                <w:rFonts w:eastAsia="Times New Roman" w:cs="Arial"/>
                <w:color w:val="000000"/>
                <w:sz w:val="16"/>
                <w:szCs w:val="16"/>
                <w:lang w:eastAsia="es-ES"/>
              </w:rPr>
              <w:t> </w:t>
            </w:r>
          </w:p>
        </w:tc>
        <w:tc>
          <w:tcPr>
            <w:tcW w:w="1985"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CE3265" w:rsidRDefault="00B01F04" w:rsidP="00D86960">
            <w:pPr>
              <w:spacing w:line="288" w:lineRule="auto"/>
              <w:jc w:val="center"/>
              <w:rPr>
                <w:rFonts w:eastAsia="Times New Roman" w:cs="Arial"/>
                <w:b/>
                <w:bCs/>
                <w:color w:val="000000"/>
                <w:sz w:val="16"/>
                <w:szCs w:val="16"/>
                <w:lang w:eastAsia="es-ES"/>
              </w:rPr>
            </w:pPr>
            <w:proofErr w:type="spellStart"/>
            <w:r w:rsidRPr="00CE3265">
              <w:rPr>
                <w:rFonts w:eastAsia="Times New Roman" w:cs="Arial"/>
                <w:b/>
                <w:bCs/>
                <w:color w:val="000000"/>
                <w:sz w:val="16"/>
                <w:szCs w:val="16"/>
                <w:lang w:eastAsia="es-ES"/>
              </w:rPr>
              <w:t>Abs</w:t>
            </w:r>
            <w:proofErr w:type="spellEnd"/>
            <w:r w:rsidRPr="00CE3265">
              <w:rPr>
                <w:rFonts w:eastAsia="Times New Roman" w:cs="Arial"/>
                <w:b/>
                <w:bCs/>
                <w:color w:val="000000"/>
                <w:sz w:val="16"/>
                <w:szCs w:val="16"/>
                <w:lang w:eastAsia="es-ES"/>
              </w:rPr>
              <w:t>.</w:t>
            </w:r>
          </w:p>
        </w:tc>
        <w:tc>
          <w:tcPr>
            <w:tcW w:w="2126" w:type="dxa"/>
            <w:tcBorders>
              <w:top w:val="single" w:sz="8" w:space="0" w:color="BFBFBF"/>
              <w:left w:val="nil"/>
              <w:bottom w:val="single" w:sz="8" w:space="0" w:color="BFBFBF"/>
            </w:tcBorders>
            <w:shd w:val="clear" w:color="000000" w:fill="DBE5F1"/>
            <w:hideMark/>
          </w:tcPr>
          <w:p w:rsidR="00B01F04" w:rsidRPr="00CE3265" w:rsidRDefault="00B01F04" w:rsidP="00D86960">
            <w:pPr>
              <w:spacing w:line="288" w:lineRule="auto"/>
              <w:jc w:val="center"/>
              <w:rPr>
                <w:rFonts w:eastAsia="Times New Roman" w:cs="Arial"/>
                <w:b/>
                <w:bCs/>
                <w:color w:val="000000"/>
                <w:sz w:val="16"/>
                <w:szCs w:val="16"/>
                <w:lang w:eastAsia="es-ES"/>
              </w:rPr>
            </w:pPr>
            <w:r w:rsidRPr="00CE3265">
              <w:rPr>
                <w:rFonts w:eastAsia="Times New Roman" w:cs="Arial"/>
                <w:b/>
                <w:bCs/>
                <w:color w:val="000000"/>
                <w:sz w:val="16"/>
                <w:szCs w:val="16"/>
                <w:lang w:eastAsia="es-ES"/>
              </w:rPr>
              <w:t>% ver.</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rPr>
                <w:rFonts w:eastAsia="Times New Roman" w:cs="Arial"/>
                <w:b/>
                <w:bCs/>
                <w:color w:val="000000"/>
                <w:sz w:val="16"/>
                <w:szCs w:val="16"/>
                <w:lang w:eastAsia="es-ES"/>
              </w:rPr>
            </w:pPr>
            <w:r w:rsidRPr="00CE3265">
              <w:rPr>
                <w:rFonts w:eastAsia="Times New Roman" w:cs="Arial"/>
                <w:b/>
                <w:bCs/>
                <w:color w:val="000000"/>
                <w:sz w:val="16"/>
                <w:szCs w:val="16"/>
                <w:lang w:val="es-ES_tradnl" w:eastAsia="es-ES"/>
              </w:rPr>
              <w:t>INGRESOS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jc w:val="right"/>
              <w:rPr>
                <w:rFonts w:eastAsia="Times New Roman" w:cs="Arial"/>
                <w:color w:val="000000"/>
                <w:sz w:val="16"/>
                <w:szCs w:val="16"/>
                <w:lang w:eastAsia="es-ES"/>
              </w:rPr>
            </w:pPr>
            <w:r w:rsidRPr="00CE3265">
              <w:rPr>
                <w:rFonts w:eastAsia="Times New Roman" w:cs="Arial"/>
                <w:color w:val="000000"/>
                <w:sz w:val="16"/>
                <w:szCs w:val="16"/>
                <w:lang w:eastAsia="es-ES"/>
              </w:rPr>
              <w:t> </w:t>
            </w:r>
          </w:p>
        </w:tc>
        <w:tc>
          <w:tcPr>
            <w:tcW w:w="2126" w:type="dxa"/>
            <w:tcBorders>
              <w:top w:val="nil"/>
              <w:left w:val="nil"/>
              <w:bottom w:val="nil"/>
            </w:tcBorders>
            <w:shd w:val="clear" w:color="auto" w:fill="auto"/>
            <w:hideMark/>
          </w:tcPr>
          <w:p w:rsidR="00B01F04" w:rsidRPr="00CE3265" w:rsidRDefault="00B01F04" w:rsidP="00D86960">
            <w:pPr>
              <w:spacing w:line="288" w:lineRule="auto"/>
              <w:jc w:val="right"/>
              <w:rPr>
                <w:rFonts w:eastAsia="Times New Roman" w:cs="Arial"/>
                <w:color w:val="000000"/>
                <w:sz w:val="16"/>
                <w:szCs w:val="16"/>
                <w:lang w:eastAsia="es-ES"/>
              </w:rPr>
            </w:pPr>
            <w:r w:rsidRPr="00CE3265">
              <w:rPr>
                <w:rFonts w:eastAsia="Times New Roman" w:cs="Arial"/>
                <w:color w:val="000000"/>
                <w:sz w:val="16"/>
                <w:szCs w:val="16"/>
                <w:lang w:eastAsia="es-ES"/>
              </w:rPr>
              <w:t> </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val="es-ES_tradnl" w:eastAsia="es-ES"/>
              </w:rPr>
              <w:t>70 Ventas Netas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951.674.936</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56,8</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71 Variación de Existencias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4.133.872</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0,2</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73 Trabajos realizados para Inmovilizado</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4.716.570</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0,3</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74 Subvenciones de Explotación</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595.510.603</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35,5</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75 Ingresos Accesorios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57.706.966</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3,4</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76 Ingresos Financieros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40.966.545</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2,4</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77 Ingresos Excepcionales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13.986.446</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0,8</w:t>
            </w:r>
          </w:p>
        </w:tc>
      </w:tr>
      <w:tr w:rsidR="00B01F04" w:rsidRPr="00CE3265"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79 Excesos Provisión</w:t>
            </w:r>
          </w:p>
        </w:tc>
        <w:tc>
          <w:tcPr>
            <w:tcW w:w="1985" w:type="dxa"/>
            <w:tcBorders>
              <w:top w:val="nil"/>
              <w:left w:val="nil"/>
              <w:bottom w:val="single" w:sz="8" w:space="0" w:color="BFBFBF"/>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7.777.381</w:t>
            </w:r>
          </w:p>
        </w:tc>
        <w:tc>
          <w:tcPr>
            <w:tcW w:w="2126" w:type="dxa"/>
            <w:tcBorders>
              <w:top w:val="nil"/>
              <w:left w:val="nil"/>
              <w:bottom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0,5</w:t>
            </w:r>
          </w:p>
        </w:tc>
      </w:tr>
      <w:tr w:rsidR="00B01F04" w:rsidRPr="00CE3265" w:rsidTr="00D86960">
        <w:trPr>
          <w:jc w:val="center"/>
        </w:trPr>
        <w:tc>
          <w:tcPr>
            <w:tcW w:w="3984" w:type="dxa"/>
            <w:tcBorders>
              <w:top w:val="nil"/>
              <w:left w:val="nil"/>
              <w:bottom w:val="single" w:sz="8" w:space="0" w:color="BFBFBF"/>
              <w:right w:val="single" w:sz="8" w:space="0" w:color="BFBFBF"/>
            </w:tcBorders>
            <w:shd w:val="clear" w:color="000000" w:fill="E6E6E6"/>
            <w:vAlign w:val="bottom"/>
            <w:hideMark/>
          </w:tcPr>
          <w:p w:rsidR="00B01F04" w:rsidRPr="00CE3265" w:rsidRDefault="00B01F04" w:rsidP="00D86960">
            <w:pPr>
              <w:spacing w:line="288" w:lineRule="auto"/>
              <w:jc w:val="left"/>
              <w:rPr>
                <w:rFonts w:eastAsia="Times New Roman" w:cs="Arial"/>
                <w:b/>
                <w:bCs/>
                <w:color w:val="000000"/>
                <w:sz w:val="16"/>
                <w:szCs w:val="16"/>
                <w:lang w:eastAsia="es-ES"/>
              </w:rPr>
            </w:pPr>
            <w:r>
              <w:rPr>
                <w:rFonts w:eastAsia="Times New Roman" w:cs="Arial"/>
                <w:b/>
                <w:bCs/>
                <w:color w:val="000000"/>
                <w:sz w:val="16"/>
                <w:szCs w:val="16"/>
                <w:lang w:eastAsia="es-ES"/>
              </w:rPr>
              <w:tab/>
              <w:t>TOTAL INGRESOS</w:t>
            </w:r>
          </w:p>
        </w:tc>
        <w:tc>
          <w:tcPr>
            <w:tcW w:w="1985" w:type="dxa"/>
            <w:tcBorders>
              <w:top w:val="nil"/>
              <w:left w:val="nil"/>
              <w:bottom w:val="single" w:sz="8" w:space="0" w:color="BFBFBF"/>
              <w:right w:val="nil"/>
            </w:tcBorders>
            <w:shd w:val="clear" w:color="000000" w:fill="E6E6E6"/>
            <w:vAlign w:val="bottom"/>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1.676.473.318</w:t>
            </w:r>
          </w:p>
        </w:tc>
        <w:tc>
          <w:tcPr>
            <w:tcW w:w="2126" w:type="dxa"/>
            <w:tcBorders>
              <w:top w:val="nil"/>
              <w:left w:val="nil"/>
              <w:bottom w:val="single" w:sz="8" w:space="0" w:color="BFBFBF"/>
            </w:tcBorders>
            <w:shd w:val="clear" w:color="000000" w:fill="E6E6E6"/>
            <w:vAlign w:val="bottom"/>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100</w:t>
            </w:r>
            <w:r w:rsidR="007F441F">
              <w:rPr>
                <w:rFonts w:eastAsia="Times New Roman" w:cs="Arial"/>
                <w:b/>
                <w:bCs/>
                <w:color w:val="000000"/>
                <w:sz w:val="16"/>
                <w:szCs w:val="16"/>
                <w:lang w:eastAsia="es-ES"/>
              </w:rPr>
              <w:t>,0</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b/>
                <w:bCs/>
                <w:color w:val="000000"/>
                <w:sz w:val="16"/>
                <w:szCs w:val="16"/>
                <w:lang w:eastAsia="es-ES"/>
              </w:rPr>
            </w:pPr>
            <w:r w:rsidRPr="00CE3265">
              <w:rPr>
                <w:rFonts w:eastAsia="Times New Roman" w:cs="Arial"/>
                <w:b/>
                <w:bCs/>
                <w:color w:val="000000"/>
                <w:sz w:val="16"/>
                <w:szCs w:val="16"/>
                <w:lang w:val="es-ES_tradnl" w:eastAsia="es-ES"/>
              </w:rPr>
              <w:t>GASTOS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 </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 </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val="es-ES_tradnl" w:eastAsia="es-ES"/>
              </w:rPr>
              <w:t>60 Compras Netas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260.198.180</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15,7</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61 Variación Existencias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1.000.468</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0,1</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62 Servicios Exteriores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300.626.221</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18,1</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63 Impuestos Ligados a la Actividad</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4.174.457</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0,3</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64 Gastos de Personal</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722.490.212</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43,5</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65 Gastos de Gestión</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204.371.288</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12,3</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66 Gastos Financieros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17.984.283</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1,1</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67 Gastos Excepcionales</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3.536.582</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0,2</w:t>
            </w:r>
          </w:p>
        </w:tc>
      </w:tr>
      <w:tr w:rsidR="00B01F04" w:rsidRPr="00CE3265"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68 Dotación del Ejercicio para Amortización</w:t>
            </w:r>
          </w:p>
        </w:tc>
        <w:tc>
          <w:tcPr>
            <w:tcW w:w="1985" w:type="dxa"/>
            <w:tcBorders>
              <w:top w:val="nil"/>
              <w:left w:val="nil"/>
              <w:bottom w:val="nil"/>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100.788.675</w:t>
            </w:r>
          </w:p>
        </w:tc>
        <w:tc>
          <w:tcPr>
            <w:tcW w:w="2126" w:type="dxa"/>
            <w:tcBorders>
              <w:top w:val="nil"/>
              <w:left w:val="nil"/>
              <w:bottom w:val="nil"/>
            </w:tcBorders>
            <w:shd w:val="clear" w:color="auto" w:fill="auto"/>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6,1</w:t>
            </w:r>
          </w:p>
        </w:tc>
      </w:tr>
      <w:tr w:rsidR="00B01F04" w:rsidRPr="00CE3265"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sidRPr="00CE3265">
              <w:rPr>
                <w:rFonts w:eastAsia="Times New Roman" w:cs="Arial"/>
                <w:color w:val="000000"/>
                <w:sz w:val="16"/>
                <w:szCs w:val="16"/>
                <w:lang w:eastAsia="es-ES"/>
              </w:rPr>
              <w:t>69 Dotaciones Provisión</w:t>
            </w:r>
          </w:p>
        </w:tc>
        <w:tc>
          <w:tcPr>
            <w:tcW w:w="1985" w:type="dxa"/>
            <w:tcBorders>
              <w:top w:val="nil"/>
              <w:left w:val="nil"/>
              <w:bottom w:val="single" w:sz="8" w:space="0" w:color="BFBFBF"/>
              <w:right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44.992.676</w:t>
            </w:r>
          </w:p>
        </w:tc>
        <w:tc>
          <w:tcPr>
            <w:tcW w:w="2126" w:type="dxa"/>
            <w:tcBorders>
              <w:top w:val="nil"/>
              <w:left w:val="nil"/>
              <w:bottom w:val="single" w:sz="8" w:space="0" w:color="BFBFBF"/>
            </w:tcBorders>
            <w:shd w:val="clear" w:color="auto" w:fill="auto"/>
            <w:noWrap/>
            <w:vAlign w:val="bottom"/>
            <w:hideMark/>
          </w:tcPr>
          <w:p w:rsidR="00B01F04" w:rsidRPr="00CE3265" w:rsidRDefault="00B01F04" w:rsidP="00D86960">
            <w:pPr>
              <w:spacing w:line="288" w:lineRule="auto"/>
              <w:ind w:right="162"/>
              <w:jc w:val="right"/>
              <w:rPr>
                <w:rFonts w:eastAsia="Times New Roman" w:cs="Arial"/>
                <w:color w:val="000000"/>
                <w:sz w:val="16"/>
                <w:szCs w:val="16"/>
                <w:lang w:eastAsia="es-ES"/>
              </w:rPr>
            </w:pPr>
            <w:r w:rsidRPr="00CE3265">
              <w:rPr>
                <w:rFonts w:eastAsia="Times New Roman" w:cs="Arial"/>
                <w:color w:val="000000"/>
                <w:sz w:val="16"/>
                <w:szCs w:val="16"/>
                <w:lang w:eastAsia="es-ES"/>
              </w:rPr>
              <w:t>2,7</w:t>
            </w:r>
          </w:p>
        </w:tc>
      </w:tr>
      <w:tr w:rsidR="00B01F04" w:rsidRPr="00CE3265" w:rsidTr="00D86960">
        <w:trPr>
          <w:jc w:val="center"/>
        </w:trPr>
        <w:tc>
          <w:tcPr>
            <w:tcW w:w="3984" w:type="dxa"/>
            <w:tcBorders>
              <w:top w:val="nil"/>
              <w:left w:val="nil"/>
              <w:bottom w:val="single" w:sz="8" w:space="0" w:color="BFBFBF"/>
              <w:right w:val="single" w:sz="8" w:space="0" w:color="BFBFBF"/>
            </w:tcBorders>
            <w:shd w:val="clear" w:color="000000" w:fill="E6E6E6"/>
            <w:vAlign w:val="bottom"/>
            <w:hideMark/>
          </w:tcPr>
          <w:p w:rsidR="00B01F04" w:rsidRPr="00CE3265" w:rsidRDefault="00B01F04" w:rsidP="00D86960">
            <w:pPr>
              <w:spacing w:line="288" w:lineRule="auto"/>
              <w:jc w:val="left"/>
              <w:rPr>
                <w:rFonts w:eastAsia="Times New Roman" w:cs="Arial"/>
                <w:color w:val="000000"/>
                <w:sz w:val="16"/>
                <w:szCs w:val="16"/>
                <w:lang w:eastAsia="es-ES"/>
              </w:rPr>
            </w:pPr>
            <w:r>
              <w:rPr>
                <w:rFonts w:eastAsia="Times New Roman" w:cs="Arial"/>
                <w:b/>
                <w:bCs/>
                <w:color w:val="000000"/>
                <w:sz w:val="16"/>
                <w:szCs w:val="16"/>
                <w:lang w:eastAsia="es-ES"/>
              </w:rPr>
              <w:tab/>
              <w:t>TOTAL GASTOS</w:t>
            </w:r>
          </w:p>
        </w:tc>
        <w:tc>
          <w:tcPr>
            <w:tcW w:w="1985" w:type="dxa"/>
            <w:tcBorders>
              <w:top w:val="nil"/>
              <w:left w:val="nil"/>
              <w:bottom w:val="single" w:sz="8" w:space="0" w:color="BFBFBF"/>
              <w:right w:val="nil"/>
            </w:tcBorders>
            <w:shd w:val="clear" w:color="000000" w:fill="E6E6E6"/>
            <w:vAlign w:val="bottom"/>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1.660.163.041</w:t>
            </w:r>
          </w:p>
        </w:tc>
        <w:tc>
          <w:tcPr>
            <w:tcW w:w="2126" w:type="dxa"/>
            <w:tcBorders>
              <w:top w:val="nil"/>
              <w:left w:val="nil"/>
              <w:bottom w:val="single" w:sz="8" w:space="0" w:color="BFBFBF"/>
            </w:tcBorders>
            <w:shd w:val="clear" w:color="000000" w:fill="E6E6E6"/>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100</w:t>
            </w:r>
            <w:r w:rsidR="007F441F">
              <w:rPr>
                <w:rFonts w:eastAsia="Times New Roman" w:cs="Arial"/>
                <w:b/>
                <w:bCs/>
                <w:color w:val="000000"/>
                <w:sz w:val="16"/>
                <w:szCs w:val="16"/>
                <w:lang w:eastAsia="es-ES"/>
              </w:rPr>
              <w:t>,0</w:t>
            </w:r>
          </w:p>
        </w:tc>
      </w:tr>
      <w:tr w:rsidR="00B01F04" w:rsidRPr="00CE3265" w:rsidTr="00D86960">
        <w:trPr>
          <w:jc w:val="center"/>
        </w:trPr>
        <w:tc>
          <w:tcPr>
            <w:tcW w:w="3984" w:type="dxa"/>
            <w:tcBorders>
              <w:top w:val="nil"/>
              <w:left w:val="nil"/>
              <w:bottom w:val="single" w:sz="8" w:space="0" w:color="BFBFBF"/>
              <w:right w:val="single" w:sz="8" w:space="0" w:color="BFBFBF"/>
            </w:tcBorders>
            <w:shd w:val="clear" w:color="000000" w:fill="DDEEFF"/>
            <w:vAlign w:val="bottom"/>
            <w:hideMark/>
          </w:tcPr>
          <w:p w:rsidR="00B01F04" w:rsidRPr="00CE3265" w:rsidRDefault="00B01F04" w:rsidP="00D86960">
            <w:pPr>
              <w:spacing w:line="288" w:lineRule="auto"/>
              <w:rPr>
                <w:rFonts w:eastAsia="Times New Roman" w:cs="Arial"/>
                <w:b/>
                <w:bCs/>
                <w:color w:val="000000"/>
                <w:sz w:val="16"/>
                <w:szCs w:val="16"/>
                <w:lang w:eastAsia="es-ES"/>
              </w:rPr>
            </w:pPr>
            <w:r w:rsidRPr="00CE3265">
              <w:rPr>
                <w:rFonts w:eastAsia="Times New Roman" w:cs="Arial"/>
                <w:b/>
                <w:bCs/>
                <w:color w:val="000000"/>
                <w:sz w:val="16"/>
                <w:szCs w:val="16"/>
                <w:lang w:val="es-ES_tradnl" w:eastAsia="es-ES"/>
              </w:rPr>
              <w:t>BENEFICIO (+) o PÉRDIDA (-)</w:t>
            </w:r>
          </w:p>
        </w:tc>
        <w:tc>
          <w:tcPr>
            <w:tcW w:w="1985" w:type="dxa"/>
            <w:tcBorders>
              <w:top w:val="nil"/>
              <w:left w:val="nil"/>
              <w:bottom w:val="single" w:sz="8" w:space="0" w:color="BFBFBF"/>
              <w:right w:val="single" w:sz="8" w:space="0" w:color="BFBFBF"/>
            </w:tcBorders>
            <w:shd w:val="clear" w:color="000000" w:fill="DDEEFF"/>
            <w:vAlign w:val="bottom"/>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16.310.277</w:t>
            </w:r>
          </w:p>
        </w:tc>
        <w:tc>
          <w:tcPr>
            <w:tcW w:w="2126" w:type="dxa"/>
            <w:tcBorders>
              <w:top w:val="nil"/>
              <w:left w:val="nil"/>
              <w:bottom w:val="single" w:sz="8" w:space="0" w:color="BFBFBF"/>
            </w:tcBorders>
            <w:shd w:val="clear" w:color="000000" w:fill="DDEEFF"/>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 </w:t>
            </w:r>
          </w:p>
        </w:tc>
      </w:tr>
      <w:tr w:rsidR="00B01F04" w:rsidRPr="00CE3265"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CE3265" w:rsidRDefault="00B01F04" w:rsidP="00D86960">
            <w:pPr>
              <w:spacing w:line="288" w:lineRule="auto"/>
              <w:rPr>
                <w:rFonts w:eastAsia="Times New Roman" w:cs="Arial"/>
                <w:b/>
                <w:bCs/>
                <w:color w:val="000000"/>
                <w:sz w:val="10"/>
                <w:szCs w:val="10"/>
                <w:lang w:eastAsia="es-ES"/>
              </w:rPr>
            </w:pPr>
            <w:r w:rsidRPr="00CE3265">
              <w:rPr>
                <w:rFonts w:eastAsia="Times New Roman" w:cs="Arial"/>
                <w:b/>
                <w:bCs/>
                <w:color w:val="000000"/>
                <w:sz w:val="10"/>
                <w:szCs w:val="10"/>
                <w:lang w:eastAsia="es-ES"/>
              </w:rPr>
              <w:t> </w:t>
            </w:r>
          </w:p>
        </w:tc>
        <w:tc>
          <w:tcPr>
            <w:tcW w:w="1985" w:type="dxa"/>
            <w:tcBorders>
              <w:top w:val="nil"/>
              <w:left w:val="nil"/>
              <w:bottom w:val="single" w:sz="8" w:space="0" w:color="BFBFBF"/>
              <w:right w:val="single" w:sz="8" w:space="0" w:color="BFBFBF"/>
            </w:tcBorders>
            <w:shd w:val="clear" w:color="auto" w:fill="auto"/>
            <w:vAlign w:val="bottom"/>
            <w:hideMark/>
          </w:tcPr>
          <w:p w:rsidR="00B01F04" w:rsidRPr="00CE3265" w:rsidRDefault="00B01F04" w:rsidP="00D86960">
            <w:pPr>
              <w:spacing w:line="288" w:lineRule="auto"/>
              <w:ind w:right="162"/>
              <w:jc w:val="right"/>
              <w:rPr>
                <w:rFonts w:eastAsia="Times New Roman" w:cs="Arial"/>
                <w:b/>
                <w:bCs/>
                <w:color w:val="000000"/>
                <w:sz w:val="10"/>
                <w:szCs w:val="10"/>
                <w:lang w:eastAsia="es-ES"/>
              </w:rPr>
            </w:pPr>
            <w:r w:rsidRPr="00CE3265">
              <w:rPr>
                <w:rFonts w:eastAsia="Times New Roman" w:cs="Arial"/>
                <w:b/>
                <w:bCs/>
                <w:color w:val="000000"/>
                <w:sz w:val="10"/>
                <w:szCs w:val="10"/>
                <w:lang w:eastAsia="es-ES"/>
              </w:rPr>
              <w:t> </w:t>
            </w:r>
          </w:p>
        </w:tc>
        <w:tc>
          <w:tcPr>
            <w:tcW w:w="2126" w:type="dxa"/>
            <w:tcBorders>
              <w:top w:val="nil"/>
              <w:left w:val="nil"/>
              <w:bottom w:val="single" w:sz="8" w:space="0" w:color="BFBFBF"/>
            </w:tcBorders>
            <w:shd w:val="clear" w:color="auto" w:fill="auto"/>
            <w:hideMark/>
          </w:tcPr>
          <w:p w:rsidR="00B01F04" w:rsidRPr="00CE3265" w:rsidRDefault="00B01F04" w:rsidP="00D86960">
            <w:pPr>
              <w:spacing w:line="288" w:lineRule="auto"/>
              <w:ind w:right="162"/>
              <w:jc w:val="right"/>
              <w:rPr>
                <w:rFonts w:eastAsia="Times New Roman" w:cs="Arial"/>
                <w:b/>
                <w:bCs/>
                <w:color w:val="000000"/>
                <w:sz w:val="10"/>
                <w:szCs w:val="10"/>
                <w:lang w:eastAsia="es-ES"/>
              </w:rPr>
            </w:pPr>
            <w:r w:rsidRPr="00CE3265">
              <w:rPr>
                <w:rFonts w:eastAsia="Times New Roman" w:cs="Arial"/>
                <w:b/>
                <w:bCs/>
                <w:color w:val="000000"/>
                <w:sz w:val="10"/>
                <w:szCs w:val="10"/>
                <w:lang w:eastAsia="es-ES"/>
              </w:rPr>
              <w:t> </w:t>
            </w:r>
          </w:p>
        </w:tc>
      </w:tr>
      <w:tr w:rsidR="00B01F04" w:rsidRPr="00CE3265" w:rsidTr="00D86960">
        <w:trPr>
          <w:jc w:val="center"/>
        </w:trPr>
        <w:tc>
          <w:tcPr>
            <w:tcW w:w="3984" w:type="dxa"/>
            <w:tcBorders>
              <w:top w:val="nil"/>
              <w:left w:val="nil"/>
              <w:bottom w:val="single" w:sz="8" w:space="0" w:color="BFBFBF"/>
              <w:right w:val="single" w:sz="8" w:space="0" w:color="BFBFBF"/>
            </w:tcBorders>
            <w:shd w:val="clear" w:color="000000" w:fill="DDEEFF"/>
            <w:vAlign w:val="bottom"/>
            <w:hideMark/>
          </w:tcPr>
          <w:p w:rsidR="00B01F04" w:rsidRPr="00CE3265" w:rsidRDefault="00B01F04" w:rsidP="00D86960">
            <w:pPr>
              <w:spacing w:line="288" w:lineRule="auto"/>
              <w:rPr>
                <w:rFonts w:eastAsia="Times New Roman" w:cs="Arial"/>
                <w:b/>
                <w:bCs/>
                <w:color w:val="000000"/>
                <w:sz w:val="16"/>
                <w:szCs w:val="16"/>
                <w:lang w:eastAsia="es-ES"/>
              </w:rPr>
            </w:pPr>
            <w:r w:rsidRPr="00CE3265">
              <w:rPr>
                <w:rFonts w:eastAsia="Times New Roman" w:cs="Arial"/>
                <w:b/>
                <w:bCs/>
                <w:color w:val="000000"/>
                <w:sz w:val="16"/>
                <w:szCs w:val="16"/>
                <w:lang w:val="en-GB" w:eastAsia="es-ES"/>
              </w:rPr>
              <w:t>CASH FLOW</w:t>
            </w:r>
          </w:p>
        </w:tc>
        <w:tc>
          <w:tcPr>
            <w:tcW w:w="1985" w:type="dxa"/>
            <w:tcBorders>
              <w:top w:val="nil"/>
              <w:left w:val="nil"/>
              <w:bottom w:val="single" w:sz="8" w:space="0" w:color="BFBFBF"/>
              <w:right w:val="single" w:sz="8" w:space="0" w:color="BFBFBF"/>
            </w:tcBorders>
            <w:shd w:val="clear" w:color="000000" w:fill="DDEEFF"/>
            <w:vAlign w:val="bottom"/>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162.091.627</w:t>
            </w:r>
          </w:p>
        </w:tc>
        <w:tc>
          <w:tcPr>
            <w:tcW w:w="2126" w:type="dxa"/>
            <w:tcBorders>
              <w:top w:val="nil"/>
              <w:left w:val="nil"/>
              <w:bottom w:val="single" w:sz="8" w:space="0" w:color="BFBFBF"/>
            </w:tcBorders>
            <w:shd w:val="clear" w:color="000000" w:fill="DDEEFF"/>
            <w:hideMark/>
          </w:tcPr>
          <w:p w:rsidR="00B01F04" w:rsidRPr="00CE3265" w:rsidRDefault="00B01F04" w:rsidP="00D86960">
            <w:pPr>
              <w:spacing w:line="288" w:lineRule="auto"/>
              <w:ind w:right="162"/>
              <w:jc w:val="right"/>
              <w:rPr>
                <w:rFonts w:eastAsia="Times New Roman" w:cs="Arial"/>
                <w:b/>
                <w:bCs/>
                <w:color w:val="000000"/>
                <w:sz w:val="16"/>
                <w:szCs w:val="16"/>
                <w:lang w:eastAsia="es-ES"/>
              </w:rPr>
            </w:pPr>
            <w:r w:rsidRPr="00CE3265">
              <w:rPr>
                <w:rFonts w:eastAsia="Times New Roman" w:cs="Arial"/>
                <w:b/>
                <w:bCs/>
                <w:color w:val="000000"/>
                <w:sz w:val="16"/>
                <w:szCs w:val="16"/>
                <w:lang w:eastAsia="es-ES"/>
              </w:rPr>
              <w:t> </w:t>
            </w:r>
          </w:p>
        </w:tc>
      </w:tr>
    </w:tbl>
    <w:p w:rsidR="00B01F04" w:rsidRDefault="00B01F04" w:rsidP="00B01F04">
      <w:pPr>
        <w:jc w:val="left"/>
        <w:rPr>
          <w:rFonts w:cs="Arial"/>
          <w:b/>
          <w:color w:val="1F497D" w:themeColor="text2"/>
          <w:sz w:val="18"/>
          <w:szCs w:val="18"/>
        </w:rPr>
      </w:pPr>
    </w:p>
    <w:p w:rsidR="00B01F04" w:rsidRPr="00BD39D2" w:rsidRDefault="00A67658" w:rsidP="00B01F04">
      <w:pPr>
        <w:widowControl w:val="0"/>
        <w:spacing w:line="240" w:lineRule="auto"/>
        <w:jc w:val="center"/>
        <w:rPr>
          <w:rFonts w:cs="Arial"/>
          <w:b/>
          <w:bCs/>
          <w:color w:val="1F497D" w:themeColor="text2"/>
          <w:sz w:val="18"/>
          <w:szCs w:val="18"/>
        </w:rPr>
      </w:pPr>
      <w:bookmarkStart w:id="404" w:name="RANGE!B2"/>
      <w:bookmarkStart w:id="405" w:name="_Toc445380989"/>
      <w:bookmarkStart w:id="406" w:name="_Toc450119841"/>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16</w:t>
      </w:r>
      <w:r w:rsidR="00771A61" w:rsidRPr="00A67658">
        <w:rPr>
          <w:rFonts w:cs="Arial"/>
          <w:b/>
          <w:bCs/>
          <w:snapToGrid w:val="0"/>
          <w:color w:val="1F497D" w:themeColor="text2"/>
          <w:sz w:val="18"/>
          <w:szCs w:val="18"/>
          <w:lang w:val="es-ES_tradnl"/>
        </w:rPr>
        <w:fldChar w:fldCharType="end"/>
      </w:r>
      <w:r w:rsidR="00B01F04">
        <w:rPr>
          <w:rFonts w:cs="Arial"/>
          <w:b/>
          <w:bCs/>
          <w:color w:val="1F497D" w:themeColor="text2"/>
          <w:sz w:val="18"/>
          <w:szCs w:val="18"/>
        </w:rPr>
        <w:t xml:space="preserve"> </w:t>
      </w:r>
      <w:r w:rsidR="00B01F04" w:rsidRPr="00BD39D2">
        <w:rPr>
          <w:rFonts w:cs="Arial"/>
          <w:b/>
          <w:bCs/>
          <w:color w:val="1F497D" w:themeColor="text2"/>
          <w:sz w:val="18"/>
          <w:szCs w:val="18"/>
        </w:rPr>
        <w:t xml:space="preserve"> CUENTA DE RESULTADOS DE FUNDACIONES EN 2014 (cifras absolutas en Euros) (Precios corrientes)</w:t>
      </w:r>
      <w:bookmarkEnd w:id="404"/>
      <w:bookmarkEnd w:id="405"/>
      <w:bookmarkEnd w:id="406"/>
    </w:p>
    <w:tbl>
      <w:tblPr>
        <w:tblW w:w="9940" w:type="dxa"/>
        <w:jc w:val="center"/>
        <w:tblLayout w:type="fixed"/>
        <w:tblCellMar>
          <w:left w:w="70" w:type="dxa"/>
          <w:right w:w="70" w:type="dxa"/>
        </w:tblCellMar>
        <w:tblLook w:val="04A0" w:firstRow="1" w:lastRow="0" w:firstColumn="1" w:lastColumn="0" w:noHBand="0" w:noVBand="1"/>
      </w:tblPr>
      <w:tblGrid>
        <w:gridCol w:w="4611"/>
        <w:gridCol w:w="5329"/>
      </w:tblGrid>
      <w:tr w:rsidR="00B01F04" w:rsidRPr="009D099F" w:rsidTr="00D86960">
        <w:trPr>
          <w:jc w:val="center"/>
        </w:trPr>
        <w:tc>
          <w:tcPr>
            <w:tcW w:w="3984"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9D099F" w:rsidRDefault="00B01F04" w:rsidP="00D86960">
            <w:pPr>
              <w:spacing w:line="288" w:lineRule="auto"/>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05" w:type="dxa"/>
            <w:tcBorders>
              <w:top w:val="single" w:sz="8" w:space="0" w:color="BFBFBF"/>
              <w:left w:val="nil"/>
              <w:bottom w:val="single" w:sz="8" w:space="0" w:color="BFBFBF"/>
            </w:tcBorders>
            <w:shd w:val="clear" w:color="000000" w:fill="DBE5F1"/>
            <w:vAlign w:val="bottom"/>
            <w:hideMark/>
          </w:tcPr>
          <w:p w:rsidR="00B01F04" w:rsidRPr="009D099F" w:rsidRDefault="00B01F04" w:rsidP="00D86960">
            <w:pPr>
              <w:spacing w:line="288" w:lineRule="auto"/>
              <w:ind w:right="363"/>
              <w:jc w:val="center"/>
              <w:rPr>
                <w:rFonts w:eastAsia="Times New Roman" w:cs="Arial"/>
                <w:b/>
                <w:bCs/>
                <w:color w:val="000000"/>
                <w:sz w:val="16"/>
                <w:szCs w:val="16"/>
                <w:lang w:eastAsia="es-ES"/>
              </w:rPr>
            </w:pPr>
            <w:r w:rsidRPr="009D099F">
              <w:rPr>
                <w:rFonts w:eastAsia="Times New Roman" w:cs="Arial"/>
                <w:b/>
                <w:bCs/>
                <w:color w:val="000000"/>
                <w:sz w:val="16"/>
                <w:szCs w:val="16"/>
                <w:lang w:eastAsia="es-ES"/>
              </w:rPr>
              <w:t>Fundaciones</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INGRESOS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70 Ventas Netas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524.009.095</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71 Variación de Existencias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1.891.437</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73 Trabajos realizados para Inmovilizado</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3.452.073</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74 Subvenciones de Explotación</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431836064</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75 Ingresos Accesorios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30.189.230</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76 Ingresos Financieros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39.115.957</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77 Ingresos Excepcionales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9.560.202</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79 Excesos Provisión</w:t>
            </w:r>
          </w:p>
        </w:tc>
        <w:tc>
          <w:tcPr>
            <w:tcW w:w="4605" w:type="dxa"/>
            <w:tcBorders>
              <w:top w:val="nil"/>
              <w:left w:val="nil"/>
              <w:bottom w:val="single" w:sz="8" w:space="0" w:color="BFBFBF"/>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6.580.153</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88" w:lineRule="auto"/>
              <w:jc w:val="lef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605" w:type="dxa"/>
            <w:tcBorders>
              <w:top w:val="nil"/>
              <w:left w:val="nil"/>
              <w:bottom w:val="single" w:sz="8" w:space="0" w:color="BFBFBF"/>
            </w:tcBorders>
            <w:shd w:val="clear" w:color="000000" w:fill="E6E6E6"/>
            <w:vAlign w:val="bottom"/>
            <w:hideMark/>
          </w:tcPr>
          <w:p w:rsidR="00B01F04" w:rsidRPr="009D099F" w:rsidRDefault="00B01F04" w:rsidP="00D86960">
            <w:pPr>
              <w:spacing w:line="288"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1.046.634.211</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GASTOS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60 Compras Netas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78.325.439</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61 Variación Existencias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333.864</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62 Servicios Exteriores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213955846</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63 Impuestos Ligados a la Actividad</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2.596.817</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64 Gastos de Personal</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423.096.194</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65 Gastos de Gestión</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182.776.442</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66 Gastos Financieros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16.169.883</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67 Gastos Excepcionales</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2.758.409</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68 Dotación del Ejercicio para Amortización</w:t>
            </w:r>
          </w:p>
        </w:tc>
        <w:tc>
          <w:tcPr>
            <w:tcW w:w="4605" w:type="dxa"/>
            <w:tcBorders>
              <w:top w:val="nil"/>
              <w:left w:val="nil"/>
              <w:bottom w:val="nil"/>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77.661.711</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69 Dotaciones Provisión</w:t>
            </w:r>
          </w:p>
        </w:tc>
        <w:tc>
          <w:tcPr>
            <w:tcW w:w="4605" w:type="dxa"/>
            <w:tcBorders>
              <w:top w:val="nil"/>
              <w:left w:val="nil"/>
              <w:bottom w:val="single" w:sz="8" w:space="0" w:color="BFBFBF"/>
            </w:tcBorders>
            <w:shd w:val="clear" w:color="auto" w:fill="auto"/>
            <w:noWrap/>
            <w:vAlign w:val="bottom"/>
            <w:hideMark/>
          </w:tcPr>
          <w:p w:rsidR="00B01F04" w:rsidRPr="009D099F" w:rsidRDefault="00B01F04" w:rsidP="00D86960">
            <w:pPr>
              <w:spacing w:line="288"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42.541.610</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88"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05" w:type="dxa"/>
            <w:tcBorders>
              <w:top w:val="nil"/>
              <w:left w:val="nil"/>
              <w:bottom w:val="single" w:sz="8" w:space="0" w:color="BFBFBF"/>
            </w:tcBorders>
            <w:shd w:val="clear" w:color="000000" w:fill="E6E6E6"/>
            <w:vAlign w:val="bottom"/>
            <w:hideMark/>
          </w:tcPr>
          <w:p w:rsidR="00B01F04" w:rsidRPr="009D099F" w:rsidRDefault="00B01F04" w:rsidP="00D86960">
            <w:pPr>
              <w:spacing w:line="288"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1.040.216.215</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88"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BENEFICIO (+) o PÉRDIDA (-)</w:t>
            </w:r>
          </w:p>
        </w:tc>
        <w:tc>
          <w:tcPr>
            <w:tcW w:w="4605" w:type="dxa"/>
            <w:tcBorders>
              <w:top w:val="nil"/>
              <w:left w:val="nil"/>
              <w:bottom w:val="single" w:sz="8" w:space="0" w:color="BFBFBF"/>
            </w:tcBorders>
            <w:shd w:val="clear" w:color="000000" w:fill="DDEEFF"/>
            <w:vAlign w:val="bottom"/>
            <w:hideMark/>
          </w:tcPr>
          <w:p w:rsidR="00B01F04" w:rsidRPr="009D099F" w:rsidRDefault="00B01F04" w:rsidP="00D86960">
            <w:pPr>
              <w:spacing w:line="288"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6.417.997</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88" w:lineRule="auto"/>
              <w:rPr>
                <w:rFonts w:eastAsia="Times New Roman" w:cs="Arial"/>
                <w:b/>
                <w:bCs/>
                <w:color w:val="000000"/>
                <w:sz w:val="10"/>
                <w:szCs w:val="10"/>
                <w:lang w:eastAsia="es-ES"/>
              </w:rPr>
            </w:pPr>
            <w:r w:rsidRPr="009D099F">
              <w:rPr>
                <w:rFonts w:eastAsia="Times New Roman" w:cs="Arial"/>
                <w:b/>
                <w:bCs/>
                <w:color w:val="000000"/>
                <w:sz w:val="10"/>
                <w:szCs w:val="10"/>
                <w:lang w:eastAsia="es-ES"/>
              </w:rPr>
              <w:t> </w:t>
            </w:r>
          </w:p>
        </w:tc>
        <w:tc>
          <w:tcPr>
            <w:tcW w:w="4605" w:type="dxa"/>
            <w:tcBorders>
              <w:top w:val="nil"/>
              <w:left w:val="nil"/>
              <w:bottom w:val="single" w:sz="8" w:space="0" w:color="BFBFBF"/>
            </w:tcBorders>
            <w:shd w:val="clear" w:color="auto" w:fill="auto"/>
            <w:vAlign w:val="bottom"/>
            <w:hideMark/>
          </w:tcPr>
          <w:p w:rsidR="00B01F04" w:rsidRPr="009D099F" w:rsidRDefault="00B01F04" w:rsidP="00D86960">
            <w:pPr>
              <w:spacing w:line="288" w:lineRule="auto"/>
              <w:ind w:right="221"/>
              <w:jc w:val="right"/>
              <w:rPr>
                <w:rFonts w:eastAsia="Times New Roman" w:cs="Arial"/>
                <w:b/>
                <w:bCs/>
                <w:color w:val="000000"/>
                <w:sz w:val="10"/>
                <w:szCs w:val="10"/>
                <w:lang w:eastAsia="es-ES"/>
              </w:rPr>
            </w:pPr>
            <w:r w:rsidRPr="009D099F">
              <w:rPr>
                <w:rFonts w:eastAsia="Times New Roman" w:cs="Arial"/>
                <w:b/>
                <w:bCs/>
                <w:color w:val="000000"/>
                <w:sz w:val="10"/>
                <w:szCs w:val="10"/>
                <w:lang w:eastAsia="es-ES"/>
              </w:rPr>
              <w:t> </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88" w:lineRule="auto"/>
              <w:rPr>
                <w:rFonts w:eastAsia="Times New Roman" w:cs="Arial"/>
                <w:b/>
                <w:bCs/>
                <w:color w:val="000000"/>
                <w:sz w:val="16"/>
                <w:szCs w:val="16"/>
                <w:lang w:eastAsia="es-ES"/>
              </w:rPr>
            </w:pPr>
            <w:r w:rsidRPr="009D099F">
              <w:rPr>
                <w:rFonts w:eastAsia="Times New Roman" w:cs="Arial"/>
                <w:b/>
                <w:bCs/>
                <w:color w:val="000000"/>
                <w:sz w:val="16"/>
                <w:szCs w:val="16"/>
                <w:lang w:val="en-GB" w:eastAsia="es-ES"/>
              </w:rPr>
              <w:t>CASH FLOW</w:t>
            </w:r>
          </w:p>
        </w:tc>
        <w:tc>
          <w:tcPr>
            <w:tcW w:w="4605" w:type="dxa"/>
            <w:tcBorders>
              <w:top w:val="nil"/>
              <w:left w:val="nil"/>
              <w:bottom w:val="single" w:sz="8" w:space="0" w:color="BFBFBF"/>
            </w:tcBorders>
            <w:shd w:val="clear" w:color="000000" w:fill="DDEEFF"/>
            <w:vAlign w:val="bottom"/>
            <w:hideMark/>
          </w:tcPr>
          <w:p w:rsidR="00B01F04" w:rsidRPr="009D099F" w:rsidRDefault="00B01F04" w:rsidP="00D86960">
            <w:pPr>
              <w:spacing w:line="288"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126.621.317</w:t>
            </w:r>
          </w:p>
        </w:tc>
      </w:tr>
    </w:tbl>
    <w:p w:rsidR="00B01F04" w:rsidRDefault="00B01F04" w:rsidP="00B01F04">
      <w:pPr>
        <w:jc w:val="left"/>
        <w:rPr>
          <w:rFonts w:cs="Arial"/>
        </w:rPr>
      </w:pPr>
    </w:p>
    <w:p w:rsidR="00B01F04" w:rsidRDefault="00B01F04" w:rsidP="00B01F04">
      <w:pPr>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B01F04" w:rsidRDefault="00A67658" w:rsidP="00B01F04">
      <w:pPr>
        <w:widowControl w:val="0"/>
        <w:spacing w:line="240" w:lineRule="auto"/>
        <w:jc w:val="center"/>
        <w:rPr>
          <w:rFonts w:cs="Arial"/>
          <w:b/>
          <w:bCs/>
          <w:color w:val="1F497D" w:themeColor="text2"/>
          <w:sz w:val="18"/>
          <w:szCs w:val="18"/>
        </w:rPr>
      </w:pPr>
      <w:bookmarkStart w:id="407" w:name="_Toc445380990"/>
      <w:bookmarkStart w:id="408" w:name="_Toc450119842"/>
      <w:r w:rsidRPr="00A67658">
        <w:rPr>
          <w:rFonts w:cs="Arial"/>
          <w:b/>
          <w:bCs/>
          <w:snapToGrid w:val="0"/>
          <w:color w:val="1F497D" w:themeColor="text2"/>
          <w:sz w:val="18"/>
          <w:szCs w:val="18"/>
          <w:lang w:val="es-ES_tradnl"/>
        </w:rPr>
        <w:lastRenderedPageBreak/>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17</w:t>
      </w:r>
      <w:r w:rsidR="00771A61" w:rsidRPr="00A67658">
        <w:rPr>
          <w:rFonts w:cs="Arial"/>
          <w:b/>
          <w:bCs/>
          <w:snapToGrid w:val="0"/>
          <w:color w:val="1F497D" w:themeColor="text2"/>
          <w:sz w:val="18"/>
          <w:szCs w:val="18"/>
          <w:lang w:val="es-ES_tradnl"/>
        </w:rPr>
        <w:fldChar w:fldCharType="end"/>
      </w:r>
      <w:r w:rsidR="00B01F04">
        <w:rPr>
          <w:rFonts w:cs="Arial"/>
          <w:b/>
          <w:bCs/>
          <w:color w:val="1F497D" w:themeColor="text2"/>
          <w:sz w:val="18"/>
          <w:szCs w:val="18"/>
        </w:rPr>
        <w:t xml:space="preserve"> </w:t>
      </w:r>
      <w:r w:rsidR="00B01F04" w:rsidRPr="00BD39D2">
        <w:rPr>
          <w:rFonts w:cs="Arial"/>
          <w:b/>
          <w:bCs/>
          <w:color w:val="1F497D" w:themeColor="text2"/>
          <w:sz w:val="18"/>
          <w:szCs w:val="18"/>
        </w:rPr>
        <w:t xml:space="preserve"> CUENTA DE RESULTADOS </w:t>
      </w:r>
      <w:r w:rsidR="00B01F04">
        <w:rPr>
          <w:rFonts w:cs="Arial"/>
          <w:b/>
          <w:bCs/>
          <w:color w:val="1F497D" w:themeColor="text2"/>
          <w:sz w:val="18"/>
          <w:szCs w:val="18"/>
        </w:rPr>
        <w:t>DE ASOCIACIONES DE UTILIDAD PÚBLICA</w:t>
      </w:r>
      <w:r w:rsidR="00B01F04" w:rsidRPr="00BD39D2">
        <w:rPr>
          <w:rFonts w:cs="Arial"/>
          <w:b/>
          <w:bCs/>
          <w:color w:val="1F497D" w:themeColor="text2"/>
          <w:sz w:val="18"/>
          <w:szCs w:val="18"/>
        </w:rPr>
        <w:t xml:space="preserve"> EN 2014 (cifras absolutas en Euros) (Precios corrientes)</w:t>
      </w:r>
      <w:bookmarkEnd w:id="407"/>
      <w:bookmarkEnd w:id="408"/>
    </w:p>
    <w:tbl>
      <w:tblPr>
        <w:tblW w:w="9940" w:type="dxa"/>
        <w:jc w:val="center"/>
        <w:tblInd w:w="55" w:type="dxa"/>
        <w:tblCellMar>
          <w:left w:w="70" w:type="dxa"/>
          <w:right w:w="70" w:type="dxa"/>
        </w:tblCellMar>
        <w:tblLook w:val="04A0" w:firstRow="1" w:lastRow="0" w:firstColumn="1" w:lastColumn="0" w:noHBand="0" w:noVBand="1"/>
      </w:tblPr>
      <w:tblGrid>
        <w:gridCol w:w="4648"/>
        <w:gridCol w:w="5292"/>
      </w:tblGrid>
      <w:tr w:rsidR="00B01F04" w:rsidRPr="009D099F" w:rsidTr="00D86960">
        <w:trPr>
          <w:jc w:val="center"/>
        </w:trPr>
        <w:tc>
          <w:tcPr>
            <w:tcW w:w="3984"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9D099F" w:rsidRDefault="00B01F04" w:rsidP="00D86960">
            <w:pPr>
              <w:spacing w:line="264" w:lineRule="auto"/>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536" w:type="dxa"/>
            <w:tcBorders>
              <w:top w:val="single" w:sz="8" w:space="0" w:color="BFBFBF"/>
              <w:left w:val="nil"/>
              <w:bottom w:val="single" w:sz="8" w:space="0" w:color="BFBFBF"/>
            </w:tcBorders>
            <w:shd w:val="clear" w:color="000000" w:fill="DBE5F1"/>
            <w:vAlign w:val="bottom"/>
            <w:hideMark/>
          </w:tcPr>
          <w:p w:rsidR="00B01F04" w:rsidRPr="009D099F" w:rsidRDefault="00B01F04" w:rsidP="00D86960">
            <w:pPr>
              <w:spacing w:line="264" w:lineRule="auto"/>
              <w:ind w:right="221"/>
              <w:jc w:val="center"/>
              <w:rPr>
                <w:rFonts w:eastAsia="Times New Roman" w:cs="Arial"/>
                <w:b/>
                <w:bCs/>
                <w:color w:val="000000"/>
                <w:sz w:val="16"/>
                <w:szCs w:val="16"/>
                <w:lang w:eastAsia="es-ES"/>
              </w:rPr>
            </w:pPr>
            <w:r w:rsidRPr="009D099F">
              <w:rPr>
                <w:rFonts w:eastAsia="Times New Roman" w:cs="Arial"/>
                <w:b/>
                <w:bCs/>
                <w:color w:val="000000"/>
                <w:sz w:val="16"/>
                <w:szCs w:val="16"/>
                <w:lang w:eastAsia="es-ES"/>
              </w:rPr>
              <w:t xml:space="preserve">Asociaciones de Utilidad Pública </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INGRESOS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70 Ventas Netas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92.434.283</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71 Variación de Existencias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0</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73 Trabajos realizados para Inmovilizado</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554.279</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74 Subvenciones de Explotación</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97.247.376</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75 Ingresos Accesorios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9.196.962</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76 Ingresos Financieros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923.431</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77 Ingresos Excepcionales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2.086.796</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79 Excesos Provisión</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761.834</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536"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203.204.961</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GASTOS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60 Compras Netas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13.181.008</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61 Variación Existencias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202.205</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62 Servicios Exteriores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44.214.576</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63 Impuestos Ligados a la Actividad</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391.857</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64 Gastos de Personal</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118.214.966</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65 Gastos de Gestión</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18.102.311</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66 Gastos Financieros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525.489</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67 Gastos Excepcionales</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232.401</w:t>
            </w:r>
          </w:p>
        </w:tc>
      </w:tr>
      <w:tr w:rsidR="00B01F04" w:rsidRPr="009D099F" w:rsidTr="00D86960">
        <w:trPr>
          <w:jc w:val="center"/>
        </w:trPr>
        <w:tc>
          <w:tcPr>
            <w:tcW w:w="3984"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68 Dotación del Ejercicio para Amortización</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6.098.763</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69 Dotaciones Provisión</w:t>
            </w:r>
          </w:p>
        </w:tc>
        <w:tc>
          <w:tcPr>
            <w:tcW w:w="4536"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594.100</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536"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201.757.676</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BENEFICIO (+) o PÉRDIDA (-)</w:t>
            </w:r>
          </w:p>
        </w:tc>
        <w:tc>
          <w:tcPr>
            <w:tcW w:w="4536"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1.447.285</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536" w:type="dxa"/>
            <w:tcBorders>
              <w:top w:val="nil"/>
              <w:left w:val="nil"/>
              <w:bottom w:val="single" w:sz="8" w:space="0" w:color="BFBFBF"/>
            </w:tcBorders>
            <w:shd w:val="clear" w:color="auto" w:fill="auto"/>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r>
      <w:tr w:rsidR="00B01F04" w:rsidRPr="009D099F" w:rsidTr="00D86960">
        <w:trPr>
          <w:jc w:val="center"/>
        </w:trPr>
        <w:tc>
          <w:tcPr>
            <w:tcW w:w="3984"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n-GB" w:eastAsia="es-ES"/>
              </w:rPr>
              <w:t>CASH FLOW</w:t>
            </w:r>
          </w:p>
        </w:tc>
        <w:tc>
          <w:tcPr>
            <w:tcW w:w="4536"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8.140.146</w:t>
            </w:r>
          </w:p>
        </w:tc>
      </w:tr>
    </w:tbl>
    <w:p w:rsidR="00B01F04" w:rsidRPr="00BD39D2" w:rsidRDefault="00B01F04" w:rsidP="00B01F04">
      <w:pPr>
        <w:widowControl w:val="0"/>
        <w:spacing w:line="240" w:lineRule="auto"/>
        <w:jc w:val="center"/>
        <w:rPr>
          <w:rFonts w:cs="Arial"/>
          <w:b/>
          <w:bCs/>
          <w:color w:val="1F497D" w:themeColor="text2"/>
          <w:sz w:val="18"/>
          <w:szCs w:val="18"/>
        </w:rPr>
      </w:pPr>
    </w:p>
    <w:p w:rsidR="00B01F04" w:rsidRDefault="00A67658" w:rsidP="00B01F04">
      <w:pPr>
        <w:widowControl w:val="0"/>
        <w:spacing w:line="240" w:lineRule="auto"/>
        <w:jc w:val="center"/>
        <w:rPr>
          <w:rFonts w:cs="Arial"/>
          <w:b/>
          <w:bCs/>
          <w:color w:val="1F497D" w:themeColor="text2"/>
          <w:sz w:val="18"/>
          <w:szCs w:val="18"/>
        </w:rPr>
      </w:pPr>
      <w:bookmarkStart w:id="409" w:name="_Toc445380991"/>
      <w:bookmarkStart w:id="410" w:name="_Toc450119843"/>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18</w:t>
      </w:r>
      <w:r w:rsidR="00771A61" w:rsidRPr="00A67658">
        <w:rPr>
          <w:rFonts w:cs="Arial"/>
          <w:b/>
          <w:bCs/>
          <w:snapToGrid w:val="0"/>
          <w:color w:val="1F497D" w:themeColor="text2"/>
          <w:sz w:val="18"/>
          <w:szCs w:val="18"/>
          <w:lang w:val="es-ES_tradnl"/>
        </w:rPr>
        <w:fldChar w:fldCharType="end"/>
      </w:r>
      <w:r w:rsidR="00B01F04">
        <w:rPr>
          <w:rFonts w:cs="Arial"/>
          <w:b/>
          <w:bCs/>
          <w:color w:val="1F497D" w:themeColor="text2"/>
          <w:sz w:val="18"/>
          <w:szCs w:val="18"/>
        </w:rPr>
        <w:t xml:space="preserve"> </w:t>
      </w:r>
      <w:r w:rsidR="00B01F04" w:rsidRPr="00BD39D2">
        <w:rPr>
          <w:rFonts w:cs="Arial"/>
          <w:b/>
          <w:bCs/>
          <w:color w:val="1F497D" w:themeColor="text2"/>
          <w:sz w:val="18"/>
          <w:szCs w:val="18"/>
        </w:rPr>
        <w:t xml:space="preserve"> CUENTA DE RESULTADOS </w:t>
      </w:r>
      <w:r w:rsidR="00B01F04">
        <w:rPr>
          <w:rFonts w:cs="Arial"/>
          <w:b/>
          <w:bCs/>
          <w:color w:val="1F497D" w:themeColor="text2"/>
          <w:sz w:val="18"/>
          <w:szCs w:val="18"/>
        </w:rPr>
        <w:t xml:space="preserve">DE CENTROS ESPECIALES DE EMPLEO </w:t>
      </w:r>
      <w:r w:rsidR="00B01F04" w:rsidRPr="00BD39D2">
        <w:rPr>
          <w:rFonts w:cs="Arial"/>
          <w:b/>
          <w:bCs/>
          <w:color w:val="1F497D" w:themeColor="text2"/>
          <w:sz w:val="18"/>
          <w:szCs w:val="18"/>
        </w:rPr>
        <w:t>EN 2014 (cifras absolutas en Euros) (Precios corrientes)</w:t>
      </w:r>
      <w:bookmarkEnd w:id="409"/>
      <w:bookmarkEnd w:id="410"/>
    </w:p>
    <w:tbl>
      <w:tblPr>
        <w:tblW w:w="9940" w:type="dxa"/>
        <w:jc w:val="center"/>
        <w:tblCellMar>
          <w:left w:w="70" w:type="dxa"/>
          <w:right w:w="70" w:type="dxa"/>
        </w:tblCellMar>
        <w:tblLook w:val="04A0" w:firstRow="1" w:lastRow="0" w:firstColumn="1" w:lastColumn="0" w:noHBand="0" w:noVBand="1"/>
      </w:tblPr>
      <w:tblGrid>
        <w:gridCol w:w="4464"/>
        <w:gridCol w:w="5476"/>
      </w:tblGrid>
      <w:tr w:rsidR="00B01F04" w:rsidRPr="009D099F" w:rsidTr="00D86960">
        <w:trPr>
          <w:jc w:val="center"/>
        </w:trPr>
        <w:tc>
          <w:tcPr>
            <w:tcW w:w="3742"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9D099F" w:rsidRDefault="00B01F04" w:rsidP="00D86960">
            <w:pPr>
              <w:spacing w:line="264" w:lineRule="auto"/>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590" w:type="dxa"/>
            <w:tcBorders>
              <w:top w:val="single" w:sz="8" w:space="0" w:color="BFBFBF"/>
              <w:left w:val="nil"/>
              <w:bottom w:val="single" w:sz="8" w:space="0" w:color="BFBFBF"/>
            </w:tcBorders>
            <w:shd w:val="clear" w:color="000000" w:fill="DBE5F1"/>
            <w:vAlign w:val="bottom"/>
            <w:hideMark/>
          </w:tcPr>
          <w:p w:rsidR="00B01F04" w:rsidRPr="009D099F" w:rsidRDefault="00B01F04" w:rsidP="00D86960">
            <w:pPr>
              <w:spacing w:line="264" w:lineRule="auto"/>
              <w:ind w:right="221"/>
              <w:jc w:val="center"/>
              <w:rPr>
                <w:rFonts w:eastAsia="Times New Roman" w:cs="Arial"/>
                <w:b/>
                <w:bCs/>
                <w:color w:val="000000"/>
                <w:sz w:val="16"/>
                <w:szCs w:val="16"/>
                <w:lang w:eastAsia="es-ES"/>
              </w:rPr>
            </w:pPr>
            <w:r w:rsidRPr="009D099F">
              <w:rPr>
                <w:rFonts w:eastAsia="Times New Roman" w:cs="Arial"/>
                <w:b/>
                <w:bCs/>
                <w:color w:val="000000"/>
                <w:sz w:val="16"/>
                <w:szCs w:val="16"/>
                <w:lang w:eastAsia="es-ES"/>
              </w:rPr>
              <w:t xml:space="preserve">Centros Especiales de Empleo </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INGRESOS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70 Ventas Netas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229.053.360</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71 Variación de Existencias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1.189.521</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73 Trabajos realizados para Inmovilizado</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8.939</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74 Subvenciones de Explotación</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55.844.747</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75 Ingresos Accesorios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15.035.941</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76 Ingresos Financieros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530.579</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77 Ingresos Excepcionales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1.436.698</w:t>
            </w:r>
          </w:p>
        </w:tc>
      </w:tr>
      <w:tr w:rsidR="00B01F04" w:rsidRPr="009D099F" w:rsidTr="00D86960">
        <w:trPr>
          <w:jc w:val="center"/>
        </w:trPr>
        <w:tc>
          <w:tcPr>
            <w:tcW w:w="3742"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79 Excesos Provisión</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413.790</w:t>
            </w:r>
          </w:p>
        </w:tc>
      </w:tr>
      <w:tr w:rsidR="00B01F04" w:rsidRPr="009D099F" w:rsidTr="00D86960">
        <w:trPr>
          <w:jc w:val="center"/>
        </w:trPr>
        <w:tc>
          <w:tcPr>
            <w:tcW w:w="3742"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590"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303.513.575</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GASTOS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60 Compras Netas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102.254.948</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61 Variación Existencias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244.364</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62 Servicios Exteriores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24.437.695</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63 Impuestos Ligados a la Actividad</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492.253</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64 Gastos de Personal</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153.406.184</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65 Gastos de Gestión</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3.357.982</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66 Gastos Financieros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604.354</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67 Gastos Excepcionales</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142.507</w:t>
            </w:r>
          </w:p>
        </w:tc>
      </w:tr>
      <w:tr w:rsidR="00B01F04" w:rsidRPr="009D099F" w:rsidTr="00D86960">
        <w:trPr>
          <w:jc w:val="center"/>
        </w:trPr>
        <w:tc>
          <w:tcPr>
            <w:tcW w:w="374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68 Dotación del Ejercicio para Amortización</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10.884.862</w:t>
            </w:r>
          </w:p>
        </w:tc>
      </w:tr>
      <w:tr w:rsidR="00B01F04" w:rsidRPr="009D099F" w:rsidTr="00D86960">
        <w:trPr>
          <w:jc w:val="center"/>
        </w:trPr>
        <w:tc>
          <w:tcPr>
            <w:tcW w:w="3742"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69 Dotaciones Provisión</w:t>
            </w:r>
          </w:p>
        </w:tc>
        <w:tc>
          <w:tcPr>
            <w:tcW w:w="4590"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1.469.398</w:t>
            </w:r>
          </w:p>
        </w:tc>
      </w:tr>
      <w:tr w:rsidR="00B01F04" w:rsidRPr="009D099F" w:rsidTr="00D86960">
        <w:trPr>
          <w:jc w:val="center"/>
        </w:trPr>
        <w:tc>
          <w:tcPr>
            <w:tcW w:w="3742"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590"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297.294.547</w:t>
            </w:r>
          </w:p>
        </w:tc>
      </w:tr>
      <w:tr w:rsidR="00B01F04" w:rsidRPr="009D099F" w:rsidTr="00D86960">
        <w:trPr>
          <w:jc w:val="center"/>
        </w:trPr>
        <w:tc>
          <w:tcPr>
            <w:tcW w:w="3742"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BENEFICIO (+) o PÉRDIDA (-)</w:t>
            </w:r>
          </w:p>
        </w:tc>
        <w:tc>
          <w:tcPr>
            <w:tcW w:w="4590"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6.219.029</w:t>
            </w:r>
          </w:p>
        </w:tc>
      </w:tr>
      <w:tr w:rsidR="00B01F04" w:rsidRPr="009D099F" w:rsidTr="00D86960">
        <w:trPr>
          <w:jc w:val="center"/>
        </w:trPr>
        <w:tc>
          <w:tcPr>
            <w:tcW w:w="3742"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590" w:type="dxa"/>
            <w:tcBorders>
              <w:top w:val="nil"/>
              <w:left w:val="nil"/>
              <w:bottom w:val="single" w:sz="8" w:space="0" w:color="BFBFBF"/>
            </w:tcBorders>
            <w:shd w:val="clear" w:color="auto" w:fill="auto"/>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r>
      <w:tr w:rsidR="00B01F04" w:rsidRPr="009D099F" w:rsidTr="00D86960">
        <w:trPr>
          <w:jc w:val="center"/>
        </w:trPr>
        <w:tc>
          <w:tcPr>
            <w:tcW w:w="3742"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n-GB" w:eastAsia="es-ES"/>
              </w:rPr>
              <w:t>CASH FLOW</w:t>
            </w:r>
          </w:p>
        </w:tc>
        <w:tc>
          <w:tcPr>
            <w:tcW w:w="4590"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18.573.289</w:t>
            </w:r>
          </w:p>
        </w:tc>
      </w:tr>
    </w:tbl>
    <w:p w:rsidR="00B01F04" w:rsidRDefault="00B01F04" w:rsidP="00B01F04">
      <w:pPr>
        <w:jc w:val="left"/>
        <w:rPr>
          <w:rFonts w:cs="Arial"/>
          <w:b/>
          <w:bCs/>
          <w:color w:val="1F497D" w:themeColor="text2"/>
          <w:sz w:val="18"/>
          <w:szCs w:val="18"/>
        </w:rPr>
      </w:pPr>
      <w:r>
        <w:rPr>
          <w:rFonts w:cs="Arial"/>
          <w:b/>
          <w:bCs/>
          <w:color w:val="1F497D" w:themeColor="text2"/>
          <w:sz w:val="18"/>
          <w:szCs w:val="18"/>
        </w:rPr>
        <w:br w:type="page"/>
      </w:r>
    </w:p>
    <w:p w:rsidR="00B01F04" w:rsidRDefault="00A67658" w:rsidP="00B01F04">
      <w:pPr>
        <w:widowControl w:val="0"/>
        <w:spacing w:line="240" w:lineRule="auto"/>
        <w:jc w:val="center"/>
        <w:rPr>
          <w:rFonts w:cs="Arial"/>
          <w:b/>
          <w:bCs/>
          <w:color w:val="1F497D" w:themeColor="text2"/>
          <w:sz w:val="18"/>
          <w:szCs w:val="18"/>
        </w:rPr>
      </w:pPr>
      <w:bookmarkStart w:id="411" w:name="_Toc445380992"/>
      <w:bookmarkStart w:id="412" w:name="_Toc450119844"/>
      <w:r w:rsidRPr="00A67658">
        <w:rPr>
          <w:rFonts w:cs="Arial"/>
          <w:b/>
          <w:bCs/>
          <w:snapToGrid w:val="0"/>
          <w:color w:val="1F497D" w:themeColor="text2"/>
          <w:sz w:val="18"/>
          <w:szCs w:val="18"/>
          <w:lang w:val="es-ES_tradnl"/>
        </w:rPr>
        <w:lastRenderedPageBreak/>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19</w:t>
      </w:r>
      <w:r w:rsidR="00771A61" w:rsidRPr="00A67658">
        <w:rPr>
          <w:rFonts w:cs="Arial"/>
          <w:b/>
          <w:bCs/>
          <w:snapToGrid w:val="0"/>
          <w:color w:val="1F497D" w:themeColor="text2"/>
          <w:sz w:val="18"/>
          <w:szCs w:val="18"/>
          <w:lang w:val="es-ES_tradnl"/>
        </w:rPr>
        <w:fldChar w:fldCharType="end"/>
      </w:r>
      <w:r w:rsidR="00B01F04" w:rsidRPr="00BD39D2">
        <w:rPr>
          <w:rFonts w:cs="Arial"/>
          <w:b/>
          <w:bCs/>
          <w:color w:val="1F497D" w:themeColor="text2"/>
          <w:sz w:val="18"/>
          <w:szCs w:val="18"/>
        </w:rPr>
        <w:t xml:space="preserve"> CUENTA DE RESULTADOS </w:t>
      </w:r>
      <w:r w:rsidR="00B01F04">
        <w:rPr>
          <w:rFonts w:cs="Arial"/>
          <w:b/>
          <w:bCs/>
          <w:color w:val="1F497D" w:themeColor="text2"/>
          <w:sz w:val="18"/>
          <w:szCs w:val="18"/>
        </w:rPr>
        <w:t xml:space="preserve">DE EMPRESAS DE INSERCIÓN </w:t>
      </w:r>
      <w:r w:rsidR="00B01F04" w:rsidRPr="00BD39D2">
        <w:rPr>
          <w:rFonts w:cs="Arial"/>
          <w:b/>
          <w:bCs/>
          <w:color w:val="1F497D" w:themeColor="text2"/>
          <w:sz w:val="18"/>
          <w:szCs w:val="18"/>
        </w:rPr>
        <w:t>EN 2014 (cifras absolutas en Euros) (Precios corrientes)</w:t>
      </w:r>
      <w:bookmarkEnd w:id="411"/>
      <w:bookmarkEnd w:id="412"/>
    </w:p>
    <w:tbl>
      <w:tblPr>
        <w:tblW w:w="9940" w:type="dxa"/>
        <w:jc w:val="center"/>
        <w:tblInd w:w="55" w:type="dxa"/>
        <w:tblCellMar>
          <w:left w:w="70" w:type="dxa"/>
          <w:right w:w="70" w:type="dxa"/>
        </w:tblCellMar>
        <w:tblLook w:val="04A0" w:firstRow="1" w:lastRow="0" w:firstColumn="1" w:lastColumn="0" w:noHBand="0" w:noVBand="1"/>
      </w:tblPr>
      <w:tblGrid>
        <w:gridCol w:w="4483"/>
        <w:gridCol w:w="5457"/>
      </w:tblGrid>
      <w:tr w:rsidR="00B01F04" w:rsidRPr="009D099F" w:rsidTr="00D86960">
        <w:trPr>
          <w:jc w:val="center"/>
        </w:trPr>
        <w:tc>
          <w:tcPr>
            <w:tcW w:w="3843"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9D099F" w:rsidRDefault="00B01F04" w:rsidP="00D86960">
            <w:pPr>
              <w:spacing w:line="264" w:lineRule="auto"/>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77" w:type="dxa"/>
            <w:tcBorders>
              <w:top w:val="single" w:sz="8" w:space="0" w:color="BFBFBF"/>
              <w:left w:val="nil"/>
              <w:bottom w:val="single" w:sz="8" w:space="0" w:color="BFBFBF"/>
            </w:tcBorders>
            <w:shd w:val="clear" w:color="000000" w:fill="DBE5F1"/>
            <w:vAlign w:val="bottom"/>
            <w:hideMark/>
          </w:tcPr>
          <w:p w:rsidR="00B01F04" w:rsidRPr="009D099F" w:rsidRDefault="00B01F04" w:rsidP="00D86960">
            <w:pPr>
              <w:spacing w:line="264" w:lineRule="auto"/>
              <w:ind w:right="221"/>
              <w:jc w:val="center"/>
              <w:rPr>
                <w:rFonts w:eastAsia="Times New Roman" w:cs="Arial"/>
                <w:b/>
                <w:bCs/>
                <w:color w:val="000000"/>
                <w:sz w:val="16"/>
                <w:szCs w:val="16"/>
                <w:lang w:eastAsia="es-ES"/>
              </w:rPr>
            </w:pPr>
            <w:r w:rsidRPr="009D099F">
              <w:rPr>
                <w:rFonts w:eastAsia="Times New Roman" w:cs="Arial"/>
                <w:b/>
                <w:bCs/>
                <w:color w:val="000000"/>
                <w:sz w:val="16"/>
                <w:szCs w:val="16"/>
                <w:lang w:eastAsia="es-ES"/>
              </w:rPr>
              <w:t xml:space="preserve">Empresas de Inserción </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INGRESOS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70 Ventas Netas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33.862.744</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71 Variación de Existencias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5.000</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73 Trabajos realizados para Inmovilizado</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648.526</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74 Subvenciones de Explotación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6.966.354</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75 Ingresos Accesorios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702.850</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76 Ingresos Financieros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62.706</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77 Ingresos Excepcionales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262.833</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79 Excesos Provisión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523</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677"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42.511.536</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GASTOS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60 Compras Netas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9.857.912</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61 Variación Existencias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-113.573</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62 Servicios Exteriores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9.287.164</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63 Impuestos Ligados a la Actividad</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226.984</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64 Gastos de Personal</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18.701.920</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65 Gastos de Gestión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71.829</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66 Gastos Financieros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174.583</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67 Gastos Excepcionales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246.484</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68 Dotación del Ejercicio para Amortización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1.937.132</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69 Dotaciones Provisión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81.116</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77"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40.471.551</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BENEFICIO (+) o PÉRDIDA (-)</w:t>
            </w:r>
          </w:p>
        </w:tc>
        <w:tc>
          <w:tcPr>
            <w:tcW w:w="4677"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2.039.983</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677" w:type="dxa"/>
            <w:tcBorders>
              <w:top w:val="nil"/>
              <w:left w:val="nil"/>
              <w:bottom w:val="single" w:sz="8" w:space="0" w:color="BFBFBF"/>
            </w:tcBorders>
            <w:shd w:val="clear" w:color="auto" w:fill="auto"/>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n-GB" w:eastAsia="es-ES"/>
              </w:rPr>
              <w:t>CASH FLOW</w:t>
            </w:r>
          </w:p>
        </w:tc>
        <w:tc>
          <w:tcPr>
            <w:tcW w:w="4677"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4.058.232</w:t>
            </w:r>
          </w:p>
        </w:tc>
      </w:tr>
    </w:tbl>
    <w:p w:rsidR="00B01F04" w:rsidRDefault="00B01F04" w:rsidP="00B01F04">
      <w:pPr>
        <w:widowControl w:val="0"/>
        <w:rPr>
          <w:rFonts w:cs="Arial"/>
        </w:rPr>
      </w:pPr>
    </w:p>
    <w:p w:rsidR="00B01F04" w:rsidRDefault="00A67658" w:rsidP="00B01F04">
      <w:pPr>
        <w:widowControl w:val="0"/>
        <w:spacing w:line="240" w:lineRule="auto"/>
        <w:jc w:val="center"/>
        <w:rPr>
          <w:rFonts w:cs="Arial"/>
          <w:b/>
          <w:bCs/>
          <w:color w:val="1F497D" w:themeColor="text2"/>
          <w:sz w:val="18"/>
          <w:szCs w:val="18"/>
        </w:rPr>
      </w:pPr>
      <w:bookmarkStart w:id="413" w:name="_Toc445380993"/>
      <w:bookmarkStart w:id="414" w:name="_Toc450119845"/>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20</w:t>
      </w:r>
      <w:r w:rsidR="00771A61" w:rsidRPr="00A67658">
        <w:rPr>
          <w:rFonts w:cs="Arial"/>
          <w:b/>
          <w:bCs/>
          <w:snapToGrid w:val="0"/>
          <w:color w:val="1F497D" w:themeColor="text2"/>
          <w:sz w:val="18"/>
          <w:szCs w:val="18"/>
          <w:lang w:val="es-ES_tradnl"/>
        </w:rPr>
        <w:fldChar w:fldCharType="end"/>
      </w:r>
      <w:r w:rsidR="00B01F04">
        <w:rPr>
          <w:rFonts w:cs="Arial"/>
          <w:b/>
          <w:bCs/>
          <w:color w:val="1F497D" w:themeColor="text2"/>
          <w:sz w:val="18"/>
          <w:szCs w:val="18"/>
        </w:rPr>
        <w:t xml:space="preserve"> </w:t>
      </w:r>
      <w:r w:rsidR="00B01F04" w:rsidRPr="00BD39D2">
        <w:rPr>
          <w:rFonts w:cs="Arial"/>
          <w:b/>
          <w:bCs/>
          <w:color w:val="1F497D" w:themeColor="text2"/>
          <w:sz w:val="18"/>
          <w:szCs w:val="18"/>
        </w:rPr>
        <w:t xml:space="preserve"> CUENTA DE RESULTADOS </w:t>
      </w:r>
      <w:r w:rsidR="00B01F04">
        <w:rPr>
          <w:rFonts w:cs="Arial"/>
          <w:b/>
          <w:bCs/>
          <w:color w:val="1F497D" w:themeColor="text2"/>
          <w:sz w:val="18"/>
          <w:szCs w:val="18"/>
        </w:rPr>
        <w:t xml:space="preserve">DE COFRADÍAS DE PESCADORES </w:t>
      </w:r>
      <w:r w:rsidR="00B01F04" w:rsidRPr="00BD39D2">
        <w:rPr>
          <w:rFonts w:cs="Arial"/>
          <w:b/>
          <w:bCs/>
          <w:color w:val="1F497D" w:themeColor="text2"/>
          <w:sz w:val="18"/>
          <w:szCs w:val="18"/>
        </w:rPr>
        <w:t>EN 2014 (cifras absolutas en Euros) (Precios corrientes)</w:t>
      </w:r>
      <w:bookmarkEnd w:id="413"/>
      <w:bookmarkEnd w:id="414"/>
    </w:p>
    <w:tbl>
      <w:tblPr>
        <w:tblW w:w="9940" w:type="dxa"/>
        <w:jc w:val="center"/>
        <w:tblInd w:w="55" w:type="dxa"/>
        <w:tblCellMar>
          <w:left w:w="70" w:type="dxa"/>
          <w:right w:w="70" w:type="dxa"/>
        </w:tblCellMar>
        <w:tblLook w:val="04A0" w:firstRow="1" w:lastRow="0" w:firstColumn="1" w:lastColumn="0" w:noHBand="0" w:noVBand="1"/>
      </w:tblPr>
      <w:tblGrid>
        <w:gridCol w:w="4483"/>
        <w:gridCol w:w="5457"/>
      </w:tblGrid>
      <w:tr w:rsidR="00B01F04" w:rsidRPr="009D099F" w:rsidTr="00D86960">
        <w:trPr>
          <w:jc w:val="center"/>
        </w:trPr>
        <w:tc>
          <w:tcPr>
            <w:tcW w:w="3843"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9D099F" w:rsidRDefault="00B01F04" w:rsidP="00D86960">
            <w:pPr>
              <w:spacing w:line="264" w:lineRule="auto"/>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77" w:type="dxa"/>
            <w:tcBorders>
              <w:top w:val="single" w:sz="8" w:space="0" w:color="BFBFBF"/>
              <w:left w:val="nil"/>
              <w:bottom w:val="single" w:sz="8" w:space="0" w:color="BFBFBF"/>
            </w:tcBorders>
            <w:shd w:val="clear" w:color="000000" w:fill="DBE5F1"/>
            <w:vAlign w:val="bottom"/>
            <w:hideMark/>
          </w:tcPr>
          <w:p w:rsidR="00B01F04" w:rsidRPr="009D099F" w:rsidRDefault="00B01F04" w:rsidP="00D86960">
            <w:pPr>
              <w:spacing w:line="264" w:lineRule="auto"/>
              <w:ind w:right="221"/>
              <w:jc w:val="center"/>
              <w:rPr>
                <w:rFonts w:eastAsia="Times New Roman" w:cs="Arial"/>
                <w:b/>
                <w:bCs/>
                <w:color w:val="000000"/>
                <w:sz w:val="16"/>
                <w:szCs w:val="16"/>
                <w:lang w:eastAsia="es-ES"/>
              </w:rPr>
            </w:pPr>
            <w:r w:rsidRPr="009D099F">
              <w:rPr>
                <w:rFonts w:eastAsia="Times New Roman" w:cs="Arial"/>
                <w:b/>
                <w:bCs/>
                <w:color w:val="000000"/>
                <w:sz w:val="16"/>
                <w:szCs w:val="16"/>
                <w:lang w:eastAsia="es-ES"/>
              </w:rPr>
              <w:t>Cofradías de Pescadores</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INGRESOS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70 Ventas Netas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31.817.185</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71 Variación de Existencias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877.968</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73 Trabajos realizados para Inmovilizado</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21.354</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74 Subvenciones de Explotación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1.463.009</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75 Ingresos Accesorios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2.372.187</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76 Ingresos Financieros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148.613</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77 Ingresos Excepcionales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94.720</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79 Excesos Provisión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14.986</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677"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36.810.022</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GASTOS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60 Compras Netas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31.311.381</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61 Variación Existencias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-786.650</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62 Servicios Exteriores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2.233.124</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63 Impuestos Ligados a la Actividad</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249.676</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64 Gastos de Personal</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2.686.363</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65 Gastos de Gestión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60.506</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66 Gastos Financieros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110.622</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67 Gastos Excepcionales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6.472</w:t>
            </w:r>
          </w:p>
        </w:tc>
      </w:tr>
      <w:tr w:rsidR="00B01F04" w:rsidRPr="009D099F" w:rsidTr="00D86960">
        <w:trPr>
          <w:jc w:val="center"/>
        </w:trPr>
        <w:tc>
          <w:tcPr>
            <w:tcW w:w="3843"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68 Dotación del Ejercicio para Amortización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1.362.928</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69 Dotaciones Provisión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292.929</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77"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37.527.351</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BENEFICIO (+) o PÉRDIDA (-)</w:t>
            </w:r>
          </w:p>
        </w:tc>
        <w:tc>
          <w:tcPr>
            <w:tcW w:w="4677"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-717.328</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677" w:type="dxa"/>
            <w:tcBorders>
              <w:top w:val="nil"/>
              <w:left w:val="nil"/>
              <w:bottom w:val="single" w:sz="8" w:space="0" w:color="BFBFBF"/>
            </w:tcBorders>
            <w:shd w:val="clear" w:color="auto" w:fill="auto"/>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r>
      <w:tr w:rsidR="00B01F04" w:rsidRPr="009D099F" w:rsidTr="00D86960">
        <w:trPr>
          <w:jc w:val="center"/>
        </w:trPr>
        <w:tc>
          <w:tcPr>
            <w:tcW w:w="3843"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n-GB" w:eastAsia="es-ES"/>
              </w:rPr>
              <w:t>CASH FLOW</w:t>
            </w:r>
          </w:p>
        </w:tc>
        <w:tc>
          <w:tcPr>
            <w:tcW w:w="4677"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938.528</w:t>
            </w:r>
          </w:p>
        </w:tc>
      </w:tr>
    </w:tbl>
    <w:p w:rsidR="00B01F04" w:rsidRDefault="00B01F04" w:rsidP="00B01F04">
      <w:pPr>
        <w:widowControl w:val="0"/>
        <w:rPr>
          <w:rFonts w:cs="Arial"/>
        </w:rPr>
      </w:pPr>
    </w:p>
    <w:p w:rsidR="00164203" w:rsidRDefault="00164203" w:rsidP="00B01F04">
      <w:pPr>
        <w:widowControl w:val="0"/>
        <w:spacing w:line="240" w:lineRule="auto"/>
        <w:jc w:val="center"/>
        <w:rPr>
          <w:rFonts w:cs="Arial"/>
          <w:b/>
          <w:snapToGrid w:val="0"/>
          <w:color w:val="1F497D" w:themeColor="text2"/>
          <w:sz w:val="18"/>
          <w:szCs w:val="18"/>
          <w:lang w:val="es-ES_tradnl"/>
        </w:rPr>
      </w:pPr>
    </w:p>
    <w:p w:rsidR="009D099F" w:rsidRDefault="009D099F">
      <w:pPr>
        <w:spacing w:after="200" w:line="276" w:lineRule="auto"/>
        <w:jc w:val="left"/>
        <w:rPr>
          <w:rFonts w:cs="Arial"/>
          <w:b/>
          <w:snapToGrid w:val="0"/>
          <w:color w:val="1F497D" w:themeColor="text2"/>
          <w:sz w:val="18"/>
          <w:szCs w:val="18"/>
          <w:lang w:val="es-ES_tradnl"/>
        </w:rPr>
      </w:pPr>
      <w:r>
        <w:rPr>
          <w:rFonts w:cs="Arial"/>
          <w:b/>
          <w:snapToGrid w:val="0"/>
          <w:color w:val="1F497D" w:themeColor="text2"/>
          <w:sz w:val="18"/>
          <w:szCs w:val="18"/>
          <w:lang w:val="es-ES_tradnl"/>
        </w:rPr>
        <w:br w:type="page"/>
      </w:r>
    </w:p>
    <w:p w:rsidR="00B01F04" w:rsidRDefault="00A67658" w:rsidP="00B01F04">
      <w:pPr>
        <w:widowControl w:val="0"/>
        <w:spacing w:line="240" w:lineRule="auto"/>
        <w:jc w:val="center"/>
        <w:rPr>
          <w:rFonts w:cs="Arial"/>
          <w:b/>
          <w:bCs/>
          <w:color w:val="1F497D" w:themeColor="text2"/>
          <w:sz w:val="18"/>
          <w:szCs w:val="18"/>
        </w:rPr>
      </w:pPr>
      <w:bookmarkStart w:id="415" w:name="_Toc445380994"/>
      <w:bookmarkStart w:id="416" w:name="_Toc450119846"/>
      <w:r w:rsidRPr="00A67658">
        <w:rPr>
          <w:rFonts w:cs="Arial"/>
          <w:b/>
          <w:bCs/>
          <w:snapToGrid w:val="0"/>
          <w:color w:val="1F497D" w:themeColor="text2"/>
          <w:sz w:val="18"/>
          <w:szCs w:val="18"/>
          <w:lang w:val="es-ES_tradnl"/>
        </w:rPr>
        <w:lastRenderedPageBreak/>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21</w:t>
      </w:r>
      <w:r w:rsidR="00771A61" w:rsidRPr="00A67658">
        <w:rPr>
          <w:rFonts w:cs="Arial"/>
          <w:b/>
          <w:bCs/>
          <w:snapToGrid w:val="0"/>
          <w:color w:val="1F497D" w:themeColor="text2"/>
          <w:sz w:val="18"/>
          <w:szCs w:val="18"/>
          <w:lang w:val="es-ES_tradnl"/>
        </w:rPr>
        <w:fldChar w:fldCharType="end"/>
      </w:r>
      <w:r w:rsidR="00B01F04">
        <w:rPr>
          <w:rFonts w:cs="Arial"/>
          <w:b/>
          <w:bCs/>
          <w:color w:val="1F497D" w:themeColor="text2"/>
          <w:sz w:val="18"/>
          <w:szCs w:val="18"/>
        </w:rPr>
        <w:t xml:space="preserve"> </w:t>
      </w:r>
      <w:r w:rsidR="00B01F04" w:rsidRPr="00BD39D2">
        <w:rPr>
          <w:rFonts w:cs="Arial"/>
          <w:b/>
          <w:bCs/>
          <w:color w:val="1F497D" w:themeColor="text2"/>
          <w:sz w:val="18"/>
          <w:szCs w:val="18"/>
        </w:rPr>
        <w:t xml:space="preserve"> CUENTA DE RESULTADOS </w:t>
      </w:r>
      <w:r w:rsidR="00B01F04">
        <w:rPr>
          <w:rFonts w:cs="Arial"/>
          <w:b/>
          <w:bCs/>
          <w:color w:val="1F497D" w:themeColor="text2"/>
          <w:sz w:val="18"/>
          <w:szCs w:val="18"/>
        </w:rPr>
        <w:t xml:space="preserve">DE SOCIEDADES AGRARIAS DE TRANSFORMACIÓN </w:t>
      </w:r>
      <w:r w:rsidR="00B01F04" w:rsidRPr="00BD39D2">
        <w:rPr>
          <w:rFonts w:cs="Arial"/>
          <w:b/>
          <w:bCs/>
          <w:color w:val="1F497D" w:themeColor="text2"/>
          <w:sz w:val="18"/>
          <w:szCs w:val="18"/>
        </w:rPr>
        <w:t>EN 2014 (cifras absolutas en Euros) (Precios corrientes)</w:t>
      </w:r>
      <w:bookmarkEnd w:id="415"/>
      <w:bookmarkEnd w:id="416"/>
    </w:p>
    <w:tbl>
      <w:tblPr>
        <w:tblW w:w="9940" w:type="dxa"/>
        <w:jc w:val="center"/>
        <w:tblCellMar>
          <w:left w:w="70" w:type="dxa"/>
          <w:right w:w="70" w:type="dxa"/>
        </w:tblCellMar>
        <w:tblLook w:val="04A0" w:firstRow="1" w:lastRow="0" w:firstColumn="1" w:lastColumn="0" w:noHBand="0" w:noVBand="1"/>
      </w:tblPr>
      <w:tblGrid>
        <w:gridCol w:w="4464"/>
        <w:gridCol w:w="5476"/>
      </w:tblGrid>
      <w:tr w:rsidR="00B01F04" w:rsidRPr="009D099F" w:rsidTr="00D86960">
        <w:trPr>
          <w:jc w:val="center"/>
        </w:trPr>
        <w:tc>
          <w:tcPr>
            <w:tcW w:w="3812" w:type="dxa"/>
            <w:tcBorders>
              <w:top w:val="single" w:sz="8" w:space="0" w:color="BFBFBF"/>
              <w:left w:val="nil"/>
              <w:bottom w:val="single" w:sz="8" w:space="0" w:color="BFBFBF"/>
              <w:right w:val="single" w:sz="8" w:space="0" w:color="BFBFBF"/>
            </w:tcBorders>
            <w:shd w:val="clear" w:color="000000" w:fill="DBE5F1"/>
            <w:vAlign w:val="bottom"/>
            <w:hideMark/>
          </w:tcPr>
          <w:p w:rsidR="00B01F04" w:rsidRPr="009D099F" w:rsidRDefault="00B01F04" w:rsidP="00D86960">
            <w:pPr>
              <w:spacing w:line="264" w:lineRule="auto"/>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77" w:type="dxa"/>
            <w:tcBorders>
              <w:top w:val="single" w:sz="8" w:space="0" w:color="BFBFBF"/>
              <w:left w:val="nil"/>
              <w:bottom w:val="single" w:sz="8" w:space="0" w:color="BFBFBF"/>
            </w:tcBorders>
            <w:shd w:val="clear" w:color="000000" w:fill="DBE5F1"/>
            <w:vAlign w:val="bottom"/>
            <w:hideMark/>
          </w:tcPr>
          <w:p w:rsidR="00B01F04" w:rsidRPr="009D099F" w:rsidRDefault="00B01F04" w:rsidP="00D86960">
            <w:pPr>
              <w:spacing w:line="264" w:lineRule="auto"/>
              <w:ind w:right="221"/>
              <w:jc w:val="center"/>
              <w:rPr>
                <w:rFonts w:eastAsia="Times New Roman" w:cs="Arial"/>
                <w:b/>
                <w:bCs/>
                <w:color w:val="000000"/>
                <w:sz w:val="16"/>
                <w:szCs w:val="16"/>
                <w:lang w:eastAsia="es-ES"/>
              </w:rPr>
            </w:pPr>
            <w:r w:rsidRPr="009D099F">
              <w:rPr>
                <w:rFonts w:eastAsia="Times New Roman" w:cs="Arial"/>
                <w:b/>
                <w:bCs/>
                <w:color w:val="000000"/>
                <w:sz w:val="16"/>
                <w:szCs w:val="16"/>
                <w:lang w:eastAsia="es-ES"/>
              </w:rPr>
              <w:t xml:space="preserve">Sociedades Agrarias de Transformación </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INGRESOS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70 Ventas Netas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40.498.269</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71 Variación de Existencias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169.946</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73 Trabajos realizados para Inmovilizado</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31.398</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74 Subvenciones de Explotación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2.153.054</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75 Ingresos Accesorios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209.796</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76 Ingresos Financieros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185.258</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77 Ingresos Excepcionales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545.199</w:t>
            </w:r>
          </w:p>
        </w:tc>
      </w:tr>
      <w:tr w:rsidR="00B01F04" w:rsidRPr="009D099F" w:rsidTr="00D86960">
        <w:trPr>
          <w:jc w:val="center"/>
        </w:trPr>
        <w:tc>
          <w:tcPr>
            <w:tcW w:w="3812"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79 Excesos Provisión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6.094</w:t>
            </w:r>
          </w:p>
        </w:tc>
      </w:tr>
      <w:tr w:rsidR="00B01F04" w:rsidRPr="009D099F" w:rsidTr="00D86960">
        <w:trPr>
          <w:jc w:val="center"/>
        </w:trPr>
        <w:tc>
          <w:tcPr>
            <w:tcW w:w="3812"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677"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43.799.014</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GASTOS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 </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val="es-ES_tradnl" w:eastAsia="es-ES"/>
              </w:rPr>
              <w:t>60 Compras Netas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25.267.493</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61 Variación Existencias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1.120.258</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62 Servicios Exteriores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6.497.816</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63 Impuestos Ligados a la Actividad</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216.869</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64 Gastos de Personal</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6.384.585</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65 Gastos de Gestión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2.218</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66 Gastos Financieros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399.352</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67 Gastos Excepcionales</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150.309</w:t>
            </w:r>
          </w:p>
        </w:tc>
      </w:tr>
      <w:tr w:rsidR="00B01F04" w:rsidRPr="009D099F" w:rsidTr="00D86960">
        <w:trPr>
          <w:jc w:val="center"/>
        </w:trPr>
        <w:tc>
          <w:tcPr>
            <w:tcW w:w="3812" w:type="dxa"/>
            <w:tcBorders>
              <w:top w:val="nil"/>
              <w:left w:val="nil"/>
              <w:bottom w:val="nil"/>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68 Dotación del Ejercicio para Amortización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2.843.280</w:t>
            </w:r>
          </w:p>
        </w:tc>
      </w:tr>
      <w:tr w:rsidR="00B01F04" w:rsidRPr="009D099F" w:rsidTr="00D86960">
        <w:trPr>
          <w:jc w:val="center"/>
        </w:trPr>
        <w:tc>
          <w:tcPr>
            <w:tcW w:w="3812"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69 Dotaciones Provisión</w:t>
            </w:r>
          </w:p>
        </w:tc>
        <w:tc>
          <w:tcPr>
            <w:tcW w:w="4677" w:type="dxa"/>
            <w:tcBorders>
              <w:top w:val="nil"/>
              <w:left w:val="nil"/>
              <w:bottom w:val="nil"/>
            </w:tcBorders>
            <w:shd w:val="clear" w:color="auto" w:fill="auto"/>
            <w:noWrap/>
            <w:vAlign w:val="bottom"/>
            <w:hideMark/>
          </w:tcPr>
          <w:p w:rsidR="00B01F04" w:rsidRPr="009D099F" w:rsidRDefault="00B01F04" w:rsidP="00D86960">
            <w:pPr>
              <w:spacing w:line="264" w:lineRule="auto"/>
              <w:ind w:right="221"/>
              <w:jc w:val="right"/>
              <w:rPr>
                <w:rFonts w:eastAsia="Times New Roman" w:cs="Arial"/>
                <w:color w:val="000000"/>
                <w:sz w:val="16"/>
                <w:szCs w:val="16"/>
                <w:lang w:eastAsia="es-ES"/>
              </w:rPr>
            </w:pPr>
            <w:r w:rsidRPr="009D099F">
              <w:rPr>
                <w:rFonts w:eastAsia="Times New Roman" w:cs="Arial"/>
                <w:color w:val="000000"/>
                <w:sz w:val="16"/>
                <w:szCs w:val="16"/>
                <w:lang w:eastAsia="es-ES"/>
              </w:rPr>
              <w:t>13.524</w:t>
            </w:r>
          </w:p>
        </w:tc>
      </w:tr>
      <w:tr w:rsidR="00B01F04" w:rsidRPr="009D099F" w:rsidTr="00D86960">
        <w:trPr>
          <w:jc w:val="center"/>
        </w:trPr>
        <w:tc>
          <w:tcPr>
            <w:tcW w:w="3812" w:type="dxa"/>
            <w:tcBorders>
              <w:top w:val="nil"/>
              <w:left w:val="nil"/>
              <w:bottom w:val="single" w:sz="8" w:space="0" w:color="BFBFBF"/>
              <w:right w:val="single" w:sz="8" w:space="0" w:color="BFBFBF"/>
            </w:tcBorders>
            <w:shd w:val="clear" w:color="000000" w:fill="E6E6E6"/>
            <w:vAlign w:val="bottom"/>
            <w:hideMark/>
          </w:tcPr>
          <w:p w:rsidR="00B01F04" w:rsidRPr="009D099F" w:rsidRDefault="00B01F04" w:rsidP="00D86960">
            <w:pPr>
              <w:spacing w:line="264" w:lineRule="auto"/>
              <w:jc w:val="left"/>
              <w:rPr>
                <w:rFonts w:eastAsia="Times New Roman" w:cs="Arial"/>
                <w:color w:val="000000"/>
                <w:sz w:val="16"/>
                <w:szCs w:val="16"/>
                <w:lang w:eastAsia="es-ES"/>
              </w:rPr>
            </w:pPr>
            <w:r w:rsidRPr="009D099F">
              <w:rPr>
                <w:rFonts w:eastAsia="Times New Roman" w:cs="Arial"/>
                <w:color w:val="000000"/>
                <w:sz w:val="16"/>
                <w:szCs w:val="16"/>
                <w:lang w:eastAsia="es-ES"/>
              </w:rPr>
              <w:t> </w:t>
            </w:r>
          </w:p>
        </w:tc>
        <w:tc>
          <w:tcPr>
            <w:tcW w:w="4677" w:type="dxa"/>
            <w:tcBorders>
              <w:top w:val="nil"/>
              <w:left w:val="nil"/>
              <w:bottom w:val="single" w:sz="8" w:space="0" w:color="BFBFBF"/>
            </w:tcBorders>
            <w:shd w:val="clear" w:color="000000" w:fill="E6E6E6"/>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42.895.704</w:t>
            </w:r>
          </w:p>
        </w:tc>
      </w:tr>
      <w:tr w:rsidR="00B01F04" w:rsidRPr="009D099F" w:rsidTr="00D86960">
        <w:trPr>
          <w:jc w:val="center"/>
        </w:trPr>
        <w:tc>
          <w:tcPr>
            <w:tcW w:w="3812"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s-ES_tradnl" w:eastAsia="es-ES"/>
              </w:rPr>
              <w:t>BENEFICIO (+) o PÉRDIDA (-)</w:t>
            </w:r>
          </w:p>
        </w:tc>
        <w:tc>
          <w:tcPr>
            <w:tcW w:w="4677"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903.312</w:t>
            </w:r>
          </w:p>
        </w:tc>
      </w:tr>
      <w:tr w:rsidR="00B01F04" w:rsidRPr="009D099F" w:rsidTr="00D86960">
        <w:trPr>
          <w:jc w:val="center"/>
        </w:trPr>
        <w:tc>
          <w:tcPr>
            <w:tcW w:w="3812" w:type="dxa"/>
            <w:tcBorders>
              <w:top w:val="nil"/>
              <w:left w:val="nil"/>
              <w:bottom w:val="single" w:sz="8" w:space="0" w:color="BFBFBF"/>
              <w:right w:val="single" w:sz="8" w:space="0" w:color="BFBFBF"/>
            </w:tcBorders>
            <w:shd w:val="clear" w:color="auto" w:fill="auto"/>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c>
          <w:tcPr>
            <w:tcW w:w="4677" w:type="dxa"/>
            <w:tcBorders>
              <w:top w:val="nil"/>
              <w:left w:val="nil"/>
              <w:bottom w:val="single" w:sz="8" w:space="0" w:color="BFBFBF"/>
            </w:tcBorders>
            <w:shd w:val="clear" w:color="auto" w:fill="auto"/>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 </w:t>
            </w:r>
          </w:p>
        </w:tc>
      </w:tr>
      <w:tr w:rsidR="00B01F04" w:rsidRPr="009D099F" w:rsidTr="00D86960">
        <w:trPr>
          <w:jc w:val="center"/>
        </w:trPr>
        <w:tc>
          <w:tcPr>
            <w:tcW w:w="3812" w:type="dxa"/>
            <w:tcBorders>
              <w:top w:val="nil"/>
              <w:left w:val="nil"/>
              <w:bottom w:val="single" w:sz="8" w:space="0" w:color="BFBFBF"/>
              <w:right w:val="single" w:sz="8" w:space="0" w:color="BFBFBF"/>
            </w:tcBorders>
            <w:shd w:val="clear" w:color="000000" w:fill="DDEEFF"/>
            <w:vAlign w:val="bottom"/>
            <w:hideMark/>
          </w:tcPr>
          <w:p w:rsidR="00B01F04" w:rsidRPr="009D099F" w:rsidRDefault="00B01F04" w:rsidP="00D86960">
            <w:pPr>
              <w:spacing w:line="264" w:lineRule="auto"/>
              <w:rPr>
                <w:rFonts w:eastAsia="Times New Roman" w:cs="Arial"/>
                <w:b/>
                <w:bCs/>
                <w:color w:val="000000"/>
                <w:sz w:val="16"/>
                <w:szCs w:val="16"/>
                <w:lang w:eastAsia="es-ES"/>
              </w:rPr>
            </w:pPr>
            <w:r w:rsidRPr="009D099F">
              <w:rPr>
                <w:rFonts w:eastAsia="Times New Roman" w:cs="Arial"/>
                <w:b/>
                <w:bCs/>
                <w:color w:val="000000"/>
                <w:sz w:val="16"/>
                <w:szCs w:val="16"/>
                <w:lang w:val="en-GB" w:eastAsia="es-ES"/>
              </w:rPr>
              <w:t>CASH FLOW</w:t>
            </w:r>
          </w:p>
        </w:tc>
        <w:tc>
          <w:tcPr>
            <w:tcW w:w="4677" w:type="dxa"/>
            <w:tcBorders>
              <w:top w:val="nil"/>
              <w:left w:val="nil"/>
              <w:bottom w:val="single" w:sz="8" w:space="0" w:color="BFBFBF"/>
            </w:tcBorders>
            <w:shd w:val="clear" w:color="000000" w:fill="DDEEFF"/>
            <w:vAlign w:val="bottom"/>
            <w:hideMark/>
          </w:tcPr>
          <w:p w:rsidR="00B01F04" w:rsidRPr="009D099F" w:rsidRDefault="00B01F04" w:rsidP="00D86960">
            <w:pPr>
              <w:spacing w:line="264" w:lineRule="auto"/>
              <w:ind w:right="221"/>
              <w:jc w:val="right"/>
              <w:rPr>
                <w:rFonts w:eastAsia="Times New Roman" w:cs="Arial"/>
                <w:b/>
                <w:bCs/>
                <w:color w:val="000000"/>
                <w:sz w:val="16"/>
                <w:szCs w:val="16"/>
                <w:lang w:eastAsia="es-ES"/>
              </w:rPr>
            </w:pPr>
            <w:r w:rsidRPr="009D099F">
              <w:rPr>
                <w:rFonts w:eastAsia="Times New Roman" w:cs="Arial"/>
                <w:b/>
                <w:bCs/>
                <w:color w:val="000000"/>
                <w:sz w:val="16"/>
                <w:szCs w:val="16"/>
                <w:lang w:eastAsia="es-ES"/>
              </w:rPr>
              <w:t>3.760.115</w:t>
            </w:r>
          </w:p>
        </w:tc>
      </w:tr>
    </w:tbl>
    <w:p w:rsidR="00B01F04" w:rsidRDefault="00B01F04" w:rsidP="00B01F04">
      <w:pPr>
        <w:widowControl w:val="0"/>
        <w:rPr>
          <w:rFonts w:cs="Arial"/>
        </w:rPr>
      </w:pPr>
    </w:p>
    <w:p w:rsidR="00B01F04" w:rsidRPr="00A25CF2" w:rsidRDefault="00B01F04" w:rsidP="00A25CF2">
      <w:pPr>
        <w:pStyle w:val="Ttulo1"/>
        <w:ind w:left="708" w:hanging="708"/>
        <w:rPr>
          <w:color w:val="1F497D" w:themeColor="text2"/>
          <w:sz w:val="22"/>
          <w:szCs w:val="22"/>
        </w:rPr>
      </w:pPr>
      <w:r>
        <w:rPr>
          <w:rFonts w:cs="Arial"/>
        </w:rPr>
        <w:br w:type="page"/>
      </w:r>
      <w:bookmarkStart w:id="417" w:name="_Toc450118939"/>
      <w:r w:rsidRPr="00A25CF2">
        <w:rPr>
          <w:color w:val="1F497D" w:themeColor="text2"/>
          <w:sz w:val="22"/>
          <w:szCs w:val="22"/>
        </w:rPr>
        <w:lastRenderedPageBreak/>
        <w:t>1.</w:t>
      </w:r>
      <w:r w:rsidR="00A25CF2">
        <w:rPr>
          <w:color w:val="1F497D" w:themeColor="text2"/>
          <w:sz w:val="22"/>
          <w:szCs w:val="22"/>
        </w:rPr>
        <w:t>3</w:t>
      </w:r>
      <w:r w:rsidRPr="00A25CF2">
        <w:rPr>
          <w:color w:val="1F497D" w:themeColor="text2"/>
          <w:sz w:val="22"/>
          <w:szCs w:val="22"/>
        </w:rPr>
        <w:t>.-</w:t>
      </w:r>
      <w:r w:rsidRPr="00A25CF2">
        <w:rPr>
          <w:color w:val="1F497D" w:themeColor="text2"/>
          <w:sz w:val="22"/>
          <w:szCs w:val="22"/>
        </w:rPr>
        <w:tab/>
        <w:t xml:space="preserve">EL PERFIL TERRITORIAL DE LAS NUEVAS FORMAS DE LA </w:t>
      </w:r>
      <w:r w:rsidRPr="00A25CF2">
        <w:rPr>
          <w:color w:val="1F497D" w:themeColor="text2"/>
          <w:sz w:val="22"/>
          <w:szCs w:val="22"/>
        </w:rPr>
        <w:tab/>
        <w:t>ECONOMÍA SOCIAL</w:t>
      </w:r>
      <w:bookmarkEnd w:id="417"/>
    </w:p>
    <w:p w:rsidR="00B01F04" w:rsidRDefault="00B01F04" w:rsidP="00B01F04">
      <w:pPr>
        <w:jc w:val="left"/>
        <w:rPr>
          <w:rFonts w:cs="Arial"/>
        </w:rPr>
      </w:pPr>
    </w:p>
    <w:p w:rsidR="00B01F04" w:rsidRPr="00A25CF2" w:rsidRDefault="00B01F04" w:rsidP="00A25CF2">
      <w:pPr>
        <w:pStyle w:val="Ttulo1"/>
        <w:ind w:left="708" w:hanging="708"/>
        <w:rPr>
          <w:color w:val="1F497D" w:themeColor="text2"/>
          <w:sz w:val="22"/>
          <w:szCs w:val="22"/>
        </w:rPr>
      </w:pPr>
      <w:bookmarkStart w:id="418" w:name="_Toc450118940"/>
      <w:r w:rsidRPr="00A25CF2">
        <w:rPr>
          <w:color w:val="1F497D" w:themeColor="text2"/>
          <w:sz w:val="22"/>
          <w:szCs w:val="22"/>
        </w:rPr>
        <w:t>1.</w:t>
      </w:r>
      <w:r w:rsidR="00A25CF2">
        <w:rPr>
          <w:color w:val="1F497D" w:themeColor="text2"/>
          <w:sz w:val="22"/>
          <w:szCs w:val="22"/>
        </w:rPr>
        <w:t>3</w:t>
      </w:r>
      <w:r w:rsidRPr="00A25CF2">
        <w:rPr>
          <w:color w:val="1F497D" w:themeColor="text2"/>
          <w:sz w:val="22"/>
          <w:szCs w:val="22"/>
        </w:rPr>
        <w:t>.1.- El perfil territorial del empleo remunerado y de los establecimientos</w:t>
      </w:r>
      <w:bookmarkEnd w:id="418"/>
    </w:p>
    <w:p w:rsidR="00B01F04" w:rsidRDefault="00B01F04" w:rsidP="00B01F04">
      <w:pPr>
        <w:widowControl w:val="0"/>
        <w:rPr>
          <w:rFonts w:eastAsia="Times New Roman" w:cs="Times New Roman"/>
          <w:b/>
          <w:snapToGrid w:val="0"/>
          <w:color w:val="1F497D" w:themeColor="text2"/>
          <w:sz w:val="22"/>
          <w:lang w:eastAsia="es-ES"/>
        </w:rPr>
      </w:pPr>
    </w:p>
    <w:p w:rsidR="00B01F04" w:rsidRPr="00F5602F" w:rsidRDefault="00A67658" w:rsidP="00B01F04">
      <w:pPr>
        <w:widowControl w:val="0"/>
        <w:spacing w:line="240" w:lineRule="auto"/>
        <w:jc w:val="center"/>
        <w:rPr>
          <w:rFonts w:cs="Arial"/>
          <w:b/>
          <w:color w:val="1F497D" w:themeColor="text2"/>
          <w:sz w:val="18"/>
          <w:szCs w:val="18"/>
        </w:rPr>
      </w:pPr>
      <w:bookmarkStart w:id="419" w:name="_Toc445381017"/>
      <w:bookmarkStart w:id="420" w:name="_Toc450120200"/>
      <w:r w:rsidRPr="00A67658">
        <w:rPr>
          <w:rFonts w:cs="Arial"/>
          <w:b/>
          <w:bCs/>
          <w:snapToGrid w:val="0"/>
          <w:color w:val="1F497D" w:themeColor="text2"/>
          <w:sz w:val="18"/>
          <w:szCs w:val="18"/>
          <w:lang w:val="es-ES_tradnl"/>
        </w:rPr>
        <w:t>Gráfico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Gráfico_4.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9</w:t>
      </w:r>
      <w:r w:rsidR="00771A61" w:rsidRPr="00A67658">
        <w:rPr>
          <w:rFonts w:cs="Arial"/>
          <w:b/>
          <w:bCs/>
          <w:snapToGrid w:val="0"/>
          <w:color w:val="1F497D" w:themeColor="text2"/>
          <w:sz w:val="18"/>
          <w:szCs w:val="18"/>
          <w:lang w:val="es-ES_tradnl"/>
        </w:rPr>
        <w:fldChar w:fldCharType="end"/>
      </w:r>
      <w:r w:rsidRPr="00A67658">
        <w:rPr>
          <w:rFonts w:cs="Arial"/>
          <w:b/>
          <w:bCs/>
          <w:snapToGrid w:val="0"/>
          <w:color w:val="1F497D" w:themeColor="text2"/>
          <w:sz w:val="18"/>
          <w:szCs w:val="18"/>
          <w:lang w:val="es-ES_tradnl"/>
        </w:rPr>
        <w:t xml:space="preserve"> </w:t>
      </w:r>
      <w:r w:rsidRPr="00A67658">
        <w:rPr>
          <w:rFonts w:cs="Arial"/>
          <w:b/>
          <w:snapToGrid w:val="0"/>
          <w:color w:val="1F497D" w:themeColor="text2"/>
          <w:sz w:val="18"/>
          <w:szCs w:val="18"/>
          <w:lang w:val="es-ES_tradnl"/>
        </w:rPr>
        <w:t xml:space="preserve"> </w:t>
      </w:r>
      <w:r w:rsidR="00537ABD" w:rsidRPr="00537ABD">
        <w:rPr>
          <w:rFonts w:cs="Arial"/>
          <w:b/>
          <w:bCs/>
          <w:snapToGrid w:val="0"/>
          <w:color w:val="1F497D" w:themeColor="text2"/>
          <w:sz w:val="18"/>
          <w:szCs w:val="18"/>
          <w:lang w:val="es-ES_tradnl"/>
        </w:rPr>
        <w:t xml:space="preserve"> </w:t>
      </w:r>
      <w:r w:rsidR="00B01F04" w:rsidRPr="00537ABD">
        <w:rPr>
          <w:rFonts w:cs="Arial"/>
          <w:b/>
          <w:color w:val="1F497D" w:themeColor="text2"/>
          <w:sz w:val="18"/>
          <w:szCs w:val="18"/>
        </w:rPr>
        <w:t xml:space="preserve"> DISTRIBUCIÓN TERRITORIAL DEL EMPLEO REMUNERADO Y LOS ESTABLECIMIENTOS</w:t>
      </w:r>
      <w:r w:rsidR="00B01F04">
        <w:rPr>
          <w:rFonts w:cs="Arial"/>
          <w:b/>
          <w:color w:val="1F497D" w:themeColor="text2"/>
          <w:sz w:val="18"/>
          <w:szCs w:val="18"/>
        </w:rPr>
        <w:t xml:space="preserve"> DE LAS NFES. </w:t>
      </w:r>
      <w:r w:rsidR="00B01F04" w:rsidRPr="00F5602F">
        <w:rPr>
          <w:rFonts w:cs="Arial"/>
          <w:b/>
          <w:color w:val="1F497D" w:themeColor="text2"/>
          <w:sz w:val="18"/>
          <w:szCs w:val="18"/>
        </w:rPr>
        <w:t>201</w:t>
      </w:r>
      <w:r w:rsidR="00B01F04">
        <w:rPr>
          <w:rFonts w:cs="Arial"/>
          <w:b/>
          <w:color w:val="1F497D" w:themeColor="text2"/>
          <w:sz w:val="18"/>
          <w:szCs w:val="18"/>
        </w:rPr>
        <w:t xml:space="preserve">4 –se excluyen </w:t>
      </w:r>
      <w:proofErr w:type="spellStart"/>
      <w:r w:rsidR="00B01F04">
        <w:rPr>
          <w:rFonts w:cs="Arial"/>
          <w:b/>
          <w:color w:val="1F497D" w:themeColor="text2"/>
          <w:sz w:val="18"/>
          <w:szCs w:val="18"/>
        </w:rPr>
        <w:t>EPSVs</w:t>
      </w:r>
      <w:proofErr w:type="spellEnd"/>
      <w:r w:rsidR="00B01F04">
        <w:rPr>
          <w:rFonts w:cs="Arial"/>
          <w:b/>
          <w:color w:val="1F497D" w:themeColor="text2"/>
          <w:sz w:val="18"/>
          <w:szCs w:val="18"/>
        </w:rPr>
        <w:t>-</w:t>
      </w:r>
      <w:bookmarkEnd w:id="419"/>
      <w:bookmarkEnd w:id="420"/>
    </w:p>
    <w:p w:rsidR="00B01F04" w:rsidRPr="00777C7A" w:rsidRDefault="00B01F04" w:rsidP="00B01F04">
      <w:pPr>
        <w:widowControl w:val="0"/>
        <w:jc w:val="center"/>
        <w:rPr>
          <w:rFonts w:cs="Arial"/>
          <w:b/>
          <w:color w:val="000080"/>
          <w:sz w:val="16"/>
          <w:szCs w:val="16"/>
        </w:rPr>
      </w:pPr>
    </w:p>
    <w:p w:rsidR="00B01F04" w:rsidRDefault="00B01F04" w:rsidP="00B01F04">
      <w:pPr>
        <w:widowControl w:val="0"/>
        <w:rPr>
          <w:rFonts w:cs="Arial"/>
        </w:rPr>
      </w:pPr>
      <w:r>
        <w:rPr>
          <w:rFonts w:cs="Arial"/>
          <w:noProof/>
          <w:lang w:eastAsia="es-ES"/>
        </w:rPr>
        <w:drawing>
          <wp:anchor distT="0" distB="0" distL="114300" distR="114300" simplePos="0" relativeHeight="251833344" behindDoc="0" locked="0" layoutInCell="1" allowOverlap="1">
            <wp:simplePos x="0" y="0"/>
            <wp:positionH relativeFrom="column">
              <wp:posOffset>3026410</wp:posOffset>
            </wp:positionH>
            <wp:positionV relativeFrom="paragraph">
              <wp:posOffset>90170</wp:posOffset>
            </wp:positionV>
            <wp:extent cx="2752725" cy="1828800"/>
            <wp:effectExtent l="0" t="0" r="0" b="0"/>
            <wp:wrapNone/>
            <wp:docPr id="52"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Pr>
          <w:rFonts w:cs="Arial"/>
          <w:noProof/>
          <w:lang w:eastAsia="es-ES"/>
        </w:rPr>
        <w:drawing>
          <wp:anchor distT="0" distB="0" distL="114300" distR="114300" simplePos="0" relativeHeight="251834368" behindDoc="0" locked="0" layoutInCell="1" allowOverlap="1">
            <wp:simplePos x="0" y="0"/>
            <wp:positionH relativeFrom="column">
              <wp:posOffset>16510</wp:posOffset>
            </wp:positionH>
            <wp:positionV relativeFrom="paragraph">
              <wp:posOffset>90170</wp:posOffset>
            </wp:positionV>
            <wp:extent cx="2752725" cy="1828800"/>
            <wp:effectExtent l="0" t="0" r="0" b="0"/>
            <wp:wrapNone/>
            <wp:docPr id="53"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B01F04" w:rsidRDefault="00B01F04" w:rsidP="00B01F04">
      <w:pPr>
        <w:widowControl w:val="0"/>
        <w:jc w:val="center"/>
        <w:rPr>
          <w:rFonts w:cs="Arial"/>
        </w:rPr>
      </w:pPr>
    </w:p>
    <w:p w:rsidR="00B01F04" w:rsidRDefault="00B01F04" w:rsidP="00B01F04">
      <w:pPr>
        <w:widowControl w:val="0"/>
        <w:jc w:val="center"/>
        <w:rPr>
          <w:rFonts w:cs="Arial"/>
        </w:rPr>
      </w:pPr>
    </w:p>
    <w:p w:rsidR="00B01F04" w:rsidRDefault="00B01F04" w:rsidP="00B01F04">
      <w:pPr>
        <w:widowControl w:val="0"/>
        <w:jc w:val="center"/>
        <w:rPr>
          <w:rFonts w:cs="Arial"/>
        </w:rPr>
      </w:pPr>
    </w:p>
    <w:p w:rsidR="00B01F04" w:rsidRDefault="00B01F04" w:rsidP="00B01F04">
      <w:pPr>
        <w:widowControl w:val="0"/>
        <w:jc w:val="center"/>
        <w:rPr>
          <w:rFonts w:cs="Arial"/>
        </w:rPr>
      </w:pPr>
    </w:p>
    <w:p w:rsidR="00B01F04" w:rsidRDefault="00B01F04" w:rsidP="00B01F04">
      <w:pPr>
        <w:widowControl w:val="0"/>
        <w:jc w:val="center"/>
        <w:rPr>
          <w:rFonts w:cs="Arial"/>
        </w:rPr>
      </w:pPr>
    </w:p>
    <w:p w:rsidR="00B01F04" w:rsidRDefault="00B01F04" w:rsidP="00B01F04">
      <w:pPr>
        <w:widowControl w:val="0"/>
        <w:jc w:val="center"/>
        <w:rPr>
          <w:rFonts w:cs="Arial"/>
        </w:rPr>
      </w:pPr>
    </w:p>
    <w:p w:rsidR="00B01F04" w:rsidRDefault="00B01F04" w:rsidP="00B01F04">
      <w:pPr>
        <w:widowControl w:val="0"/>
        <w:jc w:val="center"/>
        <w:rPr>
          <w:rFonts w:cs="Arial"/>
        </w:rPr>
      </w:pPr>
    </w:p>
    <w:p w:rsidR="00B01F04" w:rsidRDefault="00B01F04" w:rsidP="00B01F04">
      <w:pPr>
        <w:widowControl w:val="0"/>
        <w:jc w:val="center"/>
        <w:rPr>
          <w:rFonts w:cs="Arial"/>
        </w:rPr>
      </w:pPr>
    </w:p>
    <w:p w:rsidR="00B01F04" w:rsidRPr="00A25CF2" w:rsidRDefault="00B01F04" w:rsidP="00A25CF2">
      <w:pPr>
        <w:pStyle w:val="Ttulo1"/>
        <w:ind w:left="708" w:hanging="708"/>
        <w:rPr>
          <w:color w:val="1F497D" w:themeColor="text2"/>
          <w:sz w:val="22"/>
          <w:szCs w:val="22"/>
        </w:rPr>
      </w:pPr>
      <w:bookmarkStart w:id="421" w:name="_Toc450118941"/>
      <w:r w:rsidRPr="00A25CF2">
        <w:rPr>
          <w:color w:val="1F497D" w:themeColor="text2"/>
          <w:sz w:val="22"/>
          <w:szCs w:val="22"/>
        </w:rPr>
        <w:t>1.</w:t>
      </w:r>
      <w:r w:rsidR="00A25CF2">
        <w:rPr>
          <w:color w:val="1F497D" w:themeColor="text2"/>
          <w:sz w:val="22"/>
          <w:szCs w:val="22"/>
        </w:rPr>
        <w:t>3</w:t>
      </w:r>
      <w:r w:rsidRPr="00A25CF2">
        <w:rPr>
          <w:color w:val="1F497D" w:themeColor="text2"/>
          <w:sz w:val="22"/>
          <w:szCs w:val="22"/>
        </w:rPr>
        <w:t>.2.- El perfil territorial de la facturación y del VAB</w:t>
      </w:r>
      <w:bookmarkEnd w:id="421"/>
      <w:r w:rsidRPr="00A25CF2">
        <w:rPr>
          <w:color w:val="1F497D" w:themeColor="text2"/>
          <w:sz w:val="22"/>
          <w:szCs w:val="22"/>
        </w:rPr>
        <w:t xml:space="preserve"> </w:t>
      </w:r>
    </w:p>
    <w:p w:rsidR="00B01F04" w:rsidRPr="00756115" w:rsidRDefault="00B01F04" w:rsidP="00B01F04">
      <w:pPr>
        <w:widowControl w:val="0"/>
        <w:rPr>
          <w:rFonts w:eastAsia="Times New Roman" w:cs="Times New Roman"/>
          <w:b/>
          <w:snapToGrid w:val="0"/>
          <w:color w:val="1F497D" w:themeColor="text2"/>
          <w:sz w:val="22"/>
          <w:lang w:eastAsia="es-ES"/>
        </w:rPr>
      </w:pPr>
    </w:p>
    <w:p w:rsidR="00B01F04" w:rsidRDefault="00A67658" w:rsidP="00B01F04">
      <w:pPr>
        <w:spacing w:line="240" w:lineRule="auto"/>
        <w:jc w:val="center"/>
        <w:rPr>
          <w:rFonts w:cs="Arial"/>
          <w:b/>
          <w:color w:val="1F497D" w:themeColor="text2"/>
          <w:sz w:val="18"/>
          <w:szCs w:val="18"/>
        </w:rPr>
      </w:pPr>
      <w:bookmarkStart w:id="422" w:name="_Toc445380995"/>
      <w:bookmarkStart w:id="423" w:name="_Toc450119847"/>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22</w:t>
      </w:r>
      <w:r w:rsidR="00771A61" w:rsidRPr="00A67658">
        <w:rPr>
          <w:rFonts w:cs="Arial"/>
          <w:b/>
          <w:bCs/>
          <w:snapToGrid w:val="0"/>
          <w:color w:val="1F497D" w:themeColor="text2"/>
          <w:sz w:val="18"/>
          <w:szCs w:val="18"/>
          <w:lang w:val="es-ES_tradnl"/>
        </w:rPr>
        <w:fldChar w:fldCharType="end"/>
      </w:r>
      <w:r w:rsidR="00B01F04">
        <w:rPr>
          <w:rFonts w:cs="Arial"/>
          <w:b/>
          <w:bCs/>
          <w:color w:val="1F497D" w:themeColor="text2"/>
          <w:sz w:val="18"/>
          <w:szCs w:val="18"/>
        </w:rPr>
        <w:t xml:space="preserve"> </w:t>
      </w:r>
      <w:r w:rsidR="00B01F04">
        <w:rPr>
          <w:rFonts w:cs="Arial"/>
          <w:b/>
          <w:color w:val="1F497D" w:themeColor="text2"/>
          <w:sz w:val="18"/>
          <w:szCs w:val="18"/>
        </w:rPr>
        <w:t xml:space="preserve"> </w:t>
      </w:r>
      <w:r w:rsidR="00B01F04" w:rsidRPr="00F5602F">
        <w:rPr>
          <w:rFonts w:cs="Arial"/>
          <w:b/>
          <w:color w:val="1F497D" w:themeColor="text2"/>
          <w:sz w:val="18"/>
          <w:szCs w:val="18"/>
        </w:rPr>
        <w:t>DISTRIBUCIÓN TERRITORIAL D</w:t>
      </w:r>
      <w:r w:rsidR="00B01F04">
        <w:rPr>
          <w:rFonts w:cs="Arial"/>
          <w:b/>
          <w:color w:val="1F497D" w:themeColor="text2"/>
          <w:sz w:val="18"/>
          <w:szCs w:val="18"/>
        </w:rPr>
        <w:t xml:space="preserve">E LA FACTURACIÓN POR TIPO DE ENTIDAD DE LAS NFES. </w:t>
      </w:r>
      <w:r w:rsidR="00B01F04" w:rsidRPr="00F5602F">
        <w:rPr>
          <w:rFonts w:cs="Arial"/>
          <w:b/>
          <w:color w:val="1F497D" w:themeColor="text2"/>
          <w:sz w:val="18"/>
          <w:szCs w:val="18"/>
        </w:rPr>
        <w:t>201</w:t>
      </w:r>
      <w:r w:rsidR="00B01F04">
        <w:rPr>
          <w:rFonts w:cs="Arial"/>
          <w:b/>
          <w:color w:val="1F497D" w:themeColor="text2"/>
          <w:sz w:val="18"/>
          <w:szCs w:val="18"/>
        </w:rPr>
        <w:t xml:space="preserve">4 –se excluyen </w:t>
      </w:r>
      <w:proofErr w:type="spellStart"/>
      <w:r w:rsidR="00B01F04">
        <w:rPr>
          <w:rFonts w:cs="Arial"/>
          <w:b/>
          <w:color w:val="1F497D" w:themeColor="text2"/>
          <w:sz w:val="18"/>
          <w:szCs w:val="18"/>
        </w:rPr>
        <w:t>EPSVs</w:t>
      </w:r>
      <w:proofErr w:type="spellEnd"/>
      <w:r w:rsidR="00B01F04">
        <w:rPr>
          <w:rFonts w:cs="Arial"/>
          <w:b/>
          <w:color w:val="1F497D" w:themeColor="text2"/>
          <w:sz w:val="18"/>
          <w:szCs w:val="18"/>
        </w:rPr>
        <w:t>-</w:t>
      </w:r>
      <w:bookmarkEnd w:id="422"/>
      <w:bookmarkEnd w:id="423"/>
    </w:p>
    <w:tbl>
      <w:tblPr>
        <w:tblW w:w="9940" w:type="dxa"/>
        <w:jc w:val="center"/>
        <w:tblCellMar>
          <w:left w:w="70" w:type="dxa"/>
          <w:right w:w="70" w:type="dxa"/>
        </w:tblCellMar>
        <w:tblLook w:val="04A0" w:firstRow="1" w:lastRow="0" w:firstColumn="1" w:lastColumn="0" w:noHBand="0" w:noVBand="1"/>
      </w:tblPr>
      <w:tblGrid>
        <w:gridCol w:w="5298"/>
        <w:gridCol w:w="1523"/>
        <w:gridCol w:w="160"/>
        <w:gridCol w:w="1480"/>
        <w:gridCol w:w="1479"/>
      </w:tblGrid>
      <w:tr w:rsidR="00B01F04" w:rsidRPr="0039212C" w:rsidTr="00D86960">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B01F04" w:rsidRPr="0039212C" w:rsidRDefault="00B01F04" w:rsidP="00D86960">
            <w:pPr>
              <w:spacing w:line="240" w:lineRule="exact"/>
              <w:jc w:val="left"/>
              <w:rPr>
                <w:rFonts w:ascii="Calibri" w:eastAsia="Times New Roman" w:hAnsi="Calibri" w:cs="Times New Roman"/>
                <w:b/>
                <w:bCs/>
                <w:color w:val="000000"/>
                <w:sz w:val="16"/>
                <w:szCs w:val="16"/>
                <w:lang w:eastAsia="es-ES"/>
              </w:rPr>
            </w:pPr>
            <w:r w:rsidRPr="0039212C">
              <w:rPr>
                <w:rFonts w:ascii="Calibri" w:eastAsia="Times New Roman" w:hAnsi="Calibri" w:cs="Times New Roman"/>
                <w:b/>
                <w:bCs/>
                <w:color w:val="000000"/>
                <w:sz w:val="16"/>
                <w:szCs w:val="16"/>
                <w:lang w:eastAsia="es-ES"/>
              </w:rPr>
              <w:t> </w:t>
            </w:r>
          </w:p>
        </w:tc>
        <w:tc>
          <w:tcPr>
            <w:tcW w:w="1523" w:type="dxa"/>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 xml:space="preserve">Araba </w:t>
            </w:r>
          </w:p>
        </w:tc>
        <w:tc>
          <w:tcPr>
            <w:tcW w:w="1640" w:type="dxa"/>
            <w:gridSpan w:val="2"/>
            <w:tcBorders>
              <w:top w:val="single" w:sz="8"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proofErr w:type="spellStart"/>
            <w:r w:rsidRPr="0039212C">
              <w:rPr>
                <w:rFonts w:eastAsia="Times New Roman" w:cs="Arial"/>
                <w:b/>
                <w:bCs/>
                <w:color w:val="000000"/>
                <w:sz w:val="16"/>
                <w:szCs w:val="16"/>
                <w:lang w:eastAsia="es-ES"/>
              </w:rPr>
              <w:t>Bizkaia</w:t>
            </w:r>
            <w:proofErr w:type="spellEnd"/>
            <w:r w:rsidRPr="0039212C">
              <w:rPr>
                <w:rFonts w:eastAsia="Times New Roman" w:cs="Arial"/>
                <w:b/>
                <w:bCs/>
                <w:color w:val="000000"/>
                <w:sz w:val="16"/>
                <w:szCs w:val="16"/>
                <w:lang w:eastAsia="es-ES"/>
              </w:rPr>
              <w:t xml:space="preserve"> </w:t>
            </w:r>
          </w:p>
        </w:tc>
        <w:tc>
          <w:tcPr>
            <w:tcW w:w="1479" w:type="dxa"/>
            <w:tcBorders>
              <w:top w:val="single" w:sz="8" w:space="0" w:color="BFBFBF"/>
              <w:left w:val="single" w:sz="4" w:space="0" w:color="BFBFBF" w:themeColor="background1" w:themeShade="BF"/>
              <w:bottom w:val="single" w:sz="4" w:space="0" w:color="BFBFBF" w:themeColor="background1" w:themeShade="BF"/>
              <w:right w:val="nil"/>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proofErr w:type="spellStart"/>
            <w:r w:rsidRPr="0039212C">
              <w:rPr>
                <w:rFonts w:eastAsia="Times New Roman" w:cs="Arial"/>
                <w:b/>
                <w:bCs/>
                <w:color w:val="000000"/>
                <w:sz w:val="16"/>
                <w:szCs w:val="16"/>
                <w:lang w:eastAsia="es-ES"/>
              </w:rPr>
              <w:t>Gipuzkoa</w:t>
            </w:r>
            <w:proofErr w:type="spellEnd"/>
            <w:r w:rsidRPr="0039212C">
              <w:rPr>
                <w:rFonts w:eastAsia="Times New Roman" w:cs="Arial"/>
                <w:b/>
                <w:bCs/>
                <w:color w:val="000000"/>
                <w:sz w:val="16"/>
                <w:szCs w:val="16"/>
                <w:lang w:eastAsia="es-ES"/>
              </w:rPr>
              <w:t xml:space="preserve"> </w:t>
            </w:r>
          </w:p>
        </w:tc>
      </w:tr>
      <w:tr w:rsidR="00B01F04" w:rsidRPr="0039212C" w:rsidTr="00D86960">
        <w:trPr>
          <w:jc w:val="center"/>
        </w:trPr>
        <w:tc>
          <w:tcPr>
            <w:tcW w:w="0" w:type="auto"/>
            <w:vMerge/>
            <w:tcBorders>
              <w:top w:val="single" w:sz="8" w:space="0" w:color="BFBFBF"/>
              <w:left w:val="nil"/>
              <w:bottom w:val="single" w:sz="8" w:space="0" w:color="BFBFBF"/>
              <w:right w:val="single" w:sz="8" w:space="0" w:color="BFBFBF"/>
            </w:tcBorders>
            <w:vAlign w:val="center"/>
            <w:hideMark/>
          </w:tcPr>
          <w:p w:rsidR="00B01F04" w:rsidRPr="0039212C" w:rsidRDefault="00B01F04" w:rsidP="00D86960">
            <w:pPr>
              <w:spacing w:line="240" w:lineRule="exact"/>
              <w:jc w:val="left"/>
              <w:rPr>
                <w:rFonts w:ascii="Calibri" w:eastAsia="Times New Roman" w:hAnsi="Calibri" w:cs="Times New Roman"/>
                <w:b/>
                <w:bCs/>
                <w:color w:val="000000"/>
                <w:sz w:val="16"/>
                <w:szCs w:val="16"/>
                <w:lang w:eastAsia="es-ES"/>
              </w:rPr>
            </w:pP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39212C">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Pr>
                <w:rFonts w:eastAsia="Times New Roman" w:cs="Arial"/>
                <w:b/>
                <w:bCs/>
                <w:color w:val="000000"/>
                <w:sz w:val="16"/>
                <w:szCs w:val="16"/>
                <w:lang w:eastAsia="es-ES"/>
              </w:rPr>
              <w:t>.</w:t>
            </w:r>
          </w:p>
        </w:tc>
        <w:tc>
          <w:tcPr>
            <w:tcW w:w="1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000000" w:fill="DBE5F1"/>
            <w:hideMark/>
          </w:tcPr>
          <w:p w:rsidR="00B01F04" w:rsidRPr="0039212C" w:rsidRDefault="00B01F04" w:rsidP="00D86960">
            <w:pPr>
              <w:spacing w:line="240" w:lineRule="exact"/>
              <w:rPr>
                <w:rFonts w:eastAsia="Times New Roman" w:cs="Arial"/>
                <w:b/>
                <w:bCs/>
                <w:color w:val="000000"/>
                <w:sz w:val="16"/>
                <w:szCs w:val="16"/>
                <w:lang w:eastAsia="es-ES"/>
              </w:rPr>
            </w:pPr>
          </w:p>
        </w:tc>
        <w:tc>
          <w:tcPr>
            <w:tcW w:w="148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Pr>
                <w:rFonts w:eastAsia="Times New Roman" w:cs="Arial"/>
                <w:b/>
                <w:bCs/>
                <w:color w:val="000000"/>
                <w:sz w:val="16"/>
                <w:szCs w:val="16"/>
                <w:lang w:eastAsia="es-ES"/>
              </w:rPr>
              <w:t>hor</w:t>
            </w:r>
            <w:proofErr w:type="spellEnd"/>
            <w:r>
              <w:rPr>
                <w:rFonts w:eastAsia="Times New Roman" w:cs="Arial"/>
                <w:b/>
                <w:bCs/>
                <w:color w:val="000000"/>
                <w:sz w:val="16"/>
                <w:szCs w:val="16"/>
                <w:lang w:eastAsia="es-ES"/>
              </w:rPr>
              <w:t>.</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39212C">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Pr>
                <w:rFonts w:eastAsia="Times New Roman" w:cs="Arial"/>
                <w:b/>
                <w:bCs/>
                <w:color w:val="000000"/>
                <w:sz w:val="16"/>
                <w:szCs w:val="16"/>
                <w:lang w:eastAsia="es-ES"/>
              </w:rPr>
              <w:t>.</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1. Fundaciones</w:t>
            </w:r>
          </w:p>
        </w:tc>
        <w:tc>
          <w:tcPr>
            <w:tcW w:w="1523" w:type="dxa"/>
            <w:tcBorders>
              <w:top w:val="nil"/>
              <w:left w:val="nil"/>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7,6</w:t>
            </w:r>
          </w:p>
        </w:tc>
        <w:tc>
          <w:tcPr>
            <w:tcW w:w="1640"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41,0</w:t>
            </w:r>
          </w:p>
        </w:tc>
        <w:tc>
          <w:tcPr>
            <w:tcW w:w="1479" w:type="dxa"/>
            <w:tcBorders>
              <w:top w:val="nil"/>
              <w:left w:val="single" w:sz="4" w:space="0" w:color="BFBFBF" w:themeColor="background1" w:themeShade="BF"/>
              <w:bottom w:val="nil"/>
              <w:right w:val="nil"/>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51,4</w:t>
            </w:r>
          </w:p>
        </w:tc>
      </w:tr>
      <w:tr w:rsidR="00B01F04" w:rsidRPr="0039212C" w:rsidTr="00D86960">
        <w:trPr>
          <w:trHeight w:val="114"/>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2.Centros Especiales de Empleo</w:t>
            </w:r>
          </w:p>
        </w:tc>
        <w:tc>
          <w:tcPr>
            <w:tcW w:w="1523" w:type="dxa"/>
            <w:tcBorders>
              <w:top w:val="nil"/>
              <w:left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7,2</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31,9</w:t>
            </w:r>
          </w:p>
        </w:tc>
        <w:tc>
          <w:tcPr>
            <w:tcW w:w="1479" w:type="dxa"/>
            <w:tcBorders>
              <w:top w:val="nil"/>
              <w:left w:val="single" w:sz="4" w:space="0" w:color="BFBFBF" w:themeColor="background1" w:themeShade="BF"/>
              <w:bottom w:val="nil"/>
              <w:right w:val="nil"/>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Pr>
                <w:rFonts w:eastAsia="Times New Roman" w:cs="Arial"/>
                <w:color w:val="000000"/>
                <w:sz w:val="16"/>
                <w:szCs w:val="16"/>
                <w:lang w:eastAsia="es-ES"/>
              </w:rPr>
              <w:t>60,8</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3.Asociaciones de Utilidad Pública</w:t>
            </w:r>
          </w:p>
        </w:tc>
        <w:tc>
          <w:tcPr>
            <w:tcW w:w="1523" w:type="dxa"/>
            <w:tcBorders>
              <w:top w:val="nil"/>
              <w:left w:val="nil"/>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3,2</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57,1</w:t>
            </w:r>
          </w:p>
        </w:tc>
        <w:tc>
          <w:tcPr>
            <w:tcW w:w="1479" w:type="dxa"/>
            <w:tcBorders>
              <w:top w:val="nil"/>
              <w:left w:val="single" w:sz="4" w:space="0" w:color="BFBFBF" w:themeColor="background1" w:themeShade="BF"/>
              <w:bottom w:val="nil"/>
              <w:right w:val="nil"/>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Pr>
                <w:rFonts w:eastAsia="Times New Roman" w:cs="Arial"/>
                <w:color w:val="000000"/>
                <w:sz w:val="16"/>
                <w:szCs w:val="16"/>
                <w:lang w:eastAsia="es-ES"/>
              </w:rPr>
              <w:t>39,6</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4.Empresas de Inserción</w:t>
            </w:r>
          </w:p>
        </w:tc>
        <w:tc>
          <w:tcPr>
            <w:tcW w:w="1523" w:type="dxa"/>
            <w:tcBorders>
              <w:top w:val="nil"/>
              <w:left w:val="nil"/>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9,1</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83,0</w:t>
            </w:r>
          </w:p>
        </w:tc>
        <w:tc>
          <w:tcPr>
            <w:tcW w:w="1479" w:type="dxa"/>
            <w:tcBorders>
              <w:top w:val="nil"/>
              <w:left w:val="single" w:sz="4" w:space="0" w:color="BFBFBF" w:themeColor="background1" w:themeShade="BF"/>
              <w:bottom w:val="nil"/>
              <w:right w:val="nil"/>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Pr>
                <w:rFonts w:eastAsia="Times New Roman" w:cs="Arial"/>
                <w:color w:val="000000"/>
                <w:sz w:val="16"/>
                <w:szCs w:val="16"/>
                <w:lang w:eastAsia="es-ES"/>
              </w:rPr>
              <w:t>8,0</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5.SATs</w:t>
            </w:r>
          </w:p>
        </w:tc>
        <w:tc>
          <w:tcPr>
            <w:tcW w:w="1523" w:type="dxa"/>
            <w:tcBorders>
              <w:top w:val="nil"/>
              <w:left w:val="nil"/>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48,6</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30,3</w:t>
            </w:r>
          </w:p>
        </w:tc>
        <w:tc>
          <w:tcPr>
            <w:tcW w:w="1479" w:type="dxa"/>
            <w:tcBorders>
              <w:top w:val="nil"/>
              <w:left w:val="single" w:sz="4" w:space="0" w:color="BFBFBF" w:themeColor="background1" w:themeShade="BF"/>
              <w:bottom w:val="nil"/>
              <w:right w:val="nil"/>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Pr>
                <w:rFonts w:eastAsia="Times New Roman" w:cs="Arial"/>
                <w:color w:val="000000"/>
                <w:sz w:val="16"/>
                <w:szCs w:val="16"/>
                <w:lang w:eastAsia="es-ES"/>
              </w:rPr>
              <w:t>21,1</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6.Cofradías de Pescadores</w:t>
            </w:r>
          </w:p>
        </w:tc>
        <w:tc>
          <w:tcPr>
            <w:tcW w:w="1523" w:type="dxa"/>
            <w:tcBorders>
              <w:top w:val="nil"/>
              <w:left w:val="nil"/>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0,0</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sidRPr="0039212C">
              <w:rPr>
                <w:rFonts w:eastAsia="Times New Roman" w:cs="Arial"/>
                <w:color w:val="000000"/>
                <w:sz w:val="16"/>
                <w:szCs w:val="16"/>
                <w:lang w:eastAsia="es-ES"/>
              </w:rPr>
              <w:t>12,3</w:t>
            </w:r>
          </w:p>
        </w:tc>
        <w:tc>
          <w:tcPr>
            <w:tcW w:w="1479" w:type="dxa"/>
            <w:tcBorders>
              <w:top w:val="nil"/>
              <w:left w:val="single" w:sz="4" w:space="0" w:color="BFBFBF" w:themeColor="background1" w:themeShade="BF"/>
              <w:bottom w:val="nil"/>
              <w:right w:val="nil"/>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r>
              <w:rPr>
                <w:rFonts w:eastAsia="Times New Roman" w:cs="Arial"/>
                <w:color w:val="000000"/>
                <w:sz w:val="16"/>
                <w:szCs w:val="16"/>
                <w:lang w:eastAsia="es-ES"/>
              </w:rPr>
              <w:t>87,7</w:t>
            </w:r>
          </w:p>
        </w:tc>
      </w:tr>
      <w:tr w:rsidR="00B01F04" w:rsidRPr="0039212C" w:rsidTr="00D86960">
        <w:trPr>
          <w:jc w:val="center"/>
        </w:trPr>
        <w:tc>
          <w:tcPr>
            <w:tcW w:w="0" w:type="auto"/>
            <w:tcBorders>
              <w:top w:val="nil"/>
              <w:left w:val="nil"/>
              <w:bottom w:val="single" w:sz="4" w:space="0" w:color="BFBFBF" w:themeColor="background1" w:themeShade="BF"/>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7.EPSVs</w:t>
            </w:r>
          </w:p>
        </w:tc>
        <w:tc>
          <w:tcPr>
            <w:tcW w:w="1523"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proofErr w:type="spellStart"/>
            <w:r w:rsidRPr="0039212C">
              <w:rPr>
                <w:rFonts w:eastAsia="Times New Roman" w:cs="Arial"/>
                <w:color w:val="000000"/>
                <w:sz w:val="16"/>
                <w:szCs w:val="16"/>
                <w:lang w:eastAsia="es-ES"/>
              </w:rPr>
              <w:t>n.d</w:t>
            </w:r>
            <w:proofErr w:type="spellEnd"/>
            <w:r w:rsidRPr="0039212C">
              <w:rPr>
                <w:rFonts w:eastAsia="Times New Roman" w:cs="Arial"/>
                <w:color w:val="000000"/>
                <w:sz w:val="16"/>
                <w:szCs w:val="16"/>
                <w:lang w:eastAsia="es-ES"/>
              </w:rPr>
              <w:t>.</w:t>
            </w:r>
          </w:p>
        </w:tc>
        <w:tc>
          <w:tcPr>
            <w:tcW w:w="1640"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proofErr w:type="spellStart"/>
            <w:r w:rsidRPr="0039212C">
              <w:rPr>
                <w:rFonts w:eastAsia="Times New Roman" w:cs="Arial"/>
                <w:color w:val="000000"/>
                <w:sz w:val="16"/>
                <w:szCs w:val="16"/>
                <w:lang w:eastAsia="es-ES"/>
              </w:rPr>
              <w:t>n.d</w:t>
            </w:r>
            <w:proofErr w:type="spellEnd"/>
            <w:r w:rsidRPr="0039212C">
              <w:rPr>
                <w:rFonts w:eastAsia="Times New Roman" w:cs="Arial"/>
                <w:color w:val="000000"/>
                <w:sz w:val="16"/>
                <w:szCs w:val="16"/>
                <w:lang w:eastAsia="es-ES"/>
              </w:rPr>
              <w:t>.</w:t>
            </w:r>
          </w:p>
        </w:tc>
        <w:tc>
          <w:tcPr>
            <w:tcW w:w="1479" w:type="dxa"/>
            <w:tcBorders>
              <w:top w:val="nil"/>
              <w:left w:val="single" w:sz="4" w:space="0" w:color="BFBFBF" w:themeColor="background1" w:themeShade="BF"/>
              <w:bottom w:val="single" w:sz="4" w:space="0" w:color="BFBFBF" w:themeColor="background1" w:themeShade="BF"/>
              <w:right w:val="nil"/>
            </w:tcBorders>
            <w:shd w:val="clear" w:color="auto" w:fill="auto"/>
            <w:hideMark/>
          </w:tcPr>
          <w:p w:rsidR="00B01F04" w:rsidRPr="0039212C" w:rsidRDefault="00B01F04" w:rsidP="00D86960">
            <w:pPr>
              <w:spacing w:line="240" w:lineRule="exact"/>
              <w:ind w:right="79"/>
              <w:jc w:val="right"/>
              <w:rPr>
                <w:rFonts w:eastAsia="Times New Roman" w:cs="Arial"/>
                <w:color w:val="000000"/>
                <w:sz w:val="16"/>
                <w:szCs w:val="16"/>
                <w:lang w:eastAsia="es-ES"/>
              </w:rPr>
            </w:pPr>
            <w:proofErr w:type="spellStart"/>
            <w:r w:rsidRPr="0039212C">
              <w:rPr>
                <w:rFonts w:eastAsia="Times New Roman" w:cs="Arial"/>
                <w:color w:val="000000"/>
                <w:sz w:val="16"/>
                <w:szCs w:val="16"/>
                <w:lang w:eastAsia="es-ES"/>
              </w:rPr>
              <w:t>n.d</w:t>
            </w:r>
            <w:proofErr w:type="spellEnd"/>
            <w:r w:rsidRPr="0039212C">
              <w:rPr>
                <w:rFonts w:eastAsia="Times New Roman" w:cs="Arial"/>
                <w:color w:val="000000"/>
                <w:sz w:val="16"/>
                <w:szCs w:val="16"/>
                <w:lang w:eastAsia="es-ES"/>
              </w:rPr>
              <w:t>.</w:t>
            </w:r>
          </w:p>
        </w:tc>
      </w:tr>
      <w:tr w:rsidR="00B01F04" w:rsidRPr="0039212C" w:rsidTr="00D86960">
        <w:trPr>
          <w:jc w:val="center"/>
        </w:trPr>
        <w:tc>
          <w:tcPr>
            <w:tcW w:w="0" w:type="auto"/>
            <w:tcBorders>
              <w:top w:val="single" w:sz="4" w:space="0" w:color="BFBFBF" w:themeColor="background1" w:themeShade="BF"/>
              <w:left w:val="nil"/>
              <w:bottom w:val="single" w:sz="8" w:space="0" w:color="BFBFBF"/>
              <w:right w:val="single" w:sz="8" w:space="0" w:color="BFBFBF"/>
            </w:tcBorders>
            <w:shd w:val="clear" w:color="auto" w:fill="auto"/>
          </w:tcPr>
          <w:p w:rsidR="00B01F04" w:rsidRPr="00097B11" w:rsidRDefault="00B01F04" w:rsidP="00D86960">
            <w:pPr>
              <w:spacing w:line="240" w:lineRule="exact"/>
              <w:rPr>
                <w:rFonts w:eastAsia="Times New Roman" w:cs="Arial"/>
                <w:b/>
                <w:color w:val="000000"/>
                <w:sz w:val="16"/>
                <w:szCs w:val="16"/>
                <w:lang w:eastAsia="es-ES"/>
              </w:rPr>
            </w:pPr>
            <w:r w:rsidRPr="00097B11">
              <w:rPr>
                <w:rFonts w:eastAsia="Times New Roman" w:cs="Arial"/>
                <w:b/>
                <w:color w:val="000000"/>
                <w:sz w:val="16"/>
                <w:szCs w:val="16"/>
                <w:lang w:eastAsia="es-ES"/>
              </w:rPr>
              <w:t>TOTAL</w:t>
            </w: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tcPr>
          <w:p w:rsidR="00B01F04" w:rsidRPr="00097B11" w:rsidRDefault="00B01F04" w:rsidP="00D86960">
            <w:pPr>
              <w:spacing w:line="240" w:lineRule="exact"/>
              <w:ind w:right="79"/>
              <w:jc w:val="right"/>
              <w:rPr>
                <w:rFonts w:eastAsia="Times New Roman" w:cs="Arial"/>
                <w:b/>
                <w:color w:val="000000"/>
                <w:sz w:val="16"/>
                <w:szCs w:val="16"/>
                <w:lang w:eastAsia="es-ES"/>
              </w:rPr>
            </w:pPr>
            <w:r w:rsidRPr="00097B11">
              <w:rPr>
                <w:rFonts w:eastAsia="Times New Roman" w:cs="Arial"/>
                <w:b/>
                <w:color w:val="000000"/>
                <w:sz w:val="16"/>
                <w:szCs w:val="16"/>
                <w:lang w:eastAsia="es-ES"/>
              </w:rPr>
              <w:t>8,6</w:t>
            </w:r>
          </w:p>
        </w:tc>
        <w:tc>
          <w:tcPr>
            <w:tcW w:w="1640" w:type="dxa"/>
            <w:gridSpan w:val="2"/>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auto" w:fill="auto"/>
          </w:tcPr>
          <w:p w:rsidR="00B01F04" w:rsidRPr="00097B11" w:rsidRDefault="00B01F04" w:rsidP="00D86960">
            <w:pPr>
              <w:spacing w:line="240" w:lineRule="exact"/>
              <w:ind w:right="79"/>
              <w:jc w:val="right"/>
              <w:rPr>
                <w:rFonts w:eastAsia="Times New Roman" w:cs="Arial"/>
                <w:b/>
                <w:color w:val="000000"/>
                <w:sz w:val="16"/>
                <w:szCs w:val="16"/>
                <w:lang w:eastAsia="es-ES"/>
              </w:rPr>
            </w:pPr>
            <w:r w:rsidRPr="00097B11">
              <w:rPr>
                <w:rFonts w:eastAsia="Times New Roman" w:cs="Arial"/>
                <w:b/>
                <w:color w:val="000000"/>
                <w:sz w:val="16"/>
                <w:szCs w:val="16"/>
                <w:lang w:eastAsia="es-ES"/>
              </w:rPr>
              <w:t>40,5</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tcPr>
          <w:p w:rsidR="00B01F04" w:rsidRPr="00097B11" w:rsidRDefault="00B01F04" w:rsidP="00D86960">
            <w:pPr>
              <w:spacing w:line="240" w:lineRule="exact"/>
              <w:ind w:right="79"/>
              <w:jc w:val="right"/>
              <w:rPr>
                <w:rFonts w:eastAsia="Times New Roman" w:cs="Arial"/>
                <w:b/>
                <w:color w:val="000000"/>
                <w:sz w:val="16"/>
                <w:szCs w:val="16"/>
                <w:lang w:eastAsia="es-ES"/>
              </w:rPr>
            </w:pPr>
            <w:r w:rsidRPr="00097B11">
              <w:rPr>
                <w:rFonts w:eastAsia="Times New Roman" w:cs="Arial"/>
                <w:b/>
                <w:color w:val="000000"/>
                <w:sz w:val="16"/>
                <w:szCs w:val="16"/>
                <w:lang w:eastAsia="es-ES"/>
              </w:rPr>
              <w:t>50,9</w:t>
            </w:r>
          </w:p>
        </w:tc>
      </w:tr>
    </w:tbl>
    <w:p w:rsidR="00B01F04" w:rsidRDefault="00B01F04" w:rsidP="00B01F04">
      <w:pPr>
        <w:spacing w:line="240" w:lineRule="auto"/>
        <w:jc w:val="center"/>
        <w:rPr>
          <w:rFonts w:cs="Arial"/>
        </w:rPr>
      </w:pPr>
    </w:p>
    <w:p w:rsidR="00B01F04" w:rsidRDefault="00B01F04" w:rsidP="00B01F04">
      <w:pPr>
        <w:spacing w:line="240" w:lineRule="auto"/>
        <w:jc w:val="center"/>
        <w:rPr>
          <w:rFonts w:cs="Arial"/>
        </w:rPr>
      </w:pPr>
    </w:p>
    <w:p w:rsidR="00B01F04" w:rsidRDefault="00A67658" w:rsidP="00B01F04">
      <w:pPr>
        <w:spacing w:line="240" w:lineRule="auto"/>
        <w:jc w:val="center"/>
        <w:rPr>
          <w:rFonts w:cs="Arial"/>
          <w:b/>
          <w:color w:val="1F497D" w:themeColor="text2"/>
          <w:sz w:val="18"/>
          <w:szCs w:val="18"/>
        </w:rPr>
      </w:pPr>
      <w:bookmarkStart w:id="424" w:name="_Toc445380996"/>
      <w:bookmarkStart w:id="425" w:name="_Toc450119848"/>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23</w:t>
      </w:r>
      <w:r w:rsidR="00771A61" w:rsidRPr="00A67658">
        <w:rPr>
          <w:rFonts w:cs="Arial"/>
          <w:b/>
          <w:bCs/>
          <w:snapToGrid w:val="0"/>
          <w:color w:val="1F497D" w:themeColor="text2"/>
          <w:sz w:val="18"/>
          <w:szCs w:val="18"/>
          <w:lang w:val="es-ES_tradnl"/>
        </w:rPr>
        <w:fldChar w:fldCharType="end"/>
      </w:r>
      <w:r w:rsidR="00B01F04">
        <w:rPr>
          <w:rFonts w:cs="Arial"/>
          <w:b/>
          <w:color w:val="1F497D" w:themeColor="text2"/>
          <w:sz w:val="18"/>
          <w:szCs w:val="18"/>
        </w:rPr>
        <w:t xml:space="preserve"> </w:t>
      </w:r>
      <w:r w:rsidR="00B01F04" w:rsidRPr="00F5602F">
        <w:rPr>
          <w:rFonts w:cs="Arial"/>
          <w:b/>
          <w:color w:val="1F497D" w:themeColor="text2"/>
          <w:sz w:val="18"/>
          <w:szCs w:val="18"/>
        </w:rPr>
        <w:t>DISTRIBUCIÓN TERRITORIAL D</w:t>
      </w:r>
      <w:r w:rsidR="00B01F04">
        <w:rPr>
          <w:rFonts w:cs="Arial"/>
          <w:b/>
          <w:color w:val="1F497D" w:themeColor="text2"/>
          <w:sz w:val="18"/>
          <w:szCs w:val="18"/>
        </w:rPr>
        <w:t xml:space="preserve">EL VAB POR TIPO DE ENTIDAD DE LAS NFES. </w:t>
      </w:r>
      <w:r w:rsidR="00B01F04" w:rsidRPr="00F5602F">
        <w:rPr>
          <w:rFonts w:cs="Arial"/>
          <w:b/>
          <w:color w:val="1F497D" w:themeColor="text2"/>
          <w:sz w:val="18"/>
          <w:szCs w:val="18"/>
        </w:rPr>
        <w:t>201</w:t>
      </w:r>
      <w:r w:rsidR="00B01F04">
        <w:rPr>
          <w:rFonts w:cs="Arial"/>
          <w:b/>
          <w:color w:val="1F497D" w:themeColor="text2"/>
          <w:sz w:val="18"/>
          <w:szCs w:val="18"/>
        </w:rPr>
        <w:t xml:space="preserve">4 –se excluyen </w:t>
      </w:r>
      <w:proofErr w:type="spellStart"/>
      <w:r w:rsidR="00B01F04">
        <w:rPr>
          <w:rFonts w:cs="Arial"/>
          <w:b/>
          <w:color w:val="1F497D" w:themeColor="text2"/>
          <w:sz w:val="18"/>
          <w:szCs w:val="18"/>
        </w:rPr>
        <w:t>EPSVs</w:t>
      </w:r>
      <w:proofErr w:type="spellEnd"/>
      <w:r w:rsidR="00B01F04">
        <w:rPr>
          <w:rFonts w:cs="Arial"/>
          <w:b/>
          <w:color w:val="1F497D" w:themeColor="text2"/>
          <w:sz w:val="18"/>
          <w:szCs w:val="18"/>
        </w:rPr>
        <w:t>-</w:t>
      </w:r>
      <w:bookmarkEnd w:id="424"/>
      <w:bookmarkEnd w:id="425"/>
    </w:p>
    <w:tbl>
      <w:tblPr>
        <w:tblW w:w="9940" w:type="dxa"/>
        <w:jc w:val="center"/>
        <w:tblCellMar>
          <w:left w:w="70" w:type="dxa"/>
          <w:right w:w="70" w:type="dxa"/>
        </w:tblCellMar>
        <w:tblLook w:val="04A0" w:firstRow="1" w:lastRow="0" w:firstColumn="1" w:lastColumn="0" w:noHBand="0" w:noVBand="1"/>
      </w:tblPr>
      <w:tblGrid>
        <w:gridCol w:w="5298"/>
        <w:gridCol w:w="1523"/>
        <w:gridCol w:w="160"/>
        <w:gridCol w:w="1480"/>
        <w:gridCol w:w="1479"/>
      </w:tblGrid>
      <w:tr w:rsidR="00B01F04" w:rsidRPr="0039212C" w:rsidTr="00D86960">
        <w:trPr>
          <w:jc w:val="center"/>
        </w:trPr>
        <w:tc>
          <w:tcPr>
            <w:tcW w:w="0" w:type="auto"/>
            <w:vMerge w:val="restart"/>
            <w:tcBorders>
              <w:top w:val="single" w:sz="8" w:space="0" w:color="BFBFBF"/>
              <w:left w:val="nil"/>
              <w:bottom w:val="single" w:sz="8" w:space="0" w:color="BFBFBF"/>
              <w:right w:val="single" w:sz="8" w:space="0" w:color="BFBFBF"/>
            </w:tcBorders>
            <w:shd w:val="clear" w:color="000000" w:fill="DBE5F1"/>
            <w:hideMark/>
          </w:tcPr>
          <w:p w:rsidR="00B01F04" w:rsidRPr="0039212C" w:rsidRDefault="00B01F04" w:rsidP="00D86960">
            <w:pPr>
              <w:spacing w:line="240" w:lineRule="exact"/>
              <w:jc w:val="left"/>
              <w:rPr>
                <w:rFonts w:ascii="Calibri" w:eastAsia="Times New Roman" w:hAnsi="Calibri" w:cs="Times New Roman"/>
                <w:b/>
                <w:bCs/>
                <w:color w:val="000000"/>
                <w:sz w:val="16"/>
                <w:szCs w:val="16"/>
                <w:lang w:eastAsia="es-ES"/>
              </w:rPr>
            </w:pPr>
            <w:r w:rsidRPr="0039212C">
              <w:rPr>
                <w:rFonts w:ascii="Calibri" w:eastAsia="Times New Roman" w:hAnsi="Calibri" w:cs="Times New Roman"/>
                <w:b/>
                <w:bCs/>
                <w:color w:val="000000"/>
                <w:sz w:val="16"/>
                <w:szCs w:val="16"/>
                <w:lang w:eastAsia="es-ES"/>
              </w:rPr>
              <w:t> </w:t>
            </w:r>
          </w:p>
        </w:tc>
        <w:tc>
          <w:tcPr>
            <w:tcW w:w="1523" w:type="dxa"/>
            <w:tcBorders>
              <w:top w:val="single" w:sz="8" w:space="0" w:color="BFBFBF"/>
              <w:left w:val="nil"/>
              <w:bottom w:val="single" w:sz="4" w:space="0" w:color="BFBFBF" w:themeColor="background1" w:themeShade="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 xml:space="preserve">Araba </w:t>
            </w:r>
          </w:p>
        </w:tc>
        <w:tc>
          <w:tcPr>
            <w:tcW w:w="1640" w:type="dxa"/>
            <w:gridSpan w:val="2"/>
            <w:tcBorders>
              <w:top w:val="single" w:sz="8"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proofErr w:type="spellStart"/>
            <w:r w:rsidRPr="0039212C">
              <w:rPr>
                <w:rFonts w:eastAsia="Times New Roman" w:cs="Arial"/>
                <w:b/>
                <w:bCs/>
                <w:color w:val="000000"/>
                <w:sz w:val="16"/>
                <w:szCs w:val="16"/>
                <w:lang w:eastAsia="es-ES"/>
              </w:rPr>
              <w:t>Bizkaia</w:t>
            </w:r>
            <w:proofErr w:type="spellEnd"/>
            <w:r w:rsidRPr="0039212C">
              <w:rPr>
                <w:rFonts w:eastAsia="Times New Roman" w:cs="Arial"/>
                <w:b/>
                <w:bCs/>
                <w:color w:val="000000"/>
                <w:sz w:val="16"/>
                <w:szCs w:val="16"/>
                <w:lang w:eastAsia="es-ES"/>
              </w:rPr>
              <w:t xml:space="preserve"> </w:t>
            </w:r>
          </w:p>
        </w:tc>
        <w:tc>
          <w:tcPr>
            <w:tcW w:w="1479" w:type="dxa"/>
            <w:tcBorders>
              <w:top w:val="single" w:sz="8" w:space="0" w:color="BFBFBF"/>
              <w:left w:val="single" w:sz="4" w:space="0" w:color="BFBFBF" w:themeColor="background1" w:themeShade="BF"/>
              <w:bottom w:val="single" w:sz="4" w:space="0" w:color="BFBFBF" w:themeColor="background1" w:themeShade="BF"/>
              <w:right w:val="nil"/>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proofErr w:type="spellStart"/>
            <w:r w:rsidRPr="0039212C">
              <w:rPr>
                <w:rFonts w:eastAsia="Times New Roman" w:cs="Arial"/>
                <w:b/>
                <w:bCs/>
                <w:color w:val="000000"/>
                <w:sz w:val="16"/>
                <w:szCs w:val="16"/>
                <w:lang w:eastAsia="es-ES"/>
              </w:rPr>
              <w:t>Gipuzkoa</w:t>
            </w:r>
            <w:proofErr w:type="spellEnd"/>
            <w:r w:rsidRPr="0039212C">
              <w:rPr>
                <w:rFonts w:eastAsia="Times New Roman" w:cs="Arial"/>
                <w:b/>
                <w:bCs/>
                <w:color w:val="000000"/>
                <w:sz w:val="16"/>
                <w:szCs w:val="16"/>
                <w:lang w:eastAsia="es-ES"/>
              </w:rPr>
              <w:t xml:space="preserve"> </w:t>
            </w:r>
          </w:p>
        </w:tc>
      </w:tr>
      <w:tr w:rsidR="00B01F04" w:rsidRPr="0039212C" w:rsidTr="00D86960">
        <w:trPr>
          <w:jc w:val="center"/>
        </w:trPr>
        <w:tc>
          <w:tcPr>
            <w:tcW w:w="0" w:type="auto"/>
            <w:vMerge/>
            <w:tcBorders>
              <w:top w:val="single" w:sz="8" w:space="0" w:color="BFBFBF"/>
              <w:left w:val="nil"/>
              <w:bottom w:val="single" w:sz="8" w:space="0" w:color="BFBFBF"/>
              <w:right w:val="single" w:sz="8" w:space="0" w:color="BFBFBF"/>
            </w:tcBorders>
            <w:vAlign w:val="center"/>
            <w:hideMark/>
          </w:tcPr>
          <w:p w:rsidR="00B01F04" w:rsidRPr="0039212C" w:rsidRDefault="00B01F04" w:rsidP="00D86960">
            <w:pPr>
              <w:spacing w:line="240" w:lineRule="exact"/>
              <w:jc w:val="left"/>
              <w:rPr>
                <w:rFonts w:ascii="Calibri" w:eastAsia="Times New Roman" w:hAnsi="Calibri" w:cs="Times New Roman"/>
                <w:b/>
                <w:bCs/>
                <w:color w:val="000000"/>
                <w:sz w:val="16"/>
                <w:szCs w:val="16"/>
                <w:lang w:eastAsia="es-ES"/>
              </w:rPr>
            </w:pP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39212C">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Pr>
                <w:rFonts w:eastAsia="Times New Roman" w:cs="Arial"/>
                <w:b/>
                <w:bCs/>
                <w:color w:val="000000"/>
                <w:sz w:val="16"/>
                <w:szCs w:val="16"/>
                <w:lang w:eastAsia="es-ES"/>
              </w:rPr>
              <w:t>.</w:t>
            </w:r>
          </w:p>
        </w:tc>
        <w:tc>
          <w:tcPr>
            <w:tcW w:w="1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000000" w:fill="DBE5F1"/>
            <w:hideMark/>
          </w:tcPr>
          <w:p w:rsidR="00B01F04" w:rsidRPr="0039212C" w:rsidRDefault="00B01F04" w:rsidP="00D86960">
            <w:pPr>
              <w:spacing w:line="240" w:lineRule="exact"/>
              <w:rPr>
                <w:rFonts w:eastAsia="Times New Roman" w:cs="Arial"/>
                <w:b/>
                <w:bCs/>
                <w:color w:val="000000"/>
                <w:sz w:val="16"/>
                <w:szCs w:val="16"/>
                <w:lang w:eastAsia="es-ES"/>
              </w:rPr>
            </w:pPr>
          </w:p>
        </w:tc>
        <w:tc>
          <w:tcPr>
            <w:tcW w:w="148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Pr>
                <w:rFonts w:eastAsia="Times New Roman" w:cs="Arial"/>
                <w:b/>
                <w:bCs/>
                <w:color w:val="000000"/>
                <w:sz w:val="16"/>
                <w:szCs w:val="16"/>
                <w:lang w:eastAsia="es-ES"/>
              </w:rPr>
              <w:t>hor</w:t>
            </w:r>
            <w:proofErr w:type="spellEnd"/>
            <w:r>
              <w:rPr>
                <w:rFonts w:eastAsia="Times New Roman" w:cs="Arial"/>
                <w:b/>
                <w:bCs/>
                <w:color w:val="000000"/>
                <w:sz w:val="16"/>
                <w:szCs w:val="16"/>
                <w:lang w:eastAsia="es-ES"/>
              </w:rPr>
              <w:t>.</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000000" w:fill="DBE5F1"/>
            <w:hideMark/>
          </w:tcPr>
          <w:p w:rsidR="00B01F04" w:rsidRPr="0039212C" w:rsidRDefault="00B01F04" w:rsidP="00D86960">
            <w:pPr>
              <w:spacing w:line="240" w:lineRule="exact"/>
              <w:jc w:val="center"/>
              <w:rPr>
                <w:rFonts w:eastAsia="Times New Roman" w:cs="Arial"/>
                <w:b/>
                <w:bCs/>
                <w:color w:val="000000"/>
                <w:sz w:val="16"/>
                <w:szCs w:val="16"/>
                <w:lang w:eastAsia="es-ES"/>
              </w:rPr>
            </w:pPr>
            <w:r w:rsidRPr="0039212C">
              <w:rPr>
                <w:rFonts w:eastAsia="Times New Roman" w:cs="Arial"/>
                <w:b/>
                <w:bCs/>
                <w:color w:val="000000"/>
                <w:sz w:val="16"/>
                <w:szCs w:val="16"/>
                <w:lang w:eastAsia="es-ES"/>
              </w:rPr>
              <w:t>%</w:t>
            </w:r>
            <w:r>
              <w:rPr>
                <w:rFonts w:eastAsia="Times New Roman" w:cs="Arial"/>
                <w:b/>
                <w:bCs/>
                <w:color w:val="000000"/>
                <w:sz w:val="16"/>
                <w:szCs w:val="16"/>
                <w:lang w:eastAsia="es-ES"/>
              </w:rPr>
              <w:t xml:space="preserve"> </w:t>
            </w:r>
            <w:proofErr w:type="spellStart"/>
            <w:r w:rsidRPr="0039212C">
              <w:rPr>
                <w:rFonts w:eastAsia="Times New Roman" w:cs="Arial"/>
                <w:b/>
                <w:bCs/>
                <w:color w:val="000000"/>
                <w:sz w:val="16"/>
                <w:szCs w:val="16"/>
                <w:lang w:eastAsia="es-ES"/>
              </w:rPr>
              <w:t>h</w:t>
            </w:r>
            <w:r>
              <w:rPr>
                <w:rFonts w:eastAsia="Times New Roman" w:cs="Arial"/>
                <w:b/>
                <w:bCs/>
                <w:color w:val="000000"/>
                <w:sz w:val="16"/>
                <w:szCs w:val="16"/>
                <w:lang w:eastAsia="es-ES"/>
              </w:rPr>
              <w:t>or</w:t>
            </w:r>
            <w:proofErr w:type="spellEnd"/>
            <w:r>
              <w:rPr>
                <w:rFonts w:eastAsia="Times New Roman" w:cs="Arial"/>
                <w:b/>
                <w:bCs/>
                <w:color w:val="000000"/>
                <w:sz w:val="16"/>
                <w:szCs w:val="16"/>
                <w:lang w:eastAsia="es-ES"/>
              </w:rPr>
              <w:t>.</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1. Fundaciones</w:t>
            </w:r>
          </w:p>
        </w:tc>
        <w:tc>
          <w:tcPr>
            <w:tcW w:w="1523" w:type="dxa"/>
            <w:tcBorders>
              <w:top w:val="nil"/>
              <w:left w:val="nil"/>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4,1</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33,7</w:t>
            </w:r>
          </w:p>
        </w:tc>
        <w:tc>
          <w:tcPr>
            <w:tcW w:w="1479" w:type="dxa"/>
            <w:tcBorders>
              <w:top w:val="nil"/>
              <w:left w:val="single" w:sz="4" w:space="0" w:color="BFBFBF" w:themeColor="background1" w:themeShade="BF"/>
              <w:bottom w:val="nil"/>
              <w:right w:val="nil"/>
            </w:tcBorders>
            <w:shd w:val="clear" w:color="auto" w:fill="auto"/>
            <w:hideMark/>
          </w:tcPr>
          <w:p w:rsidR="00B01F04" w:rsidRPr="000B173F" w:rsidRDefault="00B01F04" w:rsidP="00D86960">
            <w:pPr>
              <w:spacing w:line="240" w:lineRule="exact"/>
              <w:ind w:right="79"/>
              <w:jc w:val="right"/>
              <w:rPr>
                <w:rFonts w:ascii="Calibri" w:eastAsia="Times New Roman" w:hAnsi="Calibri" w:cs="Times New Roman"/>
                <w:color w:val="000000"/>
                <w:sz w:val="18"/>
                <w:szCs w:val="18"/>
                <w:lang w:eastAsia="es-ES"/>
              </w:rPr>
            </w:pPr>
            <w:r w:rsidRPr="000B173F">
              <w:rPr>
                <w:rFonts w:ascii="Calibri" w:eastAsia="Times New Roman" w:hAnsi="Calibri" w:cs="Times New Roman"/>
                <w:color w:val="000000"/>
                <w:sz w:val="18"/>
                <w:szCs w:val="18"/>
                <w:lang w:eastAsia="es-ES"/>
              </w:rPr>
              <w:t>62,2</w:t>
            </w:r>
          </w:p>
        </w:tc>
      </w:tr>
      <w:tr w:rsidR="00B01F04" w:rsidRPr="0039212C" w:rsidTr="00D86960">
        <w:trPr>
          <w:trHeight w:val="114"/>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2.Centros Especiales de Empleo</w:t>
            </w:r>
          </w:p>
        </w:tc>
        <w:tc>
          <w:tcPr>
            <w:tcW w:w="1523" w:type="dxa"/>
            <w:tcBorders>
              <w:top w:val="nil"/>
              <w:left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9,0</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30,3</w:t>
            </w:r>
          </w:p>
        </w:tc>
        <w:tc>
          <w:tcPr>
            <w:tcW w:w="1479" w:type="dxa"/>
            <w:tcBorders>
              <w:top w:val="nil"/>
              <w:left w:val="single" w:sz="4" w:space="0" w:color="BFBFBF" w:themeColor="background1" w:themeShade="BF"/>
              <w:bottom w:val="nil"/>
              <w:right w:val="nil"/>
            </w:tcBorders>
            <w:shd w:val="clear" w:color="auto" w:fill="auto"/>
            <w:hideMark/>
          </w:tcPr>
          <w:p w:rsidR="00B01F04" w:rsidRPr="000B173F" w:rsidRDefault="00B01F04" w:rsidP="00D86960">
            <w:pPr>
              <w:spacing w:line="240" w:lineRule="exact"/>
              <w:ind w:right="79"/>
              <w:jc w:val="right"/>
              <w:rPr>
                <w:rFonts w:ascii="Calibri" w:eastAsia="Times New Roman" w:hAnsi="Calibri" w:cs="Times New Roman"/>
                <w:color w:val="000000"/>
                <w:sz w:val="18"/>
                <w:szCs w:val="18"/>
                <w:lang w:eastAsia="es-ES"/>
              </w:rPr>
            </w:pPr>
            <w:r w:rsidRPr="000B173F">
              <w:rPr>
                <w:rFonts w:ascii="Calibri" w:eastAsia="Times New Roman" w:hAnsi="Calibri" w:cs="Times New Roman"/>
                <w:color w:val="000000"/>
                <w:sz w:val="18"/>
                <w:szCs w:val="18"/>
                <w:lang w:eastAsia="es-ES"/>
              </w:rPr>
              <w:t>60,7</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3.Asociaciones de Utilidad Pública</w:t>
            </w:r>
          </w:p>
        </w:tc>
        <w:tc>
          <w:tcPr>
            <w:tcW w:w="1523" w:type="dxa"/>
            <w:tcBorders>
              <w:top w:val="nil"/>
              <w:left w:val="nil"/>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-0,6</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60,9</w:t>
            </w:r>
          </w:p>
        </w:tc>
        <w:tc>
          <w:tcPr>
            <w:tcW w:w="1479" w:type="dxa"/>
            <w:tcBorders>
              <w:top w:val="nil"/>
              <w:left w:val="single" w:sz="4" w:space="0" w:color="BFBFBF" w:themeColor="background1" w:themeShade="BF"/>
              <w:bottom w:val="nil"/>
              <w:right w:val="nil"/>
            </w:tcBorders>
            <w:shd w:val="clear" w:color="auto" w:fill="auto"/>
            <w:hideMark/>
          </w:tcPr>
          <w:p w:rsidR="00B01F04" w:rsidRPr="000B173F" w:rsidRDefault="00B01F04" w:rsidP="00D86960">
            <w:pPr>
              <w:spacing w:line="240" w:lineRule="exact"/>
              <w:ind w:right="79"/>
              <w:jc w:val="right"/>
              <w:rPr>
                <w:rFonts w:ascii="Calibri" w:eastAsia="Times New Roman" w:hAnsi="Calibri" w:cs="Times New Roman"/>
                <w:color w:val="000000"/>
                <w:sz w:val="18"/>
                <w:szCs w:val="18"/>
                <w:lang w:eastAsia="es-ES"/>
              </w:rPr>
            </w:pPr>
            <w:r w:rsidRPr="000B173F">
              <w:rPr>
                <w:rFonts w:ascii="Calibri" w:eastAsia="Times New Roman" w:hAnsi="Calibri" w:cs="Times New Roman"/>
                <w:color w:val="000000"/>
                <w:sz w:val="18"/>
                <w:szCs w:val="18"/>
                <w:lang w:eastAsia="es-ES"/>
              </w:rPr>
              <w:t>39,7</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4.Empresas de Inserción</w:t>
            </w:r>
          </w:p>
        </w:tc>
        <w:tc>
          <w:tcPr>
            <w:tcW w:w="1523" w:type="dxa"/>
            <w:tcBorders>
              <w:top w:val="nil"/>
              <w:left w:val="nil"/>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8,6</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81,9</w:t>
            </w:r>
          </w:p>
        </w:tc>
        <w:tc>
          <w:tcPr>
            <w:tcW w:w="1479" w:type="dxa"/>
            <w:tcBorders>
              <w:top w:val="nil"/>
              <w:left w:val="single" w:sz="4" w:space="0" w:color="BFBFBF" w:themeColor="background1" w:themeShade="BF"/>
              <w:bottom w:val="nil"/>
              <w:right w:val="nil"/>
            </w:tcBorders>
            <w:shd w:val="clear" w:color="auto" w:fill="auto"/>
            <w:hideMark/>
          </w:tcPr>
          <w:p w:rsidR="00B01F04" w:rsidRPr="000B173F" w:rsidRDefault="00B01F04" w:rsidP="00D86960">
            <w:pPr>
              <w:spacing w:line="240" w:lineRule="exact"/>
              <w:ind w:right="79"/>
              <w:jc w:val="right"/>
              <w:rPr>
                <w:rFonts w:ascii="Calibri" w:eastAsia="Times New Roman" w:hAnsi="Calibri" w:cs="Times New Roman"/>
                <w:color w:val="000000"/>
                <w:sz w:val="18"/>
                <w:szCs w:val="18"/>
                <w:lang w:eastAsia="es-ES"/>
              </w:rPr>
            </w:pPr>
            <w:r w:rsidRPr="000B173F">
              <w:rPr>
                <w:rFonts w:ascii="Calibri" w:eastAsia="Times New Roman" w:hAnsi="Calibri" w:cs="Times New Roman"/>
                <w:color w:val="000000"/>
                <w:sz w:val="18"/>
                <w:szCs w:val="18"/>
                <w:lang w:eastAsia="es-ES"/>
              </w:rPr>
              <w:t>9,5</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5.SATs</w:t>
            </w:r>
          </w:p>
        </w:tc>
        <w:tc>
          <w:tcPr>
            <w:tcW w:w="1523" w:type="dxa"/>
            <w:tcBorders>
              <w:top w:val="nil"/>
              <w:left w:val="nil"/>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12,7</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47,9</w:t>
            </w:r>
          </w:p>
        </w:tc>
        <w:tc>
          <w:tcPr>
            <w:tcW w:w="1479" w:type="dxa"/>
            <w:tcBorders>
              <w:top w:val="nil"/>
              <w:left w:val="single" w:sz="4" w:space="0" w:color="BFBFBF" w:themeColor="background1" w:themeShade="BF"/>
              <w:bottom w:val="nil"/>
              <w:right w:val="nil"/>
            </w:tcBorders>
            <w:shd w:val="clear" w:color="auto" w:fill="auto"/>
            <w:hideMark/>
          </w:tcPr>
          <w:p w:rsidR="00B01F04" w:rsidRPr="000B173F" w:rsidRDefault="00B01F04" w:rsidP="00D86960">
            <w:pPr>
              <w:spacing w:line="240" w:lineRule="exact"/>
              <w:ind w:right="79"/>
              <w:jc w:val="right"/>
              <w:rPr>
                <w:rFonts w:ascii="Calibri" w:eastAsia="Times New Roman" w:hAnsi="Calibri" w:cs="Times New Roman"/>
                <w:color w:val="000000"/>
                <w:sz w:val="18"/>
                <w:szCs w:val="18"/>
                <w:lang w:eastAsia="es-ES"/>
              </w:rPr>
            </w:pPr>
            <w:r w:rsidRPr="000B173F">
              <w:rPr>
                <w:rFonts w:ascii="Calibri" w:eastAsia="Times New Roman" w:hAnsi="Calibri" w:cs="Times New Roman"/>
                <w:color w:val="000000"/>
                <w:sz w:val="18"/>
                <w:szCs w:val="18"/>
                <w:lang w:eastAsia="es-ES"/>
              </w:rPr>
              <w:t>39,4</w:t>
            </w:r>
          </w:p>
        </w:tc>
      </w:tr>
      <w:tr w:rsidR="00B01F04" w:rsidRPr="0039212C" w:rsidTr="00D86960">
        <w:trPr>
          <w:jc w:val="center"/>
        </w:trPr>
        <w:tc>
          <w:tcPr>
            <w:tcW w:w="0" w:type="auto"/>
            <w:tcBorders>
              <w:top w:val="nil"/>
              <w:left w:val="nil"/>
              <w:bottom w:val="nil"/>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6.Cofradías de Pescadores</w:t>
            </w:r>
          </w:p>
        </w:tc>
        <w:tc>
          <w:tcPr>
            <w:tcW w:w="1523" w:type="dxa"/>
            <w:tcBorders>
              <w:top w:val="nil"/>
              <w:left w:val="nil"/>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0,0</w:t>
            </w:r>
          </w:p>
        </w:tc>
        <w:tc>
          <w:tcPr>
            <w:tcW w:w="1640" w:type="dxa"/>
            <w:gridSpan w:val="2"/>
            <w:tcBorders>
              <w:top w:val="nil"/>
              <w:left w:val="single" w:sz="4" w:space="0" w:color="BFBFBF" w:themeColor="background1" w:themeShade="BF"/>
              <w:bottom w:val="nil"/>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r w:rsidRPr="000B173F">
              <w:rPr>
                <w:rFonts w:eastAsia="Times New Roman" w:cs="Arial"/>
                <w:color w:val="000000"/>
                <w:sz w:val="16"/>
                <w:szCs w:val="16"/>
                <w:lang w:eastAsia="es-ES"/>
              </w:rPr>
              <w:t>74,4</w:t>
            </w:r>
          </w:p>
        </w:tc>
        <w:tc>
          <w:tcPr>
            <w:tcW w:w="1479" w:type="dxa"/>
            <w:tcBorders>
              <w:top w:val="nil"/>
              <w:left w:val="single" w:sz="4" w:space="0" w:color="BFBFBF" w:themeColor="background1" w:themeShade="BF"/>
              <w:bottom w:val="nil"/>
              <w:right w:val="nil"/>
            </w:tcBorders>
            <w:shd w:val="clear" w:color="auto" w:fill="auto"/>
            <w:hideMark/>
          </w:tcPr>
          <w:p w:rsidR="00B01F04" w:rsidRPr="000B173F" w:rsidRDefault="00B01F04" w:rsidP="00D86960">
            <w:pPr>
              <w:spacing w:line="240" w:lineRule="exact"/>
              <w:ind w:right="79"/>
              <w:jc w:val="right"/>
              <w:rPr>
                <w:rFonts w:ascii="Calibri" w:eastAsia="Times New Roman" w:hAnsi="Calibri" w:cs="Times New Roman"/>
                <w:color w:val="000000"/>
                <w:sz w:val="18"/>
                <w:szCs w:val="18"/>
                <w:lang w:eastAsia="es-ES"/>
              </w:rPr>
            </w:pPr>
            <w:r w:rsidRPr="000B173F">
              <w:rPr>
                <w:rFonts w:ascii="Calibri" w:eastAsia="Times New Roman" w:hAnsi="Calibri" w:cs="Times New Roman"/>
                <w:color w:val="000000"/>
                <w:sz w:val="18"/>
                <w:szCs w:val="18"/>
                <w:lang w:eastAsia="es-ES"/>
              </w:rPr>
              <w:t>25,6</w:t>
            </w:r>
          </w:p>
        </w:tc>
      </w:tr>
      <w:tr w:rsidR="00B01F04" w:rsidRPr="0039212C" w:rsidTr="00D86960">
        <w:trPr>
          <w:jc w:val="center"/>
        </w:trPr>
        <w:tc>
          <w:tcPr>
            <w:tcW w:w="0" w:type="auto"/>
            <w:tcBorders>
              <w:top w:val="nil"/>
              <w:left w:val="nil"/>
              <w:bottom w:val="single" w:sz="4" w:space="0" w:color="BFBFBF" w:themeColor="background1" w:themeShade="BF"/>
              <w:right w:val="single" w:sz="8" w:space="0" w:color="BFBFBF"/>
            </w:tcBorders>
            <w:shd w:val="clear" w:color="auto" w:fill="auto"/>
            <w:hideMark/>
          </w:tcPr>
          <w:p w:rsidR="00B01F04" w:rsidRPr="0039212C" w:rsidRDefault="00B01F04" w:rsidP="00D86960">
            <w:pPr>
              <w:spacing w:line="240" w:lineRule="exact"/>
              <w:rPr>
                <w:rFonts w:eastAsia="Times New Roman" w:cs="Arial"/>
                <w:color w:val="000000"/>
                <w:sz w:val="16"/>
                <w:szCs w:val="16"/>
                <w:lang w:eastAsia="es-ES"/>
              </w:rPr>
            </w:pPr>
            <w:r w:rsidRPr="0039212C">
              <w:rPr>
                <w:rFonts w:eastAsia="Times New Roman" w:cs="Arial"/>
                <w:color w:val="000000"/>
                <w:sz w:val="16"/>
                <w:szCs w:val="16"/>
                <w:lang w:eastAsia="es-ES"/>
              </w:rPr>
              <w:t>7.EPSVs</w:t>
            </w:r>
          </w:p>
        </w:tc>
        <w:tc>
          <w:tcPr>
            <w:tcW w:w="1523" w:type="dxa"/>
            <w:tcBorders>
              <w:top w:val="nil"/>
              <w:left w:val="nil"/>
              <w:bottom w:val="single" w:sz="4" w:space="0" w:color="BFBFBF" w:themeColor="background1" w:themeShade="BF"/>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proofErr w:type="spellStart"/>
            <w:r w:rsidRPr="000B173F">
              <w:rPr>
                <w:rFonts w:eastAsia="Times New Roman" w:cs="Arial"/>
                <w:color w:val="000000"/>
                <w:sz w:val="16"/>
                <w:szCs w:val="16"/>
                <w:lang w:eastAsia="es-ES"/>
              </w:rPr>
              <w:t>n.d</w:t>
            </w:r>
            <w:proofErr w:type="spellEnd"/>
            <w:r w:rsidRPr="000B173F">
              <w:rPr>
                <w:rFonts w:eastAsia="Times New Roman" w:cs="Arial"/>
                <w:color w:val="000000"/>
                <w:sz w:val="16"/>
                <w:szCs w:val="16"/>
                <w:lang w:eastAsia="es-ES"/>
              </w:rPr>
              <w:t>.</w:t>
            </w:r>
          </w:p>
        </w:tc>
        <w:tc>
          <w:tcPr>
            <w:tcW w:w="1640"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proofErr w:type="spellStart"/>
            <w:r w:rsidRPr="000B173F">
              <w:rPr>
                <w:rFonts w:eastAsia="Times New Roman" w:cs="Arial"/>
                <w:color w:val="000000"/>
                <w:sz w:val="16"/>
                <w:szCs w:val="16"/>
                <w:lang w:eastAsia="es-ES"/>
              </w:rPr>
              <w:t>n.d</w:t>
            </w:r>
            <w:proofErr w:type="spellEnd"/>
            <w:r w:rsidRPr="000B173F">
              <w:rPr>
                <w:rFonts w:eastAsia="Times New Roman" w:cs="Arial"/>
                <w:color w:val="000000"/>
                <w:sz w:val="16"/>
                <w:szCs w:val="16"/>
                <w:lang w:eastAsia="es-ES"/>
              </w:rPr>
              <w:t>.</w:t>
            </w:r>
          </w:p>
        </w:tc>
        <w:tc>
          <w:tcPr>
            <w:tcW w:w="1479" w:type="dxa"/>
            <w:tcBorders>
              <w:top w:val="nil"/>
              <w:left w:val="single" w:sz="4" w:space="0" w:color="BFBFBF" w:themeColor="background1" w:themeShade="BF"/>
              <w:bottom w:val="single" w:sz="4" w:space="0" w:color="BFBFBF" w:themeColor="background1" w:themeShade="BF"/>
              <w:right w:val="nil"/>
            </w:tcBorders>
            <w:shd w:val="clear" w:color="auto" w:fill="auto"/>
            <w:hideMark/>
          </w:tcPr>
          <w:p w:rsidR="00B01F04" w:rsidRPr="000B173F" w:rsidRDefault="00B01F04" w:rsidP="00D86960">
            <w:pPr>
              <w:spacing w:line="240" w:lineRule="exact"/>
              <w:ind w:right="79"/>
              <w:jc w:val="right"/>
              <w:rPr>
                <w:rFonts w:eastAsia="Times New Roman" w:cs="Arial"/>
                <w:color w:val="000000"/>
                <w:sz w:val="16"/>
                <w:szCs w:val="16"/>
                <w:lang w:eastAsia="es-ES"/>
              </w:rPr>
            </w:pPr>
            <w:proofErr w:type="spellStart"/>
            <w:r w:rsidRPr="000B173F">
              <w:rPr>
                <w:rFonts w:eastAsia="Times New Roman" w:cs="Arial"/>
                <w:color w:val="000000"/>
                <w:sz w:val="16"/>
                <w:szCs w:val="16"/>
                <w:lang w:eastAsia="es-ES"/>
              </w:rPr>
              <w:t>n.d</w:t>
            </w:r>
            <w:proofErr w:type="spellEnd"/>
            <w:r w:rsidRPr="000B173F">
              <w:rPr>
                <w:rFonts w:eastAsia="Times New Roman" w:cs="Arial"/>
                <w:color w:val="000000"/>
                <w:sz w:val="16"/>
                <w:szCs w:val="16"/>
                <w:lang w:eastAsia="es-ES"/>
              </w:rPr>
              <w:t>.</w:t>
            </w:r>
          </w:p>
        </w:tc>
      </w:tr>
      <w:tr w:rsidR="00B01F04" w:rsidRPr="0039212C" w:rsidTr="00D86960">
        <w:trPr>
          <w:jc w:val="center"/>
        </w:trPr>
        <w:tc>
          <w:tcPr>
            <w:tcW w:w="0" w:type="auto"/>
            <w:tcBorders>
              <w:top w:val="single" w:sz="4" w:space="0" w:color="BFBFBF" w:themeColor="background1" w:themeShade="BF"/>
              <w:left w:val="nil"/>
              <w:bottom w:val="single" w:sz="8" w:space="0" w:color="BFBFBF"/>
              <w:right w:val="single" w:sz="8" w:space="0" w:color="BFBFBF"/>
            </w:tcBorders>
            <w:shd w:val="clear" w:color="auto" w:fill="auto"/>
          </w:tcPr>
          <w:p w:rsidR="00B01F04" w:rsidRPr="00097B11" w:rsidRDefault="00B01F04" w:rsidP="00D86960">
            <w:pPr>
              <w:spacing w:line="240" w:lineRule="exact"/>
              <w:rPr>
                <w:rFonts w:eastAsia="Times New Roman" w:cs="Arial"/>
                <w:b/>
                <w:color w:val="000000"/>
                <w:sz w:val="16"/>
                <w:szCs w:val="16"/>
                <w:lang w:eastAsia="es-ES"/>
              </w:rPr>
            </w:pPr>
            <w:r w:rsidRPr="00097B11">
              <w:rPr>
                <w:rFonts w:eastAsia="Times New Roman" w:cs="Arial"/>
                <w:b/>
                <w:color w:val="000000"/>
                <w:sz w:val="16"/>
                <w:szCs w:val="16"/>
                <w:lang w:eastAsia="es-ES"/>
              </w:rPr>
              <w:t>TOTAL</w:t>
            </w:r>
          </w:p>
        </w:tc>
        <w:tc>
          <w:tcPr>
            <w:tcW w:w="1523" w:type="dxa"/>
            <w:tcBorders>
              <w:top w:val="single" w:sz="4" w:space="0" w:color="BFBFBF" w:themeColor="background1" w:themeShade="BF"/>
              <w:left w:val="nil"/>
              <w:bottom w:val="single" w:sz="8" w:space="0" w:color="BFBFBF"/>
              <w:right w:val="single" w:sz="4" w:space="0" w:color="BFBFBF" w:themeColor="background1" w:themeShade="BF"/>
            </w:tcBorders>
            <w:shd w:val="clear" w:color="auto" w:fill="auto"/>
          </w:tcPr>
          <w:p w:rsidR="00B01F04" w:rsidRPr="00D4701B" w:rsidRDefault="00B01F04" w:rsidP="00D86960">
            <w:pPr>
              <w:spacing w:line="240" w:lineRule="exact"/>
              <w:ind w:right="79"/>
              <w:jc w:val="right"/>
              <w:rPr>
                <w:rFonts w:eastAsia="Times New Roman" w:cs="Arial"/>
                <w:b/>
                <w:bCs/>
                <w:color w:val="000000"/>
                <w:sz w:val="16"/>
                <w:szCs w:val="16"/>
                <w:lang w:eastAsia="es-ES"/>
              </w:rPr>
            </w:pPr>
            <w:r w:rsidRPr="00D4701B">
              <w:rPr>
                <w:rFonts w:eastAsia="Times New Roman" w:cs="Arial"/>
                <w:b/>
                <w:bCs/>
                <w:color w:val="000000"/>
                <w:sz w:val="16"/>
                <w:szCs w:val="16"/>
                <w:lang w:eastAsia="es-ES"/>
              </w:rPr>
              <w:t>5,2</w:t>
            </w:r>
          </w:p>
        </w:tc>
        <w:tc>
          <w:tcPr>
            <w:tcW w:w="1640" w:type="dxa"/>
            <w:gridSpan w:val="2"/>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auto" w:fill="auto"/>
          </w:tcPr>
          <w:p w:rsidR="00B01F04" w:rsidRPr="00D4701B" w:rsidRDefault="00B01F04" w:rsidP="00D86960">
            <w:pPr>
              <w:spacing w:line="240" w:lineRule="exact"/>
              <w:ind w:right="79"/>
              <w:jc w:val="right"/>
              <w:rPr>
                <w:rFonts w:eastAsia="Times New Roman" w:cs="Arial"/>
                <w:b/>
                <w:bCs/>
                <w:color w:val="000000"/>
                <w:sz w:val="16"/>
                <w:szCs w:val="16"/>
                <w:lang w:eastAsia="es-ES"/>
              </w:rPr>
            </w:pPr>
            <w:r w:rsidRPr="00D4701B">
              <w:rPr>
                <w:rFonts w:eastAsia="Times New Roman" w:cs="Arial"/>
                <w:b/>
                <w:bCs/>
                <w:color w:val="000000"/>
                <w:sz w:val="16"/>
                <w:szCs w:val="16"/>
                <w:lang w:eastAsia="es-ES"/>
              </w:rPr>
              <w:t>37,6</w:t>
            </w:r>
          </w:p>
        </w:tc>
        <w:tc>
          <w:tcPr>
            <w:tcW w:w="1479" w:type="dxa"/>
            <w:tcBorders>
              <w:top w:val="single" w:sz="4" w:space="0" w:color="BFBFBF" w:themeColor="background1" w:themeShade="BF"/>
              <w:left w:val="single" w:sz="4" w:space="0" w:color="BFBFBF" w:themeColor="background1" w:themeShade="BF"/>
              <w:bottom w:val="single" w:sz="8" w:space="0" w:color="BFBFBF"/>
              <w:right w:val="nil"/>
            </w:tcBorders>
            <w:shd w:val="clear" w:color="auto" w:fill="auto"/>
          </w:tcPr>
          <w:p w:rsidR="00B01F04" w:rsidRPr="00D4701B" w:rsidRDefault="00B01F04" w:rsidP="00D86960">
            <w:pPr>
              <w:spacing w:line="240" w:lineRule="exact"/>
              <w:ind w:right="79"/>
              <w:jc w:val="right"/>
              <w:rPr>
                <w:rFonts w:eastAsia="Times New Roman" w:cs="Arial"/>
                <w:b/>
                <w:bCs/>
                <w:color w:val="000000"/>
                <w:sz w:val="16"/>
                <w:szCs w:val="16"/>
                <w:lang w:eastAsia="es-ES"/>
              </w:rPr>
            </w:pPr>
            <w:r w:rsidRPr="00D4701B">
              <w:rPr>
                <w:rFonts w:eastAsia="Times New Roman" w:cs="Arial"/>
                <w:b/>
                <w:bCs/>
                <w:color w:val="000000"/>
                <w:sz w:val="16"/>
                <w:szCs w:val="16"/>
                <w:lang w:eastAsia="es-ES"/>
              </w:rPr>
              <w:t>57,2</w:t>
            </w:r>
          </w:p>
        </w:tc>
      </w:tr>
    </w:tbl>
    <w:p w:rsidR="00B01F04" w:rsidRDefault="00B01F04" w:rsidP="00B01F04">
      <w:pPr>
        <w:spacing w:line="240" w:lineRule="auto"/>
        <w:jc w:val="center"/>
        <w:rPr>
          <w:rFonts w:cs="Arial"/>
          <w:b/>
          <w:color w:val="1F497D" w:themeColor="text2"/>
          <w:sz w:val="18"/>
          <w:szCs w:val="18"/>
        </w:rPr>
      </w:pPr>
    </w:p>
    <w:p w:rsidR="00B01F04" w:rsidRDefault="00B01F04" w:rsidP="00B01F04">
      <w:pPr>
        <w:spacing w:line="240" w:lineRule="auto"/>
        <w:jc w:val="center"/>
        <w:rPr>
          <w:rFonts w:cs="Arial"/>
          <w:b/>
          <w:color w:val="1F497D" w:themeColor="text2"/>
          <w:sz w:val="18"/>
          <w:szCs w:val="18"/>
        </w:rPr>
      </w:pPr>
    </w:p>
    <w:p w:rsidR="00B01F04" w:rsidRDefault="00B01F04" w:rsidP="00B01F04">
      <w:pPr>
        <w:jc w:val="left"/>
        <w:rPr>
          <w:rFonts w:eastAsia="Times New Roman" w:cs="Times New Roman"/>
          <w:b/>
          <w:snapToGrid w:val="0"/>
          <w:color w:val="1F497D" w:themeColor="text2"/>
          <w:sz w:val="22"/>
          <w:lang w:eastAsia="es-ES"/>
        </w:rPr>
      </w:pPr>
      <w:r>
        <w:rPr>
          <w:rFonts w:eastAsia="Times New Roman" w:cs="Times New Roman"/>
          <w:b/>
          <w:snapToGrid w:val="0"/>
          <w:color w:val="1F497D" w:themeColor="text2"/>
          <w:sz w:val="22"/>
          <w:lang w:eastAsia="es-ES"/>
        </w:rPr>
        <w:br w:type="page"/>
      </w:r>
    </w:p>
    <w:p w:rsidR="00B01F04" w:rsidRPr="00A25CF2" w:rsidRDefault="00B01F04" w:rsidP="00A25CF2">
      <w:pPr>
        <w:pStyle w:val="Ttulo1"/>
        <w:ind w:left="708" w:hanging="708"/>
        <w:rPr>
          <w:color w:val="1F497D" w:themeColor="text2"/>
          <w:sz w:val="22"/>
          <w:szCs w:val="22"/>
        </w:rPr>
      </w:pPr>
      <w:bookmarkStart w:id="426" w:name="_Toc450118942"/>
      <w:r w:rsidRPr="00A25CF2">
        <w:rPr>
          <w:color w:val="1F497D" w:themeColor="text2"/>
          <w:sz w:val="22"/>
          <w:szCs w:val="22"/>
        </w:rPr>
        <w:lastRenderedPageBreak/>
        <w:t>1.</w:t>
      </w:r>
      <w:r w:rsidR="00A25CF2">
        <w:rPr>
          <w:color w:val="1F497D" w:themeColor="text2"/>
          <w:sz w:val="22"/>
          <w:szCs w:val="22"/>
        </w:rPr>
        <w:t>4</w:t>
      </w:r>
      <w:r w:rsidRPr="00A25CF2">
        <w:rPr>
          <w:color w:val="1F497D" w:themeColor="text2"/>
          <w:sz w:val="22"/>
          <w:szCs w:val="22"/>
        </w:rPr>
        <w:t>.-</w:t>
      </w:r>
      <w:r w:rsidRPr="00A25CF2">
        <w:rPr>
          <w:color w:val="1F497D" w:themeColor="text2"/>
          <w:sz w:val="22"/>
          <w:szCs w:val="22"/>
        </w:rPr>
        <w:tab/>
        <w:t>OTRAS MAGNITUDES DE LA ECONOMÍA SOCIAL</w:t>
      </w:r>
      <w:bookmarkEnd w:id="426"/>
      <w:r w:rsidRPr="00A25CF2">
        <w:rPr>
          <w:color w:val="1F497D" w:themeColor="text2"/>
          <w:sz w:val="22"/>
          <w:szCs w:val="22"/>
        </w:rPr>
        <w:t xml:space="preserve"> </w:t>
      </w:r>
    </w:p>
    <w:p w:rsidR="00B01F04" w:rsidRPr="003D62A9" w:rsidRDefault="00B01F04" w:rsidP="00B01F04">
      <w:pPr>
        <w:spacing w:line="240" w:lineRule="auto"/>
        <w:jc w:val="left"/>
        <w:rPr>
          <w:rFonts w:eastAsia="Times New Roman" w:cs="Times New Roman"/>
          <w:b/>
          <w:snapToGrid w:val="0"/>
          <w:color w:val="1F497D" w:themeColor="text2"/>
          <w:sz w:val="22"/>
          <w:lang w:eastAsia="es-ES"/>
        </w:rPr>
      </w:pPr>
    </w:p>
    <w:p w:rsidR="00B01F04" w:rsidRPr="00A25CF2" w:rsidRDefault="00B01F04" w:rsidP="00A25CF2">
      <w:pPr>
        <w:pStyle w:val="Ttulo1"/>
        <w:ind w:left="708" w:hanging="708"/>
        <w:rPr>
          <w:color w:val="1F497D" w:themeColor="text2"/>
          <w:sz w:val="22"/>
          <w:szCs w:val="22"/>
        </w:rPr>
      </w:pPr>
      <w:bookmarkStart w:id="427" w:name="_Toc450118943"/>
      <w:r w:rsidRPr="00A25CF2">
        <w:rPr>
          <w:color w:val="1F497D" w:themeColor="text2"/>
          <w:sz w:val="22"/>
          <w:szCs w:val="22"/>
        </w:rPr>
        <w:t>1.</w:t>
      </w:r>
      <w:r w:rsidR="00A25CF2">
        <w:rPr>
          <w:color w:val="1F497D" w:themeColor="text2"/>
          <w:sz w:val="22"/>
          <w:szCs w:val="22"/>
        </w:rPr>
        <w:t>4</w:t>
      </w:r>
      <w:r w:rsidRPr="00A25CF2">
        <w:rPr>
          <w:color w:val="1F497D" w:themeColor="text2"/>
          <w:sz w:val="22"/>
          <w:szCs w:val="22"/>
        </w:rPr>
        <w:t>.1.- La financiación propia de las NFES</w:t>
      </w:r>
      <w:bookmarkEnd w:id="427"/>
      <w:r w:rsidRPr="00A25CF2">
        <w:rPr>
          <w:color w:val="1F497D" w:themeColor="text2"/>
          <w:sz w:val="22"/>
          <w:szCs w:val="22"/>
        </w:rPr>
        <w:t xml:space="preserve"> </w:t>
      </w:r>
    </w:p>
    <w:p w:rsidR="00B01F04" w:rsidRPr="003D62A9" w:rsidRDefault="00B01F04" w:rsidP="00B01F04">
      <w:pPr>
        <w:spacing w:line="240" w:lineRule="auto"/>
        <w:jc w:val="left"/>
        <w:rPr>
          <w:rFonts w:cs="Arial"/>
        </w:rPr>
      </w:pPr>
    </w:p>
    <w:p w:rsidR="00B01F04" w:rsidRPr="003D62A9" w:rsidRDefault="00A67658" w:rsidP="00B01F04">
      <w:pPr>
        <w:widowControl w:val="0"/>
        <w:spacing w:line="240" w:lineRule="auto"/>
        <w:jc w:val="center"/>
        <w:rPr>
          <w:rFonts w:cs="Arial"/>
          <w:b/>
          <w:color w:val="1F497D" w:themeColor="text2"/>
          <w:sz w:val="18"/>
          <w:szCs w:val="18"/>
        </w:rPr>
      </w:pPr>
      <w:bookmarkStart w:id="428" w:name="_Toc445380997"/>
      <w:bookmarkStart w:id="429" w:name="_Toc450119849"/>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24</w:t>
      </w:r>
      <w:r w:rsidR="00771A61" w:rsidRPr="00A67658">
        <w:rPr>
          <w:rFonts w:cs="Arial"/>
          <w:b/>
          <w:bCs/>
          <w:snapToGrid w:val="0"/>
          <w:color w:val="1F497D" w:themeColor="text2"/>
          <w:sz w:val="18"/>
          <w:szCs w:val="18"/>
          <w:lang w:val="es-ES_tradnl"/>
        </w:rPr>
        <w:fldChar w:fldCharType="end"/>
      </w:r>
      <w:r w:rsidR="00B01F04" w:rsidRPr="003D62A9">
        <w:rPr>
          <w:rFonts w:cs="Arial"/>
          <w:b/>
          <w:color w:val="1F497D" w:themeColor="text2"/>
          <w:sz w:val="18"/>
          <w:szCs w:val="18"/>
        </w:rPr>
        <w:t xml:space="preserve"> DISTRIBUCIÓN POR TIPO DE ENTIDAD DE LOS FONDOS PROPIOS DE LAS NFES. 2014  (cifras absolutas y % verticales)</w:t>
      </w:r>
      <w:bookmarkEnd w:id="428"/>
      <w:bookmarkEnd w:id="429"/>
    </w:p>
    <w:tbl>
      <w:tblPr>
        <w:tblW w:w="9940" w:type="dxa"/>
        <w:jc w:val="center"/>
        <w:tblLayout w:type="fixed"/>
        <w:tblCellMar>
          <w:left w:w="70" w:type="dxa"/>
          <w:right w:w="70" w:type="dxa"/>
        </w:tblCellMar>
        <w:tblLook w:val="04A0" w:firstRow="1" w:lastRow="0" w:firstColumn="1" w:lastColumn="0" w:noHBand="0" w:noVBand="1"/>
      </w:tblPr>
      <w:tblGrid>
        <w:gridCol w:w="5708"/>
        <w:gridCol w:w="2116"/>
        <w:gridCol w:w="2116"/>
      </w:tblGrid>
      <w:tr w:rsidR="00B01F04" w:rsidRPr="002E0A9E" w:rsidTr="009D099F">
        <w:trPr>
          <w:jc w:val="center"/>
        </w:trPr>
        <w:tc>
          <w:tcPr>
            <w:tcW w:w="5488" w:type="dxa"/>
            <w:tcBorders>
              <w:top w:val="single" w:sz="8" w:space="0" w:color="BFBFBF"/>
              <w:left w:val="nil"/>
              <w:bottom w:val="nil"/>
              <w:right w:val="single" w:sz="8" w:space="0" w:color="BFBFBF"/>
            </w:tcBorders>
            <w:shd w:val="clear" w:color="000000" w:fill="DBE5F1"/>
            <w:hideMark/>
          </w:tcPr>
          <w:p w:rsidR="00B01F04" w:rsidRPr="002E0A9E" w:rsidRDefault="00B01F04" w:rsidP="00D86960">
            <w:pPr>
              <w:spacing w:line="240" w:lineRule="exact"/>
              <w:rPr>
                <w:rFonts w:ascii="Calibri" w:eastAsia="Times New Roman" w:hAnsi="Calibri" w:cs="Arial"/>
                <w:color w:val="000000"/>
                <w:szCs w:val="20"/>
                <w:lang w:eastAsia="es-ES"/>
              </w:rPr>
            </w:pPr>
            <w:r w:rsidRPr="002E0A9E">
              <w:rPr>
                <w:rFonts w:ascii="Calibri" w:eastAsia="Times New Roman" w:hAnsi="Calibri" w:cs="Arial"/>
                <w:color w:val="000000"/>
                <w:szCs w:val="20"/>
                <w:lang w:eastAsia="es-ES"/>
              </w:rPr>
              <w:t> </w:t>
            </w:r>
          </w:p>
        </w:tc>
        <w:tc>
          <w:tcPr>
            <w:tcW w:w="4068" w:type="dxa"/>
            <w:gridSpan w:val="2"/>
            <w:tcBorders>
              <w:top w:val="single" w:sz="8" w:space="0" w:color="BFBFBF"/>
              <w:left w:val="nil"/>
              <w:bottom w:val="single" w:sz="8" w:space="0" w:color="BFBFBF"/>
            </w:tcBorders>
            <w:shd w:val="clear" w:color="000000" w:fill="DBE5F1"/>
            <w:hideMark/>
          </w:tcPr>
          <w:p w:rsidR="00B01F04" w:rsidRPr="002E0A9E" w:rsidRDefault="00B01F04" w:rsidP="00D86960">
            <w:pPr>
              <w:spacing w:line="240" w:lineRule="exact"/>
              <w:jc w:val="center"/>
              <w:rPr>
                <w:rFonts w:eastAsia="Times New Roman" w:cs="Arial"/>
                <w:b/>
                <w:bCs/>
                <w:color w:val="000000"/>
                <w:sz w:val="16"/>
                <w:szCs w:val="16"/>
                <w:lang w:eastAsia="es-ES"/>
              </w:rPr>
            </w:pPr>
            <w:r w:rsidRPr="002E0A9E">
              <w:rPr>
                <w:rFonts w:eastAsia="Times New Roman" w:cs="Arial"/>
                <w:b/>
                <w:bCs/>
                <w:color w:val="000000"/>
                <w:sz w:val="16"/>
                <w:szCs w:val="16"/>
                <w:lang w:eastAsia="es-ES"/>
              </w:rPr>
              <w:t xml:space="preserve">FONDOS PROPIOS </w:t>
            </w:r>
          </w:p>
        </w:tc>
      </w:tr>
      <w:tr w:rsidR="00B01F04" w:rsidRPr="002E0A9E" w:rsidTr="009D099F">
        <w:trPr>
          <w:jc w:val="center"/>
        </w:trPr>
        <w:tc>
          <w:tcPr>
            <w:tcW w:w="5488" w:type="dxa"/>
            <w:tcBorders>
              <w:top w:val="nil"/>
              <w:left w:val="nil"/>
              <w:bottom w:val="single" w:sz="8" w:space="0" w:color="BFBFBF"/>
              <w:right w:val="single" w:sz="8" w:space="0" w:color="BFBFBF"/>
            </w:tcBorders>
            <w:shd w:val="clear" w:color="000000" w:fill="DBE5F1"/>
            <w:hideMark/>
          </w:tcPr>
          <w:p w:rsidR="00B01F04" w:rsidRPr="002E0A9E" w:rsidRDefault="00B01F04" w:rsidP="00D86960">
            <w:pPr>
              <w:spacing w:line="240" w:lineRule="exact"/>
              <w:rPr>
                <w:rFonts w:ascii="Calibri" w:eastAsia="Times New Roman" w:hAnsi="Calibri" w:cs="Arial"/>
                <w:color w:val="000000"/>
                <w:szCs w:val="20"/>
                <w:lang w:eastAsia="es-ES"/>
              </w:rPr>
            </w:pPr>
            <w:r w:rsidRPr="002E0A9E">
              <w:rPr>
                <w:rFonts w:ascii="Calibri" w:eastAsia="Times New Roman" w:hAnsi="Calibri" w:cs="Arial"/>
                <w:color w:val="000000"/>
                <w:szCs w:val="20"/>
                <w:lang w:eastAsia="es-ES"/>
              </w:rPr>
              <w:t> </w:t>
            </w:r>
          </w:p>
        </w:tc>
        <w:tc>
          <w:tcPr>
            <w:tcW w:w="2034" w:type="dxa"/>
            <w:tcBorders>
              <w:top w:val="nil"/>
              <w:left w:val="nil"/>
              <w:bottom w:val="single" w:sz="8" w:space="0" w:color="BFBFBF"/>
              <w:right w:val="single" w:sz="4" w:space="0" w:color="BFBFBF" w:themeColor="background1" w:themeShade="BF"/>
            </w:tcBorders>
            <w:shd w:val="clear" w:color="000000" w:fill="DBE5F1"/>
            <w:vAlign w:val="center"/>
            <w:hideMark/>
          </w:tcPr>
          <w:p w:rsidR="00B01F04" w:rsidRPr="002E0A9E" w:rsidRDefault="00B01F04" w:rsidP="00D86960">
            <w:pPr>
              <w:spacing w:line="240" w:lineRule="exact"/>
              <w:jc w:val="center"/>
              <w:rPr>
                <w:rFonts w:eastAsia="Times New Roman" w:cs="Arial"/>
                <w:b/>
                <w:bCs/>
                <w:color w:val="000000"/>
                <w:sz w:val="16"/>
                <w:szCs w:val="16"/>
                <w:lang w:eastAsia="es-ES"/>
              </w:rPr>
            </w:pPr>
            <w:r w:rsidRPr="002E0A9E">
              <w:rPr>
                <w:rFonts w:eastAsia="Times New Roman" w:cs="Arial"/>
                <w:b/>
                <w:bCs/>
                <w:color w:val="000000"/>
                <w:sz w:val="16"/>
                <w:szCs w:val="16"/>
                <w:lang w:eastAsia="es-ES"/>
              </w:rPr>
              <w:t>Euros</w:t>
            </w:r>
          </w:p>
        </w:tc>
        <w:tc>
          <w:tcPr>
            <w:tcW w:w="2034" w:type="dxa"/>
            <w:tcBorders>
              <w:top w:val="nil"/>
              <w:left w:val="single" w:sz="4" w:space="0" w:color="BFBFBF" w:themeColor="background1" w:themeShade="BF"/>
              <w:bottom w:val="single" w:sz="8" w:space="0" w:color="BFBFBF"/>
            </w:tcBorders>
            <w:shd w:val="clear" w:color="000000" w:fill="DBE5F1"/>
            <w:vAlign w:val="center"/>
            <w:hideMark/>
          </w:tcPr>
          <w:p w:rsidR="00B01F04" w:rsidRPr="002E0A9E" w:rsidRDefault="00B01F04" w:rsidP="00D86960">
            <w:pPr>
              <w:spacing w:line="240" w:lineRule="exact"/>
              <w:jc w:val="center"/>
              <w:rPr>
                <w:rFonts w:eastAsia="Times New Roman" w:cs="Arial"/>
                <w:b/>
                <w:bCs/>
                <w:color w:val="000000"/>
                <w:sz w:val="16"/>
                <w:szCs w:val="16"/>
                <w:lang w:eastAsia="es-ES"/>
              </w:rPr>
            </w:pPr>
            <w:r w:rsidRPr="002E0A9E">
              <w:rPr>
                <w:rFonts w:eastAsia="Times New Roman" w:cs="Arial"/>
                <w:b/>
                <w:bCs/>
                <w:color w:val="000000"/>
                <w:sz w:val="16"/>
                <w:szCs w:val="16"/>
                <w:lang w:eastAsia="es-ES"/>
              </w:rPr>
              <w:t>% ver.</w:t>
            </w:r>
          </w:p>
        </w:tc>
      </w:tr>
      <w:tr w:rsidR="00B01F04" w:rsidRPr="002E0A9E" w:rsidTr="009D099F">
        <w:trPr>
          <w:jc w:val="center"/>
        </w:trPr>
        <w:tc>
          <w:tcPr>
            <w:tcW w:w="5488" w:type="dxa"/>
            <w:tcBorders>
              <w:top w:val="nil"/>
              <w:left w:val="nil"/>
              <w:bottom w:val="nil"/>
              <w:right w:val="single" w:sz="8" w:space="0" w:color="BFBFBF"/>
            </w:tcBorders>
            <w:shd w:val="clear" w:color="auto" w:fill="auto"/>
            <w:noWrap/>
            <w:hideMark/>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1.Fundaciones</w:t>
            </w:r>
          </w:p>
        </w:tc>
        <w:tc>
          <w:tcPr>
            <w:tcW w:w="2034" w:type="dxa"/>
            <w:tcBorders>
              <w:top w:val="nil"/>
              <w:left w:val="nil"/>
              <w:bottom w:val="nil"/>
              <w:right w:val="single" w:sz="4" w:space="0" w:color="BFBFBF" w:themeColor="background1" w:themeShade="BF"/>
            </w:tcBorders>
            <w:shd w:val="clear" w:color="auto" w:fill="auto"/>
            <w:noWrap/>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3.362.759.371</w:t>
            </w:r>
          </w:p>
        </w:tc>
        <w:tc>
          <w:tcPr>
            <w:tcW w:w="2034" w:type="dxa"/>
            <w:tcBorders>
              <w:top w:val="nil"/>
              <w:left w:val="single" w:sz="4" w:space="0" w:color="BFBFBF" w:themeColor="background1" w:themeShade="BF"/>
              <w:bottom w:val="nil"/>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76,3</w:t>
            </w:r>
          </w:p>
        </w:tc>
      </w:tr>
      <w:tr w:rsidR="00B01F04" w:rsidRPr="002E0A9E" w:rsidTr="009D099F">
        <w:trPr>
          <w:jc w:val="center"/>
        </w:trPr>
        <w:tc>
          <w:tcPr>
            <w:tcW w:w="5488" w:type="dxa"/>
            <w:tcBorders>
              <w:top w:val="nil"/>
              <w:left w:val="nil"/>
              <w:bottom w:val="nil"/>
              <w:right w:val="single" w:sz="8" w:space="0" w:color="BFBFBF"/>
            </w:tcBorders>
            <w:shd w:val="clear" w:color="auto" w:fill="auto"/>
            <w:noWrap/>
            <w:hideMark/>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2.Centros Especiales de Empleo</w:t>
            </w:r>
          </w:p>
        </w:tc>
        <w:tc>
          <w:tcPr>
            <w:tcW w:w="2034" w:type="dxa"/>
            <w:tcBorders>
              <w:top w:val="nil"/>
              <w:left w:val="nil"/>
              <w:bottom w:val="nil"/>
              <w:right w:val="single" w:sz="4" w:space="0" w:color="BFBFBF" w:themeColor="background1" w:themeShade="BF"/>
            </w:tcBorders>
            <w:shd w:val="clear" w:color="auto" w:fill="auto"/>
            <w:noWrap/>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167.568.834</w:t>
            </w:r>
          </w:p>
        </w:tc>
        <w:tc>
          <w:tcPr>
            <w:tcW w:w="2034" w:type="dxa"/>
            <w:tcBorders>
              <w:top w:val="nil"/>
              <w:left w:val="single" w:sz="4" w:space="0" w:color="BFBFBF" w:themeColor="background1" w:themeShade="BF"/>
              <w:bottom w:val="nil"/>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3,8</w:t>
            </w:r>
          </w:p>
        </w:tc>
      </w:tr>
      <w:tr w:rsidR="00B01F04" w:rsidRPr="002E0A9E" w:rsidTr="009D099F">
        <w:trPr>
          <w:jc w:val="center"/>
        </w:trPr>
        <w:tc>
          <w:tcPr>
            <w:tcW w:w="5488" w:type="dxa"/>
            <w:tcBorders>
              <w:top w:val="nil"/>
              <w:left w:val="nil"/>
              <w:bottom w:val="nil"/>
              <w:right w:val="single" w:sz="8" w:space="0" w:color="BFBFBF"/>
            </w:tcBorders>
            <w:shd w:val="clear" w:color="auto" w:fill="auto"/>
            <w:noWrap/>
            <w:hideMark/>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3.Asociaciones de Utilidad Pública</w:t>
            </w:r>
          </w:p>
        </w:tc>
        <w:tc>
          <w:tcPr>
            <w:tcW w:w="2034" w:type="dxa"/>
            <w:tcBorders>
              <w:top w:val="nil"/>
              <w:left w:val="nil"/>
              <w:bottom w:val="nil"/>
              <w:right w:val="single" w:sz="4" w:space="0" w:color="BFBFBF" w:themeColor="background1" w:themeShade="BF"/>
            </w:tcBorders>
            <w:shd w:val="clear" w:color="auto" w:fill="auto"/>
            <w:noWrap/>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89.399.392</w:t>
            </w:r>
          </w:p>
        </w:tc>
        <w:tc>
          <w:tcPr>
            <w:tcW w:w="2034" w:type="dxa"/>
            <w:tcBorders>
              <w:top w:val="nil"/>
              <w:left w:val="single" w:sz="4" w:space="0" w:color="BFBFBF" w:themeColor="background1" w:themeShade="BF"/>
              <w:bottom w:val="nil"/>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2,0</w:t>
            </w:r>
          </w:p>
        </w:tc>
      </w:tr>
      <w:tr w:rsidR="00B01F04" w:rsidRPr="002E0A9E" w:rsidTr="009D099F">
        <w:trPr>
          <w:jc w:val="center"/>
        </w:trPr>
        <w:tc>
          <w:tcPr>
            <w:tcW w:w="5488" w:type="dxa"/>
            <w:tcBorders>
              <w:top w:val="nil"/>
              <w:left w:val="nil"/>
              <w:bottom w:val="nil"/>
              <w:right w:val="single" w:sz="8" w:space="0" w:color="BFBFBF"/>
            </w:tcBorders>
            <w:shd w:val="clear" w:color="auto" w:fill="auto"/>
            <w:noWrap/>
            <w:hideMark/>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4.Empresas de Inserción</w:t>
            </w:r>
          </w:p>
        </w:tc>
        <w:tc>
          <w:tcPr>
            <w:tcW w:w="2034" w:type="dxa"/>
            <w:tcBorders>
              <w:top w:val="nil"/>
              <w:left w:val="nil"/>
              <w:bottom w:val="nil"/>
              <w:right w:val="single" w:sz="4" w:space="0" w:color="BFBFBF" w:themeColor="background1" w:themeShade="BF"/>
            </w:tcBorders>
            <w:shd w:val="clear" w:color="auto" w:fill="auto"/>
            <w:noWrap/>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7.975.798</w:t>
            </w:r>
          </w:p>
        </w:tc>
        <w:tc>
          <w:tcPr>
            <w:tcW w:w="2034" w:type="dxa"/>
            <w:tcBorders>
              <w:top w:val="nil"/>
              <w:left w:val="single" w:sz="4" w:space="0" w:color="BFBFBF" w:themeColor="background1" w:themeShade="BF"/>
              <w:bottom w:val="nil"/>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0,2</w:t>
            </w:r>
          </w:p>
        </w:tc>
      </w:tr>
      <w:tr w:rsidR="00B01F04" w:rsidRPr="002E0A9E" w:rsidTr="009D099F">
        <w:trPr>
          <w:jc w:val="center"/>
        </w:trPr>
        <w:tc>
          <w:tcPr>
            <w:tcW w:w="5488" w:type="dxa"/>
            <w:tcBorders>
              <w:top w:val="nil"/>
              <w:left w:val="nil"/>
              <w:bottom w:val="nil"/>
              <w:right w:val="single" w:sz="8" w:space="0" w:color="BFBFBF"/>
            </w:tcBorders>
            <w:shd w:val="clear" w:color="auto" w:fill="auto"/>
            <w:noWrap/>
            <w:hideMark/>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5.SATs</w:t>
            </w:r>
          </w:p>
        </w:tc>
        <w:tc>
          <w:tcPr>
            <w:tcW w:w="2034" w:type="dxa"/>
            <w:tcBorders>
              <w:top w:val="nil"/>
              <w:left w:val="nil"/>
              <w:bottom w:val="nil"/>
              <w:right w:val="single" w:sz="4" w:space="0" w:color="BFBFBF" w:themeColor="background1" w:themeShade="BF"/>
            </w:tcBorders>
            <w:shd w:val="clear" w:color="auto" w:fill="auto"/>
            <w:noWrap/>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31.742.882</w:t>
            </w:r>
          </w:p>
        </w:tc>
        <w:tc>
          <w:tcPr>
            <w:tcW w:w="2034" w:type="dxa"/>
            <w:tcBorders>
              <w:top w:val="nil"/>
              <w:left w:val="single" w:sz="4" w:space="0" w:color="BFBFBF" w:themeColor="background1" w:themeShade="BF"/>
              <w:bottom w:val="nil"/>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0,7</w:t>
            </w:r>
          </w:p>
        </w:tc>
      </w:tr>
      <w:tr w:rsidR="00B01F04" w:rsidRPr="002E0A9E" w:rsidTr="009D099F">
        <w:trPr>
          <w:jc w:val="center"/>
        </w:trPr>
        <w:tc>
          <w:tcPr>
            <w:tcW w:w="5488" w:type="dxa"/>
            <w:tcBorders>
              <w:top w:val="nil"/>
              <w:left w:val="nil"/>
              <w:bottom w:val="nil"/>
              <w:right w:val="single" w:sz="8" w:space="0" w:color="BFBFBF"/>
            </w:tcBorders>
            <w:shd w:val="clear" w:color="auto" w:fill="auto"/>
            <w:hideMark/>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6.Cofradías de Pescadores</w:t>
            </w:r>
          </w:p>
        </w:tc>
        <w:tc>
          <w:tcPr>
            <w:tcW w:w="2034" w:type="dxa"/>
            <w:tcBorders>
              <w:top w:val="nil"/>
              <w:left w:val="nil"/>
              <w:bottom w:val="nil"/>
              <w:right w:val="single" w:sz="4" w:space="0" w:color="BFBFBF" w:themeColor="background1" w:themeShade="BF"/>
            </w:tcBorders>
            <w:shd w:val="clear" w:color="auto" w:fill="auto"/>
            <w:noWrap/>
            <w:vAlign w:val="bottom"/>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21.816.876</w:t>
            </w:r>
          </w:p>
        </w:tc>
        <w:tc>
          <w:tcPr>
            <w:tcW w:w="2034" w:type="dxa"/>
            <w:tcBorders>
              <w:top w:val="nil"/>
              <w:left w:val="single" w:sz="4" w:space="0" w:color="BFBFBF" w:themeColor="background1" w:themeShade="BF"/>
              <w:bottom w:val="nil"/>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0,5</w:t>
            </w:r>
          </w:p>
        </w:tc>
      </w:tr>
      <w:tr w:rsidR="00B01F04" w:rsidRPr="002E0A9E" w:rsidTr="009D099F">
        <w:trPr>
          <w:jc w:val="center"/>
        </w:trPr>
        <w:tc>
          <w:tcPr>
            <w:tcW w:w="5488" w:type="dxa"/>
            <w:tcBorders>
              <w:top w:val="nil"/>
              <w:left w:val="nil"/>
              <w:bottom w:val="single" w:sz="8" w:space="0" w:color="BFBFBF"/>
              <w:right w:val="single" w:sz="8" w:space="0" w:color="BFBFBF"/>
            </w:tcBorders>
            <w:shd w:val="clear" w:color="auto" w:fill="auto"/>
            <w:hideMark/>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7.EPSVs*</w:t>
            </w:r>
          </w:p>
        </w:tc>
        <w:tc>
          <w:tcPr>
            <w:tcW w:w="2034" w:type="dxa"/>
            <w:tcBorders>
              <w:top w:val="nil"/>
              <w:left w:val="nil"/>
              <w:bottom w:val="single" w:sz="8" w:space="0" w:color="BFBFBF"/>
              <w:right w:val="single" w:sz="4" w:space="0" w:color="BFBFBF" w:themeColor="background1" w:themeShade="BF"/>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724.454.515</w:t>
            </w:r>
          </w:p>
        </w:tc>
        <w:tc>
          <w:tcPr>
            <w:tcW w:w="2034" w:type="dxa"/>
            <w:tcBorders>
              <w:top w:val="nil"/>
              <w:left w:val="single" w:sz="4" w:space="0" w:color="BFBFBF" w:themeColor="background1" w:themeShade="BF"/>
              <w:bottom w:val="single" w:sz="8" w:space="0" w:color="BFBFBF"/>
            </w:tcBorders>
            <w:shd w:val="clear" w:color="auto" w:fill="auto"/>
            <w:hideMark/>
          </w:tcPr>
          <w:p w:rsidR="00B01F04" w:rsidRPr="00D934BE" w:rsidRDefault="00B01F04" w:rsidP="00D86960">
            <w:pPr>
              <w:spacing w:line="240" w:lineRule="exact"/>
              <w:ind w:right="263"/>
              <w:jc w:val="right"/>
              <w:rPr>
                <w:rFonts w:eastAsia="Times New Roman" w:cs="Arial"/>
                <w:color w:val="000000"/>
                <w:sz w:val="16"/>
                <w:szCs w:val="16"/>
                <w:lang w:eastAsia="es-ES"/>
              </w:rPr>
            </w:pPr>
            <w:r w:rsidRPr="00D934BE">
              <w:rPr>
                <w:rFonts w:eastAsia="Times New Roman" w:cs="Arial"/>
                <w:color w:val="000000"/>
                <w:sz w:val="16"/>
                <w:szCs w:val="16"/>
                <w:lang w:eastAsia="es-ES"/>
              </w:rPr>
              <w:t>16,4</w:t>
            </w:r>
          </w:p>
        </w:tc>
      </w:tr>
      <w:tr w:rsidR="00B01F04" w:rsidRPr="002E0A9E" w:rsidTr="009D099F">
        <w:trPr>
          <w:jc w:val="center"/>
        </w:trPr>
        <w:tc>
          <w:tcPr>
            <w:tcW w:w="5488" w:type="dxa"/>
            <w:tcBorders>
              <w:top w:val="nil"/>
              <w:left w:val="nil"/>
              <w:bottom w:val="single" w:sz="8" w:space="0" w:color="BFBFBF"/>
              <w:right w:val="single" w:sz="8" w:space="0" w:color="BFBFBF"/>
            </w:tcBorders>
            <w:shd w:val="clear" w:color="auto" w:fill="auto"/>
            <w:hideMark/>
          </w:tcPr>
          <w:p w:rsidR="00B01F04" w:rsidRPr="00D934BE" w:rsidRDefault="00B01F04" w:rsidP="00D86960">
            <w:pPr>
              <w:spacing w:line="240" w:lineRule="exact"/>
              <w:rPr>
                <w:rFonts w:eastAsia="Times New Roman" w:cs="Arial"/>
                <w:b/>
                <w:bCs/>
                <w:color w:val="000000"/>
                <w:sz w:val="16"/>
                <w:szCs w:val="16"/>
                <w:lang w:eastAsia="es-ES"/>
              </w:rPr>
            </w:pPr>
            <w:r w:rsidRPr="00D934BE">
              <w:rPr>
                <w:rFonts w:eastAsia="Times New Roman" w:cs="Arial"/>
                <w:b/>
                <w:bCs/>
                <w:color w:val="000000"/>
                <w:sz w:val="16"/>
                <w:szCs w:val="16"/>
                <w:lang w:val="es-ES_tradnl" w:eastAsia="es-ES"/>
              </w:rPr>
              <w:t>TOTAL</w:t>
            </w:r>
          </w:p>
        </w:tc>
        <w:tc>
          <w:tcPr>
            <w:tcW w:w="2034" w:type="dxa"/>
            <w:tcBorders>
              <w:top w:val="nil"/>
              <w:left w:val="nil"/>
              <w:bottom w:val="single" w:sz="8" w:space="0" w:color="BFBFBF"/>
              <w:right w:val="single" w:sz="4" w:space="0" w:color="BFBFBF" w:themeColor="background1" w:themeShade="BF"/>
            </w:tcBorders>
            <w:shd w:val="clear" w:color="auto" w:fill="auto"/>
            <w:hideMark/>
          </w:tcPr>
          <w:p w:rsidR="00B01F04" w:rsidRPr="00D934BE" w:rsidRDefault="00B01F04" w:rsidP="00D86960">
            <w:pPr>
              <w:spacing w:line="240" w:lineRule="exact"/>
              <w:ind w:right="263"/>
              <w:jc w:val="right"/>
              <w:rPr>
                <w:rFonts w:eastAsia="Times New Roman" w:cs="Arial"/>
                <w:b/>
                <w:bCs/>
                <w:color w:val="000000"/>
                <w:sz w:val="16"/>
                <w:szCs w:val="16"/>
                <w:lang w:eastAsia="es-ES"/>
              </w:rPr>
            </w:pPr>
            <w:r w:rsidRPr="00D934BE">
              <w:rPr>
                <w:rFonts w:eastAsia="Times New Roman" w:cs="Arial"/>
                <w:b/>
                <w:bCs/>
                <w:color w:val="000000"/>
                <w:sz w:val="16"/>
                <w:szCs w:val="16"/>
                <w:lang w:eastAsia="es-ES"/>
              </w:rPr>
              <w:t>4.405.717.668</w:t>
            </w:r>
          </w:p>
        </w:tc>
        <w:tc>
          <w:tcPr>
            <w:tcW w:w="2034" w:type="dxa"/>
            <w:tcBorders>
              <w:top w:val="nil"/>
              <w:left w:val="single" w:sz="4" w:space="0" w:color="BFBFBF" w:themeColor="background1" w:themeShade="BF"/>
              <w:bottom w:val="single" w:sz="8" w:space="0" w:color="BFBFBF"/>
            </w:tcBorders>
            <w:shd w:val="clear" w:color="auto" w:fill="auto"/>
            <w:hideMark/>
          </w:tcPr>
          <w:p w:rsidR="00B01F04" w:rsidRPr="00D934BE" w:rsidRDefault="00B01F04" w:rsidP="00D86960">
            <w:pPr>
              <w:spacing w:line="240" w:lineRule="exact"/>
              <w:ind w:right="263"/>
              <w:jc w:val="right"/>
              <w:rPr>
                <w:rFonts w:eastAsia="Times New Roman" w:cs="Arial"/>
                <w:b/>
                <w:bCs/>
                <w:color w:val="000000"/>
                <w:sz w:val="16"/>
                <w:szCs w:val="16"/>
                <w:lang w:eastAsia="es-ES"/>
              </w:rPr>
            </w:pPr>
            <w:r w:rsidRPr="00D934BE">
              <w:rPr>
                <w:rFonts w:eastAsia="Times New Roman" w:cs="Arial"/>
                <w:b/>
                <w:bCs/>
                <w:color w:val="000000"/>
                <w:sz w:val="16"/>
                <w:szCs w:val="16"/>
                <w:lang w:eastAsia="es-ES"/>
              </w:rPr>
              <w:t>100</w:t>
            </w:r>
            <w:r w:rsidR="007F441F">
              <w:rPr>
                <w:rFonts w:eastAsia="Times New Roman" w:cs="Arial"/>
                <w:b/>
                <w:bCs/>
                <w:color w:val="000000"/>
                <w:sz w:val="16"/>
                <w:szCs w:val="16"/>
                <w:lang w:eastAsia="es-ES"/>
              </w:rPr>
              <w:t>,0</w:t>
            </w:r>
          </w:p>
        </w:tc>
      </w:tr>
    </w:tbl>
    <w:p w:rsidR="00B01F04" w:rsidRDefault="00B01F04" w:rsidP="00B01F04">
      <w:pPr>
        <w:widowControl w:val="0"/>
        <w:spacing w:line="240" w:lineRule="auto"/>
        <w:jc w:val="center"/>
        <w:rPr>
          <w:rFonts w:cs="Arial"/>
          <w:b/>
          <w:color w:val="1F497D" w:themeColor="text2"/>
          <w:sz w:val="18"/>
          <w:szCs w:val="18"/>
          <w:highlight w:val="yellow"/>
        </w:rPr>
      </w:pPr>
    </w:p>
    <w:p w:rsidR="00B01F04" w:rsidRDefault="00A67658" w:rsidP="00B01F04">
      <w:pPr>
        <w:widowControl w:val="0"/>
        <w:spacing w:line="240" w:lineRule="auto"/>
        <w:jc w:val="center"/>
        <w:rPr>
          <w:rFonts w:cs="Arial"/>
          <w:b/>
          <w:color w:val="1F497D" w:themeColor="text2"/>
          <w:sz w:val="18"/>
          <w:szCs w:val="18"/>
        </w:rPr>
      </w:pPr>
      <w:bookmarkStart w:id="430" w:name="_Toc445380998"/>
      <w:bookmarkStart w:id="431" w:name="_Toc450119850"/>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25</w:t>
      </w:r>
      <w:r w:rsidR="00771A61" w:rsidRPr="00A67658">
        <w:rPr>
          <w:rFonts w:cs="Arial"/>
          <w:b/>
          <w:bCs/>
          <w:snapToGrid w:val="0"/>
          <w:color w:val="1F497D" w:themeColor="text2"/>
          <w:sz w:val="18"/>
          <w:szCs w:val="18"/>
          <w:lang w:val="es-ES_tradnl"/>
        </w:rPr>
        <w:fldChar w:fldCharType="end"/>
      </w:r>
      <w:r>
        <w:rPr>
          <w:rFonts w:cs="Arial"/>
          <w:b/>
          <w:bCs/>
          <w:snapToGrid w:val="0"/>
          <w:color w:val="1F497D" w:themeColor="text2"/>
          <w:sz w:val="18"/>
          <w:szCs w:val="18"/>
          <w:lang w:val="es-ES_tradnl"/>
        </w:rPr>
        <w:t xml:space="preserve"> </w:t>
      </w:r>
      <w:r w:rsidR="00B01F04" w:rsidRPr="00DA4A86">
        <w:rPr>
          <w:rFonts w:cs="Arial"/>
          <w:b/>
          <w:color w:val="1F497D" w:themeColor="text2"/>
          <w:sz w:val="18"/>
          <w:szCs w:val="18"/>
        </w:rPr>
        <w:t>RATIOS DE ENDEUDAMIENTO</w:t>
      </w:r>
      <w:r w:rsidR="00B01F04">
        <w:rPr>
          <w:rFonts w:cs="Arial"/>
          <w:b/>
          <w:color w:val="1F497D" w:themeColor="text2"/>
          <w:sz w:val="18"/>
          <w:szCs w:val="18"/>
        </w:rPr>
        <w:t xml:space="preserve"> SEGÚN TIPO DE ENTIDAD. 2014 (</w:t>
      </w:r>
      <w:r w:rsidR="00B01F04" w:rsidRPr="00DA4A86">
        <w:rPr>
          <w:rFonts w:cs="Arial"/>
          <w:b/>
          <w:color w:val="1F497D" w:themeColor="text2"/>
          <w:sz w:val="18"/>
          <w:szCs w:val="18"/>
        </w:rPr>
        <w:t>Fondos Ajenos/Fondos Propios)</w:t>
      </w:r>
      <w:r w:rsidR="00B01F04" w:rsidRPr="00DA4A86">
        <w:rPr>
          <w:rStyle w:val="Refdenotaalpie"/>
          <w:rFonts w:cs="Arial"/>
          <w:color w:val="1F497D" w:themeColor="text2"/>
          <w:sz w:val="18"/>
          <w:szCs w:val="18"/>
        </w:rPr>
        <w:footnoteReference w:id="17"/>
      </w:r>
      <w:bookmarkEnd w:id="430"/>
      <w:bookmarkEnd w:id="431"/>
      <w:r w:rsidR="00B01F04" w:rsidRPr="00DA4A86">
        <w:rPr>
          <w:rFonts w:cs="Arial"/>
          <w:b/>
          <w:color w:val="1F497D" w:themeColor="text2"/>
          <w:sz w:val="18"/>
          <w:szCs w:val="18"/>
        </w:rPr>
        <w:t xml:space="preserve"> </w:t>
      </w:r>
    </w:p>
    <w:tbl>
      <w:tblPr>
        <w:tblW w:w="9648" w:type="dxa"/>
        <w:jc w:val="center"/>
        <w:tblInd w:w="292" w:type="dxa"/>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534"/>
        <w:gridCol w:w="4114"/>
      </w:tblGrid>
      <w:tr w:rsidR="00B01F04" w:rsidRPr="00E95A1F" w:rsidTr="00D86960">
        <w:trPr>
          <w:jc w:val="center"/>
        </w:trPr>
        <w:tc>
          <w:tcPr>
            <w:tcW w:w="2868"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B01F04" w:rsidRPr="00E95A1F" w:rsidRDefault="00B01F04" w:rsidP="00D86960">
            <w:pPr>
              <w:widowControl w:val="0"/>
              <w:spacing w:line="240" w:lineRule="exact"/>
              <w:rPr>
                <w:rFonts w:cs="Arial"/>
                <w:b/>
                <w:sz w:val="16"/>
                <w:szCs w:val="16"/>
              </w:rPr>
            </w:pPr>
          </w:p>
        </w:tc>
        <w:tc>
          <w:tcPr>
            <w:tcW w:w="2132" w:type="pct"/>
            <w:tcBorders>
              <w:top w:val="single" w:sz="4" w:space="0" w:color="BFBFBF" w:themeColor="background1" w:themeShade="BF"/>
              <w:left w:val="single" w:sz="4" w:space="0" w:color="BFBFBF" w:themeColor="background1" w:themeShade="BF"/>
              <w:bottom w:val="nil"/>
              <w:right w:val="nil"/>
            </w:tcBorders>
            <w:shd w:val="clear" w:color="auto" w:fill="DBE5F1" w:themeFill="accent1" w:themeFillTint="33"/>
            <w:vAlign w:val="center"/>
          </w:tcPr>
          <w:p w:rsidR="00B01F04" w:rsidRPr="00E95A1F" w:rsidRDefault="00B01F04" w:rsidP="00D86960">
            <w:pPr>
              <w:widowControl w:val="0"/>
              <w:spacing w:line="240" w:lineRule="exact"/>
              <w:jc w:val="center"/>
              <w:rPr>
                <w:rFonts w:cs="Arial"/>
                <w:b/>
                <w:sz w:val="16"/>
                <w:szCs w:val="16"/>
              </w:rPr>
            </w:pPr>
            <w:r>
              <w:rPr>
                <w:rFonts w:cs="Arial"/>
                <w:b/>
                <w:sz w:val="16"/>
                <w:szCs w:val="16"/>
              </w:rPr>
              <w:t>Ratio de endeudamiento</w:t>
            </w:r>
          </w:p>
        </w:tc>
      </w:tr>
      <w:tr w:rsidR="00B01F04" w:rsidRPr="00E95A1F" w:rsidTr="00D86960">
        <w:trPr>
          <w:jc w:val="center"/>
        </w:trPr>
        <w:tc>
          <w:tcPr>
            <w:tcW w:w="2868" w:type="pct"/>
            <w:tcBorders>
              <w:top w:val="single" w:sz="4" w:space="0" w:color="BFBFBF" w:themeColor="background1" w:themeShade="BF"/>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1.Fundaciones</w:t>
            </w:r>
          </w:p>
        </w:tc>
        <w:tc>
          <w:tcPr>
            <w:tcW w:w="2132" w:type="pct"/>
            <w:tcBorders>
              <w:top w:val="single" w:sz="4" w:space="0" w:color="BFBFBF" w:themeColor="background1" w:themeShade="BF"/>
              <w:left w:val="single" w:sz="4" w:space="0" w:color="BFBFBF" w:themeColor="background1" w:themeShade="BF"/>
              <w:bottom w:val="nil"/>
              <w:right w:val="nil"/>
            </w:tcBorders>
            <w:vAlign w:val="center"/>
          </w:tcPr>
          <w:p w:rsidR="00B01F04" w:rsidRPr="00D934BE" w:rsidRDefault="00B01F04" w:rsidP="00D86960">
            <w:pPr>
              <w:widowControl w:val="0"/>
              <w:spacing w:line="240" w:lineRule="exact"/>
              <w:ind w:right="321"/>
              <w:jc w:val="right"/>
              <w:rPr>
                <w:rFonts w:cs="Arial"/>
                <w:sz w:val="16"/>
                <w:szCs w:val="16"/>
              </w:rPr>
            </w:pPr>
            <w:r w:rsidRPr="00D934BE">
              <w:rPr>
                <w:rFonts w:cs="Arial"/>
                <w:sz w:val="16"/>
                <w:szCs w:val="16"/>
              </w:rPr>
              <w:t>0,2</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2.Centros Especiales de Empleo</w:t>
            </w:r>
          </w:p>
        </w:tc>
        <w:tc>
          <w:tcPr>
            <w:tcW w:w="2132" w:type="pct"/>
            <w:tcBorders>
              <w:top w:val="nil"/>
              <w:left w:val="single" w:sz="4" w:space="0" w:color="BFBFBF" w:themeColor="background1" w:themeShade="BF"/>
              <w:bottom w:val="nil"/>
              <w:right w:val="nil"/>
            </w:tcBorders>
            <w:vAlign w:val="center"/>
          </w:tcPr>
          <w:p w:rsidR="00B01F04" w:rsidRPr="00D934BE" w:rsidRDefault="00B01F04" w:rsidP="00D86960">
            <w:pPr>
              <w:widowControl w:val="0"/>
              <w:spacing w:line="240" w:lineRule="exact"/>
              <w:ind w:right="321"/>
              <w:jc w:val="right"/>
              <w:rPr>
                <w:rFonts w:cs="Arial"/>
                <w:sz w:val="16"/>
                <w:szCs w:val="16"/>
              </w:rPr>
            </w:pPr>
            <w:r w:rsidRPr="00D934BE">
              <w:rPr>
                <w:rFonts w:eastAsia="Times New Roman" w:cs="Arial"/>
                <w:color w:val="000000"/>
                <w:sz w:val="16"/>
                <w:szCs w:val="16"/>
                <w:lang w:eastAsia="es-ES"/>
              </w:rPr>
              <w:t>0,6</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3.Asociaciones de Utilidad Pública</w:t>
            </w:r>
          </w:p>
        </w:tc>
        <w:tc>
          <w:tcPr>
            <w:tcW w:w="2132" w:type="pct"/>
            <w:tcBorders>
              <w:top w:val="nil"/>
              <w:left w:val="single" w:sz="4" w:space="0" w:color="BFBFBF" w:themeColor="background1" w:themeShade="BF"/>
              <w:bottom w:val="nil"/>
              <w:right w:val="nil"/>
            </w:tcBorders>
            <w:vAlign w:val="center"/>
          </w:tcPr>
          <w:p w:rsidR="00B01F04" w:rsidRPr="00D934BE" w:rsidRDefault="00B01F04" w:rsidP="00D86960">
            <w:pPr>
              <w:widowControl w:val="0"/>
              <w:spacing w:line="240" w:lineRule="exact"/>
              <w:ind w:right="321"/>
              <w:jc w:val="right"/>
              <w:rPr>
                <w:rFonts w:cs="Arial"/>
                <w:sz w:val="16"/>
                <w:szCs w:val="16"/>
              </w:rPr>
            </w:pPr>
            <w:r w:rsidRPr="00D934BE">
              <w:rPr>
                <w:rFonts w:eastAsia="Times New Roman" w:cs="Arial"/>
                <w:color w:val="000000"/>
                <w:sz w:val="16"/>
                <w:szCs w:val="16"/>
                <w:lang w:eastAsia="es-ES"/>
              </w:rPr>
              <w:t>1,4</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4.Empresas de Inserción</w:t>
            </w:r>
          </w:p>
        </w:tc>
        <w:tc>
          <w:tcPr>
            <w:tcW w:w="2132" w:type="pct"/>
            <w:tcBorders>
              <w:top w:val="nil"/>
              <w:left w:val="single" w:sz="4" w:space="0" w:color="BFBFBF" w:themeColor="background1" w:themeShade="BF"/>
              <w:bottom w:val="nil"/>
              <w:right w:val="nil"/>
            </w:tcBorders>
            <w:vAlign w:val="center"/>
          </w:tcPr>
          <w:p w:rsidR="00B01F04" w:rsidRPr="00D934BE" w:rsidRDefault="00B01F04" w:rsidP="00D86960">
            <w:pPr>
              <w:widowControl w:val="0"/>
              <w:spacing w:line="240" w:lineRule="exact"/>
              <w:ind w:right="321"/>
              <w:jc w:val="right"/>
              <w:rPr>
                <w:rFonts w:cs="Arial"/>
                <w:sz w:val="16"/>
                <w:szCs w:val="16"/>
              </w:rPr>
            </w:pPr>
            <w:r w:rsidRPr="00D934BE">
              <w:rPr>
                <w:rFonts w:eastAsia="Times New Roman" w:cs="Arial"/>
                <w:color w:val="000000"/>
                <w:sz w:val="16"/>
                <w:szCs w:val="16"/>
                <w:lang w:eastAsia="es-ES"/>
              </w:rPr>
              <w:t>3,9</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5.SATs</w:t>
            </w:r>
          </w:p>
        </w:tc>
        <w:tc>
          <w:tcPr>
            <w:tcW w:w="2132" w:type="pct"/>
            <w:tcBorders>
              <w:top w:val="nil"/>
              <w:left w:val="single" w:sz="4" w:space="0" w:color="BFBFBF" w:themeColor="background1" w:themeShade="BF"/>
              <w:bottom w:val="nil"/>
              <w:right w:val="nil"/>
            </w:tcBorders>
            <w:vAlign w:val="center"/>
          </w:tcPr>
          <w:p w:rsidR="00B01F04" w:rsidRPr="00D934BE" w:rsidRDefault="00B01F04" w:rsidP="00D86960">
            <w:pPr>
              <w:widowControl w:val="0"/>
              <w:spacing w:line="240" w:lineRule="exact"/>
              <w:ind w:right="321"/>
              <w:jc w:val="right"/>
              <w:rPr>
                <w:rFonts w:cs="Arial"/>
                <w:sz w:val="16"/>
                <w:szCs w:val="16"/>
              </w:rPr>
            </w:pPr>
            <w:r w:rsidRPr="00D934BE">
              <w:rPr>
                <w:rFonts w:eastAsia="Times New Roman" w:cs="Arial"/>
                <w:color w:val="000000"/>
                <w:sz w:val="16"/>
                <w:szCs w:val="16"/>
                <w:lang w:eastAsia="es-ES"/>
              </w:rPr>
              <w:t>0,8</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6.Cofradías de Pescadores</w:t>
            </w:r>
          </w:p>
        </w:tc>
        <w:tc>
          <w:tcPr>
            <w:tcW w:w="2132" w:type="pct"/>
            <w:tcBorders>
              <w:top w:val="nil"/>
              <w:left w:val="single" w:sz="4" w:space="0" w:color="BFBFBF" w:themeColor="background1" w:themeShade="BF"/>
              <w:bottom w:val="nil"/>
              <w:right w:val="nil"/>
            </w:tcBorders>
            <w:vAlign w:val="center"/>
          </w:tcPr>
          <w:p w:rsidR="00B01F04" w:rsidRPr="00D934BE" w:rsidRDefault="00B01F04" w:rsidP="00D86960">
            <w:pPr>
              <w:widowControl w:val="0"/>
              <w:spacing w:line="240" w:lineRule="exact"/>
              <w:ind w:right="321"/>
              <w:jc w:val="right"/>
              <w:rPr>
                <w:rFonts w:cs="Arial"/>
                <w:sz w:val="16"/>
                <w:szCs w:val="16"/>
              </w:rPr>
            </w:pPr>
            <w:r w:rsidRPr="00D934BE">
              <w:rPr>
                <w:rFonts w:eastAsia="Times New Roman" w:cs="Arial"/>
                <w:color w:val="000000"/>
                <w:sz w:val="16"/>
                <w:szCs w:val="16"/>
                <w:lang w:eastAsia="es-ES"/>
              </w:rPr>
              <w:t>1,3</w:t>
            </w:r>
          </w:p>
        </w:tc>
      </w:tr>
      <w:tr w:rsidR="00B01F04" w:rsidRPr="00E95A1F" w:rsidTr="00D86960">
        <w:trPr>
          <w:jc w:val="center"/>
        </w:trPr>
        <w:tc>
          <w:tcPr>
            <w:tcW w:w="2868" w:type="pct"/>
            <w:tcBorders>
              <w:top w:val="nil"/>
              <w:bottom w:val="single" w:sz="4" w:space="0" w:color="BFBFBF" w:themeColor="background1" w:themeShade="BF"/>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7.EPSVs*</w:t>
            </w:r>
          </w:p>
        </w:tc>
        <w:tc>
          <w:tcPr>
            <w:tcW w:w="2132" w:type="pct"/>
            <w:tcBorders>
              <w:top w:val="nil"/>
              <w:left w:val="single" w:sz="4" w:space="0" w:color="BFBFBF" w:themeColor="background1" w:themeShade="BF"/>
              <w:bottom w:val="single" w:sz="4" w:space="0" w:color="BFBFBF" w:themeColor="background1" w:themeShade="BF"/>
              <w:right w:val="nil"/>
            </w:tcBorders>
            <w:vAlign w:val="center"/>
          </w:tcPr>
          <w:p w:rsidR="00B01F04" w:rsidRPr="00D934BE" w:rsidRDefault="00B01F04" w:rsidP="00D86960">
            <w:pPr>
              <w:widowControl w:val="0"/>
              <w:spacing w:line="240" w:lineRule="exact"/>
              <w:ind w:right="321"/>
              <w:jc w:val="right"/>
              <w:rPr>
                <w:rFonts w:cs="Arial"/>
                <w:sz w:val="16"/>
                <w:szCs w:val="16"/>
              </w:rPr>
            </w:pPr>
            <w:proofErr w:type="spellStart"/>
            <w:r w:rsidRPr="00D934BE">
              <w:rPr>
                <w:rFonts w:cs="Arial"/>
                <w:sz w:val="16"/>
                <w:szCs w:val="16"/>
              </w:rPr>
              <w:t>n.p</w:t>
            </w:r>
            <w:proofErr w:type="spellEnd"/>
            <w:r w:rsidRPr="00D934BE">
              <w:rPr>
                <w:rFonts w:cs="Arial"/>
                <w:sz w:val="16"/>
                <w:szCs w:val="16"/>
              </w:rPr>
              <w:t>.</w:t>
            </w:r>
          </w:p>
        </w:tc>
      </w:tr>
      <w:tr w:rsidR="00B01F04" w:rsidRPr="006209F1" w:rsidTr="00D86960">
        <w:trPr>
          <w:jc w:val="center"/>
        </w:trPr>
        <w:tc>
          <w:tcPr>
            <w:tcW w:w="286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01F04" w:rsidRPr="00D934BE" w:rsidRDefault="00B01F04" w:rsidP="00D86960">
            <w:pPr>
              <w:widowControl w:val="0"/>
              <w:spacing w:line="240" w:lineRule="exact"/>
              <w:rPr>
                <w:b/>
                <w:sz w:val="16"/>
                <w:szCs w:val="16"/>
              </w:rPr>
            </w:pPr>
            <w:r w:rsidRPr="00D934BE">
              <w:rPr>
                <w:b/>
                <w:sz w:val="16"/>
                <w:szCs w:val="16"/>
              </w:rPr>
              <w:t>TOTAL</w:t>
            </w:r>
          </w:p>
        </w:tc>
        <w:tc>
          <w:tcPr>
            <w:tcW w:w="21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rsidR="00B01F04" w:rsidRPr="00D934BE" w:rsidRDefault="00B01F04" w:rsidP="00D86960">
            <w:pPr>
              <w:widowControl w:val="0"/>
              <w:spacing w:line="240" w:lineRule="exact"/>
              <w:ind w:right="321"/>
              <w:jc w:val="right"/>
              <w:rPr>
                <w:b/>
                <w:sz w:val="16"/>
                <w:szCs w:val="16"/>
              </w:rPr>
            </w:pPr>
            <w:r w:rsidRPr="00D934BE">
              <w:rPr>
                <w:b/>
                <w:sz w:val="16"/>
                <w:szCs w:val="16"/>
              </w:rPr>
              <w:t>1,2</w:t>
            </w:r>
          </w:p>
        </w:tc>
      </w:tr>
    </w:tbl>
    <w:p w:rsidR="00B01F04" w:rsidRPr="0088597F" w:rsidRDefault="00B01F04" w:rsidP="00B01F04">
      <w:pPr>
        <w:spacing w:line="240" w:lineRule="auto"/>
        <w:rPr>
          <w:rFonts w:cs="Arial"/>
          <w:i/>
          <w:sz w:val="16"/>
          <w:szCs w:val="16"/>
        </w:rPr>
      </w:pPr>
      <w:r w:rsidRPr="0088597F">
        <w:rPr>
          <w:rFonts w:cs="Arial"/>
          <w:i/>
          <w:sz w:val="16"/>
          <w:szCs w:val="16"/>
        </w:rPr>
        <w:t>*</w:t>
      </w:r>
      <w:r w:rsidRPr="00B27F35">
        <w:rPr>
          <w:rFonts w:cs="Arial"/>
          <w:i/>
          <w:sz w:val="16"/>
          <w:szCs w:val="16"/>
        </w:rPr>
        <w:t xml:space="preserve"> </w:t>
      </w:r>
      <w:r w:rsidRPr="0088597F">
        <w:rPr>
          <w:rFonts w:cs="Arial"/>
          <w:i/>
          <w:sz w:val="16"/>
          <w:szCs w:val="16"/>
        </w:rPr>
        <w:t xml:space="preserve">Fuente: </w:t>
      </w:r>
      <w:r>
        <w:rPr>
          <w:rFonts w:cs="Arial"/>
          <w:i/>
          <w:sz w:val="16"/>
          <w:szCs w:val="16"/>
        </w:rPr>
        <w:t xml:space="preserve">Informe nº 19 Balance agregado </w:t>
      </w:r>
      <w:proofErr w:type="spellStart"/>
      <w:r>
        <w:rPr>
          <w:rFonts w:cs="Arial"/>
          <w:i/>
          <w:sz w:val="16"/>
          <w:szCs w:val="16"/>
        </w:rPr>
        <w:t>EPSVs</w:t>
      </w:r>
      <w:proofErr w:type="spellEnd"/>
      <w:r>
        <w:rPr>
          <w:rFonts w:cs="Arial"/>
          <w:i/>
          <w:sz w:val="16"/>
          <w:szCs w:val="16"/>
        </w:rPr>
        <w:t xml:space="preserve">, </w:t>
      </w:r>
      <w:r w:rsidRPr="0088597F">
        <w:rPr>
          <w:rFonts w:cs="Arial"/>
          <w:i/>
          <w:sz w:val="16"/>
          <w:szCs w:val="16"/>
        </w:rPr>
        <w:t>IV Trimestre de 2014</w:t>
      </w:r>
      <w:r>
        <w:rPr>
          <w:rFonts w:cs="Arial"/>
          <w:i/>
          <w:sz w:val="16"/>
          <w:szCs w:val="16"/>
        </w:rPr>
        <w:t>,</w:t>
      </w:r>
      <w:r w:rsidRPr="0088597F">
        <w:rPr>
          <w:rFonts w:cs="Arial"/>
          <w:i/>
          <w:sz w:val="16"/>
          <w:szCs w:val="16"/>
        </w:rPr>
        <w:t xml:space="preserve"> Departamento de Hacienda y Finanzas. Dirección de Política Financ</w:t>
      </w:r>
      <w:r>
        <w:rPr>
          <w:rFonts w:cs="Arial"/>
          <w:i/>
          <w:sz w:val="16"/>
          <w:szCs w:val="16"/>
        </w:rPr>
        <w:t>iera y Recursos Institucionales.</w:t>
      </w:r>
    </w:p>
    <w:p w:rsidR="00B01F04" w:rsidRDefault="00B01F04" w:rsidP="00B01F04">
      <w:pPr>
        <w:widowControl w:val="0"/>
        <w:spacing w:line="240" w:lineRule="auto"/>
        <w:jc w:val="center"/>
        <w:rPr>
          <w:rFonts w:cs="Arial"/>
          <w:b/>
          <w:color w:val="1F497D" w:themeColor="text2"/>
          <w:sz w:val="18"/>
          <w:szCs w:val="18"/>
          <w:highlight w:val="yellow"/>
        </w:rPr>
      </w:pPr>
    </w:p>
    <w:p w:rsidR="00B01F04" w:rsidRDefault="00B01F04" w:rsidP="00B01F04">
      <w:pPr>
        <w:widowControl w:val="0"/>
        <w:spacing w:line="240" w:lineRule="auto"/>
        <w:jc w:val="center"/>
        <w:rPr>
          <w:rFonts w:cs="Arial"/>
          <w:b/>
          <w:color w:val="1F497D" w:themeColor="text2"/>
          <w:sz w:val="18"/>
          <w:szCs w:val="18"/>
          <w:highlight w:val="yellow"/>
        </w:rPr>
      </w:pPr>
    </w:p>
    <w:p w:rsidR="00B01F04" w:rsidRPr="00A25CF2" w:rsidRDefault="00B01F04" w:rsidP="00A25CF2">
      <w:pPr>
        <w:pStyle w:val="Ttulo1"/>
        <w:ind w:left="708" w:hanging="708"/>
        <w:rPr>
          <w:color w:val="1F497D" w:themeColor="text2"/>
          <w:sz w:val="22"/>
          <w:szCs w:val="22"/>
        </w:rPr>
      </w:pPr>
      <w:bookmarkStart w:id="432" w:name="_Toc450118944"/>
      <w:r w:rsidRPr="00A25CF2">
        <w:rPr>
          <w:color w:val="1F497D" w:themeColor="text2"/>
          <w:sz w:val="22"/>
          <w:szCs w:val="22"/>
        </w:rPr>
        <w:t>1.</w:t>
      </w:r>
      <w:r w:rsidR="00A25CF2">
        <w:rPr>
          <w:color w:val="1F497D" w:themeColor="text2"/>
          <w:sz w:val="22"/>
          <w:szCs w:val="22"/>
        </w:rPr>
        <w:t>4</w:t>
      </w:r>
      <w:r w:rsidRPr="00A25CF2">
        <w:rPr>
          <w:color w:val="1F497D" w:themeColor="text2"/>
          <w:sz w:val="22"/>
          <w:szCs w:val="22"/>
        </w:rPr>
        <w:t>.2.- La inversión de las empresas de las NFES</w:t>
      </w:r>
      <w:bookmarkEnd w:id="432"/>
      <w:r w:rsidRPr="00A25CF2">
        <w:rPr>
          <w:color w:val="1F497D" w:themeColor="text2"/>
          <w:sz w:val="22"/>
          <w:szCs w:val="22"/>
        </w:rPr>
        <w:t xml:space="preserve"> </w:t>
      </w:r>
    </w:p>
    <w:p w:rsidR="00B01F04" w:rsidRDefault="00B01F04" w:rsidP="00B01F04">
      <w:pPr>
        <w:spacing w:line="240" w:lineRule="auto"/>
        <w:jc w:val="left"/>
        <w:rPr>
          <w:rFonts w:cs="Arial"/>
        </w:rPr>
      </w:pPr>
    </w:p>
    <w:p w:rsidR="00B01F04" w:rsidRPr="007B40EA" w:rsidRDefault="00B01F04" w:rsidP="00B01F04">
      <w:pPr>
        <w:pStyle w:val="Prrafodelista"/>
        <w:widowControl w:val="0"/>
        <w:numPr>
          <w:ilvl w:val="0"/>
          <w:numId w:val="12"/>
        </w:numPr>
        <w:spacing w:after="0" w:line="240" w:lineRule="auto"/>
        <w:jc w:val="left"/>
        <w:rPr>
          <w:rFonts w:cs="Arial"/>
          <w:b/>
          <w:color w:val="1F497D" w:themeColor="text2"/>
        </w:rPr>
      </w:pPr>
      <w:r w:rsidRPr="007B40EA">
        <w:rPr>
          <w:rFonts w:cs="Arial"/>
          <w:b/>
          <w:color w:val="1F497D" w:themeColor="text2"/>
        </w:rPr>
        <w:t xml:space="preserve">Inversión en Inmovilizado Material </w:t>
      </w:r>
    </w:p>
    <w:p w:rsidR="00B01F04" w:rsidRDefault="00B01F04" w:rsidP="00B01F04">
      <w:pPr>
        <w:spacing w:line="240" w:lineRule="auto"/>
        <w:rPr>
          <w:rFonts w:eastAsia="Times New Roman" w:cs="Times New Roman"/>
          <w:b/>
          <w:snapToGrid w:val="0"/>
          <w:color w:val="1F497D" w:themeColor="text2"/>
          <w:lang w:eastAsia="es-ES"/>
        </w:rPr>
      </w:pPr>
    </w:p>
    <w:p w:rsidR="00B01F04" w:rsidRDefault="00A67658" w:rsidP="00B01F04">
      <w:pPr>
        <w:widowControl w:val="0"/>
        <w:spacing w:line="240" w:lineRule="auto"/>
        <w:jc w:val="center"/>
        <w:rPr>
          <w:rFonts w:cs="Arial"/>
          <w:b/>
          <w:color w:val="1F497D" w:themeColor="text2"/>
          <w:sz w:val="18"/>
          <w:szCs w:val="18"/>
        </w:rPr>
      </w:pPr>
      <w:bookmarkStart w:id="433" w:name="_Toc445380999"/>
      <w:bookmarkStart w:id="434" w:name="_Toc450119851"/>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26</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sidRPr="00933322">
        <w:rPr>
          <w:rFonts w:cs="Arial"/>
          <w:b/>
          <w:color w:val="1F497D" w:themeColor="text2"/>
          <w:sz w:val="18"/>
          <w:szCs w:val="18"/>
        </w:rPr>
        <w:t xml:space="preserve">DISTRIBUCIÓN </w:t>
      </w:r>
      <w:r w:rsidR="00B01F04">
        <w:rPr>
          <w:rFonts w:cs="Arial"/>
          <w:b/>
          <w:color w:val="1F497D" w:themeColor="text2"/>
          <w:sz w:val="18"/>
          <w:szCs w:val="18"/>
        </w:rPr>
        <w:t xml:space="preserve">POR TIPO DE ENTIDAD </w:t>
      </w:r>
      <w:r w:rsidR="00B01F04" w:rsidRPr="00933322">
        <w:rPr>
          <w:rFonts w:cs="Arial"/>
          <w:b/>
          <w:color w:val="1F497D" w:themeColor="text2"/>
          <w:sz w:val="18"/>
          <w:szCs w:val="18"/>
        </w:rPr>
        <w:t>DE LAS INVERSI</w:t>
      </w:r>
      <w:r w:rsidR="00B01F04">
        <w:rPr>
          <w:rFonts w:cs="Arial"/>
          <w:b/>
          <w:color w:val="1F497D" w:themeColor="text2"/>
          <w:sz w:val="18"/>
          <w:szCs w:val="18"/>
        </w:rPr>
        <w:t>ONES MATERIALES NFES. 2014</w:t>
      </w:r>
      <w:r w:rsidR="00B01F04" w:rsidRPr="00933322">
        <w:rPr>
          <w:rFonts w:cs="Arial"/>
          <w:b/>
          <w:color w:val="1F497D" w:themeColor="text2"/>
          <w:sz w:val="18"/>
          <w:szCs w:val="18"/>
        </w:rPr>
        <w:t xml:space="preserve"> (</w:t>
      </w:r>
      <w:r w:rsidR="00B01F04">
        <w:rPr>
          <w:rFonts w:cs="Arial"/>
          <w:b/>
          <w:color w:val="1F497D" w:themeColor="text2"/>
          <w:sz w:val="18"/>
          <w:szCs w:val="18"/>
        </w:rPr>
        <w:t>cifras absolutas en Euros</w:t>
      </w:r>
      <w:r w:rsidR="00B01F04" w:rsidRPr="00933322">
        <w:rPr>
          <w:rFonts w:cs="Arial"/>
          <w:b/>
          <w:color w:val="1F497D" w:themeColor="text2"/>
          <w:sz w:val="18"/>
          <w:szCs w:val="18"/>
        </w:rPr>
        <w:t xml:space="preserve"> y </w:t>
      </w:r>
      <w:r w:rsidR="00B01F04">
        <w:rPr>
          <w:rFonts w:cs="Arial"/>
          <w:b/>
          <w:color w:val="1F497D" w:themeColor="text2"/>
          <w:sz w:val="18"/>
          <w:szCs w:val="18"/>
        </w:rPr>
        <w:t>% verticales</w:t>
      </w:r>
      <w:r w:rsidR="00B01F04" w:rsidRPr="00933322">
        <w:rPr>
          <w:rFonts w:cs="Arial"/>
          <w:b/>
          <w:color w:val="1F497D" w:themeColor="text2"/>
          <w:sz w:val="18"/>
          <w:szCs w:val="18"/>
        </w:rPr>
        <w:t>)</w:t>
      </w:r>
      <w:bookmarkEnd w:id="433"/>
      <w:bookmarkEnd w:id="434"/>
      <w:r w:rsidR="00B01F04" w:rsidRPr="00933322">
        <w:rPr>
          <w:rFonts w:cs="Arial"/>
          <w:b/>
          <w:color w:val="1F497D" w:themeColor="text2"/>
          <w:sz w:val="18"/>
          <w:szCs w:val="18"/>
        </w:rPr>
        <w:t xml:space="preserve"> </w:t>
      </w:r>
    </w:p>
    <w:tbl>
      <w:tblPr>
        <w:tblW w:w="9648" w:type="dxa"/>
        <w:jc w:val="center"/>
        <w:tblInd w:w="292" w:type="dxa"/>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534"/>
        <w:gridCol w:w="2057"/>
        <w:gridCol w:w="2057"/>
      </w:tblGrid>
      <w:tr w:rsidR="00B01F04" w:rsidRPr="00E95A1F" w:rsidTr="00D86960">
        <w:trPr>
          <w:jc w:val="center"/>
        </w:trPr>
        <w:tc>
          <w:tcPr>
            <w:tcW w:w="2868"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B01F04" w:rsidRPr="00E95A1F" w:rsidRDefault="00B01F04" w:rsidP="00D86960">
            <w:pPr>
              <w:widowControl w:val="0"/>
              <w:spacing w:line="240" w:lineRule="exact"/>
              <w:rPr>
                <w:rFonts w:cs="Arial"/>
                <w:b/>
                <w:sz w:val="16"/>
                <w:szCs w:val="16"/>
              </w:rPr>
            </w:pPr>
          </w:p>
        </w:tc>
        <w:tc>
          <w:tcPr>
            <w:tcW w:w="213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B01F04" w:rsidRPr="00E95A1F" w:rsidRDefault="00B01F04" w:rsidP="00D86960">
            <w:pPr>
              <w:widowControl w:val="0"/>
              <w:spacing w:line="240" w:lineRule="exact"/>
              <w:jc w:val="center"/>
              <w:rPr>
                <w:rFonts w:cs="Arial"/>
                <w:b/>
                <w:sz w:val="16"/>
                <w:szCs w:val="16"/>
              </w:rPr>
            </w:pPr>
            <w:r>
              <w:rPr>
                <w:rFonts w:cs="Arial"/>
                <w:b/>
                <w:sz w:val="16"/>
                <w:szCs w:val="16"/>
              </w:rPr>
              <w:t>Inversiones materiales</w:t>
            </w:r>
            <w:r>
              <w:rPr>
                <w:rStyle w:val="Refdenotaalpie"/>
                <w:rFonts w:cs="Arial"/>
                <w:b/>
                <w:sz w:val="16"/>
                <w:szCs w:val="16"/>
              </w:rPr>
              <w:footnoteReference w:id="18"/>
            </w:r>
          </w:p>
        </w:tc>
      </w:tr>
      <w:tr w:rsidR="00B01F04" w:rsidRPr="00E95A1F" w:rsidTr="00D86960">
        <w:trPr>
          <w:jc w:val="center"/>
        </w:trPr>
        <w:tc>
          <w:tcPr>
            <w:tcW w:w="2868"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E95A1F" w:rsidRDefault="00B01F04" w:rsidP="00D86960">
            <w:pPr>
              <w:widowControl w:val="0"/>
              <w:spacing w:line="240" w:lineRule="exact"/>
              <w:rPr>
                <w:rFonts w:cs="Arial"/>
                <w:b/>
                <w:sz w:val="16"/>
                <w:szCs w:val="16"/>
              </w:rPr>
            </w:pP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B01F04" w:rsidRPr="00E95A1F" w:rsidRDefault="00B01F04" w:rsidP="00D86960">
            <w:pPr>
              <w:widowControl w:val="0"/>
              <w:spacing w:line="240" w:lineRule="exact"/>
              <w:ind w:right="248"/>
              <w:jc w:val="center"/>
              <w:rPr>
                <w:rFonts w:cs="Arial"/>
                <w:b/>
                <w:sz w:val="16"/>
                <w:szCs w:val="16"/>
              </w:rPr>
            </w:pPr>
            <w:proofErr w:type="spellStart"/>
            <w:r>
              <w:rPr>
                <w:rFonts w:cs="Arial"/>
                <w:b/>
                <w:sz w:val="16"/>
                <w:szCs w:val="16"/>
              </w:rPr>
              <w:t>Abs</w:t>
            </w:r>
            <w:proofErr w:type="spellEnd"/>
            <w:r>
              <w:rPr>
                <w:rFonts w:cs="Arial"/>
                <w:b/>
                <w:sz w:val="16"/>
                <w:szCs w:val="16"/>
              </w:rPr>
              <w:t>.</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B01F04" w:rsidRPr="00E95A1F" w:rsidRDefault="00B01F04" w:rsidP="00D86960">
            <w:pPr>
              <w:widowControl w:val="0"/>
              <w:spacing w:line="240" w:lineRule="exact"/>
              <w:ind w:right="248"/>
              <w:jc w:val="center"/>
              <w:rPr>
                <w:rFonts w:cs="Arial"/>
                <w:b/>
                <w:sz w:val="16"/>
                <w:szCs w:val="16"/>
              </w:rPr>
            </w:pPr>
            <w:r>
              <w:rPr>
                <w:rFonts w:cs="Arial"/>
                <w:b/>
                <w:sz w:val="16"/>
                <w:szCs w:val="16"/>
              </w:rPr>
              <w:t>% ver.</w:t>
            </w:r>
          </w:p>
        </w:tc>
      </w:tr>
      <w:tr w:rsidR="00B01F04" w:rsidRPr="00E95A1F" w:rsidTr="00D86960">
        <w:trPr>
          <w:jc w:val="center"/>
        </w:trPr>
        <w:tc>
          <w:tcPr>
            <w:tcW w:w="2868" w:type="pct"/>
            <w:tcBorders>
              <w:top w:val="single" w:sz="4" w:space="0" w:color="BFBFBF" w:themeColor="background1" w:themeShade="BF"/>
              <w:bottom w:val="nil"/>
              <w:right w:val="single" w:sz="4" w:space="0" w:color="BFBFBF" w:themeColor="background1" w:themeShade="BF"/>
            </w:tcBorders>
          </w:tcPr>
          <w:p w:rsidR="00B01F04" w:rsidRPr="00947001" w:rsidRDefault="00B01F04" w:rsidP="00D86960">
            <w:pPr>
              <w:spacing w:line="240" w:lineRule="exact"/>
              <w:rPr>
                <w:rFonts w:eastAsia="Times New Roman" w:cs="Arial"/>
                <w:color w:val="000000"/>
                <w:sz w:val="16"/>
                <w:szCs w:val="16"/>
                <w:lang w:eastAsia="es-ES"/>
              </w:rPr>
            </w:pPr>
            <w:r w:rsidRPr="00947001">
              <w:rPr>
                <w:rFonts w:eastAsia="Times New Roman" w:cs="Arial"/>
                <w:color w:val="000000"/>
                <w:sz w:val="16"/>
                <w:szCs w:val="16"/>
                <w:lang w:eastAsia="es-ES"/>
              </w:rPr>
              <w:t>1.Fundaciones</w:t>
            </w:r>
          </w:p>
        </w:tc>
        <w:tc>
          <w:tcPr>
            <w:tcW w:w="1066" w:type="pct"/>
            <w:tcBorders>
              <w:top w:val="single" w:sz="4" w:space="0" w:color="BFBFBF" w:themeColor="background1" w:themeShade="BF"/>
              <w:left w:val="single" w:sz="4" w:space="0" w:color="BFBFBF" w:themeColor="background1" w:themeShade="BF"/>
              <w:bottom w:val="nil"/>
              <w:right w:val="nil"/>
            </w:tcBorders>
            <w:vAlign w:val="center"/>
          </w:tcPr>
          <w:p w:rsidR="00B01F04" w:rsidRPr="00947001" w:rsidRDefault="00B01F04" w:rsidP="00D86960">
            <w:pPr>
              <w:spacing w:line="240" w:lineRule="exact"/>
              <w:ind w:right="248"/>
              <w:jc w:val="right"/>
              <w:rPr>
                <w:rFonts w:eastAsia="Times New Roman" w:cs="Arial"/>
                <w:color w:val="000000"/>
                <w:sz w:val="16"/>
                <w:szCs w:val="16"/>
                <w:lang w:eastAsia="es-ES"/>
              </w:rPr>
            </w:pPr>
            <w:r w:rsidRPr="00947001">
              <w:rPr>
                <w:rFonts w:eastAsia="Times New Roman" w:cs="Arial"/>
                <w:color w:val="000000"/>
                <w:sz w:val="16"/>
                <w:szCs w:val="16"/>
                <w:lang w:eastAsia="es-ES"/>
              </w:rPr>
              <w:t>-9.745.316</w:t>
            </w:r>
          </w:p>
        </w:tc>
        <w:tc>
          <w:tcPr>
            <w:tcW w:w="1066" w:type="pct"/>
            <w:tcBorders>
              <w:top w:val="single" w:sz="4" w:space="0" w:color="BFBFBF" w:themeColor="background1" w:themeShade="BF"/>
              <w:left w:val="single" w:sz="4" w:space="0" w:color="BFBFBF" w:themeColor="background1" w:themeShade="BF"/>
              <w:bottom w:val="nil"/>
              <w:right w:val="nil"/>
            </w:tcBorders>
            <w:vAlign w:val="center"/>
          </w:tcPr>
          <w:p w:rsidR="00B01F04" w:rsidRPr="00947001" w:rsidRDefault="00B01F04" w:rsidP="00D86960">
            <w:pPr>
              <w:spacing w:line="240" w:lineRule="exact"/>
              <w:ind w:right="248"/>
              <w:jc w:val="right"/>
              <w:rPr>
                <w:rFonts w:eastAsia="Times New Roman" w:cs="Arial"/>
                <w:color w:val="000000"/>
                <w:sz w:val="16"/>
                <w:szCs w:val="16"/>
                <w:lang w:eastAsia="es-ES"/>
              </w:rPr>
            </w:pPr>
            <w:r w:rsidRPr="00947001">
              <w:rPr>
                <w:rFonts w:eastAsia="Times New Roman" w:cs="Arial"/>
                <w:color w:val="000000"/>
                <w:sz w:val="16"/>
                <w:szCs w:val="16"/>
                <w:lang w:eastAsia="es-ES"/>
              </w:rPr>
              <w:t>521,3</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947001" w:rsidRDefault="00B01F04" w:rsidP="00D86960">
            <w:pPr>
              <w:spacing w:line="240" w:lineRule="exact"/>
              <w:rPr>
                <w:rFonts w:eastAsia="Times New Roman" w:cs="Arial"/>
                <w:color w:val="000000"/>
                <w:sz w:val="16"/>
                <w:szCs w:val="16"/>
                <w:lang w:eastAsia="es-ES"/>
              </w:rPr>
            </w:pPr>
            <w:r w:rsidRPr="00947001">
              <w:rPr>
                <w:rFonts w:eastAsia="Times New Roman" w:cs="Arial"/>
                <w:color w:val="000000"/>
                <w:sz w:val="16"/>
                <w:szCs w:val="16"/>
                <w:lang w:eastAsia="es-ES"/>
              </w:rPr>
              <w:t>2.Centros Especiales de Empleo</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widowControl w:val="0"/>
              <w:spacing w:line="240" w:lineRule="exact"/>
              <w:ind w:right="248"/>
              <w:jc w:val="right"/>
              <w:rPr>
                <w:rFonts w:cs="Arial"/>
                <w:sz w:val="16"/>
                <w:szCs w:val="16"/>
              </w:rPr>
            </w:pPr>
            <w:r w:rsidRPr="00947001">
              <w:rPr>
                <w:rFonts w:cs="Arial"/>
                <w:sz w:val="16"/>
                <w:szCs w:val="16"/>
              </w:rPr>
              <w:t>4.465.594</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widowControl w:val="0"/>
              <w:spacing w:line="240" w:lineRule="exact"/>
              <w:ind w:right="248"/>
              <w:jc w:val="right"/>
              <w:rPr>
                <w:rFonts w:cs="Arial"/>
                <w:sz w:val="16"/>
                <w:szCs w:val="16"/>
              </w:rPr>
            </w:pPr>
            <w:r w:rsidRPr="00947001">
              <w:rPr>
                <w:rFonts w:cs="Arial"/>
                <w:sz w:val="16"/>
                <w:szCs w:val="16"/>
              </w:rPr>
              <w:t>-238,9</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947001" w:rsidRDefault="00B01F04" w:rsidP="00D86960">
            <w:pPr>
              <w:spacing w:line="240" w:lineRule="exact"/>
              <w:rPr>
                <w:rFonts w:eastAsia="Times New Roman" w:cs="Arial"/>
                <w:color w:val="000000"/>
                <w:sz w:val="16"/>
                <w:szCs w:val="16"/>
                <w:lang w:eastAsia="es-ES"/>
              </w:rPr>
            </w:pPr>
            <w:r w:rsidRPr="00947001">
              <w:rPr>
                <w:rFonts w:eastAsia="Times New Roman" w:cs="Arial"/>
                <w:color w:val="000000"/>
                <w:sz w:val="16"/>
                <w:szCs w:val="16"/>
                <w:lang w:eastAsia="es-ES"/>
              </w:rPr>
              <w:t>3.Asociaciones de Utilidad Pública</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spacing w:line="240" w:lineRule="exact"/>
              <w:ind w:right="248"/>
              <w:jc w:val="right"/>
              <w:rPr>
                <w:rFonts w:eastAsia="Times New Roman" w:cs="Arial"/>
                <w:color w:val="000000"/>
                <w:sz w:val="16"/>
                <w:szCs w:val="16"/>
                <w:lang w:eastAsia="es-ES"/>
              </w:rPr>
            </w:pPr>
            <w:r w:rsidRPr="00947001">
              <w:rPr>
                <w:rFonts w:eastAsia="Times New Roman" w:cs="Arial"/>
                <w:color w:val="000000"/>
                <w:sz w:val="16"/>
                <w:szCs w:val="16"/>
                <w:lang w:eastAsia="es-ES"/>
              </w:rPr>
              <w:t>2.227.613</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spacing w:line="240" w:lineRule="exact"/>
              <w:ind w:right="248"/>
              <w:jc w:val="right"/>
              <w:rPr>
                <w:rFonts w:eastAsia="Times New Roman" w:cs="Arial"/>
                <w:color w:val="000000"/>
                <w:sz w:val="16"/>
                <w:szCs w:val="16"/>
                <w:lang w:eastAsia="es-ES"/>
              </w:rPr>
            </w:pPr>
            <w:r>
              <w:rPr>
                <w:rFonts w:eastAsia="Times New Roman" w:cs="Arial"/>
                <w:color w:val="000000"/>
                <w:sz w:val="16"/>
                <w:szCs w:val="16"/>
                <w:lang w:eastAsia="es-ES"/>
              </w:rPr>
              <w:t>-119,2</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947001" w:rsidRDefault="00B01F04" w:rsidP="00D86960">
            <w:pPr>
              <w:spacing w:line="240" w:lineRule="exact"/>
              <w:rPr>
                <w:rFonts w:eastAsia="Times New Roman" w:cs="Arial"/>
                <w:color w:val="000000"/>
                <w:sz w:val="16"/>
                <w:szCs w:val="16"/>
                <w:lang w:eastAsia="es-ES"/>
              </w:rPr>
            </w:pPr>
            <w:r w:rsidRPr="00947001">
              <w:rPr>
                <w:rFonts w:eastAsia="Times New Roman" w:cs="Arial"/>
                <w:color w:val="000000"/>
                <w:sz w:val="16"/>
                <w:szCs w:val="16"/>
                <w:lang w:eastAsia="es-ES"/>
              </w:rPr>
              <w:t>4.Empresas de Inserción</w:t>
            </w:r>
          </w:p>
        </w:tc>
        <w:tc>
          <w:tcPr>
            <w:tcW w:w="1066" w:type="pct"/>
            <w:tcBorders>
              <w:top w:val="nil"/>
              <w:left w:val="single" w:sz="4" w:space="0" w:color="BFBFBF" w:themeColor="background1" w:themeShade="BF"/>
              <w:bottom w:val="nil"/>
              <w:right w:val="nil"/>
            </w:tcBorders>
            <w:vAlign w:val="center"/>
          </w:tcPr>
          <w:p w:rsidR="00B01F04" w:rsidRPr="007B40EA" w:rsidRDefault="00B01F04" w:rsidP="00D86960">
            <w:pPr>
              <w:widowControl w:val="0"/>
              <w:spacing w:line="240" w:lineRule="exact"/>
              <w:ind w:right="248"/>
              <w:jc w:val="right"/>
              <w:rPr>
                <w:rFonts w:cs="Arial"/>
                <w:sz w:val="16"/>
                <w:szCs w:val="16"/>
              </w:rPr>
            </w:pPr>
            <w:r w:rsidRPr="007B40EA">
              <w:rPr>
                <w:rFonts w:cs="Arial"/>
                <w:sz w:val="16"/>
                <w:szCs w:val="16"/>
              </w:rPr>
              <w:t>-146.402</w:t>
            </w:r>
          </w:p>
        </w:tc>
        <w:tc>
          <w:tcPr>
            <w:tcW w:w="1066" w:type="pct"/>
            <w:tcBorders>
              <w:top w:val="nil"/>
              <w:left w:val="single" w:sz="4" w:space="0" w:color="BFBFBF" w:themeColor="background1" w:themeShade="BF"/>
              <w:bottom w:val="nil"/>
              <w:right w:val="nil"/>
            </w:tcBorders>
            <w:vAlign w:val="center"/>
          </w:tcPr>
          <w:p w:rsidR="00B01F04" w:rsidRPr="007B40EA" w:rsidRDefault="00B01F04" w:rsidP="00D86960">
            <w:pPr>
              <w:widowControl w:val="0"/>
              <w:spacing w:line="240" w:lineRule="exact"/>
              <w:ind w:right="248"/>
              <w:jc w:val="right"/>
              <w:rPr>
                <w:rFonts w:cs="Arial"/>
                <w:sz w:val="16"/>
                <w:szCs w:val="16"/>
              </w:rPr>
            </w:pPr>
            <w:r w:rsidRPr="007B40EA">
              <w:rPr>
                <w:rFonts w:cs="Arial"/>
                <w:sz w:val="16"/>
                <w:szCs w:val="16"/>
              </w:rPr>
              <w:t>7,8</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947001" w:rsidRDefault="00B01F04" w:rsidP="00D86960">
            <w:pPr>
              <w:spacing w:line="240" w:lineRule="exact"/>
              <w:rPr>
                <w:rFonts w:eastAsia="Times New Roman" w:cs="Arial"/>
                <w:color w:val="000000"/>
                <w:sz w:val="16"/>
                <w:szCs w:val="16"/>
                <w:lang w:eastAsia="es-ES"/>
              </w:rPr>
            </w:pPr>
            <w:r w:rsidRPr="00947001">
              <w:rPr>
                <w:rFonts w:eastAsia="Times New Roman" w:cs="Arial"/>
                <w:color w:val="000000"/>
                <w:sz w:val="16"/>
                <w:szCs w:val="16"/>
                <w:lang w:eastAsia="es-ES"/>
              </w:rPr>
              <w:t>5.SATs</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widowControl w:val="0"/>
              <w:spacing w:line="240" w:lineRule="exact"/>
              <w:ind w:right="248"/>
              <w:jc w:val="right"/>
              <w:rPr>
                <w:rFonts w:cs="Arial"/>
                <w:sz w:val="16"/>
                <w:szCs w:val="16"/>
              </w:rPr>
            </w:pPr>
            <w:r w:rsidRPr="00947001">
              <w:rPr>
                <w:rFonts w:cs="Arial"/>
                <w:sz w:val="16"/>
                <w:szCs w:val="16"/>
              </w:rPr>
              <w:t>1.757.320</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widowControl w:val="0"/>
              <w:spacing w:line="240" w:lineRule="exact"/>
              <w:ind w:right="248"/>
              <w:jc w:val="right"/>
              <w:rPr>
                <w:rFonts w:cs="Arial"/>
                <w:sz w:val="16"/>
                <w:szCs w:val="16"/>
              </w:rPr>
            </w:pPr>
            <w:r>
              <w:rPr>
                <w:rFonts w:cs="Arial"/>
                <w:sz w:val="16"/>
                <w:szCs w:val="16"/>
              </w:rPr>
              <w:t>-94,0</w:t>
            </w:r>
          </w:p>
        </w:tc>
      </w:tr>
      <w:tr w:rsidR="00B01F04" w:rsidRPr="00E95A1F" w:rsidTr="00D86960">
        <w:trPr>
          <w:jc w:val="center"/>
        </w:trPr>
        <w:tc>
          <w:tcPr>
            <w:tcW w:w="2868" w:type="pct"/>
            <w:tcBorders>
              <w:top w:val="nil"/>
              <w:bottom w:val="nil"/>
              <w:right w:val="single" w:sz="4" w:space="0" w:color="BFBFBF" w:themeColor="background1" w:themeShade="BF"/>
            </w:tcBorders>
          </w:tcPr>
          <w:p w:rsidR="00B01F04" w:rsidRPr="00947001" w:rsidRDefault="00B01F04" w:rsidP="00D86960">
            <w:pPr>
              <w:spacing w:line="240" w:lineRule="exact"/>
              <w:rPr>
                <w:rFonts w:eastAsia="Times New Roman" w:cs="Arial"/>
                <w:color w:val="000000"/>
                <w:sz w:val="16"/>
                <w:szCs w:val="16"/>
                <w:lang w:eastAsia="es-ES"/>
              </w:rPr>
            </w:pPr>
            <w:r w:rsidRPr="00947001">
              <w:rPr>
                <w:rFonts w:eastAsia="Times New Roman" w:cs="Arial"/>
                <w:color w:val="000000"/>
                <w:sz w:val="16"/>
                <w:szCs w:val="16"/>
                <w:lang w:eastAsia="es-ES"/>
              </w:rPr>
              <w:t>6.Cofradías de Pescadores</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widowControl w:val="0"/>
              <w:spacing w:line="240" w:lineRule="exact"/>
              <w:ind w:right="248"/>
              <w:jc w:val="right"/>
              <w:rPr>
                <w:rFonts w:cs="Arial"/>
                <w:sz w:val="16"/>
                <w:szCs w:val="16"/>
              </w:rPr>
            </w:pPr>
            <w:r w:rsidRPr="00947001">
              <w:rPr>
                <w:rFonts w:cs="Arial"/>
                <w:sz w:val="16"/>
                <w:szCs w:val="16"/>
              </w:rPr>
              <w:t>-428.285</w:t>
            </w:r>
          </w:p>
        </w:tc>
        <w:tc>
          <w:tcPr>
            <w:tcW w:w="1066" w:type="pct"/>
            <w:tcBorders>
              <w:top w:val="nil"/>
              <w:left w:val="single" w:sz="4" w:space="0" w:color="BFBFBF" w:themeColor="background1" w:themeShade="BF"/>
              <w:bottom w:val="nil"/>
              <w:right w:val="nil"/>
            </w:tcBorders>
            <w:vAlign w:val="center"/>
          </w:tcPr>
          <w:p w:rsidR="00B01F04" w:rsidRPr="00947001" w:rsidRDefault="00B01F04" w:rsidP="00D86960">
            <w:pPr>
              <w:widowControl w:val="0"/>
              <w:spacing w:line="240" w:lineRule="exact"/>
              <w:ind w:right="248"/>
              <w:jc w:val="right"/>
              <w:rPr>
                <w:rFonts w:cs="Arial"/>
                <w:sz w:val="16"/>
                <w:szCs w:val="16"/>
              </w:rPr>
            </w:pPr>
            <w:r>
              <w:rPr>
                <w:rFonts w:cs="Arial"/>
                <w:sz w:val="16"/>
                <w:szCs w:val="16"/>
              </w:rPr>
              <w:t>22,9</w:t>
            </w:r>
          </w:p>
        </w:tc>
      </w:tr>
      <w:tr w:rsidR="00B01F04" w:rsidRPr="00E95A1F" w:rsidTr="00D86960">
        <w:trPr>
          <w:jc w:val="center"/>
        </w:trPr>
        <w:tc>
          <w:tcPr>
            <w:tcW w:w="2868" w:type="pct"/>
            <w:tcBorders>
              <w:top w:val="nil"/>
              <w:bottom w:val="single" w:sz="4" w:space="0" w:color="BFBFBF" w:themeColor="background1" w:themeShade="BF"/>
              <w:right w:val="single" w:sz="4" w:space="0" w:color="BFBFBF" w:themeColor="background1" w:themeShade="BF"/>
            </w:tcBorders>
          </w:tcPr>
          <w:p w:rsidR="00B01F04" w:rsidRPr="00947001" w:rsidRDefault="00B01F04" w:rsidP="00D86960">
            <w:pPr>
              <w:spacing w:line="240" w:lineRule="exact"/>
              <w:rPr>
                <w:rFonts w:eastAsia="Times New Roman" w:cs="Arial"/>
                <w:color w:val="000000"/>
                <w:sz w:val="16"/>
                <w:szCs w:val="16"/>
                <w:lang w:eastAsia="es-ES"/>
              </w:rPr>
            </w:pPr>
            <w:r w:rsidRPr="00947001">
              <w:rPr>
                <w:rFonts w:eastAsia="Times New Roman" w:cs="Arial"/>
                <w:color w:val="000000"/>
                <w:sz w:val="16"/>
                <w:szCs w:val="16"/>
                <w:lang w:eastAsia="es-ES"/>
              </w:rPr>
              <w:t>7.EPSVs</w:t>
            </w:r>
          </w:p>
        </w:tc>
        <w:tc>
          <w:tcPr>
            <w:tcW w:w="1066" w:type="pct"/>
            <w:tcBorders>
              <w:top w:val="nil"/>
              <w:left w:val="single" w:sz="4" w:space="0" w:color="BFBFBF" w:themeColor="background1" w:themeShade="BF"/>
              <w:bottom w:val="single" w:sz="4" w:space="0" w:color="BFBFBF" w:themeColor="background1" w:themeShade="BF"/>
              <w:right w:val="nil"/>
            </w:tcBorders>
            <w:vAlign w:val="center"/>
          </w:tcPr>
          <w:p w:rsidR="00B01F04" w:rsidRPr="00947001" w:rsidRDefault="00B01F04" w:rsidP="00D86960">
            <w:pPr>
              <w:widowControl w:val="0"/>
              <w:spacing w:line="240" w:lineRule="exact"/>
              <w:ind w:right="248"/>
              <w:jc w:val="right"/>
              <w:rPr>
                <w:rFonts w:cs="Arial"/>
                <w:sz w:val="16"/>
                <w:szCs w:val="16"/>
              </w:rPr>
            </w:pPr>
            <w:proofErr w:type="spellStart"/>
            <w:r w:rsidRPr="00947001">
              <w:rPr>
                <w:rFonts w:cs="Arial"/>
                <w:sz w:val="16"/>
                <w:szCs w:val="16"/>
              </w:rPr>
              <w:t>n.p</w:t>
            </w:r>
            <w:proofErr w:type="spellEnd"/>
            <w:r w:rsidRPr="00947001">
              <w:rPr>
                <w:rFonts w:cs="Arial"/>
                <w:sz w:val="16"/>
                <w:szCs w:val="16"/>
              </w:rPr>
              <w:t>.</w:t>
            </w:r>
          </w:p>
        </w:tc>
        <w:tc>
          <w:tcPr>
            <w:tcW w:w="1066" w:type="pct"/>
            <w:tcBorders>
              <w:top w:val="nil"/>
              <w:left w:val="single" w:sz="4" w:space="0" w:color="BFBFBF" w:themeColor="background1" w:themeShade="BF"/>
              <w:bottom w:val="single" w:sz="4" w:space="0" w:color="BFBFBF" w:themeColor="background1" w:themeShade="BF"/>
              <w:right w:val="nil"/>
            </w:tcBorders>
            <w:vAlign w:val="center"/>
          </w:tcPr>
          <w:p w:rsidR="00B01F04" w:rsidRPr="00947001" w:rsidRDefault="00B01F04" w:rsidP="00D86960">
            <w:pPr>
              <w:widowControl w:val="0"/>
              <w:spacing w:line="240" w:lineRule="exact"/>
              <w:ind w:right="248"/>
              <w:jc w:val="right"/>
              <w:rPr>
                <w:rFonts w:cs="Arial"/>
                <w:sz w:val="16"/>
                <w:szCs w:val="16"/>
              </w:rPr>
            </w:pPr>
            <w:proofErr w:type="spellStart"/>
            <w:r w:rsidRPr="00947001">
              <w:rPr>
                <w:rFonts w:cs="Arial"/>
                <w:sz w:val="16"/>
                <w:szCs w:val="16"/>
              </w:rPr>
              <w:t>n.p</w:t>
            </w:r>
            <w:proofErr w:type="spellEnd"/>
            <w:r w:rsidRPr="00947001">
              <w:rPr>
                <w:rFonts w:cs="Arial"/>
                <w:sz w:val="16"/>
                <w:szCs w:val="16"/>
              </w:rPr>
              <w:t>.</w:t>
            </w:r>
          </w:p>
        </w:tc>
      </w:tr>
      <w:tr w:rsidR="00B01F04" w:rsidRPr="006209F1" w:rsidTr="00D86960">
        <w:trPr>
          <w:jc w:val="center"/>
        </w:trPr>
        <w:tc>
          <w:tcPr>
            <w:tcW w:w="2868"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01F04" w:rsidRPr="00947001" w:rsidRDefault="00B01F04" w:rsidP="00D86960">
            <w:pPr>
              <w:widowControl w:val="0"/>
              <w:tabs>
                <w:tab w:val="left" w:pos="1290"/>
              </w:tabs>
              <w:spacing w:line="240" w:lineRule="exact"/>
              <w:jc w:val="left"/>
              <w:rPr>
                <w:rFonts w:cs="Arial"/>
                <w:b/>
                <w:sz w:val="16"/>
                <w:szCs w:val="16"/>
              </w:rPr>
            </w:pPr>
            <w:r w:rsidRPr="00947001">
              <w:rPr>
                <w:rFonts w:cs="Arial"/>
                <w:b/>
                <w:sz w:val="16"/>
                <w:szCs w:val="16"/>
              </w:rPr>
              <w:t>TOTAL</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rsidR="00B01F04" w:rsidRPr="00947001" w:rsidRDefault="00B01F04" w:rsidP="00D86960">
            <w:pPr>
              <w:spacing w:line="240" w:lineRule="exact"/>
              <w:ind w:right="248"/>
              <w:jc w:val="right"/>
              <w:rPr>
                <w:rFonts w:eastAsia="Times New Roman" w:cs="Arial"/>
                <w:b/>
                <w:color w:val="000000"/>
                <w:sz w:val="16"/>
                <w:szCs w:val="16"/>
                <w:lang w:eastAsia="es-ES"/>
              </w:rPr>
            </w:pPr>
            <w:r w:rsidRPr="00947001">
              <w:rPr>
                <w:rFonts w:eastAsia="Times New Roman" w:cs="Arial"/>
                <w:b/>
                <w:color w:val="000000"/>
                <w:sz w:val="16"/>
                <w:szCs w:val="16"/>
                <w:lang w:eastAsia="es-ES"/>
              </w:rPr>
              <w:t>-1.869.476</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rsidR="00B01F04" w:rsidRPr="00947001" w:rsidRDefault="00B01F04" w:rsidP="00D86960">
            <w:pPr>
              <w:spacing w:line="240" w:lineRule="exact"/>
              <w:ind w:right="248"/>
              <w:jc w:val="right"/>
              <w:rPr>
                <w:rFonts w:eastAsia="Times New Roman" w:cs="Arial"/>
                <w:b/>
                <w:color w:val="000000"/>
                <w:sz w:val="16"/>
                <w:szCs w:val="16"/>
                <w:lang w:eastAsia="es-ES"/>
              </w:rPr>
            </w:pPr>
            <w:r>
              <w:rPr>
                <w:rFonts w:eastAsia="Times New Roman" w:cs="Arial"/>
                <w:b/>
                <w:color w:val="000000"/>
                <w:sz w:val="16"/>
                <w:szCs w:val="16"/>
                <w:lang w:eastAsia="es-ES"/>
              </w:rPr>
              <w:t>100,0</w:t>
            </w:r>
          </w:p>
        </w:tc>
      </w:tr>
    </w:tbl>
    <w:p w:rsidR="00B01F04" w:rsidRDefault="00B01F04" w:rsidP="00B01F04">
      <w:pPr>
        <w:spacing w:line="240" w:lineRule="auto"/>
        <w:rPr>
          <w:rFonts w:eastAsia="Times New Roman" w:cs="Times New Roman"/>
          <w:b/>
          <w:snapToGrid w:val="0"/>
          <w:color w:val="1F497D" w:themeColor="text2"/>
          <w:lang w:eastAsia="es-ES"/>
        </w:rPr>
      </w:pPr>
    </w:p>
    <w:p w:rsidR="00B01F04" w:rsidRDefault="00B01F04" w:rsidP="00B01F04">
      <w:pPr>
        <w:jc w:val="left"/>
        <w:rPr>
          <w:rFonts w:eastAsia="Times New Roman" w:cs="Times New Roman"/>
          <w:b/>
          <w:snapToGrid w:val="0"/>
          <w:color w:val="1F497D" w:themeColor="text2"/>
          <w:lang w:eastAsia="es-ES"/>
        </w:rPr>
      </w:pPr>
      <w:r>
        <w:rPr>
          <w:rFonts w:eastAsia="Times New Roman" w:cs="Times New Roman"/>
          <w:b/>
          <w:snapToGrid w:val="0"/>
          <w:color w:val="1F497D" w:themeColor="text2"/>
          <w:lang w:eastAsia="es-ES"/>
        </w:rPr>
        <w:br w:type="page"/>
      </w:r>
    </w:p>
    <w:p w:rsidR="00B01F04" w:rsidRDefault="00B01F04" w:rsidP="00B01F04">
      <w:pPr>
        <w:spacing w:line="240" w:lineRule="auto"/>
        <w:rPr>
          <w:rFonts w:eastAsia="Times New Roman" w:cs="Times New Roman"/>
          <w:b/>
          <w:snapToGrid w:val="0"/>
          <w:color w:val="1F497D" w:themeColor="text2"/>
          <w:lang w:eastAsia="es-ES"/>
        </w:rPr>
      </w:pPr>
    </w:p>
    <w:p w:rsidR="00B01F04" w:rsidRDefault="00B01F04" w:rsidP="00B01F04">
      <w:pPr>
        <w:pStyle w:val="Prrafodelista"/>
        <w:widowControl w:val="0"/>
        <w:numPr>
          <w:ilvl w:val="0"/>
          <w:numId w:val="12"/>
        </w:numPr>
        <w:spacing w:after="0" w:line="240" w:lineRule="auto"/>
        <w:jc w:val="left"/>
        <w:rPr>
          <w:rFonts w:cs="Arial"/>
          <w:b/>
          <w:color w:val="1F497D" w:themeColor="text2"/>
        </w:rPr>
      </w:pPr>
      <w:r w:rsidRPr="007B40EA">
        <w:rPr>
          <w:rFonts w:cs="Arial"/>
          <w:b/>
          <w:color w:val="1F497D" w:themeColor="text2"/>
        </w:rPr>
        <w:t>Inversión en Inmo</w:t>
      </w:r>
      <w:r>
        <w:rPr>
          <w:rFonts w:cs="Arial"/>
          <w:b/>
          <w:color w:val="1F497D" w:themeColor="text2"/>
        </w:rPr>
        <w:t>vilizado Inm</w:t>
      </w:r>
      <w:r w:rsidRPr="007B40EA">
        <w:rPr>
          <w:rFonts w:cs="Arial"/>
          <w:b/>
          <w:color w:val="1F497D" w:themeColor="text2"/>
        </w:rPr>
        <w:t xml:space="preserve">aterial </w:t>
      </w:r>
    </w:p>
    <w:p w:rsidR="00B01F04" w:rsidRPr="007B40EA" w:rsidRDefault="00B01F04" w:rsidP="00B01F04">
      <w:pPr>
        <w:pStyle w:val="Prrafodelista"/>
        <w:widowControl w:val="0"/>
        <w:spacing w:line="240" w:lineRule="auto"/>
        <w:ind w:left="360"/>
        <w:rPr>
          <w:rFonts w:cs="Arial"/>
          <w:b/>
          <w:color w:val="1F497D" w:themeColor="text2"/>
        </w:rPr>
      </w:pPr>
    </w:p>
    <w:p w:rsidR="00B01F04" w:rsidRDefault="00A67658" w:rsidP="00B01F04">
      <w:pPr>
        <w:widowControl w:val="0"/>
        <w:spacing w:line="240" w:lineRule="auto"/>
        <w:jc w:val="center"/>
        <w:rPr>
          <w:rFonts w:cs="Arial"/>
          <w:b/>
          <w:color w:val="1F497D" w:themeColor="text2"/>
          <w:sz w:val="18"/>
          <w:szCs w:val="18"/>
        </w:rPr>
      </w:pPr>
      <w:bookmarkStart w:id="435" w:name="_Toc445381000"/>
      <w:bookmarkStart w:id="436" w:name="_Toc450119852"/>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27</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sidRPr="00933322">
        <w:rPr>
          <w:rFonts w:cs="Arial"/>
          <w:b/>
          <w:color w:val="1F497D" w:themeColor="text2"/>
          <w:sz w:val="18"/>
          <w:szCs w:val="18"/>
        </w:rPr>
        <w:t xml:space="preserve">DISTRIBUCIÓN </w:t>
      </w:r>
      <w:r w:rsidR="00B01F04">
        <w:rPr>
          <w:rFonts w:cs="Arial"/>
          <w:b/>
          <w:color w:val="1F497D" w:themeColor="text2"/>
          <w:sz w:val="18"/>
          <w:szCs w:val="18"/>
        </w:rPr>
        <w:t xml:space="preserve">POR TIPO DE ENTIDAD </w:t>
      </w:r>
      <w:r w:rsidR="00B01F04" w:rsidRPr="00933322">
        <w:rPr>
          <w:rFonts w:cs="Arial"/>
          <w:b/>
          <w:color w:val="1F497D" w:themeColor="text2"/>
          <w:sz w:val="18"/>
          <w:szCs w:val="18"/>
        </w:rPr>
        <w:t>DE LAS INVERSI</w:t>
      </w:r>
      <w:r w:rsidR="00B01F04">
        <w:rPr>
          <w:rFonts w:cs="Arial"/>
          <w:b/>
          <w:color w:val="1F497D" w:themeColor="text2"/>
          <w:sz w:val="18"/>
          <w:szCs w:val="18"/>
        </w:rPr>
        <w:t>ONES INMATERIALES NFES. 2014</w:t>
      </w:r>
      <w:r w:rsidR="00B01F04" w:rsidRPr="00933322">
        <w:rPr>
          <w:rFonts w:cs="Arial"/>
          <w:b/>
          <w:color w:val="1F497D" w:themeColor="text2"/>
          <w:sz w:val="18"/>
          <w:szCs w:val="18"/>
        </w:rPr>
        <w:t xml:space="preserve"> (</w:t>
      </w:r>
      <w:r w:rsidR="00B01F04">
        <w:rPr>
          <w:rFonts w:cs="Arial"/>
          <w:b/>
          <w:color w:val="1F497D" w:themeColor="text2"/>
          <w:sz w:val="18"/>
          <w:szCs w:val="18"/>
        </w:rPr>
        <w:t>cifras absolutas en Euros</w:t>
      </w:r>
      <w:r w:rsidR="00B01F04" w:rsidRPr="00933322">
        <w:rPr>
          <w:rFonts w:cs="Arial"/>
          <w:b/>
          <w:color w:val="1F497D" w:themeColor="text2"/>
          <w:sz w:val="18"/>
          <w:szCs w:val="18"/>
        </w:rPr>
        <w:t xml:space="preserve"> y </w:t>
      </w:r>
      <w:r w:rsidR="00B01F04">
        <w:rPr>
          <w:rFonts w:cs="Arial"/>
          <w:b/>
          <w:color w:val="1F497D" w:themeColor="text2"/>
          <w:sz w:val="18"/>
          <w:szCs w:val="18"/>
        </w:rPr>
        <w:t>% verticales</w:t>
      </w:r>
      <w:r w:rsidR="00B01F04" w:rsidRPr="00933322">
        <w:rPr>
          <w:rFonts w:cs="Arial"/>
          <w:b/>
          <w:color w:val="1F497D" w:themeColor="text2"/>
          <w:sz w:val="18"/>
          <w:szCs w:val="18"/>
        </w:rPr>
        <w:t>)</w:t>
      </w:r>
      <w:bookmarkEnd w:id="435"/>
      <w:bookmarkEnd w:id="436"/>
      <w:r w:rsidR="00B01F04" w:rsidRPr="00933322">
        <w:rPr>
          <w:rFonts w:cs="Arial"/>
          <w:b/>
          <w:color w:val="1F497D" w:themeColor="text2"/>
          <w:sz w:val="18"/>
          <w:szCs w:val="18"/>
        </w:rPr>
        <w:t xml:space="preserve"> </w:t>
      </w:r>
    </w:p>
    <w:tbl>
      <w:tblPr>
        <w:tblW w:w="9648" w:type="dxa"/>
        <w:jc w:val="center"/>
        <w:tblInd w:w="292" w:type="dxa"/>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158"/>
        <w:gridCol w:w="2746"/>
        <w:gridCol w:w="2744"/>
      </w:tblGrid>
      <w:tr w:rsidR="00B01F04" w:rsidRPr="00E95A1F" w:rsidTr="00D86960">
        <w:trPr>
          <w:jc w:val="center"/>
        </w:trPr>
        <w:tc>
          <w:tcPr>
            <w:tcW w:w="2155" w:type="pct"/>
            <w:tcBorders>
              <w:top w:val="single" w:sz="4" w:space="0" w:color="BFBFBF" w:themeColor="background1" w:themeShade="BF"/>
              <w:bottom w:val="nil"/>
              <w:right w:val="single" w:sz="4" w:space="0" w:color="BFBFBF" w:themeColor="background1" w:themeShade="BF"/>
            </w:tcBorders>
            <w:shd w:val="clear" w:color="auto" w:fill="DBE5F1" w:themeFill="accent1" w:themeFillTint="33"/>
          </w:tcPr>
          <w:p w:rsidR="00B01F04" w:rsidRPr="00E95A1F" w:rsidRDefault="00B01F04" w:rsidP="00D86960">
            <w:pPr>
              <w:widowControl w:val="0"/>
              <w:spacing w:line="240" w:lineRule="exact"/>
              <w:rPr>
                <w:rFonts w:cs="Arial"/>
                <w:b/>
                <w:sz w:val="16"/>
                <w:szCs w:val="16"/>
              </w:rPr>
            </w:pPr>
          </w:p>
        </w:tc>
        <w:tc>
          <w:tcPr>
            <w:tcW w:w="284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rsidR="00B01F04" w:rsidRPr="00E95A1F" w:rsidRDefault="00B01F04" w:rsidP="00D86960">
            <w:pPr>
              <w:widowControl w:val="0"/>
              <w:spacing w:line="240" w:lineRule="exact"/>
              <w:jc w:val="center"/>
              <w:rPr>
                <w:rFonts w:cs="Arial"/>
                <w:b/>
                <w:sz w:val="16"/>
                <w:szCs w:val="16"/>
              </w:rPr>
            </w:pPr>
            <w:r>
              <w:rPr>
                <w:rFonts w:cs="Arial"/>
                <w:b/>
                <w:sz w:val="16"/>
                <w:szCs w:val="16"/>
              </w:rPr>
              <w:t>Inversiones inmateriales</w:t>
            </w:r>
            <w:r>
              <w:rPr>
                <w:rStyle w:val="Refdenotaalpie"/>
                <w:rFonts w:cs="Arial"/>
                <w:b/>
                <w:sz w:val="16"/>
                <w:szCs w:val="16"/>
              </w:rPr>
              <w:footnoteReference w:id="19"/>
            </w:r>
          </w:p>
        </w:tc>
      </w:tr>
      <w:tr w:rsidR="00B01F04" w:rsidRPr="00E95A1F" w:rsidTr="00D86960">
        <w:trPr>
          <w:jc w:val="center"/>
        </w:trPr>
        <w:tc>
          <w:tcPr>
            <w:tcW w:w="2155" w:type="pct"/>
            <w:tcBorders>
              <w:top w:val="nil"/>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E95A1F" w:rsidRDefault="00B01F04" w:rsidP="00D86960">
            <w:pPr>
              <w:widowControl w:val="0"/>
              <w:spacing w:line="240" w:lineRule="exact"/>
              <w:rPr>
                <w:rFonts w:cs="Arial"/>
                <w:b/>
                <w:sz w:val="16"/>
                <w:szCs w:val="16"/>
              </w:rPr>
            </w:pP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rsidR="00B01F04" w:rsidRPr="00E95A1F" w:rsidRDefault="00B01F04" w:rsidP="00D86960">
            <w:pPr>
              <w:widowControl w:val="0"/>
              <w:spacing w:line="240" w:lineRule="exact"/>
              <w:ind w:right="270"/>
              <w:jc w:val="center"/>
              <w:rPr>
                <w:rFonts w:cs="Arial"/>
                <w:b/>
                <w:sz w:val="16"/>
                <w:szCs w:val="16"/>
              </w:rPr>
            </w:pPr>
            <w:proofErr w:type="spellStart"/>
            <w:r>
              <w:rPr>
                <w:rFonts w:cs="Arial"/>
                <w:b/>
                <w:sz w:val="16"/>
                <w:szCs w:val="16"/>
              </w:rPr>
              <w:t>Abs</w:t>
            </w:r>
            <w:proofErr w:type="spellEnd"/>
            <w:r>
              <w:rPr>
                <w:rFonts w:cs="Arial"/>
                <w:b/>
                <w:sz w:val="16"/>
                <w:szCs w:val="16"/>
              </w:rPr>
              <w:t>.</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rsidR="00B01F04" w:rsidRPr="00E95A1F" w:rsidRDefault="00B01F04" w:rsidP="00D86960">
            <w:pPr>
              <w:widowControl w:val="0"/>
              <w:spacing w:line="240" w:lineRule="exact"/>
              <w:ind w:right="270"/>
              <w:jc w:val="center"/>
              <w:rPr>
                <w:rFonts w:cs="Arial"/>
                <w:b/>
                <w:sz w:val="16"/>
                <w:szCs w:val="16"/>
              </w:rPr>
            </w:pPr>
            <w:r>
              <w:rPr>
                <w:rFonts w:cs="Arial"/>
                <w:b/>
                <w:sz w:val="16"/>
                <w:szCs w:val="16"/>
              </w:rPr>
              <w:t>% ver.</w:t>
            </w:r>
          </w:p>
        </w:tc>
      </w:tr>
      <w:tr w:rsidR="00B01F04" w:rsidRPr="00D934BE" w:rsidTr="00D86960">
        <w:trPr>
          <w:jc w:val="center"/>
        </w:trPr>
        <w:tc>
          <w:tcPr>
            <w:tcW w:w="2155" w:type="pct"/>
            <w:tcBorders>
              <w:top w:val="single" w:sz="4" w:space="0" w:color="BFBFBF" w:themeColor="background1" w:themeShade="BF"/>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1.Fundaciones</w:t>
            </w:r>
          </w:p>
        </w:tc>
        <w:tc>
          <w:tcPr>
            <w:tcW w:w="1423" w:type="pct"/>
            <w:tcBorders>
              <w:top w:val="single" w:sz="4" w:space="0" w:color="BFBFBF" w:themeColor="background1" w:themeShade="BF"/>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6.990.699</w:t>
            </w:r>
          </w:p>
        </w:tc>
        <w:tc>
          <w:tcPr>
            <w:tcW w:w="1422" w:type="pct"/>
            <w:tcBorders>
              <w:top w:val="single" w:sz="4" w:space="0" w:color="BFBFBF" w:themeColor="background1" w:themeShade="BF"/>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89,8</w:t>
            </w:r>
          </w:p>
        </w:tc>
      </w:tr>
      <w:tr w:rsidR="00B01F04" w:rsidRPr="00D934BE" w:rsidTr="00D86960">
        <w:trPr>
          <w:jc w:val="center"/>
        </w:trPr>
        <w:tc>
          <w:tcPr>
            <w:tcW w:w="2155"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2.Centros Especiales de Empleo</w:t>
            </w:r>
          </w:p>
        </w:tc>
        <w:tc>
          <w:tcPr>
            <w:tcW w:w="1423"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278.674</w:t>
            </w:r>
          </w:p>
        </w:tc>
        <w:tc>
          <w:tcPr>
            <w:tcW w:w="1422"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3,6</w:t>
            </w:r>
          </w:p>
        </w:tc>
      </w:tr>
      <w:tr w:rsidR="00B01F04" w:rsidRPr="00D934BE" w:rsidTr="00D86960">
        <w:trPr>
          <w:jc w:val="center"/>
        </w:trPr>
        <w:tc>
          <w:tcPr>
            <w:tcW w:w="2155"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3.Asociaciones de Utilidad Pública</w:t>
            </w:r>
          </w:p>
        </w:tc>
        <w:tc>
          <w:tcPr>
            <w:tcW w:w="1423"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8.494</w:t>
            </w:r>
          </w:p>
        </w:tc>
        <w:tc>
          <w:tcPr>
            <w:tcW w:w="1422"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0,1</w:t>
            </w:r>
          </w:p>
        </w:tc>
      </w:tr>
      <w:tr w:rsidR="00B01F04" w:rsidRPr="00D934BE" w:rsidTr="00D86960">
        <w:trPr>
          <w:jc w:val="center"/>
        </w:trPr>
        <w:tc>
          <w:tcPr>
            <w:tcW w:w="2155"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4.Empresas de Inserción</w:t>
            </w:r>
          </w:p>
        </w:tc>
        <w:tc>
          <w:tcPr>
            <w:tcW w:w="1423"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6.029</w:t>
            </w:r>
          </w:p>
        </w:tc>
        <w:tc>
          <w:tcPr>
            <w:tcW w:w="1422"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0,1</w:t>
            </w:r>
          </w:p>
        </w:tc>
      </w:tr>
      <w:tr w:rsidR="00B01F04" w:rsidRPr="00D934BE" w:rsidTr="00D86960">
        <w:trPr>
          <w:jc w:val="center"/>
        </w:trPr>
        <w:tc>
          <w:tcPr>
            <w:tcW w:w="2155"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5.SATs</w:t>
            </w:r>
          </w:p>
        </w:tc>
        <w:tc>
          <w:tcPr>
            <w:tcW w:w="1423"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392.895</w:t>
            </w:r>
          </w:p>
        </w:tc>
        <w:tc>
          <w:tcPr>
            <w:tcW w:w="1422"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5,0</w:t>
            </w:r>
          </w:p>
        </w:tc>
      </w:tr>
      <w:tr w:rsidR="00B01F04" w:rsidRPr="00D934BE" w:rsidTr="00D86960">
        <w:trPr>
          <w:jc w:val="center"/>
        </w:trPr>
        <w:tc>
          <w:tcPr>
            <w:tcW w:w="2155" w:type="pct"/>
            <w:tcBorders>
              <w:top w:val="nil"/>
              <w:bottom w:val="nil"/>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6.Cofradías de Pescadores</w:t>
            </w:r>
          </w:p>
        </w:tc>
        <w:tc>
          <w:tcPr>
            <w:tcW w:w="1423"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103.994</w:t>
            </w:r>
          </w:p>
        </w:tc>
        <w:tc>
          <w:tcPr>
            <w:tcW w:w="1422" w:type="pct"/>
            <w:tcBorders>
              <w:top w:val="nil"/>
              <w:left w:val="single" w:sz="4" w:space="0" w:color="BFBFBF" w:themeColor="background1" w:themeShade="BF"/>
              <w:bottom w:val="nil"/>
              <w:right w:val="nil"/>
            </w:tcBorders>
            <w:vAlign w:val="bottom"/>
          </w:tcPr>
          <w:p w:rsidR="00B01F04" w:rsidRPr="00D934BE" w:rsidRDefault="00B01F04" w:rsidP="00D86960">
            <w:pPr>
              <w:spacing w:line="240" w:lineRule="exact"/>
              <w:ind w:right="270"/>
              <w:jc w:val="right"/>
              <w:rPr>
                <w:rFonts w:eastAsia="Times New Roman" w:cs="Arial"/>
                <w:color w:val="000000"/>
                <w:sz w:val="16"/>
                <w:szCs w:val="16"/>
                <w:lang w:eastAsia="es-ES"/>
              </w:rPr>
            </w:pPr>
            <w:r w:rsidRPr="00D934BE">
              <w:rPr>
                <w:rFonts w:eastAsia="Times New Roman" w:cs="Arial"/>
                <w:color w:val="000000"/>
                <w:sz w:val="16"/>
                <w:szCs w:val="16"/>
                <w:lang w:eastAsia="es-ES"/>
              </w:rPr>
              <w:t>1,3</w:t>
            </w:r>
          </w:p>
        </w:tc>
      </w:tr>
      <w:tr w:rsidR="00B01F04" w:rsidRPr="00D934BE" w:rsidTr="00D86960">
        <w:trPr>
          <w:jc w:val="center"/>
        </w:trPr>
        <w:tc>
          <w:tcPr>
            <w:tcW w:w="2155" w:type="pct"/>
            <w:tcBorders>
              <w:top w:val="nil"/>
              <w:bottom w:val="single" w:sz="4" w:space="0" w:color="BFBFBF" w:themeColor="background1" w:themeShade="BF"/>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7.EPSVs</w:t>
            </w:r>
          </w:p>
        </w:tc>
        <w:tc>
          <w:tcPr>
            <w:tcW w:w="1423" w:type="pct"/>
            <w:tcBorders>
              <w:top w:val="nil"/>
              <w:left w:val="single" w:sz="4" w:space="0" w:color="BFBFBF" w:themeColor="background1" w:themeShade="BF"/>
              <w:bottom w:val="single" w:sz="4" w:space="0" w:color="BFBFBF" w:themeColor="background1" w:themeShade="BF"/>
              <w:right w:val="nil"/>
            </w:tcBorders>
            <w:vAlign w:val="bottom"/>
          </w:tcPr>
          <w:p w:rsidR="00B01F04" w:rsidRPr="00D934BE" w:rsidRDefault="00B01F04" w:rsidP="00D86960">
            <w:pPr>
              <w:widowControl w:val="0"/>
              <w:spacing w:line="240" w:lineRule="exact"/>
              <w:ind w:right="270"/>
              <w:jc w:val="right"/>
              <w:rPr>
                <w:rFonts w:cs="Arial"/>
                <w:sz w:val="16"/>
                <w:szCs w:val="16"/>
              </w:rPr>
            </w:pPr>
            <w:proofErr w:type="spellStart"/>
            <w:r w:rsidRPr="00D934BE">
              <w:rPr>
                <w:rFonts w:cs="Arial"/>
                <w:sz w:val="16"/>
                <w:szCs w:val="16"/>
              </w:rPr>
              <w:t>n.p</w:t>
            </w:r>
            <w:proofErr w:type="spellEnd"/>
            <w:r w:rsidRPr="00D934BE">
              <w:rPr>
                <w:rFonts w:cs="Arial"/>
                <w:sz w:val="16"/>
                <w:szCs w:val="16"/>
              </w:rPr>
              <w:t>.</w:t>
            </w:r>
          </w:p>
        </w:tc>
        <w:tc>
          <w:tcPr>
            <w:tcW w:w="1422" w:type="pct"/>
            <w:tcBorders>
              <w:top w:val="nil"/>
              <w:left w:val="single" w:sz="4" w:space="0" w:color="BFBFBF" w:themeColor="background1" w:themeShade="BF"/>
              <w:bottom w:val="single" w:sz="4" w:space="0" w:color="BFBFBF" w:themeColor="background1" w:themeShade="BF"/>
              <w:right w:val="nil"/>
            </w:tcBorders>
            <w:vAlign w:val="bottom"/>
          </w:tcPr>
          <w:p w:rsidR="00B01F04" w:rsidRPr="00D934BE" w:rsidRDefault="00B01F04" w:rsidP="00D86960">
            <w:pPr>
              <w:widowControl w:val="0"/>
              <w:spacing w:line="240" w:lineRule="exact"/>
              <w:ind w:right="270"/>
              <w:jc w:val="right"/>
              <w:rPr>
                <w:rFonts w:cs="Arial"/>
                <w:sz w:val="16"/>
                <w:szCs w:val="16"/>
              </w:rPr>
            </w:pPr>
            <w:proofErr w:type="spellStart"/>
            <w:r w:rsidRPr="00D934BE">
              <w:rPr>
                <w:rFonts w:cs="Arial"/>
                <w:sz w:val="16"/>
                <w:szCs w:val="16"/>
              </w:rPr>
              <w:t>n.p</w:t>
            </w:r>
            <w:proofErr w:type="spellEnd"/>
            <w:r w:rsidRPr="00D934BE">
              <w:rPr>
                <w:rFonts w:cs="Arial"/>
                <w:sz w:val="16"/>
                <w:szCs w:val="16"/>
              </w:rPr>
              <w:t>.</w:t>
            </w:r>
          </w:p>
        </w:tc>
      </w:tr>
      <w:tr w:rsidR="00B01F04" w:rsidRPr="00D934BE" w:rsidTr="00D86960">
        <w:trPr>
          <w:jc w:val="center"/>
        </w:trPr>
        <w:tc>
          <w:tcPr>
            <w:tcW w:w="2155"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01F04" w:rsidRPr="00D934BE" w:rsidRDefault="00B01F04" w:rsidP="00D86960">
            <w:pPr>
              <w:widowControl w:val="0"/>
              <w:tabs>
                <w:tab w:val="left" w:pos="1290"/>
              </w:tabs>
              <w:spacing w:line="240" w:lineRule="exact"/>
              <w:jc w:val="left"/>
              <w:rPr>
                <w:rFonts w:cs="Arial"/>
                <w:b/>
                <w:sz w:val="16"/>
                <w:szCs w:val="16"/>
              </w:rPr>
            </w:pPr>
            <w:r w:rsidRPr="00D934BE">
              <w:rPr>
                <w:rFonts w:cs="Arial"/>
                <w:b/>
                <w:sz w:val="16"/>
                <w:szCs w:val="16"/>
              </w:rPr>
              <w:t>TOTAL</w:t>
            </w: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B01F04" w:rsidRPr="00D934BE" w:rsidRDefault="00B01F04" w:rsidP="00D86960">
            <w:pPr>
              <w:spacing w:line="240" w:lineRule="exact"/>
              <w:ind w:right="270"/>
              <w:jc w:val="right"/>
              <w:rPr>
                <w:rFonts w:eastAsia="Times New Roman" w:cs="Arial"/>
                <w:b/>
                <w:color w:val="000000"/>
                <w:sz w:val="16"/>
                <w:szCs w:val="16"/>
                <w:lang w:eastAsia="es-ES"/>
              </w:rPr>
            </w:pPr>
            <w:r w:rsidRPr="00D934BE">
              <w:rPr>
                <w:rFonts w:eastAsia="Times New Roman" w:cs="Arial"/>
                <w:b/>
                <w:color w:val="000000"/>
                <w:sz w:val="16"/>
                <w:szCs w:val="16"/>
                <w:lang w:eastAsia="es-ES"/>
              </w:rPr>
              <w:t>7.780.785</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rsidR="00B01F04" w:rsidRPr="00D934BE" w:rsidRDefault="00B01F04" w:rsidP="00D86960">
            <w:pPr>
              <w:spacing w:line="240" w:lineRule="exact"/>
              <w:ind w:right="270"/>
              <w:jc w:val="right"/>
              <w:rPr>
                <w:rFonts w:eastAsia="Times New Roman" w:cs="Arial"/>
                <w:b/>
                <w:color w:val="000000"/>
                <w:sz w:val="16"/>
                <w:szCs w:val="16"/>
                <w:lang w:eastAsia="es-ES"/>
              </w:rPr>
            </w:pPr>
            <w:r w:rsidRPr="00D934BE">
              <w:rPr>
                <w:rFonts w:eastAsia="Times New Roman" w:cs="Arial"/>
                <w:b/>
                <w:color w:val="000000"/>
                <w:sz w:val="16"/>
                <w:szCs w:val="16"/>
                <w:lang w:eastAsia="es-ES"/>
              </w:rPr>
              <w:t>100,0</w:t>
            </w:r>
          </w:p>
        </w:tc>
      </w:tr>
    </w:tbl>
    <w:p w:rsidR="00B01F04" w:rsidRPr="00D934BE" w:rsidRDefault="00B01F04" w:rsidP="00B01F04">
      <w:pPr>
        <w:spacing w:line="240" w:lineRule="auto"/>
        <w:rPr>
          <w:rFonts w:eastAsia="Times New Roman" w:cs="Arial"/>
          <w:b/>
          <w:snapToGrid w:val="0"/>
          <w:color w:val="1F497D" w:themeColor="text2"/>
          <w:sz w:val="16"/>
          <w:szCs w:val="16"/>
          <w:lang w:eastAsia="es-ES"/>
        </w:rPr>
      </w:pPr>
    </w:p>
    <w:p w:rsidR="00B01F04" w:rsidRDefault="00B01F04" w:rsidP="00B01F04">
      <w:pPr>
        <w:pStyle w:val="Prrafodelista"/>
        <w:widowControl w:val="0"/>
        <w:numPr>
          <w:ilvl w:val="0"/>
          <w:numId w:val="12"/>
        </w:numPr>
        <w:spacing w:after="0" w:line="240" w:lineRule="auto"/>
        <w:jc w:val="left"/>
        <w:rPr>
          <w:rFonts w:cs="Arial"/>
          <w:b/>
          <w:color w:val="1F497D" w:themeColor="text2"/>
        </w:rPr>
      </w:pPr>
      <w:r>
        <w:rPr>
          <w:rFonts w:cs="Arial"/>
          <w:b/>
          <w:color w:val="1F497D" w:themeColor="text2"/>
        </w:rPr>
        <w:t xml:space="preserve">La Financiación de las Administraciones Públicas </w:t>
      </w:r>
    </w:p>
    <w:p w:rsidR="00B01F04" w:rsidRDefault="00B01F04" w:rsidP="00B01F04">
      <w:pPr>
        <w:widowControl w:val="0"/>
        <w:spacing w:line="240" w:lineRule="auto"/>
        <w:jc w:val="center"/>
        <w:rPr>
          <w:rFonts w:cs="Arial"/>
          <w:b/>
          <w:color w:val="1F497D" w:themeColor="text2"/>
          <w:sz w:val="18"/>
          <w:szCs w:val="18"/>
        </w:rPr>
      </w:pPr>
    </w:p>
    <w:p w:rsidR="00B01F04" w:rsidRPr="00DC7DAD" w:rsidRDefault="00A67658" w:rsidP="00B01F04">
      <w:pPr>
        <w:widowControl w:val="0"/>
        <w:spacing w:line="240" w:lineRule="auto"/>
        <w:jc w:val="center"/>
        <w:rPr>
          <w:rFonts w:cs="Arial"/>
          <w:b/>
          <w:color w:val="1F497D" w:themeColor="text2"/>
          <w:sz w:val="18"/>
          <w:szCs w:val="18"/>
        </w:rPr>
      </w:pPr>
      <w:bookmarkStart w:id="437" w:name="_Toc445381001"/>
      <w:bookmarkStart w:id="438" w:name="_Toc450119853"/>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28</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sidRPr="00DC7DAD">
        <w:rPr>
          <w:rFonts w:cs="Arial"/>
          <w:b/>
          <w:color w:val="1F497D" w:themeColor="text2"/>
          <w:sz w:val="18"/>
          <w:szCs w:val="18"/>
        </w:rPr>
        <w:t>ESTRUCTURA SECTORIAL DEL INCREMENTO DE LAS SUBVENCIONES OFICIALES DE CAPITAL. 201</w:t>
      </w:r>
      <w:r w:rsidR="00B01F04">
        <w:rPr>
          <w:rFonts w:cs="Arial"/>
          <w:b/>
          <w:color w:val="1F497D" w:themeColor="text2"/>
          <w:sz w:val="18"/>
          <w:szCs w:val="18"/>
        </w:rPr>
        <w:t>4</w:t>
      </w:r>
      <w:bookmarkEnd w:id="437"/>
      <w:bookmarkEnd w:id="438"/>
    </w:p>
    <w:tbl>
      <w:tblPr>
        <w:tblW w:w="9940" w:type="dxa"/>
        <w:jc w:val="center"/>
        <w:tblLook w:val="04A0" w:firstRow="1" w:lastRow="0" w:firstColumn="1" w:lastColumn="0" w:noHBand="0" w:noVBand="1"/>
      </w:tblPr>
      <w:tblGrid>
        <w:gridCol w:w="4263"/>
        <w:gridCol w:w="2912"/>
        <w:gridCol w:w="2765"/>
      </w:tblGrid>
      <w:tr w:rsidR="00B01F04" w:rsidRPr="00D934BE" w:rsidTr="00D86960">
        <w:trPr>
          <w:jc w:val="center"/>
        </w:trPr>
        <w:tc>
          <w:tcPr>
            <w:tcW w:w="2144"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tcPr>
          <w:p w:rsidR="00B01F04" w:rsidRPr="00D934BE" w:rsidRDefault="00B01F04" w:rsidP="00D86960">
            <w:pPr>
              <w:widowControl w:val="0"/>
              <w:spacing w:line="240" w:lineRule="exact"/>
              <w:jc w:val="center"/>
              <w:rPr>
                <w:rFonts w:cs="Arial"/>
                <w:b/>
                <w:sz w:val="16"/>
                <w:szCs w:val="16"/>
              </w:rPr>
            </w:pPr>
          </w:p>
        </w:tc>
        <w:tc>
          <w:tcPr>
            <w:tcW w:w="1465" w:type="pct"/>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B01F04" w:rsidRPr="00D934BE" w:rsidRDefault="00B01F04" w:rsidP="00D86960">
            <w:pPr>
              <w:widowControl w:val="0"/>
              <w:spacing w:line="240" w:lineRule="exact"/>
              <w:jc w:val="center"/>
              <w:rPr>
                <w:rFonts w:cs="Arial"/>
                <w:b/>
                <w:sz w:val="16"/>
                <w:szCs w:val="16"/>
              </w:rPr>
            </w:pPr>
            <w:r w:rsidRPr="00D934BE">
              <w:rPr>
                <w:rFonts w:cs="Arial"/>
                <w:b/>
                <w:sz w:val="16"/>
                <w:szCs w:val="16"/>
              </w:rPr>
              <w:t>Inversiones (Material + Inmaterial)</w:t>
            </w:r>
            <w:r w:rsidRPr="00D934BE">
              <w:rPr>
                <w:rStyle w:val="Refdenotaalpie"/>
                <w:rFonts w:cs="Arial"/>
                <w:sz w:val="16"/>
                <w:szCs w:val="16"/>
              </w:rPr>
              <w:footnoteReference w:id="20"/>
            </w:r>
          </w:p>
        </w:tc>
        <w:tc>
          <w:tcPr>
            <w:tcW w:w="1391" w:type="pct"/>
            <w:tcBorders>
              <w:left w:val="single" w:sz="4" w:space="0" w:color="BFBFBF" w:themeColor="background1" w:themeShade="BF"/>
              <w:bottom w:val="single" w:sz="4" w:space="0" w:color="BFBFBF" w:themeColor="background1" w:themeShade="BF"/>
            </w:tcBorders>
            <w:shd w:val="clear" w:color="auto" w:fill="DBE5F1" w:themeFill="accent1" w:themeFillTint="33"/>
          </w:tcPr>
          <w:p w:rsidR="00B01F04" w:rsidRPr="00D934BE" w:rsidRDefault="00B01F04" w:rsidP="00D86960">
            <w:pPr>
              <w:widowControl w:val="0"/>
              <w:spacing w:line="240" w:lineRule="exact"/>
              <w:jc w:val="center"/>
              <w:rPr>
                <w:rFonts w:cs="Arial"/>
                <w:b/>
                <w:sz w:val="16"/>
                <w:szCs w:val="16"/>
              </w:rPr>
            </w:pPr>
            <w:r w:rsidRPr="00D934BE">
              <w:rPr>
                <w:rFonts w:cs="Arial"/>
                <w:b/>
                <w:sz w:val="16"/>
                <w:szCs w:val="16"/>
              </w:rPr>
              <w:t>Incremento Subvenciones Oficiales de Capital</w:t>
            </w:r>
            <w:r w:rsidRPr="00D934BE">
              <w:rPr>
                <w:rStyle w:val="Refdenotaalpie"/>
                <w:rFonts w:cs="Arial"/>
                <w:sz w:val="16"/>
                <w:szCs w:val="16"/>
              </w:rPr>
              <w:footnoteReference w:id="21"/>
            </w:r>
          </w:p>
        </w:tc>
      </w:tr>
      <w:tr w:rsidR="00B01F04" w:rsidRPr="00D934BE" w:rsidTr="00D86960">
        <w:trPr>
          <w:jc w:val="center"/>
        </w:trPr>
        <w:tc>
          <w:tcPr>
            <w:tcW w:w="2144"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01F04" w:rsidRPr="00D934BE" w:rsidRDefault="00B01F04" w:rsidP="00D86960">
            <w:pPr>
              <w:widowControl w:val="0"/>
              <w:spacing w:line="240" w:lineRule="exact"/>
              <w:jc w:val="center"/>
              <w:rPr>
                <w:rFonts w:cs="Arial"/>
                <w:b/>
                <w:sz w:val="16"/>
                <w:szCs w:val="16"/>
              </w:rPr>
            </w:pPr>
          </w:p>
        </w:tc>
        <w:tc>
          <w:tcPr>
            <w:tcW w:w="146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01F04" w:rsidRPr="00D934BE" w:rsidRDefault="00B01F04" w:rsidP="00D86960">
            <w:pPr>
              <w:widowControl w:val="0"/>
              <w:spacing w:line="240" w:lineRule="exact"/>
              <w:jc w:val="center"/>
              <w:rPr>
                <w:rFonts w:cs="Arial"/>
                <w:sz w:val="16"/>
                <w:szCs w:val="16"/>
              </w:rPr>
            </w:pP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rsidR="00B01F04" w:rsidRPr="00D934BE" w:rsidRDefault="00B01F04" w:rsidP="00D86960">
            <w:pPr>
              <w:widowControl w:val="0"/>
              <w:spacing w:line="240" w:lineRule="exact"/>
              <w:jc w:val="center"/>
              <w:rPr>
                <w:rFonts w:cs="Arial"/>
                <w:b/>
                <w:sz w:val="16"/>
                <w:szCs w:val="16"/>
              </w:rPr>
            </w:pPr>
            <w:proofErr w:type="spellStart"/>
            <w:r w:rsidRPr="00D934BE">
              <w:rPr>
                <w:rFonts w:cs="Arial"/>
                <w:b/>
                <w:sz w:val="16"/>
                <w:szCs w:val="16"/>
              </w:rPr>
              <w:t>Abs</w:t>
            </w:r>
            <w:proofErr w:type="spellEnd"/>
            <w:r w:rsidRPr="00D934BE">
              <w:rPr>
                <w:rFonts w:cs="Arial"/>
                <w:b/>
                <w:sz w:val="16"/>
                <w:szCs w:val="16"/>
              </w:rPr>
              <w:t>.</w:t>
            </w:r>
          </w:p>
        </w:tc>
      </w:tr>
      <w:tr w:rsidR="00B01F04" w:rsidRPr="00D934BE" w:rsidTr="00D86960">
        <w:trPr>
          <w:jc w:val="center"/>
        </w:trPr>
        <w:tc>
          <w:tcPr>
            <w:tcW w:w="2144" w:type="pct"/>
            <w:tcBorders>
              <w:top w:val="single" w:sz="4" w:space="0" w:color="BFBFBF" w:themeColor="background1" w:themeShade="BF"/>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1.Fundaciones</w:t>
            </w:r>
          </w:p>
        </w:tc>
        <w:tc>
          <w:tcPr>
            <w:tcW w:w="146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-2.754.617</w:t>
            </w:r>
          </w:p>
        </w:tc>
        <w:tc>
          <w:tcPr>
            <w:tcW w:w="1391" w:type="pct"/>
            <w:tcBorders>
              <w:top w:val="single" w:sz="4" w:space="0" w:color="BFBFBF" w:themeColor="background1" w:themeShade="BF"/>
              <w:lef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43.025.879</w:t>
            </w:r>
          </w:p>
        </w:tc>
      </w:tr>
      <w:tr w:rsidR="00B01F04" w:rsidRPr="00D934BE" w:rsidTr="00D86960">
        <w:trPr>
          <w:jc w:val="center"/>
        </w:trPr>
        <w:tc>
          <w:tcPr>
            <w:tcW w:w="2144" w:type="pct"/>
            <w:tcBorders>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2.Centros Especiales de Empleo</w:t>
            </w:r>
          </w:p>
        </w:tc>
        <w:tc>
          <w:tcPr>
            <w:tcW w:w="1465" w:type="pct"/>
            <w:tcBorders>
              <w:left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4.744.268</w:t>
            </w:r>
          </w:p>
        </w:tc>
        <w:tc>
          <w:tcPr>
            <w:tcW w:w="1391" w:type="pct"/>
            <w:tcBorders>
              <w:lef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430.793</w:t>
            </w:r>
          </w:p>
        </w:tc>
      </w:tr>
      <w:tr w:rsidR="00B01F04" w:rsidRPr="00D934BE" w:rsidTr="00D86960">
        <w:trPr>
          <w:jc w:val="center"/>
        </w:trPr>
        <w:tc>
          <w:tcPr>
            <w:tcW w:w="2144" w:type="pct"/>
            <w:tcBorders>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3.Asociaciones de Utilidad Pública</w:t>
            </w:r>
          </w:p>
        </w:tc>
        <w:tc>
          <w:tcPr>
            <w:tcW w:w="1465" w:type="pct"/>
            <w:tcBorders>
              <w:left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2.236.107</w:t>
            </w:r>
          </w:p>
        </w:tc>
        <w:tc>
          <w:tcPr>
            <w:tcW w:w="1391" w:type="pct"/>
            <w:tcBorders>
              <w:lef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8.426.164</w:t>
            </w:r>
          </w:p>
        </w:tc>
      </w:tr>
      <w:tr w:rsidR="00B01F04" w:rsidRPr="00D934BE" w:rsidTr="00D86960">
        <w:trPr>
          <w:jc w:val="center"/>
        </w:trPr>
        <w:tc>
          <w:tcPr>
            <w:tcW w:w="2144" w:type="pct"/>
            <w:tcBorders>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4.Empresas de Inserción</w:t>
            </w:r>
          </w:p>
        </w:tc>
        <w:tc>
          <w:tcPr>
            <w:tcW w:w="1465" w:type="pct"/>
            <w:tcBorders>
              <w:left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-140.373</w:t>
            </w:r>
          </w:p>
        </w:tc>
        <w:tc>
          <w:tcPr>
            <w:tcW w:w="1391" w:type="pct"/>
            <w:tcBorders>
              <w:lef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1.244.183</w:t>
            </w:r>
          </w:p>
        </w:tc>
      </w:tr>
      <w:tr w:rsidR="00B01F04" w:rsidRPr="00D934BE" w:rsidTr="00D86960">
        <w:trPr>
          <w:jc w:val="center"/>
        </w:trPr>
        <w:tc>
          <w:tcPr>
            <w:tcW w:w="2144" w:type="pct"/>
            <w:tcBorders>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5.SATs</w:t>
            </w:r>
          </w:p>
        </w:tc>
        <w:tc>
          <w:tcPr>
            <w:tcW w:w="1465" w:type="pct"/>
            <w:tcBorders>
              <w:left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2.150.215</w:t>
            </w:r>
          </w:p>
        </w:tc>
        <w:tc>
          <w:tcPr>
            <w:tcW w:w="1391" w:type="pct"/>
            <w:tcBorders>
              <w:lef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365.618</w:t>
            </w:r>
          </w:p>
        </w:tc>
      </w:tr>
      <w:tr w:rsidR="00B01F04" w:rsidRPr="00D934BE" w:rsidTr="00D86960">
        <w:trPr>
          <w:jc w:val="center"/>
        </w:trPr>
        <w:tc>
          <w:tcPr>
            <w:tcW w:w="2144" w:type="pct"/>
            <w:tcBorders>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6.Cofradías de Pescadores</w:t>
            </w:r>
          </w:p>
        </w:tc>
        <w:tc>
          <w:tcPr>
            <w:tcW w:w="1465" w:type="pct"/>
            <w:tcBorders>
              <w:left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-324.291</w:t>
            </w:r>
          </w:p>
        </w:tc>
        <w:tc>
          <w:tcPr>
            <w:tcW w:w="1391" w:type="pct"/>
            <w:tcBorders>
              <w:lef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r w:rsidRPr="00D934BE">
              <w:rPr>
                <w:rFonts w:eastAsia="Times New Roman" w:cs="Arial"/>
                <w:color w:val="000000"/>
                <w:sz w:val="16"/>
                <w:szCs w:val="16"/>
                <w:lang w:eastAsia="es-ES"/>
              </w:rPr>
              <w:t>841.818</w:t>
            </w:r>
          </w:p>
        </w:tc>
      </w:tr>
      <w:tr w:rsidR="00B01F04" w:rsidRPr="00D934BE" w:rsidTr="00D86960">
        <w:trPr>
          <w:jc w:val="center"/>
        </w:trPr>
        <w:tc>
          <w:tcPr>
            <w:tcW w:w="2144" w:type="pct"/>
            <w:tcBorders>
              <w:bottom w:val="single" w:sz="4" w:space="0" w:color="BFBFBF" w:themeColor="background1" w:themeShade="BF"/>
              <w:right w:val="single" w:sz="4" w:space="0" w:color="BFBFBF" w:themeColor="background1" w:themeShade="BF"/>
            </w:tcBorders>
          </w:tcPr>
          <w:p w:rsidR="00B01F04" w:rsidRPr="00D934BE" w:rsidRDefault="00B01F04" w:rsidP="00D86960">
            <w:pPr>
              <w:spacing w:line="240" w:lineRule="exact"/>
              <w:rPr>
                <w:rFonts w:eastAsia="Times New Roman" w:cs="Arial"/>
                <w:color w:val="000000"/>
                <w:sz w:val="16"/>
                <w:szCs w:val="16"/>
                <w:lang w:eastAsia="es-ES"/>
              </w:rPr>
            </w:pPr>
            <w:r w:rsidRPr="00D934BE">
              <w:rPr>
                <w:rFonts w:eastAsia="Times New Roman" w:cs="Arial"/>
                <w:color w:val="000000"/>
                <w:sz w:val="16"/>
                <w:szCs w:val="16"/>
                <w:lang w:eastAsia="es-ES"/>
              </w:rPr>
              <w:t>7.EPSVs</w:t>
            </w:r>
          </w:p>
        </w:tc>
        <w:tc>
          <w:tcPr>
            <w:tcW w:w="146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proofErr w:type="spellStart"/>
            <w:r w:rsidRPr="00D934BE">
              <w:rPr>
                <w:rFonts w:eastAsia="Times New Roman" w:cs="Arial"/>
                <w:color w:val="000000"/>
                <w:sz w:val="16"/>
                <w:szCs w:val="16"/>
                <w:lang w:eastAsia="es-ES"/>
              </w:rPr>
              <w:t>n.p</w:t>
            </w:r>
            <w:proofErr w:type="spellEnd"/>
            <w:r w:rsidRPr="00D934BE">
              <w:rPr>
                <w:rFonts w:eastAsia="Times New Roman" w:cs="Arial"/>
                <w:color w:val="000000"/>
                <w:sz w:val="16"/>
                <w:szCs w:val="16"/>
                <w:lang w:eastAsia="es-ES"/>
              </w:rPr>
              <w:t>.</w:t>
            </w:r>
          </w:p>
        </w:tc>
        <w:tc>
          <w:tcPr>
            <w:tcW w:w="1391" w:type="pct"/>
            <w:tcBorders>
              <w:left w:val="single" w:sz="4" w:space="0" w:color="BFBFBF" w:themeColor="background1" w:themeShade="BF"/>
              <w:bottom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color w:val="000000"/>
                <w:sz w:val="16"/>
                <w:szCs w:val="16"/>
                <w:lang w:eastAsia="es-ES"/>
              </w:rPr>
            </w:pPr>
            <w:proofErr w:type="spellStart"/>
            <w:r w:rsidRPr="00D934BE">
              <w:rPr>
                <w:rFonts w:eastAsia="Times New Roman" w:cs="Arial"/>
                <w:color w:val="000000"/>
                <w:sz w:val="16"/>
                <w:szCs w:val="16"/>
                <w:lang w:eastAsia="es-ES"/>
              </w:rPr>
              <w:t>n.p</w:t>
            </w:r>
            <w:proofErr w:type="spellEnd"/>
            <w:r w:rsidRPr="00D934BE">
              <w:rPr>
                <w:rFonts w:eastAsia="Times New Roman" w:cs="Arial"/>
                <w:color w:val="000000"/>
                <w:sz w:val="16"/>
                <w:szCs w:val="16"/>
                <w:lang w:eastAsia="es-ES"/>
              </w:rPr>
              <w:t>.</w:t>
            </w:r>
          </w:p>
        </w:tc>
      </w:tr>
      <w:tr w:rsidR="00B01F04" w:rsidRPr="00D934BE" w:rsidTr="00D86960">
        <w:trPr>
          <w:jc w:val="center"/>
        </w:trPr>
        <w:tc>
          <w:tcPr>
            <w:tcW w:w="2144"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B01F04" w:rsidRPr="00D934BE" w:rsidRDefault="00B01F04" w:rsidP="00D86960">
            <w:pPr>
              <w:widowControl w:val="0"/>
              <w:spacing w:line="240" w:lineRule="exact"/>
              <w:rPr>
                <w:rFonts w:cs="Arial"/>
                <w:b/>
                <w:sz w:val="16"/>
                <w:szCs w:val="16"/>
              </w:rPr>
            </w:pPr>
            <w:r w:rsidRPr="00D934BE">
              <w:rPr>
                <w:rFonts w:cs="Arial"/>
                <w:b/>
                <w:sz w:val="16"/>
                <w:szCs w:val="16"/>
              </w:rPr>
              <w:t>TOTAL*</w:t>
            </w:r>
          </w:p>
        </w:tc>
        <w:tc>
          <w:tcPr>
            <w:tcW w:w="14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b/>
                <w:color w:val="000000"/>
                <w:sz w:val="16"/>
                <w:szCs w:val="16"/>
                <w:lang w:eastAsia="es-ES"/>
              </w:rPr>
            </w:pPr>
            <w:r w:rsidRPr="00D934BE">
              <w:rPr>
                <w:rFonts w:eastAsia="Times New Roman" w:cs="Arial"/>
                <w:b/>
                <w:color w:val="000000"/>
                <w:sz w:val="16"/>
                <w:szCs w:val="16"/>
                <w:lang w:eastAsia="es-ES"/>
              </w:rPr>
              <w:t>5.911.309</w:t>
            </w: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rsidR="00B01F04" w:rsidRPr="00D934BE" w:rsidRDefault="00B01F04" w:rsidP="00D86960">
            <w:pPr>
              <w:spacing w:line="240" w:lineRule="exact"/>
              <w:ind w:right="253"/>
              <w:jc w:val="right"/>
              <w:rPr>
                <w:rFonts w:eastAsia="Times New Roman" w:cs="Arial"/>
                <w:b/>
                <w:color w:val="000000"/>
                <w:sz w:val="16"/>
                <w:szCs w:val="16"/>
                <w:lang w:eastAsia="es-ES"/>
              </w:rPr>
            </w:pPr>
            <w:r w:rsidRPr="00D934BE">
              <w:rPr>
                <w:rFonts w:eastAsia="Times New Roman" w:cs="Arial"/>
                <w:b/>
                <w:color w:val="000000"/>
                <w:sz w:val="16"/>
                <w:szCs w:val="16"/>
                <w:lang w:eastAsia="es-ES"/>
              </w:rPr>
              <w:t>54.334.455</w:t>
            </w:r>
          </w:p>
        </w:tc>
      </w:tr>
    </w:tbl>
    <w:p w:rsidR="00B01F04" w:rsidRDefault="00B01F04" w:rsidP="00B01F04">
      <w:pPr>
        <w:pStyle w:val="Prrafodelista"/>
        <w:spacing w:line="240" w:lineRule="auto"/>
        <w:ind w:left="360"/>
        <w:rPr>
          <w:rFonts w:ascii="Arial" w:eastAsia="Times New Roman" w:hAnsi="Arial"/>
          <w:b/>
          <w:snapToGrid w:val="0"/>
          <w:color w:val="1F497D" w:themeColor="text2"/>
          <w:lang w:eastAsia="es-ES"/>
        </w:rPr>
      </w:pPr>
    </w:p>
    <w:p w:rsidR="00B01F04" w:rsidRDefault="00B01F04" w:rsidP="00B01F04">
      <w:pPr>
        <w:pStyle w:val="Prrafodelista"/>
        <w:spacing w:line="240" w:lineRule="auto"/>
        <w:ind w:left="360"/>
        <w:rPr>
          <w:rFonts w:ascii="Arial" w:eastAsia="Times New Roman" w:hAnsi="Arial"/>
          <w:b/>
          <w:snapToGrid w:val="0"/>
          <w:color w:val="1F497D" w:themeColor="text2"/>
          <w:lang w:eastAsia="es-ES"/>
        </w:rPr>
      </w:pPr>
    </w:p>
    <w:p w:rsidR="00B01F04" w:rsidRDefault="00B01F04" w:rsidP="00B01F04">
      <w:pPr>
        <w:jc w:val="left"/>
        <w:rPr>
          <w:rFonts w:eastAsia="Times New Roman" w:cs="Times New Roman"/>
          <w:b/>
          <w:snapToGrid w:val="0"/>
          <w:color w:val="1F497D" w:themeColor="text2"/>
          <w:sz w:val="22"/>
          <w:lang w:eastAsia="es-ES"/>
        </w:rPr>
      </w:pPr>
      <w:r>
        <w:rPr>
          <w:rFonts w:eastAsia="Times New Roman" w:cs="Times New Roman"/>
          <w:b/>
          <w:snapToGrid w:val="0"/>
          <w:color w:val="1F497D" w:themeColor="text2"/>
          <w:lang w:eastAsia="es-ES"/>
        </w:rPr>
        <w:br w:type="page"/>
      </w:r>
    </w:p>
    <w:p w:rsidR="00B01F04" w:rsidRPr="00A25CF2" w:rsidRDefault="00B01F04" w:rsidP="00A25CF2">
      <w:pPr>
        <w:pStyle w:val="Ttulo1"/>
        <w:ind w:left="708" w:hanging="708"/>
        <w:rPr>
          <w:color w:val="1F497D" w:themeColor="text2"/>
          <w:sz w:val="22"/>
          <w:szCs w:val="22"/>
        </w:rPr>
      </w:pPr>
      <w:bookmarkStart w:id="439" w:name="_Toc450118945"/>
      <w:r w:rsidRPr="00A25CF2">
        <w:rPr>
          <w:color w:val="1F497D" w:themeColor="text2"/>
          <w:sz w:val="22"/>
          <w:szCs w:val="22"/>
        </w:rPr>
        <w:lastRenderedPageBreak/>
        <w:t>1.</w:t>
      </w:r>
      <w:r w:rsidR="00A25CF2">
        <w:rPr>
          <w:color w:val="1F497D" w:themeColor="text2"/>
          <w:sz w:val="22"/>
          <w:szCs w:val="22"/>
        </w:rPr>
        <w:t>5</w:t>
      </w:r>
      <w:r w:rsidRPr="00A25CF2">
        <w:rPr>
          <w:color w:val="1F497D" w:themeColor="text2"/>
          <w:sz w:val="22"/>
          <w:szCs w:val="22"/>
        </w:rPr>
        <w:t>.-</w:t>
      </w:r>
      <w:r w:rsidRPr="00A25CF2">
        <w:rPr>
          <w:color w:val="1F497D" w:themeColor="text2"/>
          <w:sz w:val="22"/>
          <w:szCs w:val="22"/>
        </w:rPr>
        <w:tab/>
        <w:t>LAS GRANDES CIFRAS DE LA ECONOMÍA SOCIAL AGREGADA 2014</w:t>
      </w:r>
      <w:r w:rsidR="00A25CF2">
        <w:rPr>
          <w:color w:val="1F497D" w:themeColor="text2"/>
          <w:sz w:val="22"/>
          <w:szCs w:val="22"/>
        </w:rPr>
        <w:t xml:space="preserve"> </w:t>
      </w:r>
      <w:r w:rsidRPr="00A25CF2">
        <w:rPr>
          <w:color w:val="1F497D" w:themeColor="text2"/>
          <w:sz w:val="22"/>
          <w:szCs w:val="22"/>
        </w:rPr>
        <w:t>(FCES +NFES)</w:t>
      </w:r>
      <w:bookmarkEnd w:id="439"/>
      <w:r w:rsidRPr="00A25CF2">
        <w:rPr>
          <w:color w:val="1F497D" w:themeColor="text2"/>
          <w:sz w:val="22"/>
          <w:szCs w:val="22"/>
        </w:rPr>
        <w:t xml:space="preserve"> </w:t>
      </w:r>
    </w:p>
    <w:p w:rsidR="00B01F04" w:rsidRDefault="00B01F04" w:rsidP="00B01F04">
      <w:pPr>
        <w:pStyle w:val="Prrafodelista"/>
        <w:spacing w:line="240" w:lineRule="auto"/>
        <w:ind w:left="360"/>
        <w:rPr>
          <w:rFonts w:ascii="Arial" w:eastAsia="Times New Roman" w:hAnsi="Arial"/>
          <w:b/>
          <w:snapToGrid w:val="0"/>
          <w:color w:val="1F497D" w:themeColor="text2"/>
          <w:lang w:eastAsia="es-ES"/>
        </w:rPr>
      </w:pPr>
    </w:p>
    <w:p w:rsidR="00B01F04" w:rsidRPr="00A25CF2" w:rsidRDefault="00B01F04" w:rsidP="00A25CF2">
      <w:pPr>
        <w:pStyle w:val="Ttulo1"/>
        <w:ind w:left="708" w:hanging="708"/>
        <w:rPr>
          <w:color w:val="1F497D" w:themeColor="text2"/>
          <w:sz w:val="22"/>
          <w:szCs w:val="22"/>
        </w:rPr>
      </w:pPr>
      <w:bookmarkStart w:id="440" w:name="_Toc450118946"/>
      <w:r w:rsidRPr="00A25CF2">
        <w:rPr>
          <w:color w:val="1F497D" w:themeColor="text2"/>
          <w:sz w:val="22"/>
          <w:szCs w:val="22"/>
        </w:rPr>
        <w:t>1.</w:t>
      </w:r>
      <w:r w:rsidR="00A25CF2">
        <w:rPr>
          <w:color w:val="1F497D" w:themeColor="text2"/>
          <w:sz w:val="22"/>
          <w:szCs w:val="22"/>
        </w:rPr>
        <w:t>5</w:t>
      </w:r>
      <w:r w:rsidRPr="00A25CF2">
        <w:rPr>
          <w:color w:val="1F497D" w:themeColor="text2"/>
          <w:sz w:val="22"/>
          <w:szCs w:val="22"/>
        </w:rPr>
        <w:t>.1.- Establecimientos y Empleo</w:t>
      </w:r>
      <w:bookmarkEnd w:id="440"/>
    </w:p>
    <w:p w:rsidR="00B01F04" w:rsidRDefault="00B01F04" w:rsidP="00B01F04">
      <w:pPr>
        <w:widowControl w:val="0"/>
        <w:spacing w:line="240" w:lineRule="auto"/>
        <w:jc w:val="center"/>
        <w:rPr>
          <w:rFonts w:cs="Arial"/>
          <w:b/>
          <w:snapToGrid w:val="0"/>
          <w:color w:val="1F497D" w:themeColor="text2"/>
          <w:sz w:val="18"/>
          <w:szCs w:val="18"/>
          <w:lang w:val="es-ES_tradnl"/>
        </w:rPr>
      </w:pPr>
    </w:p>
    <w:p w:rsidR="00B01F04" w:rsidRPr="00DC7DAD" w:rsidRDefault="00A67658" w:rsidP="00B01F04">
      <w:pPr>
        <w:widowControl w:val="0"/>
        <w:spacing w:line="240" w:lineRule="auto"/>
        <w:jc w:val="center"/>
        <w:rPr>
          <w:rFonts w:cs="Arial"/>
          <w:b/>
          <w:color w:val="1F497D" w:themeColor="text2"/>
          <w:sz w:val="18"/>
          <w:szCs w:val="18"/>
        </w:rPr>
      </w:pPr>
      <w:bookmarkStart w:id="441" w:name="_Toc445381002"/>
      <w:bookmarkStart w:id="442" w:name="_Toc450119854"/>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29</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Pr>
          <w:rFonts w:cs="Arial"/>
          <w:b/>
          <w:color w:val="1F497D" w:themeColor="text2"/>
          <w:sz w:val="18"/>
          <w:szCs w:val="18"/>
        </w:rPr>
        <w:t>DISTRIBUCIÓN DE ESTABLECIMIENTOS FCES Y NFES 2014 (cifras absolutas y % verticales)</w:t>
      </w:r>
      <w:bookmarkEnd w:id="441"/>
      <w:bookmarkEnd w:id="442"/>
    </w:p>
    <w:tbl>
      <w:tblPr>
        <w:tblW w:w="9940" w:type="dxa"/>
        <w:jc w:val="center"/>
        <w:tblLook w:val="04A0" w:firstRow="1" w:lastRow="0" w:firstColumn="1" w:lastColumn="0" w:noHBand="0" w:noVBand="1"/>
      </w:tblPr>
      <w:tblGrid>
        <w:gridCol w:w="4930"/>
        <w:gridCol w:w="2505"/>
        <w:gridCol w:w="2505"/>
      </w:tblGrid>
      <w:tr w:rsidR="00B01F04" w:rsidRPr="00F04D4B" w:rsidTr="00537ABD">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r>
      <w:tr w:rsidR="00B01F04" w:rsidRPr="00F04D4B" w:rsidTr="00537ABD">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sz w:val="16"/>
                <w:szCs w:val="16"/>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Abs.</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 ver.</w:t>
            </w:r>
          </w:p>
        </w:tc>
      </w:tr>
      <w:tr w:rsidR="00B01F04" w:rsidRPr="00F04D4B" w:rsidTr="00537ABD">
        <w:trPr>
          <w:jc w:val="center"/>
        </w:trPr>
        <w:tc>
          <w:tcPr>
            <w:tcW w:w="2480" w:type="pct"/>
            <w:tcBorders>
              <w:top w:val="single" w:sz="4" w:space="0" w:color="BFBFBF" w:themeColor="background1" w:themeShade="BF"/>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FCES</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A45E71">
              <w:rPr>
                <w:rFonts w:cs="Arial"/>
                <w:b/>
                <w:color w:val="000000"/>
                <w:sz w:val="16"/>
                <w:szCs w:val="16"/>
              </w:rPr>
              <w:t>3.127</w:t>
            </w:r>
          </w:p>
        </w:tc>
        <w:tc>
          <w:tcPr>
            <w:tcW w:w="1260" w:type="pct"/>
            <w:tcBorders>
              <w:top w:val="single" w:sz="4" w:space="0" w:color="BFBFBF" w:themeColor="background1" w:themeShade="BF"/>
              <w:lef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A45E71">
              <w:rPr>
                <w:rFonts w:cs="Arial"/>
                <w:b/>
                <w:color w:val="000000"/>
                <w:sz w:val="16"/>
                <w:szCs w:val="16"/>
              </w:rPr>
              <w:t>60,3</w:t>
            </w:r>
          </w:p>
        </w:tc>
      </w:tr>
      <w:tr w:rsidR="00B01F04" w:rsidRPr="00F04D4B" w:rsidTr="00537ABD">
        <w:trPr>
          <w:jc w:val="center"/>
        </w:trPr>
        <w:tc>
          <w:tcPr>
            <w:tcW w:w="248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Cooperativas</w:t>
            </w:r>
          </w:p>
        </w:tc>
        <w:tc>
          <w:tcPr>
            <w:tcW w:w="1260"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sidRPr="009C114A">
              <w:rPr>
                <w:rFonts w:cs="Arial"/>
                <w:color w:val="000000"/>
                <w:sz w:val="16"/>
                <w:szCs w:val="16"/>
              </w:rPr>
              <w:t>2.233</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43,0</w:t>
            </w:r>
          </w:p>
        </w:tc>
      </w:tr>
      <w:tr w:rsidR="00B01F04" w:rsidRPr="00F04D4B" w:rsidTr="00537ABD">
        <w:trPr>
          <w:jc w:val="center"/>
        </w:trPr>
        <w:tc>
          <w:tcPr>
            <w:tcW w:w="248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S.L.</w:t>
            </w:r>
            <w:proofErr w:type="gramStart"/>
            <w:r w:rsidRPr="00F04D4B">
              <w:rPr>
                <w:rFonts w:cs="Arial"/>
                <w:sz w:val="16"/>
                <w:szCs w:val="16"/>
                <w:lang w:val="pt-BR"/>
              </w:rPr>
              <w:t>es</w:t>
            </w:r>
            <w:proofErr w:type="gramEnd"/>
          </w:p>
        </w:tc>
        <w:tc>
          <w:tcPr>
            <w:tcW w:w="1260"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sidRPr="009C114A">
              <w:rPr>
                <w:rFonts w:cs="Arial"/>
                <w:color w:val="000000"/>
                <w:sz w:val="16"/>
                <w:szCs w:val="16"/>
              </w:rPr>
              <w:t>8</w:t>
            </w:r>
            <w:r>
              <w:rPr>
                <w:rFonts w:cs="Arial"/>
                <w:color w:val="000000"/>
                <w:sz w:val="16"/>
                <w:szCs w:val="16"/>
              </w:rPr>
              <w:t>94</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17,3</w:t>
            </w:r>
          </w:p>
        </w:tc>
      </w:tr>
      <w:tr w:rsidR="00B01F04" w:rsidRPr="00F04D4B" w:rsidTr="00537ABD">
        <w:trPr>
          <w:jc w:val="center"/>
        </w:trPr>
        <w:tc>
          <w:tcPr>
            <w:tcW w:w="2480" w:type="pct"/>
            <w:tcBorders>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NFES</w:t>
            </w:r>
          </w:p>
        </w:tc>
        <w:tc>
          <w:tcPr>
            <w:tcW w:w="1260" w:type="pct"/>
            <w:tcBorders>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A45E71">
              <w:rPr>
                <w:rFonts w:cs="Arial"/>
                <w:b/>
                <w:color w:val="000000"/>
                <w:sz w:val="16"/>
                <w:szCs w:val="16"/>
              </w:rPr>
              <w:t>2.062</w:t>
            </w:r>
          </w:p>
        </w:tc>
        <w:tc>
          <w:tcPr>
            <w:tcW w:w="1260" w:type="pct"/>
            <w:tcBorders>
              <w:lef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A45E71">
              <w:rPr>
                <w:rFonts w:cs="Arial"/>
                <w:b/>
                <w:color w:val="000000"/>
                <w:sz w:val="16"/>
                <w:szCs w:val="16"/>
              </w:rPr>
              <w:t>39,7</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Fundaciones</w:t>
            </w:r>
          </w:p>
        </w:tc>
        <w:tc>
          <w:tcPr>
            <w:tcW w:w="1260"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1.021</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19,7</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Centros Especiales de Empleo</w:t>
            </w:r>
          </w:p>
        </w:tc>
        <w:tc>
          <w:tcPr>
            <w:tcW w:w="1260"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109</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2,1</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Asociaciones de Utilidad Pública</w:t>
            </w:r>
          </w:p>
        </w:tc>
        <w:tc>
          <w:tcPr>
            <w:tcW w:w="1260"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533</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10,3</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Empresas de Inserción</w:t>
            </w:r>
          </w:p>
        </w:tc>
        <w:tc>
          <w:tcPr>
            <w:tcW w:w="1260"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117</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2,3</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SATs</w:t>
            </w:r>
            <w:proofErr w:type="spellEnd"/>
          </w:p>
        </w:tc>
        <w:tc>
          <w:tcPr>
            <w:tcW w:w="1260"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87</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1,7</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Cofradías de Pescadores</w:t>
            </w:r>
          </w:p>
        </w:tc>
        <w:tc>
          <w:tcPr>
            <w:tcW w:w="1260"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Pr>
                <w:rFonts w:eastAsia="Times New Roman" w:cs="Arial"/>
                <w:color w:val="000000"/>
                <w:sz w:val="16"/>
                <w:szCs w:val="16"/>
                <w:lang w:eastAsia="es-ES"/>
              </w:rPr>
              <w:t>15</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0,3</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EPSVs</w:t>
            </w:r>
            <w:proofErr w:type="spellEnd"/>
          </w:p>
        </w:tc>
        <w:tc>
          <w:tcPr>
            <w:tcW w:w="1260"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237"/>
              <w:jc w:val="right"/>
              <w:rPr>
                <w:rFonts w:eastAsia="Times New Roman" w:cs="Arial"/>
                <w:color w:val="000000"/>
                <w:sz w:val="16"/>
                <w:szCs w:val="16"/>
                <w:lang w:eastAsia="es-ES"/>
              </w:rPr>
            </w:pPr>
            <w:r w:rsidRPr="00080818">
              <w:rPr>
                <w:rFonts w:eastAsia="Times New Roman" w:cs="Arial"/>
                <w:color w:val="000000"/>
                <w:sz w:val="16"/>
                <w:szCs w:val="16"/>
                <w:lang w:eastAsia="es-ES"/>
              </w:rPr>
              <w:t>179</w:t>
            </w:r>
          </w:p>
        </w:tc>
        <w:tc>
          <w:tcPr>
            <w:tcW w:w="1260" w:type="pct"/>
            <w:tcBorders>
              <w:left w:val="single" w:sz="4" w:space="0" w:color="BFBFBF" w:themeColor="background1" w:themeShade="BF"/>
            </w:tcBorders>
            <w:vAlign w:val="bottom"/>
            <w:hideMark/>
          </w:tcPr>
          <w:p w:rsidR="00B01F04" w:rsidRPr="00565862" w:rsidRDefault="00B01F04" w:rsidP="00D86960">
            <w:pPr>
              <w:widowControl w:val="0"/>
              <w:spacing w:line="240" w:lineRule="exact"/>
              <w:ind w:right="284"/>
              <w:jc w:val="right"/>
              <w:rPr>
                <w:rFonts w:cs="Arial"/>
                <w:color w:val="000000"/>
                <w:sz w:val="16"/>
                <w:szCs w:val="16"/>
              </w:rPr>
            </w:pPr>
            <w:r>
              <w:rPr>
                <w:rFonts w:cs="Arial"/>
                <w:color w:val="000000"/>
                <w:sz w:val="16"/>
                <w:szCs w:val="16"/>
              </w:rPr>
              <w:t>3,5</w:t>
            </w:r>
          </w:p>
        </w:tc>
      </w:tr>
      <w:tr w:rsidR="00B01F04" w:rsidRPr="00F04D4B" w:rsidTr="00537ABD">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widowControl w:val="0"/>
              <w:spacing w:line="240" w:lineRule="exact"/>
              <w:rPr>
                <w:rFonts w:cs="Arial"/>
                <w:b/>
                <w:bCs/>
                <w:sz w:val="16"/>
                <w:szCs w:val="16"/>
              </w:rPr>
            </w:pPr>
            <w:r w:rsidRPr="00F04D4B">
              <w:rPr>
                <w:rFonts w:cs="Arial"/>
                <w:b/>
                <w:bCs/>
                <w:sz w:val="16"/>
                <w:szCs w:val="16"/>
              </w:rPr>
              <w:t>TOTAL</w:t>
            </w:r>
          </w:p>
          <w:p w:rsidR="00B01F04" w:rsidRPr="00F04D4B" w:rsidRDefault="00B01F04" w:rsidP="00D86960">
            <w:pPr>
              <w:widowControl w:val="0"/>
              <w:spacing w:line="240" w:lineRule="exact"/>
              <w:rPr>
                <w:rFonts w:cs="Arial"/>
                <w:b/>
                <w:bCs/>
                <w:sz w:val="16"/>
                <w:szCs w:val="16"/>
              </w:rPr>
            </w:pPr>
            <w:r>
              <w:rPr>
                <w:rFonts w:cs="Arial"/>
                <w:b/>
                <w:bCs/>
                <w:sz w:val="16"/>
                <w:szCs w:val="16"/>
              </w:rPr>
              <w:t>TOTAL –sin duplicaciones</w:t>
            </w:r>
            <w:r>
              <w:rPr>
                <w:rStyle w:val="Refdenotaalpie"/>
                <w:rFonts w:cs="Arial"/>
                <w:b/>
                <w:bCs/>
                <w:sz w:val="16"/>
                <w:szCs w:val="16"/>
              </w:rPr>
              <w:footnoteReference w:id="22"/>
            </w:r>
            <w:r>
              <w:rPr>
                <w:rFonts w:cs="Arial"/>
                <w:b/>
                <w:bCs/>
                <w:sz w:val="16"/>
                <w:szCs w:val="16"/>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01F04" w:rsidRDefault="00B01F04" w:rsidP="00D86960">
            <w:pPr>
              <w:widowControl w:val="0"/>
              <w:spacing w:line="240" w:lineRule="exact"/>
              <w:ind w:right="284"/>
              <w:jc w:val="right"/>
              <w:rPr>
                <w:rFonts w:cs="Arial"/>
                <w:b/>
                <w:bCs/>
                <w:sz w:val="16"/>
                <w:szCs w:val="16"/>
              </w:rPr>
            </w:pPr>
            <w:r>
              <w:rPr>
                <w:rFonts w:cs="Arial"/>
                <w:b/>
                <w:bCs/>
                <w:sz w:val="16"/>
                <w:szCs w:val="16"/>
              </w:rPr>
              <w:t>5.189</w:t>
            </w:r>
          </w:p>
          <w:p w:rsidR="00B01F04" w:rsidRPr="00F04D4B" w:rsidRDefault="00B01F04" w:rsidP="00D86960">
            <w:pPr>
              <w:widowControl w:val="0"/>
              <w:spacing w:line="240" w:lineRule="exact"/>
              <w:ind w:right="284"/>
              <w:jc w:val="right"/>
              <w:rPr>
                <w:rFonts w:cs="Arial"/>
                <w:b/>
                <w:bCs/>
                <w:sz w:val="16"/>
                <w:szCs w:val="16"/>
              </w:rPr>
            </w:pPr>
            <w:r>
              <w:rPr>
                <w:rFonts w:cs="Arial"/>
                <w:b/>
                <w:bCs/>
                <w:sz w:val="16"/>
                <w:szCs w:val="16"/>
              </w:rPr>
              <w:t>5.172</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B01F04" w:rsidRDefault="00B01F04" w:rsidP="00D86960">
            <w:pPr>
              <w:widowControl w:val="0"/>
              <w:spacing w:line="240" w:lineRule="exact"/>
              <w:ind w:right="284"/>
              <w:jc w:val="right"/>
              <w:rPr>
                <w:rFonts w:cs="Arial"/>
                <w:b/>
                <w:bCs/>
                <w:sz w:val="16"/>
                <w:szCs w:val="16"/>
              </w:rPr>
            </w:pPr>
            <w:r w:rsidRPr="00F04D4B">
              <w:rPr>
                <w:rFonts w:cs="Arial"/>
                <w:b/>
                <w:bCs/>
                <w:sz w:val="16"/>
                <w:szCs w:val="16"/>
              </w:rPr>
              <w:t>100</w:t>
            </w:r>
            <w:r>
              <w:rPr>
                <w:rFonts w:cs="Arial"/>
                <w:b/>
                <w:bCs/>
                <w:sz w:val="16"/>
                <w:szCs w:val="16"/>
              </w:rPr>
              <w:t>,0</w:t>
            </w:r>
          </w:p>
          <w:p w:rsidR="00B01F04" w:rsidRPr="00F04D4B" w:rsidRDefault="00B01F04" w:rsidP="00D86960">
            <w:pPr>
              <w:widowControl w:val="0"/>
              <w:spacing w:line="240" w:lineRule="exact"/>
              <w:ind w:right="284"/>
              <w:jc w:val="right"/>
              <w:rPr>
                <w:rFonts w:cs="Arial"/>
                <w:b/>
                <w:bCs/>
                <w:sz w:val="16"/>
                <w:szCs w:val="16"/>
              </w:rPr>
            </w:pPr>
          </w:p>
        </w:tc>
      </w:tr>
    </w:tbl>
    <w:p w:rsidR="00B01F04" w:rsidRDefault="00B01F04" w:rsidP="00B01F04">
      <w:pPr>
        <w:widowControl w:val="0"/>
        <w:rPr>
          <w:rFonts w:eastAsia="Times New Roman" w:cs="Times New Roman"/>
          <w:b/>
          <w:snapToGrid w:val="0"/>
          <w:color w:val="1F497D" w:themeColor="text2"/>
          <w:sz w:val="22"/>
          <w:lang w:eastAsia="es-ES"/>
        </w:rPr>
      </w:pPr>
    </w:p>
    <w:p w:rsidR="00B01F04" w:rsidRDefault="00A67658" w:rsidP="00B01F04">
      <w:pPr>
        <w:widowControl w:val="0"/>
        <w:spacing w:line="240" w:lineRule="auto"/>
        <w:jc w:val="center"/>
        <w:rPr>
          <w:rFonts w:cs="Arial"/>
          <w:b/>
          <w:color w:val="1F497D" w:themeColor="text2"/>
          <w:sz w:val="18"/>
          <w:szCs w:val="18"/>
        </w:rPr>
      </w:pPr>
      <w:bookmarkStart w:id="443" w:name="_Toc445381003"/>
      <w:bookmarkStart w:id="444" w:name="_Toc450119855"/>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30</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Pr>
          <w:rFonts w:cs="Arial"/>
          <w:b/>
          <w:color w:val="1F497D" w:themeColor="text2"/>
          <w:sz w:val="18"/>
          <w:szCs w:val="18"/>
        </w:rPr>
        <w:t>DISTRIBUCIÓN DEL EMPLEO REMUNERADO ANUALIZADO FCES Y NFES 2014</w:t>
      </w:r>
      <w:bookmarkEnd w:id="443"/>
      <w:bookmarkEnd w:id="444"/>
      <w:r w:rsidR="00B01F04">
        <w:rPr>
          <w:rFonts w:cs="Arial"/>
          <w:b/>
          <w:color w:val="1F497D" w:themeColor="text2"/>
          <w:sz w:val="18"/>
          <w:szCs w:val="18"/>
        </w:rPr>
        <w:t xml:space="preserve"> </w:t>
      </w:r>
    </w:p>
    <w:p w:rsidR="00B01F04" w:rsidRPr="00DC7DAD" w:rsidRDefault="00B01F04" w:rsidP="00B01F04">
      <w:pPr>
        <w:widowControl w:val="0"/>
        <w:spacing w:line="240" w:lineRule="auto"/>
        <w:jc w:val="center"/>
        <w:rPr>
          <w:rFonts w:cs="Arial"/>
          <w:b/>
          <w:color w:val="1F497D" w:themeColor="text2"/>
          <w:sz w:val="18"/>
          <w:szCs w:val="18"/>
        </w:rPr>
      </w:pPr>
      <w:r>
        <w:rPr>
          <w:rFonts w:cs="Arial"/>
          <w:b/>
          <w:color w:val="1F497D" w:themeColor="text2"/>
          <w:sz w:val="18"/>
          <w:szCs w:val="18"/>
        </w:rPr>
        <w:t>(</w:t>
      </w:r>
      <w:proofErr w:type="gramStart"/>
      <w:r>
        <w:rPr>
          <w:rFonts w:cs="Arial"/>
          <w:b/>
          <w:color w:val="1F497D" w:themeColor="text2"/>
          <w:sz w:val="18"/>
          <w:szCs w:val="18"/>
        </w:rPr>
        <w:t>cifras</w:t>
      </w:r>
      <w:proofErr w:type="gramEnd"/>
      <w:r>
        <w:rPr>
          <w:rFonts w:cs="Arial"/>
          <w:b/>
          <w:color w:val="1F497D" w:themeColor="text2"/>
          <w:sz w:val="18"/>
          <w:szCs w:val="18"/>
        </w:rPr>
        <w:t xml:space="preserve"> absolutas y % verticales)</w:t>
      </w:r>
    </w:p>
    <w:tbl>
      <w:tblPr>
        <w:tblW w:w="9940" w:type="dxa"/>
        <w:jc w:val="center"/>
        <w:tblLook w:val="04A0" w:firstRow="1" w:lastRow="0" w:firstColumn="1" w:lastColumn="0" w:noHBand="0" w:noVBand="1"/>
      </w:tblPr>
      <w:tblGrid>
        <w:gridCol w:w="4930"/>
        <w:gridCol w:w="2505"/>
        <w:gridCol w:w="2505"/>
      </w:tblGrid>
      <w:tr w:rsidR="00B01F04" w:rsidRPr="00F04D4B" w:rsidTr="00537ABD">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r>
      <w:tr w:rsidR="00B01F04" w:rsidRPr="00F04D4B" w:rsidTr="00537ABD">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sz w:val="16"/>
                <w:szCs w:val="16"/>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Abs.</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 ver.</w:t>
            </w:r>
          </w:p>
        </w:tc>
      </w:tr>
      <w:tr w:rsidR="00B01F04" w:rsidRPr="00F04D4B" w:rsidTr="00537ABD">
        <w:trPr>
          <w:jc w:val="center"/>
        </w:trPr>
        <w:tc>
          <w:tcPr>
            <w:tcW w:w="2480" w:type="pct"/>
            <w:tcBorders>
              <w:top w:val="single" w:sz="4" w:space="0" w:color="BFBFBF" w:themeColor="background1" w:themeShade="BF"/>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FCES</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Pr>
                <w:rFonts w:cs="Arial"/>
                <w:b/>
                <w:color w:val="000000"/>
                <w:sz w:val="16"/>
                <w:szCs w:val="16"/>
              </w:rPr>
              <w:t>54.582</w:t>
            </w:r>
          </w:p>
        </w:tc>
        <w:tc>
          <w:tcPr>
            <w:tcW w:w="1260" w:type="pct"/>
            <w:tcBorders>
              <w:top w:val="single" w:sz="4" w:space="0" w:color="BFBFBF" w:themeColor="background1" w:themeShade="BF"/>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b/>
                <w:color w:val="000000"/>
                <w:sz w:val="16"/>
                <w:szCs w:val="16"/>
              </w:rPr>
            </w:pPr>
            <w:r w:rsidRPr="00BD789C">
              <w:rPr>
                <w:rFonts w:cs="Arial"/>
                <w:b/>
                <w:color w:val="000000"/>
                <w:sz w:val="16"/>
                <w:szCs w:val="16"/>
              </w:rPr>
              <w:t>70,1</w:t>
            </w:r>
          </w:p>
        </w:tc>
      </w:tr>
      <w:tr w:rsidR="00B01F04" w:rsidRPr="00F04D4B" w:rsidTr="00537ABD">
        <w:trPr>
          <w:jc w:val="center"/>
        </w:trPr>
        <w:tc>
          <w:tcPr>
            <w:tcW w:w="248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Cooperativas</w:t>
            </w:r>
          </w:p>
        </w:tc>
        <w:tc>
          <w:tcPr>
            <w:tcW w:w="1260"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sidRPr="007E6F1C">
              <w:rPr>
                <w:rFonts w:cs="Arial"/>
                <w:color w:val="000000"/>
                <w:sz w:val="16"/>
                <w:szCs w:val="16"/>
              </w:rPr>
              <w:t>47.322</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60,8</w:t>
            </w:r>
          </w:p>
        </w:tc>
      </w:tr>
      <w:tr w:rsidR="00B01F04" w:rsidRPr="00F04D4B" w:rsidTr="00537ABD">
        <w:trPr>
          <w:jc w:val="center"/>
        </w:trPr>
        <w:tc>
          <w:tcPr>
            <w:tcW w:w="248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S.L.</w:t>
            </w:r>
            <w:proofErr w:type="gramStart"/>
            <w:r w:rsidRPr="00F04D4B">
              <w:rPr>
                <w:rFonts w:cs="Arial"/>
                <w:sz w:val="16"/>
                <w:szCs w:val="16"/>
                <w:lang w:val="pt-BR"/>
              </w:rPr>
              <w:t>es</w:t>
            </w:r>
            <w:proofErr w:type="gramEnd"/>
          </w:p>
        </w:tc>
        <w:tc>
          <w:tcPr>
            <w:tcW w:w="1260"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Pr>
                <w:rFonts w:cs="Arial"/>
                <w:color w:val="000000"/>
                <w:sz w:val="16"/>
                <w:szCs w:val="16"/>
              </w:rPr>
              <w:t>7.259</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9,3</w:t>
            </w:r>
          </w:p>
        </w:tc>
      </w:tr>
      <w:tr w:rsidR="00B01F04" w:rsidRPr="00F04D4B" w:rsidTr="00537ABD">
        <w:trPr>
          <w:jc w:val="center"/>
        </w:trPr>
        <w:tc>
          <w:tcPr>
            <w:tcW w:w="2480" w:type="pct"/>
            <w:tcBorders>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NFES</w:t>
            </w:r>
          </w:p>
        </w:tc>
        <w:tc>
          <w:tcPr>
            <w:tcW w:w="1260" w:type="pct"/>
            <w:tcBorders>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080818">
              <w:rPr>
                <w:rFonts w:eastAsia="Times New Roman" w:cs="Arial"/>
                <w:b/>
                <w:bCs/>
                <w:color w:val="000000"/>
                <w:sz w:val="16"/>
                <w:szCs w:val="16"/>
                <w:lang w:eastAsia="es-ES"/>
              </w:rPr>
              <w:t>23.238</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b/>
                <w:color w:val="000000"/>
                <w:sz w:val="16"/>
                <w:szCs w:val="16"/>
              </w:rPr>
            </w:pPr>
            <w:r w:rsidRPr="00BD789C">
              <w:rPr>
                <w:rFonts w:cs="Arial"/>
                <w:b/>
                <w:color w:val="000000"/>
                <w:sz w:val="16"/>
                <w:szCs w:val="16"/>
              </w:rPr>
              <w:t>29,9</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Fundaciones</w:t>
            </w:r>
          </w:p>
        </w:tc>
        <w:tc>
          <w:tcPr>
            <w:tcW w:w="1260" w:type="pct"/>
            <w:tcBorders>
              <w:left w:val="single" w:sz="4" w:space="0" w:color="BFBFBF" w:themeColor="background1" w:themeShade="BF"/>
              <w:right w:val="single" w:sz="4" w:space="0" w:color="BFBFBF" w:themeColor="background1" w:themeShade="BF"/>
            </w:tcBorders>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10.482</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13,5</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Centros Especiales de Empleo</w:t>
            </w:r>
          </w:p>
        </w:tc>
        <w:tc>
          <w:tcPr>
            <w:tcW w:w="1260" w:type="pct"/>
            <w:tcBorders>
              <w:left w:val="single" w:sz="4" w:space="0" w:color="BFBFBF" w:themeColor="background1" w:themeShade="BF"/>
              <w:right w:val="single" w:sz="4" w:space="0" w:color="BFBFBF" w:themeColor="background1" w:themeShade="BF"/>
            </w:tcBorders>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7.920</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10,2</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Asociaciones de Utilidad Pública</w:t>
            </w:r>
          </w:p>
        </w:tc>
        <w:tc>
          <w:tcPr>
            <w:tcW w:w="1260" w:type="pct"/>
            <w:tcBorders>
              <w:left w:val="single" w:sz="4" w:space="0" w:color="BFBFBF" w:themeColor="background1" w:themeShade="BF"/>
              <w:right w:val="single" w:sz="4" w:space="0" w:color="BFBFBF" w:themeColor="background1" w:themeShade="BF"/>
            </w:tcBorders>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3.593</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4,6</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Empresas de Inserción</w:t>
            </w:r>
          </w:p>
        </w:tc>
        <w:tc>
          <w:tcPr>
            <w:tcW w:w="1260" w:type="pct"/>
            <w:tcBorders>
              <w:left w:val="single" w:sz="4" w:space="0" w:color="BFBFBF" w:themeColor="background1" w:themeShade="BF"/>
              <w:right w:val="single" w:sz="4" w:space="0" w:color="BFBFBF" w:themeColor="background1" w:themeShade="BF"/>
            </w:tcBorders>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846</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1,1</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SATs</w:t>
            </w:r>
            <w:proofErr w:type="spellEnd"/>
          </w:p>
        </w:tc>
        <w:tc>
          <w:tcPr>
            <w:tcW w:w="1260" w:type="pct"/>
            <w:tcBorders>
              <w:left w:val="single" w:sz="4" w:space="0" w:color="BFBFBF" w:themeColor="background1" w:themeShade="BF"/>
              <w:right w:val="single" w:sz="4" w:space="0" w:color="BFBFBF" w:themeColor="background1" w:themeShade="BF"/>
            </w:tcBorders>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239</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0,3</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Cofradías de Pescadores</w:t>
            </w:r>
          </w:p>
        </w:tc>
        <w:tc>
          <w:tcPr>
            <w:tcW w:w="1260" w:type="pct"/>
            <w:tcBorders>
              <w:left w:val="single" w:sz="4" w:space="0" w:color="BFBFBF" w:themeColor="background1" w:themeShade="BF"/>
              <w:right w:val="single" w:sz="4" w:space="0" w:color="BFBFBF" w:themeColor="background1" w:themeShade="BF"/>
            </w:tcBorders>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63</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0,1</w:t>
            </w:r>
          </w:p>
        </w:tc>
      </w:tr>
      <w:tr w:rsidR="00B01F04" w:rsidRPr="00F04D4B" w:rsidTr="00537ABD">
        <w:trPr>
          <w:jc w:val="center"/>
        </w:trPr>
        <w:tc>
          <w:tcPr>
            <w:tcW w:w="248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EPSVs</w:t>
            </w:r>
            <w:proofErr w:type="spellEnd"/>
          </w:p>
        </w:tc>
        <w:tc>
          <w:tcPr>
            <w:tcW w:w="1260" w:type="pct"/>
            <w:tcBorders>
              <w:left w:val="single" w:sz="4" w:space="0" w:color="BFBFBF" w:themeColor="background1" w:themeShade="BF"/>
              <w:right w:val="single" w:sz="4" w:space="0" w:color="BFBFBF" w:themeColor="background1" w:themeShade="BF"/>
            </w:tcBorders>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95</w:t>
            </w:r>
          </w:p>
        </w:tc>
        <w:tc>
          <w:tcPr>
            <w:tcW w:w="1260" w:type="pct"/>
            <w:tcBorders>
              <w:left w:val="single" w:sz="4" w:space="0" w:color="BFBFBF" w:themeColor="background1" w:themeShade="BF"/>
            </w:tcBorders>
            <w:vAlign w:val="bottom"/>
            <w:hideMark/>
          </w:tcPr>
          <w:p w:rsidR="00B01F04" w:rsidRPr="00BD789C" w:rsidRDefault="00B01F04" w:rsidP="00D86960">
            <w:pPr>
              <w:widowControl w:val="0"/>
              <w:spacing w:line="240" w:lineRule="exact"/>
              <w:ind w:right="284"/>
              <w:jc w:val="right"/>
              <w:rPr>
                <w:rFonts w:cs="Arial"/>
                <w:color w:val="000000"/>
                <w:sz w:val="16"/>
                <w:szCs w:val="16"/>
              </w:rPr>
            </w:pPr>
            <w:r w:rsidRPr="00BD789C">
              <w:rPr>
                <w:rFonts w:cs="Arial"/>
                <w:color w:val="000000"/>
                <w:sz w:val="16"/>
                <w:szCs w:val="16"/>
              </w:rPr>
              <w:t>0,1</w:t>
            </w:r>
          </w:p>
        </w:tc>
      </w:tr>
      <w:tr w:rsidR="00B01F04" w:rsidRPr="00F04D4B" w:rsidTr="00537ABD">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widowControl w:val="0"/>
              <w:spacing w:line="240" w:lineRule="exact"/>
              <w:rPr>
                <w:rFonts w:cs="Arial"/>
                <w:b/>
                <w:bCs/>
                <w:sz w:val="16"/>
                <w:szCs w:val="16"/>
              </w:rPr>
            </w:pPr>
            <w:r w:rsidRPr="00F04D4B">
              <w:rPr>
                <w:rFonts w:cs="Arial"/>
                <w:b/>
                <w:bCs/>
                <w:sz w:val="16"/>
                <w:szCs w:val="16"/>
              </w:rPr>
              <w:t>TOTAL</w:t>
            </w:r>
            <w:r>
              <w:rPr>
                <w:rFonts w:cs="Arial"/>
                <w:b/>
                <w:bCs/>
                <w:sz w:val="16"/>
                <w:szCs w:val="16"/>
              </w:rPr>
              <w:tab/>
            </w:r>
          </w:p>
          <w:p w:rsidR="00B01F04" w:rsidRPr="00F04D4B" w:rsidRDefault="00B01F04" w:rsidP="00D86960">
            <w:pPr>
              <w:widowControl w:val="0"/>
              <w:spacing w:line="240" w:lineRule="exact"/>
              <w:rPr>
                <w:rFonts w:cs="Arial"/>
                <w:b/>
                <w:bCs/>
                <w:sz w:val="16"/>
                <w:szCs w:val="16"/>
              </w:rPr>
            </w:pPr>
            <w:r>
              <w:rPr>
                <w:rFonts w:cs="Arial"/>
                <w:b/>
                <w:bCs/>
                <w:sz w:val="16"/>
                <w:szCs w:val="16"/>
              </w:rPr>
              <w:t>TOTAL –sin duplicaciones</w:t>
            </w:r>
            <w:r>
              <w:rPr>
                <w:rStyle w:val="Refdenotaalpie"/>
                <w:rFonts w:cs="Arial"/>
                <w:b/>
                <w:bCs/>
                <w:sz w:val="16"/>
                <w:szCs w:val="16"/>
              </w:rPr>
              <w:footnoteReference w:id="23"/>
            </w:r>
            <w:r>
              <w:rPr>
                <w:rFonts w:cs="Arial"/>
                <w:b/>
                <w:bCs/>
                <w:sz w:val="16"/>
                <w:szCs w:val="16"/>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01F04" w:rsidRDefault="00B01F04" w:rsidP="00D86960">
            <w:pPr>
              <w:widowControl w:val="0"/>
              <w:spacing w:line="240" w:lineRule="exact"/>
              <w:ind w:right="284"/>
              <w:jc w:val="right"/>
              <w:rPr>
                <w:rFonts w:cs="Arial"/>
                <w:b/>
                <w:bCs/>
                <w:sz w:val="16"/>
                <w:szCs w:val="16"/>
              </w:rPr>
            </w:pPr>
            <w:r>
              <w:rPr>
                <w:rFonts w:cs="Arial"/>
                <w:b/>
                <w:bCs/>
                <w:sz w:val="16"/>
                <w:szCs w:val="16"/>
              </w:rPr>
              <w:t>77.820</w:t>
            </w:r>
          </w:p>
          <w:p w:rsidR="00B01F04" w:rsidRPr="00F04D4B" w:rsidRDefault="00B01F04" w:rsidP="00D86960">
            <w:pPr>
              <w:widowControl w:val="0"/>
              <w:spacing w:line="240" w:lineRule="exact"/>
              <w:ind w:right="284"/>
              <w:jc w:val="right"/>
              <w:rPr>
                <w:rFonts w:cs="Arial"/>
                <w:b/>
                <w:bCs/>
                <w:sz w:val="16"/>
                <w:szCs w:val="16"/>
              </w:rPr>
            </w:pPr>
            <w:r>
              <w:rPr>
                <w:rFonts w:cs="Arial"/>
                <w:b/>
                <w:bCs/>
                <w:sz w:val="16"/>
                <w:szCs w:val="16"/>
              </w:rPr>
              <w:t>76.843</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B01F04" w:rsidRDefault="00B01F04" w:rsidP="00D86960">
            <w:pPr>
              <w:widowControl w:val="0"/>
              <w:spacing w:line="240" w:lineRule="exact"/>
              <w:ind w:right="284"/>
              <w:jc w:val="right"/>
              <w:rPr>
                <w:rFonts w:cs="Arial"/>
                <w:b/>
                <w:bCs/>
                <w:sz w:val="16"/>
                <w:szCs w:val="16"/>
              </w:rPr>
            </w:pPr>
            <w:r>
              <w:rPr>
                <w:rFonts w:cs="Arial"/>
                <w:b/>
                <w:bCs/>
                <w:sz w:val="16"/>
                <w:szCs w:val="16"/>
              </w:rPr>
              <w:t>1</w:t>
            </w:r>
            <w:r w:rsidRPr="00F04D4B">
              <w:rPr>
                <w:rFonts w:cs="Arial"/>
                <w:b/>
                <w:bCs/>
                <w:sz w:val="16"/>
                <w:szCs w:val="16"/>
              </w:rPr>
              <w:t>00</w:t>
            </w:r>
            <w:r>
              <w:rPr>
                <w:rFonts w:cs="Arial"/>
                <w:b/>
                <w:bCs/>
                <w:sz w:val="16"/>
                <w:szCs w:val="16"/>
              </w:rPr>
              <w:t>,0</w:t>
            </w:r>
          </w:p>
          <w:p w:rsidR="00B01F04" w:rsidRPr="00F04D4B" w:rsidRDefault="00B01F04" w:rsidP="00D86960">
            <w:pPr>
              <w:widowControl w:val="0"/>
              <w:spacing w:line="240" w:lineRule="exact"/>
              <w:ind w:right="284"/>
              <w:jc w:val="right"/>
              <w:rPr>
                <w:rFonts w:cs="Arial"/>
                <w:b/>
                <w:bCs/>
                <w:sz w:val="16"/>
                <w:szCs w:val="16"/>
              </w:rPr>
            </w:pPr>
          </w:p>
        </w:tc>
      </w:tr>
    </w:tbl>
    <w:p w:rsidR="00B01F04" w:rsidRDefault="00B01F04" w:rsidP="00B01F04">
      <w:pPr>
        <w:widowControl w:val="0"/>
        <w:rPr>
          <w:rFonts w:eastAsia="Times New Roman" w:cs="Times New Roman"/>
          <w:b/>
          <w:snapToGrid w:val="0"/>
          <w:color w:val="1F497D" w:themeColor="text2"/>
          <w:sz w:val="22"/>
          <w:lang w:eastAsia="es-ES"/>
        </w:rPr>
      </w:pPr>
    </w:p>
    <w:p w:rsidR="00B01F04" w:rsidRDefault="00B01F04" w:rsidP="00B01F04">
      <w:pPr>
        <w:widowControl w:val="0"/>
        <w:rPr>
          <w:rFonts w:eastAsia="Times New Roman" w:cs="Times New Roman"/>
          <w:b/>
          <w:snapToGrid w:val="0"/>
          <w:color w:val="1F497D" w:themeColor="text2"/>
          <w:sz w:val="22"/>
          <w:lang w:eastAsia="es-ES"/>
        </w:rPr>
      </w:pPr>
    </w:p>
    <w:p w:rsidR="00B01F04" w:rsidRDefault="00B01F04" w:rsidP="00B01F04">
      <w:pPr>
        <w:jc w:val="left"/>
        <w:rPr>
          <w:rFonts w:eastAsia="Times New Roman" w:cs="Times New Roman"/>
          <w:b/>
          <w:snapToGrid w:val="0"/>
          <w:color w:val="1F497D" w:themeColor="text2"/>
          <w:sz w:val="22"/>
          <w:lang w:eastAsia="es-ES"/>
        </w:rPr>
      </w:pPr>
      <w:r>
        <w:rPr>
          <w:rFonts w:eastAsia="Times New Roman" w:cs="Times New Roman"/>
          <w:b/>
          <w:snapToGrid w:val="0"/>
          <w:color w:val="1F497D" w:themeColor="text2"/>
          <w:sz w:val="22"/>
          <w:lang w:eastAsia="es-ES"/>
        </w:rPr>
        <w:br w:type="page"/>
      </w:r>
    </w:p>
    <w:p w:rsidR="00B01F04" w:rsidRPr="00A25CF2" w:rsidRDefault="00B01F04" w:rsidP="00A25CF2">
      <w:pPr>
        <w:pStyle w:val="Ttulo1"/>
        <w:ind w:left="708" w:hanging="708"/>
        <w:rPr>
          <w:color w:val="1F497D" w:themeColor="text2"/>
          <w:sz w:val="22"/>
          <w:szCs w:val="22"/>
        </w:rPr>
      </w:pPr>
      <w:bookmarkStart w:id="445" w:name="_Toc450118947"/>
      <w:r w:rsidRPr="00A25CF2">
        <w:rPr>
          <w:color w:val="1F497D" w:themeColor="text2"/>
          <w:sz w:val="22"/>
          <w:szCs w:val="22"/>
        </w:rPr>
        <w:lastRenderedPageBreak/>
        <w:t>1.</w:t>
      </w:r>
      <w:r w:rsidR="00A25CF2">
        <w:rPr>
          <w:color w:val="1F497D" w:themeColor="text2"/>
          <w:sz w:val="22"/>
          <w:szCs w:val="22"/>
        </w:rPr>
        <w:t>5</w:t>
      </w:r>
      <w:r w:rsidRPr="00A25CF2">
        <w:rPr>
          <w:color w:val="1F497D" w:themeColor="text2"/>
          <w:sz w:val="22"/>
          <w:szCs w:val="22"/>
        </w:rPr>
        <w:t>.2.- Facturación y Sueldos y Salarios</w:t>
      </w:r>
      <w:bookmarkEnd w:id="445"/>
      <w:r w:rsidRPr="00A25CF2">
        <w:rPr>
          <w:color w:val="1F497D" w:themeColor="text2"/>
          <w:sz w:val="22"/>
          <w:szCs w:val="22"/>
        </w:rPr>
        <w:t xml:space="preserve"> </w:t>
      </w:r>
    </w:p>
    <w:p w:rsidR="00B01F04" w:rsidRDefault="00B01F04" w:rsidP="00B01F04">
      <w:pPr>
        <w:widowControl w:val="0"/>
        <w:rPr>
          <w:rFonts w:eastAsia="Times New Roman" w:cs="Times New Roman"/>
          <w:b/>
          <w:snapToGrid w:val="0"/>
          <w:color w:val="1F497D" w:themeColor="text2"/>
          <w:sz w:val="22"/>
          <w:lang w:eastAsia="es-ES"/>
        </w:rPr>
      </w:pPr>
    </w:p>
    <w:p w:rsidR="00B01F04" w:rsidRPr="00DC7DAD" w:rsidRDefault="00A67658" w:rsidP="00B01F04">
      <w:pPr>
        <w:widowControl w:val="0"/>
        <w:spacing w:line="240" w:lineRule="auto"/>
        <w:jc w:val="center"/>
        <w:rPr>
          <w:rFonts w:cs="Arial"/>
          <w:b/>
          <w:color w:val="1F497D" w:themeColor="text2"/>
          <w:sz w:val="18"/>
          <w:szCs w:val="18"/>
        </w:rPr>
      </w:pPr>
      <w:bookmarkStart w:id="446" w:name="_Toc445381004"/>
      <w:bookmarkStart w:id="447" w:name="_Toc450119856"/>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31</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Pr>
          <w:rFonts w:cs="Arial"/>
          <w:b/>
          <w:color w:val="1F497D" w:themeColor="text2"/>
          <w:sz w:val="18"/>
          <w:szCs w:val="18"/>
        </w:rPr>
        <w:t>DISTRIBUCIÓN DE FACTURACIÓN FCES Y NFES 2014 (cifras absolutas y % verticales)</w:t>
      </w:r>
      <w:bookmarkEnd w:id="446"/>
      <w:bookmarkEnd w:id="447"/>
    </w:p>
    <w:tbl>
      <w:tblPr>
        <w:tblW w:w="9940" w:type="dxa"/>
        <w:jc w:val="center"/>
        <w:tblLook w:val="04A0" w:firstRow="1" w:lastRow="0" w:firstColumn="1" w:lastColumn="0" w:noHBand="0" w:noVBand="1"/>
      </w:tblPr>
      <w:tblGrid>
        <w:gridCol w:w="4670"/>
        <w:gridCol w:w="2634"/>
        <w:gridCol w:w="2636"/>
      </w:tblGrid>
      <w:tr w:rsidR="00B01F04" w:rsidRPr="00F04D4B" w:rsidTr="00537ABD">
        <w:trPr>
          <w:jc w:val="center"/>
        </w:trPr>
        <w:tc>
          <w:tcPr>
            <w:tcW w:w="234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p>
        </w:tc>
        <w:tc>
          <w:tcPr>
            <w:tcW w:w="265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r>
      <w:tr w:rsidR="00B01F04" w:rsidRPr="00F04D4B" w:rsidTr="00537ABD">
        <w:trPr>
          <w:jc w:val="center"/>
        </w:trPr>
        <w:tc>
          <w:tcPr>
            <w:tcW w:w="234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sz w:val="16"/>
                <w:szCs w:val="16"/>
              </w:rPr>
            </w:pP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Abs.</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 ver.</w:t>
            </w:r>
          </w:p>
        </w:tc>
      </w:tr>
      <w:tr w:rsidR="00B01F04" w:rsidRPr="00F04D4B" w:rsidTr="00537ABD">
        <w:trPr>
          <w:jc w:val="center"/>
        </w:trPr>
        <w:tc>
          <w:tcPr>
            <w:tcW w:w="2349" w:type="pct"/>
            <w:tcBorders>
              <w:top w:val="single" w:sz="4" w:space="0" w:color="BFBFBF" w:themeColor="background1" w:themeShade="BF"/>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FCES</w:t>
            </w:r>
          </w:p>
        </w:tc>
        <w:tc>
          <w:tcPr>
            <w:tcW w:w="132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01F04" w:rsidRPr="00116FD5" w:rsidRDefault="00B01F04" w:rsidP="00D86960">
            <w:pPr>
              <w:widowControl w:val="0"/>
              <w:spacing w:line="240" w:lineRule="exact"/>
              <w:ind w:right="284"/>
              <w:jc w:val="right"/>
              <w:rPr>
                <w:rFonts w:cs="Arial"/>
                <w:b/>
                <w:color w:val="000000"/>
                <w:sz w:val="16"/>
                <w:szCs w:val="16"/>
              </w:rPr>
            </w:pPr>
            <w:r w:rsidRPr="00116FD5">
              <w:rPr>
                <w:rFonts w:eastAsia="Times New Roman" w:cs="Arial"/>
                <w:b/>
                <w:color w:val="000000"/>
                <w:sz w:val="16"/>
                <w:szCs w:val="16"/>
                <w:lang w:eastAsia="es-ES"/>
              </w:rPr>
              <w:t>7.690.772.395</w:t>
            </w:r>
          </w:p>
        </w:tc>
        <w:tc>
          <w:tcPr>
            <w:tcW w:w="1326" w:type="pct"/>
            <w:tcBorders>
              <w:top w:val="single" w:sz="4" w:space="0" w:color="BFBFBF" w:themeColor="background1" w:themeShade="BF"/>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b/>
                <w:color w:val="000000"/>
                <w:sz w:val="16"/>
                <w:szCs w:val="16"/>
              </w:rPr>
            </w:pPr>
            <w:r w:rsidRPr="003E3E63">
              <w:rPr>
                <w:rFonts w:cs="Arial"/>
                <w:b/>
                <w:color w:val="000000"/>
                <w:sz w:val="16"/>
                <w:szCs w:val="16"/>
              </w:rPr>
              <w:t>77,9</w:t>
            </w:r>
          </w:p>
        </w:tc>
      </w:tr>
      <w:tr w:rsidR="00B01F04" w:rsidRPr="00F04D4B" w:rsidTr="00537ABD">
        <w:trPr>
          <w:jc w:val="center"/>
        </w:trPr>
        <w:tc>
          <w:tcPr>
            <w:tcW w:w="2349"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Cooperativas</w:t>
            </w:r>
          </w:p>
        </w:tc>
        <w:tc>
          <w:tcPr>
            <w:tcW w:w="1325"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sidRPr="0012512D">
              <w:rPr>
                <w:rFonts w:eastAsia="Times New Roman" w:cs="Arial"/>
                <w:color w:val="000000"/>
                <w:sz w:val="16"/>
                <w:szCs w:val="16"/>
                <w:lang w:eastAsia="es-ES"/>
              </w:rPr>
              <w:t>7.060.422.858</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71,5</w:t>
            </w:r>
          </w:p>
        </w:tc>
      </w:tr>
      <w:tr w:rsidR="00B01F04" w:rsidRPr="00F04D4B" w:rsidTr="00537ABD">
        <w:trPr>
          <w:jc w:val="center"/>
        </w:trPr>
        <w:tc>
          <w:tcPr>
            <w:tcW w:w="2349"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S.L.</w:t>
            </w:r>
            <w:proofErr w:type="gramStart"/>
            <w:r w:rsidRPr="00F04D4B">
              <w:rPr>
                <w:rFonts w:cs="Arial"/>
                <w:sz w:val="16"/>
                <w:szCs w:val="16"/>
                <w:lang w:val="pt-BR"/>
              </w:rPr>
              <w:t>es</w:t>
            </w:r>
            <w:proofErr w:type="gramEnd"/>
          </w:p>
        </w:tc>
        <w:tc>
          <w:tcPr>
            <w:tcW w:w="1325"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Pr>
                <w:rFonts w:cs="Arial"/>
                <w:color w:val="000000"/>
                <w:sz w:val="16"/>
                <w:szCs w:val="16"/>
              </w:rPr>
              <w:t>630.349.537</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6,4</w:t>
            </w:r>
          </w:p>
        </w:tc>
      </w:tr>
      <w:tr w:rsidR="00B01F04" w:rsidRPr="00F04D4B" w:rsidTr="00537ABD">
        <w:trPr>
          <w:jc w:val="center"/>
        </w:trPr>
        <w:tc>
          <w:tcPr>
            <w:tcW w:w="2349" w:type="pct"/>
            <w:tcBorders>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NFES</w:t>
            </w:r>
          </w:p>
        </w:tc>
        <w:tc>
          <w:tcPr>
            <w:tcW w:w="1325" w:type="pct"/>
            <w:tcBorders>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98245D">
              <w:rPr>
                <w:rFonts w:eastAsia="Times New Roman" w:cs="Arial"/>
                <w:b/>
                <w:bCs/>
                <w:color w:val="000000"/>
                <w:sz w:val="16"/>
                <w:szCs w:val="16"/>
                <w:lang w:eastAsia="es-ES"/>
              </w:rPr>
              <w:t>2.183.241.640</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b/>
                <w:color w:val="000000"/>
                <w:sz w:val="16"/>
                <w:szCs w:val="16"/>
              </w:rPr>
            </w:pPr>
            <w:r w:rsidRPr="003E3E63">
              <w:rPr>
                <w:rFonts w:cs="Arial"/>
                <w:b/>
                <w:color w:val="000000"/>
                <w:sz w:val="16"/>
                <w:szCs w:val="16"/>
              </w:rPr>
              <w:t>22,1</w:t>
            </w:r>
          </w:p>
        </w:tc>
      </w:tr>
      <w:tr w:rsidR="00B01F04" w:rsidRPr="00F04D4B" w:rsidTr="00537ABD">
        <w:trPr>
          <w:jc w:val="center"/>
        </w:trPr>
        <w:tc>
          <w:tcPr>
            <w:tcW w:w="234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Fundaciones</w:t>
            </w:r>
          </w:p>
        </w:tc>
        <w:tc>
          <w:tcPr>
            <w:tcW w:w="1325"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widowControl w:val="0"/>
              <w:spacing w:line="240" w:lineRule="exact"/>
              <w:ind w:right="284"/>
              <w:jc w:val="right"/>
              <w:rPr>
                <w:rFonts w:eastAsia="Times New Roman" w:cs="Arial"/>
                <w:color w:val="000000"/>
                <w:sz w:val="16"/>
                <w:szCs w:val="16"/>
                <w:lang w:eastAsia="es-ES"/>
              </w:rPr>
            </w:pPr>
            <w:r w:rsidRPr="0098245D">
              <w:rPr>
                <w:rFonts w:eastAsia="Times New Roman" w:cs="Arial"/>
                <w:color w:val="000000"/>
                <w:sz w:val="16"/>
                <w:szCs w:val="16"/>
                <w:lang w:eastAsia="es-ES"/>
              </w:rPr>
              <w:t>524.009.095</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5,3</w:t>
            </w:r>
          </w:p>
        </w:tc>
      </w:tr>
      <w:tr w:rsidR="00B01F04" w:rsidRPr="00F04D4B" w:rsidTr="00537ABD">
        <w:trPr>
          <w:jc w:val="center"/>
        </w:trPr>
        <w:tc>
          <w:tcPr>
            <w:tcW w:w="234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Centros Especiales de Empleo</w:t>
            </w:r>
          </w:p>
        </w:tc>
        <w:tc>
          <w:tcPr>
            <w:tcW w:w="1325"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widowControl w:val="0"/>
              <w:spacing w:line="240" w:lineRule="exact"/>
              <w:ind w:right="284"/>
              <w:jc w:val="right"/>
              <w:rPr>
                <w:rFonts w:eastAsia="Times New Roman" w:cs="Arial"/>
                <w:color w:val="000000"/>
                <w:sz w:val="16"/>
                <w:szCs w:val="16"/>
                <w:lang w:eastAsia="es-ES"/>
              </w:rPr>
            </w:pPr>
            <w:r w:rsidRPr="0098245D">
              <w:rPr>
                <w:rFonts w:eastAsia="Times New Roman" w:cs="Arial"/>
                <w:color w:val="000000"/>
                <w:sz w:val="16"/>
                <w:szCs w:val="16"/>
                <w:lang w:eastAsia="es-ES"/>
              </w:rPr>
              <w:t>229.053.360</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2,3</w:t>
            </w:r>
          </w:p>
        </w:tc>
      </w:tr>
      <w:tr w:rsidR="00B01F04" w:rsidRPr="00F04D4B" w:rsidTr="00537ABD">
        <w:trPr>
          <w:jc w:val="center"/>
        </w:trPr>
        <w:tc>
          <w:tcPr>
            <w:tcW w:w="234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Asociaciones de Utilidad Pública</w:t>
            </w:r>
          </w:p>
        </w:tc>
        <w:tc>
          <w:tcPr>
            <w:tcW w:w="1325"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widowControl w:val="0"/>
              <w:spacing w:line="240" w:lineRule="exact"/>
              <w:ind w:right="284"/>
              <w:jc w:val="right"/>
              <w:rPr>
                <w:rFonts w:eastAsia="Times New Roman" w:cs="Arial"/>
                <w:color w:val="000000"/>
                <w:sz w:val="16"/>
                <w:szCs w:val="16"/>
                <w:lang w:eastAsia="es-ES"/>
              </w:rPr>
            </w:pPr>
            <w:r w:rsidRPr="0098245D">
              <w:rPr>
                <w:rFonts w:eastAsia="Times New Roman" w:cs="Arial"/>
                <w:color w:val="000000"/>
                <w:sz w:val="16"/>
                <w:szCs w:val="16"/>
                <w:lang w:eastAsia="es-ES"/>
              </w:rPr>
              <w:t>92.434.283</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0,9</w:t>
            </w:r>
          </w:p>
        </w:tc>
      </w:tr>
      <w:tr w:rsidR="00B01F04" w:rsidRPr="00F04D4B" w:rsidTr="00537ABD">
        <w:trPr>
          <w:jc w:val="center"/>
        </w:trPr>
        <w:tc>
          <w:tcPr>
            <w:tcW w:w="234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Empresas de Inserción</w:t>
            </w:r>
          </w:p>
        </w:tc>
        <w:tc>
          <w:tcPr>
            <w:tcW w:w="1325"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widowControl w:val="0"/>
              <w:spacing w:line="240" w:lineRule="exact"/>
              <w:ind w:right="284"/>
              <w:jc w:val="right"/>
              <w:rPr>
                <w:rFonts w:eastAsia="Times New Roman" w:cs="Arial"/>
                <w:color w:val="000000"/>
                <w:sz w:val="16"/>
                <w:szCs w:val="16"/>
                <w:lang w:eastAsia="es-ES"/>
              </w:rPr>
            </w:pPr>
            <w:r w:rsidRPr="0098245D">
              <w:rPr>
                <w:rFonts w:eastAsia="Times New Roman" w:cs="Arial"/>
                <w:color w:val="000000"/>
                <w:sz w:val="16"/>
                <w:szCs w:val="16"/>
                <w:lang w:eastAsia="es-ES"/>
              </w:rPr>
              <w:t>33.862.744</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0,3</w:t>
            </w:r>
          </w:p>
        </w:tc>
      </w:tr>
      <w:tr w:rsidR="00B01F04" w:rsidRPr="00F04D4B" w:rsidTr="00537ABD">
        <w:trPr>
          <w:jc w:val="center"/>
        </w:trPr>
        <w:tc>
          <w:tcPr>
            <w:tcW w:w="234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SATs</w:t>
            </w:r>
            <w:proofErr w:type="spellEnd"/>
          </w:p>
        </w:tc>
        <w:tc>
          <w:tcPr>
            <w:tcW w:w="1325"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widowControl w:val="0"/>
              <w:spacing w:line="240" w:lineRule="exact"/>
              <w:ind w:right="284"/>
              <w:jc w:val="right"/>
              <w:rPr>
                <w:rFonts w:eastAsia="Times New Roman" w:cs="Arial"/>
                <w:color w:val="000000"/>
                <w:sz w:val="16"/>
                <w:szCs w:val="16"/>
                <w:lang w:eastAsia="es-ES"/>
              </w:rPr>
            </w:pPr>
            <w:r w:rsidRPr="0098245D">
              <w:rPr>
                <w:rFonts w:eastAsia="Times New Roman" w:cs="Arial"/>
                <w:color w:val="000000"/>
                <w:sz w:val="16"/>
                <w:szCs w:val="16"/>
                <w:lang w:eastAsia="es-ES"/>
              </w:rPr>
              <w:t>40.498.269</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0,4</w:t>
            </w:r>
          </w:p>
        </w:tc>
      </w:tr>
      <w:tr w:rsidR="00B01F04" w:rsidRPr="00F04D4B" w:rsidTr="00537ABD">
        <w:trPr>
          <w:jc w:val="center"/>
        </w:trPr>
        <w:tc>
          <w:tcPr>
            <w:tcW w:w="234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Cofradías de Pescadores</w:t>
            </w:r>
          </w:p>
        </w:tc>
        <w:tc>
          <w:tcPr>
            <w:tcW w:w="1325"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widowControl w:val="0"/>
              <w:spacing w:line="240" w:lineRule="exact"/>
              <w:ind w:right="284"/>
              <w:jc w:val="right"/>
              <w:rPr>
                <w:rFonts w:eastAsia="Times New Roman" w:cs="Arial"/>
                <w:color w:val="000000"/>
                <w:sz w:val="16"/>
                <w:szCs w:val="16"/>
                <w:lang w:eastAsia="es-ES"/>
              </w:rPr>
            </w:pPr>
            <w:r w:rsidRPr="0098245D">
              <w:rPr>
                <w:rFonts w:eastAsia="Times New Roman" w:cs="Arial"/>
                <w:color w:val="000000"/>
                <w:sz w:val="16"/>
                <w:szCs w:val="16"/>
                <w:lang w:eastAsia="es-ES"/>
              </w:rPr>
              <w:t>31.817.185</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0,3</w:t>
            </w:r>
          </w:p>
        </w:tc>
      </w:tr>
      <w:tr w:rsidR="00B01F04" w:rsidRPr="00F04D4B" w:rsidTr="00537ABD">
        <w:trPr>
          <w:jc w:val="center"/>
        </w:trPr>
        <w:tc>
          <w:tcPr>
            <w:tcW w:w="234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EPSVs</w:t>
            </w:r>
            <w:proofErr w:type="spellEnd"/>
          </w:p>
        </w:tc>
        <w:tc>
          <w:tcPr>
            <w:tcW w:w="1325"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widowControl w:val="0"/>
              <w:spacing w:line="240" w:lineRule="exact"/>
              <w:ind w:right="284"/>
              <w:jc w:val="right"/>
              <w:rPr>
                <w:rFonts w:eastAsia="Times New Roman" w:cs="Arial"/>
                <w:color w:val="000000"/>
                <w:sz w:val="16"/>
                <w:szCs w:val="16"/>
                <w:lang w:eastAsia="es-ES"/>
              </w:rPr>
            </w:pPr>
            <w:r>
              <w:rPr>
                <w:rFonts w:eastAsia="Times New Roman" w:cs="Arial"/>
                <w:color w:val="000000"/>
                <w:sz w:val="16"/>
                <w:szCs w:val="16"/>
                <w:lang w:eastAsia="es-ES"/>
              </w:rPr>
              <w:t>1.231.566.704</w:t>
            </w:r>
          </w:p>
        </w:tc>
        <w:tc>
          <w:tcPr>
            <w:tcW w:w="1326" w:type="pct"/>
            <w:tcBorders>
              <w:left w:val="single" w:sz="4" w:space="0" w:color="BFBFBF" w:themeColor="background1" w:themeShade="BF"/>
            </w:tcBorders>
            <w:vAlign w:val="bottom"/>
            <w:hideMark/>
          </w:tcPr>
          <w:p w:rsidR="00B01F04" w:rsidRPr="003E3E63" w:rsidRDefault="00B01F04" w:rsidP="00D86960">
            <w:pPr>
              <w:widowControl w:val="0"/>
              <w:spacing w:line="240" w:lineRule="exact"/>
              <w:ind w:right="284"/>
              <w:jc w:val="right"/>
              <w:rPr>
                <w:rFonts w:cs="Arial"/>
                <w:color w:val="000000"/>
                <w:sz w:val="16"/>
                <w:szCs w:val="16"/>
              </w:rPr>
            </w:pPr>
            <w:r w:rsidRPr="003E3E63">
              <w:rPr>
                <w:rFonts w:cs="Arial"/>
                <w:color w:val="000000"/>
                <w:sz w:val="16"/>
                <w:szCs w:val="16"/>
              </w:rPr>
              <w:t>12,5</w:t>
            </w:r>
          </w:p>
        </w:tc>
      </w:tr>
      <w:tr w:rsidR="00B01F04" w:rsidRPr="00F04D4B" w:rsidTr="00537ABD">
        <w:trPr>
          <w:trHeight w:val="70"/>
          <w:jc w:val="center"/>
        </w:trPr>
        <w:tc>
          <w:tcPr>
            <w:tcW w:w="234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widowControl w:val="0"/>
              <w:spacing w:line="240" w:lineRule="exact"/>
              <w:rPr>
                <w:rFonts w:cs="Arial"/>
                <w:b/>
                <w:bCs/>
                <w:sz w:val="16"/>
                <w:szCs w:val="16"/>
              </w:rPr>
            </w:pPr>
            <w:r w:rsidRPr="00F04D4B">
              <w:rPr>
                <w:rFonts w:cs="Arial"/>
                <w:b/>
                <w:bCs/>
                <w:sz w:val="16"/>
                <w:szCs w:val="16"/>
              </w:rPr>
              <w:t>TOTAL</w:t>
            </w:r>
          </w:p>
          <w:p w:rsidR="00B01F04" w:rsidRPr="00F04D4B" w:rsidRDefault="00B01F04" w:rsidP="00D86960">
            <w:pPr>
              <w:widowControl w:val="0"/>
              <w:spacing w:line="240" w:lineRule="exact"/>
              <w:rPr>
                <w:rFonts w:cs="Arial"/>
                <w:b/>
                <w:bCs/>
                <w:sz w:val="16"/>
                <w:szCs w:val="16"/>
              </w:rPr>
            </w:pPr>
            <w:r>
              <w:rPr>
                <w:rFonts w:cs="Arial"/>
                <w:b/>
                <w:bCs/>
                <w:sz w:val="16"/>
                <w:szCs w:val="16"/>
              </w:rPr>
              <w:t>TOTAL –sin duplicaciones</w:t>
            </w:r>
            <w:r>
              <w:rPr>
                <w:rStyle w:val="Refdenotaalpie"/>
                <w:rFonts w:cs="Arial"/>
                <w:b/>
                <w:bCs/>
                <w:sz w:val="16"/>
                <w:szCs w:val="16"/>
              </w:rPr>
              <w:footnoteReference w:id="24"/>
            </w:r>
            <w:r>
              <w:rPr>
                <w:rFonts w:cs="Arial"/>
                <w:b/>
                <w:bCs/>
                <w:sz w:val="16"/>
                <w:szCs w:val="16"/>
              </w:rPr>
              <w:t>-</w:t>
            </w: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01F04" w:rsidRPr="003E3E63" w:rsidRDefault="00B01F04" w:rsidP="00D86960">
            <w:pPr>
              <w:widowControl w:val="0"/>
              <w:spacing w:line="240" w:lineRule="exact"/>
              <w:ind w:right="284"/>
              <w:jc w:val="right"/>
              <w:rPr>
                <w:rFonts w:cs="Arial"/>
                <w:b/>
                <w:bCs/>
                <w:sz w:val="16"/>
                <w:szCs w:val="16"/>
              </w:rPr>
            </w:pPr>
            <w:r w:rsidRPr="003E3E63">
              <w:rPr>
                <w:rFonts w:cs="Arial"/>
                <w:b/>
                <w:bCs/>
                <w:sz w:val="16"/>
                <w:szCs w:val="16"/>
              </w:rPr>
              <w:t>9.874.014.035</w:t>
            </w:r>
          </w:p>
          <w:p w:rsidR="00B01F04" w:rsidRPr="00F04D4B" w:rsidRDefault="00B01F04" w:rsidP="00D86960">
            <w:pPr>
              <w:widowControl w:val="0"/>
              <w:spacing w:line="240" w:lineRule="exact"/>
              <w:ind w:right="284"/>
              <w:jc w:val="right"/>
              <w:rPr>
                <w:rFonts w:cs="Arial"/>
                <w:b/>
                <w:bCs/>
                <w:sz w:val="16"/>
                <w:szCs w:val="16"/>
              </w:rPr>
            </w:pPr>
            <w:r>
              <w:rPr>
                <w:rFonts w:cs="Arial"/>
                <w:b/>
                <w:bCs/>
                <w:sz w:val="16"/>
                <w:szCs w:val="16"/>
              </w:rPr>
              <w:t>9.854.938.841</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B01F04" w:rsidRDefault="00B01F04" w:rsidP="00D86960">
            <w:pPr>
              <w:widowControl w:val="0"/>
              <w:spacing w:line="240" w:lineRule="exact"/>
              <w:ind w:right="284"/>
              <w:jc w:val="right"/>
              <w:rPr>
                <w:rFonts w:cs="Arial"/>
                <w:b/>
                <w:bCs/>
                <w:sz w:val="16"/>
                <w:szCs w:val="16"/>
              </w:rPr>
            </w:pPr>
            <w:r w:rsidRPr="00F04D4B">
              <w:rPr>
                <w:rFonts w:cs="Arial"/>
                <w:b/>
                <w:bCs/>
                <w:sz w:val="16"/>
                <w:szCs w:val="16"/>
              </w:rPr>
              <w:t>100</w:t>
            </w:r>
            <w:r>
              <w:rPr>
                <w:rFonts w:cs="Arial"/>
                <w:b/>
                <w:bCs/>
                <w:sz w:val="16"/>
                <w:szCs w:val="16"/>
              </w:rPr>
              <w:t>,0</w:t>
            </w:r>
          </w:p>
          <w:p w:rsidR="00B01F04" w:rsidRPr="00F04D4B" w:rsidRDefault="00B01F04" w:rsidP="00D86960">
            <w:pPr>
              <w:widowControl w:val="0"/>
              <w:spacing w:line="240" w:lineRule="exact"/>
              <w:ind w:right="284"/>
              <w:jc w:val="right"/>
              <w:rPr>
                <w:rFonts w:cs="Arial"/>
                <w:b/>
                <w:bCs/>
                <w:sz w:val="16"/>
                <w:szCs w:val="16"/>
              </w:rPr>
            </w:pPr>
          </w:p>
        </w:tc>
      </w:tr>
    </w:tbl>
    <w:p w:rsidR="00B01F04" w:rsidRDefault="00B01F04" w:rsidP="00B01F04">
      <w:pPr>
        <w:widowControl w:val="0"/>
        <w:rPr>
          <w:rFonts w:eastAsia="Times New Roman" w:cs="Times New Roman"/>
          <w:b/>
          <w:snapToGrid w:val="0"/>
          <w:color w:val="1F497D" w:themeColor="text2"/>
          <w:sz w:val="22"/>
          <w:lang w:eastAsia="es-ES"/>
        </w:rPr>
      </w:pPr>
    </w:p>
    <w:p w:rsidR="00B01F04" w:rsidRPr="00DC7DAD" w:rsidRDefault="00A67658" w:rsidP="00B01F04">
      <w:pPr>
        <w:widowControl w:val="0"/>
        <w:spacing w:line="240" w:lineRule="auto"/>
        <w:jc w:val="center"/>
        <w:rPr>
          <w:rFonts w:cs="Arial"/>
          <w:b/>
          <w:color w:val="1F497D" w:themeColor="text2"/>
          <w:sz w:val="18"/>
          <w:szCs w:val="18"/>
        </w:rPr>
      </w:pPr>
      <w:bookmarkStart w:id="448" w:name="_Toc445381005"/>
      <w:bookmarkStart w:id="449" w:name="_Toc450119857"/>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32</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Pr>
          <w:rFonts w:cs="Arial"/>
          <w:b/>
          <w:color w:val="1F497D" w:themeColor="text2"/>
          <w:sz w:val="18"/>
          <w:szCs w:val="18"/>
        </w:rPr>
        <w:t>DISTRIBUCIÓN DE SUELDOS Y SALARIOS FCES Y NFES 2014 (cifras absolutas y % verticales)</w:t>
      </w:r>
      <w:bookmarkEnd w:id="448"/>
      <w:bookmarkEnd w:id="449"/>
    </w:p>
    <w:tbl>
      <w:tblPr>
        <w:tblW w:w="9940" w:type="dxa"/>
        <w:jc w:val="center"/>
        <w:tblLook w:val="04A0" w:firstRow="1" w:lastRow="0" w:firstColumn="1" w:lastColumn="0" w:noHBand="0" w:noVBand="1"/>
      </w:tblPr>
      <w:tblGrid>
        <w:gridCol w:w="4630"/>
        <w:gridCol w:w="2656"/>
        <w:gridCol w:w="2654"/>
      </w:tblGrid>
      <w:tr w:rsidR="00B01F04" w:rsidRPr="00F04D4B" w:rsidTr="00537ABD">
        <w:trPr>
          <w:jc w:val="center"/>
        </w:trPr>
        <w:tc>
          <w:tcPr>
            <w:tcW w:w="232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p>
        </w:tc>
        <w:tc>
          <w:tcPr>
            <w:tcW w:w="267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r>
      <w:tr w:rsidR="00B01F04" w:rsidRPr="00F04D4B" w:rsidTr="00537ABD">
        <w:trPr>
          <w:jc w:val="center"/>
        </w:trPr>
        <w:tc>
          <w:tcPr>
            <w:tcW w:w="232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sz w:val="16"/>
                <w:szCs w:val="16"/>
              </w:rPr>
            </w:pP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Abs.</w:t>
            </w: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 ver.</w:t>
            </w:r>
          </w:p>
        </w:tc>
      </w:tr>
      <w:tr w:rsidR="00B01F04" w:rsidRPr="00F04D4B" w:rsidTr="00537ABD">
        <w:trPr>
          <w:jc w:val="center"/>
        </w:trPr>
        <w:tc>
          <w:tcPr>
            <w:tcW w:w="2329" w:type="pct"/>
            <w:tcBorders>
              <w:top w:val="single" w:sz="4" w:space="0" w:color="BFBFBF" w:themeColor="background1" w:themeShade="BF"/>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FCES</w:t>
            </w:r>
          </w:p>
        </w:tc>
        <w:tc>
          <w:tcPr>
            <w:tcW w:w="133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01F04" w:rsidRPr="00EF7392" w:rsidRDefault="00B01F04" w:rsidP="00D86960">
            <w:pPr>
              <w:widowControl w:val="0"/>
              <w:spacing w:line="240" w:lineRule="exact"/>
              <w:ind w:right="284"/>
              <w:jc w:val="right"/>
              <w:rPr>
                <w:rFonts w:eastAsia="Times New Roman" w:cs="Arial"/>
                <w:b/>
                <w:color w:val="000000"/>
                <w:sz w:val="16"/>
                <w:szCs w:val="16"/>
                <w:lang w:eastAsia="es-ES"/>
              </w:rPr>
            </w:pPr>
            <w:r w:rsidRPr="00F552A7">
              <w:rPr>
                <w:rFonts w:eastAsia="Times New Roman" w:cs="Arial"/>
                <w:b/>
                <w:color w:val="000000"/>
                <w:sz w:val="16"/>
                <w:szCs w:val="16"/>
                <w:lang w:eastAsia="es-ES"/>
              </w:rPr>
              <w:t>1.942.075.682</w:t>
            </w:r>
          </w:p>
        </w:tc>
        <w:tc>
          <w:tcPr>
            <w:tcW w:w="1336" w:type="pct"/>
            <w:tcBorders>
              <w:top w:val="single" w:sz="4" w:space="0" w:color="BFBFBF" w:themeColor="background1" w:themeShade="BF"/>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b/>
                <w:color w:val="000000"/>
                <w:sz w:val="16"/>
                <w:szCs w:val="16"/>
              </w:rPr>
            </w:pPr>
            <w:r w:rsidRPr="002134BB">
              <w:rPr>
                <w:rFonts w:cs="Arial"/>
                <w:b/>
                <w:color w:val="000000"/>
                <w:sz w:val="16"/>
                <w:szCs w:val="16"/>
              </w:rPr>
              <w:t>72,8</w:t>
            </w:r>
          </w:p>
        </w:tc>
      </w:tr>
      <w:tr w:rsidR="00B01F04" w:rsidRPr="00F04D4B" w:rsidTr="00537ABD">
        <w:trPr>
          <w:jc w:val="center"/>
        </w:trPr>
        <w:tc>
          <w:tcPr>
            <w:tcW w:w="2329"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Cooperativas</w:t>
            </w:r>
          </w:p>
        </w:tc>
        <w:tc>
          <w:tcPr>
            <w:tcW w:w="1336" w:type="pct"/>
            <w:tcBorders>
              <w:left w:val="single" w:sz="4" w:space="0" w:color="BFBFBF" w:themeColor="background1" w:themeShade="BF"/>
              <w:right w:val="single" w:sz="4" w:space="0" w:color="BFBFBF" w:themeColor="background1" w:themeShade="BF"/>
            </w:tcBorders>
            <w:vAlign w:val="bottom"/>
            <w:hideMark/>
          </w:tcPr>
          <w:p w:rsidR="00B01F04" w:rsidRPr="00EF7392" w:rsidRDefault="00B01F04" w:rsidP="00D86960">
            <w:pPr>
              <w:widowControl w:val="0"/>
              <w:spacing w:line="240" w:lineRule="exact"/>
              <w:ind w:right="284"/>
              <w:jc w:val="right"/>
              <w:rPr>
                <w:rFonts w:eastAsia="Times New Roman" w:cs="Arial"/>
                <w:color w:val="000000"/>
                <w:sz w:val="16"/>
                <w:szCs w:val="16"/>
                <w:lang w:eastAsia="es-ES"/>
              </w:rPr>
            </w:pPr>
            <w:r w:rsidRPr="00EF7392">
              <w:rPr>
                <w:rFonts w:eastAsia="Times New Roman" w:cs="Arial"/>
                <w:color w:val="000000"/>
                <w:sz w:val="16"/>
                <w:szCs w:val="16"/>
                <w:lang w:eastAsia="es-ES"/>
              </w:rPr>
              <w:t>1.710.145.007</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64,1</w:t>
            </w:r>
          </w:p>
        </w:tc>
      </w:tr>
      <w:tr w:rsidR="00B01F04" w:rsidRPr="00F04D4B" w:rsidTr="00537ABD">
        <w:trPr>
          <w:jc w:val="center"/>
        </w:trPr>
        <w:tc>
          <w:tcPr>
            <w:tcW w:w="2329"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S.L.</w:t>
            </w:r>
            <w:proofErr w:type="gramStart"/>
            <w:r w:rsidRPr="00F04D4B">
              <w:rPr>
                <w:rFonts w:cs="Arial"/>
                <w:sz w:val="16"/>
                <w:szCs w:val="16"/>
                <w:lang w:val="pt-BR"/>
              </w:rPr>
              <w:t>es</w:t>
            </w:r>
            <w:proofErr w:type="gramEnd"/>
          </w:p>
        </w:tc>
        <w:tc>
          <w:tcPr>
            <w:tcW w:w="1336"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Pr>
                <w:rFonts w:cs="Arial"/>
                <w:color w:val="000000"/>
                <w:sz w:val="16"/>
                <w:szCs w:val="16"/>
              </w:rPr>
              <w:t>231.930.675</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8,7</w:t>
            </w:r>
          </w:p>
        </w:tc>
      </w:tr>
      <w:tr w:rsidR="00B01F04" w:rsidRPr="00F04D4B" w:rsidTr="00537ABD">
        <w:trPr>
          <w:jc w:val="center"/>
        </w:trPr>
        <w:tc>
          <w:tcPr>
            <w:tcW w:w="2329" w:type="pct"/>
            <w:tcBorders>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NFES</w:t>
            </w:r>
          </w:p>
        </w:tc>
        <w:tc>
          <w:tcPr>
            <w:tcW w:w="1336" w:type="pct"/>
            <w:tcBorders>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Pr>
                <w:rFonts w:eastAsia="Times New Roman" w:cs="Arial"/>
                <w:b/>
                <w:color w:val="000000"/>
                <w:sz w:val="16"/>
                <w:szCs w:val="16"/>
                <w:lang w:eastAsia="es-ES"/>
              </w:rPr>
              <w:t>725.692.249</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b/>
                <w:color w:val="000000"/>
                <w:sz w:val="16"/>
                <w:szCs w:val="16"/>
              </w:rPr>
            </w:pPr>
            <w:r w:rsidRPr="002134BB">
              <w:rPr>
                <w:rFonts w:cs="Arial"/>
                <w:b/>
                <w:color w:val="000000"/>
                <w:sz w:val="16"/>
                <w:szCs w:val="16"/>
              </w:rPr>
              <w:t>27,2</w:t>
            </w:r>
          </w:p>
        </w:tc>
      </w:tr>
      <w:tr w:rsidR="00B01F04" w:rsidRPr="00F04D4B" w:rsidTr="00537ABD">
        <w:trPr>
          <w:jc w:val="center"/>
        </w:trPr>
        <w:tc>
          <w:tcPr>
            <w:tcW w:w="232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Fundaciones</w:t>
            </w:r>
          </w:p>
        </w:tc>
        <w:tc>
          <w:tcPr>
            <w:tcW w:w="1336"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423.096.194</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15,9</w:t>
            </w:r>
          </w:p>
        </w:tc>
      </w:tr>
      <w:tr w:rsidR="00B01F04" w:rsidRPr="00F04D4B" w:rsidTr="00537ABD">
        <w:trPr>
          <w:jc w:val="center"/>
        </w:trPr>
        <w:tc>
          <w:tcPr>
            <w:tcW w:w="232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Centros Especiales de Empleo</w:t>
            </w:r>
          </w:p>
        </w:tc>
        <w:tc>
          <w:tcPr>
            <w:tcW w:w="1336" w:type="pct"/>
            <w:tcBorders>
              <w:left w:val="single" w:sz="4" w:space="0" w:color="BFBFBF" w:themeColor="background1" w:themeShade="BF"/>
              <w:right w:val="single" w:sz="4" w:space="0" w:color="BFBFBF" w:themeColor="background1" w:themeShade="BF"/>
            </w:tcBorders>
            <w:vAlign w:val="bottom"/>
            <w:hideMark/>
          </w:tcPr>
          <w:p w:rsidR="00B01F04" w:rsidRPr="002E2473" w:rsidRDefault="00B01F04" w:rsidP="00D86960">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153.406.184</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5,8</w:t>
            </w:r>
          </w:p>
        </w:tc>
      </w:tr>
      <w:tr w:rsidR="00B01F04" w:rsidRPr="00F04D4B" w:rsidTr="00537ABD">
        <w:trPr>
          <w:jc w:val="center"/>
        </w:trPr>
        <w:tc>
          <w:tcPr>
            <w:tcW w:w="232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Asociaciones de Utilidad Pública</w:t>
            </w:r>
          </w:p>
        </w:tc>
        <w:tc>
          <w:tcPr>
            <w:tcW w:w="1336" w:type="pct"/>
            <w:tcBorders>
              <w:left w:val="single" w:sz="4" w:space="0" w:color="BFBFBF" w:themeColor="background1" w:themeShade="BF"/>
              <w:right w:val="single" w:sz="4" w:space="0" w:color="BFBFBF" w:themeColor="background1" w:themeShade="BF"/>
            </w:tcBorders>
            <w:vAlign w:val="bottom"/>
            <w:hideMark/>
          </w:tcPr>
          <w:p w:rsidR="00B01F04" w:rsidRPr="002E2473" w:rsidRDefault="00B01F04" w:rsidP="00D86960">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118.214.966</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4,4</w:t>
            </w:r>
          </w:p>
        </w:tc>
      </w:tr>
      <w:tr w:rsidR="00B01F04" w:rsidRPr="00F04D4B" w:rsidTr="00537ABD">
        <w:trPr>
          <w:jc w:val="center"/>
        </w:trPr>
        <w:tc>
          <w:tcPr>
            <w:tcW w:w="232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Empresas de Inserción</w:t>
            </w:r>
          </w:p>
        </w:tc>
        <w:tc>
          <w:tcPr>
            <w:tcW w:w="1336"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18.701.920</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0,7</w:t>
            </w:r>
          </w:p>
        </w:tc>
      </w:tr>
      <w:tr w:rsidR="00B01F04" w:rsidRPr="00F04D4B" w:rsidTr="00537ABD">
        <w:trPr>
          <w:jc w:val="center"/>
        </w:trPr>
        <w:tc>
          <w:tcPr>
            <w:tcW w:w="232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SATs</w:t>
            </w:r>
            <w:proofErr w:type="spellEnd"/>
          </w:p>
        </w:tc>
        <w:tc>
          <w:tcPr>
            <w:tcW w:w="1336"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6.384.585</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0,2</w:t>
            </w:r>
          </w:p>
        </w:tc>
      </w:tr>
      <w:tr w:rsidR="00B01F04" w:rsidRPr="00F04D4B" w:rsidTr="00537ABD">
        <w:trPr>
          <w:jc w:val="center"/>
        </w:trPr>
        <w:tc>
          <w:tcPr>
            <w:tcW w:w="232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Cofradías de Pescadores</w:t>
            </w:r>
          </w:p>
        </w:tc>
        <w:tc>
          <w:tcPr>
            <w:tcW w:w="1336"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2E2473">
              <w:rPr>
                <w:rFonts w:eastAsia="Times New Roman" w:cs="Arial"/>
                <w:color w:val="000000"/>
                <w:sz w:val="16"/>
                <w:szCs w:val="16"/>
                <w:lang w:eastAsia="es-ES"/>
              </w:rPr>
              <w:t>2.686.363</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0,1</w:t>
            </w:r>
          </w:p>
        </w:tc>
      </w:tr>
      <w:tr w:rsidR="00B01F04" w:rsidRPr="00F04D4B" w:rsidTr="00537ABD">
        <w:trPr>
          <w:jc w:val="center"/>
        </w:trPr>
        <w:tc>
          <w:tcPr>
            <w:tcW w:w="2329"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EPSVs</w:t>
            </w:r>
            <w:proofErr w:type="spellEnd"/>
          </w:p>
        </w:tc>
        <w:tc>
          <w:tcPr>
            <w:tcW w:w="1336" w:type="pct"/>
            <w:tcBorders>
              <w:left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ind w:right="347"/>
              <w:jc w:val="right"/>
              <w:rPr>
                <w:rFonts w:eastAsia="Times New Roman" w:cs="Arial"/>
                <w:color w:val="000000"/>
                <w:sz w:val="16"/>
                <w:szCs w:val="16"/>
                <w:lang w:eastAsia="es-ES"/>
              </w:rPr>
            </w:pPr>
            <w:r w:rsidRPr="003B696B">
              <w:rPr>
                <w:rFonts w:eastAsia="Times New Roman" w:cs="Arial"/>
                <w:color w:val="000000"/>
                <w:sz w:val="16"/>
                <w:szCs w:val="16"/>
                <w:lang w:eastAsia="es-ES"/>
              </w:rPr>
              <w:t>3.202.037</w:t>
            </w:r>
          </w:p>
        </w:tc>
        <w:tc>
          <w:tcPr>
            <w:tcW w:w="1336" w:type="pct"/>
            <w:tcBorders>
              <w:left w:val="single" w:sz="4" w:space="0" w:color="BFBFBF" w:themeColor="background1" w:themeShade="BF"/>
            </w:tcBorders>
            <w:vAlign w:val="bottom"/>
            <w:hideMark/>
          </w:tcPr>
          <w:p w:rsidR="00B01F04" w:rsidRPr="002134BB" w:rsidRDefault="00B01F04" w:rsidP="00D86960">
            <w:pPr>
              <w:widowControl w:val="0"/>
              <w:spacing w:line="240" w:lineRule="exact"/>
              <w:ind w:right="284"/>
              <w:jc w:val="right"/>
              <w:rPr>
                <w:rFonts w:cs="Arial"/>
                <w:color w:val="000000"/>
                <w:sz w:val="16"/>
                <w:szCs w:val="16"/>
              </w:rPr>
            </w:pPr>
            <w:r w:rsidRPr="002134BB">
              <w:rPr>
                <w:rFonts w:cs="Arial"/>
                <w:color w:val="000000"/>
                <w:sz w:val="16"/>
                <w:szCs w:val="16"/>
              </w:rPr>
              <w:t>0,1</w:t>
            </w:r>
          </w:p>
        </w:tc>
      </w:tr>
      <w:tr w:rsidR="00B01F04" w:rsidRPr="00F04D4B" w:rsidTr="00537ABD">
        <w:trPr>
          <w:trHeight w:val="70"/>
          <w:jc w:val="center"/>
        </w:trPr>
        <w:tc>
          <w:tcPr>
            <w:tcW w:w="2329"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widowControl w:val="0"/>
              <w:spacing w:line="240" w:lineRule="exact"/>
              <w:rPr>
                <w:rFonts w:cs="Arial"/>
                <w:b/>
                <w:bCs/>
                <w:sz w:val="16"/>
                <w:szCs w:val="16"/>
              </w:rPr>
            </w:pPr>
            <w:r w:rsidRPr="00F04D4B">
              <w:rPr>
                <w:rFonts w:cs="Arial"/>
                <w:b/>
                <w:bCs/>
                <w:sz w:val="16"/>
                <w:szCs w:val="16"/>
              </w:rPr>
              <w:t>TOTAL</w:t>
            </w:r>
          </w:p>
          <w:p w:rsidR="00B01F04" w:rsidRPr="00F04D4B" w:rsidRDefault="00B01F04" w:rsidP="00D86960">
            <w:pPr>
              <w:widowControl w:val="0"/>
              <w:spacing w:line="240" w:lineRule="exact"/>
              <w:rPr>
                <w:rFonts w:cs="Arial"/>
                <w:b/>
                <w:bCs/>
                <w:sz w:val="16"/>
                <w:szCs w:val="16"/>
              </w:rPr>
            </w:pPr>
            <w:r>
              <w:rPr>
                <w:rFonts w:cs="Arial"/>
                <w:b/>
                <w:bCs/>
                <w:sz w:val="16"/>
                <w:szCs w:val="16"/>
              </w:rPr>
              <w:t>TOTAL –sin duplicaciones</w:t>
            </w:r>
            <w:r>
              <w:rPr>
                <w:rStyle w:val="Refdenotaalpie"/>
                <w:rFonts w:cs="Arial"/>
                <w:b/>
                <w:bCs/>
                <w:sz w:val="16"/>
                <w:szCs w:val="16"/>
              </w:rPr>
              <w:footnoteReference w:id="25"/>
            </w:r>
            <w:r>
              <w:rPr>
                <w:rFonts w:cs="Arial"/>
                <w:b/>
                <w:bCs/>
                <w:sz w:val="16"/>
                <w:szCs w:val="16"/>
              </w:rPr>
              <w:t>-</w:t>
            </w: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spacing w:line="240" w:lineRule="exact"/>
              <w:ind w:right="347"/>
              <w:jc w:val="right"/>
              <w:rPr>
                <w:rFonts w:eastAsia="Times New Roman" w:cs="Arial"/>
                <w:b/>
                <w:bCs/>
                <w:color w:val="000000"/>
                <w:sz w:val="16"/>
                <w:szCs w:val="16"/>
                <w:lang w:eastAsia="es-ES"/>
              </w:rPr>
            </w:pPr>
            <w:r>
              <w:rPr>
                <w:rFonts w:eastAsia="Times New Roman" w:cs="Arial"/>
                <w:b/>
                <w:bCs/>
                <w:color w:val="000000"/>
                <w:sz w:val="16"/>
                <w:szCs w:val="16"/>
                <w:lang w:eastAsia="es-ES"/>
              </w:rPr>
              <w:t>2.667.767.931</w:t>
            </w:r>
          </w:p>
          <w:p w:rsidR="00B01F04" w:rsidRPr="00080818" w:rsidRDefault="00B01F04" w:rsidP="00D86960">
            <w:pPr>
              <w:spacing w:line="240" w:lineRule="exact"/>
              <w:ind w:right="347"/>
              <w:jc w:val="right"/>
              <w:rPr>
                <w:rFonts w:eastAsia="Times New Roman" w:cs="Arial"/>
                <w:b/>
                <w:bCs/>
                <w:color w:val="000000"/>
                <w:sz w:val="16"/>
                <w:szCs w:val="16"/>
                <w:lang w:eastAsia="es-ES"/>
              </w:rPr>
            </w:pPr>
            <w:r>
              <w:rPr>
                <w:rFonts w:eastAsia="Times New Roman" w:cs="Arial"/>
                <w:b/>
                <w:bCs/>
                <w:color w:val="000000"/>
                <w:sz w:val="16"/>
                <w:szCs w:val="16"/>
                <w:lang w:eastAsia="es-ES"/>
              </w:rPr>
              <w:t>2.647.052.917</w:t>
            </w: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B01F04" w:rsidRDefault="00B01F04" w:rsidP="00D86960">
            <w:pPr>
              <w:widowControl w:val="0"/>
              <w:spacing w:line="240" w:lineRule="exact"/>
              <w:ind w:right="284"/>
              <w:jc w:val="right"/>
              <w:rPr>
                <w:rFonts w:cs="Arial"/>
                <w:b/>
                <w:bCs/>
                <w:sz w:val="16"/>
                <w:szCs w:val="16"/>
              </w:rPr>
            </w:pPr>
            <w:r>
              <w:rPr>
                <w:rFonts w:cs="Arial"/>
                <w:b/>
                <w:bCs/>
                <w:sz w:val="16"/>
                <w:szCs w:val="16"/>
              </w:rPr>
              <w:t>100,0</w:t>
            </w:r>
          </w:p>
          <w:p w:rsidR="00B01F04" w:rsidRPr="00F04D4B" w:rsidRDefault="00B01F04" w:rsidP="00D86960">
            <w:pPr>
              <w:widowControl w:val="0"/>
              <w:spacing w:line="240" w:lineRule="exact"/>
              <w:ind w:right="284"/>
              <w:jc w:val="right"/>
              <w:rPr>
                <w:rFonts w:cs="Arial"/>
                <w:b/>
                <w:bCs/>
                <w:sz w:val="16"/>
                <w:szCs w:val="16"/>
              </w:rPr>
            </w:pPr>
          </w:p>
        </w:tc>
      </w:tr>
    </w:tbl>
    <w:p w:rsidR="00B01F04" w:rsidRDefault="00B01F04" w:rsidP="00B01F04">
      <w:pPr>
        <w:widowControl w:val="0"/>
        <w:rPr>
          <w:rFonts w:eastAsia="Times New Roman" w:cs="Times New Roman"/>
          <w:b/>
          <w:snapToGrid w:val="0"/>
          <w:color w:val="1F497D" w:themeColor="text2"/>
          <w:sz w:val="22"/>
          <w:lang w:eastAsia="es-ES"/>
        </w:rPr>
      </w:pPr>
    </w:p>
    <w:p w:rsidR="00B01F04" w:rsidRDefault="00B01F04" w:rsidP="00B01F04">
      <w:pPr>
        <w:jc w:val="left"/>
        <w:rPr>
          <w:rFonts w:eastAsia="Times New Roman" w:cs="Times New Roman"/>
          <w:b/>
          <w:snapToGrid w:val="0"/>
          <w:color w:val="1F497D" w:themeColor="text2"/>
          <w:sz w:val="22"/>
          <w:lang w:eastAsia="es-ES"/>
        </w:rPr>
      </w:pPr>
      <w:r>
        <w:rPr>
          <w:rFonts w:eastAsia="Times New Roman" w:cs="Times New Roman"/>
          <w:b/>
          <w:snapToGrid w:val="0"/>
          <w:color w:val="1F497D" w:themeColor="text2"/>
          <w:sz w:val="22"/>
          <w:lang w:eastAsia="es-ES"/>
        </w:rPr>
        <w:br w:type="page"/>
      </w:r>
    </w:p>
    <w:p w:rsidR="00B01F04" w:rsidRPr="00A25CF2" w:rsidRDefault="00B01F04" w:rsidP="00A25CF2">
      <w:pPr>
        <w:pStyle w:val="Ttulo1"/>
        <w:ind w:left="708" w:hanging="708"/>
        <w:rPr>
          <w:color w:val="1F497D" w:themeColor="text2"/>
          <w:sz w:val="22"/>
          <w:szCs w:val="22"/>
        </w:rPr>
      </w:pPr>
      <w:bookmarkStart w:id="450" w:name="_Toc450118948"/>
      <w:r w:rsidRPr="00A25CF2">
        <w:rPr>
          <w:color w:val="1F497D" w:themeColor="text2"/>
          <w:sz w:val="22"/>
          <w:szCs w:val="22"/>
        </w:rPr>
        <w:lastRenderedPageBreak/>
        <w:t>1.</w:t>
      </w:r>
      <w:r w:rsidR="00A25CF2">
        <w:rPr>
          <w:color w:val="1F497D" w:themeColor="text2"/>
          <w:sz w:val="22"/>
          <w:szCs w:val="22"/>
        </w:rPr>
        <w:t>5</w:t>
      </w:r>
      <w:r w:rsidRPr="00A25CF2">
        <w:rPr>
          <w:color w:val="1F497D" w:themeColor="text2"/>
          <w:sz w:val="22"/>
          <w:szCs w:val="22"/>
        </w:rPr>
        <w:t>.3.- Resultados y VAB</w:t>
      </w:r>
      <w:bookmarkEnd w:id="450"/>
    </w:p>
    <w:p w:rsidR="00B01F04" w:rsidRDefault="00B01F04" w:rsidP="00B01F04">
      <w:pPr>
        <w:pStyle w:val="Prrafodelista"/>
        <w:spacing w:line="240" w:lineRule="auto"/>
        <w:ind w:left="360"/>
        <w:rPr>
          <w:rFonts w:ascii="Arial" w:eastAsia="Times New Roman" w:hAnsi="Arial"/>
          <w:b/>
          <w:snapToGrid w:val="0"/>
          <w:color w:val="1F497D" w:themeColor="text2"/>
          <w:lang w:eastAsia="es-ES"/>
        </w:rPr>
      </w:pPr>
    </w:p>
    <w:p w:rsidR="00B01F04" w:rsidRPr="00DC7DAD" w:rsidRDefault="00A67658" w:rsidP="00B01F04">
      <w:pPr>
        <w:widowControl w:val="0"/>
        <w:spacing w:line="240" w:lineRule="auto"/>
        <w:jc w:val="center"/>
        <w:rPr>
          <w:rFonts w:cs="Arial"/>
          <w:b/>
          <w:color w:val="1F497D" w:themeColor="text2"/>
          <w:sz w:val="18"/>
          <w:szCs w:val="18"/>
        </w:rPr>
      </w:pPr>
      <w:bookmarkStart w:id="451" w:name="_Toc445381006"/>
      <w:bookmarkStart w:id="452" w:name="_Toc450119858"/>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33</w:t>
      </w:r>
      <w:r w:rsidR="00771A61" w:rsidRPr="00A67658">
        <w:rPr>
          <w:rFonts w:cs="Arial"/>
          <w:b/>
          <w:bCs/>
          <w:snapToGrid w:val="0"/>
          <w:color w:val="1F497D" w:themeColor="text2"/>
          <w:sz w:val="18"/>
          <w:szCs w:val="18"/>
          <w:lang w:val="es-ES_tradnl"/>
        </w:rPr>
        <w:fldChar w:fldCharType="end"/>
      </w:r>
      <w:r>
        <w:rPr>
          <w:rFonts w:cs="Arial"/>
          <w:b/>
          <w:bCs/>
          <w:snapToGrid w:val="0"/>
          <w:color w:val="1F497D" w:themeColor="text2"/>
          <w:sz w:val="18"/>
          <w:szCs w:val="18"/>
          <w:lang w:val="es-ES_tradnl"/>
        </w:rPr>
        <w:t xml:space="preserve"> </w:t>
      </w:r>
      <w:r w:rsidR="00B01F04">
        <w:rPr>
          <w:rFonts w:cs="Arial"/>
          <w:b/>
          <w:color w:val="1F497D" w:themeColor="text2"/>
          <w:sz w:val="18"/>
          <w:szCs w:val="18"/>
        </w:rPr>
        <w:t>DISTRIBUCIÓN DE RESULTADOS FCES Y NFES 2014 (cifras absolutas y % verticales)</w:t>
      </w:r>
      <w:bookmarkEnd w:id="451"/>
      <w:bookmarkEnd w:id="452"/>
    </w:p>
    <w:tbl>
      <w:tblPr>
        <w:tblW w:w="9940" w:type="dxa"/>
        <w:jc w:val="center"/>
        <w:tblLook w:val="04A0" w:firstRow="1" w:lastRow="0" w:firstColumn="1" w:lastColumn="0" w:noHBand="0" w:noVBand="1"/>
      </w:tblPr>
      <w:tblGrid>
        <w:gridCol w:w="4632"/>
        <w:gridCol w:w="2654"/>
        <w:gridCol w:w="2654"/>
      </w:tblGrid>
      <w:tr w:rsidR="00B01F04" w:rsidRPr="00F04D4B" w:rsidTr="00537ABD">
        <w:trPr>
          <w:jc w:val="center"/>
        </w:trPr>
        <w:tc>
          <w:tcPr>
            <w:tcW w:w="233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p>
        </w:tc>
        <w:tc>
          <w:tcPr>
            <w:tcW w:w="267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r>
      <w:tr w:rsidR="00B01F04" w:rsidRPr="00F04D4B" w:rsidTr="00537ABD">
        <w:trPr>
          <w:jc w:val="center"/>
        </w:trPr>
        <w:tc>
          <w:tcPr>
            <w:tcW w:w="233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sz w:val="16"/>
                <w:szCs w:val="16"/>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Abs.</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 ver.</w:t>
            </w:r>
          </w:p>
        </w:tc>
      </w:tr>
      <w:tr w:rsidR="00B01F04" w:rsidRPr="00F04D4B" w:rsidTr="00537ABD">
        <w:trPr>
          <w:jc w:val="center"/>
        </w:trPr>
        <w:tc>
          <w:tcPr>
            <w:tcW w:w="2330" w:type="pct"/>
            <w:tcBorders>
              <w:top w:val="single" w:sz="4" w:space="0" w:color="BFBFBF" w:themeColor="background1" w:themeShade="BF"/>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FCES</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01F04" w:rsidRPr="00EF7392" w:rsidRDefault="00B01F04" w:rsidP="00D86960">
            <w:pPr>
              <w:widowControl w:val="0"/>
              <w:spacing w:line="240" w:lineRule="exact"/>
              <w:ind w:right="284"/>
              <w:jc w:val="right"/>
              <w:rPr>
                <w:rFonts w:eastAsia="Times New Roman" w:cs="Arial"/>
                <w:b/>
                <w:color w:val="000000"/>
                <w:sz w:val="16"/>
                <w:szCs w:val="16"/>
                <w:lang w:eastAsia="es-ES"/>
              </w:rPr>
            </w:pPr>
            <w:r>
              <w:rPr>
                <w:rFonts w:eastAsia="Times New Roman" w:cs="Arial"/>
                <w:b/>
                <w:color w:val="000000"/>
                <w:sz w:val="16"/>
                <w:szCs w:val="16"/>
                <w:lang w:eastAsia="es-ES"/>
              </w:rPr>
              <w:t>92.150.468</w:t>
            </w:r>
          </w:p>
        </w:tc>
        <w:tc>
          <w:tcPr>
            <w:tcW w:w="1335" w:type="pct"/>
            <w:tcBorders>
              <w:top w:val="single" w:sz="4" w:space="0" w:color="BFBFBF" w:themeColor="background1" w:themeShade="BF"/>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b/>
                <w:color w:val="000000"/>
                <w:sz w:val="16"/>
                <w:szCs w:val="16"/>
              </w:rPr>
            </w:pPr>
            <w:r w:rsidRPr="005969BD">
              <w:rPr>
                <w:rFonts w:cs="Arial"/>
                <w:b/>
                <w:color w:val="000000"/>
                <w:sz w:val="16"/>
                <w:szCs w:val="16"/>
              </w:rPr>
              <w:t>79,9</w:t>
            </w:r>
          </w:p>
        </w:tc>
      </w:tr>
      <w:tr w:rsidR="00B01F04" w:rsidRPr="00F04D4B" w:rsidTr="00537ABD">
        <w:trPr>
          <w:jc w:val="center"/>
        </w:trPr>
        <w:tc>
          <w:tcPr>
            <w:tcW w:w="233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Cooperativas</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EF7392" w:rsidRDefault="00B01F04" w:rsidP="00D86960">
            <w:pPr>
              <w:widowControl w:val="0"/>
              <w:spacing w:line="240" w:lineRule="exact"/>
              <w:ind w:right="284"/>
              <w:jc w:val="right"/>
              <w:rPr>
                <w:rFonts w:eastAsia="Times New Roman" w:cs="Arial"/>
                <w:color w:val="000000"/>
                <w:sz w:val="16"/>
                <w:szCs w:val="16"/>
                <w:lang w:eastAsia="es-ES"/>
              </w:rPr>
            </w:pPr>
            <w:r w:rsidRPr="0033679F">
              <w:rPr>
                <w:rFonts w:cs="Arial"/>
                <w:color w:val="000000"/>
                <w:sz w:val="16"/>
                <w:szCs w:val="16"/>
              </w:rPr>
              <w:t>80.733.905</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70,0</w:t>
            </w:r>
          </w:p>
        </w:tc>
      </w:tr>
      <w:tr w:rsidR="00B01F04" w:rsidRPr="00F04D4B" w:rsidTr="00537ABD">
        <w:trPr>
          <w:jc w:val="center"/>
        </w:trPr>
        <w:tc>
          <w:tcPr>
            <w:tcW w:w="233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S.L.</w:t>
            </w:r>
            <w:proofErr w:type="gramStart"/>
            <w:r w:rsidRPr="00F04D4B">
              <w:rPr>
                <w:rFonts w:cs="Arial"/>
                <w:sz w:val="16"/>
                <w:szCs w:val="16"/>
                <w:lang w:val="pt-BR"/>
              </w:rPr>
              <w:t>es</w:t>
            </w:r>
            <w:proofErr w:type="gramEnd"/>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Pr>
                <w:rFonts w:cs="Arial"/>
                <w:color w:val="000000"/>
                <w:sz w:val="16"/>
                <w:szCs w:val="16"/>
              </w:rPr>
              <w:t>11.416.564</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9,9</w:t>
            </w:r>
          </w:p>
        </w:tc>
      </w:tr>
      <w:tr w:rsidR="00B01F04" w:rsidRPr="00F04D4B" w:rsidTr="00537ABD">
        <w:trPr>
          <w:jc w:val="center"/>
        </w:trPr>
        <w:tc>
          <w:tcPr>
            <w:tcW w:w="2330" w:type="pct"/>
            <w:tcBorders>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NFES</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5969BD">
              <w:rPr>
                <w:rFonts w:eastAsia="Times New Roman" w:cs="Arial"/>
                <w:b/>
                <w:bCs/>
                <w:color w:val="000000"/>
                <w:sz w:val="16"/>
                <w:szCs w:val="16"/>
                <w:lang w:eastAsia="es-ES"/>
              </w:rPr>
              <w:t>23.186.018</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b/>
                <w:color w:val="000000"/>
                <w:sz w:val="16"/>
                <w:szCs w:val="16"/>
              </w:rPr>
            </w:pPr>
            <w:r w:rsidRPr="005969BD">
              <w:rPr>
                <w:rFonts w:cs="Arial"/>
                <w:b/>
                <w:color w:val="000000"/>
                <w:sz w:val="16"/>
                <w:szCs w:val="16"/>
              </w:rPr>
              <w:t>20,1</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Fundaciones</w:t>
            </w:r>
          </w:p>
        </w:tc>
        <w:tc>
          <w:tcPr>
            <w:tcW w:w="1335" w:type="pct"/>
            <w:tcBorders>
              <w:left w:val="single" w:sz="4" w:space="0" w:color="BFBFBF" w:themeColor="background1" w:themeShade="BF"/>
              <w:right w:val="single" w:sz="4" w:space="0" w:color="BFBFBF" w:themeColor="background1" w:themeShade="BF"/>
            </w:tcBorders>
            <w:hideMark/>
          </w:tcPr>
          <w:p w:rsidR="00B01F04" w:rsidRPr="005969BD" w:rsidRDefault="00B01F04" w:rsidP="00D86960">
            <w:pPr>
              <w:spacing w:line="240" w:lineRule="exact"/>
              <w:ind w:right="347"/>
              <w:jc w:val="right"/>
              <w:rPr>
                <w:rFonts w:cs="Arial"/>
                <w:color w:val="000000"/>
                <w:sz w:val="16"/>
                <w:szCs w:val="16"/>
              </w:rPr>
            </w:pPr>
            <w:r w:rsidRPr="00B54D55">
              <w:rPr>
                <w:rFonts w:cs="Arial"/>
                <w:color w:val="000000"/>
                <w:sz w:val="16"/>
                <w:szCs w:val="16"/>
              </w:rPr>
              <w:t>6</w:t>
            </w:r>
            <w:r>
              <w:rPr>
                <w:rFonts w:cs="Arial"/>
                <w:color w:val="000000"/>
                <w:sz w:val="16"/>
                <w:szCs w:val="16"/>
              </w:rPr>
              <w:t>.</w:t>
            </w:r>
            <w:r w:rsidRPr="00B54D55">
              <w:rPr>
                <w:rFonts w:cs="Arial"/>
                <w:color w:val="000000"/>
                <w:sz w:val="16"/>
                <w:szCs w:val="16"/>
              </w:rPr>
              <w:t>417</w:t>
            </w:r>
            <w:r>
              <w:rPr>
                <w:rFonts w:cs="Arial"/>
                <w:color w:val="000000"/>
                <w:sz w:val="16"/>
                <w:szCs w:val="16"/>
              </w:rPr>
              <w:t>.</w:t>
            </w:r>
            <w:r w:rsidRPr="00B54D55">
              <w:rPr>
                <w:rFonts w:cs="Arial"/>
                <w:color w:val="000000"/>
                <w:sz w:val="16"/>
                <w:szCs w:val="16"/>
              </w:rPr>
              <w:t>997</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5,6</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Centros Especiales de Empleo</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2E2473" w:rsidRDefault="00B01F04" w:rsidP="00D86960">
            <w:pPr>
              <w:spacing w:line="240" w:lineRule="exact"/>
              <w:ind w:right="347"/>
              <w:jc w:val="right"/>
              <w:rPr>
                <w:rFonts w:cs="Arial"/>
                <w:color w:val="000000"/>
                <w:sz w:val="16"/>
                <w:szCs w:val="16"/>
              </w:rPr>
            </w:pPr>
            <w:r w:rsidRPr="00B54D55">
              <w:rPr>
                <w:rFonts w:cs="Arial"/>
                <w:color w:val="000000"/>
                <w:sz w:val="16"/>
                <w:szCs w:val="16"/>
              </w:rPr>
              <w:t>6</w:t>
            </w:r>
            <w:r>
              <w:rPr>
                <w:rFonts w:cs="Arial"/>
                <w:color w:val="000000"/>
                <w:sz w:val="16"/>
                <w:szCs w:val="16"/>
              </w:rPr>
              <w:t>.</w:t>
            </w:r>
            <w:r w:rsidRPr="00B54D55">
              <w:rPr>
                <w:rFonts w:cs="Arial"/>
                <w:color w:val="000000"/>
                <w:sz w:val="16"/>
                <w:szCs w:val="16"/>
              </w:rPr>
              <w:t>219</w:t>
            </w:r>
            <w:r>
              <w:rPr>
                <w:rFonts w:cs="Arial"/>
                <w:color w:val="000000"/>
                <w:sz w:val="16"/>
                <w:szCs w:val="16"/>
              </w:rPr>
              <w:t>.</w:t>
            </w:r>
            <w:r w:rsidRPr="00B54D55">
              <w:rPr>
                <w:rFonts w:cs="Arial"/>
                <w:color w:val="000000"/>
                <w:sz w:val="16"/>
                <w:szCs w:val="16"/>
              </w:rPr>
              <w:t>029</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5,4</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Asociaciones de Utilidad Pública</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2E2473" w:rsidRDefault="00B01F04" w:rsidP="00D86960">
            <w:pPr>
              <w:spacing w:line="240" w:lineRule="exact"/>
              <w:ind w:right="347"/>
              <w:jc w:val="right"/>
              <w:rPr>
                <w:rFonts w:cs="Arial"/>
                <w:color w:val="000000"/>
                <w:sz w:val="16"/>
                <w:szCs w:val="16"/>
              </w:rPr>
            </w:pPr>
            <w:r w:rsidRPr="00B54D55">
              <w:rPr>
                <w:rFonts w:cs="Arial"/>
                <w:color w:val="000000"/>
                <w:sz w:val="16"/>
                <w:szCs w:val="16"/>
              </w:rPr>
              <w:t>1</w:t>
            </w:r>
            <w:r>
              <w:rPr>
                <w:rFonts w:cs="Arial"/>
                <w:color w:val="000000"/>
                <w:sz w:val="16"/>
                <w:szCs w:val="16"/>
              </w:rPr>
              <w:t>.</w:t>
            </w:r>
            <w:r w:rsidRPr="00B54D55">
              <w:rPr>
                <w:rFonts w:cs="Arial"/>
                <w:color w:val="000000"/>
                <w:sz w:val="16"/>
                <w:szCs w:val="16"/>
              </w:rPr>
              <w:t>447</w:t>
            </w:r>
            <w:r>
              <w:rPr>
                <w:rFonts w:cs="Arial"/>
                <w:color w:val="000000"/>
                <w:sz w:val="16"/>
                <w:szCs w:val="16"/>
              </w:rPr>
              <w:t>.</w:t>
            </w:r>
            <w:r w:rsidRPr="00B54D55">
              <w:rPr>
                <w:rFonts w:cs="Arial"/>
                <w:color w:val="000000"/>
                <w:sz w:val="16"/>
                <w:szCs w:val="16"/>
              </w:rPr>
              <w:t>283</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1,3</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Empresas de Inserción</w:t>
            </w:r>
          </w:p>
        </w:tc>
        <w:tc>
          <w:tcPr>
            <w:tcW w:w="1335" w:type="pct"/>
            <w:tcBorders>
              <w:left w:val="single" w:sz="4" w:space="0" w:color="BFBFBF" w:themeColor="background1" w:themeShade="BF"/>
              <w:right w:val="single" w:sz="4" w:space="0" w:color="BFBFBF" w:themeColor="background1" w:themeShade="BF"/>
            </w:tcBorders>
            <w:hideMark/>
          </w:tcPr>
          <w:p w:rsidR="00B01F04" w:rsidRPr="005969BD" w:rsidRDefault="00B01F04" w:rsidP="00D86960">
            <w:pPr>
              <w:spacing w:line="240" w:lineRule="exact"/>
              <w:ind w:right="347"/>
              <w:jc w:val="right"/>
              <w:rPr>
                <w:rFonts w:cs="Arial"/>
                <w:color w:val="000000"/>
                <w:sz w:val="16"/>
                <w:szCs w:val="16"/>
              </w:rPr>
            </w:pPr>
            <w:r w:rsidRPr="00B54D55">
              <w:rPr>
                <w:rFonts w:cs="Arial"/>
                <w:color w:val="000000"/>
                <w:sz w:val="16"/>
                <w:szCs w:val="16"/>
              </w:rPr>
              <w:t>2</w:t>
            </w:r>
            <w:r>
              <w:rPr>
                <w:rFonts w:cs="Arial"/>
                <w:color w:val="000000"/>
                <w:sz w:val="16"/>
                <w:szCs w:val="16"/>
              </w:rPr>
              <w:t>.</w:t>
            </w:r>
            <w:r w:rsidRPr="00B54D55">
              <w:rPr>
                <w:rFonts w:cs="Arial"/>
                <w:color w:val="000000"/>
                <w:sz w:val="16"/>
                <w:szCs w:val="16"/>
              </w:rPr>
              <w:t>039</w:t>
            </w:r>
            <w:r>
              <w:rPr>
                <w:rFonts w:cs="Arial"/>
                <w:color w:val="000000"/>
                <w:sz w:val="16"/>
                <w:szCs w:val="16"/>
              </w:rPr>
              <w:t>.</w:t>
            </w:r>
            <w:r w:rsidRPr="00B54D55">
              <w:rPr>
                <w:rFonts w:cs="Arial"/>
                <w:color w:val="000000"/>
                <w:sz w:val="16"/>
                <w:szCs w:val="16"/>
              </w:rPr>
              <w:t>983</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1,8</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SATs</w:t>
            </w:r>
            <w:proofErr w:type="spellEnd"/>
          </w:p>
        </w:tc>
        <w:tc>
          <w:tcPr>
            <w:tcW w:w="1335" w:type="pct"/>
            <w:tcBorders>
              <w:left w:val="single" w:sz="4" w:space="0" w:color="BFBFBF" w:themeColor="background1" w:themeShade="BF"/>
              <w:right w:val="single" w:sz="4" w:space="0" w:color="BFBFBF" w:themeColor="background1" w:themeShade="BF"/>
            </w:tcBorders>
            <w:hideMark/>
          </w:tcPr>
          <w:p w:rsidR="00B01F04" w:rsidRPr="005969BD" w:rsidRDefault="00B01F04" w:rsidP="00D86960">
            <w:pPr>
              <w:spacing w:line="240" w:lineRule="exact"/>
              <w:ind w:right="347"/>
              <w:jc w:val="right"/>
              <w:rPr>
                <w:rFonts w:cs="Arial"/>
                <w:color w:val="000000"/>
                <w:sz w:val="16"/>
                <w:szCs w:val="16"/>
              </w:rPr>
            </w:pPr>
            <w:r w:rsidRPr="00B54D55">
              <w:rPr>
                <w:rFonts w:cs="Arial"/>
                <w:color w:val="000000"/>
                <w:sz w:val="16"/>
                <w:szCs w:val="16"/>
              </w:rPr>
              <w:t>903</w:t>
            </w:r>
            <w:r>
              <w:rPr>
                <w:rFonts w:cs="Arial"/>
                <w:color w:val="000000"/>
                <w:sz w:val="16"/>
                <w:szCs w:val="16"/>
              </w:rPr>
              <w:t>.</w:t>
            </w:r>
            <w:r w:rsidRPr="00B54D55">
              <w:rPr>
                <w:rFonts w:cs="Arial"/>
                <w:color w:val="000000"/>
                <w:sz w:val="16"/>
                <w:szCs w:val="16"/>
              </w:rPr>
              <w:t>312</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0,8</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Cofradías de Pescadores</w:t>
            </w:r>
          </w:p>
        </w:tc>
        <w:tc>
          <w:tcPr>
            <w:tcW w:w="1335" w:type="pct"/>
            <w:tcBorders>
              <w:left w:val="single" w:sz="4" w:space="0" w:color="BFBFBF" w:themeColor="background1" w:themeShade="BF"/>
              <w:right w:val="single" w:sz="4" w:space="0" w:color="BFBFBF" w:themeColor="background1" w:themeShade="BF"/>
            </w:tcBorders>
            <w:hideMark/>
          </w:tcPr>
          <w:p w:rsidR="00B01F04" w:rsidRPr="005969BD" w:rsidRDefault="00B01F04" w:rsidP="00D86960">
            <w:pPr>
              <w:spacing w:line="240" w:lineRule="exact"/>
              <w:ind w:right="347"/>
              <w:jc w:val="right"/>
              <w:rPr>
                <w:rFonts w:cs="Arial"/>
                <w:color w:val="000000"/>
                <w:sz w:val="16"/>
                <w:szCs w:val="16"/>
              </w:rPr>
            </w:pPr>
            <w:r w:rsidRPr="00B54D55">
              <w:rPr>
                <w:rFonts w:cs="Arial"/>
                <w:color w:val="000000"/>
                <w:sz w:val="16"/>
                <w:szCs w:val="16"/>
              </w:rPr>
              <w:t>-717</w:t>
            </w:r>
            <w:r>
              <w:rPr>
                <w:rFonts w:cs="Arial"/>
                <w:color w:val="000000"/>
                <w:sz w:val="16"/>
                <w:szCs w:val="16"/>
              </w:rPr>
              <w:t>.</w:t>
            </w:r>
            <w:r w:rsidRPr="00B54D55">
              <w:rPr>
                <w:rFonts w:cs="Arial"/>
                <w:color w:val="000000"/>
                <w:sz w:val="16"/>
                <w:szCs w:val="16"/>
              </w:rPr>
              <w:t>328</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-0,6</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EPSVs</w:t>
            </w:r>
            <w:proofErr w:type="spellEnd"/>
          </w:p>
        </w:tc>
        <w:tc>
          <w:tcPr>
            <w:tcW w:w="1335" w:type="pct"/>
            <w:tcBorders>
              <w:left w:val="single" w:sz="4" w:space="0" w:color="BFBFBF" w:themeColor="background1" w:themeShade="BF"/>
              <w:right w:val="single" w:sz="4" w:space="0" w:color="BFBFBF" w:themeColor="background1" w:themeShade="BF"/>
            </w:tcBorders>
            <w:hideMark/>
          </w:tcPr>
          <w:p w:rsidR="00B01F04" w:rsidRPr="005969BD" w:rsidRDefault="00B01F04" w:rsidP="00D86960">
            <w:pPr>
              <w:spacing w:line="240" w:lineRule="exact"/>
              <w:ind w:right="347"/>
              <w:jc w:val="right"/>
              <w:rPr>
                <w:rFonts w:cs="Arial"/>
                <w:color w:val="000000"/>
                <w:sz w:val="16"/>
                <w:szCs w:val="16"/>
              </w:rPr>
            </w:pPr>
            <w:r w:rsidRPr="00B54D55">
              <w:rPr>
                <w:rFonts w:cs="Arial"/>
                <w:color w:val="000000"/>
                <w:sz w:val="16"/>
                <w:szCs w:val="16"/>
              </w:rPr>
              <w:t>6</w:t>
            </w:r>
            <w:r>
              <w:rPr>
                <w:rFonts w:cs="Arial"/>
                <w:color w:val="000000"/>
                <w:sz w:val="16"/>
                <w:szCs w:val="16"/>
              </w:rPr>
              <w:t>.</w:t>
            </w:r>
            <w:r w:rsidRPr="00B54D55">
              <w:rPr>
                <w:rFonts w:cs="Arial"/>
                <w:color w:val="000000"/>
                <w:sz w:val="16"/>
                <w:szCs w:val="16"/>
              </w:rPr>
              <w:t>875</w:t>
            </w:r>
            <w:r>
              <w:rPr>
                <w:rFonts w:cs="Arial"/>
                <w:color w:val="000000"/>
                <w:sz w:val="16"/>
                <w:szCs w:val="16"/>
              </w:rPr>
              <w:t>.</w:t>
            </w:r>
            <w:r w:rsidRPr="00B54D55">
              <w:rPr>
                <w:rFonts w:cs="Arial"/>
                <w:color w:val="000000"/>
                <w:sz w:val="16"/>
                <w:szCs w:val="16"/>
              </w:rPr>
              <w:t>742</w:t>
            </w:r>
          </w:p>
        </w:tc>
        <w:tc>
          <w:tcPr>
            <w:tcW w:w="1335" w:type="pct"/>
            <w:tcBorders>
              <w:left w:val="single" w:sz="4" w:space="0" w:color="BFBFBF" w:themeColor="background1" w:themeShade="BF"/>
            </w:tcBorders>
            <w:vAlign w:val="bottom"/>
            <w:hideMark/>
          </w:tcPr>
          <w:p w:rsidR="00B01F04" w:rsidRPr="005969BD" w:rsidRDefault="00B01F04" w:rsidP="00D86960">
            <w:pPr>
              <w:widowControl w:val="0"/>
              <w:spacing w:line="240" w:lineRule="exact"/>
              <w:ind w:right="284"/>
              <w:jc w:val="right"/>
              <w:rPr>
                <w:rFonts w:cs="Arial"/>
                <w:color w:val="000000"/>
                <w:sz w:val="16"/>
                <w:szCs w:val="16"/>
              </w:rPr>
            </w:pPr>
            <w:r w:rsidRPr="005969BD">
              <w:rPr>
                <w:rFonts w:cs="Arial"/>
                <w:color w:val="000000"/>
                <w:sz w:val="16"/>
                <w:szCs w:val="16"/>
              </w:rPr>
              <w:t>6,0</w:t>
            </w:r>
          </w:p>
        </w:tc>
      </w:tr>
      <w:tr w:rsidR="00B01F04" w:rsidRPr="00F04D4B" w:rsidTr="00537ABD">
        <w:trPr>
          <w:trHeight w:val="70"/>
          <w:jc w:val="center"/>
        </w:trPr>
        <w:tc>
          <w:tcPr>
            <w:tcW w:w="233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widowControl w:val="0"/>
              <w:spacing w:line="240" w:lineRule="exact"/>
              <w:rPr>
                <w:rFonts w:cs="Arial"/>
                <w:b/>
                <w:bCs/>
                <w:sz w:val="16"/>
                <w:szCs w:val="16"/>
              </w:rPr>
            </w:pPr>
            <w:r w:rsidRPr="00F04D4B">
              <w:rPr>
                <w:rFonts w:cs="Arial"/>
                <w:b/>
                <w:bCs/>
                <w:sz w:val="16"/>
                <w:szCs w:val="16"/>
              </w:rPr>
              <w:t>TOTAL</w:t>
            </w:r>
          </w:p>
          <w:p w:rsidR="00B01F04" w:rsidRPr="00F04D4B" w:rsidRDefault="00B01F04" w:rsidP="00D86960">
            <w:pPr>
              <w:widowControl w:val="0"/>
              <w:spacing w:line="240" w:lineRule="exact"/>
              <w:rPr>
                <w:rFonts w:cs="Arial"/>
                <w:b/>
                <w:bCs/>
                <w:sz w:val="16"/>
                <w:szCs w:val="16"/>
              </w:rPr>
            </w:pPr>
            <w:r>
              <w:rPr>
                <w:rFonts w:cs="Arial"/>
                <w:b/>
                <w:bCs/>
                <w:sz w:val="16"/>
                <w:szCs w:val="16"/>
              </w:rPr>
              <w:t>TOTAL –sin duplicaciones</w:t>
            </w:r>
            <w:r>
              <w:rPr>
                <w:rStyle w:val="Refdenotaalpie"/>
                <w:rFonts w:cs="Arial"/>
                <w:b/>
                <w:bCs/>
                <w:sz w:val="16"/>
                <w:szCs w:val="16"/>
              </w:rPr>
              <w:footnoteReference w:id="26"/>
            </w:r>
            <w:r>
              <w:rPr>
                <w:rFonts w:cs="Arial"/>
                <w:b/>
                <w:bCs/>
                <w:sz w:val="16"/>
                <w:szCs w:val="16"/>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Pr="00613853" w:rsidRDefault="00B01F04" w:rsidP="00D86960">
            <w:pPr>
              <w:spacing w:line="240" w:lineRule="exact"/>
              <w:ind w:right="347"/>
              <w:jc w:val="right"/>
              <w:rPr>
                <w:rFonts w:eastAsia="Times New Roman" w:cs="Arial"/>
                <w:b/>
                <w:bCs/>
                <w:color w:val="000000"/>
                <w:sz w:val="16"/>
                <w:szCs w:val="16"/>
                <w:lang w:eastAsia="es-ES"/>
              </w:rPr>
            </w:pPr>
            <w:r w:rsidRPr="00613853">
              <w:rPr>
                <w:rFonts w:eastAsia="Times New Roman" w:cs="Arial"/>
                <w:b/>
                <w:bCs/>
                <w:color w:val="000000"/>
                <w:sz w:val="16"/>
                <w:szCs w:val="16"/>
                <w:lang w:eastAsia="es-ES"/>
              </w:rPr>
              <w:t>115.336.486</w:t>
            </w:r>
          </w:p>
          <w:p w:rsidR="00B01F04" w:rsidRPr="00080818" w:rsidRDefault="00B01F04" w:rsidP="00D86960">
            <w:pPr>
              <w:spacing w:line="240" w:lineRule="exact"/>
              <w:ind w:right="347"/>
              <w:jc w:val="right"/>
              <w:rPr>
                <w:rFonts w:eastAsia="Times New Roman" w:cs="Arial"/>
                <w:b/>
                <w:bCs/>
                <w:color w:val="000000"/>
                <w:sz w:val="16"/>
                <w:szCs w:val="16"/>
                <w:lang w:eastAsia="es-ES"/>
              </w:rPr>
            </w:pPr>
            <w:r>
              <w:rPr>
                <w:rFonts w:eastAsia="Times New Roman" w:cs="Arial"/>
                <w:b/>
                <w:bCs/>
                <w:color w:val="000000"/>
                <w:sz w:val="16"/>
                <w:szCs w:val="16"/>
                <w:lang w:eastAsia="es-ES"/>
              </w:rPr>
              <w:t>114.357.158</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rsidR="00B01F04" w:rsidRDefault="00B01F04" w:rsidP="00D86960">
            <w:pPr>
              <w:widowControl w:val="0"/>
              <w:spacing w:line="240" w:lineRule="exact"/>
              <w:ind w:right="284"/>
              <w:jc w:val="right"/>
              <w:rPr>
                <w:rFonts w:cs="Arial"/>
                <w:b/>
                <w:bCs/>
                <w:sz w:val="16"/>
                <w:szCs w:val="16"/>
              </w:rPr>
            </w:pPr>
            <w:r w:rsidRPr="005969BD">
              <w:rPr>
                <w:rFonts w:cs="Arial"/>
                <w:b/>
                <w:bCs/>
                <w:sz w:val="16"/>
                <w:szCs w:val="16"/>
              </w:rPr>
              <w:t>100,0</w:t>
            </w:r>
          </w:p>
          <w:p w:rsidR="00B01F04" w:rsidRPr="005969BD" w:rsidRDefault="00B01F04" w:rsidP="00D86960">
            <w:pPr>
              <w:widowControl w:val="0"/>
              <w:spacing w:line="240" w:lineRule="exact"/>
              <w:ind w:right="284"/>
              <w:jc w:val="right"/>
              <w:rPr>
                <w:rFonts w:ascii="Calibri" w:eastAsia="Times New Roman" w:hAnsi="Calibri" w:cs="Times New Roman"/>
                <w:color w:val="000000"/>
                <w:sz w:val="22"/>
                <w:lang w:eastAsia="es-ES"/>
              </w:rPr>
            </w:pPr>
          </w:p>
        </w:tc>
      </w:tr>
    </w:tbl>
    <w:p w:rsidR="00B01F04" w:rsidRDefault="00B01F04" w:rsidP="00B01F04">
      <w:pPr>
        <w:pStyle w:val="Prrafodelista"/>
        <w:spacing w:line="240" w:lineRule="auto"/>
        <w:ind w:left="360"/>
        <w:rPr>
          <w:rFonts w:ascii="Arial" w:eastAsia="Times New Roman" w:hAnsi="Arial"/>
          <w:b/>
          <w:snapToGrid w:val="0"/>
          <w:color w:val="1F497D" w:themeColor="text2"/>
          <w:lang w:eastAsia="es-ES"/>
        </w:rPr>
      </w:pPr>
    </w:p>
    <w:p w:rsidR="00B01F04" w:rsidRDefault="00B01F04" w:rsidP="00B01F04">
      <w:pPr>
        <w:pStyle w:val="Prrafodelista"/>
        <w:spacing w:line="240" w:lineRule="auto"/>
        <w:ind w:left="360"/>
        <w:rPr>
          <w:rFonts w:ascii="Arial" w:eastAsia="Times New Roman" w:hAnsi="Arial"/>
          <w:b/>
          <w:snapToGrid w:val="0"/>
          <w:color w:val="1F497D" w:themeColor="text2"/>
          <w:lang w:eastAsia="es-ES"/>
        </w:rPr>
      </w:pPr>
    </w:p>
    <w:p w:rsidR="00B01F04" w:rsidRPr="00DC7DAD" w:rsidRDefault="00A67658" w:rsidP="00B01F04">
      <w:pPr>
        <w:widowControl w:val="0"/>
        <w:spacing w:line="240" w:lineRule="auto"/>
        <w:jc w:val="center"/>
        <w:rPr>
          <w:rFonts w:cs="Arial"/>
          <w:b/>
          <w:color w:val="1F497D" w:themeColor="text2"/>
          <w:sz w:val="18"/>
          <w:szCs w:val="18"/>
        </w:rPr>
      </w:pPr>
      <w:bookmarkStart w:id="453" w:name="_Toc445381007"/>
      <w:bookmarkStart w:id="454" w:name="_Toc450119859"/>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34</w:t>
      </w:r>
      <w:r w:rsidR="00771A61" w:rsidRPr="00A67658">
        <w:rPr>
          <w:rFonts w:cs="Arial"/>
          <w:b/>
          <w:bCs/>
          <w:snapToGrid w:val="0"/>
          <w:color w:val="1F497D" w:themeColor="text2"/>
          <w:sz w:val="18"/>
          <w:szCs w:val="18"/>
          <w:lang w:val="es-ES_tradnl"/>
        </w:rPr>
        <w:fldChar w:fldCharType="end"/>
      </w:r>
      <w:r w:rsidR="00B01F04" w:rsidRPr="00665097">
        <w:rPr>
          <w:rFonts w:cs="Arial"/>
          <w:b/>
          <w:color w:val="1F497D" w:themeColor="text2"/>
          <w:sz w:val="18"/>
          <w:szCs w:val="18"/>
        </w:rPr>
        <w:t xml:space="preserve"> </w:t>
      </w:r>
      <w:r w:rsidR="00B01F04">
        <w:rPr>
          <w:rFonts w:cs="Arial"/>
          <w:b/>
          <w:color w:val="1F497D" w:themeColor="text2"/>
          <w:sz w:val="18"/>
          <w:szCs w:val="18"/>
        </w:rPr>
        <w:t xml:space="preserve">DISTRIBUCIÓN DE VAB FCES Y NFES 2014 </w:t>
      </w:r>
      <w:r w:rsidR="00B01F04" w:rsidRPr="00300BEC">
        <w:rPr>
          <w:rFonts w:cs="Arial"/>
          <w:b/>
          <w:color w:val="1F497D" w:themeColor="text2"/>
          <w:sz w:val="18"/>
          <w:szCs w:val="18"/>
        </w:rPr>
        <w:t>(c</w:t>
      </w:r>
      <w:r w:rsidR="00B01F04">
        <w:rPr>
          <w:rFonts w:cs="Arial"/>
          <w:b/>
          <w:color w:val="1F497D" w:themeColor="text2"/>
          <w:sz w:val="18"/>
          <w:szCs w:val="18"/>
        </w:rPr>
        <w:t>ifras absolutas</w:t>
      </w:r>
      <w:r w:rsidR="00B01F04" w:rsidRPr="00300BEC">
        <w:rPr>
          <w:rFonts w:cs="Arial"/>
          <w:b/>
          <w:color w:val="1F497D" w:themeColor="text2"/>
          <w:sz w:val="18"/>
          <w:szCs w:val="18"/>
        </w:rPr>
        <w:t xml:space="preserve"> miles de Euros</w:t>
      </w:r>
      <w:r w:rsidR="00B01F04">
        <w:rPr>
          <w:rFonts w:cs="Arial"/>
          <w:b/>
          <w:color w:val="1F497D" w:themeColor="text2"/>
          <w:sz w:val="18"/>
          <w:szCs w:val="18"/>
        </w:rPr>
        <w:t xml:space="preserve"> y</w:t>
      </w:r>
      <w:r w:rsidR="00B01F04" w:rsidRPr="00300BEC">
        <w:rPr>
          <w:rFonts w:cs="Arial"/>
          <w:b/>
          <w:color w:val="1F497D" w:themeColor="text2"/>
          <w:sz w:val="18"/>
          <w:szCs w:val="18"/>
        </w:rPr>
        <w:t xml:space="preserve"> %</w:t>
      </w:r>
      <w:r w:rsidR="00B01F04">
        <w:rPr>
          <w:rFonts w:cs="Arial"/>
          <w:b/>
          <w:color w:val="1F497D" w:themeColor="text2"/>
          <w:sz w:val="18"/>
          <w:szCs w:val="18"/>
        </w:rPr>
        <w:t xml:space="preserve"> </w:t>
      </w:r>
      <w:r w:rsidR="00B01F04" w:rsidRPr="00300BEC">
        <w:rPr>
          <w:rFonts w:cs="Arial"/>
          <w:b/>
          <w:color w:val="1F497D" w:themeColor="text2"/>
          <w:sz w:val="18"/>
          <w:szCs w:val="18"/>
        </w:rPr>
        <w:t>v</w:t>
      </w:r>
      <w:r w:rsidR="00B01F04">
        <w:rPr>
          <w:rFonts w:cs="Arial"/>
          <w:b/>
          <w:color w:val="1F497D" w:themeColor="text2"/>
          <w:sz w:val="18"/>
          <w:szCs w:val="18"/>
        </w:rPr>
        <w:t>erticales</w:t>
      </w:r>
      <w:r w:rsidR="00B01F04" w:rsidRPr="00300BEC">
        <w:rPr>
          <w:rFonts w:cs="Arial"/>
          <w:b/>
          <w:color w:val="1F497D" w:themeColor="text2"/>
          <w:sz w:val="18"/>
          <w:szCs w:val="18"/>
        </w:rPr>
        <w:t>) (Precios Corrientes)</w:t>
      </w:r>
      <w:bookmarkEnd w:id="453"/>
      <w:bookmarkEnd w:id="454"/>
    </w:p>
    <w:tbl>
      <w:tblPr>
        <w:tblW w:w="9940" w:type="dxa"/>
        <w:jc w:val="center"/>
        <w:tblLook w:val="04A0" w:firstRow="1" w:lastRow="0" w:firstColumn="1" w:lastColumn="0" w:noHBand="0" w:noVBand="1"/>
      </w:tblPr>
      <w:tblGrid>
        <w:gridCol w:w="4632"/>
        <w:gridCol w:w="2654"/>
        <w:gridCol w:w="2654"/>
      </w:tblGrid>
      <w:tr w:rsidR="00B01F04" w:rsidRPr="00F04D4B" w:rsidTr="00537ABD">
        <w:trPr>
          <w:jc w:val="center"/>
        </w:trPr>
        <w:tc>
          <w:tcPr>
            <w:tcW w:w="233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p>
        </w:tc>
        <w:tc>
          <w:tcPr>
            <w:tcW w:w="267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sidRPr="00F04D4B">
              <w:rPr>
                <w:rFonts w:cs="Arial"/>
                <w:b/>
                <w:bCs/>
                <w:sz w:val="16"/>
                <w:szCs w:val="16"/>
                <w:lang w:val="pt-BR"/>
              </w:rPr>
              <w:t>201</w:t>
            </w:r>
            <w:r>
              <w:rPr>
                <w:rFonts w:cs="Arial"/>
                <w:b/>
                <w:bCs/>
                <w:sz w:val="16"/>
                <w:szCs w:val="16"/>
                <w:lang w:val="pt-BR"/>
              </w:rPr>
              <w:t>4</w:t>
            </w:r>
          </w:p>
        </w:tc>
      </w:tr>
      <w:tr w:rsidR="00B01F04" w:rsidRPr="00F04D4B" w:rsidTr="00537ABD">
        <w:trPr>
          <w:jc w:val="center"/>
        </w:trPr>
        <w:tc>
          <w:tcPr>
            <w:tcW w:w="233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sz w:val="16"/>
                <w:szCs w:val="16"/>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Abs.</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 ver.</w:t>
            </w:r>
          </w:p>
        </w:tc>
      </w:tr>
      <w:tr w:rsidR="00B01F04" w:rsidRPr="00F04D4B" w:rsidTr="00537ABD">
        <w:trPr>
          <w:jc w:val="center"/>
        </w:trPr>
        <w:tc>
          <w:tcPr>
            <w:tcW w:w="2330" w:type="pct"/>
            <w:tcBorders>
              <w:top w:val="single" w:sz="4" w:space="0" w:color="BFBFBF" w:themeColor="background1" w:themeShade="BF"/>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FCES</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01F04" w:rsidRPr="00EF7392" w:rsidRDefault="00B01F04" w:rsidP="00D86960">
            <w:pPr>
              <w:widowControl w:val="0"/>
              <w:spacing w:line="240" w:lineRule="exact"/>
              <w:ind w:right="284"/>
              <w:jc w:val="right"/>
              <w:rPr>
                <w:rFonts w:eastAsia="Times New Roman" w:cs="Arial"/>
                <w:b/>
                <w:color w:val="000000"/>
                <w:sz w:val="16"/>
                <w:szCs w:val="16"/>
                <w:lang w:eastAsia="es-ES"/>
              </w:rPr>
            </w:pPr>
            <w:r w:rsidRPr="00383BD4">
              <w:rPr>
                <w:rFonts w:cs="Arial"/>
                <w:b/>
                <w:bCs/>
                <w:color w:val="000000"/>
                <w:sz w:val="16"/>
                <w:szCs w:val="16"/>
              </w:rPr>
              <w:t>2.615.128</w:t>
            </w:r>
          </w:p>
        </w:tc>
        <w:tc>
          <w:tcPr>
            <w:tcW w:w="1335" w:type="pct"/>
            <w:tcBorders>
              <w:top w:val="single" w:sz="4" w:space="0" w:color="BFBFBF" w:themeColor="background1" w:themeShade="BF"/>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b/>
                <w:color w:val="000000"/>
                <w:sz w:val="16"/>
                <w:szCs w:val="16"/>
              </w:rPr>
            </w:pPr>
            <w:r w:rsidRPr="001A5159">
              <w:rPr>
                <w:rFonts w:cs="Arial"/>
                <w:b/>
                <w:color w:val="000000"/>
                <w:sz w:val="16"/>
                <w:szCs w:val="16"/>
              </w:rPr>
              <w:t>84,9</w:t>
            </w:r>
          </w:p>
        </w:tc>
      </w:tr>
      <w:tr w:rsidR="00B01F04" w:rsidRPr="00F04D4B" w:rsidTr="00537ABD">
        <w:trPr>
          <w:jc w:val="center"/>
        </w:trPr>
        <w:tc>
          <w:tcPr>
            <w:tcW w:w="233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Cooperativas</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EF7392" w:rsidRDefault="00B01F04" w:rsidP="00D86960">
            <w:pPr>
              <w:widowControl w:val="0"/>
              <w:spacing w:line="240" w:lineRule="exact"/>
              <w:ind w:right="284"/>
              <w:jc w:val="right"/>
              <w:rPr>
                <w:rFonts w:eastAsia="Times New Roman" w:cs="Arial"/>
                <w:color w:val="000000"/>
                <w:sz w:val="16"/>
                <w:szCs w:val="16"/>
                <w:lang w:eastAsia="es-ES"/>
              </w:rPr>
            </w:pPr>
            <w:r w:rsidRPr="00535879">
              <w:rPr>
                <w:rFonts w:cs="Arial"/>
                <w:color w:val="000000"/>
                <w:sz w:val="16"/>
                <w:szCs w:val="16"/>
              </w:rPr>
              <w:t>2.358.885</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76,5</w:t>
            </w:r>
          </w:p>
        </w:tc>
      </w:tr>
      <w:tr w:rsidR="00B01F04" w:rsidRPr="00F04D4B" w:rsidTr="00537ABD">
        <w:trPr>
          <w:jc w:val="center"/>
        </w:trPr>
        <w:tc>
          <w:tcPr>
            <w:tcW w:w="2330" w:type="pct"/>
            <w:tcBorders>
              <w:right w:val="single" w:sz="4" w:space="0" w:color="BFBFBF" w:themeColor="background1" w:themeShade="BF"/>
            </w:tcBorders>
            <w:hideMark/>
          </w:tcPr>
          <w:p w:rsidR="00B01F04" w:rsidRPr="00F04D4B" w:rsidRDefault="00B01F04" w:rsidP="00D86960">
            <w:pPr>
              <w:widowControl w:val="0"/>
              <w:spacing w:line="240" w:lineRule="exact"/>
              <w:rPr>
                <w:rFonts w:cs="Arial"/>
                <w:sz w:val="16"/>
                <w:szCs w:val="16"/>
              </w:rPr>
            </w:pPr>
            <w:r>
              <w:rPr>
                <w:rFonts w:cs="Arial"/>
                <w:sz w:val="16"/>
                <w:szCs w:val="16"/>
                <w:lang w:val="pt-BR"/>
              </w:rPr>
              <w:tab/>
            </w:r>
            <w:r w:rsidRPr="00F04D4B">
              <w:rPr>
                <w:rFonts w:cs="Arial"/>
                <w:sz w:val="16"/>
                <w:szCs w:val="16"/>
                <w:lang w:val="pt-BR"/>
              </w:rPr>
              <w:t>S.L.</w:t>
            </w:r>
            <w:proofErr w:type="gramStart"/>
            <w:r w:rsidRPr="00F04D4B">
              <w:rPr>
                <w:rFonts w:cs="Arial"/>
                <w:sz w:val="16"/>
                <w:szCs w:val="16"/>
                <w:lang w:val="pt-BR"/>
              </w:rPr>
              <w:t>es</w:t>
            </w:r>
            <w:proofErr w:type="gramEnd"/>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Pr>
                <w:rFonts w:cs="Arial"/>
                <w:color w:val="000000"/>
                <w:sz w:val="16"/>
                <w:szCs w:val="16"/>
              </w:rPr>
              <w:t>256.243</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8,3</w:t>
            </w:r>
          </w:p>
        </w:tc>
      </w:tr>
      <w:tr w:rsidR="00B01F04" w:rsidRPr="00F04D4B" w:rsidTr="00537ABD">
        <w:trPr>
          <w:jc w:val="center"/>
        </w:trPr>
        <w:tc>
          <w:tcPr>
            <w:tcW w:w="2330" w:type="pct"/>
            <w:tcBorders>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sidRPr="00A45E71">
              <w:rPr>
                <w:rFonts w:cs="Arial"/>
                <w:b/>
                <w:sz w:val="16"/>
                <w:szCs w:val="16"/>
              </w:rPr>
              <w:t>NFES</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A45E71" w:rsidRDefault="00B01F04" w:rsidP="00D86960">
            <w:pPr>
              <w:widowControl w:val="0"/>
              <w:spacing w:line="240" w:lineRule="exact"/>
              <w:ind w:right="284"/>
              <w:jc w:val="right"/>
              <w:rPr>
                <w:rFonts w:cs="Arial"/>
                <w:b/>
                <w:color w:val="000000"/>
                <w:sz w:val="16"/>
                <w:szCs w:val="16"/>
              </w:rPr>
            </w:pPr>
            <w:r w:rsidRPr="001A5159">
              <w:rPr>
                <w:rFonts w:eastAsia="Times New Roman" w:cs="Arial"/>
                <w:b/>
                <w:bCs/>
                <w:color w:val="000000"/>
                <w:sz w:val="16"/>
                <w:szCs w:val="16"/>
                <w:lang w:eastAsia="es-ES"/>
              </w:rPr>
              <w:t>466.485</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b/>
                <w:color w:val="000000"/>
                <w:sz w:val="16"/>
                <w:szCs w:val="16"/>
              </w:rPr>
            </w:pPr>
            <w:r w:rsidRPr="001A5159">
              <w:rPr>
                <w:rFonts w:cs="Arial"/>
                <w:b/>
                <w:color w:val="000000"/>
                <w:sz w:val="16"/>
                <w:szCs w:val="16"/>
              </w:rPr>
              <w:t>15,1</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Fundaciones</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266.927</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8,7</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Centros Especiales de Empleo</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118.351</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3,8</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Asociaciones de Utilidad Pública</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44.588</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1,4</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Empresas de Inserción</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16.188</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0,5</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SATs</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8.024</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0,3</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r w:rsidRPr="00080818">
              <w:rPr>
                <w:rFonts w:eastAsia="Times New Roman" w:cs="Arial"/>
                <w:color w:val="000000"/>
                <w:sz w:val="16"/>
                <w:szCs w:val="16"/>
                <w:lang w:eastAsia="es-ES"/>
              </w:rPr>
              <w:t>Cofradías de Pescadores</w:t>
            </w:r>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2.331</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0,1</w:t>
            </w:r>
          </w:p>
        </w:tc>
      </w:tr>
      <w:tr w:rsidR="00B01F04" w:rsidRPr="00F04D4B" w:rsidTr="00537ABD">
        <w:trPr>
          <w:jc w:val="center"/>
        </w:trPr>
        <w:tc>
          <w:tcPr>
            <w:tcW w:w="2330" w:type="pct"/>
            <w:tcBorders>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eastAsia="Times New Roman" w:cs="Arial"/>
                <w:color w:val="000000"/>
                <w:sz w:val="16"/>
                <w:szCs w:val="16"/>
                <w:lang w:eastAsia="es-ES"/>
              </w:rPr>
              <w:tab/>
            </w:r>
            <w:proofErr w:type="spellStart"/>
            <w:r w:rsidRPr="00080818">
              <w:rPr>
                <w:rFonts w:eastAsia="Times New Roman" w:cs="Arial"/>
                <w:color w:val="000000"/>
                <w:sz w:val="16"/>
                <w:szCs w:val="16"/>
                <w:lang w:eastAsia="es-ES"/>
              </w:rPr>
              <w:t>EPSVs</w:t>
            </w:r>
            <w:proofErr w:type="spellEnd"/>
          </w:p>
        </w:tc>
        <w:tc>
          <w:tcPr>
            <w:tcW w:w="1335" w:type="pct"/>
            <w:tcBorders>
              <w:left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10.078</w:t>
            </w:r>
          </w:p>
        </w:tc>
        <w:tc>
          <w:tcPr>
            <w:tcW w:w="1335"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sidRPr="001A5159">
              <w:rPr>
                <w:rFonts w:cs="Arial"/>
                <w:color w:val="000000"/>
                <w:sz w:val="16"/>
                <w:szCs w:val="16"/>
              </w:rPr>
              <w:t>0,3</w:t>
            </w:r>
          </w:p>
        </w:tc>
      </w:tr>
      <w:tr w:rsidR="00B01F04" w:rsidRPr="00F04D4B" w:rsidTr="00537ABD">
        <w:trPr>
          <w:trHeight w:val="70"/>
          <w:jc w:val="center"/>
        </w:trPr>
        <w:tc>
          <w:tcPr>
            <w:tcW w:w="233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widowControl w:val="0"/>
              <w:spacing w:line="240" w:lineRule="exact"/>
              <w:rPr>
                <w:rFonts w:cs="Arial"/>
                <w:b/>
                <w:bCs/>
                <w:sz w:val="16"/>
                <w:szCs w:val="16"/>
              </w:rPr>
            </w:pPr>
            <w:r w:rsidRPr="00F04D4B">
              <w:rPr>
                <w:rFonts w:cs="Arial"/>
                <w:b/>
                <w:bCs/>
                <w:sz w:val="16"/>
                <w:szCs w:val="16"/>
              </w:rPr>
              <w:t>TOTAL</w:t>
            </w:r>
          </w:p>
          <w:p w:rsidR="00B01F04" w:rsidRPr="00F04D4B" w:rsidRDefault="00B01F04" w:rsidP="00D86960">
            <w:pPr>
              <w:widowControl w:val="0"/>
              <w:spacing w:line="240" w:lineRule="exact"/>
              <w:rPr>
                <w:rFonts w:cs="Arial"/>
                <w:b/>
                <w:bCs/>
                <w:sz w:val="16"/>
                <w:szCs w:val="16"/>
              </w:rPr>
            </w:pPr>
            <w:r>
              <w:rPr>
                <w:rFonts w:cs="Arial"/>
                <w:b/>
                <w:bCs/>
                <w:sz w:val="16"/>
                <w:szCs w:val="16"/>
              </w:rPr>
              <w:t>TOTAL –sin duplicaciones</w:t>
            </w:r>
            <w:r>
              <w:rPr>
                <w:rStyle w:val="Refdenotaalpie"/>
                <w:rFonts w:cs="Arial"/>
                <w:b/>
                <w:bCs/>
                <w:sz w:val="16"/>
                <w:szCs w:val="16"/>
              </w:rPr>
              <w:footnoteReference w:id="27"/>
            </w:r>
            <w:r>
              <w:rPr>
                <w:rFonts w:cs="Arial"/>
                <w:b/>
                <w:bCs/>
                <w:sz w:val="16"/>
                <w:szCs w:val="16"/>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01F04" w:rsidRDefault="00B01F04" w:rsidP="00D86960">
            <w:pPr>
              <w:spacing w:line="240" w:lineRule="exact"/>
              <w:ind w:right="347"/>
              <w:jc w:val="right"/>
              <w:rPr>
                <w:rFonts w:eastAsia="Times New Roman" w:cs="Arial"/>
                <w:b/>
                <w:bCs/>
                <w:color w:val="000000"/>
                <w:sz w:val="16"/>
                <w:szCs w:val="16"/>
                <w:lang w:eastAsia="es-ES"/>
              </w:rPr>
            </w:pPr>
            <w:r w:rsidRPr="001A5159">
              <w:rPr>
                <w:rFonts w:eastAsia="Times New Roman" w:cs="Arial"/>
                <w:b/>
                <w:bCs/>
                <w:color w:val="000000"/>
                <w:sz w:val="16"/>
                <w:szCs w:val="16"/>
                <w:lang w:eastAsia="es-ES"/>
              </w:rPr>
              <w:t>3.081.613</w:t>
            </w:r>
          </w:p>
          <w:p w:rsidR="00B01F04" w:rsidRPr="00080818" w:rsidRDefault="00B01F04" w:rsidP="00D86960">
            <w:pPr>
              <w:spacing w:line="240" w:lineRule="exact"/>
              <w:ind w:right="347"/>
              <w:jc w:val="right"/>
              <w:rPr>
                <w:rFonts w:eastAsia="Times New Roman" w:cs="Arial"/>
                <w:b/>
                <w:bCs/>
                <w:color w:val="000000"/>
                <w:sz w:val="16"/>
                <w:szCs w:val="16"/>
                <w:lang w:eastAsia="es-ES"/>
              </w:rPr>
            </w:pPr>
            <w:r>
              <w:rPr>
                <w:rFonts w:eastAsia="Times New Roman" w:cs="Arial"/>
                <w:b/>
                <w:bCs/>
                <w:color w:val="000000"/>
                <w:sz w:val="16"/>
                <w:szCs w:val="16"/>
                <w:lang w:eastAsia="es-ES"/>
              </w:rPr>
              <w:t>3.067.572</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rsidR="00B01F04" w:rsidRDefault="00B01F04" w:rsidP="00D86960">
            <w:pPr>
              <w:widowControl w:val="0"/>
              <w:spacing w:line="240" w:lineRule="exact"/>
              <w:ind w:right="284"/>
              <w:jc w:val="right"/>
              <w:rPr>
                <w:rFonts w:cs="Arial"/>
                <w:b/>
                <w:bCs/>
                <w:sz w:val="16"/>
                <w:szCs w:val="16"/>
              </w:rPr>
            </w:pPr>
            <w:r>
              <w:rPr>
                <w:rFonts w:cs="Arial"/>
                <w:b/>
                <w:bCs/>
                <w:sz w:val="16"/>
                <w:szCs w:val="16"/>
              </w:rPr>
              <w:t>100,0</w:t>
            </w:r>
          </w:p>
          <w:p w:rsidR="00B01F04" w:rsidRPr="00F04D4B" w:rsidRDefault="00B01F04" w:rsidP="00D86960">
            <w:pPr>
              <w:widowControl w:val="0"/>
              <w:spacing w:line="240" w:lineRule="exact"/>
              <w:ind w:right="284"/>
              <w:jc w:val="right"/>
              <w:rPr>
                <w:rFonts w:cs="Arial"/>
                <w:b/>
                <w:bCs/>
                <w:sz w:val="16"/>
                <w:szCs w:val="16"/>
              </w:rPr>
            </w:pPr>
          </w:p>
        </w:tc>
      </w:tr>
    </w:tbl>
    <w:p w:rsidR="00B01F04" w:rsidRDefault="00B01F04" w:rsidP="00B01F04">
      <w:pPr>
        <w:pStyle w:val="Prrafodelista"/>
        <w:spacing w:line="240" w:lineRule="auto"/>
        <w:ind w:left="360"/>
        <w:rPr>
          <w:rFonts w:ascii="Arial" w:eastAsia="Times New Roman" w:hAnsi="Arial"/>
          <w:b/>
          <w:snapToGrid w:val="0"/>
          <w:color w:val="1F497D" w:themeColor="text2"/>
          <w:lang w:eastAsia="es-ES"/>
        </w:rPr>
      </w:pPr>
    </w:p>
    <w:p w:rsidR="00B01F04" w:rsidRDefault="00B01F04" w:rsidP="00B01F04">
      <w:pPr>
        <w:jc w:val="left"/>
        <w:rPr>
          <w:rFonts w:eastAsia="Times New Roman" w:cs="Times New Roman"/>
          <w:b/>
          <w:snapToGrid w:val="0"/>
          <w:color w:val="1F497D" w:themeColor="text2"/>
          <w:sz w:val="22"/>
          <w:lang w:eastAsia="es-ES"/>
        </w:rPr>
      </w:pPr>
      <w:r>
        <w:rPr>
          <w:rFonts w:eastAsia="Times New Roman" w:cs="Times New Roman"/>
          <w:b/>
          <w:snapToGrid w:val="0"/>
          <w:color w:val="1F497D" w:themeColor="text2"/>
          <w:lang w:eastAsia="es-ES"/>
        </w:rPr>
        <w:br w:type="page"/>
      </w:r>
    </w:p>
    <w:p w:rsidR="00B01F04" w:rsidRPr="00A25CF2" w:rsidRDefault="00B01F04" w:rsidP="00A25CF2">
      <w:pPr>
        <w:pStyle w:val="Ttulo1"/>
        <w:ind w:left="708" w:hanging="708"/>
        <w:rPr>
          <w:color w:val="1F497D" w:themeColor="text2"/>
          <w:sz w:val="22"/>
          <w:szCs w:val="22"/>
        </w:rPr>
      </w:pPr>
      <w:bookmarkStart w:id="455" w:name="_Toc450118949"/>
      <w:r w:rsidRPr="00A25CF2">
        <w:rPr>
          <w:color w:val="1F497D" w:themeColor="text2"/>
          <w:sz w:val="22"/>
          <w:szCs w:val="22"/>
        </w:rPr>
        <w:lastRenderedPageBreak/>
        <w:t>1.</w:t>
      </w:r>
      <w:r w:rsidR="00A25CF2">
        <w:rPr>
          <w:color w:val="1F497D" w:themeColor="text2"/>
          <w:sz w:val="22"/>
          <w:szCs w:val="22"/>
        </w:rPr>
        <w:t>5</w:t>
      </w:r>
      <w:r w:rsidRPr="00A25CF2">
        <w:rPr>
          <w:color w:val="1F497D" w:themeColor="text2"/>
          <w:sz w:val="22"/>
          <w:szCs w:val="22"/>
        </w:rPr>
        <w:t>.4.- Principales magnitudes agregadas comparadas 2012 y 2014</w:t>
      </w:r>
      <w:bookmarkEnd w:id="455"/>
      <w:r w:rsidRPr="00A25CF2">
        <w:rPr>
          <w:color w:val="1F497D" w:themeColor="text2"/>
          <w:sz w:val="22"/>
          <w:szCs w:val="22"/>
        </w:rPr>
        <w:t xml:space="preserve"> </w:t>
      </w:r>
    </w:p>
    <w:p w:rsidR="009D099F" w:rsidRDefault="009D099F" w:rsidP="00B01F04">
      <w:pPr>
        <w:widowControl w:val="0"/>
        <w:rPr>
          <w:rFonts w:cs="Arial"/>
          <w:b/>
          <w:bCs/>
          <w:snapToGrid w:val="0"/>
          <w:color w:val="1F497D" w:themeColor="text2"/>
          <w:sz w:val="18"/>
          <w:szCs w:val="18"/>
          <w:lang w:val="es-ES_tradnl"/>
        </w:rPr>
      </w:pPr>
    </w:p>
    <w:p w:rsidR="00B01F04" w:rsidRDefault="00A67658" w:rsidP="009D099F">
      <w:pPr>
        <w:widowControl w:val="0"/>
        <w:jc w:val="center"/>
        <w:rPr>
          <w:rFonts w:eastAsia="Times New Roman" w:cs="Times New Roman"/>
          <w:b/>
          <w:snapToGrid w:val="0"/>
          <w:color w:val="1F497D" w:themeColor="text2"/>
          <w:sz w:val="22"/>
          <w:lang w:eastAsia="es-ES"/>
        </w:rPr>
      </w:pPr>
      <w:bookmarkStart w:id="456" w:name="_Toc445381008"/>
      <w:bookmarkStart w:id="457" w:name="_Toc450119860"/>
      <w:r w:rsidRPr="00A67658">
        <w:rPr>
          <w:rFonts w:cs="Arial"/>
          <w:b/>
          <w:bCs/>
          <w:snapToGrid w:val="0"/>
          <w:color w:val="1F497D" w:themeColor="text2"/>
          <w:sz w:val="18"/>
          <w:szCs w:val="18"/>
          <w:lang w:val="es-ES_tradnl"/>
        </w:rPr>
        <w:t>Cuadro 4.</w:t>
      </w:r>
      <w:r w:rsidR="00771A61" w:rsidRPr="00A67658">
        <w:rPr>
          <w:rFonts w:cs="Arial"/>
          <w:b/>
          <w:bCs/>
          <w:snapToGrid w:val="0"/>
          <w:color w:val="1F497D" w:themeColor="text2"/>
          <w:sz w:val="18"/>
          <w:szCs w:val="18"/>
          <w:lang w:val="es-ES_tradnl"/>
        </w:rPr>
        <w:fldChar w:fldCharType="begin"/>
      </w:r>
      <w:r w:rsidRPr="00A67658">
        <w:rPr>
          <w:rFonts w:cs="Arial"/>
          <w:b/>
          <w:bCs/>
          <w:snapToGrid w:val="0"/>
          <w:color w:val="1F497D" w:themeColor="text2"/>
          <w:sz w:val="18"/>
          <w:szCs w:val="18"/>
          <w:lang w:val="es-ES_tradnl"/>
        </w:rPr>
        <w:instrText xml:space="preserve"> SEQ Cuadro_4. \* ARABIC </w:instrText>
      </w:r>
      <w:r w:rsidR="00771A61" w:rsidRPr="00A67658">
        <w:rPr>
          <w:rFonts w:cs="Arial"/>
          <w:b/>
          <w:bCs/>
          <w:snapToGrid w:val="0"/>
          <w:color w:val="1F497D" w:themeColor="text2"/>
          <w:sz w:val="18"/>
          <w:szCs w:val="18"/>
          <w:lang w:val="es-ES_tradnl"/>
        </w:rPr>
        <w:fldChar w:fldCharType="separate"/>
      </w:r>
      <w:r w:rsidR="00FC71A9">
        <w:rPr>
          <w:rFonts w:cs="Arial"/>
          <w:b/>
          <w:bCs/>
          <w:noProof/>
          <w:snapToGrid w:val="0"/>
          <w:color w:val="1F497D" w:themeColor="text2"/>
          <w:sz w:val="18"/>
          <w:szCs w:val="18"/>
          <w:lang w:val="es-ES_tradnl"/>
        </w:rPr>
        <w:t>35</w:t>
      </w:r>
      <w:r w:rsidR="00771A61" w:rsidRPr="00A67658">
        <w:rPr>
          <w:rFonts w:cs="Arial"/>
          <w:b/>
          <w:bCs/>
          <w:snapToGrid w:val="0"/>
          <w:color w:val="1F497D" w:themeColor="text2"/>
          <w:sz w:val="18"/>
          <w:szCs w:val="18"/>
          <w:lang w:val="es-ES_tradnl"/>
        </w:rPr>
        <w:fldChar w:fldCharType="end"/>
      </w:r>
      <w:r>
        <w:rPr>
          <w:rFonts w:cs="Arial"/>
          <w:b/>
          <w:bCs/>
          <w:snapToGrid w:val="0"/>
          <w:color w:val="1F497D" w:themeColor="text2"/>
          <w:sz w:val="18"/>
          <w:szCs w:val="18"/>
          <w:lang w:val="es-ES_tradnl"/>
        </w:rPr>
        <w:t xml:space="preserve"> </w:t>
      </w:r>
      <w:bookmarkEnd w:id="456"/>
      <w:r w:rsidR="009C25B0">
        <w:rPr>
          <w:rFonts w:cs="Arial"/>
          <w:b/>
          <w:bCs/>
          <w:snapToGrid w:val="0"/>
          <w:color w:val="1F497D" w:themeColor="text2"/>
          <w:sz w:val="18"/>
          <w:szCs w:val="18"/>
          <w:lang w:val="es-ES_tradnl"/>
        </w:rPr>
        <w:t>Principales magnitudes de la Economía Social Agregada 2012 y 2014 (cifras absolutas)</w:t>
      </w:r>
      <w:bookmarkEnd w:id="457"/>
    </w:p>
    <w:tbl>
      <w:tblPr>
        <w:tblW w:w="9940" w:type="dxa"/>
        <w:jc w:val="center"/>
        <w:tblLook w:val="04A0" w:firstRow="1" w:lastRow="0" w:firstColumn="1" w:lastColumn="0" w:noHBand="0" w:noVBand="1"/>
      </w:tblPr>
      <w:tblGrid>
        <w:gridCol w:w="3499"/>
        <w:gridCol w:w="2682"/>
        <w:gridCol w:w="3759"/>
      </w:tblGrid>
      <w:tr w:rsidR="00B01F04" w:rsidRPr="00F04D4B" w:rsidTr="00537ABD">
        <w:trPr>
          <w:jc w:val="center"/>
        </w:trPr>
        <w:tc>
          <w:tcPr>
            <w:tcW w:w="176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p>
        </w:tc>
        <w:tc>
          <w:tcPr>
            <w:tcW w:w="324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 xml:space="preserve">ECONOMIA SOCIAL AGREGADA (Cooperativas, </w:t>
            </w:r>
            <w:proofErr w:type="spellStart"/>
            <w:proofErr w:type="gramStart"/>
            <w:r>
              <w:rPr>
                <w:rFonts w:cs="Arial"/>
                <w:b/>
                <w:bCs/>
                <w:sz w:val="16"/>
                <w:szCs w:val="16"/>
                <w:lang w:val="pt-BR"/>
              </w:rPr>
              <w:t>SALes</w:t>
            </w:r>
            <w:proofErr w:type="spellEnd"/>
            <w:proofErr w:type="gramEnd"/>
            <w:r>
              <w:rPr>
                <w:rFonts w:cs="Arial"/>
                <w:b/>
                <w:bCs/>
                <w:sz w:val="16"/>
                <w:szCs w:val="16"/>
                <w:lang w:val="pt-BR"/>
              </w:rPr>
              <w:t xml:space="preserve"> y </w:t>
            </w:r>
            <w:proofErr w:type="spellStart"/>
            <w:r>
              <w:rPr>
                <w:rFonts w:cs="Arial"/>
                <w:b/>
                <w:bCs/>
                <w:sz w:val="16"/>
                <w:szCs w:val="16"/>
                <w:lang w:val="pt-BR"/>
              </w:rPr>
              <w:t>SLLes</w:t>
            </w:r>
            <w:proofErr w:type="spellEnd"/>
            <w:r>
              <w:rPr>
                <w:rFonts w:cs="Arial"/>
                <w:b/>
                <w:bCs/>
                <w:sz w:val="16"/>
                <w:szCs w:val="16"/>
                <w:lang w:val="pt-BR"/>
              </w:rPr>
              <w:t xml:space="preserve">) + </w:t>
            </w:r>
            <w:proofErr w:type="spellStart"/>
            <w:r>
              <w:rPr>
                <w:rFonts w:cs="Arial"/>
                <w:b/>
                <w:bCs/>
                <w:sz w:val="16"/>
                <w:szCs w:val="16"/>
                <w:lang w:val="pt-BR"/>
              </w:rPr>
              <w:t>Nuevas</w:t>
            </w:r>
            <w:proofErr w:type="spellEnd"/>
            <w:r>
              <w:rPr>
                <w:rFonts w:cs="Arial"/>
                <w:b/>
                <w:bCs/>
                <w:sz w:val="16"/>
                <w:szCs w:val="16"/>
                <w:lang w:val="pt-BR"/>
              </w:rPr>
              <w:t xml:space="preserve"> Formas</w:t>
            </w:r>
          </w:p>
        </w:tc>
      </w:tr>
      <w:tr w:rsidR="00B01F04" w:rsidRPr="00F04D4B" w:rsidTr="00537ABD">
        <w:trPr>
          <w:jc w:val="center"/>
        </w:trPr>
        <w:tc>
          <w:tcPr>
            <w:tcW w:w="176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sz w:val="16"/>
                <w:szCs w:val="16"/>
              </w:rPr>
            </w:pP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2012</w:t>
            </w:r>
          </w:p>
        </w:tc>
        <w:tc>
          <w:tcPr>
            <w:tcW w:w="189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rsidR="00B01F04" w:rsidRPr="00F04D4B" w:rsidRDefault="00B01F04" w:rsidP="00D86960">
            <w:pPr>
              <w:widowControl w:val="0"/>
              <w:spacing w:line="240" w:lineRule="exact"/>
              <w:jc w:val="center"/>
              <w:rPr>
                <w:rFonts w:cs="Arial"/>
                <w:b/>
                <w:bCs/>
                <w:sz w:val="16"/>
                <w:szCs w:val="16"/>
              </w:rPr>
            </w:pPr>
            <w:r>
              <w:rPr>
                <w:rFonts w:cs="Arial"/>
                <w:b/>
                <w:bCs/>
                <w:sz w:val="16"/>
                <w:szCs w:val="16"/>
                <w:lang w:val="pt-BR"/>
              </w:rPr>
              <w:t>2014</w:t>
            </w:r>
          </w:p>
        </w:tc>
      </w:tr>
      <w:tr w:rsidR="00B01F04" w:rsidRPr="00F04D4B" w:rsidTr="00537ABD">
        <w:trPr>
          <w:jc w:val="center"/>
        </w:trPr>
        <w:tc>
          <w:tcPr>
            <w:tcW w:w="1760" w:type="pct"/>
            <w:tcBorders>
              <w:top w:val="single" w:sz="4" w:space="0" w:color="BFBFBF" w:themeColor="background1" w:themeShade="BF"/>
              <w:right w:val="single" w:sz="4" w:space="0" w:color="BFBFBF" w:themeColor="background1" w:themeShade="BF"/>
            </w:tcBorders>
            <w:hideMark/>
          </w:tcPr>
          <w:p w:rsidR="00B01F04" w:rsidRPr="00A45E71" w:rsidRDefault="00B01F04" w:rsidP="00D86960">
            <w:pPr>
              <w:widowControl w:val="0"/>
              <w:spacing w:line="240" w:lineRule="exact"/>
              <w:rPr>
                <w:rFonts w:cs="Arial"/>
                <w:b/>
                <w:sz w:val="16"/>
                <w:szCs w:val="16"/>
              </w:rPr>
            </w:pPr>
            <w:r>
              <w:rPr>
                <w:rFonts w:cs="Arial"/>
                <w:b/>
                <w:sz w:val="16"/>
                <w:szCs w:val="16"/>
              </w:rPr>
              <w:t>Empleo remunerado anualizado</w:t>
            </w:r>
          </w:p>
        </w:tc>
        <w:tc>
          <w:tcPr>
            <w:tcW w:w="1349"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rsidR="00B01F04" w:rsidRPr="00953713" w:rsidRDefault="00B01F04" w:rsidP="00D86960">
            <w:pPr>
              <w:widowControl w:val="0"/>
              <w:spacing w:line="240" w:lineRule="exact"/>
              <w:ind w:right="284"/>
              <w:jc w:val="right"/>
              <w:rPr>
                <w:rFonts w:cs="Arial"/>
                <w:color w:val="000000"/>
                <w:sz w:val="16"/>
                <w:szCs w:val="16"/>
              </w:rPr>
            </w:pPr>
            <w:r w:rsidRPr="00953713">
              <w:rPr>
                <w:rFonts w:cs="Arial"/>
                <w:color w:val="000000"/>
                <w:sz w:val="16"/>
                <w:szCs w:val="16"/>
              </w:rPr>
              <w:t>81.224</w:t>
            </w:r>
            <w:r>
              <w:rPr>
                <w:rFonts w:cs="Arial"/>
                <w:color w:val="000000"/>
                <w:sz w:val="16"/>
                <w:szCs w:val="16"/>
              </w:rPr>
              <w:t xml:space="preserve"> empleos</w:t>
            </w:r>
            <w:r w:rsidR="00596EB7">
              <w:rPr>
                <w:rStyle w:val="Refdenotaalpie"/>
                <w:rFonts w:cs="Arial"/>
                <w:color w:val="000000"/>
                <w:sz w:val="16"/>
                <w:szCs w:val="16"/>
              </w:rPr>
              <w:footnoteReference w:id="28"/>
            </w:r>
          </w:p>
        </w:tc>
        <w:tc>
          <w:tcPr>
            <w:tcW w:w="1890" w:type="pct"/>
            <w:tcBorders>
              <w:top w:val="single" w:sz="4" w:space="0" w:color="BFBFBF" w:themeColor="background1" w:themeShade="BF"/>
              <w:left w:val="single" w:sz="4" w:space="0" w:color="BFBFBF" w:themeColor="background1" w:themeShade="BF"/>
            </w:tcBorders>
            <w:vAlign w:val="bottom"/>
            <w:hideMark/>
          </w:tcPr>
          <w:p w:rsidR="00B01F04" w:rsidRPr="00953713" w:rsidRDefault="00B01F04" w:rsidP="00D86960">
            <w:pPr>
              <w:widowControl w:val="0"/>
              <w:spacing w:line="240" w:lineRule="exact"/>
              <w:ind w:right="284"/>
              <w:jc w:val="right"/>
              <w:rPr>
                <w:rFonts w:cs="Arial"/>
                <w:color w:val="000000"/>
                <w:sz w:val="16"/>
                <w:szCs w:val="16"/>
              </w:rPr>
            </w:pPr>
            <w:r w:rsidRPr="00953713">
              <w:rPr>
                <w:rFonts w:cs="Arial"/>
                <w:color w:val="000000"/>
                <w:sz w:val="16"/>
                <w:szCs w:val="16"/>
              </w:rPr>
              <w:t>76.843</w:t>
            </w:r>
            <w:r>
              <w:rPr>
                <w:rFonts w:cs="Arial"/>
                <w:color w:val="000000"/>
                <w:sz w:val="16"/>
                <w:szCs w:val="16"/>
              </w:rPr>
              <w:t xml:space="preserve"> empleos</w:t>
            </w:r>
          </w:p>
        </w:tc>
      </w:tr>
      <w:tr w:rsidR="00B01F04" w:rsidRPr="00F04D4B" w:rsidTr="00537ABD">
        <w:trPr>
          <w:jc w:val="center"/>
        </w:trPr>
        <w:tc>
          <w:tcPr>
            <w:tcW w:w="1760" w:type="pct"/>
            <w:tcBorders>
              <w:right w:val="single" w:sz="4" w:space="0" w:color="BFBFBF" w:themeColor="background1" w:themeShade="BF"/>
            </w:tcBorders>
            <w:hideMark/>
          </w:tcPr>
          <w:p w:rsidR="00B01F04" w:rsidRPr="00953713" w:rsidRDefault="00B01F04" w:rsidP="00D86960">
            <w:pPr>
              <w:widowControl w:val="0"/>
              <w:spacing w:line="240" w:lineRule="exact"/>
              <w:rPr>
                <w:rFonts w:cs="Arial"/>
                <w:b/>
                <w:sz w:val="16"/>
                <w:szCs w:val="16"/>
              </w:rPr>
            </w:pPr>
            <w:r w:rsidRPr="00953713">
              <w:rPr>
                <w:rFonts w:cs="Arial"/>
                <w:b/>
                <w:sz w:val="16"/>
                <w:szCs w:val="16"/>
              </w:rPr>
              <w:t>Facturación</w:t>
            </w:r>
          </w:p>
        </w:tc>
        <w:tc>
          <w:tcPr>
            <w:tcW w:w="1349" w:type="pct"/>
            <w:tcBorders>
              <w:left w:val="single" w:sz="4" w:space="0" w:color="BFBFBF" w:themeColor="background1" w:themeShade="BF"/>
              <w:right w:val="single" w:sz="4" w:space="0" w:color="BFBFBF" w:themeColor="background1" w:themeShade="BF"/>
            </w:tcBorders>
            <w:vAlign w:val="bottom"/>
            <w:hideMark/>
          </w:tcPr>
          <w:p w:rsidR="00B01F04" w:rsidRPr="00953713" w:rsidRDefault="00B01F04" w:rsidP="00D86960">
            <w:pPr>
              <w:widowControl w:val="0"/>
              <w:spacing w:line="240" w:lineRule="exact"/>
              <w:ind w:right="284"/>
              <w:jc w:val="right"/>
              <w:rPr>
                <w:rFonts w:cs="Arial"/>
                <w:color w:val="000000"/>
                <w:sz w:val="16"/>
                <w:szCs w:val="16"/>
              </w:rPr>
            </w:pPr>
            <w:r>
              <w:rPr>
                <w:rFonts w:cs="Arial"/>
                <w:color w:val="000000"/>
                <w:sz w:val="16"/>
                <w:szCs w:val="16"/>
              </w:rPr>
              <w:t>10.196 millones de euros</w:t>
            </w:r>
          </w:p>
        </w:tc>
        <w:tc>
          <w:tcPr>
            <w:tcW w:w="1890"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Pr>
                <w:rFonts w:cs="Arial"/>
                <w:color w:val="000000"/>
                <w:sz w:val="16"/>
                <w:szCs w:val="16"/>
              </w:rPr>
              <w:t>9.855 millones de euros</w:t>
            </w:r>
          </w:p>
        </w:tc>
      </w:tr>
      <w:tr w:rsidR="00B01F04" w:rsidRPr="00F04D4B" w:rsidTr="00537ABD">
        <w:trPr>
          <w:jc w:val="center"/>
        </w:trPr>
        <w:tc>
          <w:tcPr>
            <w:tcW w:w="1760" w:type="pct"/>
            <w:tcBorders>
              <w:right w:val="single" w:sz="4" w:space="0" w:color="BFBFBF" w:themeColor="background1" w:themeShade="BF"/>
            </w:tcBorders>
            <w:hideMark/>
          </w:tcPr>
          <w:p w:rsidR="00B01F04" w:rsidRPr="00953713" w:rsidRDefault="00B01F04" w:rsidP="00D86960">
            <w:pPr>
              <w:widowControl w:val="0"/>
              <w:spacing w:line="240" w:lineRule="exact"/>
              <w:rPr>
                <w:rFonts w:cs="Arial"/>
                <w:b/>
                <w:sz w:val="16"/>
                <w:szCs w:val="16"/>
              </w:rPr>
            </w:pPr>
            <w:r w:rsidRPr="00953713">
              <w:rPr>
                <w:rFonts w:cs="Arial"/>
                <w:b/>
                <w:sz w:val="16"/>
                <w:szCs w:val="16"/>
              </w:rPr>
              <w:t xml:space="preserve">Masa salarial </w:t>
            </w:r>
          </w:p>
        </w:tc>
        <w:tc>
          <w:tcPr>
            <w:tcW w:w="1349" w:type="pct"/>
            <w:tcBorders>
              <w:left w:val="single" w:sz="4" w:space="0" w:color="BFBFBF" w:themeColor="background1" w:themeShade="BF"/>
              <w:right w:val="single" w:sz="4" w:space="0" w:color="BFBFBF" w:themeColor="background1" w:themeShade="BF"/>
            </w:tcBorders>
            <w:vAlign w:val="bottom"/>
            <w:hideMark/>
          </w:tcPr>
          <w:p w:rsidR="00B01F04" w:rsidRPr="009C114A" w:rsidRDefault="00B01F04" w:rsidP="00D86960">
            <w:pPr>
              <w:widowControl w:val="0"/>
              <w:spacing w:line="240" w:lineRule="exact"/>
              <w:ind w:right="284"/>
              <w:jc w:val="right"/>
              <w:rPr>
                <w:rFonts w:cs="Arial"/>
                <w:color w:val="000000"/>
                <w:sz w:val="16"/>
                <w:szCs w:val="16"/>
              </w:rPr>
            </w:pPr>
            <w:r>
              <w:rPr>
                <w:rFonts w:cs="Arial"/>
                <w:color w:val="000000"/>
                <w:sz w:val="16"/>
                <w:szCs w:val="16"/>
              </w:rPr>
              <w:t>2.691 millones de euros</w:t>
            </w:r>
          </w:p>
        </w:tc>
        <w:tc>
          <w:tcPr>
            <w:tcW w:w="1890" w:type="pct"/>
            <w:tcBorders>
              <w:lef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Pr>
                <w:rFonts w:cs="Arial"/>
                <w:color w:val="000000"/>
                <w:sz w:val="16"/>
                <w:szCs w:val="16"/>
              </w:rPr>
              <w:t>2.647 millones de euros</w:t>
            </w:r>
          </w:p>
        </w:tc>
      </w:tr>
      <w:tr w:rsidR="00B01F04" w:rsidRPr="00F04D4B" w:rsidTr="00537ABD">
        <w:trPr>
          <w:jc w:val="center"/>
        </w:trPr>
        <w:tc>
          <w:tcPr>
            <w:tcW w:w="1760" w:type="pct"/>
            <w:tcBorders>
              <w:bottom w:val="single" w:sz="4" w:space="0" w:color="BFBFBF" w:themeColor="background1" w:themeShade="BF"/>
              <w:right w:val="single" w:sz="4" w:space="0" w:color="BFBFBF" w:themeColor="background1" w:themeShade="BF"/>
            </w:tcBorders>
            <w:hideMark/>
          </w:tcPr>
          <w:p w:rsidR="00B01F04" w:rsidRPr="00080818" w:rsidRDefault="00B01F04" w:rsidP="00D86960">
            <w:pPr>
              <w:spacing w:line="240" w:lineRule="exact"/>
              <w:rPr>
                <w:rFonts w:eastAsia="Times New Roman" w:cs="Arial"/>
                <w:color w:val="000000"/>
                <w:sz w:val="16"/>
                <w:szCs w:val="16"/>
                <w:lang w:eastAsia="es-ES"/>
              </w:rPr>
            </w:pPr>
            <w:r>
              <w:rPr>
                <w:rFonts w:cs="Arial"/>
                <w:b/>
                <w:sz w:val="16"/>
                <w:szCs w:val="16"/>
              </w:rPr>
              <w:t>VAB</w:t>
            </w:r>
          </w:p>
        </w:tc>
        <w:tc>
          <w:tcPr>
            <w:tcW w:w="134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Pr>
                <w:rFonts w:cs="Arial"/>
                <w:color w:val="000000"/>
                <w:sz w:val="16"/>
                <w:szCs w:val="16"/>
              </w:rPr>
              <w:t>3.495 millones de euros</w:t>
            </w:r>
          </w:p>
        </w:tc>
        <w:tc>
          <w:tcPr>
            <w:tcW w:w="1890" w:type="pct"/>
            <w:tcBorders>
              <w:left w:val="single" w:sz="4" w:space="0" w:color="BFBFBF" w:themeColor="background1" w:themeShade="BF"/>
              <w:bottom w:val="single" w:sz="4" w:space="0" w:color="BFBFBF" w:themeColor="background1" w:themeShade="BF"/>
            </w:tcBorders>
            <w:vAlign w:val="bottom"/>
            <w:hideMark/>
          </w:tcPr>
          <w:p w:rsidR="00B01F04" w:rsidRPr="001A5159" w:rsidRDefault="00B01F04" w:rsidP="00D86960">
            <w:pPr>
              <w:widowControl w:val="0"/>
              <w:spacing w:line="240" w:lineRule="exact"/>
              <w:ind w:right="284"/>
              <w:jc w:val="right"/>
              <w:rPr>
                <w:rFonts w:cs="Arial"/>
                <w:color w:val="000000"/>
                <w:sz w:val="16"/>
                <w:szCs w:val="16"/>
              </w:rPr>
            </w:pPr>
            <w:r>
              <w:rPr>
                <w:rFonts w:cs="Arial"/>
                <w:color w:val="000000"/>
                <w:sz w:val="16"/>
                <w:szCs w:val="16"/>
              </w:rPr>
              <w:t>3.068 millones de euros</w:t>
            </w:r>
          </w:p>
        </w:tc>
      </w:tr>
    </w:tbl>
    <w:p w:rsidR="00B01F04" w:rsidRDefault="00B01F04" w:rsidP="00B01F04">
      <w:pPr>
        <w:widowControl w:val="0"/>
        <w:rPr>
          <w:rFonts w:eastAsia="Times New Roman" w:cs="Times New Roman"/>
          <w:b/>
          <w:snapToGrid w:val="0"/>
          <w:color w:val="1F497D" w:themeColor="text2"/>
          <w:sz w:val="22"/>
          <w:lang w:eastAsia="es-ES"/>
        </w:rPr>
      </w:pPr>
    </w:p>
    <w:p w:rsidR="00B01F04" w:rsidRPr="00BD789C" w:rsidRDefault="00B01F04" w:rsidP="00B01F04">
      <w:pPr>
        <w:pStyle w:val="Prrafodelista"/>
        <w:spacing w:line="240" w:lineRule="auto"/>
        <w:ind w:left="360"/>
        <w:rPr>
          <w:rFonts w:ascii="Arial" w:eastAsia="Times New Roman" w:hAnsi="Arial"/>
          <w:b/>
          <w:snapToGrid w:val="0"/>
          <w:color w:val="1F497D" w:themeColor="text2"/>
          <w:lang w:eastAsia="es-ES"/>
        </w:rPr>
      </w:pPr>
    </w:p>
    <w:p w:rsidR="009D099F" w:rsidRDefault="009D099F">
      <w:pPr>
        <w:spacing w:after="200" w:line="276" w:lineRule="auto"/>
        <w:jc w:val="left"/>
        <w:rPr>
          <w:rFonts w:cs="Arial"/>
          <w:b/>
          <w:color w:val="1F497D" w:themeColor="text2"/>
          <w:szCs w:val="26"/>
        </w:rPr>
      </w:pPr>
      <w:r>
        <w:rPr>
          <w:rFonts w:cs="Arial"/>
          <w:b/>
          <w:color w:val="1F497D" w:themeColor="text2"/>
          <w:szCs w:val="26"/>
        </w:rPr>
        <w:br w:type="page"/>
      </w:r>
    </w:p>
    <w:p w:rsidR="006B3EB9" w:rsidRPr="00DB6D48" w:rsidRDefault="009F1045" w:rsidP="00DB6D48">
      <w:pPr>
        <w:widowControl w:val="0"/>
        <w:tabs>
          <w:tab w:val="right" w:pos="8364"/>
        </w:tabs>
        <w:spacing w:line="240" w:lineRule="auto"/>
        <w:jc w:val="left"/>
        <w:rPr>
          <w:rFonts w:cs="Arial"/>
          <w:b/>
          <w:sz w:val="28"/>
          <w:szCs w:val="28"/>
        </w:rPr>
      </w:pPr>
      <w:r w:rsidRPr="00DB6D48">
        <w:rPr>
          <w:rFonts w:cs="Arial"/>
          <w:b/>
          <w:sz w:val="28"/>
          <w:szCs w:val="28"/>
        </w:rPr>
        <w:lastRenderedPageBreak/>
        <w:t>ÍNDICE</w:t>
      </w:r>
      <w:r w:rsidR="00DB6D48">
        <w:rPr>
          <w:rFonts w:cs="Arial"/>
          <w:b/>
          <w:sz w:val="28"/>
          <w:szCs w:val="28"/>
        </w:rPr>
        <w:tab/>
        <w:t>Pág.</w:t>
      </w:r>
    </w:p>
    <w:p w:rsidR="00A67658" w:rsidRDefault="00A67658">
      <w:pPr>
        <w:spacing w:after="200" w:line="276" w:lineRule="auto"/>
        <w:jc w:val="left"/>
        <w:rPr>
          <w:rFonts w:cs="Arial"/>
          <w:b/>
          <w:color w:val="1F497D" w:themeColor="text2"/>
          <w:szCs w:val="26"/>
        </w:rPr>
      </w:pPr>
    </w:p>
    <w:sdt>
      <w:sdtPr>
        <w:rPr>
          <w:rFonts w:ascii="Arial" w:eastAsiaTheme="minorHAnsi" w:hAnsi="Arial" w:cstheme="minorBidi"/>
          <w:b w:val="0"/>
          <w:bCs w:val="0"/>
          <w:color w:val="auto"/>
          <w:sz w:val="20"/>
          <w:szCs w:val="22"/>
          <w:lang w:eastAsia="en-US"/>
        </w:rPr>
        <w:id w:val="22822370"/>
        <w:docPartObj>
          <w:docPartGallery w:val="Table of Contents"/>
          <w:docPartUnique/>
        </w:docPartObj>
      </w:sdtPr>
      <w:sdtEndPr/>
      <w:sdtContent>
        <w:p w:rsidR="00A67658" w:rsidRPr="00A25CF2" w:rsidRDefault="00A67658" w:rsidP="00A25CF2">
          <w:pPr>
            <w:pStyle w:val="TtulodeTDC"/>
            <w:spacing w:before="0"/>
            <w:rPr>
              <w:sz w:val="10"/>
              <w:szCs w:val="10"/>
            </w:rPr>
          </w:pPr>
        </w:p>
        <w:p w:rsidR="008B4EEF" w:rsidRPr="008B4EEF" w:rsidRDefault="00771A61">
          <w:pPr>
            <w:pStyle w:val="TDC1"/>
            <w:rPr>
              <w:rFonts w:asciiTheme="minorHAnsi" w:eastAsiaTheme="minorEastAsia" w:hAnsiTheme="minorHAnsi" w:cstheme="minorBidi"/>
              <w:b/>
              <w:lang w:eastAsia="es-ES"/>
            </w:rPr>
          </w:pPr>
          <w:r w:rsidRPr="00A25CF2">
            <w:fldChar w:fldCharType="begin"/>
          </w:r>
          <w:r w:rsidR="00A67658" w:rsidRPr="00A25CF2">
            <w:instrText xml:space="preserve"> TOC \o "1-3" \h \z \u </w:instrText>
          </w:r>
          <w:r w:rsidRPr="00A25CF2">
            <w:fldChar w:fldCharType="separate"/>
          </w:r>
          <w:hyperlink w:anchor="_Toc450118890" w:history="1">
            <w:r w:rsidR="008B4EEF" w:rsidRPr="008B4EEF">
              <w:rPr>
                <w:rStyle w:val="Hipervnculo"/>
                <w:b/>
              </w:rPr>
              <w:t>INTRODUCCIÓN</w:t>
            </w:r>
            <w:r w:rsidR="008B4EEF" w:rsidRPr="008B4EEF">
              <w:rPr>
                <w:b/>
                <w:webHidden/>
              </w:rPr>
              <w:tab/>
            </w:r>
            <w:r w:rsidRPr="008B4EEF">
              <w:rPr>
                <w:b/>
                <w:webHidden/>
              </w:rPr>
              <w:fldChar w:fldCharType="begin"/>
            </w:r>
            <w:r w:rsidR="008B4EEF" w:rsidRPr="008B4EEF">
              <w:rPr>
                <w:b/>
                <w:webHidden/>
              </w:rPr>
              <w:instrText xml:space="preserve"> PAGEREF _Toc450118890 \h </w:instrText>
            </w:r>
            <w:r w:rsidRPr="008B4EEF">
              <w:rPr>
                <w:b/>
                <w:webHidden/>
              </w:rPr>
            </w:r>
            <w:r w:rsidRPr="008B4EEF">
              <w:rPr>
                <w:b/>
                <w:webHidden/>
              </w:rPr>
              <w:fldChar w:fldCharType="separate"/>
            </w:r>
            <w:r w:rsidR="008B4EEF" w:rsidRPr="008B4EEF">
              <w:rPr>
                <w:b/>
                <w:webHidden/>
              </w:rPr>
              <w:t>3</w:t>
            </w:r>
            <w:r w:rsidRPr="008B4EEF">
              <w:rPr>
                <w:b/>
                <w:webHidden/>
              </w:rPr>
              <w:fldChar w:fldCharType="end"/>
            </w:r>
          </w:hyperlink>
        </w:p>
        <w:p w:rsidR="008B4EEF" w:rsidRPr="008B4EEF" w:rsidRDefault="008B4EEF">
          <w:pPr>
            <w:pStyle w:val="TDC1"/>
            <w:rPr>
              <w:rStyle w:val="Hipervnculo"/>
              <w:b/>
            </w:rPr>
          </w:pPr>
        </w:p>
        <w:p w:rsidR="008B4EEF" w:rsidRPr="008B4EEF" w:rsidRDefault="00503E0A">
          <w:pPr>
            <w:pStyle w:val="TDC1"/>
            <w:rPr>
              <w:rFonts w:asciiTheme="minorHAnsi" w:eastAsiaTheme="minorEastAsia" w:hAnsiTheme="minorHAnsi" w:cstheme="minorBidi"/>
              <w:b/>
              <w:lang w:eastAsia="es-ES"/>
            </w:rPr>
          </w:pPr>
          <w:hyperlink w:anchor="_Toc450118891" w:history="1">
            <w:r w:rsidR="008B4EEF" w:rsidRPr="008B4EEF">
              <w:rPr>
                <w:rStyle w:val="Hipervnculo"/>
                <w:b/>
              </w:rPr>
              <w:t>PRINCIPALES RESULTADOS</w:t>
            </w:r>
            <w:r w:rsidR="008B4EEF" w:rsidRPr="008B4EEF">
              <w:rPr>
                <w:b/>
                <w:webHidden/>
              </w:rPr>
              <w:tab/>
            </w:r>
            <w:r w:rsidR="00771A61" w:rsidRPr="008B4EEF">
              <w:rPr>
                <w:b/>
                <w:webHidden/>
              </w:rPr>
              <w:fldChar w:fldCharType="begin"/>
            </w:r>
            <w:r w:rsidR="008B4EEF" w:rsidRPr="008B4EEF">
              <w:rPr>
                <w:b/>
                <w:webHidden/>
              </w:rPr>
              <w:instrText xml:space="preserve"> PAGEREF _Toc450118891 \h </w:instrText>
            </w:r>
            <w:r w:rsidR="00771A61" w:rsidRPr="008B4EEF">
              <w:rPr>
                <w:b/>
                <w:webHidden/>
              </w:rPr>
            </w:r>
            <w:r w:rsidR="00771A61" w:rsidRPr="008B4EEF">
              <w:rPr>
                <w:b/>
                <w:webHidden/>
              </w:rPr>
              <w:fldChar w:fldCharType="separate"/>
            </w:r>
            <w:r w:rsidR="008B4EEF" w:rsidRPr="008B4EEF">
              <w:rPr>
                <w:b/>
                <w:webHidden/>
              </w:rPr>
              <w:t>5</w:t>
            </w:r>
            <w:r w:rsidR="00771A61" w:rsidRPr="008B4EEF">
              <w:rPr>
                <w:b/>
                <w:webHidden/>
              </w:rPr>
              <w:fldChar w:fldCharType="end"/>
            </w:r>
          </w:hyperlink>
        </w:p>
        <w:p w:rsidR="008B4EEF" w:rsidRPr="008B4EEF" w:rsidRDefault="008B4EEF">
          <w:pPr>
            <w:pStyle w:val="TDC1"/>
            <w:rPr>
              <w:rStyle w:val="Hipervnculo"/>
              <w:b/>
            </w:rPr>
          </w:pPr>
        </w:p>
        <w:p w:rsidR="008B4EEF" w:rsidRPr="008B4EEF" w:rsidRDefault="00503E0A">
          <w:pPr>
            <w:pStyle w:val="TDC1"/>
            <w:rPr>
              <w:rFonts w:asciiTheme="minorHAnsi" w:eastAsiaTheme="minorEastAsia" w:hAnsiTheme="minorHAnsi" w:cstheme="minorBidi"/>
              <w:b/>
              <w:lang w:eastAsia="es-ES"/>
            </w:rPr>
          </w:pPr>
          <w:hyperlink w:anchor="_Toc450118892" w:history="1">
            <w:r w:rsidR="008B4EEF" w:rsidRPr="008B4EEF">
              <w:rPr>
                <w:rStyle w:val="Hipervnculo"/>
                <w:b/>
              </w:rPr>
              <w:t>I.</w:t>
            </w:r>
            <w:r w:rsidR="008B4EEF" w:rsidRPr="008B4EEF">
              <w:rPr>
                <w:rFonts w:asciiTheme="minorHAnsi" w:eastAsiaTheme="minorEastAsia" w:hAnsiTheme="minorHAnsi" w:cstheme="minorBidi"/>
                <w:b/>
                <w:lang w:eastAsia="es-ES"/>
              </w:rPr>
              <w:tab/>
            </w:r>
            <w:r w:rsidR="008B4EEF" w:rsidRPr="008B4EEF">
              <w:rPr>
                <w:rStyle w:val="Hipervnculo"/>
                <w:b/>
              </w:rPr>
              <w:t>LAS FORMAS CLÁSICAS DE LA ECONOMÍA SOCIAL 2014 (FCES)</w:t>
            </w:r>
            <w:r w:rsidR="008B4EEF" w:rsidRPr="008B4EEF">
              <w:rPr>
                <w:b/>
                <w:webHidden/>
              </w:rPr>
              <w:tab/>
            </w:r>
            <w:r w:rsidR="00771A61" w:rsidRPr="008B4EEF">
              <w:rPr>
                <w:b/>
                <w:webHidden/>
              </w:rPr>
              <w:fldChar w:fldCharType="begin"/>
            </w:r>
            <w:r w:rsidR="008B4EEF" w:rsidRPr="008B4EEF">
              <w:rPr>
                <w:b/>
                <w:webHidden/>
              </w:rPr>
              <w:instrText xml:space="preserve"> PAGEREF _Toc450118892 \h </w:instrText>
            </w:r>
            <w:r w:rsidR="00771A61" w:rsidRPr="008B4EEF">
              <w:rPr>
                <w:b/>
                <w:webHidden/>
              </w:rPr>
            </w:r>
            <w:r w:rsidR="00771A61" w:rsidRPr="008B4EEF">
              <w:rPr>
                <w:b/>
                <w:webHidden/>
              </w:rPr>
              <w:fldChar w:fldCharType="separate"/>
            </w:r>
            <w:r w:rsidR="008B4EEF" w:rsidRPr="008B4EEF">
              <w:rPr>
                <w:b/>
                <w:webHidden/>
              </w:rPr>
              <w:t>7</w:t>
            </w:r>
            <w:r w:rsidR="00771A61" w:rsidRPr="008B4EEF">
              <w:rPr>
                <w:b/>
                <w:webHidden/>
              </w:rPr>
              <w:fldChar w:fldCharType="end"/>
            </w:r>
          </w:hyperlink>
        </w:p>
        <w:p w:rsidR="008B4EEF" w:rsidRPr="008B4EEF" w:rsidRDefault="008B4EEF">
          <w:pPr>
            <w:pStyle w:val="TDC1"/>
            <w:rPr>
              <w:rStyle w:val="Hipervnculo"/>
              <w:b/>
            </w:rPr>
          </w:pPr>
        </w:p>
        <w:p w:rsidR="008B4EEF" w:rsidRPr="008B4EEF" w:rsidRDefault="00503E0A" w:rsidP="008B4EEF">
          <w:pPr>
            <w:pStyle w:val="TDC1"/>
            <w:ind w:left="567" w:hanging="567"/>
            <w:rPr>
              <w:rFonts w:asciiTheme="minorHAnsi" w:eastAsiaTheme="minorEastAsia" w:hAnsiTheme="minorHAnsi" w:cstheme="minorBidi"/>
              <w:b/>
              <w:lang w:eastAsia="es-ES"/>
            </w:rPr>
          </w:pPr>
          <w:hyperlink w:anchor="_Toc450118893" w:history="1">
            <w:r w:rsidR="008B4EEF" w:rsidRPr="008B4EEF">
              <w:rPr>
                <w:rStyle w:val="Hipervnculo"/>
                <w:b/>
              </w:rPr>
              <w:t>II.</w:t>
            </w:r>
            <w:r w:rsidR="008B4EEF" w:rsidRPr="008B4EEF">
              <w:rPr>
                <w:rFonts w:asciiTheme="minorHAnsi" w:eastAsiaTheme="minorEastAsia" w:hAnsiTheme="minorHAnsi" w:cstheme="minorBidi"/>
                <w:b/>
                <w:lang w:eastAsia="es-ES"/>
              </w:rPr>
              <w:tab/>
            </w:r>
            <w:r w:rsidR="008B4EEF" w:rsidRPr="008B4EEF">
              <w:rPr>
                <w:rStyle w:val="Hipervnculo"/>
                <w:b/>
              </w:rPr>
              <w:t>ESTRATEGIAS ANTE LA CRISIS, HERRAMIENTAS DE GESTIÓN E INNOVACIÓN EN LA ECONOMÍA SOCIAL CLÁSICA</w:t>
            </w:r>
            <w:r w:rsidR="008B4EEF" w:rsidRPr="008B4EEF">
              <w:rPr>
                <w:b/>
                <w:webHidden/>
              </w:rPr>
              <w:tab/>
            </w:r>
            <w:r w:rsidR="00771A61" w:rsidRPr="008B4EEF">
              <w:rPr>
                <w:b/>
                <w:webHidden/>
              </w:rPr>
              <w:fldChar w:fldCharType="begin"/>
            </w:r>
            <w:r w:rsidR="008B4EEF" w:rsidRPr="008B4EEF">
              <w:rPr>
                <w:b/>
                <w:webHidden/>
              </w:rPr>
              <w:instrText xml:space="preserve"> PAGEREF _Toc450118893 \h </w:instrText>
            </w:r>
            <w:r w:rsidR="00771A61" w:rsidRPr="008B4EEF">
              <w:rPr>
                <w:b/>
                <w:webHidden/>
              </w:rPr>
            </w:r>
            <w:r w:rsidR="00771A61" w:rsidRPr="008B4EEF">
              <w:rPr>
                <w:b/>
                <w:webHidden/>
              </w:rPr>
              <w:fldChar w:fldCharType="separate"/>
            </w:r>
            <w:r w:rsidR="008B4EEF" w:rsidRPr="008B4EEF">
              <w:rPr>
                <w:b/>
                <w:webHidden/>
              </w:rPr>
              <w:t>32</w:t>
            </w:r>
            <w:r w:rsidR="00771A61" w:rsidRPr="008B4EEF">
              <w:rPr>
                <w:b/>
                <w:webHidden/>
              </w:rPr>
              <w:fldChar w:fldCharType="end"/>
            </w:r>
          </w:hyperlink>
        </w:p>
        <w:p w:rsidR="008B4EEF" w:rsidRPr="008B4EEF" w:rsidRDefault="008B4EEF">
          <w:pPr>
            <w:pStyle w:val="TDC1"/>
            <w:rPr>
              <w:rStyle w:val="Hipervnculo"/>
              <w:b/>
            </w:rPr>
          </w:pPr>
        </w:p>
        <w:p w:rsidR="008B4EEF" w:rsidRPr="008B4EEF" w:rsidRDefault="00503E0A">
          <w:pPr>
            <w:pStyle w:val="TDC1"/>
            <w:rPr>
              <w:rFonts w:asciiTheme="minorHAnsi" w:eastAsiaTheme="minorEastAsia" w:hAnsiTheme="minorHAnsi" w:cstheme="minorBidi"/>
              <w:b/>
              <w:lang w:eastAsia="es-ES"/>
            </w:rPr>
          </w:pPr>
          <w:hyperlink w:anchor="_Toc450118894" w:history="1">
            <w:r w:rsidR="008B4EEF" w:rsidRPr="008B4EEF">
              <w:rPr>
                <w:rStyle w:val="Hipervnculo"/>
                <w:b/>
              </w:rPr>
              <w:t>III.</w:t>
            </w:r>
            <w:r w:rsidR="008B4EEF" w:rsidRPr="008B4EEF">
              <w:rPr>
                <w:rFonts w:asciiTheme="minorHAnsi" w:eastAsiaTheme="minorEastAsia" w:hAnsiTheme="minorHAnsi" w:cstheme="minorBidi"/>
                <w:b/>
                <w:lang w:eastAsia="es-ES"/>
              </w:rPr>
              <w:tab/>
            </w:r>
            <w:r w:rsidR="008B4EEF" w:rsidRPr="008B4EEF">
              <w:rPr>
                <w:rStyle w:val="Hipervnculo"/>
                <w:b/>
              </w:rPr>
              <w:t>AVANCE DE CUENTAS DE LA ECONOMÍA SOCIAL 2015 (FCES)</w:t>
            </w:r>
            <w:r w:rsidR="008B4EEF" w:rsidRPr="008B4EEF">
              <w:rPr>
                <w:b/>
                <w:webHidden/>
              </w:rPr>
              <w:tab/>
            </w:r>
            <w:r w:rsidR="00771A61" w:rsidRPr="008B4EEF">
              <w:rPr>
                <w:b/>
                <w:webHidden/>
              </w:rPr>
              <w:fldChar w:fldCharType="begin"/>
            </w:r>
            <w:r w:rsidR="008B4EEF" w:rsidRPr="008B4EEF">
              <w:rPr>
                <w:b/>
                <w:webHidden/>
              </w:rPr>
              <w:instrText xml:space="preserve"> PAGEREF _Toc450118894 \h </w:instrText>
            </w:r>
            <w:r w:rsidR="00771A61" w:rsidRPr="008B4EEF">
              <w:rPr>
                <w:b/>
                <w:webHidden/>
              </w:rPr>
            </w:r>
            <w:r w:rsidR="00771A61" w:rsidRPr="008B4EEF">
              <w:rPr>
                <w:b/>
                <w:webHidden/>
              </w:rPr>
              <w:fldChar w:fldCharType="separate"/>
            </w:r>
            <w:r w:rsidR="008B4EEF" w:rsidRPr="008B4EEF">
              <w:rPr>
                <w:b/>
                <w:webHidden/>
              </w:rPr>
              <w:t>42</w:t>
            </w:r>
            <w:r w:rsidR="00771A61" w:rsidRPr="008B4EEF">
              <w:rPr>
                <w:b/>
                <w:webHidden/>
              </w:rPr>
              <w:fldChar w:fldCharType="end"/>
            </w:r>
          </w:hyperlink>
        </w:p>
        <w:p w:rsidR="008B4EEF" w:rsidRPr="008B4EEF" w:rsidRDefault="008B4EEF">
          <w:pPr>
            <w:pStyle w:val="TDC1"/>
            <w:rPr>
              <w:rStyle w:val="Hipervnculo"/>
              <w:b/>
            </w:rPr>
          </w:pPr>
        </w:p>
        <w:p w:rsidR="008B4EEF" w:rsidRPr="008B4EEF" w:rsidRDefault="00503E0A">
          <w:pPr>
            <w:pStyle w:val="TDC1"/>
            <w:rPr>
              <w:rFonts w:asciiTheme="minorHAnsi" w:eastAsiaTheme="minorEastAsia" w:hAnsiTheme="minorHAnsi" w:cstheme="minorBidi"/>
              <w:b/>
              <w:lang w:eastAsia="es-ES"/>
            </w:rPr>
          </w:pPr>
          <w:hyperlink w:anchor="_Toc450118895" w:history="1">
            <w:r w:rsidR="008B4EEF" w:rsidRPr="008B4EEF">
              <w:rPr>
                <w:rStyle w:val="Hipervnculo"/>
                <w:b/>
              </w:rPr>
              <w:t>IV.</w:t>
            </w:r>
            <w:r w:rsidR="008B4EEF" w:rsidRPr="008B4EEF">
              <w:rPr>
                <w:rFonts w:asciiTheme="minorHAnsi" w:eastAsiaTheme="minorEastAsia" w:hAnsiTheme="minorHAnsi" w:cstheme="minorBidi"/>
                <w:b/>
                <w:lang w:eastAsia="es-ES"/>
              </w:rPr>
              <w:tab/>
            </w:r>
            <w:r w:rsidR="008B4EEF" w:rsidRPr="008B4EEF">
              <w:rPr>
                <w:rStyle w:val="Hipervnculo"/>
                <w:b/>
              </w:rPr>
              <w:t>NUEVAS FORMAS DE LA ECONOMÍA SOCIAL 2014 (NFES)</w:t>
            </w:r>
            <w:r w:rsidR="008B4EEF" w:rsidRPr="008B4EEF">
              <w:rPr>
                <w:b/>
                <w:webHidden/>
              </w:rPr>
              <w:tab/>
            </w:r>
            <w:r w:rsidR="00771A61" w:rsidRPr="008B4EEF">
              <w:rPr>
                <w:b/>
                <w:webHidden/>
              </w:rPr>
              <w:fldChar w:fldCharType="begin"/>
            </w:r>
            <w:r w:rsidR="008B4EEF" w:rsidRPr="008B4EEF">
              <w:rPr>
                <w:b/>
                <w:webHidden/>
              </w:rPr>
              <w:instrText xml:space="preserve"> PAGEREF _Toc450118895 \h </w:instrText>
            </w:r>
            <w:r w:rsidR="00771A61" w:rsidRPr="008B4EEF">
              <w:rPr>
                <w:b/>
                <w:webHidden/>
              </w:rPr>
            </w:r>
            <w:r w:rsidR="00771A61" w:rsidRPr="008B4EEF">
              <w:rPr>
                <w:b/>
                <w:webHidden/>
              </w:rPr>
              <w:fldChar w:fldCharType="separate"/>
            </w:r>
            <w:r w:rsidR="008B4EEF" w:rsidRPr="008B4EEF">
              <w:rPr>
                <w:b/>
                <w:webHidden/>
              </w:rPr>
              <w:t>45</w:t>
            </w:r>
            <w:r w:rsidR="00771A61" w:rsidRPr="008B4EEF">
              <w:rPr>
                <w:b/>
                <w:webHidden/>
              </w:rPr>
              <w:fldChar w:fldCharType="end"/>
            </w:r>
          </w:hyperlink>
        </w:p>
        <w:p w:rsidR="008B4EEF" w:rsidRDefault="008B4EEF">
          <w:pPr>
            <w:pStyle w:val="TDC1"/>
            <w:rPr>
              <w:rStyle w:val="Hipervnculo"/>
            </w:rPr>
          </w:pPr>
        </w:p>
        <w:p w:rsidR="008B4EEF" w:rsidRDefault="00503E0A">
          <w:pPr>
            <w:pStyle w:val="TDC1"/>
            <w:rPr>
              <w:rFonts w:asciiTheme="minorHAnsi" w:eastAsiaTheme="minorEastAsia" w:hAnsiTheme="minorHAnsi" w:cstheme="minorBidi"/>
              <w:lang w:eastAsia="es-ES"/>
            </w:rPr>
          </w:pPr>
          <w:hyperlink w:anchor="_Toc450118896" w:history="1">
            <w:r w:rsidR="008B4EEF" w:rsidRPr="008B4EEF">
              <w:rPr>
                <w:rStyle w:val="Hipervnculo"/>
                <w:b/>
              </w:rPr>
              <w:t>ANEXO ESTADÍSTICO</w:t>
            </w:r>
            <w:r w:rsidR="008B4EEF">
              <w:rPr>
                <w:webHidden/>
              </w:rPr>
              <w:tab/>
            </w:r>
            <w:r w:rsidR="00771A61">
              <w:rPr>
                <w:webHidden/>
              </w:rPr>
              <w:fldChar w:fldCharType="begin"/>
            </w:r>
            <w:r w:rsidR="008B4EEF">
              <w:rPr>
                <w:webHidden/>
              </w:rPr>
              <w:instrText xml:space="preserve"> PAGEREF _Toc450118896 \h </w:instrText>
            </w:r>
            <w:r w:rsidR="00771A61">
              <w:rPr>
                <w:webHidden/>
              </w:rPr>
            </w:r>
            <w:r w:rsidR="00771A61">
              <w:rPr>
                <w:webHidden/>
              </w:rPr>
              <w:fldChar w:fldCharType="separate"/>
            </w:r>
            <w:r w:rsidR="008B4EEF">
              <w:rPr>
                <w:webHidden/>
              </w:rPr>
              <w:t>55</w:t>
            </w:r>
            <w:r w:rsidR="00771A61">
              <w:rPr>
                <w:webHidden/>
              </w:rPr>
              <w:fldChar w:fldCharType="end"/>
            </w:r>
          </w:hyperlink>
        </w:p>
        <w:p w:rsidR="008B4EEF" w:rsidRDefault="008B4EEF">
          <w:pPr>
            <w:pStyle w:val="TDC1"/>
            <w:rPr>
              <w:rStyle w:val="Hipervnculo"/>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897" w:history="1">
            <w:r w:rsidR="008B4EEF" w:rsidRPr="008B4EEF">
              <w:rPr>
                <w:rStyle w:val="Hipervnculo"/>
                <w:b/>
                <w:sz w:val="20"/>
                <w:szCs w:val="20"/>
                <w:u w:val="none"/>
              </w:rPr>
              <w:t xml:space="preserve">I.- </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LAS FORMAS CLÁSICAS DE LA ECONOMÍA SOCIAL 2014 (FCES)</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_Toc450118897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57</w:t>
            </w:r>
            <w:r w:rsidR="00771A61" w:rsidRPr="008B4EEF">
              <w:rPr>
                <w:b/>
                <w:webHidden/>
                <w:sz w:val="20"/>
                <w:szCs w:val="20"/>
              </w:rPr>
              <w:fldChar w:fldCharType="end"/>
            </w:r>
          </w:hyperlink>
        </w:p>
        <w:p w:rsidR="008B4EEF" w:rsidRPr="008B4EEF" w:rsidRDefault="008B4EEF" w:rsidP="008B4EEF">
          <w:pPr>
            <w:pStyle w:val="TDC1"/>
            <w:spacing w:line="240" w:lineRule="auto"/>
            <w:ind w:left="567" w:hanging="567"/>
            <w:rPr>
              <w:rStyle w:val="Hipervnculo"/>
              <w:sz w:val="20"/>
              <w:szCs w:val="20"/>
              <w:u w:val="none"/>
            </w:rPr>
          </w:pPr>
        </w:p>
        <w:p w:rsidR="008B4EEF" w:rsidRPr="008B4EEF" w:rsidRDefault="00503E0A" w:rsidP="008B4EEF">
          <w:pPr>
            <w:pStyle w:val="TDC1"/>
            <w:spacing w:line="240" w:lineRule="auto"/>
            <w:ind w:left="567" w:hanging="567"/>
            <w:rPr>
              <w:rFonts w:asciiTheme="minorHAnsi" w:eastAsiaTheme="minorEastAsia" w:hAnsiTheme="minorHAnsi" w:cstheme="minorBidi"/>
              <w:b/>
              <w:sz w:val="20"/>
              <w:szCs w:val="20"/>
              <w:lang w:eastAsia="es-ES"/>
            </w:rPr>
          </w:pPr>
          <w:hyperlink w:anchor="_Toc450118898" w:history="1">
            <w:r w:rsidR="008B4EEF" w:rsidRPr="008B4EEF">
              <w:rPr>
                <w:rStyle w:val="Hipervnculo"/>
                <w:b/>
                <w:sz w:val="20"/>
                <w:szCs w:val="20"/>
                <w:u w:val="none"/>
              </w:rPr>
              <w:t xml:space="preserve">1.- </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LA DINÁMICA DEL EMPLEO Y LOS ESTABLECIMIENTOS EN EL BIENIO 2010-2014 (FCES)</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_Toc450118898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57</w:t>
            </w:r>
            <w:r w:rsidR="00771A61" w:rsidRPr="008B4EEF">
              <w:rPr>
                <w:b/>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899" w:history="1">
            <w:r w:rsidRPr="008B4EEF">
              <w:rPr>
                <w:rStyle w:val="Hipervnculo"/>
                <w:sz w:val="20"/>
                <w:szCs w:val="20"/>
                <w:u w:val="none"/>
              </w:rPr>
              <w:t>1.1.-</w:t>
            </w:r>
            <w:r w:rsidRPr="008B4EEF">
              <w:rPr>
                <w:rFonts w:asciiTheme="minorHAnsi" w:eastAsiaTheme="minorEastAsia" w:hAnsiTheme="minorHAnsi" w:cstheme="minorBidi"/>
                <w:sz w:val="20"/>
                <w:szCs w:val="20"/>
                <w:lang w:eastAsia="es-ES"/>
              </w:rPr>
              <w:tab/>
            </w:r>
            <w:r w:rsidRPr="008B4EEF">
              <w:rPr>
                <w:rStyle w:val="Hipervnculo"/>
                <w:sz w:val="20"/>
                <w:szCs w:val="20"/>
                <w:u w:val="none"/>
              </w:rPr>
              <w:t>EMPLEO SECTORIAL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_Toc450118899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59</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00" w:history="1">
            <w:r w:rsidRPr="008B4EEF">
              <w:rPr>
                <w:rStyle w:val="Hipervnculo"/>
                <w:sz w:val="20"/>
                <w:szCs w:val="20"/>
                <w:u w:val="none"/>
              </w:rPr>
              <w:t>1.2.-</w:t>
            </w:r>
            <w:r w:rsidRPr="008B4EEF">
              <w:rPr>
                <w:rFonts w:asciiTheme="minorHAnsi" w:eastAsiaTheme="minorEastAsia" w:hAnsiTheme="minorHAnsi" w:cstheme="minorBidi"/>
                <w:sz w:val="20"/>
                <w:szCs w:val="20"/>
                <w:lang w:eastAsia="es-ES"/>
              </w:rPr>
              <w:tab/>
            </w:r>
            <w:r w:rsidRPr="008B4EEF">
              <w:rPr>
                <w:rStyle w:val="Hipervnculo"/>
                <w:sz w:val="20"/>
                <w:szCs w:val="20"/>
                <w:u w:val="none"/>
              </w:rPr>
              <w:t>PRINCIPALES RASGOS DEL EMPLEO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_Toc450118900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61</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01" w:history="1">
            <w:r w:rsidRPr="008B4EEF">
              <w:rPr>
                <w:rStyle w:val="Hipervnculo"/>
                <w:sz w:val="20"/>
                <w:szCs w:val="20"/>
                <w:u w:val="none"/>
              </w:rPr>
              <w:t>1.2.1.- El Género y la Edad</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_Toc450118901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61</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02" w:history="1">
            <w:r w:rsidRPr="008B4EEF">
              <w:rPr>
                <w:rStyle w:val="Hipervnculo"/>
                <w:sz w:val="20"/>
                <w:szCs w:val="20"/>
                <w:u w:val="none"/>
              </w:rPr>
              <w:t>1.2.2.- Tipo de Relación Contractual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_Toc450118902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62</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03" w:history="1">
            <w:r w:rsidRPr="008B4EEF">
              <w:rPr>
                <w:rStyle w:val="Hipervnculo"/>
                <w:sz w:val="20"/>
                <w:szCs w:val="20"/>
                <w:u w:val="none"/>
              </w:rPr>
              <w:t xml:space="preserve">1.3.- </w:t>
            </w:r>
            <w:r w:rsidRPr="008B4EEF">
              <w:rPr>
                <w:rFonts w:asciiTheme="minorHAnsi" w:eastAsiaTheme="minorEastAsia" w:hAnsiTheme="minorHAnsi" w:cstheme="minorBidi"/>
                <w:sz w:val="20"/>
                <w:szCs w:val="20"/>
                <w:lang w:eastAsia="es-ES"/>
              </w:rPr>
              <w:tab/>
            </w:r>
            <w:r w:rsidRPr="008B4EEF">
              <w:rPr>
                <w:rStyle w:val="Hipervnculo"/>
                <w:sz w:val="20"/>
                <w:szCs w:val="20"/>
                <w:u w:val="none"/>
              </w:rPr>
              <w:t>EL VAB GENERADO POR LA ECONOMÍA SOCIAL Y LA PRODUCTIVIDAD APARENTE</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_Toc450118903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64</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04" w:history="1">
            <w:r w:rsidRPr="008B4EEF">
              <w:rPr>
                <w:rStyle w:val="Hipervnculo"/>
                <w:sz w:val="20"/>
                <w:szCs w:val="20"/>
                <w:u w:val="none"/>
              </w:rPr>
              <w:t>1.3.1.- La Dinámica del VAB en el Bienio 2012-2014</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_Toc450118904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64</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05" w:history="1">
            <w:r w:rsidRPr="008B4EEF">
              <w:rPr>
                <w:rStyle w:val="Hipervnculo"/>
                <w:sz w:val="20"/>
                <w:szCs w:val="20"/>
                <w:u w:val="none"/>
              </w:rPr>
              <w:t>1.3.2.- La Evolución de la Productividad aparente en el Bienio 2012-2014</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_Toc450118905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65</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06" w:history="1">
            <w:r w:rsidRPr="008B4EEF">
              <w:rPr>
                <w:rStyle w:val="Hipervnculo"/>
                <w:sz w:val="20"/>
                <w:szCs w:val="20"/>
                <w:u w:val="none"/>
              </w:rPr>
              <w:t>1.4.-</w:t>
            </w:r>
            <w:r w:rsidRPr="008B4EEF">
              <w:rPr>
                <w:rFonts w:asciiTheme="minorHAnsi" w:eastAsiaTheme="minorEastAsia" w:hAnsiTheme="minorHAnsi" w:cstheme="minorBidi"/>
                <w:sz w:val="20"/>
                <w:szCs w:val="20"/>
                <w:lang w:eastAsia="es-ES"/>
              </w:rPr>
              <w:tab/>
            </w:r>
            <w:r w:rsidRPr="008B4EEF">
              <w:rPr>
                <w:rStyle w:val="Hipervnculo"/>
                <w:sz w:val="20"/>
                <w:szCs w:val="20"/>
                <w:u w:val="none"/>
              </w:rPr>
              <w:t>LAS CUENTAS DE RESULTADOS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_Toc450118906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65</w:t>
            </w:r>
            <w:r w:rsidR="00771A61" w:rsidRPr="008B4EEF">
              <w:rPr>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07" w:history="1">
            <w:r w:rsidR="008B4EEF" w:rsidRPr="008B4EEF">
              <w:rPr>
                <w:rStyle w:val="Hipervnculo"/>
                <w:b/>
                <w:sz w:val="20"/>
                <w:szCs w:val="20"/>
                <w:u w:val="none"/>
              </w:rPr>
              <w:t>2.-</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EL PERFIL JURÍDICO DE LA ECONOMÍA SOCIAL</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_Toc450118907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67</w:t>
            </w:r>
            <w:r w:rsidR="00771A61" w:rsidRPr="008B4EEF">
              <w:rPr>
                <w:b/>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08" w:history="1">
            <w:r w:rsidRPr="008B4EEF">
              <w:rPr>
                <w:rStyle w:val="Hipervnculo"/>
                <w:sz w:val="20"/>
                <w:szCs w:val="20"/>
                <w:u w:val="none"/>
              </w:rPr>
              <w:t>2.1.-</w:t>
            </w:r>
            <w:r w:rsidRPr="008B4EEF">
              <w:rPr>
                <w:rFonts w:asciiTheme="minorHAnsi" w:eastAsiaTheme="minorEastAsia" w:hAnsiTheme="minorHAnsi" w:cstheme="minorBidi"/>
                <w:sz w:val="20"/>
                <w:szCs w:val="20"/>
                <w:lang w:eastAsia="es-ES"/>
              </w:rPr>
              <w:tab/>
            </w:r>
            <w:r w:rsidRPr="008B4EEF">
              <w:rPr>
                <w:rStyle w:val="Hipervnculo"/>
                <w:sz w:val="20"/>
                <w:szCs w:val="20"/>
                <w:u w:val="none"/>
              </w:rPr>
              <w:t>ESTABLECIMIENTOS Y EMPLEOS</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_Toc450118908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67</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09" w:history="1">
            <w:r w:rsidRPr="008B4EEF">
              <w:rPr>
                <w:rStyle w:val="Hipervnculo"/>
                <w:sz w:val="20"/>
                <w:szCs w:val="20"/>
                <w:u w:val="none"/>
              </w:rPr>
              <w:t>2.2.-</w:t>
            </w:r>
            <w:r w:rsidRPr="008B4EEF">
              <w:rPr>
                <w:rFonts w:asciiTheme="minorHAnsi" w:eastAsiaTheme="minorEastAsia" w:hAnsiTheme="minorHAnsi" w:cstheme="minorBidi"/>
                <w:sz w:val="20"/>
                <w:szCs w:val="20"/>
                <w:lang w:eastAsia="es-ES"/>
              </w:rPr>
              <w:tab/>
            </w:r>
            <w:r w:rsidRPr="008B4EEF">
              <w:rPr>
                <w:rStyle w:val="Hipervnculo"/>
                <w:sz w:val="20"/>
                <w:szCs w:val="20"/>
                <w:u w:val="none"/>
              </w:rPr>
              <w:t>VAB Y PRODUCTIVIDAD APARENTE</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_Toc450118909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68</w:t>
            </w:r>
            <w:r w:rsidR="00771A61" w:rsidRPr="008B4EEF">
              <w:rPr>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sz w:val="20"/>
              <w:szCs w:val="20"/>
              <w:lang w:eastAsia="es-ES"/>
            </w:rPr>
          </w:pPr>
          <w:hyperlink w:anchor="_Toc450118910" w:history="1">
            <w:r w:rsidR="008B4EEF" w:rsidRPr="008B4EEF">
              <w:rPr>
                <w:rStyle w:val="Hipervnculo"/>
                <w:sz w:val="20"/>
                <w:szCs w:val="20"/>
                <w:u w:val="none"/>
              </w:rPr>
              <w:t>3.-</w:t>
            </w:r>
            <w:r w:rsidR="008B4EEF" w:rsidRPr="008B4EEF">
              <w:rPr>
                <w:rFonts w:asciiTheme="minorHAnsi" w:eastAsiaTheme="minorEastAsia" w:hAnsiTheme="minorHAnsi" w:cstheme="minorBidi"/>
                <w:sz w:val="20"/>
                <w:szCs w:val="20"/>
                <w:lang w:eastAsia="es-ES"/>
              </w:rPr>
              <w:tab/>
            </w:r>
            <w:r w:rsidR="008B4EEF" w:rsidRPr="008B4EEF">
              <w:rPr>
                <w:rStyle w:val="Hipervnculo"/>
                <w:sz w:val="20"/>
                <w:szCs w:val="20"/>
                <w:u w:val="none"/>
              </w:rPr>
              <w:t>EL PERFIL TERRITORIAL DE LA ECONOMÍA SOCIAL</w:t>
            </w:r>
            <w:r w:rsidR="008B4EEF" w:rsidRPr="008B4EEF">
              <w:rPr>
                <w:webHidden/>
                <w:sz w:val="20"/>
                <w:szCs w:val="20"/>
              </w:rPr>
              <w:tab/>
            </w:r>
            <w:r w:rsidR="00771A61" w:rsidRPr="008B4EEF">
              <w:rPr>
                <w:webHidden/>
                <w:sz w:val="20"/>
                <w:szCs w:val="20"/>
              </w:rPr>
              <w:fldChar w:fldCharType="begin"/>
            </w:r>
            <w:r w:rsidR="008B4EEF" w:rsidRPr="008B4EEF">
              <w:rPr>
                <w:webHidden/>
                <w:sz w:val="20"/>
                <w:szCs w:val="20"/>
              </w:rPr>
              <w:instrText xml:space="preserve"> PAGEREF _Toc450118910 \h </w:instrText>
            </w:r>
            <w:r w:rsidR="00771A61" w:rsidRPr="008B4EEF">
              <w:rPr>
                <w:webHidden/>
                <w:sz w:val="20"/>
                <w:szCs w:val="20"/>
              </w:rPr>
            </w:r>
            <w:r w:rsidR="00771A61" w:rsidRPr="008B4EEF">
              <w:rPr>
                <w:webHidden/>
                <w:sz w:val="20"/>
                <w:szCs w:val="20"/>
              </w:rPr>
              <w:fldChar w:fldCharType="separate"/>
            </w:r>
            <w:r w:rsidR="008B4EEF" w:rsidRPr="008B4EEF">
              <w:rPr>
                <w:webHidden/>
                <w:sz w:val="20"/>
                <w:szCs w:val="20"/>
              </w:rPr>
              <w:t>70</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11" w:history="1">
            <w:r w:rsidRPr="008B4EEF">
              <w:rPr>
                <w:rStyle w:val="Hipervnculo"/>
                <w:sz w:val="20"/>
                <w:szCs w:val="20"/>
                <w:u w:val="none"/>
              </w:rPr>
              <w:t>3.1.-</w:t>
            </w:r>
            <w:r w:rsidRPr="008B4EEF">
              <w:rPr>
                <w:rFonts w:asciiTheme="minorHAnsi" w:eastAsiaTheme="minorEastAsia" w:hAnsiTheme="minorHAnsi" w:cstheme="minorBidi"/>
                <w:sz w:val="20"/>
                <w:szCs w:val="20"/>
                <w:lang w:eastAsia="es-ES"/>
              </w:rPr>
              <w:tab/>
            </w:r>
            <w:r w:rsidRPr="008B4EEF">
              <w:rPr>
                <w:rStyle w:val="Hipervnculo"/>
                <w:sz w:val="20"/>
                <w:szCs w:val="20"/>
                <w:u w:val="none"/>
              </w:rPr>
              <w:t>EL PERFIL TERRITORIAL DEL EMPLEO Y LOS ESTABLECIMIENTOS</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_Toc450118911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70</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12" w:history="1">
            <w:r w:rsidRPr="008B4EEF">
              <w:rPr>
                <w:rStyle w:val="Hipervnculo"/>
                <w:sz w:val="20"/>
                <w:szCs w:val="20"/>
                <w:u w:val="none"/>
              </w:rPr>
              <w:t>3.2.-</w:t>
            </w:r>
            <w:r w:rsidRPr="008B4EEF">
              <w:rPr>
                <w:rFonts w:asciiTheme="minorHAnsi" w:eastAsiaTheme="minorEastAsia" w:hAnsiTheme="minorHAnsi" w:cstheme="minorBidi"/>
                <w:sz w:val="20"/>
                <w:szCs w:val="20"/>
                <w:lang w:eastAsia="es-ES"/>
              </w:rPr>
              <w:tab/>
            </w:r>
            <w:r w:rsidRPr="008B4EEF">
              <w:rPr>
                <w:rStyle w:val="Hipervnculo"/>
                <w:sz w:val="20"/>
                <w:szCs w:val="20"/>
                <w:u w:val="none"/>
              </w:rPr>
              <w:t>EL PERFIL TERRITORIAL DEL VAB Y LA PRODUCTIVIDAD APARENTE</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_Toc450118912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73</w:t>
            </w:r>
            <w:r w:rsidR="00771A61" w:rsidRPr="008B4EEF">
              <w:rPr>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13" w:history="1">
            <w:r w:rsidR="008B4EEF" w:rsidRPr="008B4EEF">
              <w:rPr>
                <w:rStyle w:val="Hipervnculo"/>
                <w:b/>
                <w:sz w:val="20"/>
                <w:szCs w:val="20"/>
                <w:u w:val="none"/>
              </w:rPr>
              <w:t>4.-</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EXPORTACIONES DE LA ECONOMÍA SOCIAL</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_Toc450118913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75</w:t>
            </w:r>
            <w:r w:rsidR="00771A61" w:rsidRPr="008B4EEF">
              <w:rPr>
                <w:b/>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14" w:history="1">
            <w:r w:rsidRPr="008B4EEF">
              <w:rPr>
                <w:rStyle w:val="Hipervnculo"/>
                <w:sz w:val="20"/>
                <w:szCs w:val="20"/>
                <w:u w:val="none"/>
              </w:rPr>
              <w:t xml:space="preserve">4.1.- </w:t>
            </w:r>
            <w:r w:rsidRPr="008B4EEF">
              <w:rPr>
                <w:rFonts w:asciiTheme="minorHAnsi" w:eastAsiaTheme="minorEastAsia" w:hAnsiTheme="minorHAnsi" w:cstheme="minorBidi"/>
                <w:sz w:val="20"/>
                <w:szCs w:val="20"/>
                <w:lang w:eastAsia="es-ES"/>
              </w:rPr>
              <w:tab/>
            </w:r>
            <w:r w:rsidRPr="008B4EEF">
              <w:rPr>
                <w:rStyle w:val="Hipervnculo"/>
                <w:sz w:val="20"/>
                <w:szCs w:val="20"/>
                <w:u w:val="none"/>
              </w:rPr>
              <w:t>EXPORTACIONES SEGÚN SECTOR DE ACTIVIDAD, FORMA JURÍDICA Y TAMAÑO EMPRESARIAL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_Toc450118914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76</w:t>
            </w:r>
            <w:r w:rsidR="00771A61" w:rsidRPr="008B4EEF">
              <w:rPr>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15" w:history="1">
            <w:r w:rsidR="008B4EEF" w:rsidRPr="008B4EEF">
              <w:rPr>
                <w:rStyle w:val="Hipervnculo"/>
                <w:b/>
                <w:sz w:val="20"/>
                <w:szCs w:val="20"/>
                <w:u w:val="none"/>
              </w:rPr>
              <w:t>5.-</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OTRAS MAGNITUDES ECONÓMICAS DE LA ECONOMÍA SOCIAL</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_Toc450118915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79</w:t>
            </w:r>
            <w:r w:rsidR="00771A61" w:rsidRPr="008B4EEF">
              <w:rPr>
                <w:b/>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16" w:history="1">
            <w:r w:rsidRPr="008B4EEF">
              <w:rPr>
                <w:rStyle w:val="Hipervnculo"/>
                <w:sz w:val="20"/>
                <w:szCs w:val="20"/>
                <w:u w:val="none"/>
              </w:rPr>
              <w:t>5.1.-</w:t>
            </w:r>
            <w:r w:rsidRPr="008B4EEF">
              <w:rPr>
                <w:rFonts w:asciiTheme="minorHAnsi" w:eastAsiaTheme="minorEastAsia" w:hAnsiTheme="minorHAnsi" w:cstheme="minorBidi"/>
                <w:sz w:val="20"/>
                <w:szCs w:val="20"/>
                <w:lang w:eastAsia="es-ES"/>
              </w:rPr>
              <w:tab/>
            </w:r>
            <w:r w:rsidRPr="008B4EEF">
              <w:rPr>
                <w:rStyle w:val="Hipervnculo"/>
                <w:sz w:val="20"/>
                <w:szCs w:val="20"/>
                <w:u w:val="none"/>
              </w:rPr>
              <w:t>LA FINANCIACIÓN PROPIA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_Toc450118916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79</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17" w:history="1">
            <w:r w:rsidRPr="008B4EEF">
              <w:rPr>
                <w:rStyle w:val="Hipervnculo"/>
                <w:sz w:val="20"/>
                <w:szCs w:val="20"/>
                <w:u w:val="none"/>
              </w:rPr>
              <w:t>5.2.-</w:t>
            </w:r>
            <w:r w:rsidRPr="008B4EEF">
              <w:rPr>
                <w:rFonts w:asciiTheme="minorHAnsi" w:eastAsiaTheme="minorEastAsia" w:hAnsiTheme="minorHAnsi" w:cstheme="minorBidi"/>
                <w:sz w:val="20"/>
                <w:szCs w:val="20"/>
                <w:lang w:eastAsia="es-ES"/>
              </w:rPr>
              <w:tab/>
            </w:r>
            <w:r w:rsidRPr="008B4EEF">
              <w:rPr>
                <w:rStyle w:val="Hipervnculo"/>
                <w:sz w:val="20"/>
                <w:szCs w:val="20"/>
                <w:u w:val="none"/>
              </w:rPr>
              <w:t>LA INVERSIÓN DE LAS EMPRESAS DE LA ECONOMÍA SOCIAL Y LA FINANCIACIÓN DE LAS AAPP</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_Toc450118917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81</w:t>
            </w:r>
            <w:r w:rsidR="00771A61" w:rsidRPr="008B4EEF">
              <w:rPr>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ind w:left="567" w:hanging="567"/>
            <w:rPr>
              <w:rFonts w:asciiTheme="minorHAnsi" w:eastAsiaTheme="minorEastAsia" w:hAnsiTheme="minorHAnsi" w:cstheme="minorBidi"/>
              <w:b/>
              <w:sz w:val="20"/>
              <w:szCs w:val="20"/>
              <w:lang w:eastAsia="es-ES"/>
            </w:rPr>
          </w:pPr>
          <w:hyperlink w:anchor="_Toc450118918" w:history="1">
            <w:r w:rsidR="008B4EEF" w:rsidRPr="008B4EEF">
              <w:rPr>
                <w:rStyle w:val="Hipervnculo"/>
                <w:b/>
                <w:sz w:val="20"/>
                <w:szCs w:val="20"/>
                <w:u w:val="none"/>
              </w:rPr>
              <w:t>6.-</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CUENTAS DE RESULTADOS POR FORMA JURÍDICA Y TERRITORIO HISTÓRICO</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_Toc450118918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83</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b/>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19" w:history="1">
            <w:r w:rsidR="008B4EEF" w:rsidRPr="008B4EEF">
              <w:rPr>
                <w:rStyle w:val="Hipervnculo"/>
                <w:b/>
                <w:sz w:val="20"/>
                <w:szCs w:val="20"/>
                <w:u w:val="none"/>
              </w:rPr>
              <w:t>7.-</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EL PERFIL COMARCAL DE LA ECONOMÍA SOCIAL</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_Toc450118919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86</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20" w:history="1">
            <w:r w:rsidR="008B4EEF" w:rsidRPr="008B4EEF">
              <w:rPr>
                <w:rStyle w:val="Hipervnculo"/>
                <w:b/>
                <w:sz w:val="20"/>
                <w:szCs w:val="20"/>
                <w:u w:val="none"/>
              </w:rPr>
              <w:t xml:space="preserve">II.- </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AVANCE DE CUENTAS DE LA ECONOMÍA SOCIAL 2015</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_Toc450118920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89</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b/>
              <w:sz w:val="20"/>
              <w:szCs w:val="20"/>
              <w:u w:val="none"/>
            </w:rPr>
          </w:pPr>
        </w:p>
        <w:p w:rsidR="008B4EEF" w:rsidRPr="008B4EEF" w:rsidRDefault="00503E0A" w:rsidP="008B4EEF">
          <w:pPr>
            <w:pStyle w:val="TDC1"/>
            <w:spacing w:line="240" w:lineRule="auto"/>
            <w:ind w:left="567" w:hanging="567"/>
            <w:rPr>
              <w:rFonts w:asciiTheme="minorHAnsi" w:eastAsiaTheme="minorEastAsia" w:hAnsiTheme="minorHAnsi" w:cstheme="minorBidi"/>
              <w:b/>
              <w:sz w:val="20"/>
              <w:szCs w:val="20"/>
              <w:lang w:eastAsia="es-ES"/>
            </w:rPr>
          </w:pPr>
          <w:hyperlink w:anchor="_Toc450118921" w:history="1">
            <w:r w:rsidR="008B4EEF" w:rsidRPr="008B4EEF">
              <w:rPr>
                <w:rStyle w:val="Hipervnculo"/>
                <w:b/>
                <w:sz w:val="20"/>
                <w:szCs w:val="20"/>
                <w:u w:val="none"/>
              </w:rPr>
              <w:t xml:space="preserve">III.- </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ESTRATEGIAS ANTE LA CRISIS, HERRAMIENTAS DE GESTIÓN E INNOVACIÓN EN LA ECONOMÍA SOCIAL CLÁSICA (FCES)</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_Toc450118921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91</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b/>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22" w:history="1">
            <w:r w:rsidR="008B4EEF" w:rsidRPr="008B4EEF">
              <w:rPr>
                <w:rStyle w:val="Hipervnculo"/>
                <w:b/>
                <w:sz w:val="20"/>
                <w:szCs w:val="20"/>
                <w:u w:val="none"/>
              </w:rPr>
              <w:t>1.-</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ESTRATEGIAS ANTE LA CRISIS</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_Toc450118922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91</w:t>
            </w:r>
            <w:r w:rsidR="00771A61" w:rsidRPr="008B4EEF">
              <w:rPr>
                <w:b/>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23" w:history="1">
            <w:r w:rsidRPr="008B4EEF">
              <w:rPr>
                <w:rStyle w:val="Hipervnculo"/>
                <w:sz w:val="20"/>
                <w:szCs w:val="20"/>
                <w:u w:val="none"/>
              </w:rPr>
              <w:t>1.1.-</w:t>
            </w:r>
            <w:r w:rsidRPr="008B4EEF">
              <w:rPr>
                <w:rFonts w:asciiTheme="minorHAnsi" w:eastAsiaTheme="minorEastAsia" w:hAnsiTheme="minorHAnsi" w:cstheme="minorBidi"/>
                <w:sz w:val="20"/>
                <w:szCs w:val="20"/>
                <w:lang w:eastAsia="es-ES"/>
              </w:rPr>
              <w:tab/>
            </w:r>
            <w:r w:rsidRPr="008B4EEF">
              <w:rPr>
                <w:rStyle w:val="Hipervnculo"/>
                <w:sz w:val="20"/>
                <w:szCs w:val="20"/>
                <w:u w:val="none"/>
              </w:rPr>
              <w:t>AJUSTE SALARIAL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_Toc450118923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91</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24" w:history="1">
            <w:r w:rsidRPr="008B4EEF">
              <w:rPr>
                <w:rStyle w:val="Hipervnculo"/>
                <w:sz w:val="20"/>
                <w:szCs w:val="20"/>
                <w:u w:val="none"/>
              </w:rPr>
              <w:t>1.2.-</w:t>
            </w:r>
            <w:r w:rsidRPr="008B4EEF">
              <w:rPr>
                <w:rFonts w:asciiTheme="minorHAnsi" w:eastAsiaTheme="minorEastAsia" w:hAnsiTheme="minorHAnsi" w:cstheme="minorBidi"/>
                <w:sz w:val="20"/>
                <w:szCs w:val="20"/>
                <w:lang w:eastAsia="es-ES"/>
              </w:rPr>
              <w:tab/>
            </w:r>
            <w:r w:rsidRPr="008B4EEF">
              <w:rPr>
                <w:rStyle w:val="Hipervnculo"/>
                <w:sz w:val="20"/>
                <w:szCs w:val="20"/>
                <w:u w:val="none"/>
              </w:rPr>
              <w:t>AJUSTE PERSONAL Y DEDICACIÓN HORARIA</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_Toc450118924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92</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25" w:history="1">
            <w:r w:rsidRPr="008B4EEF">
              <w:rPr>
                <w:rStyle w:val="Hipervnculo"/>
                <w:sz w:val="20"/>
                <w:szCs w:val="20"/>
                <w:u w:val="none"/>
              </w:rPr>
              <w:t>1.3.-</w:t>
            </w:r>
            <w:r w:rsidRPr="008B4EEF">
              <w:rPr>
                <w:rFonts w:asciiTheme="minorHAnsi" w:eastAsiaTheme="minorEastAsia" w:hAnsiTheme="minorHAnsi" w:cstheme="minorBidi"/>
                <w:sz w:val="20"/>
                <w:szCs w:val="20"/>
                <w:lang w:eastAsia="es-ES"/>
              </w:rPr>
              <w:tab/>
            </w:r>
            <w:r w:rsidRPr="008B4EEF">
              <w:rPr>
                <w:rStyle w:val="Hipervnculo"/>
                <w:sz w:val="20"/>
                <w:szCs w:val="20"/>
                <w:u w:val="none"/>
              </w:rPr>
              <w:t>ACUERDOS DE COLABORACIÓN SOLIDARIOS INTERCOOPERATIVA</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_Toc450118925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92</w:t>
            </w:r>
            <w:r w:rsidR="00771A61" w:rsidRPr="008B4EEF">
              <w:rPr>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26" w:history="1">
            <w:r w:rsidR="008B4EEF" w:rsidRPr="008B4EEF">
              <w:rPr>
                <w:rStyle w:val="Hipervnculo"/>
                <w:b/>
                <w:sz w:val="20"/>
                <w:szCs w:val="20"/>
                <w:u w:val="none"/>
              </w:rPr>
              <w:t xml:space="preserve">2.- </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HERRAMIENTAS DE GESTIÓN</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_Toc450118926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93</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b/>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27" w:history="1">
            <w:r w:rsidR="008B4EEF" w:rsidRPr="008B4EEF">
              <w:rPr>
                <w:rStyle w:val="Hipervnculo"/>
                <w:b/>
                <w:sz w:val="20"/>
                <w:szCs w:val="20"/>
                <w:u w:val="none"/>
              </w:rPr>
              <w:t xml:space="preserve">3.- </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OTRAS ACTIVIDADES LIGADAS A LA GESTIÓN</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_Toc450118927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95</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b/>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28" w:history="1">
            <w:r w:rsidR="008B4EEF" w:rsidRPr="008B4EEF">
              <w:rPr>
                <w:rStyle w:val="Hipervnculo"/>
                <w:b/>
                <w:sz w:val="20"/>
                <w:szCs w:val="20"/>
                <w:u w:val="none"/>
              </w:rPr>
              <w:t>4.-</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COOPERACIÓN INTEREMPRESARIAL</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_Toc450118928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96</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b/>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29" w:history="1">
            <w:r w:rsidR="008B4EEF" w:rsidRPr="008B4EEF">
              <w:rPr>
                <w:rStyle w:val="Hipervnculo"/>
                <w:b/>
                <w:sz w:val="20"/>
                <w:szCs w:val="20"/>
                <w:u w:val="none"/>
              </w:rPr>
              <w:t>5.-</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ACTIVIDADES E IMPACTO DE LA INNOVACIÓN</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_Toc450118929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98</w:t>
            </w:r>
            <w:r w:rsidR="00771A61" w:rsidRPr="008B4EEF">
              <w:rPr>
                <w:b/>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30" w:history="1">
            <w:r w:rsidRPr="008B4EEF">
              <w:rPr>
                <w:rStyle w:val="Hipervnculo"/>
                <w:sz w:val="20"/>
                <w:szCs w:val="20"/>
                <w:u w:val="none"/>
              </w:rPr>
              <w:t>5.1.-</w:t>
            </w:r>
            <w:r w:rsidRPr="008B4EEF">
              <w:rPr>
                <w:rFonts w:asciiTheme="minorHAnsi" w:eastAsiaTheme="minorEastAsia" w:hAnsiTheme="minorHAnsi" w:cstheme="minorBidi"/>
                <w:sz w:val="20"/>
                <w:szCs w:val="20"/>
                <w:lang w:eastAsia="es-ES"/>
              </w:rPr>
              <w:tab/>
            </w:r>
            <w:r w:rsidRPr="008B4EEF">
              <w:rPr>
                <w:rStyle w:val="Hipervnculo"/>
                <w:sz w:val="20"/>
                <w:szCs w:val="20"/>
                <w:u w:val="none"/>
              </w:rPr>
              <w:t>REALIZACIÓN DE ACTIVIDADES DE INNOVACIÓN</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_Toc450118930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98</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31" w:history="1">
            <w:r w:rsidRPr="008B4EEF">
              <w:rPr>
                <w:rStyle w:val="Hipervnculo"/>
                <w:sz w:val="20"/>
                <w:szCs w:val="20"/>
                <w:u w:val="none"/>
              </w:rPr>
              <w:t>5.2.-</w:t>
            </w:r>
            <w:r w:rsidRPr="008B4EEF">
              <w:rPr>
                <w:rFonts w:asciiTheme="minorHAnsi" w:eastAsiaTheme="minorEastAsia" w:hAnsiTheme="minorHAnsi" w:cstheme="minorBidi"/>
                <w:sz w:val="20"/>
                <w:szCs w:val="20"/>
                <w:lang w:eastAsia="es-ES"/>
              </w:rPr>
              <w:tab/>
            </w:r>
            <w:r w:rsidRPr="008B4EEF">
              <w:rPr>
                <w:rStyle w:val="Hipervnculo"/>
                <w:sz w:val="20"/>
                <w:szCs w:val="20"/>
                <w:u w:val="none"/>
              </w:rPr>
              <w:t>IMPACTO DE LA INNOVACIÓN SOBRE EL EMPLEO</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_Toc450118931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99</w:t>
            </w:r>
            <w:r w:rsidR="00771A61" w:rsidRPr="008B4EEF">
              <w:rPr>
                <w:webHidden/>
                <w:sz w:val="20"/>
                <w:szCs w:val="20"/>
              </w:rPr>
              <w:fldChar w:fldCharType="end"/>
            </w:r>
          </w:hyperlink>
        </w:p>
        <w:p w:rsidR="008B4EEF" w:rsidRPr="008B4EEF" w:rsidRDefault="008B4EEF" w:rsidP="008B4EEF">
          <w:pPr>
            <w:pStyle w:val="TDC1"/>
            <w:spacing w:line="240" w:lineRule="auto"/>
            <w:rPr>
              <w:rStyle w:val="Hipervnculo"/>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32" w:history="1">
            <w:r w:rsidR="008B4EEF" w:rsidRPr="008B4EEF">
              <w:rPr>
                <w:rStyle w:val="Hipervnculo"/>
                <w:b/>
                <w:sz w:val="20"/>
                <w:szCs w:val="20"/>
                <w:u w:val="none"/>
              </w:rPr>
              <w:t xml:space="preserve">IV.- </w:t>
            </w:r>
            <w:r w:rsidR="008B4EEF" w:rsidRPr="008B4EEF">
              <w:rPr>
                <w:rFonts w:asciiTheme="minorHAnsi" w:eastAsiaTheme="minorEastAsia" w:hAnsiTheme="minorHAnsi" w:cstheme="minorBidi"/>
                <w:b/>
                <w:sz w:val="20"/>
                <w:szCs w:val="20"/>
                <w:lang w:eastAsia="es-ES"/>
              </w:rPr>
              <w:tab/>
            </w:r>
            <w:r w:rsidR="008B4EEF" w:rsidRPr="008B4EEF">
              <w:rPr>
                <w:rStyle w:val="Hipervnculo"/>
                <w:b/>
                <w:sz w:val="20"/>
                <w:szCs w:val="20"/>
                <w:u w:val="none"/>
              </w:rPr>
              <w:t>NUEVAS FORMAS DE LA ECONOMÍA SOCIAL (NFES)</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_Toc450118932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101</w:t>
            </w:r>
            <w:r w:rsidR="00771A61" w:rsidRPr="008B4EEF">
              <w:rPr>
                <w:b/>
                <w:webHidden/>
                <w:sz w:val="20"/>
                <w:szCs w:val="20"/>
              </w:rPr>
              <w:fldChar w:fldCharType="end"/>
            </w:r>
          </w:hyperlink>
        </w:p>
        <w:p w:rsidR="008B4EEF" w:rsidRPr="008B4EEF" w:rsidRDefault="008B4EEF" w:rsidP="008B4EEF">
          <w:pPr>
            <w:pStyle w:val="TDC1"/>
            <w:spacing w:line="240" w:lineRule="auto"/>
            <w:rPr>
              <w:rStyle w:val="Hipervnculo"/>
              <w:b/>
              <w:sz w:val="20"/>
              <w:szCs w:val="20"/>
              <w:u w:val="none"/>
            </w:rPr>
          </w:pPr>
        </w:p>
        <w:p w:rsidR="008B4EEF" w:rsidRPr="008B4EEF" w:rsidRDefault="00503E0A" w:rsidP="008B4EEF">
          <w:pPr>
            <w:pStyle w:val="TDC1"/>
            <w:spacing w:line="240" w:lineRule="auto"/>
            <w:rPr>
              <w:rFonts w:asciiTheme="minorHAnsi" w:eastAsiaTheme="minorEastAsia" w:hAnsiTheme="minorHAnsi" w:cstheme="minorBidi"/>
              <w:b/>
              <w:sz w:val="20"/>
              <w:szCs w:val="20"/>
              <w:lang w:eastAsia="es-ES"/>
            </w:rPr>
          </w:pPr>
          <w:hyperlink w:anchor="_Toc450118933" w:history="1">
            <w:r w:rsidR="008B4EEF" w:rsidRPr="008B4EEF">
              <w:rPr>
                <w:rStyle w:val="Hipervnculo"/>
                <w:b/>
                <w:sz w:val="20"/>
                <w:szCs w:val="20"/>
                <w:u w:val="none"/>
              </w:rPr>
              <w:t>1.- EMPLEO Y ESTABLECIMIENTOS DE LAS NFES 2014</w:t>
            </w:r>
            <w:r w:rsidR="008B4EEF" w:rsidRPr="008B4EEF">
              <w:rPr>
                <w:b/>
                <w:webHidden/>
                <w:sz w:val="20"/>
                <w:szCs w:val="20"/>
              </w:rPr>
              <w:tab/>
            </w:r>
            <w:r w:rsidR="00771A61" w:rsidRPr="008B4EEF">
              <w:rPr>
                <w:b/>
                <w:webHidden/>
                <w:sz w:val="20"/>
                <w:szCs w:val="20"/>
              </w:rPr>
              <w:fldChar w:fldCharType="begin"/>
            </w:r>
            <w:r w:rsidR="008B4EEF" w:rsidRPr="008B4EEF">
              <w:rPr>
                <w:b/>
                <w:webHidden/>
                <w:sz w:val="20"/>
                <w:szCs w:val="20"/>
              </w:rPr>
              <w:instrText xml:space="preserve"> PAGEREF _Toc450118933 \h </w:instrText>
            </w:r>
            <w:r w:rsidR="00771A61" w:rsidRPr="008B4EEF">
              <w:rPr>
                <w:b/>
                <w:webHidden/>
                <w:sz w:val="20"/>
                <w:szCs w:val="20"/>
              </w:rPr>
            </w:r>
            <w:r w:rsidR="00771A61" w:rsidRPr="008B4EEF">
              <w:rPr>
                <w:b/>
                <w:webHidden/>
                <w:sz w:val="20"/>
                <w:szCs w:val="20"/>
              </w:rPr>
              <w:fldChar w:fldCharType="separate"/>
            </w:r>
            <w:r w:rsidR="008B4EEF" w:rsidRPr="008B4EEF">
              <w:rPr>
                <w:b/>
                <w:webHidden/>
                <w:sz w:val="20"/>
                <w:szCs w:val="20"/>
              </w:rPr>
              <w:t>101</w:t>
            </w:r>
            <w:r w:rsidR="00771A61" w:rsidRPr="008B4EEF">
              <w:rPr>
                <w:b/>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34" w:history="1">
            <w:r w:rsidRPr="008B4EEF">
              <w:rPr>
                <w:rStyle w:val="Hipervnculo"/>
                <w:sz w:val="20"/>
                <w:szCs w:val="20"/>
                <w:u w:val="none"/>
              </w:rPr>
              <w:t>1.1.-</w:t>
            </w:r>
            <w:r w:rsidRPr="008B4EEF">
              <w:rPr>
                <w:rFonts w:asciiTheme="minorHAnsi" w:eastAsiaTheme="minorEastAsia" w:hAnsiTheme="minorHAnsi" w:cstheme="minorBidi"/>
                <w:sz w:val="20"/>
                <w:szCs w:val="20"/>
                <w:lang w:eastAsia="es-ES"/>
              </w:rPr>
              <w:tab/>
            </w:r>
            <w:r w:rsidRPr="008B4EEF">
              <w:rPr>
                <w:rStyle w:val="Hipervnculo"/>
                <w:sz w:val="20"/>
                <w:szCs w:val="20"/>
                <w:u w:val="none"/>
              </w:rPr>
              <w:t>PRINCIPALES RASGOS DEL EMPLEO DE LAS NUEVAS FORMAS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_Toc450118934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102</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35" w:history="1">
            <w:r w:rsidRPr="008B4EEF">
              <w:rPr>
                <w:rStyle w:val="Hipervnculo"/>
                <w:sz w:val="20"/>
                <w:szCs w:val="20"/>
                <w:u w:val="none"/>
              </w:rPr>
              <w:t>1.1.1.- El Género del empleo remunerado</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_Toc450118935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102</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36" w:history="1">
            <w:r w:rsidRPr="008B4EEF">
              <w:rPr>
                <w:rStyle w:val="Hipervnculo"/>
                <w:sz w:val="20"/>
                <w:szCs w:val="20"/>
                <w:u w:val="none"/>
              </w:rPr>
              <w:t>1.1.2.- Tipo de relación contractual del empleo remunerado</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_Toc450118936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102</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37" w:history="1">
            <w:r w:rsidRPr="008B4EEF">
              <w:rPr>
                <w:rStyle w:val="Hipervnculo"/>
                <w:sz w:val="20"/>
                <w:szCs w:val="20"/>
                <w:u w:val="none"/>
              </w:rPr>
              <w:t>1.1.3.- El empleo voluntario</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_Toc450118937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103</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38" w:history="1">
            <w:r w:rsidRPr="008B4EEF">
              <w:rPr>
                <w:rStyle w:val="Hipervnculo"/>
                <w:sz w:val="20"/>
                <w:szCs w:val="20"/>
                <w:u w:val="none"/>
              </w:rPr>
              <w:t>1.2.-</w:t>
            </w:r>
            <w:r w:rsidRPr="008B4EEF">
              <w:rPr>
                <w:rFonts w:asciiTheme="minorHAnsi" w:eastAsiaTheme="minorEastAsia" w:hAnsiTheme="minorHAnsi" w:cstheme="minorBidi"/>
                <w:sz w:val="20"/>
                <w:szCs w:val="20"/>
                <w:lang w:eastAsia="es-ES"/>
              </w:rPr>
              <w:tab/>
            </w:r>
            <w:r w:rsidRPr="008B4EEF">
              <w:rPr>
                <w:rStyle w:val="Hipervnculo"/>
                <w:sz w:val="20"/>
                <w:szCs w:val="20"/>
                <w:u w:val="none"/>
              </w:rPr>
              <w:t>LAS CUENTAS DE LAS DE LAS NUEVAS FORMAS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_Toc450118938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105</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39" w:history="1">
            <w:r w:rsidRPr="008B4EEF">
              <w:rPr>
                <w:rStyle w:val="Hipervnculo"/>
                <w:sz w:val="20"/>
                <w:szCs w:val="20"/>
                <w:u w:val="none"/>
              </w:rPr>
              <w:t>1.3.-</w:t>
            </w:r>
            <w:r w:rsidRPr="008B4EEF">
              <w:rPr>
                <w:rFonts w:asciiTheme="minorHAnsi" w:eastAsiaTheme="minorEastAsia" w:hAnsiTheme="minorHAnsi" w:cstheme="minorBidi"/>
                <w:sz w:val="20"/>
                <w:szCs w:val="20"/>
                <w:lang w:eastAsia="es-ES"/>
              </w:rPr>
              <w:tab/>
            </w:r>
            <w:r w:rsidRPr="008B4EEF">
              <w:rPr>
                <w:rStyle w:val="Hipervnculo"/>
                <w:sz w:val="20"/>
                <w:szCs w:val="20"/>
                <w:u w:val="none"/>
              </w:rPr>
              <w:t>EL PERFIL TERRITORIAL DE LAS NUEVAS FORMAS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_Toc450118939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112</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0" w:history="1">
            <w:r w:rsidRPr="008B4EEF">
              <w:rPr>
                <w:rStyle w:val="Hipervnculo"/>
                <w:sz w:val="20"/>
                <w:szCs w:val="20"/>
                <w:u w:val="none"/>
              </w:rPr>
              <w:t>1.3.1.- El perfil territorial del empleo remunerado y de los establecimientos</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_Toc450118940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112</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1" w:history="1">
            <w:r w:rsidRPr="008B4EEF">
              <w:rPr>
                <w:rStyle w:val="Hipervnculo"/>
                <w:sz w:val="20"/>
                <w:szCs w:val="20"/>
                <w:u w:val="none"/>
              </w:rPr>
              <w:t>1.3.2.- El perfil territorial de la facturación y del VAB</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_Toc450118941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112</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42" w:history="1">
            <w:r w:rsidRPr="008B4EEF">
              <w:rPr>
                <w:rStyle w:val="Hipervnculo"/>
                <w:sz w:val="20"/>
                <w:szCs w:val="20"/>
                <w:u w:val="none"/>
              </w:rPr>
              <w:t>1.4.-</w:t>
            </w:r>
            <w:r w:rsidRPr="008B4EEF">
              <w:rPr>
                <w:rFonts w:asciiTheme="minorHAnsi" w:eastAsiaTheme="minorEastAsia" w:hAnsiTheme="minorHAnsi" w:cstheme="minorBidi"/>
                <w:sz w:val="20"/>
                <w:szCs w:val="20"/>
                <w:lang w:eastAsia="es-ES"/>
              </w:rPr>
              <w:tab/>
            </w:r>
            <w:r w:rsidRPr="008B4EEF">
              <w:rPr>
                <w:rStyle w:val="Hipervnculo"/>
                <w:sz w:val="20"/>
                <w:szCs w:val="20"/>
                <w:u w:val="none"/>
              </w:rPr>
              <w:t>OTRAS MAGNITUDES DE LA ECONOMÍA SOCIAL</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_Toc450118942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113</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3" w:history="1">
            <w:r w:rsidRPr="008B4EEF">
              <w:rPr>
                <w:rStyle w:val="Hipervnculo"/>
                <w:sz w:val="20"/>
                <w:szCs w:val="20"/>
                <w:u w:val="none"/>
              </w:rPr>
              <w:t>1.4.1.- La financiación propia de las NFES</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_Toc450118943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113</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4" w:history="1">
            <w:r w:rsidRPr="008B4EEF">
              <w:rPr>
                <w:rStyle w:val="Hipervnculo"/>
                <w:sz w:val="20"/>
                <w:szCs w:val="20"/>
                <w:u w:val="none"/>
              </w:rPr>
              <w:t>1.4.2.- La inversión de las empresas de las NFES</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_Toc450118944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113</w:t>
            </w:r>
            <w:r w:rsidR="00771A61" w:rsidRPr="008B4EEF">
              <w:rPr>
                <w:webHidden/>
                <w:sz w:val="20"/>
                <w:szCs w:val="20"/>
              </w:rPr>
              <w:fldChar w:fldCharType="end"/>
            </w:r>
          </w:hyperlink>
        </w:p>
        <w:p w:rsidR="008B4EEF" w:rsidRPr="008B4EEF" w:rsidRDefault="008B4EEF" w:rsidP="008B4EEF">
          <w:pPr>
            <w:pStyle w:val="TDC1"/>
            <w:spacing w:line="240" w:lineRule="auto"/>
            <w:ind w:left="1276" w:hanging="1276"/>
            <w:rPr>
              <w:rFonts w:asciiTheme="minorHAnsi" w:eastAsiaTheme="minorEastAsia" w:hAnsiTheme="minorHAnsi" w:cstheme="minorBidi"/>
              <w:sz w:val="20"/>
              <w:szCs w:val="20"/>
              <w:lang w:eastAsia="es-ES"/>
            </w:rPr>
          </w:pPr>
          <w:r w:rsidRPr="008B4EEF">
            <w:rPr>
              <w:rStyle w:val="Hipervnculo"/>
              <w:sz w:val="20"/>
              <w:szCs w:val="20"/>
              <w:u w:val="none"/>
            </w:rPr>
            <w:tab/>
          </w:r>
          <w:hyperlink w:anchor="_Toc450118945" w:history="1">
            <w:r w:rsidRPr="008B4EEF">
              <w:rPr>
                <w:rStyle w:val="Hipervnculo"/>
                <w:sz w:val="20"/>
                <w:szCs w:val="20"/>
                <w:u w:val="none"/>
              </w:rPr>
              <w:t>1.5.-</w:t>
            </w:r>
            <w:r w:rsidRPr="008B4EEF">
              <w:rPr>
                <w:rFonts w:asciiTheme="minorHAnsi" w:eastAsiaTheme="minorEastAsia" w:hAnsiTheme="minorHAnsi" w:cstheme="minorBidi"/>
                <w:sz w:val="20"/>
                <w:szCs w:val="20"/>
                <w:lang w:eastAsia="es-ES"/>
              </w:rPr>
              <w:tab/>
            </w:r>
            <w:r w:rsidRPr="008B4EEF">
              <w:rPr>
                <w:rStyle w:val="Hipervnculo"/>
                <w:sz w:val="20"/>
                <w:szCs w:val="20"/>
                <w:u w:val="none"/>
              </w:rPr>
              <w:t>LAS GRANDES CIFRAS DE LA ECONOMÍA SOCIAL AGREGADA 2014 (FCES +NFES)</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_Toc450118945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115</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6" w:history="1">
            <w:r w:rsidRPr="008B4EEF">
              <w:rPr>
                <w:rStyle w:val="Hipervnculo"/>
                <w:sz w:val="20"/>
                <w:szCs w:val="20"/>
                <w:u w:val="none"/>
              </w:rPr>
              <w:t>1.5.1.- Establecimientos y Empleo</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_Toc450118946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115</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7" w:history="1">
            <w:r w:rsidRPr="008B4EEF">
              <w:rPr>
                <w:rStyle w:val="Hipervnculo"/>
                <w:sz w:val="20"/>
                <w:szCs w:val="20"/>
                <w:u w:val="none"/>
              </w:rPr>
              <w:t>1.5.2.- Facturación y Sueldos y Salarios</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_Toc450118947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116</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8" w:history="1">
            <w:r w:rsidRPr="008B4EEF">
              <w:rPr>
                <w:rStyle w:val="Hipervnculo"/>
                <w:sz w:val="20"/>
                <w:szCs w:val="20"/>
                <w:u w:val="none"/>
              </w:rPr>
              <w:t>1.5.3.- Resultados y VAB</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_Toc450118948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117</w:t>
            </w:r>
            <w:r w:rsidR="00771A61" w:rsidRPr="008B4EEF">
              <w:rPr>
                <w:webHidden/>
                <w:sz w:val="20"/>
                <w:szCs w:val="20"/>
              </w:rPr>
              <w:fldChar w:fldCharType="end"/>
            </w:r>
          </w:hyperlink>
        </w:p>
        <w:p w:rsidR="008B4EEF" w:rsidRPr="008B4EEF" w:rsidRDefault="008B4EEF" w:rsidP="008B4EEF">
          <w:pPr>
            <w:pStyle w:val="TDC1"/>
            <w:spacing w:line="240" w:lineRule="auto"/>
            <w:rPr>
              <w:rFonts w:asciiTheme="minorHAnsi" w:eastAsiaTheme="minorEastAsia" w:hAnsiTheme="minorHAnsi" w:cstheme="minorBidi"/>
              <w:sz w:val="20"/>
              <w:szCs w:val="20"/>
              <w:lang w:eastAsia="es-ES"/>
            </w:rPr>
          </w:pPr>
          <w:r w:rsidRPr="008B4EEF">
            <w:rPr>
              <w:rStyle w:val="Hipervnculo"/>
              <w:sz w:val="20"/>
              <w:szCs w:val="20"/>
              <w:u w:val="none"/>
            </w:rPr>
            <w:tab/>
          </w:r>
          <w:r w:rsidRPr="008B4EEF">
            <w:rPr>
              <w:rStyle w:val="Hipervnculo"/>
              <w:sz w:val="20"/>
              <w:szCs w:val="20"/>
              <w:u w:val="none"/>
            </w:rPr>
            <w:tab/>
          </w:r>
          <w:hyperlink w:anchor="_Toc450118949" w:history="1">
            <w:r w:rsidRPr="008B4EEF">
              <w:rPr>
                <w:rStyle w:val="Hipervnculo"/>
                <w:sz w:val="20"/>
                <w:szCs w:val="20"/>
                <w:u w:val="none"/>
              </w:rPr>
              <w:t>1.5.4.- Principales magnitudes agregadas comparadas 2012 y 2014</w:t>
            </w:r>
            <w:r w:rsidRPr="008B4EEF">
              <w:rPr>
                <w:webHidden/>
                <w:sz w:val="20"/>
                <w:szCs w:val="20"/>
              </w:rPr>
              <w:tab/>
            </w:r>
            <w:r w:rsidR="00771A61" w:rsidRPr="008B4EEF">
              <w:rPr>
                <w:webHidden/>
                <w:sz w:val="20"/>
                <w:szCs w:val="20"/>
              </w:rPr>
              <w:fldChar w:fldCharType="begin"/>
            </w:r>
            <w:r w:rsidRPr="008B4EEF">
              <w:rPr>
                <w:webHidden/>
                <w:sz w:val="20"/>
                <w:szCs w:val="20"/>
              </w:rPr>
              <w:instrText xml:space="preserve"> PAGEREF _Toc450118949 \h </w:instrText>
            </w:r>
            <w:r w:rsidR="00771A61" w:rsidRPr="008B4EEF">
              <w:rPr>
                <w:webHidden/>
                <w:sz w:val="20"/>
                <w:szCs w:val="20"/>
              </w:rPr>
            </w:r>
            <w:r w:rsidR="00771A61" w:rsidRPr="008B4EEF">
              <w:rPr>
                <w:webHidden/>
                <w:sz w:val="20"/>
                <w:szCs w:val="20"/>
              </w:rPr>
              <w:fldChar w:fldCharType="separate"/>
            </w:r>
            <w:r w:rsidRPr="008B4EEF">
              <w:rPr>
                <w:webHidden/>
                <w:sz w:val="20"/>
                <w:szCs w:val="20"/>
              </w:rPr>
              <w:t>118</w:t>
            </w:r>
            <w:r w:rsidR="00771A61" w:rsidRPr="008B4EEF">
              <w:rPr>
                <w:webHidden/>
                <w:sz w:val="20"/>
                <w:szCs w:val="20"/>
              </w:rPr>
              <w:fldChar w:fldCharType="end"/>
            </w:r>
          </w:hyperlink>
        </w:p>
        <w:p w:rsidR="00A67658" w:rsidRPr="00A25CF2" w:rsidRDefault="00771A61">
          <w:r w:rsidRPr="00A25CF2">
            <w:rPr>
              <w:rFonts w:cs="Arial"/>
            </w:rPr>
            <w:fldChar w:fldCharType="end"/>
          </w:r>
        </w:p>
      </w:sdtContent>
    </w:sdt>
    <w:p w:rsidR="00A67658" w:rsidRPr="00A25CF2" w:rsidRDefault="00A67658">
      <w:pPr>
        <w:spacing w:after="200" w:line="276" w:lineRule="auto"/>
        <w:jc w:val="left"/>
        <w:rPr>
          <w:rFonts w:cs="Arial"/>
          <w:b/>
          <w:color w:val="1F497D" w:themeColor="text2"/>
          <w:szCs w:val="26"/>
        </w:rPr>
      </w:pPr>
    </w:p>
    <w:p w:rsidR="00A67658" w:rsidRPr="00A25CF2" w:rsidRDefault="00A67658">
      <w:pPr>
        <w:spacing w:after="200" w:line="276" w:lineRule="auto"/>
        <w:jc w:val="left"/>
        <w:rPr>
          <w:rFonts w:cs="Arial"/>
          <w:b/>
          <w:color w:val="1F497D" w:themeColor="text2"/>
          <w:szCs w:val="26"/>
        </w:rPr>
      </w:pPr>
    </w:p>
    <w:p w:rsidR="00A67658" w:rsidRDefault="00A67658">
      <w:pPr>
        <w:spacing w:after="200" w:line="276" w:lineRule="auto"/>
        <w:jc w:val="left"/>
        <w:rPr>
          <w:rFonts w:cs="Arial"/>
          <w:b/>
          <w:color w:val="1F497D" w:themeColor="text2"/>
          <w:szCs w:val="26"/>
        </w:rPr>
      </w:pPr>
    </w:p>
    <w:p w:rsidR="00A67658" w:rsidRDefault="00A67658">
      <w:pPr>
        <w:spacing w:after="200" w:line="276" w:lineRule="auto"/>
        <w:jc w:val="left"/>
        <w:rPr>
          <w:rFonts w:cs="Arial"/>
          <w:b/>
          <w:color w:val="1F497D" w:themeColor="text2"/>
          <w:szCs w:val="26"/>
        </w:rPr>
      </w:pPr>
    </w:p>
    <w:p w:rsidR="00A67658" w:rsidRDefault="00A67658">
      <w:pPr>
        <w:spacing w:after="200" w:line="276" w:lineRule="auto"/>
        <w:jc w:val="left"/>
        <w:rPr>
          <w:rFonts w:cs="Arial"/>
          <w:b/>
          <w:color w:val="1F497D" w:themeColor="text2"/>
          <w:szCs w:val="26"/>
        </w:rPr>
      </w:pPr>
      <w:r>
        <w:rPr>
          <w:rFonts w:cs="Arial"/>
          <w:b/>
          <w:color w:val="1F497D" w:themeColor="text2"/>
          <w:szCs w:val="26"/>
        </w:rPr>
        <w:br w:type="page"/>
      </w:r>
    </w:p>
    <w:p w:rsidR="00DB6D48" w:rsidRPr="00DB6D48" w:rsidRDefault="00DB6D48" w:rsidP="00DB6D48">
      <w:pPr>
        <w:widowControl w:val="0"/>
        <w:tabs>
          <w:tab w:val="right" w:pos="8647"/>
        </w:tabs>
        <w:spacing w:line="240" w:lineRule="auto"/>
        <w:jc w:val="left"/>
        <w:rPr>
          <w:rFonts w:cs="Arial"/>
          <w:b/>
          <w:sz w:val="28"/>
          <w:szCs w:val="28"/>
        </w:rPr>
      </w:pPr>
      <w:r w:rsidRPr="00DB6D48">
        <w:rPr>
          <w:rFonts w:cs="Arial"/>
          <w:b/>
          <w:sz w:val="28"/>
          <w:szCs w:val="28"/>
        </w:rPr>
        <w:lastRenderedPageBreak/>
        <w:t>ÍNDICE</w:t>
      </w:r>
      <w:r>
        <w:rPr>
          <w:rFonts w:cs="Arial"/>
          <w:b/>
          <w:sz w:val="28"/>
          <w:szCs w:val="28"/>
        </w:rPr>
        <w:t xml:space="preserve"> cuadros</w:t>
      </w:r>
      <w:r>
        <w:rPr>
          <w:rFonts w:cs="Arial"/>
          <w:b/>
          <w:sz w:val="28"/>
          <w:szCs w:val="28"/>
        </w:rPr>
        <w:tab/>
        <w:t>Pág.</w:t>
      </w:r>
    </w:p>
    <w:p w:rsidR="00A25CF2" w:rsidRDefault="00A25CF2" w:rsidP="00DD7A32">
      <w:pPr>
        <w:pStyle w:val="Tabladeilustraciones"/>
        <w:tabs>
          <w:tab w:val="left" w:pos="8505"/>
        </w:tabs>
        <w:ind w:left="1134" w:right="708" w:hanging="1134"/>
        <w:rPr>
          <w:rFonts w:cs="Arial"/>
          <w:color w:val="1F497D" w:themeColor="text2"/>
          <w:sz w:val="18"/>
          <w:szCs w:val="18"/>
        </w:rPr>
      </w:pPr>
    </w:p>
    <w:p w:rsidR="008B4EEF" w:rsidRPr="00136389" w:rsidRDefault="00771A61" w:rsidP="00136389">
      <w:pPr>
        <w:pStyle w:val="Tabladeilustraciones"/>
        <w:tabs>
          <w:tab w:val="left" w:pos="8505"/>
        </w:tabs>
        <w:spacing w:line="240" w:lineRule="auto"/>
        <w:ind w:left="1134" w:right="708" w:hanging="1134"/>
        <w:rPr>
          <w:sz w:val="18"/>
          <w:szCs w:val="18"/>
        </w:rPr>
      </w:pPr>
      <w:r w:rsidRPr="00136389">
        <w:rPr>
          <w:sz w:val="18"/>
          <w:szCs w:val="18"/>
        </w:rPr>
        <w:fldChar w:fldCharType="begin"/>
      </w:r>
      <w:r w:rsidR="00DD7A32" w:rsidRPr="00136389">
        <w:rPr>
          <w:sz w:val="18"/>
          <w:szCs w:val="18"/>
        </w:rPr>
        <w:instrText xml:space="preserve"> TOC \h \z \c "Cuadro 1." </w:instrText>
      </w:r>
      <w:r w:rsidRPr="00136389">
        <w:rPr>
          <w:sz w:val="18"/>
          <w:szCs w:val="18"/>
        </w:rPr>
        <w:fldChar w:fldCharType="separate"/>
      </w:r>
      <w:hyperlink w:anchor="_Toc450119456" w:history="1">
        <w:r w:rsidR="008B4EEF" w:rsidRPr="00136389">
          <w:rPr>
            <w:sz w:val="18"/>
            <w:szCs w:val="18"/>
          </w:rPr>
          <w:t xml:space="preserve">Cuadro 1.1 </w:t>
        </w:r>
        <w:r w:rsidR="00136389">
          <w:rPr>
            <w:sz w:val="18"/>
            <w:szCs w:val="18"/>
          </w:rPr>
          <w:tab/>
        </w:r>
        <w:r w:rsidR="008B4EEF" w:rsidRPr="00136389">
          <w:rPr>
            <w:sz w:val="18"/>
            <w:szCs w:val="18"/>
          </w:rPr>
          <w:t>EVOLUCIÓN DE LOS ESTABLECIMIENTOS Y DEL EMPLEO DE LA ECONOMÍA SOCIAL 2002-2014 REFERENCIA COMPARATIVA: POBLACIÓN OCUPADA CAE</w:t>
        </w:r>
        <w:r w:rsidR="008B4EEF" w:rsidRPr="00136389">
          <w:rPr>
            <w:webHidden/>
            <w:sz w:val="18"/>
            <w:szCs w:val="18"/>
          </w:rPr>
          <w:tab/>
        </w:r>
        <w:r w:rsidRPr="00136389">
          <w:rPr>
            <w:webHidden/>
            <w:sz w:val="18"/>
            <w:szCs w:val="18"/>
          </w:rPr>
          <w:fldChar w:fldCharType="begin"/>
        </w:r>
        <w:r w:rsidR="008B4EEF" w:rsidRPr="00136389">
          <w:rPr>
            <w:webHidden/>
            <w:sz w:val="18"/>
            <w:szCs w:val="18"/>
          </w:rPr>
          <w:instrText xml:space="preserve"> PAGEREF _Toc450119456 \h </w:instrText>
        </w:r>
        <w:r w:rsidRPr="00136389">
          <w:rPr>
            <w:webHidden/>
            <w:sz w:val="18"/>
            <w:szCs w:val="18"/>
          </w:rPr>
        </w:r>
        <w:r w:rsidRPr="00136389">
          <w:rPr>
            <w:webHidden/>
            <w:sz w:val="18"/>
            <w:szCs w:val="18"/>
          </w:rPr>
          <w:fldChar w:fldCharType="separate"/>
        </w:r>
        <w:r w:rsidR="008B4EEF" w:rsidRPr="00136389">
          <w:rPr>
            <w:noProof/>
            <w:webHidden/>
            <w:sz w:val="18"/>
            <w:szCs w:val="18"/>
          </w:rPr>
          <w:t>57</w:t>
        </w:r>
        <w:r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57" w:history="1">
        <w:r w:rsidR="008B4EEF" w:rsidRPr="00136389">
          <w:rPr>
            <w:sz w:val="18"/>
            <w:szCs w:val="18"/>
          </w:rPr>
          <w:t xml:space="preserve">Cuadro 1.2  </w:t>
        </w:r>
        <w:r w:rsidR="00136389">
          <w:rPr>
            <w:sz w:val="18"/>
            <w:szCs w:val="18"/>
          </w:rPr>
          <w:tab/>
        </w:r>
        <w:r w:rsidR="008B4EEF" w:rsidRPr="00136389">
          <w:rPr>
            <w:sz w:val="18"/>
            <w:szCs w:val="18"/>
          </w:rPr>
          <w:t>TASAS DE CRECIMIENTO DE LOS ESTABLECIMIENTOS Y EMPLEOS DE LA ECONOMÍA SOCIAL ENTRE 2000 Y 2014 REFERENCIA COMPARATIVA: POBLACIÓN OCUPADA CAE</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_Toc450119457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57</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58" w:history="1">
        <w:r w:rsidR="008B4EEF" w:rsidRPr="00136389">
          <w:rPr>
            <w:sz w:val="18"/>
            <w:szCs w:val="18"/>
          </w:rPr>
          <w:t xml:space="preserve">Cuadro 1.3  </w:t>
        </w:r>
        <w:r w:rsidR="00136389">
          <w:rPr>
            <w:sz w:val="18"/>
            <w:szCs w:val="18"/>
          </w:rPr>
          <w:tab/>
        </w:r>
        <w:r w:rsidR="008B4EEF" w:rsidRPr="00136389">
          <w:rPr>
            <w:sz w:val="18"/>
            <w:szCs w:val="18"/>
          </w:rPr>
          <w:t>INDICADORES DE LA DIMENSIÓN DE LAS EMPRESAS DE ECONOMÍA SOCIAL. 2012-2014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_Toc450119458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58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59" w:history="1">
        <w:r w:rsidR="008B4EEF" w:rsidRPr="00136389">
          <w:rPr>
            <w:sz w:val="18"/>
            <w:szCs w:val="18"/>
          </w:rPr>
          <w:t xml:space="preserve">Cuadro 1.4  </w:t>
        </w:r>
        <w:r w:rsidR="00136389">
          <w:rPr>
            <w:sz w:val="18"/>
            <w:szCs w:val="18"/>
          </w:rPr>
          <w:tab/>
        </w:r>
        <w:r w:rsidR="008B4EEF" w:rsidRPr="00136389">
          <w:rPr>
            <w:sz w:val="18"/>
            <w:szCs w:val="18"/>
          </w:rPr>
          <w:t>DIMENSION DE LAS EMPRESAS DE LA ECONOMIA SOCIAL (cifras absolutas y % verticales).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_Toc450119459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58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0" w:history="1">
        <w:r w:rsidR="008B4EEF" w:rsidRPr="00136389">
          <w:rPr>
            <w:sz w:val="18"/>
            <w:szCs w:val="18"/>
          </w:rPr>
          <w:t xml:space="preserve">Cuadro 1.5  </w:t>
        </w:r>
        <w:r w:rsidR="00136389">
          <w:rPr>
            <w:sz w:val="18"/>
            <w:szCs w:val="18"/>
          </w:rPr>
          <w:tab/>
        </w:r>
        <w:r w:rsidR="008B4EEF" w:rsidRPr="00136389">
          <w:rPr>
            <w:sz w:val="18"/>
            <w:szCs w:val="18"/>
          </w:rPr>
          <w:t>EVOLUCIÓN DEL NÚMERO DE EMPLEOS POR DIMENSIÓN DE LAS EMPRESAS DE LA ECONOMÍA SOCIAL 2012-2014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58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1" w:history="1">
        <w:r w:rsidR="008B4EEF" w:rsidRPr="00136389">
          <w:rPr>
            <w:sz w:val="18"/>
            <w:szCs w:val="18"/>
          </w:rPr>
          <w:t xml:space="preserve">Cuadro 1.6   </w:t>
        </w:r>
        <w:r w:rsidR="00136389">
          <w:rPr>
            <w:sz w:val="18"/>
            <w:szCs w:val="18"/>
          </w:rPr>
          <w:tab/>
        </w:r>
        <w:r w:rsidR="008B4EEF" w:rsidRPr="00136389">
          <w:rPr>
            <w:sz w:val="18"/>
            <w:szCs w:val="18"/>
          </w:rPr>
          <w:t>EVOLUCIÓN DEL NÚMERO DE ESTABLECIMIENTOS COOPERATIVOS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59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2" w:history="1">
        <w:r w:rsidR="008B4EEF" w:rsidRPr="00136389">
          <w:rPr>
            <w:sz w:val="18"/>
            <w:szCs w:val="18"/>
          </w:rPr>
          <w:t>Cuadro 1.7</w:t>
        </w:r>
        <w:r w:rsidR="00136389">
          <w:rPr>
            <w:sz w:val="18"/>
            <w:szCs w:val="18"/>
          </w:rPr>
          <w:tab/>
        </w:r>
        <w:r w:rsidR="008B4EEF" w:rsidRPr="00136389">
          <w:rPr>
            <w:sz w:val="18"/>
            <w:szCs w:val="18"/>
          </w:rPr>
          <w:t>DIMENSION EN TÉRMINOS DE EMPLEO DE LOS ESTABLECIMIENTOS/EMPRESAS DE LA ECONOMIA SOCIAL Y LA ECONOMÍA DE LA CAE.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59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3" w:history="1">
        <w:r w:rsidR="008B4EEF" w:rsidRPr="00136389">
          <w:rPr>
            <w:sz w:val="18"/>
            <w:szCs w:val="18"/>
          </w:rPr>
          <w:t xml:space="preserve">Cuadro 1.8  </w:t>
        </w:r>
        <w:r w:rsidR="00136389">
          <w:rPr>
            <w:sz w:val="18"/>
            <w:szCs w:val="18"/>
          </w:rPr>
          <w:tab/>
        </w:r>
        <w:r w:rsidR="008B4EEF" w:rsidRPr="00136389">
          <w:rPr>
            <w:sz w:val="18"/>
            <w:szCs w:val="18"/>
          </w:rPr>
          <w:t>DISTRIBUCIÓN SECTORIAL DEL EMPLEO DE LA ECONOMÍA SOCIAL EN 2012 y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59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4" w:history="1">
        <w:r w:rsidR="008B4EEF" w:rsidRPr="00136389">
          <w:rPr>
            <w:sz w:val="18"/>
            <w:szCs w:val="18"/>
          </w:rPr>
          <w:t xml:space="preserve">Cuadro 1.9 </w:t>
        </w:r>
        <w:r w:rsidR="00136389">
          <w:rPr>
            <w:sz w:val="18"/>
            <w:szCs w:val="18"/>
          </w:rPr>
          <w:tab/>
        </w:r>
        <w:r w:rsidR="008B4EEF" w:rsidRPr="00136389">
          <w:rPr>
            <w:sz w:val="18"/>
            <w:szCs w:val="18"/>
          </w:rPr>
          <w:t>EVOLUCIÓN DE LA ESTRUCTURA DEL EMPLEO DE LA ECONOMÍA SOCIAL POR RAMAS DE ACTIVIDAD 2012 –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5" w:history="1">
        <w:r w:rsidR="008B4EEF" w:rsidRPr="00136389">
          <w:rPr>
            <w:sz w:val="18"/>
            <w:szCs w:val="18"/>
          </w:rPr>
          <w:t xml:space="preserve">Cuadro 1.10 </w:t>
        </w:r>
        <w:r w:rsidR="00136389">
          <w:rPr>
            <w:sz w:val="18"/>
            <w:szCs w:val="18"/>
          </w:rPr>
          <w:tab/>
        </w:r>
        <w:r w:rsidR="008B4EEF" w:rsidRPr="00136389">
          <w:rPr>
            <w:sz w:val="18"/>
            <w:szCs w:val="18"/>
          </w:rPr>
          <w:t>DISTRIBUCIÓN POR SECTOR DE ACTIVIDAD SEGÚN GÉNERO 2014 EN LA ECONOMÍA SOCIAL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6" w:history="1">
        <w:r w:rsidR="008B4EEF" w:rsidRPr="00136389">
          <w:rPr>
            <w:sz w:val="18"/>
            <w:szCs w:val="18"/>
          </w:rPr>
          <w:t xml:space="preserve">Cuadro 1.11 </w:t>
        </w:r>
        <w:r w:rsidR="00136389">
          <w:rPr>
            <w:sz w:val="18"/>
            <w:szCs w:val="18"/>
          </w:rPr>
          <w:tab/>
        </w:r>
        <w:r w:rsidR="008B4EEF" w:rsidRPr="00136389">
          <w:rPr>
            <w:sz w:val="18"/>
            <w:szCs w:val="18"/>
          </w:rPr>
          <w:t>DISTRIBUCIÓN POR SECTOR DE ACTIVIDAD SEGÚN GÉNERO 2014 EN LA ECONOMÍA DE LA CAE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7" w:history="1">
        <w:r w:rsidR="008B4EEF" w:rsidRPr="00136389">
          <w:rPr>
            <w:sz w:val="18"/>
            <w:szCs w:val="18"/>
          </w:rPr>
          <w:t xml:space="preserve">Cuadro 1.12  </w:t>
        </w:r>
        <w:r w:rsidR="00136389">
          <w:rPr>
            <w:sz w:val="18"/>
            <w:szCs w:val="18"/>
          </w:rPr>
          <w:tab/>
        </w:r>
        <w:r w:rsidR="008B4EEF" w:rsidRPr="00136389">
          <w:rPr>
            <w:sz w:val="18"/>
            <w:szCs w:val="18"/>
          </w:rPr>
          <w:t>DISTRIBUCIÓN POR FORMA JURÍDICA SEGÚN GÉNERO 2014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8" w:history="1">
        <w:r w:rsidR="008B4EEF" w:rsidRPr="00136389">
          <w:rPr>
            <w:sz w:val="18"/>
            <w:szCs w:val="18"/>
          </w:rPr>
          <w:t>Cuadro 1.13 DISTRIBUCIÓN POR SECTOR DE ACTIVIDAD Y SEGÚN GÉNERO 2014 EN LA ECONOMÍA SOCIAL EN CONSEJOS RECTORES Y DE ADMINISTRACIÓN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69" w:history="1">
        <w:r w:rsidR="008B4EEF" w:rsidRPr="00136389">
          <w:rPr>
            <w:sz w:val="18"/>
            <w:szCs w:val="18"/>
          </w:rPr>
          <w:t xml:space="preserve">Cuadro 1.14  </w:t>
        </w:r>
        <w:r w:rsidR="00136389">
          <w:rPr>
            <w:sz w:val="18"/>
            <w:szCs w:val="18"/>
          </w:rPr>
          <w:tab/>
        </w:r>
        <w:r w:rsidR="008B4EEF" w:rsidRPr="00136389">
          <w:rPr>
            <w:sz w:val="18"/>
            <w:szCs w:val="18"/>
          </w:rPr>
          <w:t>DISTRIBUCIÓN SECTORIAL DEL EMPLEO POR EDADES (% horizontales)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_Toc450119469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0" w:history="1">
        <w:r w:rsidR="008B4EEF" w:rsidRPr="00136389">
          <w:rPr>
            <w:sz w:val="18"/>
            <w:szCs w:val="18"/>
          </w:rPr>
          <w:t>Cuadro 1.15</w:t>
        </w:r>
        <w:r w:rsidR="00136389">
          <w:rPr>
            <w:sz w:val="18"/>
            <w:szCs w:val="18"/>
          </w:rPr>
          <w:tab/>
        </w:r>
        <w:r w:rsidR="008B4EEF" w:rsidRPr="00136389">
          <w:rPr>
            <w:sz w:val="18"/>
            <w:szCs w:val="18"/>
          </w:rPr>
          <w:t>DISTRIBUCIÓN DEL EMPLEO POR EDADES SEGÚN FORMA JURÍDICA (% horizontales).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1" w:history="1">
        <w:r w:rsidR="008B4EEF" w:rsidRPr="00136389">
          <w:rPr>
            <w:sz w:val="18"/>
            <w:szCs w:val="18"/>
          </w:rPr>
          <w:t xml:space="preserve">Cuadro 1.16 </w:t>
        </w:r>
        <w:r w:rsidR="00136389">
          <w:rPr>
            <w:sz w:val="18"/>
            <w:szCs w:val="18"/>
          </w:rPr>
          <w:tab/>
        </w:r>
        <w:r w:rsidR="008B4EEF" w:rsidRPr="00136389">
          <w:rPr>
            <w:sz w:val="18"/>
            <w:szCs w:val="18"/>
          </w:rPr>
          <w:t>DISTRIBUCIÓN DEL EMPLEO SEGÚN RELACIÓN CONTRACTUAL POR FORMA JURÍDICA DEL ESTABLECIMIENTO. 2014 (% horizontales)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2" w:history="1">
        <w:r w:rsidR="008B4EEF" w:rsidRPr="00136389">
          <w:rPr>
            <w:sz w:val="18"/>
            <w:szCs w:val="18"/>
          </w:rPr>
          <w:t xml:space="preserve">Cuadro 1.17 </w:t>
        </w:r>
        <w:r w:rsidR="00136389">
          <w:rPr>
            <w:sz w:val="18"/>
            <w:szCs w:val="18"/>
          </w:rPr>
          <w:tab/>
        </w:r>
        <w:r w:rsidR="008B4EEF" w:rsidRPr="00136389">
          <w:rPr>
            <w:sz w:val="18"/>
            <w:szCs w:val="18"/>
          </w:rPr>
          <w:t>DISTRIBUCIÓN DEL EMPLEO POR FORMA JURÍDICA Y TIPO DE RELACIÓN CONTRACTUAL EN LA ECONOMÍA SOCIAL DE LA CAE 2008 – 2014 (cifras absolutos)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63</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3" w:history="1">
        <w:r w:rsidR="008B4EEF" w:rsidRPr="00136389">
          <w:rPr>
            <w:sz w:val="18"/>
            <w:szCs w:val="18"/>
          </w:rPr>
          <w:t xml:space="preserve">Cuadro 1.18 </w:t>
        </w:r>
        <w:r w:rsidR="00136389">
          <w:rPr>
            <w:sz w:val="18"/>
            <w:szCs w:val="18"/>
          </w:rPr>
          <w:tab/>
        </w:r>
        <w:r w:rsidR="008B4EEF" w:rsidRPr="00136389">
          <w:rPr>
            <w:sz w:val="18"/>
            <w:szCs w:val="18"/>
          </w:rPr>
          <w:t>DISTRIBUCÓN DEL EMPLEO POR FORMA JURÍDICA Y TIPO DE RELACIÓN CONTRACTUAL EN LA ECONOMÍA SOCIAL DE LA CAE</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63</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4" w:history="1">
        <w:r w:rsidR="008B4EEF" w:rsidRPr="00136389">
          <w:rPr>
            <w:sz w:val="18"/>
            <w:szCs w:val="18"/>
          </w:rPr>
          <w:t xml:space="preserve">Cuadro 1.19 </w:t>
        </w:r>
        <w:r w:rsidR="00136389">
          <w:rPr>
            <w:sz w:val="18"/>
            <w:szCs w:val="18"/>
          </w:rPr>
          <w:tab/>
        </w:r>
        <w:r w:rsidR="008B4EEF" w:rsidRPr="00136389">
          <w:rPr>
            <w:sz w:val="18"/>
            <w:szCs w:val="18"/>
          </w:rPr>
          <w:t>DISTRIBUCIÓN DEL EMPLEO SEGÚN RELACIÓN CONTRACTUAL POR SECTOR DE ACTIVIDAD DEL ESTABLECIMIENTO. 2014 (% horizontales)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5" w:history="1">
        <w:r w:rsidR="008B4EEF" w:rsidRPr="00136389">
          <w:rPr>
            <w:sz w:val="18"/>
            <w:szCs w:val="18"/>
          </w:rPr>
          <w:t xml:space="preserve">Cuadro 1.20 </w:t>
        </w:r>
        <w:r w:rsidR="00136389">
          <w:rPr>
            <w:sz w:val="18"/>
            <w:szCs w:val="18"/>
          </w:rPr>
          <w:tab/>
        </w:r>
        <w:r w:rsidR="008B4EEF" w:rsidRPr="00136389">
          <w:rPr>
            <w:sz w:val="18"/>
            <w:szCs w:val="18"/>
          </w:rPr>
          <w:t>INCREMENTO SECTORIAL DEL VAB EN EL PERIODO 2012-2014 (Precios corrientes y %)</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6" w:history="1">
        <w:r w:rsidR="008B4EEF" w:rsidRPr="00136389">
          <w:rPr>
            <w:sz w:val="18"/>
            <w:szCs w:val="18"/>
          </w:rPr>
          <w:t xml:space="preserve">Cuadro 1.21 </w:t>
        </w:r>
        <w:r w:rsidR="00136389">
          <w:rPr>
            <w:sz w:val="18"/>
            <w:szCs w:val="18"/>
          </w:rPr>
          <w:tab/>
        </w:r>
        <w:r w:rsidR="008B4EEF" w:rsidRPr="00136389">
          <w:rPr>
            <w:sz w:val="18"/>
            <w:szCs w:val="18"/>
          </w:rPr>
          <w:t>DISTRIBUCIÓN SECTORIAL DEL VALOR AÑADIDO BRUTO (VAB) GENERADO POR LA ECONOMÍA SOCIAL. REFERENCIA COMPARATIVA 2012 y 2014. (c.a. miles de Euros, % ver.)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7" w:history="1">
        <w:r w:rsidR="008B4EEF" w:rsidRPr="00136389">
          <w:rPr>
            <w:sz w:val="18"/>
            <w:szCs w:val="18"/>
          </w:rPr>
          <w:t xml:space="preserve">Cuadro 1.22  </w:t>
        </w:r>
        <w:r w:rsidR="00136389">
          <w:rPr>
            <w:sz w:val="18"/>
            <w:szCs w:val="18"/>
          </w:rPr>
          <w:tab/>
        </w:r>
        <w:r w:rsidR="008B4EEF" w:rsidRPr="00136389">
          <w:rPr>
            <w:sz w:val="18"/>
            <w:szCs w:val="18"/>
          </w:rPr>
          <w:t>PARTICIPACIÓN DE LA ECONOMÍA SOCIAL EN EL PRODUCTO INTERIOR BRUTO SECTORIAL. REFERENCIA COMPARATIVA 2012-2014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8" w:history="1">
        <w:r w:rsidR="008B4EEF" w:rsidRPr="00136389">
          <w:rPr>
            <w:sz w:val="18"/>
            <w:szCs w:val="18"/>
          </w:rPr>
          <w:t xml:space="preserve">Cuadro 1.23 </w:t>
        </w:r>
        <w:r w:rsidR="00136389">
          <w:rPr>
            <w:sz w:val="18"/>
            <w:szCs w:val="18"/>
          </w:rPr>
          <w:tab/>
        </w:r>
        <w:r w:rsidR="008B4EEF" w:rsidRPr="00136389">
          <w:rPr>
            <w:sz w:val="18"/>
            <w:szCs w:val="18"/>
          </w:rPr>
          <w:t>ECONOMÍA DE LA CAE: PRODUCTO INTERIOR BRUTO Y SUS COMPONENTES POR AÑO EN LA CAE. OFERTA Y DEMANDA. PRECIOS CORRIENTES. TASAS DE VARIACIÓN INTERANUALES (%) 2012-2014(a)</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79" w:history="1">
        <w:r w:rsidR="008B4EEF" w:rsidRPr="00136389">
          <w:rPr>
            <w:sz w:val="18"/>
            <w:szCs w:val="18"/>
          </w:rPr>
          <w:t xml:space="preserve">Cuadro 1.24  </w:t>
        </w:r>
        <w:r w:rsidR="00136389">
          <w:rPr>
            <w:sz w:val="18"/>
            <w:szCs w:val="18"/>
          </w:rPr>
          <w:tab/>
        </w:r>
        <w:r w:rsidR="008B4EEF" w:rsidRPr="00136389">
          <w:rPr>
            <w:sz w:val="18"/>
            <w:szCs w:val="18"/>
          </w:rPr>
          <w:t>EVOLUCIÓN DE LA PRODUCTIVIDAD APARENTE SECTORIAL DE LA ECONOMÍA SOCIAL EN EL PERIODO 2012-2014. (VAB Euros/Empleado.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_Toc450119479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65</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0" w:history="1">
        <w:r w:rsidR="008B4EEF" w:rsidRPr="00136389">
          <w:rPr>
            <w:sz w:val="18"/>
            <w:szCs w:val="18"/>
          </w:rPr>
          <w:t xml:space="preserve">Cuadro 1.25 </w:t>
        </w:r>
        <w:r w:rsidR="00136389">
          <w:rPr>
            <w:sz w:val="18"/>
            <w:szCs w:val="18"/>
          </w:rPr>
          <w:tab/>
        </w:r>
        <w:r w:rsidR="008B4EEF" w:rsidRPr="00136389">
          <w:rPr>
            <w:sz w:val="18"/>
            <w:szCs w:val="18"/>
          </w:rPr>
          <w:t>DISTRIBUCIÓN DEL BENEFICIO Y CASH FLOW POR SECTOR DE ACTIVIDAD 2014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65</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1" w:history="1">
        <w:r w:rsidR="008B4EEF" w:rsidRPr="00136389">
          <w:rPr>
            <w:sz w:val="18"/>
            <w:szCs w:val="18"/>
          </w:rPr>
          <w:t xml:space="preserve">Cuadro 1.26  </w:t>
        </w:r>
        <w:r w:rsidR="00136389">
          <w:rPr>
            <w:sz w:val="18"/>
            <w:szCs w:val="18"/>
          </w:rPr>
          <w:tab/>
        </w:r>
        <w:r w:rsidR="008B4EEF" w:rsidRPr="00136389">
          <w:rPr>
            <w:sz w:val="18"/>
            <w:szCs w:val="18"/>
          </w:rPr>
          <w:t>CUENTAS DE INGRESOS Y GASTOS DE LA ECONOMÍA SOCIAL 2012-2014 (cifras absolutas, % verticales y evolución)</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2" w:history="1">
        <w:r w:rsidR="008B4EEF" w:rsidRPr="00136389">
          <w:rPr>
            <w:sz w:val="18"/>
            <w:szCs w:val="18"/>
          </w:rPr>
          <w:t xml:space="preserve">Cuadro 1.27 </w:t>
        </w:r>
        <w:r w:rsidR="00136389">
          <w:rPr>
            <w:sz w:val="18"/>
            <w:szCs w:val="18"/>
          </w:rPr>
          <w:tab/>
        </w:r>
        <w:r w:rsidR="008B4EEF" w:rsidRPr="00136389">
          <w:rPr>
            <w:sz w:val="18"/>
            <w:szCs w:val="18"/>
          </w:rPr>
          <w:t>EVOLUCIÓN INTERESES A LAS APORTACIONES DE LOS SOCIOS EN LAS COOPERATIVAS Y PESO RELATIVO SOBRE LOS GASTOS FINANCIEROS (CUENTA 66) (cifras absolutas en Euros y % horizontales).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3" w:history="1">
        <w:r w:rsidR="008B4EEF" w:rsidRPr="00136389">
          <w:rPr>
            <w:sz w:val="18"/>
            <w:szCs w:val="18"/>
          </w:rPr>
          <w:t xml:space="preserve">Cuadro 1.28  </w:t>
        </w:r>
        <w:r w:rsidR="00136389">
          <w:rPr>
            <w:sz w:val="18"/>
            <w:szCs w:val="18"/>
          </w:rPr>
          <w:tab/>
        </w:r>
        <w:r w:rsidR="008B4EEF" w:rsidRPr="00136389">
          <w:rPr>
            <w:sz w:val="18"/>
            <w:szCs w:val="18"/>
          </w:rPr>
          <w:t>EVOLUCIÓN 2012-2014 DE LOS ESTABLECIMIENTOS DE LA ECONOMÍA SOCIAL SEGÚN FORMA JURÍDICA. 2012-2014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67</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4" w:history="1">
        <w:r w:rsidR="008B4EEF" w:rsidRPr="00136389">
          <w:rPr>
            <w:sz w:val="18"/>
            <w:szCs w:val="18"/>
          </w:rPr>
          <w:t xml:space="preserve">Cuadro 1.29 </w:t>
        </w:r>
        <w:r w:rsidR="00136389">
          <w:rPr>
            <w:sz w:val="18"/>
            <w:szCs w:val="18"/>
          </w:rPr>
          <w:tab/>
        </w:r>
        <w:r w:rsidR="008B4EEF" w:rsidRPr="00136389">
          <w:rPr>
            <w:sz w:val="18"/>
            <w:szCs w:val="18"/>
          </w:rPr>
          <w:t>EVOLUCIÓN 2012-2014 DE LOS EMPLEOS DE LA ECONOMÍA SOCIAL SEGÚN FORMA JURÍDICA. 2012-2014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67</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5" w:history="1">
        <w:r w:rsidR="008B4EEF" w:rsidRPr="00136389">
          <w:rPr>
            <w:sz w:val="18"/>
            <w:szCs w:val="18"/>
          </w:rPr>
          <w:t xml:space="preserve">Cuadro 1.30 </w:t>
        </w:r>
        <w:r w:rsidR="00136389">
          <w:rPr>
            <w:sz w:val="18"/>
            <w:szCs w:val="18"/>
          </w:rPr>
          <w:tab/>
        </w:r>
        <w:r w:rsidR="008B4EEF" w:rsidRPr="00136389">
          <w:rPr>
            <w:sz w:val="18"/>
            <w:szCs w:val="18"/>
          </w:rPr>
          <w:t>TAMAÑO MEDIO DE LOS ESTABLECIMIENTOS SEGÚN SU FORMA JURÍDICA. (EMPLEADOS/ ESTABLECIMIENTO) 2012-2014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6" w:history="1">
        <w:r w:rsidR="008B4EEF" w:rsidRPr="00136389">
          <w:rPr>
            <w:sz w:val="18"/>
            <w:szCs w:val="18"/>
          </w:rPr>
          <w:t xml:space="preserve">Cuadro 1.31 </w:t>
        </w:r>
        <w:r w:rsidR="00136389">
          <w:rPr>
            <w:sz w:val="18"/>
            <w:szCs w:val="18"/>
          </w:rPr>
          <w:tab/>
        </w:r>
        <w:r w:rsidR="008B4EEF" w:rsidRPr="00136389">
          <w:rPr>
            <w:sz w:val="18"/>
            <w:szCs w:val="18"/>
          </w:rPr>
          <w:t>ESTRUCTURA SECTORIAL DEL EMPLEO DE COOPERATIVAS. REFERENCIA 2012 y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7" w:history="1">
        <w:r w:rsidR="008B4EEF" w:rsidRPr="00136389">
          <w:rPr>
            <w:sz w:val="18"/>
            <w:szCs w:val="18"/>
          </w:rPr>
          <w:t xml:space="preserve">Cuadro 1.32 </w:t>
        </w:r>
        <w:r w:rsidR="00136389">
          <w:rPr>
            <w:sz w:val="18"/>
            <w:szCs w:val="18"/>
          </w:rPr>
          <w:tab/>
        </w:r>
        <w:r w:rsidR="008B4EEF" w:rsidRPr="00136389">
          <w:rPr>
            <w:sz w:val="18"/>
            <w:szCs w:val="18"/>
          </w:rPr>
          <w:t>ESTRUCTURA SECTORIAL DEL EMPLEO DE LAS SOCIEDADES LABORALES. REFERENCIA 2012 y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8" w:history="1">
        <w:r w:rsidR="008B4EEF" w:rsidRPr="00136389">
          <w:rPr>
            <w:sz w:val="18"/>
            <w:szCs w:val="18"/>
          </w:rPr>
          <w:t xml:space="preserve">Cuadro 1.33 </w:t>
        </w:r>
        <w:r w:rsidR="00136389">
          <w:rPr>
            <w:sz w:val="18"/>
            <w:szCs w:val="18"/>
          </w:rPr>
          <w:tab/>
        </w:r>
        <w:r w:rsidR="008B4EEF" w:rsidRPr="00136389">
          <w:rPr>
            <w:sz w:val="18"/>
            <w:szCs w:val="18"/>
          </w:rPr>
          <w:t>DISTRIBUCIÓN POR FORMA JURÍDICA DEL VALOR AÑADIDO BRUTO (VAB) GENERADO POR LA ECONOMÍA SOCIAL. REFERENCIA COMPARATIVA 2012 y 2014. (cifras absolutas miles de Euros., % verticales)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89" w:history="1">
        <w:r w:rsidR="008B4EEF" w:rsidRPr="00136389">
          <w:rPr>
            <w:sz w:val="18"/>
            <w:szCs w:val="18"/>
          </w:rPr>
          <w:t xml:space="preserve">Cuadro 1.34  </w:t>
        </w:r>
        <w:r w:rsidR="00136389">
          <w:rPr>
            <w:sz w:val="18"/>
            <w:szCs w:val="18"/>
          </w:rPr>
          <w:tab/>
        </w:r>
        <w:r w:rsidR="008B4EEF" w:rsidRPr="00136389">
          <w:rPr>
            <w:sz w:val="18"/>
            <w:szCs w:val="18"/>
          </w:rPr>
          <w:t>DISTRIBUCIÓN DEL VAB POR FORMA JURÍDICA Y SECTOR DE ACTIVIDAD.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_Toc450119489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0" w:history="1">
        <w:r w:rsidR="008B4EEF" w:rsidRPr="00136389">
          <w:rPr>
            <w:sz w:val="18"/>
            <w:szCs w:val="18"/>
          </w:rPr>
          <w:t>Cuadro 1.35</w:t>
        </w:r>
        <w:r w:rsidR="00136389">
          <w:rPr>
            <w:sz w:val="18"/>
            <w:szCs w:val="18"/>
          </w:rPr>
          <w:tab/>
        </w:r>
        <w:r w:rsidR="008B4EEF" w:rsidRPr="00136389">
          <w:rPr>
            <w:sz w:val="18"/>
            <w:szCs w:val="18"/>
          </w:rPr>
          <w:t>PRODUCTIVIDAD SECTORIAL APARENTE EN COOPERATIVAS, S.A.L.es Y S.L.L.es. REFERENCIA COMPARATIVA 2012 y 2014 (VAB Euros/Empleado).</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69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1" w:history="1">
        <w:r w:rsidR="008B4EEF" w:rsidRPr="00136389">
          <w:rPr>
            <w:sz w:val="18"/>
            <w:szCs w:val="18"/>
          </w:rPr>
          <w:t xml:space="preserve">Cuadro 1.36 </w:t>
        </w:r>
        <w:r w:rsidR="00136389">
          <w:rPr>
            <w:sz w:val="18"/>
            <w:szCs w:val="18"/>
          </w:rPr>
          <w:tab/>
        </w:r>
        <w:r w:rsidR="008B4EEF" w:rsidRPr="00136389">
          <w:rPr>
            <w:sz w:val="18"/>
            <w:szCs w:val="18"/>
          </w:rPr>
          <w:t>DISTRIBUCIÓN TERRITORIAL DE LOS ESTABLECIMIENTOS y EMPLEOS DE LA ECONOMÍA SOCIAL. (cifras absolutas y % verticales)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70</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2" w:history="1">
        <w:r w:rsidR="008B4EEF" w:rsidRPr="00136389">
          <w:rPr>
            <w:sz w:val="18"/>
            <w:szCs w:val="18"/>
          </w:rPr>
          <w:t xml:space="preserve">Cuadro 1.37 </w:t>
        </w:r>
        <w:r w:rsidR="00136389">
          <w:rPr>
            <w:sz w:val="18"/>
            <w:szCs w:val="18"/>
          </w:rPr>
          <w:tab/>
        </w:r>
        <w:r w:rsidR="008B4EEF" w:rsidRPr="00136389">
          <w:rPr>
            <w:sz w:val="18"/>
            <w:szCs w:val="18"/>
          </w:rPr>
          <w:t>DISTRIBUCIÓN TERRITORIAL DE LOS EMPLEOS DE LA ECONOMÍA SOCIAL SEGÚN FORMA JURÍDICA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3" w:history="1">
        <w:r w:rsidR="008B4EEF" w:rsidRPr="00136389">
          <w:rPr>
            <w:sz w:val="18"/>
            <w:szCs w:val="18"/>
          </w:rPr>
          <w:t xml:space="preserve">Cuadro 1.38 </w:t>
        </w:r>
        <w:r w:rsidR="00136389">
          <w:rPr>
            <w:sz w:val="18"/>
            <w:szCs w:val="18"/>
          </w:rPr>
          <w:tab/>
        </w:r>
        <w:r w:rsidR="008B4EEF" w:rsidRPr="00136389">
          <w:rPr>
            <w:sz w:val="18"/>
            <w:szCs w:val="18"/>
          </w:rPr>
          <w:t>ESTRUCTURA TERRITORIAL DE LOS EMPLEOS DE LA ECONOMÍA SOCIAL SEGÚN FORMA JURÍDICA 2014. (% horizontales)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4" w:history="1">
        <w:r w:rsidR="008B4EEF" w:rsidRPr="00136389">
          <w:rPr>
            <w:sz w:val="18"/>
            <w:szCs w:val="18"/>
          </w:rPr>
          <w:t xml:space="preserve">Cuadro 1.39 </w:t>
        </w:r>
        <w:r w:rsidR="00136389">
          <w:rPr>
            <w:sz w:val="18"/>
            <w:szCs w:val="18"/>
          </w:rPr>
          <w:tab/>
        </w:r>
        <w:r w:rsidR="008B4EEF" w:rsidRPr="00136389">
          <w:rPr>
            <w:sz w:val="18"/>
            <w:szCs w:val="18"/>
          </w:rPr>
          <w:t>DISTRIBUCIÓN SECTORIAL DE LOS EMPLEOS DE LA ECONOMÍA SOCIAL POR TERRITORIO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5" w:history="1">
        <w:r w:rsidR="008B4EEF" w:rsidRPr="00136389">
          <w:rPr>
            <w:sz w:val="18"/>
            <w:szCs w:val="18"/>
          </w:rPr>
          <w:t xml:space="preserve">Cuadro 1.40 </w:t>
        </w:r>
        <w:r w:rsidR="00136389">
          <w:rPr>
            <w:sz w:val="18"/>
            <w:szCs w:val="18"/>
          </w:rPr>
          <w:tab/>
        </w:r>
        <w:r w:rsidR="008B4EEF" w:rsidRPr="00136389">
          <w:rPr>
            <w:sz w:val="18"/>
            <w:szCs w:val="18"/>
          </w:rPr>
          <w:t>DISTRIBUCIÓN TERRITORIAL DEL EMPLEO INDUSTRIAL  DE LA ECONOMÍA SOCIAL Y EVOLUCIÓN 2012-2014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6" w:history="1">
        <w:r w:rsidR="008B4EEF" w:rsidRPr="00136389">
          <w:rPr>
            <w:sz w:val="18"/>
            <w:szCs w:val="18"/>
          </w:rPr>
          <w:t xml:space="preserve">Cuadro 1.41 </w:t>
        </w:r>
        <w:r w:rsidR="00136389">
          <w:rPr>
            <w:sz w:val="18"/>
            <w:szCs w:val="18"/>
          </w:rPr>
          <w:tab/>
        </w:r>
        <w:r w:rsidR="008B4EEF" w:rsidRPr="00136389">
          <w:rPr>
            <w:sz w:val="18"/>
            <w:szCs w:val="18"/>
          </w:rPr>
          <w:t>DISTRIBUCIÓN TERRITORIAL DEL EMPLEO INDUSTRIAL POR FORMA JURÍDICA Y EVOLUCIÓN 2012-2014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7" w:history="1">
        <w:r w:rsidR="008B4EEF" w:rsidRPr="00136389">
          <w:rPr>
            <w:sz w:val="18"/>
            <w:szCs w:val="18"/>
          </w:rPr>
          <w:t xml:space="preserve">Cuadro 1.42 </w:t>
        </w:r>
        <w:r w:rsidR="00136389">
          <w:rPr>
            <w:sz w:val="18"/>
            <w:szCs w:val="18"/>
          </w:rPr>
          <w:tab/>
        </w:r>
        <w:r w:rsidR="008B4EEF" w:rsidRPr="00136389">
          <w:rPr>
            <w:sz w:val="18"/>
            <w:szCs w:val="18"/>
          </w:rPr>
          <w:t>DISTRIBUCIÓN SECTORIAL DE LOS EMPLEOS DE LA ECONOMÍA SOCIAL POR TERRITORIO HISTÓRICO. (% importancia relativa respecto al Total de la Economía Vasca).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73</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8" w:history="1">
        <w:r w:rsidR="008B4EEF" w:rsidRPr="00136389">
          <w:rPr>
            <w:sz w:val="18"/>
            <w:szCs w:val="18"/>
          </w:rPr>
          <w:t>Cuadro 1.43</w:t>
        </w:r>
        <w:r w:rsidR="00136389">
          <w:rPr>
            <w:sz w:val="18"/>
            <w:szCs w:val="18"/>
          </w:rPr>
          <w:tab/>
        </w:r>
        <w:r w:rsidR="008B4EEF" w:rsidRPr="00136389">
          <w:rPr>
            <w:sz w:val="18"/>
            <w:szCs w:val="18"/>
          </w:rPr>
          <w:t>DISTRIBUCIÓN TERRITORIAL DEL VAB DE LA ECONOMÍA SOCIAL SEGÚN FORMA JURÍDICA. 2014 (cifras absolutas en Euros.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499" w:history="1">
        <w:r w:rsidR="008B4EEF" w:rsidRPr="00136389">
          <w:rPr>
            <w:sz w:val="18"/>
            <w:szCs w:val="18"/>
          </w:rPr>
          <w:t>Cuadro 1.44</w:t>
        </w:r>
        <w:r w:rsidR="00136389">
          <w:rPr>
            <w:sz w:val="18"/>
            <w:szCs w:val="18"/>
          </w:rPr>
          <w:tab/>
        </w:r>
        <w:r w:rsidR="008B4EEF" w:rsidRPr="00136389">
          <w:rPr>
            <w:sz w:val="18"/>
            <w:szCs w:val="18"/>
          </w:rPr>
          <w:t>DISTRIBUCIÓN TERRITORIAL DEL VAB SEGÚN FORMA JURÍDICA. 2014 (% horizontales)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_Toc450119499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0" w:history="1">
        <w:r w:rsidR="008B4EEF" w:rsidRPr="00136389">
          <w:rPr>
            <w:sz w:val="18"/>
            <w:szCs w:val="18"/>
          </w:rPr>
          <w:t>Cuadro 1.45</w:t>
        </w:r>
        <w:r w:rsidR="00136389">
          <w:rPr>
            <w:sz w:val="18"/>
            <w:szCs w:val="18"/>
          </w:rPr>
          <w:tab/>
        </w:r>
        <w:r w:rsidR="008B4EEF" w:rsidRPr="00136389">
          <w:rPr>
            <w:sz w:val="18"/>
            <w:szCs w:val="18"/>
          </w:rPr>
          <w:t>DISTRIBUCIÓN SECTORIAL DEL VAB DE LA ECONOMÍA SOCIAL POR TERRITORIO HISTÓRICO. 2014 (cifras absolutas en Euros,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1" w:history="1">
        <w:r w:rsidR="008B4EEF" w:rsidRPr="00136389">
          <w:rPr>
            <w:sz w:val="18"/>
            <w:szCs w:val="18"/>
          </w:rPr>
          <w:t xml:space="preserve">Cuadro 1.46  </w:t>
        </w:r>
        <w:r w:rsidR="00136389">
          <w:rPr>
            <w:sz w:val="18"/>
            <w:szCs w:val="18"/>
          </w:rPr>
          <w:tab/>
        </w:r>
        <w:r w:rsidR="008B4EEF" w:rsidRPr="00136389">
          <w:rPr>
            <w:sz w:val="18"/>
            <w:szCs w:val="18"/>
          </w:rPr>
          <w:t>PRODUCTIVIDAD APARENTE POR TERRITORIO HISTÓRICO. 2010-2014 (Miles de Euros/Empleado)</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2" w:history="1">
        <w:r w:rsidR="008B4EEF" w:rsidRPr="00136389">
          <w:rPr>
            <w:sz w:val="18"/>
            <w:szCs w:val="18"/>
          </w:rPr>
          <w:t>Cuadro 1.47</w:t>
        </w:r>
        <w:r w:rsidR="00136389">
          <w:rPr>
            <w:sz w:val="18"/>
            <w:szCs w:val="18"/>
          </w:rPr>
          <w:tab/>
        </w:r>
        <w:r w:rsidR="008B4EEF" w:rsidRPr="00136389">
          <w:rPr>
            <w:sz w:val="18"/>
            <w:szCs w:val="18"/>
          </w:rPr>
          <w:t>PRODUCTIVIDAD APARENTE TERRITORIAL SEGÚN FORMA JURÍDICA. 2014 (Euros/Empleado)</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3" w:history="1">
        <w:r w:rsidR="008B4EEF" w:rsidRPr="00136389">
          <w:rPr>
            <w:sz w:val="18"/>
            <w:szCs w:val="18"/>
          </w:rPr>
          <w:t xml:space="preserve">Cuadro 1.48  </w:t>
        </w:r>
        <w:r w:rsidR="00136389">
          <w:rPr>
            <w:sz w:val="18"/>
            <w:szCs w:val="18"/>
          </w:rPr>
          <w:tab/>
        </w:r>
        <w:r w:rsidR="008B4EEF" w:rsidRPr="00136389">
          <w:rPr>
            <w:sz w:val="18"/>
            <w:szCs w:val="18"/>
          </w:rPr>
          <w:t>VOLUMEN DE EXPORTACIONES POR ZONAS Y EVOLUCIÓN. 2008, 2010, 2012 y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4" w:history="1">
        <w:r w:rsidR="008B4EEF" w:rsidRPr="00136389">
          <w:rPr>
            <w:sz w:val="18"/>
            <w:szCs w:val="18"/>
          </w:rPr>
          <w:t xml:space="preserve">Cuadro 1.49 </w:t>
        </w:r>
        <w:r w:rsidR="00136389">
          <w:rPr>
            <w:sz w:val="18"/>
            <w:szCs w:val="18"/>
          </w:rPr>
          <w:tab/>
        </w:r>
        <w:r w:rsidR="008B4EEF" w:rsidRPr="00136389">
          <w:rPr>
            <w:sz w:val="18"/>
            <w:szCs w:val="18"/>
          </w:rPr>
          <w:t>EVOLUCIÓN VENTAS INTERNAS VS. VENTAS EXTERNAS 2012 –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5" w:history="1">
        <w:r w:rsidR="008B4EEF" w:rsidRPr="00136389">
          <w:rPr>
            <w:sz w:val="18"/>
            <w:szCs w:val="18"/>
          </w:rPr>
          <w:t>Cuadro 1.50</w:t>
        </w:r>
        <w:r w:rsidR="00136389">
          <w:rPr>
            <w:sz w:val="18"/>
            <w:szCs w:val="18"/>
          </w:rPr>
          <w:tab/>
        </w:r>
        <w:r w:rsidR="008B4EEF" w:rsidRPr="00136389">
          <w:rPr>
            <w:sz w:val="18"/>
            <w:szCs w:val="18"/>
          </w:rPr>
          <w:t>DISTRIBUCIÓN SECTORIAL DE LAS EXPORTACIONES DE LA ECONOMÍA SOCIAL. (cifras absolutas en miles de Euros, % verticales) Y PESO RELATIVO SOBRE LA CIFRA DE NEGOCIOS.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6" w:history="1">
        <w:r w:rsidR="008B4EEF" w:rsidRPr="00136389">
          <w:rPr>
            <w:sz w:val="18"/>
            <w:szCs w:val="18"/>
          </w:rPr>
          <w:t xml:space="preserve">Cuadro 1.51  </w:t>
        </w:r>
        <w:r w:rsidR="00136389">
          <w:rPr>
            <w:sz w:val="18"/>
            <w:szCs w:val="18"/>
          </w:rPr>
          <w:tab/>
        </w:r>
        <w:r w:rsidR="008B4EEF" w:rsidRPr="00136389">
          <w:rPr>
            <w:sz w:val="18"/>
            <w:szCs w:val="18"/>
          </w:rPr>
          <w:t>DISTRIBUCIÓN SECTORIAL DE LAS EXPORTACIONES DE LA ECONOMÍA SOCIAL SEGÚN FORMA JURÍDICA. (cifras absolutas en millones de Euros. y % horizontales).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7" w:history="1">
        <w:r w:rsidR="008B4EEF" w:rsidRPr="00136389">
          <w:rPr>
            <w:sz w:val="18"/>
            <w:szCs w:val="18"/>
          </w:rPr>
          <w:t>Cuadro 1.52</w:t>
        </w:r>
        <w:r w:rsidR="00136389">
          <w:rPr>
            <w:sz w:val="18"/>
            <w:szCs w:val="18"/>
          </w:rPr>
          <w:tab/>
        </w:r>
        <w:r w:rsidR="008B4EEF" w:rsidRPr="00136389">
          <w:rPr>
            <w:sz w:val="18"/>
            <w:szCs w:val="18"/>
          </w:rPr>
          <w:t>VOLUMEN DE EXPORTACIÓN SEGÚN ESTRATO DE EMPLEO Y FORMA JURÍDICA.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77</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8" w:history="1">
        <w:r w:rsidR="008B4EEF" w:rsidRPr="00136389">
          <w:rPr>
            <w:sz w:val="18"/>
            <w:szCs w:val="18"/>
          </w:rPr>
          <w:t xml:space="preserve">Cuadro 1.53 </w:t>
        </w:r>
        <w:r w:rsidR="00136389">
          <w:rPr>
            <w:sz w:val="18"/>
            <w:szCs w:val="18"/>
          </w:rPr>
          <w:tab/>
        </w:r>
        <w:r w:rsidR="008B4EEF" w:rsidRPr="00136389">
          <w:rPr>
            <w:sz w:val="18"/>
            <w:szCs w:val="18"/>
          </w:rPr>
          <w:t>PESO RELATIVO DEL VOLUMEN DE EXPORTACIÓN POR FORMA JURÍDICA Y ESTRATO DE EMPLEO (% horizontales).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77</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09" w:history="1">
        <w:r w:rsidR="008B4EEF" w:rsidRPr="00136389">
          <w:rPr>
            <w:sz w:val="18"/>
            <w:szCs w:val="18"/>
          </w:rPr>
          <w:t>Cuadro 1.54</w:t>
        </w:r>
        <w:r w:rsidR="00136389">
          <w:rPr>
            <w:sz w:val="18"/>
            <w:szCs w:val="18"/>
          </w:rPr>
          <w:tab/>
        </w:r>
        <w:r w:rsidR="008B4EEF" w:rsidRPr="00136389">
          <w:rPr>
            <w:sz w:val="18"/>
            <w:szCs w:val="18"/>
          </w:rPr>
          <w:t>DISTRIBUCIÓN SECTORIAL DE LOS FONDOS PROPIOS DE LA ECONOMÍA SOCIAL. 2012 y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_Toc450119509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0" w:history="1">
        <w:r w:rsidR="008B4EEF" w:rsidRPr="00136389">
          <w:rPr>
            <w:sz w:val="18"/>
            <w:szCs w:val="18"/>
          </w:rPr>
          <w:t>Cuadro 1.55</w:t>
        </w:r>
        <w:r w:rsidR="00136389">
          <w:rPr>
            <w:sz w:val="18"/>
            <w:szCs w:val="18"/>
          </w:rPr>
          <w:tab/>
        </w:r>
        <w:r w:rsidR="008B4EEF" w:rsidRPr="00136389">
          <w:rPr>
            <w:sz w:val="18"/>
            <w:szCs w:val="18"/>
          </w:rPr>
          <w:t>DISTRIBUCIÓN SECTORIAL DE LOS FONDOS PROPIOS DE LA ECONOMÍA SOCIAL. REFERENCIA DE LA RENTABILIDAD SOBRE LOS FONDOS PROPIOS. (cifras absolutas en miles de Euros).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1" w:history="1">
        <w:r w:rsidR="008B4EEF" w:rsidRPr="00136389">
          <w:rPr>
            <w:sz w:val="18"/>
            <w:szCs w:val="18"/>
          </w:rPr>
          <w:t>Cuadro 1.56</w:t>
        </w:r>
        <w:r w:rsidR="00136389">
          <w:rPr>
            <w:sz w:val="18"/>
            <w:szCs w:val="18"/>
          </w:rPr>
          <w:tab/>
        </w:r>
        <w:r w:rsidR="008B4EEF" w:rsidRPr="00136389">
          <w:rPr>
            <w:sz w:val="18"/>
            <w:szCs w:val="18"/>
          </w:rPr>
          <w:t>DISTRIBUCIÓN SECTORIAL DE LOS FONDOS PROPIOS DE LA ECONOMÍA SOCIAL SEGÚN FORMA JURÍDICA. 2014 (cifras absolutas en Euros y % horizontales)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79</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2" w:history="1">
        <w:r w:rsidR="008B4EEF" w:rsidRPr="00136389">
          <w:rPr>
            <w:sz w:val="18"/>
            <w:szCs w:val="18"/>
          </w:rPr>
          <w:t>Cuadro 1.57</w:t>
        </w:r>
        <w:r w:rsidR="00136389">
          <w:rPr>
            <w:sz w:val="18"/>
            <w:szCs w:val="18"/>
          </w:rPr>
          <w:tab/>
        </w:r>
        <w:r w:rsidR="008B4EEF" w:rsidRPr="00136389">
          <w:rPr>
            <w:sz w:val="18"/>
            <w:szCs w:val="18"/>
          </w:rPr>
          <w:t>DISTRIBUCIÓN SECTORIAL DE LOS FONDOS PROPIOS, POR TERRITORIO HISTÓRICO. 2014 (cifras absolutas en Euros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80</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3" w:history="1">
        <w:r w:rsidR="008B4EEF" w:rsidRPr="00136389">
          <w:rPr>
            <w:sz w:val="18"/>
            <w:szCs w:val="18"/>
          </w:rPr>
          <w:t xml:space="preserve">Cuadro 1.58 </w:t>
        </w:r>
        <w:r w:rsidR="00136389">
          <w:rPr>
            <w:sz w:val="18"/>
            <w:szCs w:val="18"/>
          </w:rPr>
          <w:tab/>
        </w:r>
        <w:r w:rsidR="008B4EEF" w:rsidRPr="00136389">
          <w:rPr>
            <w:sz w:val="18"/>
            <w:szCs w:val="18"/>
          </w:rPr>
          <w:t>RATIOS DE ENDEUDAMIENTO SEGÚN SECTOR DE ACTIVIDAD. 2014 (Fondos Ajenos/Fondos Propios)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80</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4" w:history="1">
        <w:r w:rsidR="008B4EEF" w:rsidRPr="00136389">
          <w:rPr>
            <w:sz w:val="18"/>
            <w:szCs w:val="18"/>
          </w:rPr>
          <w:t xml:space="preserve">Cuadro 1.59  </w:t>
        </w:r>
        <w:r w:rsidR="00136389">
          <w:rPr>
            <w:sz w:val="18"/>
            <w:szCs w:val="18"/>
          </w:rPr>
          <w:tab/>
        </w:r>
        <w:r w:rsidR="008B4EEF" w:rsidRPr="00136389">
          <w:rPr>
            <w:sz w:val="18"/>
            <w:szCs w:val="18"/>
          </w:rPr>
          <w:t>RATIOS DE GARANTÍA SEGÚN SECTOR DE ACTIVIDAD. 2014 (Activo Total/Exigible Total)</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80</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5" w:history="1">
        <w:r w:rsidR="008B4EEF" w:rsidRPr="00136389">
          <w:rPr>
            <w:sz w:val="18"/>
            <w:szCs w:val="18"/>
          </w:rPr>
          <w:t>Cuadro 1.60</w:t>
        </w:r>
        <w:r w:rsidR="00136389">
          <w:rPr>
            <w:sz w:val="18"/>
            <w:szCs w:val="18"/>
          </w:rPr>
          <w:tab/>
        </w:r>
        <w:r w:rsidR="008B4EEF" w:rsidRPr="00136389">
          <w:rPr>
            <w:sz w:val="18"/>
            <w:szCs w:val="18"/>
          </w:rPr>
          <w:t>RATIOS DE ENDEUDAMIENTO SEGÚN FORMA JURÍDICA. 2014 (% Fondos Ajenos/Fondos Propios)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80</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6" w:history="1">
        <w:r w:rsidR="008B4EEF" w:rsidRPr="00136389">
          <w:rPr>
            <w:sz w:val="18"/>
            <w:szCs w:val="18"/>
          </w:rPr>
          <w:t xml:space="preserve">Cuadro 1.61  </w:t>
        </w:r>
        <w:r w:rsidR="00136389">
          <w:rPr>
            <w:sz w:val="18"/>
            <w:szCs w:val="18"/>
          </w:rPr>
          <w:tab/>
        </w:r>
        <w:r w:rsidR="008B4EEF" w:rsidRPr="00136389">
          <w:rPr>
            <w:sz w:val="18"/>
            <w:szCs w:val="18"/>
          </w:rPr>
          <w:t>RATIOS DE GARANTÍA SEGÚN FORMA JURÍDICA. 2014 (Activo Total/Exigible Total)</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80</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7" w:history="1">
        <w:r w:rsidR="008B4EEF" w:rsidRPr="00136389">
          <w:rPr>
            <w:sz w:val="18"/>
            <w:szCs w:val="18"/>
          </w:rPr>
          <w:t>Cuadro 1.62</w:t>
        </w:r>
        <w:r w:rsidR="00136389">
          <w:rPr>
            <w:sz w:val="18"/>
            <w:szCs w:val="18"/>
          </w:rPr>
          <w:tab/>
        </w:r>
        <w:r w:rsidR="008B4EEF" w:rsidRPr="00136389">
          <w:rPr>
            <w:sz w:val="18"/>
            <w:szCs w:val="18"/>
          </w:rPr>
          <w:t>RATIOS DE ENDEUDAMIENTO SEGÚN TAMAÑO DE EMPRESA. 2014 (Fondos Ajenos/Fondos Propios)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8" w:history="1">
        <w:r w:rsidR="008B4EEF" w:rsidRPr="00136389">
          <w:rPr>
            <w:sz w:val="18"/>
            <w:szCs w:val="18"/>
          </w:rPr>
          <w:t>Cuadro 1.63</w:t>
        </w:r>
        <w:r w:rsidR="00136389">
          <w:rPr>
            <w:sz w:val="18"/>
            <w:szCs w:val="18"/>
          </w:rPr>
          <w:tab/>
        </w:r>
        <w:r w:rsidR="008B4EEF" w:rsidRPr="00136389">
          <w:rPr>
            <w:sz w:val="18"/>
            <w:szCs w:val="18"/>
          </w:rPr>
          <w:t>DISTRIBUCIÓN SECTORIAL DE LAS INVERSIONES MATERIALES DE LA ECONOMÍA SOCIAL SEGÚN FORMA JURÍDICA. 2014 (cifras absolutas en Euros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19" w:history="1">
        <w:r w:rsidR="008B4EEF" w:rsidRPr="00136389">
          <w:rPr>
            <w:sz w:val="18"/>
            <w:szCs w:val="18"/>
          </w:rPr>
          <w:t>Cuadro 1.64  RATIOS DE INVERSIÓN POR EMPLEO SEGÚN LA FORMA JURÍDICA.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_Toc450119519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0" w:history="1">
        <w:r w:rsidR="008B4EEF" w:rsidRPr="00136389">
          <w:rPr>
            <w:sz w:val="18"/>
            <w:szCs w:val="18"/>
          </w:rPr>
          <w:t>Cuadro 1.65</w:t>
        </w:r>
        <w:r w:rsidR="00136389">
          <w:rPr>
            <w:sz w:val="18"/>
            <w:szCs w:val="18"/>
          </w:rPr>
          <w:tab/>
        </w:r>
        <w:r w:rsidR="008B4EEF" w:rsidRPr="00136389">
          <w:rPr>
            <w:sz w:val="18"/>
            <w:szCs w:val="18"/>
          </w:rPr>
          <w:t>DISTRIBUCIÓN SECTORIAL DE LAS INVERSIONES MATERIALES DE LA ECONOMÍA SOCIAL SEGÚN TERRITORIO HISTÓRICO 2014 (cifras absolutas en Euros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81</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1" w:history="1">
        <w:r w:rsidR="008B4EEF" w:rsidRPr="00136389">
          <w:rPr>
            <w:sz w:val="18"/>
            <w:szCs w:val="18"/>
          </w:rPr>
          <w:t>Cuadro 1.66</w:t>
        </w:r>
        <w:r w:rsidR="00136389">
          <w:rPr>
            <w:sz w:val="18"/>
            <w:szCs w:val="18"/>
          </w:rPr>
          <w:tab/>
        </w:r>
        <w:r w:rsidR="008B4EEF" w:rsidRPr="00136389">
          <w:rPr>
            <w:sz w:val="18"/>
            <w:szCs w:val="18"/>
          </w:rPr>
          <w:t>DISTRIBUCIÓN SECTORIAL DE LAS INVERSIONES INTANGIBLES DE LA ECONOMÍA SOCIAL SEGÚN FORMA JURÍDICA. 2014 (cifras absolutas en Euros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2" w:history="1">
        <w:r w:rsidR="008B4EEF" w:rsidRPr="00136389">
          <w:rPr>
            <w:sz w:val="18"/>
            <w:szCs w:val="18"/>
          </w:rPr>
          <w:t>Cuadro 1.67</w:t>
        </w:r>
        <w:r w:rsidR="00136389">
          <w:rPr>
            <w:sz w:val="18"/>
            <w:szCs w:val="18"/>
          </w:rPr>
          <w:tab/>
        </w:r>
        <w:r w:rsidR="008B4EEF" w:rsidRPr="00136389">
          <w:rPr>
            <w:sz w:val="18"/>
            <w:szCs w:val="18"/>
          </w:rPr>
          <w:t>DISTRIBUCIÓN SECTORIAL DE LAS INVERSIONES INTANGIBLES DE LA ECONOMÍA SOCIAL SEGÚN TERRITORIO HISTÓRICO. 2014 (cifras absolutas en Euros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3" w:history="1">
        <w:r w:rsidR="008B4EEF" w:rsidRPr="00136389">
          <w:rPr>
            <w:sz w:val="18"/>
            <w:szCs w:val="18"/>
          </w:rPr>
          <w:t>Cuadro 1.68</w:t>
        </w:r>
        <w:r w:rsidR="00136389">
          <w:rPr>
            <w:sz w:val="18"/>
            <w:szCs w:val="18"/>
          </w:rPr>
          <w:tab/>
        </w:r>
        <w:r w:rsidR="008B4EEF" w:rsidRPr="00136389">
          <w:rPr>
            <w:sz w:val="18"/>
            <w:szCs w:val="18"/>
          </w:rPr>
          <w:t>ESTRUCTURA SECTORIAL DEL INCREMENTO DE LAS SUBVENCIONES OFICIALES DE CAPITAL.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4" w:history="1">
        <w:r w:rsidR="008B4EEF" w:rsidRPr="00136389">
          <w:rPr>
            <w:sz w:val="18"/>
            <w:szCs w:val="18"/>
          </w:rPr>
          <w:t xml:space="preserve">Cuadro 1.69  </w:t>
        </w:r>
        <w:r w:rsidR="00136389">
          <w:rPr>
            <w:sz w:val="18"/>
            <w:szCs w:val="18"/>
          </w:rPr>
          <w:tab/>
        </w:r>
        <w:r w:rsidR="008B4EEF" w:rsidRPr="00136389">
          <w:rPr>
            <w:sz w:val="18"/>
            <w:szCs w:val="18"/>
          </w:rPr>
          <w:t>ESTRUCTURA SECTORIAL DE LAS SUBVENCIONES, DONACIONES Y LEGADOS DE CAPITAL TRANSFERIDOS AL RESULTADO DEL EJERCICIO (746). 2014</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82</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5" w:history="1">
        <w:r w:rsidR="008B4EEF" w:rsidRPr="00136389">
          <w:rPr>
            <w:sz w:val="18"/>
            <w:szCs w:val="18"/>
          </w:rPr>
          <w:t xml:space="preserve">Cuadro 1.70  </w:t>
        </w:r>
        <w:r w:rsidR="00136389">
          <w:rPr>
            <w:sz w:val="18"/>
            <w:szCs w:val="18"/>
          </w:rPr>
          <w:tab/>
        </w:r>
        <w:r w:rsidR="008B4EEF" w:rsidRPr="00136389">
          <w:rPr>
            <w:sz w:val="18"/>
            <w:szCs w:val="18"/>
          </w:rPr>
          <w:t>CUENTA DE RESULTADOS DE COOPERATIVAS SEGÚN SECTOR DE ACTIVIDAD EN 2014 (cifras absolutas en Euros)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83</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6" w:history="1">
        <w:r w:rsidR="008B4EEF" w:rsidRPr="00136389">
          <w:rPr>
            <w:sz w:val="18"/>
            <w:szCs w:val="18"/>
          </w:rPr>
          <w:t xml:space="preserve">Cuadro 1.71  </w:t>
        </w:r>
        <w:r w:rsidR="00136389">
          <w:rPr>
            <w:sz w:val="18"/>
            <w:szCs w:val="18"/>
          </w:rPr>
          <w:tab/>
        </w:r>
        <w:r w:rsidR="008B4EEF" w:rsidRPr="00136389">
          <w:rPr>
            <w:sz w:val="18"/>
            <w:szCs w:val="18"/>
          </w:rPr>
          <w:t>CUENTA DE RESULTADOS DE S.A.Les SEGÚN SECTOR DE ACTIVIDAD EN 2014 (cifras absolutas en Euros)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83</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7" w:history="1">
        <w:r w:rsidR="008B4EEF" w:rsidRPr="00136389">
          <w:rPr>
            <w:sz w:val="18"/>
            <w:szCs w:val="18"/>
          </w:rPr>
          <w:t xml:space="preserve">Cuadro 1.72  </w:t>
        </w:r>
        <w:r w:rsidR="00136389">
          <w:rPr>
            <w:sz w:val="18"/>
            <w:szCs w:val="18"/>
          </w:rPr>
          <w:tab/>
        </w:r>
        <w:r w:rsidR="008B4EEF" w:rsidRPr="00136389">
          <w:rPr>
            <w:sz w:val="18"/>
            <w:szCs w:val="18"/>
          </w:rPr>
          <w:t>CUENTA DE RESULTADOS DE S.L.Les SEGÚN SECTOR DE ACTIVIDAD EN 2014 (cifras absolutas en Euros)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8" w:history="1">
        <w:r w:rsidR="008B4EEF" w:rsidRPr="00136389">
          <w:rPr>
            <w:sz w:val="18"/>
            <w:szCs w:val="18"/>
          </w:rPr>
          <w:t xml:space="preserve">Cuadro 1.73 </w:t>
        </w:r>
        <w:r w:rsidR="00136389">
          <w:rPr>
            <w:sz w:val="18"/>
            <w:szCs w:val="18"/>
          </w:rPr>
          <w:tab/>
        </w:r>
        <w:r w:rsidR="008B4EEF" w:rsidRPr="00136389">
          <w:rPr>
            <w:sz w:val="18"/>
            <w:szCs w:val="18"/>
          </w:rPr>
          <w:t>CUENTA DE RESULTADOS DE LA ECONOMÍA SOCIAL SEGÚN SECTOR DE ACTIVIDAD EN 2014. ARABA (cifras absolutas en Euros)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_Toc450119528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84</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29" w:history="1">
        <w:r w:rsidR="008B4EEF" w:rsidRPr="00136389">
          <w:rPr>
            <w:sz w:val="18"/>
            <w:szCs w:val="18"/>
          </w:rPr>
          <w:t xml:space="preserve">Cuadro 1.74 </w:t>
        </w:r>
        <w:r w:rsidR="00136389">
          <w:rPr>
            <w:sz w:val="18"/>
            <w:szCs w:val="18"/>
          </w:rPr>
          <w:tab/>
        </w:r>
        <w:r w:rsidR="008B4EEF" w:rsidRPr="00136389">
          <w:rPr>
            <w:sz w:val="18"/>
            <w:szCs w:val="18"/>
          </w:rPr>
          <w:t>CUENTA DE RESULTADOS DE LA ECONOMÍA SOCIAL SEGÚN SECTOR DE ACTIVIDAD EN 2014. BIZKAIA (cifras absolutas en Euros)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_Toc450119529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85</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0" w:history="1">
        <w:r w:rsidR="008B4EEF" w:rsidRPr="00136389">
          <w:rPr>
            <w:sz w:val="18"/>
            <w:szCs w:val="18"/>
          </w:rPr>
          <w:t xml:space="preserve">Cuadro 1.75 </w:t>
        </w:r>
        <w:r w:rsidR="00136389">
          <w:rPr>
            <w:sz w:val="18"/>
            <w:szCs w:val="18"/>
          </w:rPr>
          <w:tab/>
        </w:r>
        <w:r w:rsidR="008B4EEF" w:rsidRPr="00136389">
          <w:rPr>
            <w:sz w:val="18"/>
            <w:szCs w:val="18"/>
          </w:rPr>
          <w:t>CUENTA DE RESULTADOS DE LA ECONOMÍA SOCIAL SEGÚN SECTOR DE ACTIVIDAD EN 2014. GIPUZKOA (cifras absolutas en Euros) (Precios corrientes)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_Toc450119530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85</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1" w:history="1">
        <w:r w:rsidR="008B4EEF" w:rsidRPr="00136389">
          <w:rPr>
            <w:sz w:val="18"/>
            <w:szCs w:val="18"/>
          </w:rPr>
          <w:t xml:space="preserve">Cuadro 1.76  </w:t>
        </w:r>
        <w:r w:rsidR="00136389">
          <w:rPr>
            <w:sz w:val="18"/>
            <w:szCs w:val="18"/>
          </w:rPr>
          <w:tab/>
        </w:r>
        <w:r w:rsidR="008B4EEF" w:rsidRPr="00136389">
          <w:rPr>
            <w:sz w:val="18"/>
            <w:szCs w:val="18"/>
          </w:rPr>
          <w:t>DISTRIBUCIÓN COMARCAL DEL EMPLEO</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_Toc450119531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2" w:history="1">
        <w:r w:rsidR="008B4EEF" w:rsidRPr="00136389">
          <w:rPr>
            <w:sz w:val="18"/>
            <w:szCs w:val="18"/>
          </w:rPr>
          <w:t xml:space="preserve">Cuadro 1.77  </w:t>
        </w:r>
        <w:r w:rsidR="00136389">
          <w:rPr>
            <w:sz w:val="18"/>
            <w:szCs w:val="18"/>
          </w:rPr>
          <w:tab/>
        </w:r>
        <w:r w:rsidR="008B4EEF" w:rsidRPr="00136389">
          <w:rPr>
            <w:sz w:val="18"/>
            <w:szCs w:val="18"/>
          </w:rPr>
          <w:t>DISTRIBUCIÓN COMARCAL DEL EMPLEO INDUSTRIAL Y TERCIARIO</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_Toc450119532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3" w:history="1">
        <w:r w:rsidR="008B4EEF" w:rsidRPr="00136389">
          <w:rPr>
            <w:sz w:val="18"/>
            <w:szCs w:val="18"/>
          </w:rPr>
          <w:t xml:space="preserve">Cuadro 1.78  </w:t>
        </w:r>
        <w:r w:rsidR="00136389">
          <w:rPr>
            <w:sz w:val="18"/>
            <w:szCs w:val="18"/>
          </w:rPr>
          <w:tab/>
        </w:r>
        <w:r w:rsidR="008B4EEF" w:rsidRPr="00136389">
          <w:rPr>
            <w:sz w:val="18"/>
            <w:szCs w:val="18"/>
          </w:rPr>
          <w:t>DISTRIBUCIÓN COMARCAL DEL EMPLEO</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_Toc450119533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86</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4" w:history="1">
        <w:r w:rsidR="008B4EEF" w:rsidRPr="00136389">
          <w:rPr>
            <w:sz w:val="18"/>
            <w:szCs w:val="18"/>
          </w:rPr>
          <w:t xml:space="preserve">Cuadro 1.79  </w:t>
        </w:r>
        <w:r w:rsidR="00136389">
          <w:rPr>
            <w:sz w:val="18"/>
            <w:szCs w:val="18"/>
          </w:rPr>
          <w:tab/>
        </w:r>
        <w:r w:rsidR="008B4EEF" w:rsidRPr="00136389">
          <w:rPr>
            <w:sz w:val="18"/>
            <w:szCs w:val="18"/>
          </w:rPr>
          <w:t>DISTRIBUCIÓN DE LOS ESTABLECIMIENTOS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_Toc450119534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87</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5" w:history="1">
        <w:r w:rsidR="008B4EEF" w:rsidRPr="00136389">
          <w:rPr>
            <w:sz w:val="18"/>
            <w:szCs w:val="18"/>
          </w:rPr>
          <w:t xml:space="preserve">Cuadro 1.80  </w:t>
        </w:r>
        <w:r w:rsidR="00136389">
          <w:rPr>
            <w:sz w:val="18"/>
            <w:szCs w:val="18"/>
          </w:rPr>
          <w:tab/>
        </w:r>
        <w:r w:rsidR="008B4EEF" w:rsidRPr="00136389">
          <w:rPr>
            <w:sz w:val="18"/>
            <w:szCs w:val="18"/>
          </w:rPr>
          <w:t>DISTRIBUCIÓN COMARCAL DE LA FACTURACIÓN Y EXPORTACIONES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_Toc450119535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87</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6" w:history="1">
        <w:r w:rsidR="008B4EEF" w:rsidRPr="00136389">
          <w:rPr>
            <w:sz w:val="18"/>
            <w:szCs w:val="18"/>
          </w:rPr>
          <w:t xml:space="preserve">Cuadro 1.81 </w:t>
        </w:r>
        <w:r w:rsidR="00136389">
          <w:rPr>
            <w:sz w:val="18"/>
            <w:szCs w:val="18"/>
          </w:rPr>
          <w:tab/>
        </w:r>
        <w:r w:rsidR="008B4EEF" w:rsidRPr="00136389">
          <w:rPr>
            <w:sz w:val="18"/>
            <w:szCs w:val="18"/>
          </w:rPr>
          <w:t>DISTRIBUCIÓN COMARCAL DE SUELDOS Y SALARIOS Y RATIO MEDIO DE SUELOS Y SALARIOS (Euros/Empleado) DE LAS FCES DE LA ECONOMÍA SOCIAL EN 2014 (cifras absolutas y % verticales)</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_Toc450119536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88</w:t>
        </w:r>
        <w:r w:rsidR="00771A61" w:rsidRPr="00136389">
          <w:rPr>
            <w:webHidden/>
            <w:sz w:val="18"/>
            <w:szCs w:val="18"/>
          </w:rPr>
          <w:fldChar w:fldCharType="end"/>
        </w:r>
      </w:hyperlink>
    </w:p>
    <w:p w:rsidR="008B4EEF" w:rsidRPr="00136389" w:rsidRDefault="00503E0A" w:rsidP="00136389">
      <w:pPr>
        <w:pStyle w:val="Tabladeilustraciones"/>
        <w:tabs>
          <w:tab w:val="left" w:pos="8505"/>
        </w:tabs>
        <w:spacing w:line="240" w:lineRule="auto"/>
        <w:ind w:left="1134" w:right="708" w:hanging="1134"/>
        <w:rPr>
          <w:sz w:val="18"/>
          <w:szCs w:val="18"/>
        </w:rPr>
      </w:pPr>
      <w:hyperlink w:anchor="_Toc450119537" w:history="1">
        <w:r w:rsidR="008B4EEF" w:rsidRPr="00136389">
          <w:rPr>
            <w:sz w:val="18"/>
            <w:szCs w:val="18"/>
          </w:rPr>
          <w:t>Cuadro 1.82</w:t>
        </w:r>
        <w:r w:rsidR="00136389">
          <w:rPr>
            <w:sz w:val="18"/>
            <w:szCs w:val="18"/>
          </w:rPr>
          <w:tab/>
        </w:r>
        <w:r w:rsidR="008B4EEF" w:rsidRPr="00136389">
          <w:rPr>
            <w:sz w:val="18"/>
            <w:szCs w:val="18"/>
          </w:rPr>
          <w:t>DISTRIBUCIÓN COMARCAL DEL VAB Y PRODUCTIVIDAD APARENTE (Euros/Empleado)</w:t>
        </w:r>
        <w:r w:rsidR="008B4EEF" w:rsidRPr="00136389">
          <w:rPr>
            <w:webHidden/>
            <w:sz w:val="18"/>
            <w:szCs w:val="18"/>
          </w:rPr>
          <w:tab/>
        </w:r>
        <w:r w:rsidR="00771A61" w:rsidRPr="00136389">
          <w:rPr>
            <w:webHidden/>
            <w:sz w:val="18"/>
            <w:szCs w:val="18"/>
          </w:rPr>
          <w:fldChar w:fldCharType="begin"/>
        </w:r>
        <w:r w:rsidR="008B4EEF" w:rsidRPr="00136389">
          <w:rPr>
            <w:webHidden/>
            <w:sz w:val="18"/>
            <w:szCs w:val="18"/>
          </w:rPr>
          <w:instrText xml:space="preserve"> PAGEREF _Toc450119537 \h </w:instrText>
        </w:r>
        <w:r w:rsidR="00771A61" w:rsidRPr="00136389">
          <w:rPr>
            <w:webHidden/>
            <w:sz w:val="18"/>
            <w:szCs w:val="18"/>
          </w:rPr>
        </w:r>
        <w:r w:rsidR="00771A61" w:rsidRPr="00136389">
          <w:rPr>
            <w:webHidden/>
            <w:sz w:val="18"/>
            <w:szCs w:val="18"/>
          </w:rPr>
          <w:fldChar w:fldCharType="separate"/>
        </w:r>
        <w:r w:rsidR="008B4EEF" w:rsidRPr="00136389">
          <w:rPr>
            <w:noProof/>
            <w:webHidden/>
            <w:sz w:val="18"/>
            <w:szCs w:val="18"/>
          </w:rPr>
          <w:t>88</w:t>
        </w:r>
        <w:r w:rsidR="00771A61" w:rsidRPr="00136389">
          <w:rPr>
            <w:webHidden/>
            <w:sz w:val="18"/>
            <w:szCs w:val="18"/>
          </w:rPr>
          <w:fldChar w:fldCharType="end"/>
        </w:r>
      </w:hyperlink>
    </w:p>
    <w:p w:rsidR="009F1045" w:rsidRDefault="00771A61" w:rsidP="00A25CF2">
      <w:pPr>
        <w:pStyle w:val="Tabladeilustraciones"/>
        <w:tabs>
          <w:tab w:val="left" w:pos="8505"/>
        </w:tabs>
        <w:spacing w:line="240" w:lineRule="auto"/>
        <w:ind w:left="1134" w:right="708" w:hanging="1134"/>
        <w:rPr>
          <w:rFonts w:cs="Arial"/>
          <w:b/>
          <w:color w:val="1F497D" w:themeColor="text2"/>
          <w:szCs w:val="26"/>
        </w:rPr>
      </w:pPr>
      <w:r w:rsidRPr="00136389">
        <w:rPr>
          <w:sz w:val="18"/>
          <w:szCs w:val="18"/>
        </w:rPr>
        <w:fldChar w:fldCharType="end"/>
      </w:r>
    </w:p>
    <w:p w:rsidR="00136389" w:rsidRPr="00136389" w:rsidRDefault="00771A61" w:rsidP="00136389">
      <w:pPr>
        <w:pStyle w:val="Tabladeilustraciones"/>
        <w:tabs>
          <w:tab w:val="left" w:pos="8505"/>
        </w:tabs>
        <w:spacing w:line="240" w:lineRule="auto"/>
        <w:ind w:left="1134" w:right="708" w:hanging="1134"/>
        <w:rPr>
          <w:sz w:val="18"/>
          <w:szCs w:val="18"/>
        </w:rPr>
      </w:pPr>
      <w:r w:rsidRPr="00136389">
        <w:rPr>
          <w:sz w:val="18"/>
          <w:szCs w:val="18"/>
        </w:rPr>
        <w:fldChar w:fldCharType="begin"/>
      </w:r>
      <w:r w:rsidR="008D5779" w:rsidRPr="00136389">
        <w:rPr>
          <w:sz w:val="18"/>
          <w:szCs w:val="18"/>
        </w:rPr>
        <w:instrText xml:space="preserve"> TOC \h \z \c "Cuadro 2." </w:instrText>
      </w:r>
      <w:r w:rsidRPr="00136389">
        <w:rPr>
          <w:sz w:val="18"/>
          <w:szCs w:val="18"/>
        </w:rPr>
        <w:fldChar w:fldCharType="separate"/>
      </w:r>
      <w:hyperlink w:anchor="_Toc450119733" w:history="1">
        <w:r w:rsidR="00136389" w:rsidRPr="00136389">
          <w:rPr>
            <w:sz w:val="18"/>
            <w:szCs w:val="18"/>
          </w:rPr>
          <w:t xml:space="preserve">Cuadro 2.1 </w:t>
        </w:r>
        <w:r w:rsidR="00136389">
          <w:rPr>
            <w:sz w:val="18"/>
            <w:szCs w:val="18"/>
          </w:rPr>
          <w:tab/>
        </w:r>
        <w:r w:rsidR="00136389" w:rsidRPr="00136389">
          <w:rPr>
            <w:sz w:val="18"/>
            <w:szCs w:val="18"/>
          </w:rPr>
          <w:t>ANÁLISIS POR SECTOR DE ACTIVIDAD. EVOLUCIÓN DEL EMPLEO Y LA FACTURACIÓN PREVISTA. 2014-2015</w:t>
        </w:r>
        <w:r w:rsidR="00136389" w:rsidRPr="00136389">
          <w:rPr>
            <w:webHidden/>
            <w:sz w:val="18"/>
            <w:szCs w:val="18"/>
          </w:rPr>
          <w:tab/>
        </w:r>
        <w:r w:rsidRPr="00136389">
          <w:rPr>
            <w:webHidden/>
            <w:sz w:val="18"/>
            <w:szCs w:val="18"/>
          </w:rPr>
          <w:fldChar w:fldCharType="begin"/>
        </w:r>
        <w:r w:rsidR="00136389" w:rsidRPr="00136389">
          <w:rPr>
            <w:webHidden/>
            <w:sz w:val="18"/>
            <w:szCs w:val="18"/>
          </w:rPr>
          <w:instrText xml:space="preserve"> PAGEREF _Toc450119733 \h </w:instrText>
        </w:r>
        <w:r w:rsidRPr="00136389">
          <w:rPr>
            <w:webHidden/>
            <w:sz w:val="18"/>
            <w:szCs w:val="18"/>
          </w:rPr>
        </w:r>
        <w:r w:rsidRPr="00136389">
          <w:rPr>
            <w:webHidden/>
            <w:sz w:val="18"/>
            <w:szCs w:val="18"/>
          </w:rPr>
          <w:fldChar w:fldCharType="separate"/>
        </w:r>
        <w:r w:rsidR="00136389" w:rsidRPr="00136389">
          <w:rPr>
            <w:noProof/>
            <w:webHidden/>
            <w:sz w:val="18"/>
            <w:szCs w:val="18"/>
          </w:rPr>
          <w:t>89</w:t>
        </w:r>
        <w:r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34" w:history="1">
        <w:r w:rsidR="00136389" w:rsidRPr="00136389">
          <w:rPr>
            <w:sz w:val="18"/>
            <w:szCs w:val="18"/>
          </w:rPr>
          <w:t xml:space="preserve">Cuadro 2.2 </w:t>
        </w:r>
        <w:r w:rsidR="00136389">
          <w:rPr>
            <w:sz w:val="18"/>
            <w:szCs w:val="18"/>
          </w:rPr>
          <w:tab/>
        </w:r>
        <w:r w:rsidR="00136389" w:rsidRPr="00136389">
          <w:rPr>
            <w:sz w:val="18"/>
            <w:szCs w:val="18"/>
          </w:rPr>
          <w:t>ANÁLISIS POR FORMA JURÍDICA. EVOLUCIÓN DEL EMPLEO Y LA FACTURACIÓN PREVISTA. 2014-2015</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_Toc450119734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89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35" w:history="1">
        <w:r w:rsidR="00136389" w:rsidRPr="00136389">
          <w:rPr>
            <w:sz w:val="18"/>
            <w:szCs w:val="18"/>
          </w:rPr>
          <w:t xml:space="preserve">Cuadro 2.3 </w:t>
        </w:r>
        <w:r w:rsidR="00136389">
          <w:rPr>
            <w:sz w:val="18"/>
            <w:szCs w:val="18"/>
          </w:rPr>
          <w:tab/>
        </w:r>
        <w:r w:rsidR="00136389" w:rsidRPr="00136389">
          <w:rPr>
            <w:sz w:val="18"/>
            <w:szCs w:val="18"/>
          </w:rPr>
          <w:t>ANÁLISIS POR TERRITORIO HISTÓRICO. EVOLUCIÓN DEL EMPLEO Y LA FACTURACIÓN PREVISTA. 2014-2015</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_Toc450119735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89</w:t>
        </w:r>
        <w:r w:rsidR="00771A61" w:rsidRPr="00136389">
          <w:rPr>
            <w:webHidden/>
            <w:sz w:val="18"/>
            <w:szCs w:val="18"/>
          </w:rPr>
          <w:fldChar w:fldCharType="end"/>
        </w:r>
      </w:hyperlink>
    </w:p>
    <w:p w:rsidR="008D5779" w:rsidRDefault="00771A61" w:rsidP="00DB6D48">
      <w:pPr>
        <w:pStyle w:val="Tabladeilustraciones"/>
        <w:tabs>
          <w:tab w:val="left" w:pos="8505"/>
        </w:tabs>
        <w:spacing w:line="240" w:lineRule="auto"/>
        <w:ind w:left="1134" w:right="708" w:hanging="1134"/>
      </w:pPr>
      <w:r w:rsidRPr="00136389">
        <w:rPr>
          <w:sz w:val="18"/>
          <w:szCs w:val="18"/>
        </w:rPr>
        <w:fldChar w:fldCharType="end"/>
      </w:r>
    </w:p>
    <w:p w:rsidR="00136389" w:rsidRPr="00136389" w:rsidRDefault="00771A61" w:rsidP="00136389">
      <w:pPr>
        <w:pStyle w:val="Tabladeilustraciones"/>
        <w:tabs>
          <w:tab w:val="left" w:pos="8505"/>
        </w:tabs>
        <w:spacing w:line="240" w:lineRule="auto"/>
        <w:ind w:left="1134" w:right="708" w:hanging="1134"/>
        <w:rPr>
          <w:sz w:val="18"/>
          <w:szCs w:val="18"/>
        </w:rPr>
      </w:pPr>
      <w:r w:rsidRPr="00DB6D48">
        <w:rPr>
          <w:rStyle w:val="Hipervnculo"/>
          <w:rFonts w:cs="Arial"/>
          <w:noProof/>
          <w:sz w:val="18"/>
          <w:szCs w:val="18"/>
        </w:rPr>
        <w:fldChar w:fldCharType="begin"/>
      </w:r>
      <w:r w:rsidR="00A67658" w:rsidRPr="00DB6D48">
        <w:rPr>
          <w:rStyle w:val="Hipervnculo"/>
          <w:rFonts w:cs="Arial"/>
          <w:noProof/>
          <w:sz w:val="18"/>
          <w:szCs w:val="18"/>
        </w:rPr>
        <w:instrText xml:space="preserve"> TOC \h \z \c "Cuadro 3." </w:instrText>
      </w:r>
      <w:r w:rsidRPr="00DB6D48">
        <w:rPr>
          <w:rStyle w:val="Hipervnculo"/>
          <w:rFonts w:cs="Arial"/>
          <w:noProof/>
          <w:sz w:val="18"/>
          <w:szCs w:val="18"/>
        </w:rPr>
        <w:fldChar w:fldCharType="separate"/>
      </w:r>
      <w:hyperlink w:anchor="_Toc450119761" w:history="1">
        <w:r w:rsidR="00136389" w:rsidRPr="00136389">
          <w:rPr>
            <w:sz w:val="18"/>
            <w:szCs w:val="18"/>
          </w:rPr>
          <w:t xml:space="preserve">Cuadro 3.1 </w:t>
        </w:r>
        <w:r w:rsidR="00136389">
          <w:rPr>
            <w:sz w:val="18"/>
            <w:szCs w:val="18"/>
          </w:rPr>
          <w:tab/>
        </w:r>
        <w:r w:rsidR="00136389" w:rsidRPr="00136389">
          <w:rPr>
            <w:sz w:val="18"/>
            <w:szCs w:val="18"/>
          </w:rPr>
          <w:t>DISPOSICIÓN DE LAS HERRAMIENTAS DE GESTIÓN EMPRESARIAL. 2014 (% de las empresas que disponen de estas herramientas)</w:t>
        </w:r>
        <w:r w:rsidR="00136389" w:rsidRPr="00136389">
          <w:rPr>
            <w:webHidden/>
            <w:sz w:val="18"/>
            <w:szCs w:val="18"/>
          </w:rPr>
          <w:tab/>
        </w:r>
        <w:r w:rsidRPr="00136389">
          <w:rPr>
            <w:webHidden/>
            <w:sz w:val="18"/>
            <w:szCs w:val="18"/>
          </w:rPr>
          <w:fldChar w:fldCharType="begin"/>
        </w:r>
        <w:r w:rsidR="00136389" w:rsidRPr="00136389">
          <w:rPr>
            <w:webHidden/>
            <w:sz w:val="18"/>
            <w:szCs w:val="18"/>
          </w:rPr>
          <w:instrText xml:space="preserve"> PAGEREF _Toc450119761 \h </w:instrText>
        </w:r>
        <w:r w:rsidRPr="00136389">
          <w:rPr>
            <w:webHidden/>
            <w:sz w:val="18"/>
            <w:szCs w:val="18"/>
          </w:rPr>
        </w:r>
        <w:r w:rsidRPr="00136389">
          <w:rPr>
            <w:webHidden/>
            <w:sz w:val="18"/>
            <w:szCs w:val="18"/>
          </w:rPr>
          <w:fldChar w:fldCharType="separate"/>
        </w:r>
        <w:r w:rsidR="00136389" w:rsidRPr="00136389">
          <w:rPr>
            <w:noProof/>
            <w:webHidden/>
            <w:sz w:val="18"/>
            <w:szCs w:val="18"/>
          </w:rPr>
          <w:t>93</w:t>
        </w:r>
        <w:r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2" w:history="1">
        <w:r w:rsidR="00136389" w:rsidRPr="00136389">
          <w:rPr>
            <w:sz w:val="18"/>
            <w:szCs w:val="18"/>
          </w:rPr>
          <w:t xml:space="preserve">Cuadro 3.2  </w:t>
        </w:r>
        <w:r w:rsidR="00136389">
          <w:rPr>
            <w:sz w:val="18"/>
            <w:szCs w:val="18"/>
          </w:rPr>
          <w:tab/>
        </w:r>
        <w:r w:rsidR="00136389" w:rsidRPr="00136389">
          <w:rPr>
            <w:sz w:val="18"/>
            <w:szCs w:val="18"/>
          </w:rPr>
          <w:t>DISPOSICIÓN DE LAS HERRAMIENTAS DE GESTIÓN POR TAMAÑO DE EMPRESA. 2014 (% de las empresas que disponen de estas herramientas)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_Toc450119762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3" w:history="1">
        <w:r w:rsidR="00136389" w:rsidRPr="00136389">
          <w:rPr>
            <w:sz w:val="18"/>
            <w:szCs w:val="18"/>
          </w:rPr>
          <w:t xml:space="preserve">Cuadro 3.3 </w:t>
        </w:r>
        <w:r w:rsidR="00136389">
          <w:rPr>
            <w:sz w:val="18"/>
            <w:szCs w:val="18"/>
          </w:rPr>
          <w:tab/>
        </w:r>
        <w:r w:rsidR="00136389" w:rsidRPr="00136389">
          <w:rPr>
            <w:sz w:val="18"/>
            <w:szCs w:val="18"/>
          </w:rPr>
          <w:t>DISPOSICIÓN DE LAS HERRAMIENTAS DE GESTIÓN EMPRESARIAL POR TAMAÑO EMPRESARIAL SEGÚN FORMA JURÍDICA. 2014 (% de las empresas que disponen de estas herramientas)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_Toc450119763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4" w:history="1">
        <w:r w:rsidR="00136389" w:rsidRPr="00136389">
          <w:rPr>
            <w:sz w:val="18"/>
            <w:szCs w:val="18"/>
          </w:rPr>
          <w:t xml:space="preserve">Cuadro 3.4 </w:t>
        </w:r>
        <w:r w:rsidR="00136389">
          <w:rPr>
            <w:sz w:val="18"/>
            <w:szCs w:val="18"/>
          </w:rPr>
          <w:tab/>
        </w:r>
        <w:r w:rsidR="00136389" w:rsidRPr="00136389">
          <w:rPr>
            <w:sz w:val="18"/>
            <w:szCs w:val="18"/>
          </w:rPr>
          <w:t>PROPENSIÓN A LA INCORPORACIÓN DE LAS HERRAMIENTAS DE GESTIÓN POR TAMAÑO DE EMPRESA.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94</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5" w:history="1">
        <w:r w:rsidR="00136389" w:rsidRPr="00136389">
          <w:rPr>
            <w:sz w:val="18"/>
            <w:szCs w:val="18"/>
          </w:rPr>
          <w:t xml:space="preserve">Cuadro 3.5 </w:t>
        </w:r>
        <w:r w:rsidR="00136389">
          <w:rPr>
            <w:sz w:val="18"/>
            <w:szCs w:val="18"/>
          </w:rPr>
          <w:tab/>
        </w:r>
        <w:r w:rsidR="00136389" w:rsidRPr="00136389">
          <w:rPr>
            <w:sz w:val="18"/>
            <w:szCs w:val="18"/>
          </w:rPr>
          <w:t>DISPOSICIÓN DE SISTEMAS DE PREVENCIÓN DE RIESGOS LABORALES POR SECTOR DE ACTIVIDAD.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6" w:history="1">
        <w:r w:rsidR="00136389" w:rsidRPr="00136389">
          <w:rPr>
            <w:sz w:val="18"/>
            <w:szCs w:val="18"/>
          </w:rPr>
          <w:t xml:space="preserve">Cuadro 3.6 </w:t>
        </w:r>
        <w:r w:rsidR="00136389">
          <w:rPr>
            <w:sz w:val="18"/>
            <w:szCs w:val="18"/>
          </w:rPr>
          <w:tab/>
        </w:r>
        <w:r w:rsidR="00136389" w:rsidRPr="00136389">
          <w:rPr>
            <w:sz w:val="18"/>
            <w:szCs w:val="18"/>
          </w:rPr>
          <w:t>DISPOSICIÓN DE SISTEMAS DE PREVENCIÓN DE RIESGOS LABORALES POR TAMAÑO EMPRESARIAL.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_Toc450119766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7" w:history="1">
        <w:r w:rsidR="00136389" w:rsidRPr="00136389">
          <w:rPr>
            <w:sz w:val="18"/>
            <w:szCs w:val="18"/>
          </w:rPr>
          <w:t xml:space="preserve">Cuadro 3.7 </w:t>
        </w:r>
        <w:r w:rsidR="00136389">
          <w:rPr>
            <w:sz w:val="18"/>
            <w:szCs w:val="18"/>
          </w:rPr>
          <w:tab/>
        </w:r>
        <w:r w:rsidR="00136389" w:rsidRPr="00136389">
          <w:rPr>
            <w:sz w:val="18"/>
            <w:szCs w:val="18"/>
          </w:rPr>
          <w:t>RELACIONES DE COOPERACIÓN DE LAS EMPRESAS DE LA ECONOMÍA SOCIAL SEGÚN FORMA JURÍDICA.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_Toc450119767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96</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8" w:history="1">
        <w:r w:rsidR="00136389" w:rsidRPr="00136389">
          <w:rPr>
            <w:sz w:val="18"/>
            <w:szCs w:val="18"/>
          </w:rPr>
          <w:t xml:space="preserve">Cuadro 3.8 </w:t>
        </w:r>
        <w:r w:rsidR="00136389">
          <w:rPr>
            <w:sz w:val="18"/>
            <w:szCs w:val="18"/>
          </w:rPr>
          <w:tab/>
        </w:r>
        <w:r w:rsidR="00136389" w:rsidRPr="00136389">
          <w:rPr>
            <w:sz w:val="18"/>
            <w:szCs w:val="18"/>
          </w:rPr>
          <w:t>FORMA JURÍDICA DE LAS EMPRESAS CON LAS QUE SE MANTIENEN RELACIONES DE COOPERACIÓN SEGÚN LA FORMA JURÍDICA.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_Toc450119768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96</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69" w:history="1">
        <w:r w:rsidR="00136389" w:rsidRPr="00136389">
          <w:rPr>
            <w:sz w:val="18"/>
            <w:szCs w:val="18"/>
          </w:rPr>
          <w:t xml:space="preserve">Cuadro 3.9 </w:t>
        </w:r>
        <w:r w:rsidR="00136389">
          <w:rPr>
            <w:sz w:val="18"/>
            <w:szCs w:val="18"/>
          </w:rPr>
          <w:tab/>
        </w:r>
        <w:r w:rsidR="00136389" w:rsidRPr="00136389">
          <w:rPr>
            <w:sz w:val="18"/>
            <w:szCs w:val="18"/>
          </w:rPr>
          <w:t>LOCALIZACIÓN GEOGRÁFICA DE LAS EMPRESAS SEGÚN FORMA JURÍDICA.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_Toc450119769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97</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70" w:history="1">
        <w:r w:rsidR="00136389" w:rsidRPr="00136389">
          <w:rPr>
            <w:sz w:val="18"/>
            <w:szCs w:val="18"/>
          </w:rPr>
          <w:t xml:space="preserve">Cuadro 3.10 </w:t>
        </w:r>
        <w:r w:rsidR="00136389">
          <w:rPr>
            <w:sz w:val="18"/>
            <w:szCs w:val="18"/>
          </w:rPr>
          <w:tab/>
        </w:r>
        <w:r w:rsidR="00136389" w:rsidRPr="00136389">
          <w:rPr>
            <w:sz w:val="18"/>
            <w:szCs w:val="18"/>
          </w:rPr>
          <w:t>REALIZACIÓN DE ACTIVIDADES DE INNOVACIÓN POR TERRITORIO HISTÓRICO.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_Toc450119770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98</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71" w:history="1">
        <w:r w:rsidR="00136389" w:rsidRPr="00136389">
          <w:rPr>
            <w:sz w:val="18"/>
            <w:szCs w:val="18"/>
          </w:rPr>
          <w:t xml:space="preserve">Cuadro 3.11 </w:t>
        </w:r>
        <w:r w:rsidR="00136389">
          <w:rPr>
            <w:sz w:val="18"/>
            <w:szCs w:val="18"/>
          </w:rPr>
          <w:tab/>
        </w:r>
        <w:r w:rsidR="00136389" w:rsidRPr="00136389">
          <w:rPr>
            <w:sz w:val="18"/>
            <w:szCs w:val="18"/>
          </w:rPr>
          <w:t>REALIZACIÓN DE ACTIVIDADES DE INNOVACIÓN POR TAMAÑO EMPRESARIAL.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_Toc450119771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72" w:history="1">
        <w:r w:rsidR="00136389" w:rsidRPr="00136389">
          <w:rPr>
            <w:sz w:val="18"/>
            <w:szCs w:val="18"/>
          </w:rPr>
          <w:t xml:space="preserve">Cuadro 3.12 </w:t>
        </w:r>
        <w:r w:rsidR="00136389">
          <w:rPr>
            <w:sz w:val="18"/>
            <w:szCs w:val="18"/>
          </w:rPr>
          <w:tab/>
        </w:r>
        <w:r w:rsidR="00136389" w:rsidRPr="00136389">
          <w:rPr>
            <w:sz w:val="18"/>
            <w:szCs w:val="18"/>
          </w:rPr>
          <w:t>REALIZACIÓN DE ACTIVIDADES DE INNOVACIÓN POR TIPO DE ACTIVIDAD.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_Toc450119772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73" w:history="1">
        <w:r w:rsidR="00136389" w:rsidRPr="00136389">
          <w:rPr>
            <w:sz w:val="18"/>
            <w:szCs w:val="18"/>
          </w:rPr>
          <w:t xml:space="preserve">Cuadro 3.13 </w:t>
        </w:r>
        <w:r w:rsidR="00136389">
          <w:rPr>
            <w:sz w:val="18"/>
            <w:szCs w:val="18"/>
          </w:rPr>
          <w:tab/>
        </w:r>
        <w:r w:rsidR="00136389" w:rsidRPr="00136389">
          <w:rPr>
            <w:sz w:val="18"/>
            <w:szCs w:val="18"/>
          </w:rPr>
          <w:t>TIPO DE IMPACTOS DE LA INNOVACIÓN SOBRE EL EMPLEO TOTAL.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_Toc450119773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99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774" w:history="1">
        <w:r w:rsidR="00136389" w:rsidRPr="00136389">
          <w:rPr>
            <w:sz w:val="18"/>
            <w:szCs w:val="18"/>
          </w:rPr>
          <w:t xml:space="preserve">Cuadro 3.14 </w:t>
        </w:r>
        <w:r w:rsidR="00136389">
          <w:rPr>
            <w:sz w:val="18"/>
            <w:szCs w:val="18"/>
          </w:rPr>
          <w:tab/>
        </w:r>
        <w:r w:rsidR="00136389" w:rsidRPr="00136389">
          <w:rPr>
            <w:sz w:val="18"/>
            <w:szCs w:val="18"/>
          </w:rPr>
          <w:t>TIPO E INTENSIDAD DEL IMPACTO DE LA INNOVACIÓN SOBRE EL EMPLEO TOTAL.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_Toc450119774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100</w:t>
        </w:r>
        <w:r w:rsidR="00771A61" w:rsidRPr="00136389">
          <w:rPr>
            <w:webHidden/>
            <w:sz w:val="18"/>
            <w:szCs w:val="18"/>
          </w:rPr>
          <w:fldChar w:fldCharType="end"/>
        </w:r>
      </w:hyperlink>
    </w:p>
    <w:p w:rsidR="00136389" w:rsidRDefault="00503E0A" w:rsidP="00136389">
      <w:pPr>
        <w:pStyle w:val="Tabladeilustraciones"/>
        <w:tabs>
          <w:tab w:val="left" w:pos="8505"/>
        </w:tabs>
        <w:spacing w:line="240" w:lineRule="auto"/>
        <w:ind w:left="1134" w:right="708" w:hanging="1134"/>
        <w:rPr>
          <w:rFonts w:asciiTheme="minorHAnsi" w:eastAsiaTheme="minorEastAsia" w:hAnsiTheme="minorHAnsi"/>
          <w:noProof/>
          <w:sz w:val="22"/>
          <w:lang w:eastAsia="es-ES"/>
        </w:rPr>
      </w:pPr>
      <w:hyperlink w:anchor="_Toc450119775" w:history="1">
        <w:r w:rsidR="00136389" w:rsidRPr="00136389">
          <w:rPr>
            <w:sz w:val="18"/>
            <w:szCs w:val="18"/>
          </w:rPr>
          <w:t xml:space="preserve">Cuadro 3.15 </w:t>
        </w:r>
        <w:r w:rsidR="00136389">
          <w:rPr>
            <w:sz w:val="18"/>
            <w:szCs w:val="18"/>
          </w:rPr>
          <w:tab/>
        </w:r>
        <w:r w:rsidR="00136389" w:rsidRPr="00136389">
          <w:rPr>
            <w:sz w:val="18"/>
            <w:szCs w:val="18"/>
          </w:rPr>
          <w:t>TIPO E INTENSIDAD DEL IMPACTO DE LA INNOVACIÓN SOBRE EL EMPLEO CUALIFICADO.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_Toc450119775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100</w:t>
        </w:r>
        <w:r w:rsidR="00771A61" w:rsidRPr="00136389">
          <w:rPr>
            <w:webHidden/>
            <w:sz w:val="18"/>
            <w:szCs w:val="18"/>
          </w:rPr>
          <w:fldChar w:fldCharType="end"/>
        </w:r>
      </w:hyperlink>
    </w:p>
    <w:p w:rsidR="00A67658" w:rsidRPr="00DB6D48" w:rsidRDefault="00771A61" w:rsidP="00DB6D48">
      <w:pPr>
        <w:pStyle w:val="Tabladeilustraciones"/>
        <w:tabs>
          <w:tab w:val="left" w:pos="8505"/>
        </w:tabs>
        <w:spacing w:line="240" w:lineRule="auto"/>
        <w:ind w:left="1134" w:right="708" w:hanging="1134"/>
        <w:rPr>
          <w:rStyle w:val="Hipervnculo"/>
          <w:rFonts w:cs="Arial"/>
          <w:noProof/>
          <w:sz w:val="18"/>
          <w:szCs w:val="18"/>
        </w:rPr>
      </w:pPr>
      <w:r w:rsidRPr="00DB6D48">
        <w:rPr>
          <w:rStyle w:val="Hipervnculo"/>
          <w:rFonts w:cs="Arial"/>
          <w:noProof/>
          <w:sz w:val="18"/>
          <w:szCs w:val="18"/>
        </w:rPr>
        <w:fldChar w:fldCharType="end"/>
      </w:r>
    </w:p>
    <w:p w:rsidR="00136389" w:rsidRPr="00136389" w:rsidRDefault="00771A61" w:rsidP="00136389">
      <w:pPr>
        <w:pStyle w:val="Tabladeilustraciones"/>
        <w:tabs>
          <w:tab w:val="left" w:pos="8505"/>
        </w:tabs>
        <w:spacing w:line="240" w:lineRule="auto"/>
        <w:ind w:left="1134" w:right="708" w:hanging="1134"/>
        <w:rPr>
          <w:sz w:val="18"/>
          <w:szCs w:val="18"/>
        </w:rPr>
      </w:pPr>
      <w:r w:rsidRPr="001C55AC">
        <w:rPr>
          <w:sz w:val="18"/>
          <w:szCs w:val="18"/>
        </w:rPr>
        <w:fldChar w:fldCharType="begin"/>
      </w:r>
      <w:r w:rsidR="00A67658" w:rsidRPr="001C55AC">
        <w:rPr>
          <w:sz w:val="18"/>
          <w:szCs w:val="18"/>
        </w:rPr>
        <w:instrText xml:space="preserve"> TOC \h \z \c "Cuadro 4." </w:instrText>
      </w:r>
      <w:r w:rsidRPr="001C55AC">
        <w:rPr>
          <w:sz w:val="18"/>
          <w:szCs w:val="18"/>
        </w:rPr>
        <w:fldChar w:fldCharType="separate"/>
      </w:r>
      <w:hyperlink w:anchor="_Toc450119826" w:history="1">
        <w:r w:rsidR="00136389" w:rsidRPr="00136389">
          <w:rPr>
            <w:sz w:val="18"/>
            <w:szCs w:val="18"/>
          </w:rPr>
          <w:t xml:space="preserve">Cuadro 4.1 </w:t>
        </w:r>
        <w:r w:rsidR="00136389">
          <w:rPr>
            <w:sz w:val="18"/>
            <w:szCs w:val="18"/>
          </w:rPr>
          <w:tab/>
        </w:r>
        <w:r w:rsidR="00136389" w:rsidRPr="00136389">
          <w:rPr>
            <w:sz w:val="18"/>
            <w:szCs w:val="18"/>
          </w:rPr>
          <w:t>DISTRIBUCIÓN DE ENTIDADES NUEVAS FORMAS DE LA ECONOMÍA SOCIAL 2012 y 2014 (cifras absolutas y % verticales)</w:t>
        </w:r>
        <w:r w:rsidR="00136389" w:rsidRPr="00136389">
          <w:rPr>
            <w:webHidden/>
            <w:sz w:val="18"/>
            <w:szCs w:val="18"/>
          </w:rPr>
          <w:tab/>
        </w:r>
        <w:r w:rsidRPr="00136389">
          <w:rPr>
            <w:webHidden/>
            <w:sz w:val="18"/>
            <w:szCs w:val="18"/>
          </w:rPr>
          <w:fldChar w:fldCharType="begin"/>
        </w:r>
        <w:r w:rsidR="00136389" w:rsidRPr="00136389">
          <w:rPr>
            <w:webHidden/>
            <w:sz w:val="18"/>
            <w:szCs w:val="18"/>
          </w:rPr>
          <w:instrText xml:space="preserve"> PAGEREF _Toc450119826 \h </w:instrText>
        </w:r>
        <w:r w:rsidRPr="00136389">
          <w:rPr>
            <w:webHidden/>
            <w:sz w:val="18"/>
            <w:szCs w:val="18"/>
          </w:rPr>
        </w:r>
        <w:r w:rsidRPr="00136389">
          <w:rPr>
            <w:webHidden/>
            <w:sz w:val="18"/>
            <w:szCs w:val="18"/>
          </w:rPr>
          <w:fldChar w:fldCharType="separate"/>
        </w:r>
        <w:r w:rsidR="00136389" w:rsidRPr="00136389">
          <w:rPr>
            <w:noProof/>
            <w:webHidden/>
            <w:sz w:val="18"/>
            <w:szCs w:val="18"/>
          </w:rPr>
          <w:t>101</w:t>
        </w:r>
        <w:r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27" w:history="1">
        <w:r w:rsidR="00136389" w:rsidRPr="00136389">
          <w:rPr>
            <w:sz w:val="18"/>
            <w:szCs w:val="18"/>
          </w:rPr>
          <w:t xml:space="preserve">Cuadro 4.2  </w:t>
        </w:r>
        <w:r w:rsidR="00136389">
          <w:rPr>
            <w:sz w:val="18"/>
            <w:szCs w:val="18"/>
          </w:rPr>
          <w:tab/>
        </w:r>
        <w:r w:rsidR="00136389" w:rsidRPr="00136389">
          <w:rPr>
            <w:sz w:val="18"/>
            <w:szCs w:val="18"/>
          </w:rPr>
          <w:t>DISTRIBUCIÓN DE ESTABLECIMIENTOS POR SEGMENTOS NUEVAS FORMAS DE LA ECONOMÍA SOCIAL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_Toc450119827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101</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28" w:history="1">
        <w:r w:rsidR="00136389" w:rsidRPr="00136389">
          <w:rPr>
            <w:sz w:val="18"/>
            <w:szCs w:val="18"/>
          </w:rPr>
          <w:t xml:space="preserve">Cuadro 4.3 </w:t>
        </w:r>
        <w:r w:rsidR="00136389">
          <w:rPr>
            <w:sz w:val="18"/>
            <w:szCs w:val="18"/>
          </w:rPr>
          <w:tab/>
        </w:r>
        <w:r w:rsidR="00136389" w:rsidRPr="00136389">
          <w:rPr>
            <w:sz w:val="18"/>
            <w:szCs w:val="18"/>
          </w:rPr>
          <w:t>DISTRIBUCIÓN DE EMPLEO REMUNERADO ANUALIZADO ESTIMADO POR SEGMENTOS NUEVAS FORMAS DE LA ECONOMÍA SOCIAL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_Toc450119828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102</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29" w:history="1">
        <w:r w:rsidR="00136389" w:rsidRPr="00136389">
          <w:rPr>
            <w:sz w:val="18"/>
            <w:szCs w:val="18"/>
          </w:rPr>
          <w:t xml:space="preserve">Cuadro 4.4 </w:t>
        </w:r>
        <w:r w:rsidR="00136389">
          <w:rPr>
            <w:sz w:val="18"/>
            <w:szCs w:val="18"/>
          </w:rPr>
          <w:tab/>
        </w:r>
        <w:r w:rsidR="00136389" w:rsidRPr="00136389">
          <w:rPr>
            <w:sz w:val="18"/>
            <w:szCs w:val="18"/>
          </w:rPr>
          <w:t>INDICADORES DE LA DIMENSIÓN DE LAS EMPRESAS DE LAS NUEVAS FORMAS DE LA ECONOMÍA SOCIAL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_Toc450119829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102</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0" w:history="1">
        <w:r w:rsidR="00136389" w:rsidRPr="00136389">
          <w:rPr>
            <w:sz w:val="18"/>
            <w:szCs w:val="18"/>
          </w:rPr>
          <w:t xml:space="preserve">Cuadro 4.5 </w:t>
        </w:r>
        <w:r w:rsidR="00136389">
          <w:rPr>
            <w:sz w:val="18"/>
            <w:szCs w:val="18"/>
          </w:rPr>
          <w:tab/>
        </w:r>
        <w:r w:rsidR="00136389" w:rsidRPr="00136389">
          <w:rPr>
            <w:sz w:val="18"/>
            <w:szCs w:val="18"/>
          </w:rPr>
          <w:t>DISTRIBUCIÓN POR DEL EMPLEO SEGÚN GÉNERO POR TIPO DE ENTIDAD EN LAS NFES 2014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_Toc450119830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102</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1" w:history="1">
        <w:r w:rsidR="00136389" w:rsidRPr="00136389">
          <w:rPr>
            <w:sz w:val="18"/>
            <w:szCs w:val="18"/>
          </w:rPr>
          <w:t xml:space="preserve">Cuadro 4.6 </w:t>
        </w:r>
        <w:r w:rsidR="00136389">
          <w:rPr>
            <w:sz w:val="18"/>
            <w:szCs w:val="18"/>
          </w:rPr>
          <w:tab/>
        </w:r>
        <w:r w:rsidR="00136389" w:rsidRPr="00136389">
          <w:rPr>
            <w:sz w:val="18"/>
            <w:szCs w:val="18"/>
          </w:rPr>
          <w:t>DISTRIBUCIÓN DEL EMPLEO SEGÚN RELACIÓN CONTRACTUAL POR TIPO DE ENTIDAD EN LAS NFES. 2014 (% horizontales)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_Toc450119831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102</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2" w:history="1">
        <w:r w:rsidR="00136389" w:rsidRPr="00136389">
          <w:rPr>
            <w:sz w:val="18"/>
            <w:szCs w:val="18"/>
          </w:rPr>
          <w:t xml:space="preserve">Cuadro 4.7 </w:t>
        </w:r>
        <w:r w:rsidR="00136389">
          <w:rPr>
            <w:sz w:val="18"/>
            <w:szCs w:val="18"/>
          </w:rPr>
          <w:tab/>
        </w:r>
        <w:r w:rsidR="00136389" w:rsidRPr="00136389">
          <w:rPr>
            <w:sz w:val="18"/>
            <w:szCs w:val="18"/>
          </w:rPr>
          <w:t>DISTRIBUCIÓN DEL EMPLEO VOLUNTARIO ANUALIZADO POR GÉNERO Y POR TIPO DE ENTIDAD EN LAS NFES. 2014 (cifras absolutas y % verticales) Y PESO RELATIVO S/ EMPLEO REMUNERADO</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_Toc450119832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3" w:history="1">
        <w:r w:rsidR="00136389" w:rsidRPr="00136389">
          <w:rPr>
            <w:sz w:val="18"/>
            <w:szCs w:val="18"/>
          </w:rPr>
          <w:t xml:space="preserve">Cuadro 4.8 </w:t>
        </w:r>
        <w:r w:rsidR="00136389">
          <w:rPr>
            <w:sz w:val="18"/>
            <w:szCs w:val="18"/>
          </w:rPr>
          <w:tab/>
        </w:r>
        <w:r w:rsidR="00136389" w:rsidRPr="00136389">
          <w:rPr>
            <w:sz w:val="18"/>
            <w:szCs w:val="18"/>
          </w:rPr>
          <w:t>DISTRIBUCIÓN DEL EMPLEO –total personas- POR TIPO DE ENTIDAD EN LAS NFES. 2014 (cifras absolutas y % verticales) Y EMPLEO VOLUNTARIO POR ENTIDAD</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_Toc450119833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4" w:history="1">
        <w:r w:rsidR="00136389" w:rsidRPr="00136389">
          <w:rPr>
            <w:sz w:val="18"/>
            <w:szCs w:val="18"/>
          </w:rPr>
          <w:t xml:space="preserve">Cuadro 4.9  </w:t>
        </w:r>
        <w:r w:rsidR="00136389">
          <w:rPr>
            <w:sz w:val="18"/>
            <w:szCs w:val="18"/>
          </w:rPr>
          <w:tab/>
        </w:r>
        <w:r w:rsidR="00136389" w:rsidRPr="00136389">
          <w:rPr>
            <w:sz w:val="18"/>
            <w:szCs w:val="18"/>
          </w:rPr>
          <w:t>DISTRIBUCIÓN DEL EMPLEO VOLUNTARIO –total personas- POR GÉNERO Y POR TIPO DE ENTIDAD EN LAS NFES.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5" w:history="1">
        <w:r w:rsidR="00136389" w:rsidRPr="00136389">
          <w:rPr>
            <w:sz w:val="18"/>
            <w:szCs w:val="18"/>
          </w:rPr>
          <w:t>Cuadro 4.10</w:t>
        </w:r>
        <w:r w:rsidR="00136389">
          <w:rPr>
            <w:sz w:val="18"/>
            <w:szCs w:val="18"/>
          </w:rPr>
          <w:tab/>
        </w:r>
        <w:r w:rsidR="00136389" w:rsidRPr="00136389">
          <w:rPr>
            <w:sz w:val="18"/>
            <w:szCs w:val="18"/>
          </w:rPr>
          <w:t>DISTRIBUCIÓN DEL EMPLEO VOLUNTARIO –total personas- POR TIPO DE RELACIÓN –estructural o puntual- Y POR TIPO DE ENTIDAD EN LAS NFES.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104</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6" w:history="1">
        <w:r w:rsidR="00136389" w:rsidRPr="00136389">
          <w:rPr>
            <w:sz w:val="18"/>
            <w:szCs w:val="18"/>
          </w:rPr>
          <w:t xml:space="preserve">Cuadro 4.11 </w:t>
        </w:r>
        <w:r w:rsidR="00136389">
          <w:rPr>
            <w:sz w:val="18"/>
            <w:szCs w:val="18"/>
          </w:rPr>
          <w:tab/>
        </w:r>
        <w:r w:rsidR="00136389" w:rsidRPr="00136389">
          <w:rPr>
            <w:sz w:val="18"/>
            <w:szCs w:val="18"/>
          </w:rPr>
          <w:t>EVOLUCIÓN DE LA FACTURACIÓN POR SEGMENTOS NUEVAS FORMAS DE LA ECONOMÍA SOCIAL 2014 (cifras absolutas y %v.)</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_Toc450119836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7" w:history="1">
        <w:r w:rsidR="00136389" w:rsidRPr="00136389">
          <w:rPr>
            <w:sz w:val="18"/>
            <w:szCs w:val="18"/>
          </w:rPr>
          <w:t>Cuadro 4.12</w:t>
        </w:r>
        <w:r w:rsidR="00136389">
          <w:rPr>
            <w:sz w:val="18"/>
            <w:szCs w:val="18"/>
          </w:rPr>
          <w:tab/>
        </w:r>
        <w:r w:rsidR="00136389" w:rsidRPr="00136389">
          <w:rPr>
            <w:sz w:val="18"/>
            <w:szCs w:val="18"/>
          </w:rPr>
          <w:t>SUBVENCIONES POR TIPO DE ENTIDAD NFES 2014 Y PESO DE LAS SUBVENCIONES s/ FACTURACIÓN NFES 2014(cifras absolutas)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_Toc450119837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8" w:history="1">
        <w:r w:rsidR="00136389" w:rsidRPr="00136389">
          <w:rPr>
            <w:sz w:val="18"/>
            <w:szCs w:val="18"/>
          </w:rPr>
          <w:t xml:space="preserve">Cuadro 4.13  </w:t>
        </w:r>
        <w:r w:rsidR="00136389">
          <w:rPr>
            <w:sz w:val="18"/>
            <w:szCs w:val="18"/>
          </w:rPr>
          <w:tab/>
        </w:r>
        <w:r w:rsidR="00136389" w:rsidRPr="00136389">
          <w:rPr>
            <w:sz w:val="18"/>
            <w:szCs w:val="18"/>
          </w:rPr>
          <w:t>SUELDOS Y SALARIOS POR TIPO DE ENTIDAD NFES 2014 (cifras absolutas y %v)</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_Toc450119838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106</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39" w:history="1">
        <w:r w:rsidR="00136389" w:rsidRPr="00136389">
          <w:rPr>
            <w:sz w:val="18"/>
            <w:szCs w:val="18"/>
          </w:rPr>
          <w:t>Cuadro 4.14</w:t>
        </w:r>
        <w:r w:rsidR="00136389">
          <w:rPr>
            <w:sz w:val="18"/>
            <w:szCs w:val="18"/>
          </w:rPr>
          <w:tab/>
        </w:r>
        <w:r w:rsidR="00136389" w:rsidRPr="00136389">
          <w:rPr>
            <w:sz w:val="18"/>
            <w:szCs w:val="18"/>
          </w:rPr>
          <w:t>SUELDOS Y SALARIOS POR TIPO DE ENTIDAD NFES 2014 Y RATIO DE SUELDOS Y SALARIOS POR EMPLEO REMUNERADO (cifras absolutas)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_Toc450119839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106</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0" w:history="1">
        <w:r w:rsidR="00136389" w:rsidRPr="00136389">
          <w:rPr>
            <w:sz w:val="18"/>
            <w:szCs w:val="18"/>
          </w:rPr>
          <w:t xml:space="preserve">Cuadro 4.15 </w:t>
        </w:r>
        <w:r w:rsidR="00136389">
          <w:rPr>
            <w:sz w:val="18"/>
            <w:szCs w:val="18"/>
          </w:rPr>
          <w:tab/>
        </w:r>
        <w:r w:rsidR="00136389" w:rsidRPr="00136389">
          <w:rPr>
            <w:sz w:val="18"/>
            <w:szCs w:val="18"/>
          </w:rPr>
          <w:t>CUENTA DE RESULTADOS DE NFES EN 2014 (cifras absolutas en Euros) (Precios corrientes) –Se excluyen las EPSVs-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_Toc450119840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108</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1" w:history="1">
        <w:r w:rsidR="00136389" w:rsidRPr="00136389">
          <w:rPr>
            <w:sz w:val="18"/>
            <w:szCs w:val="18"/>
          </w:rPr>
          <w:t xml:space="preserve">Cuadro 4.16  </w:t>
        </w:r>
        <w:r w:rsidR="00136389">
          <w:rPr>
            <w:sz w:val="18"/>
            <w:szCs w:val="18"/>
          </w:rPr>
          <w:tab/>
        </w:r>
        <w:r w:rsidR="00136389" w:rsidRPr="00136389">
          <w:rPr>
            <w:sz w:val="18"/>
            <w:szCs w:val="18"/>
          </w:rPr>
          <w:t>CUENTA DE RESULTADOS DE FUNDACIONES EN 2014 (cifras absolutas en Euros) (Precios corrientes)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_Toc450119841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108</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2" w:history="1">
        <w:r w:rsidR="00136389" w:rsidRPr="00136389">
          <w:rPr>
            <w:sz w:val="18"/>
            <w:szCs w:val="18"/>
          </w:rPr>
          <w:t xml:space="preserve">Cuadro 4.17  </w:t>
        </w:r>
        <w:r w:rsidR="00136389">
          <w:rPr>
            <w:sz w:val="18"/>
            <w:szCs w:val="18"/>
          </w:rPr>
          <w:tab/>
        </w:r>
        <w:r w:rsidR="00136389" w:rsidRPr="00136389">
          <w:rPr>
            <w:sz w:val="18"/>
            <w:szCs w:val="18"/>
          </w:rPr>
          <w:t>CUENTA DE RESULTADOS DE ASOCIACIONES DE UTILIDAD PÚBLICA EN 2014 (cifras absolutas en Euros) (Precios corrientes)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_Toc450119842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3" w:history="1">
        <w:r w:rsidR="00136389" w:rsidRPr="00136389">
          <w:rPr>
            <w:sz w:val="18"/>
            <w:szCs w:val="18"/>
          </w:rPr>
          <w:t xml:space="preserve">Cuadro 4.18 </w:t>
        </w:r>
        <w:r w:rsidR="00136389">
          <w:rPr>
            <w:sz w:val="18"/>
            <w:szCs w:val="18"/>
          </w:rPr>
          <w:tab/>
        </w:r>
        <w:r w:rsidR="00136389" w:rsidRPr="00136389">
          <w:rPr>
            <w:sz w:val="18"/>
            <w:szCs w:val="18"/>
          </w:rPr>
          <w:t>CUENTA DE RESULTADOS DE CENTROS ESPECIALES DE EMPLEO EN 2014 (cifras absolutas en Euros) (Precios corrientes)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_Toc450119843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109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4" w:history="1">
        <w:r w:rsidR="00136389" w:rsidRPr="00136389">
          <w:rPr>
            <w:sz w:val="18"/>
            <w:szCs w:val="18"/>
          </w:rPr>
          <w:t>Cuadro 4.19</w:t>
        </w:r>
        <w:r w:rsidR="00136389">
          <w:rPr>
            <w:sz w:val="18"/>
            <w:szCs w:val="18"/>
          </w:rPr>
          <w:tab/>
        </w:r>
        <w:r w:rsidR="00136389" w:rsidRPr="00136389">
          <w:rPr>
            <w:sz w:val="18"/>
            <w:szCs w:val="18"/>
          </w:rPr>
          <w:t>CUENTA DE RESULTADOS DE EMPRESAS DE INSERCIÓN EN 2014 (cifras absolutas en Euros) (Precios corrientes)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110</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5" w:history="1">
        <w:r w:rsidR="00136389" w:rsidRPr="00136389">
          <w:rPr>
            <w:sz w:val="18"/>
            <w:szCs w:val="18"/>
          </w:rPr>
          <w:t xml:space="preserve">Cuadro 4.20 </w:t>
        </w:r>
        <w:r w:rsidR="00136389">
          <w:rPr>
            <w:sz w:val="18"/>
            <w:szCs w:val="18"/>
          </w:rPr>
          <w:tab/>
        </w:r>
        <w:r w:rsidR="00136389" w:rsidRPr="00136389">
          <w:rPr>
            <w:sz w:val="18"/>
            <w:szCs w:val="18"/>
          </w:rPr>
          <w:t>CUENTA DE RESULTADOS DE COFRADÍAS DE PESCADORES EN 2014 (cifras absolutas en Euros) (Precios corrientes)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110</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6" w:history="1">
        <w:r w:rsidR="00136389" w:rsidRPr="00136389">
          <w:rPr>
            <w:sz w:val="18"/>
            <w:szCs w:val="18"/>
          </w:rPr>
          <w:t xml:space="preserve">Cuadro 4.21  </w:t>
        </w:r>
        <w:r w:rsidR="00136389">
          <w:rPr>
            <w:sz w:val="18"/>
            <w:szCs w:val="18"/>
          </w:rPr>
          <w:tab/>
        </w:r>
        <w:r w:rsidR="00136389" w:rsidRPr="00136389">
          <w:rPr>
            <w:sz w:val="18"/>
            <w:szCs w:val="18"/>
          </w:rPr>
          <w:t>CUENTA DE RESULTADOS DE SOCIEDADES AGRARIAS DE TRANSFORMACIÓN EN 2014 (cifras absolutas en Euros) (Precios corrientes)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_Toc450119846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111</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7" w:history="1">
        <w:r w:rsidR="00136389" w:rsidRPr="00136389">
          <w:rPr>
            <w:sz w:val="18"/>
            <w:szCs w:val="18"/>
          </w:rPr>
          <w:t xml:space="preserve">Cuadro 4.22 </w:t>
        </w:r>
        <w:r w:rsidR="00136389">
          <w:rPr>
            <w:sz w:val="18"/>
            <w:szCs w:val="18"/>
          </w:rPr>
          <w:tab/>
        </w:r>
        <w:r w:rsidR="00136389" w:rsidRPr="00136389">
          <w:rPr>
            <w:sz w:val="18"/>
            <w:szCs w:val="18"/>
          </w:rPr>
          <w:t>DISTRIBUCIÓN TERRITORIAL DE LA FACTURACIÓN POR TIPO DE ENTIDAD DE LAS NFES. 2014 –se excluyen EPSVs-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_Toc450119847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112</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8" w:history="1">
        <w:r w:rsidR="00136389" w:rsidRPr="00136389">
          <w:rPr>
            <w:sz w:val="18"/>
            <w:szCs w:val="18"/>
          </w:rPr>
          <w:t xml:space="preserve">Cuadro 4.23 </w:t>
        </w:r>
        <w:r w:rsidR="00136389">
          <w:rPr>
            <w:sz w:val="18"/>
            <w:szCs w:val="18"/>
          </w:rPr>
          <w:tab/>
        </w:r>
        <w:r w:rsidR="00136389" w:rsidRPr="00136389">
          <w:rPr>
            <w:sz w:val="18"/>
            <w:szCs w:val="18"/>
          </w:rPr>
          <w:t>DISTRIBUCIÓN TERRITORIAL DEL VAB POR TIPO DE ENTIDAD DE LAS NFES. 2014 –se excluyen EPSVs-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_Toc450119848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112</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49" w:history="1">
        <w:r w:rsidR="00136389" w:rsidRPr="00136389">
          <w:rPr>
            <w:sz w:val="18"/>
            <w:szCs w:val="18"/>
          </w:rPr>
          <w:t xml:space="preserve">Cuadro 4.24 </w:t>
        </w:r>
        <w:r w:rsidR="00136389">
          <w:rPr>
            <w:sz w:val="18"/>
            <w:szCs w:val="18"/>
          </w:rPr>
          <w:tab/>
        </w:r>
        <w:r w:rsidR="00136389" w:rsidRPr="00136389">
          <w:rPr>
            <w:sz w:val="18"/>
            <w:szCs w:val="18"/>
          </w:rPr>
          <w:t>DISTRIBUCIÓN POR TIPO DE ENTIDAD DE LOS FONDOS PROPIOS DE LAS NFES.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_Toc450119849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0" w:history="1">
        <w:r w:rsidR="00136389" w:rsidRPr="00136389">
          <w:rPr>
            <w:sz w:val="18"/>
            <w:szCs w:val="18"/>
          </w:rPr>
          <w:t>Cuadro 4.25</w:t>
        </w:r>
        <w:r w:rsidR="00136389">
          <w:rPr>
            <w:sz w:val="18"/>
            <w:szCs w:val="18"/>
          </w:rPr>
          <w:tab/>
        </w:r>
        <w:r w:rsidR="00136389" w:rsidRPr="00136389">
          <w:rPr>
            <w:sz w:val="18"/>
            <w:szCs w:val="18"/>
          </w:rPr>
          <w:t>RATIOS DE ENDEUDAMIENTO SEGÚN TIPO DE ENTIDAD. 2014 (Fondos Ajenos/Fondos Propios)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_Toc450119850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1" w:history="1">
        <w:r w:rsidR="00136389" w:rsidRPr="00136389">
          <w:rPr>
            <w:sz w:val="18"/>
            <w:szCs w:val="18"/>
          </w:rPr>
          <w:t xml:space="preserve">Cuadro 4.26 </w:t>
        </w:r>
        <w:r w:rsidR="00136389">
          <w:rPr>
            <w:sz w:val="18"/>
            <w:szCs w:val="18"/>
          </w:rPr>
          <w:tab/>
        </w:r>
        <w:r w:rsidR="00136389" w:rsidRPr="00136389">
          <w:rPr>
            <w:sz w:val="18"/>
            <w:szCs w:val="18"/>
          </w:rPr>
          <w:t>DISTRIBUCIÓN POR TIPO DE ENTIDAD DE LAS INVERSIONES MATERIALES NFES. 2014 (cifras absolutas en Euros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_Toc450119851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2" w:history="1">
        <w:r w:rsidR="00136389" w:rsidRPr="00136389">
          <w:rPr>
            <w:sz w:val="18"/>
            <w:szCs w:val="18"/>
          </w:rPr>
          <w:t xml:space="preserve">Cuadro 4.27 </w:t>
        </w:r>
        <w:r w:rsidR="00136389">
          <w:rPr>
            <w:sz w:val="18"/>
            <w:szCs w:val="18"/>
          </w:rPr>
          <w:tab/>
        </w:r>
        <w:r w:rsidR="00136389" w:rsidRPr="00136389">
          <w:rPr>
            <w:sz w:val="18"/>
            <w:szCs w:val="18"/>
          </w:rPr>
          <w:t>DISTRIBUCIÓN POR TIPO DE ENTIDAD DE LAS INVERSIONES INMATERIALES NFES. 2014 (cifras absolutas en Euros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_Toc450119852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114</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3" w:history="1">
        <w:r w:rsidR="00136389" w:rsidRPr="00136389">
          <w:rPr>
            <w:sz w:val="18"/>
            <w:szCs w:val="18"/>
          </w:rPr>
          <w:t xml:space="preserve">Cuadro 4.28 </w:t>
        </w:r>
        <w:r w:rsidR="00136389">
          <w:rPr>
            <w:sz w:val="18"/>
            <w:szCs w:val="18"/>
          </w:rPr>
          <w:tab/>
        </w:r>
        <w:r w:rsidR="00136389" w:rsidRPr="00136389">
          <w:rPr>
            <w:sz w:val="18"/>
            <w:szCs w:val="18"/>
          </w:rPr>
          <w:t>ESTRUCTURA SECTORIAL DEL INCREMENTO DE LAS SUBVENCIONES OFICIALES DE CAPITAL.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_Toc450119853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114</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4" w:history="1">
        <w:r w:rsidR="00136389" w:rsidRPr="00136389">
          <w:rPr>
            <w:sz w:val="18"/>
            <w:szCs w:val="18"/>
          </w:rPr>
          <w:t xml:space="preserve">Cuadro 4.29 </w:t>
        </w:r>
        <w:r w:rsidR="00136389">
          <w:rPr>
            <w:sz w:val="18"/>
            <w:szCs w:val="18"/>
          </w:rPr>
          <w:tab/>
        </w:r>
        <w:r w:rsidR="00136389" w:rsidRPr="00136389">
          <w:rPr>
            <w:sz w:val="18"/>
            <w:szCs w:val="18"/>
          </w:rPr>
          <w:t>DISTRIBUCIÓN DE ESTABLECIMIENTOS FCES Y NFES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5" w:history="1">
        <w:r w:rsidR="00136389" w:rsidRPr="00136389">
          <w:rPr>
            <w:sz w:val="18"/>
            <w:szCs w:val="18"/>
          </w:rPr>
          <w:t xml:space="preserve">Cuadro 4.30 </w:t>
        </w:r>
        <w:r w:rsidR="00136389">
          <w:rPr>
            <w:sz w:val="18"/>
            <w:szCs w:val="18"/>
          </w:rPr>
          <w:tab/>
        </w:r>
        <w:r w:rsidR="00136389" w:rsidRPr="00136389">
          <w:rPr>
            <w:sz w:val="18"/>
            <w:szCs w:val="18"/>
          </w:rPr>
          <w:t>DISTRIBUCIÓN DEL EMPLEO REMUNERADO ANUALIZADO FCES Y NFES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6" w:history="1">
        <w:r w:rsidR="00136389" w:rsidRPr="00136389">
          <w:rPr>
            <w:sz w:val="18"/>
            <w:szCs w:val="18"/>
          </w:rPr>
          <w:t xml:space="preserve">Cuadro 4.31 </w:t>
        </w:r>
        <w:r w:rsidR="00136389">
          <w:rPr>
            <w:sz w:val="18"/>
            <w:szCs w:val="18"/>
          </w:rPr>
          <w:tab/>
        </w:r>
        <w:r w:rsidR="00136389" w:rsidRPr="00136389">
          <w:rPr>
            <w:sz w:val="18"/>
            <w:szCs w:val="18"/>
          </w:rPr>
          <w:t>DISTRIBUCIÓN DE FACTURACIÓN FCES Y NFES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_Toc450119856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116</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7" w:history="1">
        <w:r w:rsidR="00136389" w:rsidRPr="00136389">
          <w:rPr>
            <w:sz w:val="18"/>
            <w:szCs w:val="18"/>
          </w:rPr>
          <w:t xml:space="preserve">Cuadro 4.32 </w:t>
        </w:r>
        <w:r w:rsidR="00136389">
          <w:rPr>
            <w:sz w:val="18"/>
            <w:szCs w:val="18"/>
          </w:rPr>
          <w:tab/>
        </w:r>
        <w:r w:rsidR="00136389" w:rsidRPr="00136389">
          <w:rPr>
            <w:sz w:val="18"/>
            <w:szCs w:val="18"/>
          </w:rPr>
          <w:t>DISTRIBUCIÓN DE SUELDOS Y SALARIOS FCES Y NFES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_Toc450119857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116</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8" w:history="1">
        <w:r w:rsidR="00136389" w:rsidRPr="00136389">
          <w:rPr>
            <w:sz w:val="18"/>
            <w:szCs w:val="18"/>
          </w:rPr>
          <w:t xml:space="preserve">Cuadro 4.33 </w:t>
        </w:r>
        <w:r w:rsidR="00136389">
          <w:rPr>
            <w:sz w:val="18"/>
            <w:szCs w:val="18"/>
          </w:rPr>
          <w:tab/>
        </w:r>
        <w:r w:rsidR="00136389" w:rsidRPr="00136389">
          <w:rPr>
            <w:sz w:val="18"/>
            <w:szCs w:val="18"/>
          </w:rPr>
          <w:t>DISTRIBUCIÓN DE RESULTADOS FCES Y NFES 2014 (cifras absolutas y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_Toc450119858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117</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59" w:history="1">
        <w:r w:rsidR="00136389" w:rsidRPr="00136389">
          <w:rPr>
            <w:sz w:val="18"/>
            <w:szCs w:val="18"/>
          </w:rPr>
          <w:t xml:space="preserve">Cuadro 4.34 </w:t>
        </w:r>
        <w:r w:rsidR="00136389">
          <w:rPr>
            <w:sz w:val="18"/>
            <w:szCs w:val="18"/>
          </w:rPr>
          <w:tab/>
        </w:r>
        <w:r w:rsidR="00136389" w:rsidRPr="00136389">
          <w:rPr>
            <w:sz w:val="18"/>
            <w:szCs w:val="18"/>
          </w:rPr>
          <w:t>DISTRIBUCIÓN DE VAB FCES Y NFES 2014 (cifras absolutas miles de Euros y % verticales) (Precios Corrientes)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_Toc450119859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117</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860" w:history="1">
        <w:r w:rsidR="00136389" w:rsidRPr="00136389">
          <w:rPr>
            <w:sz w:val="18"/>
            <w:szCs w:val="18"/>
          </w:rPr>
          <w:t xml:space="preserve">Cuadro 4.35 </w:t>
        </w:r>
        <w:r w:rsidR="00136389">
          <w:rPr>
            <w:sz w:val="18"/>
            <w:szCs w:val="18"/>
          </w:rPr>
          <w:tab/>
        </w:r>
        <w:r w:rsidR="00136389" w:rsidRPr="00136389">
          <w:rPr>
            <w:sz w:val="18"/>
            <w:szCs w:val="18"/>
          </w:rPr>
          <w:t>Principales magnitudes de la Economía Social Agregada 2012 y 2014 (cifras absolutas)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_Toc450119860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118</w:t>
        </w:r>
        <w:r w:rsidR="00771A61" w:rsidRPr="00136389">
          <w:rPr>
            <w:webHidden/>
            <w:sz w:val="18"/>
            <w:szCs w:val="18"/>
          </w:rPr>
          <w:fldChar w:fldCharType="end"/>
        </w:r>
      </w:hyperlink>
    </w:p>
    <w:p w:rsidR="00A67658" w:rsidRPr="00136389" w:rsidRDefault="00771A61" w:rsidP="00DB6D48">
      <w:pPr>
        <w:pStyle w:val="Tabladeilustraciones"/>
        <w:tabs>
          <w:tab w:val="left" w:pos="8505"/>
        </w:tabs>
        <w:spacing w:line="240" w:lineRule="auto"/>
        <w:ind w:left="1134" w:right="708" w:hanging="1134"/>
        <w:rPr>
          <w:sz w:val="18"/>
          <w:szCs w:val="18"/>
        </w:rPr>
      </w:pPr>
      <w:r w:rsidRPr="001C55AC">
        <w:rPr>
          <w:sz w:val="18"/>
          <w:szCs w:val="18"/>
        </w:rPr>
        <w:fldChar w:fldCharType="end"/>
      </w:r>
    </w:p>
    <w:p w:rsidR="00A67658" w:rsidRPr="00136389" w:rsidRDefault="00A67658" w:rsidP="00136389">
      <w:pPr>
        <w:pStyle w:val="Tabladeilustraciones"/>
        <w:tabs>
          <w:tab w:val="left" w:pos="8505"/>
        </w:tabs>
        <w:spacing w:line="240" w:lineRule="auto"/>
        <w:ind w:left="1134" w:right="708" w:hanging="1134"/>
        <w:rPr>
          <w:sz w:val="18"/>
          <w:szCs w:val="18"/>
        </w:rPr>
      </w:pPr>
    </w:p>
    <w:p w:rsidR="00A25CF2" w:rsidRPr="00136389" w:rsidRDefault="00A25CF2" w:rsidP="00136389">
      <w:pPr>
        <w:pStyle w:val="Tabladeilustraciones"/>
        <w:tabs>
          <w:tab w:val="left" w:pos="8505"/>
        </w:tabs>
        <w:spacing w:line="240" w:lineRule="auto"/>
        <w:ind w:left="1134" w:right="708" w:hanging="1134"/>
        <w:rPr>
          <w:sz w:val="18"/>
          <w:szCs w:val="18"/>
        </w:rPr>
      </w:pPr>
    </w:p>
    <w:p w:rsidR="00A25CF2" w:rsidRDefault="00A25CF2" w:rsidP="00A25CF2">
      <w:pPr>
        <w:pStyle w:val="Tabladeilustraciones"/>
        <w:tabs>
          <w:tab w:val="left" w:pos="8505"/>
        </w:tabs>
        <w:ind w:left="1134" w:right="708" w:hanging="1134"/>
        <w:rPr>
          <w:rStyle w:val="Hipervnculo"/>
          <w:noProof/>
          <w:sz w:val="18"/>
          <w:szCs w:val="18"/>
        </w:rPr>
      </w:pPr>
    </w:p>
    <w:p w:rsidR="00A25CF2" w:rsidRDefault="00A25CF2">
      <w:pPr>
        <w:spacing w:after="200" w:line="276" w:lineRule="auto"/>
        <w:jc w:val="left"/>
      </w:pPr>
      <w:r>
        <w:br w:type="page"/>
      </w:r>
    </w:p>
    <w:p w:rsidR="007716A4" w:rsidRPr="00DB6D48" w:rsidRDefault="007716A4" w:rsidP="007716A4">
      <w:pPr>
        <w:widowControl w:val="0"/>
        <w:tabs>
          <w:tab w:val="right" w:pos="8789"/>
        </w:tabs>
        <w:spacing w:line="240" w:lineRule="auto"/>
        <w:jc w:val="left"/>
        <w:rPr>
          <w:rFonts w:cs="Arial"/>
          <w:b/>
          <w:sz w:val="28"/>
          <w:szCs w:val="28"/>
        </w:rPr>
      </w:pPr>
      <w:r w:rsidRPr="00DB6D48">
        <w:rPr>
          <w:rFonts w:cs="Arial"/>
          <w:b/>
          <w:sz w:val="28"/>
          <w:szCs w:val="28"/>
        </w:rPr>
        <w:lastRenderedPageBreak/>
        <w:t>ÍNDICE</w:t>
      </w:r>
      <w:r>
        <w:rPr>
          <w:rFonts w:cs="Arial"/>
          <w:b/>
          <w:sz w:val="28"/>
          <w:szCs w:val="28"/>
        </w:rPr>
        <w:t xml:space="preserve"> gráficos</w:t>
      </w:r>
      <w:r>
        <w:rPr>
          <w:rFonts w:cs="Arial"/>
          <w:b/>
          <w:sz w:val="28"/>
          <w:szCs w:val="28"/>
        </w:rPr>
        <w:tab/>
        <w:t>Pág.</w:t>
      </w:r>
    </w:p>
    <w:p w:rsidR="00A25CF2" w:rsidRPr="00A25CF2" w:rsidRDefault="00A25CF2" w:rsidP="00A25CF2"/>
    <w:p w:rsidR="00136389" w:rsidRPr="00136389" w:rsidRDefault="00771A61" w:rsidP="00136389">
      <w:pPr>
        <w:pStyle w:val="Tabladeilustraciones"/>
        <w:tabs>
          <w:tab w:val="left" w:pos="8505"/>
        </w:tabs>
        <w:spacing w:line="240" w:lineRule="auto"/>
        <w:ind w:left="1134" w:right="708" w:hanging="1134"/>
        <w:rPr>
          <w:sz w:val="18"/>
          <w:szCs w:val="18"/>
        </w:rPr>
      </w:pPr>
      <w:r w:rsidRPr="00136389">
        <w:fldChar w:fldCharType="begin"/>
      </w:r>
      <w:r w:rsidR="00A25CF2" w:rsidRPr="00136389">
        <w:instrText xml:space="preserve"> TOC \h \z \c "Gráfico 1." </w:instrText>
      </w:r>
      <w:r w:rsidRPr="00136389">
        <w:fldChar w:fldCharType="separate"/>
      </w:r>
      <w:hyperlink w:anchor="_Toc450119989" w:history="1">
        <w:r w:rsidR="00136389" w:rsidRPr="00136389">
          <w:rPr>
            <w:sz w:val="18"/>
            <w:szCs w:val="18"/>
          </w:rPr>
          <w:t xml:space="preserve">Gráfico 1.1 </w:t>
        </w:r>
        <w:r w:rsidR="00136389">
          <w:rPr>
            <w:sz w:val="18"/>
            <w:szCs w:val="18"/>
          </w:rPr>
          <w:tab/>
        </w:r>
        <w:r w:rsidR="00136389" w:rsidRPr="00136389">
          <w:rPr>
            <w:sz w:val="18"/>
            <w:szCs w:val="18"/>
          </w:rPr>
          <w:t>EVOLUCIÓN DE LOS ESTABLECIMIENTOS Y EL EMPLEO EN LA CAE EN LA ECONOMÍA SOCIAL 1994-2014</w:t>
        </w:r>
        <w:r w:rsidR="00136389" w:rsidRPr="00136389">
          <w:rPr>
            <w:webHidden/>
            <w:sz w:val="18"/>
            <w:szCs w:val="18"/>
          </w:rPr>
          <w:tab/>
        </w:r>
        <w:r w:rsidRPr="00136389">
          <w:rPr>
            <w:webHidden/>
            <w:sz w:val="18"/>
            <w:szCs w:val="18"/>
          </w:rPr>
          <w:fldChar w:fldCharType="begin"/>
        </w:r>
        <w:r w:rsidR="00136389" w:rsidRPr="00136389">
          <w:rPr>
            <w:webHidden/>
            <w:sz w:val="18"/>
            <w:szCs w:val="18"/>
          </w:rPr>
          <w:instrText xml:space="preserve"> PAGEREF _Toc450119989 \h </w:instrText>
        </w:r>
        <w:r w:rsidRPr="00136389">
          <w:rPr>
            <w:webHidden/>
            <w:sz w:val="18"/>
            <w:szCs w:val="18"/>
          </w:rPr>
        </w:r>
        <w:r w:rsidRPr="00136389">
          <w:rPr>
            <w:webHidden/>
            <w:sz w:val="18"/>
            <w:szCs w:val="18"/>
          </w:rPr>
          <w:fldChar w:fldCharType="separate"/>
        </w:r>
        <w:r w:rsidR="00136389" w:rsidRPr="00136389">
          <w:rPr>
            <w:noProof/>
            <w:webHidden/>
            <w:sz w:val="18"/>
            <w:szCs w:val="18"/>
          </w:rPr>
          <w:t>57</w:t>
        </w:r>
        <w:r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0" w:history="1">
        <w:r w:rsidR="00136389" w:rsidRPr="00136389">
          <w:rPr>
            <w:sz w:val="18"/>
            <w:szCs w:val="18"/>
          </w:rPr>
          <w:t xml:space="preserve">Gráfico 1.2 </w:t>
        </w:r>
        <w:r w:rsidR="00136389">
          <w:rPr>
            <w:sz w:val="18"/>
            <w:szCs w:val="18"/>
          </w:rPr>
          <w:tab/>
        </w:r>
        <w:r w:rsidR="00136389" w:rsidRPr="00136389">
          <w:rPr>
            <w:sz w:val="18"/>
            <w:szCs w:val="18"/>
          </w:rPr>
          <w:t>EVOLUCIÓN DEL PESO RELATIVO DEL EMPLEO DE LA ECONOMÍA SOCIAL EN LA ECONOMÍA DE LA CAE 1994-2014 (% sobre el total del empleo de la CAE).</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_Toc450119990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58</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1" w:history="1">
        <w:r w:rsidR="00136389" w:rsidRPr="00136389">
          <w:rPr>
            <w:sz w:val="18"/>
            <w:szCs w:val="18"/>
          </w:rPr>
          <w:t xml:space="preserve">Gráfico 1.3 </w:t>
        </w:r>
        <w:r w:rsidR="00136389">
          <w:rPr>
            <w:sz w:val="18"/>
            <w:szCs w:val="18"/>
          </w:rPr>
          <w:tab/>
        </w:r>
        <w:r w:rsidR="00136389" w:rsidRPr="00136389">
          <w:rPr>
            <w:sz w:val="18"/>
            <w:szCs w:val="18"/>
          </w:rPr>
          <w:t>EVOLUCIÓN DEL EMPLEO INDUSTRIAL Y TERCIARIO DE LA ECONOMÍA SOCIAL (Tasas de crecimiento en los bienios 2010-2012 y 2012-2014)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_Toc450119991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59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2" w:history="1">
        <w:r w:rsidR="00136389" w:rsidRPr="00136389">
          <w:rPr>
            <w:sz w:val="18"/>
            <w:szCs w:val="18"/>
          </w:rPr>
          <w:t xml:space="preserve">Gráfico 1.4 </w:t>
        </w:r>
        <w:r w:rsidR="00136389">
          <w:rPr>
            <w:sz w:val="18"/>
            <w:szCs w:val="18"/>
          </w:rPr>
          <w:tab/>
        </w:r>
        <w:r w:rsidR="00136389" w:rsidRPr="00136389">
          <w:rPr>
            <w:sz w:val="18"/>
            <w:szCs w:val="18"/>
          </w:rPr>
          <w:t>COMPARATIVA DE LA DISTRIBUCIÓN SECTORIAL DEL EMPLEO EN EL TOTAL DE LA ECONOMÍA DE LA CAE Y EN LA ECONOMÍA SOCIAL 2014 (%v sobre el total de empleo en cada ámbito)</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_Toc450119992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60</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3" w:history="1">
        <w:r w:rsidR="00136389" w:rsidRPr="00136389">
          <w:rPr>
            <w:sz w:val="18"/>
            <w:szCs w:val="18"/>
          </w:rPr>
          <w:t xml:space="preserve">Gráfico 1.5 </w:t>
        </w:r>
        <w:r w:rsidR="00136389">
          <w:rPr>
            <w:sz w:val="18"/>
            <w:szCs w:val="18"/>
          </w:rPr>
          <w:tab/>
        </w:r>
        <w:r w:rsidR="00136389" w:rsidRPr="00136389">
          <w:rPr>
            <w:sz w:val="18"/>
            <w:szCs w:val="18"/>
          </w:rPr>
          <w:t>IMPORTANCIA RELATIVA DE LA ECONOMÍA SOCIAL EN LA ECONOMÍA DE LA CAE (Peso relativo del empleo). 2010-2014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_Toc450119993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60</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4" w:history="1">
        <w:r w:rsidR="00136389" w:rsidRPr="00136389">
          <w:rPr>
            <w:sz w:val="18"/>
            <w:szCs w:val="18"/>
          </w:rPr>
          <w:t xml:space="preserve">Gráfico 1.6 </w:t>
        </w:r>
        <w:r w:rsidR="00136389">
          <w:rPr>
            <w:sz w:val="18"/>
            <w:szCs w:val="18"/>
          </w:rPr>
          <w:tab/>
        </w:r>
        <w:r w:rsidR="00136389" w:rsidRPr="00136389">
          <w:rPr>
            <w:sz w:val="18"/>
            <w:szCs w:val="18"/>
          </w:rPr>
          <w:t>PESO RELATIVO DEL COLECTIVO SOCIETARIO (Porcentaje sobre el empleo total). 1996-2014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63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5" w:history="1">
        <w:r w:rsidR="00136389" w:rsidRPr="00136389">
          <w:rPr>
            <w:sz w:val="18"/>
            <w:szCs w:val="18"/>
          </w:rPr>
          <w:t xml:space="preserve">Gráfico 1.7 </w:t>
        </w:r>
        <w:r w:rsidR="00136389">
          <w:rPr>
            <w:sz w:val="18"/>
            <w:szCs w:val="18"/>
          </w:rPr>
          <w:tab/>
        </w:r>
        <w:r w:rsidR="00136389" w:rsidRPr="00136389">
          <w:rPr>
            <w:sz w:val="18"/>
            <w:szCs w:val="18"/>
          </w:rPr>
          <w:t>EVOLUCIÓN DE LOS RESULTADOS ECONÓMICOS (BENEFICIOS) Y DEL CASH FLOW DE LA ECONOMÍA SOCIAL 2002-2014 (cifras absolutas en miles de euros)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65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6" w:history="1">
        <w:r w:rsidR="00136389" w:rsidRPr="00136389">
          <w:rPr>
            <w:sz w:val="18"/>
            <w:szCs w:val="18"/>
          </w:rPr>
          <w:t xml:space="preserve">Gráfico 1.8 </w:t>
        </w:r>
        <w:r w:rsidR="00136389">
          <w:rPr>
            <w:sz w:val="18"/>
            <w:szCs w:val="18"/>
          </w:rPr>
          <w:tab/>
        </w:r>
        <w:r w:rsidR="00136389" w:rsidRPr="00136389">
          <w:rPr>
            <w:sz w:val="18"/>
            <w:szCs w:val="18"/>
          </w:rPr>
          <w:t>DISTRIBUCIÓN DE LOS EMPLEOS Y LOS ESTABLECIMIENTOS POR FORMA JURÍDICA.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_Toc450119996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67</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7" w:history="1">
        <w:r w:rsidR="00136389" w:rsidRPr="00136389">
          <w:rPr>
            <w:sz w:val="18"/>
            <w:szCs w:val="18"/>
          </w:rPr>
          <w:t xml:space="preserve">Gráfico 1.9 </w:t>
        </w:r>
        <w:r w:rsidR="00136389">
          <w:rPr>
            <w:sz w:val="18"/>
            <w:szCs w:val="18"/>
          </w:rPr>
          <w:tab/>
        </w:r>
        <w:r w:rsidR="00136389" w:rsidRPr="00136389">
          <w:rPr>
            <w:sz w:val="18"/>
            <w:szCs w:val="18"/>
          </w:rPr>
          <w:t>DISTRIBUCIÓN DEL VAB POR FORMA JURÍDICA. 2014 (% verticales)</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_Toc450119997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69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8" w:history="1">
        <w:r w:rsidR="00136389" w:rsidRPr="00136389">
          <w:rPr>
            <w:sz w:val="18"/>
            <w:szCs w:val="18"/>
          </w:rPr>
          <w:t xml:space="preserve">Gráfico 1.10 </w:t>
        </w:r>
        <w:r w:rsidR="00136389">
          <w:rPr>
            <w:sz w:val="18"/>
            <w:szCs w:val="18"/>
          </w:rPr>
          <w:tab/>
        </w:r>
        <w:r w:rsidR="00136389" w:rsidRPr="00136389">
          <w:rPr>
            <w:sz w:val="18"/>
            <w:szCs w:val="18"/>
          </w:rPr>
          <w:t>EVOLUCIÓN DE LA DISTRIBUCIÓN TERRITORIAL DE LOS ESTABLECIMIENTOS DE LA ECONOMÍA SOCIAL. 2012-2014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_Toc450119998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70</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19999" w:history="1">
        <w:r w:rsidR="00136389" w:rsidRPr="00136389">
          <w:rPr>
            <w:sz w:val="18"/>
            <w:szCs w:val="18"/>
          </w:rPr>
          <w:t xml:space="preserve">Gráfico 1.11 </w:t>
        </w:r>
        <w:r w:rsidR="00136389">
          <w:rPr>
            <w:sz w:val="18"/>
            <w:szCs w:val="18"/>
          </w:rPr>
          <w:tab/>
        </w:r>
        <w:r w:rsidR="00136389" w:rsidRPr="00136389">
          <w:rPr>
            <w:sz w:val="18"/>
            <w:szCs w:val="18"/>
          </w:rPr>
          <w:t>EVOLUCIÓN DE LA DISTRIBUCIÓN TERRITORIAL DEL EMPLEO DE LA ECONOMÍA SOCIAL. 2012-2014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_Toc450119999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70</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0" w:history="1">
        <w:r w:rsidR="00136389" w:rsidRPr="00136389">
          <w:rPr>
            <w:sz w:val="18"/>
            <w:szCs w:val="18"/>
          </w:rPr>
          <w:t xml:space="preserve">Gráfico 1.12 </w:t>
        </w:r>
        <w:r w:rsidR="00136389">
          <w:rPr>
            <w:sz w:val="18"/>
            <w:szCs w:val="18"/>
          </w:rPr>
          <w:tab/>
        </w:r>
        <w:r w:rsidR="00136389" w:rsidRPr="00136389">
          <w:rPr>
            <w:sz w:val="18"/>
            <w:szCs w:val="18"/>
          </w:rPr>
          <w:t>IMPORTANCIA RELATIVA DE LA ECONOMÍA SOCIAL EN LA ECONOMÍA DE LA CAE (Peso relativo del empleo por Territorio Histórico). 2012-2014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_Toc450120000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71</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1" w:history="1">
        <w:r w:rsidR="00136389" w:rsidRPr="00136389">
          <w:rPr>
            <w:sz w:val="18"/>
            <w:szCs w:val="18"/>
          </w:rPr>
          <w:t xml:space="preserve">Gráfico 1.13 </w:t>
        </w:r>
        <w:r w:rsidR="00136389">
          <w:rPr>
            <w:sz w:val="18"/>
            <w:szCs w:val="18"/>
          </w:rPr>
          <w:tab/>
        </w:r>
        <w:r w:rsidR="00136389" w:rsidRPr="00136389">
          <w:rPr>
            <w:sz w:val="18"/>
            <w:szCs w:val="18"/>
          </w:rPr>
          <w:t>EVOLUCIÓN DE LA DISTRIBUCIÓN TERRITORIAL DEL VAB DE LA ECONOMÍA SOCIAL. 2012-2014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_Toc450120001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73</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2" w:history="1">
        <w:r w:rsidR="00136389" w:rsidRPr="00136389">
          <w:rPr>
            <w:sz w:val="18"/>
            <w:szCs w:val="18"/>
          </w:rPr>
          <w:t xml:space="preserve">Gráfico 1.14 </w:t>
        </w:r>
        <w:r w:rsidR="00923626">
          <w:rPr>
            <w:sz w:val="18"/>
            <w:szCs w:val="18"/>
          </w:rPr>
          <w:tab/>
        </w:r>
        <w:r w:rsidR="00136389" w:rsidRPr="00136389">
          <w:rPr>
            <w:sz w:val="18"/>
            <w:szCs w:val="18"/>
          </w:rPr>
          <w:t>EVOLUCIÓN DEL GRADO DE APERTURA A LOS MERCADOS EXTERIORES (volumen de exportaciones sobre facturación total). 1994-2014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_Toc450120002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3" w:history="1">
        <w:r w:rsidR="00136389" w:rsidRPr="00136389">
          <w:rPr>
            <w:sz w:val="18"/>
            <w:szCs w:val="18"/>
          </w:rPr>
          <w:t xml:space="preserve">Gráfico 1.15 </w:t>
        </w:r>
        <w:r w:rsidR="00923626">
          <w:rPr>
            <w:sz w:val="18"/>
            <w:szCs w:val="18"/>
          </w:rPr>
          <w:tab/>
        </w:r>
        <w:r w:rsidR="00136389" w:rsidRPr="00136389">
          <w:rPr>
            <w:sz w:val="18"/>
            <w:szCs w:val="18"/>
          </w:rPr>
          <w:t>EVOLUCIÓN DEL PESO RELATIVO DE LAS EXPORTACIONES SOBRE LA FACTURACIÓN TOTAL EN LAS EMPRESAS EXPORTADORAS. 2004 - 2014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_Toc450120003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4" w:history="1">
        <w:r w:rsidR="00136389" w:rsidRPr="00136389">
          <w:rPr>
            <w:sz w:val="18"/>
            <w:szCs w:val="18"/>
          </w:rPr>
          <w:t xml:space="preserve">Gráfico 1.16 </w:t>
        </w:r>
        <w:r w:rsidR="00923626">
          <w:rPr>
            <w:sz w:val="18"/>
            <w:szCs w:val="18"/>
          </w:rPr>
          <w:tab/>
        </w:r>
        <w:r w:rsidR="00136389" w:rsidRPr="00136389">
          <w:rPr>
            <w:sz w:val="18"/>
            <w:szCs w:val="18"/>
          </w:rPr>
          <w:t>DESTINO DE LAS EXPORTACIONES DE LAS EMPRESAS DE LA ECONOMÍA SOCIAL. 2014 (% del total de exportaciones según destino)</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_Toc450120004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75</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5" w:history="1">
        <w:r w:rsidR="00136389" w:rsidRPr="00136389">
          <w:rPr>
            <w:sz w:val="18"/>
            <w:szCs w:val="18"/>
          </w:rPr>
          <w:t xml:space="preserve">Gráfico 1.17 </w:t>
        </w:r>
        <w:r w:rsidR="00923626">
          <w:rPr>
            <w:sz w:val="18"/>
            <w:szCs w:val="18"/>
          </w:rPr>
          <w:tab/>
        </w:r>
        <w:r w:rsidR="00136389" w:rsidRPr="00136389">
          <w:rPr>
            <w:sz w:val="18"/>
            <w:szCs w:val="18"/>
          </w:rPr>
          <w:t>COMPARATIVA DEL PESO RELATIVO DE LAS EXPORTACIONES EN RELACIÓN A LA FACTURACIÓN 2012-2014. (% de las exportaciones según facturación)</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_Toc450120005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77</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6" w:history="1">
        <w:r w:rsidR="00136389" w:rsidRPr="00136389">
          <w:rPr>
            <w:sz w:val="18"/>
            <w:szCs w:val="18"/>
          </w:rPr>
          <w:t xml:space="preserve">Gráfico 1.18 </w:t>
        </w:r>
        <w:r w:rsidR="00923626">
          <w:rPr>
            <w:sz w:val="18"/>
            <w:szCs w:val="18"/>
          </w:rPr>
          <w:tab/>
        </w:r>
        <w:r w:rsidR="00136389" w:rsidRPr="00136389">
          <w:rPr>
            <w:sz w:val="18"/>
            <w:szCs w:val="18"/>
          </w:rPr>
          <w:t>ORIGEN TERRITORIAL DE LAS EXPORTACIONES DE LAS EMPRESAS DE LA ECONOMÍA SOCIAL. 2014 (% del total de exportaciones según Territorio Histórico de origen)</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_Toc450120006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78</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7" w:history="1">
        <w:r w:rsidR="00136389" w:rsidRPr="00136389">
          <w:rPr>
            <w:sz w:val="18"/>
            <w:szCs w:val="18"/>
          </w:rPr>
          <w:t xml:space="preserve">Gráfico 1.19 </w:t>
        </w:r>
        <w:r w:rsidR="00923626">
          <w:rPr>
            <w:sz w:val="18"/>
            <w:szCs w:val="18"/>
          </w:rPr>
          <w:tab/>
        </w:r>
        <w:r w:rsidR="00136389" w:rsidRPr="00136389">
          <w:rPr>
            <w:sz w:val="18"/>
            <w:szCs w:val="18"/>
          </w:rPr>
          <w:t>FONDOS PROPIOS PROMEDIO POR EMPLEO SEGÚN EL SECTOR DE ACTIVIDAD (Euros). 2014</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_Toc450120007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79</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8" w:history="1">
        <w:r w:rsidR="00136389" w:rsidRPr="00136389">
          <w:rPr>
            <w:sz w:val="18"/>
            <w:szCs w:val="18"/>
          </w:rPr>
          <w:t xml:space="preserve">Gráfico 1.20 </w:t>
        </w:r>
        <w:r w:rsidR="00923626">
          <w:rPr>
            <w:sz w:val="18"/>
            <w:szCs w:val="18"/>
          </w:rPr>
          <w:tab/>
        </w:r>
        <w:r w:rsidR="00136389" w:rsidRPr="00136389">
          <w:rPr>
            <w:sz w:val="18"/>
            <w:szCs w:val="18"/>
          </w:rPr>
          <w:t>PESO RELATIVO DEL EMPLEO DE LA ECONOMÍA SOCIAL EN LA ECONOMÍA DE LA CAE POR COMARCAS 2014 (% sobre el total del empleo de la CAE).</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_Toc450120008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87</w:t>
        </w:r>
        <w:r w:rsidR="00771A61" w:rsidRPr="00136389">
          <w:rPr>
            <w:webHidden/>
            <w:sz w:val="18"/>
            <w:szCs w:val="18"/>
          </w:rPr>
          <w:fldChar w:fldCharType="end"/>
        </w:r>
      </w:hyperlink>
    </w:p>
    <w:p w:rsidR="00136389" w:rsidRPr="00136389" w:rsidRDefault="00503E0A" w:rsidP="00136389">
      <w:pPr>
        <w:pStyle w:val="Tabladeilustraciones"/>
        <w:tabs>
          <w:tab w:val="left" w:pos="8505"/>
        </w:tabs>
        <w:spacing w:line="240" w:lineRule="auto"/>
        <w:ind w:left="1134" w:right="708" w:hanging="1134"/>
        <w:rPr>
          <w:sz w:val="18"/>
          <w:szCs w:val="18"/>
        </w:rPr>
      </w:pPr>
      <w:hyperlink w:anchor="_Toc450120009" w:history="1">
        <w:r w:rsidR="00136389" w:rsidRPr="00136389">
          <w:rPr>
            <w:sz w:val="18"/>
            <w:szCs w:val="18"/>
          </w:rPr>
          <w:t xml:space="preserve">Gráfico 1.21 </w:t>
        </w:r>
        <w:r w:rsidR="00923626">
          <w:rPr>
            <w:sz w:val="18"/>
            <w:szCs w:val="18"/>
          </w:rPr>
          <w:tab/>
        </w:r>
        <w:r w:rsidR="00136389" w:rsidRPr="00136389">
          <w:rPr>
            <w:sz w:val="18"/>
            <w:szCs w:val="18"/>
          </w:rPr>
          <w:t>PESO RELATIVO COMARCAL DE LAS EXPORTACIONES DE LA ECONOMÍA SOCIAL SOBRE FACTURACIÓN 2014 (% sobre facturación)</w:t>
        </w:r>
        <w:r w:rsidR="00136389" w:rsidRPr="00136389">
          <w:rPr>
            <w:webHidden/>
            <w:sz w:val="18"/>
            <w:szCs w:val="18"/>
          </w:rPr>
          <w:tab/>
        </w:r>
        <w:r w:rsidR="00771A61" w:rsidRPr="00136389">
          <w:rPr>
            <w:webHidden/>
            <w:sz w:val="18"/>
            <w:szCs w:val="18"/>
          </w:rPr>
          <w:fldChar w:fldCharType="begin"/>
        </w:r>
        <w:r w:rsidR="00136389" w:rsidRPr="00136389">
          <w:rPr>
            <w:webHidden/>
            <w:sz w:val="18"/>
            <w:szCs w:val="18"/>
          </w:rPr>
          <w:instrText xml:space="preserve"> PAGEREF _Toc450120009 \h </w:instrText>
        </w:r>
        <w:r w:rsidR="00771A61" w:rsidRPr="00136389">
          <w:rPr>
            <w:webHidden/>
            <w:sz w:val="18"/>
            <w:szCs w:val="18"/>
          </w:rPr>
        </w:r>
        <w:r w:rsidR="00771A61" w:rsidRPr="00136389">
          <w:rPr>
            <w:webHidden/>
            <w:sz w:val="18"/>
            <w:szCs w:val="18"/>
          </w:rPr>
          <w:fldChar w:fldCharType="separate"/>
        </w:r>
        <w:r w:rsidR="00136389" w:rsidRPr="00136389">
          <w:rPr>
            <w:noProof/>
            <w:webHidden/>
            <w:sz w:val="18"/>
            <w:szCs w:val="18"/>
          </w:rPr>
          <w:t>88</w:t>
        </w:r>
        <w:r w:rsidR="00771A61" w:rsidRPr="00136389">
          <w:rPr>
            <w:webHidden/>
            <w:sz w:val="18"/>
            <w:szCs w:val="18"/>
          </w:rPr>
          <w:fldChar w:fldCharType="end"/>
        </w:r>
      </w:hyperlink>
    </w:p>
    <w:p w:rsidR="00A67658" w:rsidRPr="007716A4" w:rsidRDefault="00771A61" w:rsidP="007716A4">
      <w:pPr>
        <w:pStyle w:val="Tabladeilustraciones"/>
        <w:tabs>
          <w:tab w:val="left" w:pos="8505"/>
        </w:tabs>
        <w:spacing w:line="240" w:lineRule="auto"/>
        <w:ind w:left="1134" w:right="708" w:hanging="1134"/>
        <w:rPr>
          <w:rStyle w:val="Hipervnculo"/>
          <w:rFonts w:cs="Arial"/>
          <w:noProof/>
          <w:sz w:val="18"/>
          <w:szCs w:val="18"/>
        </w:rPr>
      </w:pPr>
      <w:r w:rsidRPr="00136389">
        <w:fldChar w:fldCharType="end"/>
      </w:r>
    </w:p>
    <w:p w:rsidR="00923626" w:rsidRPr="00923626" w:rsidRDefault="00771A61" w:rsidP="00923626">
      <w:pPr>
        <w:pStyle w:val="Tabladeilustraciones"/>
        <w:tabs>
          <w:tab w:val="left" w:pos="8505"/>
        </w:tabs>
        <w:spacing w:line="240" w:lineRule="auto"/>
        <w:ind w:left="1134" w:right="708" w:hanging="1134"/>
        <w:rPr>
          <w:sz w:val="18"/>
          <w:szCs w:val="18"/>
        </w:rPr>
      </w:pPr>
      <w:r w:rsidRPr="00923626">
        <w:fldChar w:fldCharType="begin"/>
      </w:r>
      <w:r w:rsidR="00A25CF2" w:rsidRPr="00923626">
        <w:instrText xml:space="preserve"> TOC \h \z \c "Gráfico 2." </w:instrText>
      </w:r>
      <w:r w:rsidRPr="00923626">
        <w:fldChar w:fldCharType="separate"/>
      </w:r>
      <w:hyperlink w:anchor="_Toc450120176" w:history="1">
        <w:r w:rsidR="00923626" w:rsidRPr="00923626">
          <w:rPr>
            <w:sz w:val="18"/>
            <w:szCs w:val="18"/>
          </w:rPr>
          <w:t xml:space="preserve">Gráfico 2.1 </w:t>
        </w:r>
        <w:r w:rsidR="00923626">
          <w:rPr>
            <w:sz w:val="18"/>
            <w:szCs w:val="18"/>
          </w:rPr>
          <w:tab/>
        </w:r>
        <w:r w:rsidR="00923626" w:rsidRPr="00923626">
          <w:rPr>
            <w:sz w:val="18"/>
            <w:szCs w:val="18"/>
          </w:rPr>
          <w:t>EVOLUCIÓN DE LOS EMPLEOS EN LA CAE EN LA ECONOMÍA SOCIAL 1994-2015</w:t>
        </w:r>
        <w:r w:rsidR="00923626" w:rsidRPr="00923626">
          <w:rPr>
            <w:webHidden/>
            <w:sz w:val="18"/>
            <w:szCs w:val="18"/>
          </w:rPr>
          <w:tab/>
        </w:r>
        <w:r w:rsidRPr="00923626">
          <w:rPr>
            <w:webHidden/>
            <w:sz w:val="18"/>
            <w:szCs w:val="18"/>
          </w:rPr>
          <w:fldChar w:fldCharType="begin"/>
        </w:r>
        <w:r w:rsidR="00923626" w:rsidRPr="00923626">
          <w:rPr>
            <w:webHidden/>
            <w:sz w:val="18"/>
            <w:szCs w:val="18"/>
          </w:rPr>
          <w:instrText xml:space="preserve"> PAGEREF _Toc450120176 \h </w:instrText>
        </w:r>
        <w:r w:rsidRPr="00923626">
          <w:rPr>
            <w:webHidden/>
            <w:sz w:val="18"/>
            <w:szCs w:val="18"/>
          </w:rPr>
        </w:r>
        <w:r w:rsidRPr="00923626">
          <w:rPr>
            <w:webHidden/>
            <w:sz w:val="18"/>
            <w:szCs w:val="18"/>
          </w:rPr>
          <w:fldChar w:fldCharType="separate"/>
        </w:r>
        <w:r w:rsidR="00923626" w:rsidRPr="00923626">
          <w:rPr>
            <w:noProof/>
            <w:webHidden/>
            <w:sz w:val="18"/>
            <w:szCs w:val="18"/>
          </w:rPr>
          <w:t>89</w:t>
        </w:r>
        <w:r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77" w:history="1">
        <w:r w:rsidR="00923626" w:rsidRPr="00923626">
          <w:rPr>
            <w:sz w:val="18"/>
            <w:szCs w:val="18"/>
          </w:rPr>
          <w:t xml:space="preserve">Gráfico 2.2  </w:t>
        </w:r>
        <w:r w:rsidR="00923626">
          <w:rPr>
            <w:sz w:val="18"/>
            <w:szCs w:val="18"/>
          </w:rPr>
          <w:tab/>
        </w:r>
        <w:r w:rsidR="00923626" w:rsidRPr="00923626">
          <w:rPr>
            <w:sz w:val="18"/>
            <w:szCs w:val="18"/>
          </w:rPr>
          <w:t>EVOLUCIÓN DE LA FACTURACIÓN 2006 - 2015 (MILES DE EUROS)</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_Toc450120177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89</w:t>
        </w:r>
        <w:r w:rsidR="00771A61" w:rsidRPr="00923626">
          <w:rPr>
            <w:webHidden/>
            <w:sz w:val="18"/>
            <w:szCs w:val="18"/>
          </w:rPr>
          <w:fldChar w:fldCharType="end"/>
        </w:r>
      </w:hyperlink>
    </w:p>
    <w:p w:rsidR="00A25CF2" w:rsidRPr="00923626" w:rsidRDefault="00771A61" w:rsidP="007716A4">
      <w:pPr>
        <w:pStyle w:val="Tabladeilustraciones"/>
        <w:tabs>
          <w:tab w:val="left" w:pos="8505"/>
        </w:tabs>
        <w:spacing w:line="240" w:lineRule="auto"/>
        <w:ind w:left="1134" w:right="708" w:hanging="1134"/>
      </w:pPr>
      <w:r w:rsidRPr="00923626">
        <w:fldChar w:fldCharType="end"/>
      </w:r>
    </w:p>
    <w:p w:rsidR="00923626" w:rsidRPr="00923626" w:rsidRDefault="00771A61" w:rsidP="00923626">
      <w:pPr>
        <w:pStyle w:val="Tabladeilustraciones"/>
        <w:tabs>
          <w:tab w:val="left" w:pos="8505"/>
        </w:tabs>
        <w:spacing w:line="240" w:lineRule="auto"/>
        <w:ind w:left="1134" w:right="708" w:hanging="1134"/>
        <w:rPr>
          <w:sz w:val="18"/>
          <w:szCs w:val="18"/>
        </w:rPr>
      </w:pPr>
      <w:r w:rsidRPr="00923626">
        <w:fldChar w:fldCharType="begin"/>
      </w:r>
      <w:r w:rsidR="00A25CF2" w:rsidRPr="00923626">
        <w:instrText xml:space="preserve"> TOC \h \z \c "Gráfico 3." </w:instrText>
      </w:r>
      <w:r w:rsidRPr="00923626">
        <w:fldChar w:fldCharType="separate"/>
      </w:r>
      <w:hyperlink w:anchor="_Toc450120179" w:history="1">
        <w:r w:rsidR="00923626" w:rsidRPr="00923626">
          <w:rPr>
            <w:sz w:val="18"/>
            <w:szCs w:val="18"/>
          </w:rPr>
          <w:t xml:space="preserve">Gráfico 3.1 </w:t>
        </w:r>
        <w:r w:rsidR="00923626">
          <w:rPr>
            <w:sz w:val="18"/>
            <w:szCs w:val="18"/>
          </w:rPr>
          <w:tab/>
        </w:r>
        <w:r w:rsidR="00923626" w:rsidRPr="00923626">
          <w:rPr>
            <w:sz w:val="18"/>
            <w:szCs w:val="18"/>
          </w:rPr>
          <w:t>PORCENTAJE DE EMPRESAS QUE HAN INTRODUCIDO MEDIDAS ANTE LA CRISIS 2014 (%)</w:t>
        </w:r>
        <w:r w:rsidR="00923626" w:rsidRPr="00923626">
          <w:rPr>
            <w:webHidden/>
            <w:sz w:val="18"/>
            <w:szCs w:val="18"/>
          </w:rPr>
          <w:tab/>
        </w:r>
        <w:r w:rsidRPr="00923626">
          <w:rPr>
            <w:webHidden/>
            <w:sz w:val="18"/>
            <w:szCs w:val="18"/>
          </w:rPr>
          <w:fldChar w:fldCharType="begin"/>
        </w:r>
        <w:r w:rsidR="00923626" w:rsidRPr="00923626">
          <w:rPr>
            <w:webHidden/>
            <w:sz w:val="18"/>
            <w:szCs w:val="18"/>
          </w:rPr>
          <w:instrText xml:space="preserve"> PAGEREF _Toc450120179 \h </w:instrText>
        </w:r>
        <w:r w:rsidRPr="00923626">
          <w:rPr>
            <w:webHidden/>
            <w:sz w:val="18"/>
            <w:szCs w:val="18"/>
          </w:rPr>
        </w:r>
        <w:r w:rsidRPr="00923626">
          <w:rPr>
            <w:webHidden/>
            <w:sz w:val="18"/>
            <w:szCs w:val="18"/>
          </w:rPr>
          <w:fldChar w:fldCharType="separate"/>
        </w:r>
        <w:r w:rsidR="00923626" w:rsidRPr="00923626">
          <w:rPr>
            <w:noProof/>
            <w:webHidden/>
            <w:sz w:val="18"/>
            <w:szCs w:val="18"/>
          </w:rPr>
          <w:t>91</w:t>
        </w:r>
        <w:r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0" w:history="1">
        <w:r w:rsidR="00923626" w:rsidRPr="00923626">
          <w:rPr>
            <w:sz w:val="18"/>
            <w:szCs w:val="18"/>
          </w:rPr>
          <w:t xml:space="preserve">Gráfico 3.2 </w:t>
        </w:r>
        <w:r w:rsidR="00923626">
          <w:rPr>
            <w:sz w:val="18"/>
            <w:szCs w:val="18"/>
          </w:rPr>
          <w:tab/>
        </w:r>
        <w:r w:rsidR="00923626" w:rsidRPr="00923626">
          <w:rPr>
            <w:sz w:val="18"/>
            <w:szCs w:val="18"/>
          </w:rPr>
          <w:t>PORCENTAJE DE EMPRESAS QUE HAN EFECTUADO UN AJUSTE SALARIAL</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_Toc450120180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91</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1" w:history="1">
        <w:r w:rsidR="00923626" w:rsidRPr="00923626">
          <w:rPr>
            <w:sz w:val="18"/>
            <w:szCs w:val="18"/>
          </w:rPr>
          <w:t xml:space="preserve">Gráfico 3.3   </w:t>
        </w:r>
        <w:r w:rsidR="00923626">
          <w:rPr>
            <w:sz w:val="18"/>
            <w:szCs w:val="18"/>
          </w:rPr>
          <w:tab/>
        </w:r>
        <w:r w:rsidR="00923626" w:rsidRPr="00923626">
          <w:rPr>
            <w:sz w:val="18"/>
            <w:szCs w:val="18"/>
          </w:rPr>
          <w:t>PORCENTAJE DE EMPRESAS QUE HAN EFECTUADO UN AJUSTE DE PERSONAL Y DEDICACIÓN HORARIA</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_Toc450120181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92</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2" w:history="1">
        <w:r w:rsidR="00923626" w:rsidRPr="00923626">
          <w:rPr>
            <w:sz w:val="18"/>
            <w:szCs w:val="18"/>
          </w:rPr>
          <w:t xml:space="preserve">Gráfico 3.4 </w:t>
        </w:r>
        <w:r w:rsidR="00923626">
          <w:rPr>
            <w:sz w:val="18"/>
            <w:szCs w:val="18"/>
          </w:rPr>
          <w:tab/>
        </w:r>
        <w:r w:rsidR="00923626" w:rsidRPr="00923626">
          <w:rPr>
            <w:sz w:val="18"/>
            <w:szCs w:val="18"/>
          </w:rPr>
          <w:t>PORCENTAJE DE EMPRESAS QUE HAN ESTABLECIDO ACUERDOS DE COLABORACIÓN SOLIDARIOS INTERCOOPERATIVA</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_Toc450120182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92</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3" w:history="1">
        <w:r w:rsidR="00923626" w:rsidRPr="00923626">
          <w:rPr>
            <w:sz w:val="18"/>
            <w:szCs w:val="18"/>
          </w:rPr>
          <w:t xml:space="preserve">Gráfico 3.5  </w:t>
        </w:r>
        <w:r w:rsidR="00923626">
          <w:rPr>
            <w:sz w:val="18"/>
            <w:szCs w:val="18"/>
          </w:rPr>
          <w:tab/>
        </w:r>
        <w:r w:rsidR="00923626" w:rsidRPr="00923626">
          <w:rPr>
            <w:sz w:val="18"/>
            <w:szCs w:val="18"/>
          </w:rPr>
          <w:t>PORCENTAJE DE EMPRESAS QUE REALIZAN ALGÚN TIPO DE ACTIVIDAD LIGADA AL MEDIO AMBIENTE SEGÚN ESTRATO DE EMPLEO 2014 (% del total de empresas de cada estrato)</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_Toc450120183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95</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4" w:history="1">
        <w:r w:rsidR="00923626" w:rsidRPr="00923626">
          <w:rPr>
            <w:sz w:val="18"/>
            <w:szCs w:val="18"/>
          </w:rPr>
          <w:t xml:space="preserve">Gráfico 3.6  </w:t>
        </w:r>
        <w:r w:rsidR="00923626">
          <w:rPr>
            <w:sz w:val="18"/>
            <w:szCs w:val="18"/>
          </w:rPr>
          <w:tab/>
        </w:r>
        <w:r w:rsidR="00923626" w:rsidRPr="00923626">
          <w:rPr>
            <w:sz w:val="18"/>
            <w:szCs w:val="18"/>
          </w:rPr>
          <w:t>FORMACIÓN COOPERATIVA Y DE SOCIEDADES LABORALES POR TAMAÑO DE EMPRESA (% de empresas que realizan actividades en este ámbito según estrato de empleo).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_Toc450120184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95</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5" w:history="1">
        <w:r w:rsidR="00923626" w:rsidRPr="00923626">
          <w:rPr>
            <w:sz w:val="18"/>
            <w:szCs w:val="18"/>
          </w:rPr>
          <w:t xml:space="preserve">Gráfico 3.7  </w:t>
        </w:r>
        <w:r w:rsidR="00923626">
          <w:rPr>
            <w:sz w:val="18"/>
            <w:szCs w:val="18"/>
          </w:rPr>
          <w:tab/>
        </w:r>
        <w:r w:rsidR="00923626" w:rsidRPr="00923626">
          <w:rPr>
            <w:sz w:val="18"/>
            <w:szCs w:val="18"/>
          </w:rPr>
          <w:t>FORMACIÓN COOPERATIVA Y DE SOCIEDADES LABORALES. Receptores de la formación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_Toc450120185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95</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6" w:history="1">
        <w:r w:rsidR="00923626" w:rsidRPr="00923626">
          <w:rPr>
            <w:sz w:val="18"/>
            <w:szCs w:val="18"/>
          </w:rPr>
          <w:t xml:space="preserve">Gráfico 3.8 </w:t>
        </w:r>
        <w:r w:rsidR="00923626">
          <w:rPr>
            <w:sz w:val="18"/>
            <w:szCs w:val="18"/>
          </w:rPr>
          <w:tab/>
        </w:r>
        <w:r w:rsidR="00923626" w:rsidRPr="00923626">
          <w:rPr>
            <w:sz w:val="18"/>
            <w:szCs w:val="18"/>
          </w:rPr>
          <w:t>NATURALEZA DE LAS RELACIONES DE COOPERACIÓN DE LAS EMPRESAS DE LA ECONOMÍA SOCIAL. 2014 (porcentaje de empresas sobre el total)</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_Toc450120186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96</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7" w:history="1">
        <w:r w:rsidR="00923626" w:rsidRPr="00923626">
          <w:rPr>
            <w:sz w:val="18"/>
            <w:szCs w:val="18"/>
          </w:rPr>
          <w:t xml:space="preserve">Gráfico 3.9 </w:t>
        </w:r>
        <w:r w:rsidR="00923626">
          <w:rPr>
            <w:sz w:val="18"/>
            <w:szCs w:val="18"/>
          </w:rPr>
          <w:tab/>
        </w:r>
        <w:r w:rsidR="00923626" w:rsidRPr="00923626">
          <w:rPr>
            <w:sz w:val="18"/>
            <w:szCs w:val="18"/>
          </w:rPr>
          <w:t>COOPERACIÓN INTEREMPRESARIAL SEGÚN EL TAMAÑO DEL ESTABLECIMIENTO.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_Toc450120187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96</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8" w:history="1">
        <w:r w:rsidR="00923626" w:rsidRPr="00923626">
          <w:rPr>
            <w:sz w:val="18"/>
            <w:szCs w:val="18"/>
          </w:rPr>
          <w:t xml:space="preserve">Gráfico 3.10 </w:t>
        </w:r>
        <w:r w:rsidR="00923626">
          <w:rPr>
            <w:sz w:val="18"/>
            <w:szCs w:val="18"/>
          </w:rPr>
          <w:tab/>
        </w:r>
        <w:r w:rsidR="00923626" w:rsidRPr="00923626">
          <w:rPr>
            <w:sz w:val="18"/>
            <w:szCs w:val="18"/>
          </w:rPr>
          <w:t>PORCENTAJE DE EMPRESAS ASOCIADAS A ALGÚN TIPO DE ASOCIACIÓN EMPRESARIAL SEGÚN SU FORMA JURÍDICA Y SU DIMENSIÓN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_Toc450120188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97</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89" w:history="1">
        <w:r w:rsidR="00923626" w:rsidRPr="00923626">
          <w:rPr>
            <w:sz w:val="18"/>
            <w:szCs w:val="18"/>
          </w:rPr>
          <w:t xml:space="preserve">Gráfico 3.11 </w:t>
        </w:r>
        <w:r w:rsidR="00923626">
          <w:rPr>
            <w:sz w:val="18"/>
            <w:szCs w:val="18"/>
          </w:rPr>
          <w:tab/>
        </w:r>
        <w:r w:rsidR="00923626" w:rsidRPr="00923626">
          <w:rPr>
            <w:sz w:val="18"/>
            <w:szCs w:val="18"/>
          </w:rPr>
          <w:t>REALIZACIÓN DE ACTIVIDADES DE INNOVACIÓN.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_Toc450120189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98</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0" w:history="1">
        <w:r w:rsidR="00923626" w:rsidRPr="00923626">
          <w:rPr>
            <w:sz w:val="18"/>
            <w:szCs w:val="18"/>
          </w:rPr>
          <w:t xml:space="preserve">Gráfico 3.12 </w:t>
        </w:r>
        <w:r w:rsidR="00923626">
          <w:rPr>
            <w:sz w:val="18"/>
            <w:szCs w:val="18"/>
          </w:rPr>
          <w:tab/>
        </w:r>
        <w:r w:rsidR="00923626" w:rsidRPr="00923626">
          <w:rPr>
            <w:sz w:val="18"/>
            <w:szCs w:val="18"/>
          </w:rPr>
          <w:t>REALIZACIÓN DE ACTIVIDADES DE INNOVACIÓN POR SECTOR DE ACTIVIDAD.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_Toc450120190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98</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1" w:history="1">
        <w:r w:rsidR="00923626" w:rsidRPr="00923626">
          <w:rPr>
            <w:sz w:val="18"/>
            <w:szCs w:val="18"/>
          </w:rPr>
          <w:t xml:space="preserve">Gráfico 3.13  </w:t>
        </w:r>
        <w:r w:rsidR="00923626">
          <w:rPr>
            <w:sz w:val="18"/>
            <w:szCs w:val="18"/>
          </w:rPr>
          <w:tab/>
        </w:r>
        <w:r w:rsidR="00923626" w:rsidRPr="00923626">
          <w:rPr>
            <w:sz w:val="18"/>
            <w:szCs w:val="18"/>
          </w:rPr>
          <w:t>IMPACTO DE LA INNOVACIÓN SOBRE EL EMPLEO TOTAL.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_Toc450120191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99</w:t>
        </w:r>
        <w:r w:rsidR="00771A61" w:rsidRPr="00923626">
          <w:rPr>
            <w:webHidden/>
            <w:sz w:val="18"/>
            <w:szCs w:val="18"/>
          </w:rPr>
          <w:fldChar w:fldCharType="end"/>
        </w:r>
      </w:hyperlink>
    </w:p>
    <w:p w:rsidR="00A25CF2" w:rsidRPr="007716A4" w:rsidRDefault="00771A61" w:rsidP="007716A4">
      <w:pPr>
        <w:pStyle w:val="Tabladeilustraciones"/>
        <w:tabs>
          <w:tab w:val="left" w:pos="8505"/>
        </w:tabs>
        <w:spacing w:line="240" w:lineRule="auto"/>
        <w:ind w:left="1134" w:right="708" w:hanging="1134"/>
        <w:rPr>
          <w:rStyle w:val="Hipervnculo"/>
          <w:rFonts w:cs="Arial"/>
          <w:noProof/>
          <w:sz w:val="18"/>
          <w:szCs w:val="18"/>
        </w:rPr>
      </w:pPr>
      <w:r w:rsidRPr="00923626">
        <w:fldChar w:fldCharType="end"/>
      </w:r>
    </w:p>
    <w:p w:rsidR="00923626" w:rsidRPr="00923626" w:rsidRDefault="00771A61" w:rsidP="00923626">
      <w:pPr>
        <w:pStyle w:val="Tabladeilustraciones"/>
        <w:tabs>
          <w:tab w:val="left" w:pos="8505"/>
        </w:tabs>
        <w:spacing w:line="240" w:lineRule="auto"/>
        <w:ind w:left="1134" w:right="708" w:hanging="1134"/>
        <w:rPr>
          <w:sz w:val="18"/>
          <w:szCs w:val="18"/>
        </w:rPr>
      </w:pPr>
      <w:r w:rsidRPr="00923626">
        <w:fldChar w:fldCharType="begin"/>
      </w:r>
      <w:r w:rsidR="00A25CF2" w:rsidRPr="00923626">
        <w:instrText xml:space="preserve"> TOC \h \z \c "Gráfico 4." </w:instrText>
      </w:r>
      <w:r w:rsidRPr="00923626">
        <w:fldChar w:fldCharType="separate"/>
      </w:r>
      <w:hyperlink w:anchor="_Toc450120192" w:history="1">
        <w:r w:rsidR="00923626" w:rsidRPr="00923626">
          <w:rPr>
            <w:sz w:val="18"/>
            <w:szCs w:val="18"/>
          </w:rPr>
          <w:t xml:space="preserve">Gráfico 4.1 </w:t>
        </w:r>
        <w:r w:rsidR="00923626">
          <w:rPr>
            <w:sz w:val="18"/>
            <w:szCs w:val="18"/>
          </w:rPr>
          <w:tab/>
        </w:r>
        <w:r w:rsidR="00923626" w:rsidRPr="00923626">
          <w:rPr>
            <w:sz w:val="18"/>
            <w:szCs w:val="18"/>
          </w:rPr>
          <w:t>EVOLUCIÓN DEL NÚMERO DE ENTIDADES NUEVAS FORMAS DE LA ECONOMÍA SOCIAL 2012 - 2014 (diferencia en cifras absolutas)</w:t>
        </w:r>
        <w:r w:rsidR="00923626" w:rsidRPr="00923626">
          <w:rPr>
            <w:webHidden/>
            <w:sz w:val="18"/>
            <w:szCs w:val="18"/>
          </w:rPr>
          <w:tab/>
        </w:r>
        <w:r w:rsidRPr="00923626">
          <w:rPr>
            <w:webHidden/>
            <w:sz w:val="18"/>
            <w:szCs w:val="18"/>
          </w:rPr>
          <w:fldChar w:fldCharType="begin"/>
        </w:r>
        <w:r w:rsidR="00923626" w:rsidRPr="00923626">
          <w:rPr>
            <w:webHidden/>
            <w:sz w:val="18"/>
            <w:szCs w:val="18"/>
          </w:rPr>
          <w:instrText xml:space="preserve"> PAGEREF _Toc450120192 \h </w:instrText>
        </w:r>
        <w:r w:rsidRPr="00923626">
          <w:rPr>
            <w:webHidden/>
            <w:sz w:val="18"/>
            <w:szCs w:val="18"/>
          </w:rPr>
        </w:r>
        <w:r w:rsidRPr="00923626">
          <w:rPr>
            <w:webHidden/>
            <w:sz w:val="18"/>
            <w:szCs w:val="18"/>
          </w:rPr>
          <w:fldChar w:fldCharType="separate"/>
        </w:r>
        <w:r w:rsidR="00923626" w:rsidRPr="00923626">
          <w:rPr>
            <w:noProof/>
            <w:webHidden/>
            <w:sz w:val="18"/>
            <w:szCs w:val="18"/>
          </w:rPr>
          <w:t>101</w:t>
        </w:r>
        <w:r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3" w:history="1">
        <w:r w:rsidR="00923626" w:rsidRPr="00923626">
          <w:rPr>
            <w:sz w:val="18"/>
            <w:szCs w:val="18"/>
          </w:rPr>
          <w:t xml:space="preserve">Gráfico 4.2  </w:t>
        </w:r>
        <w:r w:rsidR="00923626">
          <w:rPr>
            <w:sz w:val="18"/>
            <w:szCs w:val="18"/>
          </w:rPr>
          <w:tab/>
        </w:r>
        <w:r w:rsidR="00923626" w:rsidRPr="00923626">
          <w:rPr>
            <w:sz w:val="18"/>
            <w:szCs w:val="18"/>
          </w:rPr>
          <w:t>EMPLEO VOLUNTARIO–empleo voluntario anualizado y empleo voluntario total personas- EN LAS NFES.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_Toc450120193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103</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4" w:history="1">
        <w:r w:rsidR="00923626" w:rsidRPr="00923626">
          <w:rPr>
            <w:sz w:val="18"/>
            <w:szCs w:val="18"/>
          </w:rPr>
          <w:t xml:space="preserve">Gráfico 4.3    </w:t>
        </w:r>
        <w:r w:rsidR="00923626">
          <w:rPr>
            <w:sz w:val="18"/>
            <w:szCs w:val="18"/>
          </w:rPr>
          <w:tab/>
        </w:r>
        <w:r w:rsidR="00923626" w:rsidRPr="00923626">
          <w:rPr>
            <w:sz w:val="18"/>
            <w:szCs w:val="18"/>
          </w:rPr>
          <w:t>DISTRIBUCIÓN DEL EMPLEO VOLUNTARIO –total personas- POR GÉNERO NFES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_Toc450120194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104</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5" w:history="1">
        <w:r w:rsidR="00923626" w:rsidRPr="00923626">
          <w:rPr>
            <w:sz w:val="18"/>
            <w:szCs w:val="18"/>
          </w:rPr>
          <w:t xml:space="preserve">Gráfico 4.4  </w:t>
        </w:r>
        <w:r w:rsidR="00923626">
          <w:rPr>
            <w:sz w:val="18"/>
            <w:szCs w:val="18"/>
          </w:rPr>
          <w:tab/>
        </w:r>
        <w:r w:rsidR="00923626" w:rsidRPr="00923626">
          <w:rPr>
            <w:sz w:val="18"/>
            <w:szCs w:val="18"/>
          </w:rPr>
          <w:t>DISTRIBUCIÓN DEL EMPLEO VOLUNTARIO –total personas- POR TIPO DE RELACIÓN –estructural o puntual- NFES 2014</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_Toc450120195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104</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6" w:history="1">
        <w:r w:rsidR="00923626" w:rsidRPr="00923626">
          <w:rPr>
            <w:sz w:val="18"/>
            <w:szCs w:val="18"/>
          </w:rPr>
          <w:t xml:space="preserve">Gráfico 4.5  </w:t>
        </w:r>
        <w:r w:rsidR="00923626">
          <w:rPr>
            <w:sz w:val="18"/>
            <w:szCs w:val="18"/>
          </w:rPr>
          <w:tab/>
        </w:r>
        <w:r w:rsidR="00923626" w:rsidRPr="00923626">
          <w:rPr>
            <w:sz w:val="18"/>
            <w:szCs w:val="18"/>
          </w:rPr>
          <w:t>FACTURACIÓN POR TIPO DE ENTIDAD NFES 2014 (cifras absolutas)</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_Toc450120196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105</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7" w:history="1">
        <w:r w:rsidR="00923626" w:rsidRPr="00923626">
          <w:rPr>
            <w:sz w:val="18"/>
            <w:szCs w:val="18"/>
          </w:rPr>
          <w:t xml:space="preserve">Gráfico 4.6    </w:t>
        </w:r>
        <w:r w:rsidR="00923626">
          <w:rPr>
            <w:sz w:val="18"/>
            <w:szCs w:val="18"/>
          </w:rPr>
          <w:tab/>
        </w:r>
        <w:r w:rsidR="00923626" w:rsidRPr="00923626">
          <w:rPr>
            <w:sz w:val="18"/>
            <w:szCs w:val="18"/>
          </w:rPr>
          <w:t>PESO DE LAS SUBVENCIONES s/ FACTURACIÓN por tipo de entidad (%)</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_Toc450120197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106</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8" w:history="1">
        <w:r w:rsidR="00923626" w:rsidRPr="00923626">
          <w:rPr>
            <w:sz w:val="18"/>
            <w:szCs w:val="18"/>
          </w:rPr>
          <w:t xml:space="preserve">Gráfico 4.7    </w:t>
        </w:r>
        <w:r w:rsidR="00923626">
          <w:rPr>
            <w:sz w:val="18"/>
            <w:szCs w:val="18"/>
          </w:rPr>
          <w:tab/>
        </w:r>
        <w:r w:rsidR="00923626" w:rsidRPr="00923626">
          <w:rPr>
            <w:sz w:val="18"/>
            <w:szCs w:val="18"/>
          </w:rPr>
          <w:t>RESULTADOS POR TIPO DE ENTIDAD NFES 2014 (cifras absolutas)</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_Toc450120198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107</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199" w:history="1">
        <w:r w:rsidR="00923626" w:rsidRPr="00923626">
          <w:rPr>
            <w:sz w:val="18"/>
            <w:szCs w:val="18"/>
          </w:rPr>
          <w:t xml:space="preserve">Gráfico 4.8    </w:t>
        </w:r>
        <w:r w:rsidR="00923626">
          <w:rPr>
            <w:sz w:val="18"/>
            <w:szCs w:val="18"/>
          </w:rPr>
          <w:tab/>
        </w:r>
        <w:r w:rsidR="00923626" w:rsidRPr="00923626">
          <w:rPr>
            <w:sz w:val="18"/>
            <w:szCs w:val="18"/>
          </w:rPr>
          <w:t>VAB POR TIPO DE ENTIDAD NFES 2014 (cifras absolutas)</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_Toc450120199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107</w:t>
        </w:r>
        <w:r w:rsidR="00771A61" w:rsidRPr="00923626">
          <w:rPr>
            <w:webHidden/>
            <w:sz w:val="18"/>
            <w:szCs w:val="18"/>
          </w:rPr>
          <w:fldChar w:fldCharType="end"/>
        </w:r>
      </w:hyperlink>
    </w:p>
    <w:p w:rsidR="00923626" w:rsidRPr="00923626" w:rsidRDefault="00503E0A" w:rsidP="00923626">
      <w:pPr>
        <w:pStyle w:val="Tabladeilustraciones"/>
        <w:tabs>
          <w:tab w:val="left" w:pos="8505"/>
        </w:tabs>
        <w:spacing w:line="240" w:lineRule="auto"/>
        <w:ind w:left="1134" w:right="708" w:hanging="1134"/>
        <w:rPr>
          <w:sz w:val="18"/>
          <w:szCs w:val="18"/>
        </w:rPr>
      </w:pPr>
      <w:hyperlink w:anchor="_Toc450120200" w:history="1">
        <w:r w:rsidR="00923626" w:rsidRPr="00923626">
          <w:rPr>
            <w:sz w:val="18"/>
            <w:szCs w:val="18"/>
          </w:rPr>
          <w:t xml:space="preserve">Gráfico 4.9 </w:t>
        </w:r>
        <w:r w:rsidR="00923626">
          <w:rPr>
            <w:sz w:val="18"/>
            <w:szCs w:val="18"/>
          </w:rPr>
          <w:tab/>
        </w:r>
        <w:r w:rsidR="00923626" w:rsidRPr="00923626">
          <w:rPr>
            <w:sz w:val="18"/>
            <w:szCs w:val="18"/>
          </w:rPr>
          <w:t>DISTRIBUCIÓN TERRITORIAL DEL EMPLEO REMUNERADO Y LOS ESTABLECIMIENTOS DE LAS NFES. 2014 –se excluyen EPSVs-</w:t>
        </w:r>
        <w:r w:rsidR="00923626" w:rsidRPr="00923626">
          <w:rPr>
            <w:webHidden/>
            <w:sz w:val="18"/>
            <w:szCs w:val="18"/>
          </w:rPr>
          <w:tab/>
        </w:r>
        <w:r w:rsidR="00771A61" w:rsidRPr="00923626">
          <w:rPr>
            <w:webHidden/>
            <w:sz w:val="18"/>
            <w:szCs w:val="18"/>
          </w:rPr>
          <w:fldChar w:fldCharType="begin"/>
        </w:r>
        <w:r w:rsidR="00923626" w:rsidRPr="00923626">
          <w:rPr>
            <w:webHidden/>
            <w:sz w:val="18"/>
            <w:szCs w:val="18"/>
          </w:rPr>
          <w:instrText xml:space="preserve"> PAGEREF _Toc450120200 \h </w:instrText>
        </w:r>
        <w:r w:rsidR="00771A61" w:rsidRPr="00923626">
          <w:rPr>
            <w:webHidden/>
            <w:sz w:val="18"/>
            <w:szCs w:val="18"/>
          </w:rPr>
        </w:r>
        <w:r w:rsidR="00771A61" w:rsidRPr="00923626">
          <w:rPr>
            <w:webHidden/>
            <w:sz w:val="18"/>
            <w:szCs w:val="18"/>
          </w:rPr>
          <w:fldChar w:fldCharType="separate"/>
        </w:r>
        <w:r w:rsidR="00923626" w:rsidRPr="00923626">
          <w:rPr>
            <w:noProof/>
            <w:webHidden/>
            <w:sz w:val="18"/>
            <w:szCs w:val="18"/>
          </w:rPr>
          <w:t>112</w:t>
        </w:r>
        <w:r w:rsidR="00771A61" w:rsidRPr="00923626">
          <w:rPr>
            <w:webHidden/>
            <w:sz w:val="18"/>
            <w:szCs w:val="18"/>
          </w:rPr>
          <w:fldChar w:fldCharType="end"/>
        </w:r>
      </w:hyperlink>
    </w:p>
    <w:p w:rsidR="00A25CF2" w:rsidRPr="00923626" w:rsidRDefault="00771A61" w:rsidP="007716A4">
      <w:pPr>
        <w:pStyle w:val="Tabladeilustraciones"/>
        <w:tabs>
          <w:tab w:val="left" w:pos="8505"/>
        </w:tabs>
        <w:spacing w:line="240" w:lineRule="auto"/>
        <w:ind w:left="1134" w:right="708" w:hanging="1134"/>
      </w:pPr>
      <w:r w:rsidRPr="00923626">
        <w:fldChar w:fldCharType="end"/>
      </w:r>
    </w:p>
    <w:sectPr w:rsidR="00A25CF2" w:rsidRPr="00923626" w:rsidSect="00F11E46">
      <w:headerReference w:type="even" r:id="rId95"/>
      <w:headerReference w:type="default" r:id="rId96"/>
      <w:footerReference w:type="even" r:id="rId97"/>
      <w:footerReference w:type="default" r:id="rId98"/>
      <w:headerReference w:type="first" r:id="rId99"/>
      <w:pgSz w:w="11906" w:h="16838" w:code="9"/>
      <w:pgMar w:top="1616" w:right="1474" w:bottom="1219" w:left="164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E0A" w:rsidRDefault="00503E0A" w:rsidP="00787593">
      <w:pPr>
        <w:spacing w:line="240" w:lineRule="auto"/>
      </w:pPr>
      <w:r>
        <w:separator/>
      </w:r>
    </w:p>
  </w:endnote>
  <w:endnote w:type="continuationSeparator" w:id="0">
    <w:p w:rsidR="00503E0A" w:rsidRDefault="00503E0A" w:rsidP="00787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Zurich Cn BT">
    <w:altName w:val="Arial Narrow"/>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962795016"/>
      <w:docPartObj>
        <w:docPartGallery w:val="Page Numbers (Bottom of Page)"/>
        <w:docPartUnique/>
      </w:docPartObj>
    </w:sdtPr>
    <w:sdtEndPr/>
    <w:sdtContent>
      <w:p w:rsidR="006367E5" w:rsidRPr="00E60057" w:rsidRDefault="006367E5">
        <w:pPr>
          <w:pStyle w:val="Piedepgina"/>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sidR="008E7DE5">
          <w:rPr>
            <w:noProof/>
            <w:sz w:val="18"/>
            <w:szCs w:val="18"/>
          </w:rPr>
          <w:t>48</w:t>
        </w:r>
        <w:r w:rsidRPr="00E60057">
          <w:rPr>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616804"/>
      <w:docPartObj>
        <w:docPartGallery w:val="Page Numbers (Bottom of Page)"/>
        <w:docPartUnique/>
      </w:docPartObj>
    </w:sdtPr>
    <w:sdtEndPr>
      <w:rPr>
        <w:sz w:val="18"/>
        <w:szCs w:val="18"/>
      </w:rPr>
    </w:sdtEndPr>
    <w:sdtContent>
      <w:p w:rsidR="006367E5" w:rsidRPr="00E60057" w:rsidRDefault="006367E5">
        <w:pPr>
          <w:pStyle w:val="Piedepgina"/>
          <w:jc w:val="right"/>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sidR="008E7DE5">
          <w:rPr>
            <w:noProof/>
            <w:sz w:val="18"/>
            <w:szCs w:val="18"/>
          </w:rPr>
          <w:t>47</w:t>
        </w:r>
        <w:r w:rsidRPr="00E60057">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E0A" w:rsidRDefault="00503E0A" w:rsidP="00787593">
      <w:pPr>
        <w:spacing w:line="240" w:lineRule="auto"/>
      </w:pPr>
      <w:r>
        <w:separator/>
      </w:r>
    </w:p>
  </w:footnote>
  <w:footnote w:type="continuationSeparator" w:id="0">
    <w:p w:rsidR="00503E0A" w:rsidRDefault="00503E0A" w:rsidP="00787593">
      <w:pPr>
        <w:spacing w:line="240" w:lineRule="auto"/>
      </w:pPr>
      <w:r>
        <w:continuationSeparator/>
      </w:r>
    </w:p>
  </w:footnote>
  <w:footnote w:id="1">
    <w:p w:rsidR="006367E5" w:rsidRPr="008C6F4C" w:rsidRDefault="006367E5" w:rsidP="00EE3AF1">
      <w:pPr>
        <w:spacing w:line="240" w:lineRule="auto"/>
        <w:ind w:left="227" w:hanging="227"/>
        <w:rPr>
          <w:sz w:val="16"/>
          <w:szCs w:val="16"/>
          <w:lang w:val="es-ES_tradnl"/>
        </w:rPr>
      </w:pPr>
      <w:r w:rsidRPr="008C6F4C">
        <w:rPr>
          <w:rStyle w:val="Refdenotaalpie"/>
          <w:sz w:val="16"/>
          <w:szCs w:val="16"/>
        </w:rPr>
        <w:footnoteRef/>
      </w:r>
      <w:r w:rsidRPr="008C6F4C">
        <w:rPr>
          <w:sz w:val="16"/>
          <w:szCs w:val="16"/>
        </w:rPr>
        <w:t xml:space="preserve"> </w:t>
      </w:r>
      <w:r w:rsidRPr="008C6F4C">
        <w:rPr>
          <w:sz w:val="16"/>
          <w:szCs w:val="16"/>
        </w:rPr>
        <w:tab/>
        <w:t xml:space="preserve">Se utiliza la clasificación en 11 grandes comarcas establecida en el Censo del Mercado de Trabajo: </w:t>
      </w:r>
      <w:r w:rsidRPr="008C6F4C">
        <w:rPr>
          <w:rFonts w:cs="Arial"/>
          <w:snapToGrid w:val="0"/>
          <w:sz w:val="16"/>
          <w:szCs w:val="16"/>
        </w:rPr>
        <w:t xml:space="preserve">Gasteiz, Ayala, Margen Derecha, Bilbao, Margen Izquierda, </w:t>
      </w:r>
      <w:proofErr w:type="spellStart"/>
      <w:r w:rsidRPr="008C6F4C">
        <w:rPr>
          <w:rFonts w:cs="Arial"/>
          <w:snapToGrid w:val="0"/>
          <w:sz w:val="16"/>
          <w:szCs w:val="16"/>
        </w:rPr>
        <w:t>Bizkaia</w:t>
      </w:r>
      <w:proofErr w:type="spellEnd"/>
      <w:r w:rsidRPr="008C6F4C">
        <w:rPr>
          <w:rFonts w:cs="Arial"/>
          <w:snapToGrid w:val="0"/>
          <w:sz w:val="16"/>
          <w:szCs w:val="16"/>
        </w:rPr>
        <w:t xml:space="preserve">-Costa, </w:t>
      </w:r>
      <w:proofErr w:type="spellStart"/>
      <w:r w:rsidRPr="008C6F4C">
        <w:rPr>
          <w:rFonts w:cs="Arial"/>
          <w:snapToGrid w:val="0"/>
          <w:sz w:val="16"/>
          <w:szCs w:val="16"/>
        </w:rPr>
        <w:t>Duranguesado</w:t>
      </w:r>
      <w:proofErr w:type="spellEnd"/>
      <w:r w:rsidRPr="008C6F4C">
        <w:rPr>
          <w:rFonts w:cs="Arial"/>
          <w:snapToGrid w:val="0"/>
          <w:sz w:val="16"/>
          <w:szCs w:val="16"/>
        </w:rPr>
        <w:t xml:space="preserve">, </w:t>
      </w:r>
      <w:proofErr w:type="spellStart"/>
      <w:r w:rsidRPr="008C6F4C">
        <w:rPr>
          <w:rFonts w:cs="Arial"/>
          <w:snapToGrid w:val="0"/>
          <w:sz w:val="16"/>
          <w:szCs w:val="16"/>
        </w:rPr>
        <w:t>Donostialdea</w:t>
      </w:r>
      <w:proofErr w:type="spellEnd"/>
      <w:r w:rsidRPr="008C6F4C">
        <w:rPr>
          <w:rFonts w:cs="Arial"/>
          <w:snapToGrid w:val="0"/>
          <w:sz w:val="16"/>
          <w:szCs w:val="16"/>
        </w:rPr>
        <w:t>, Tolosa-</w:t>
      </w:r>
      <w:proofErr w:type="spellStart"/>
      <w:r w:rsidRPr="008C6F4C">
        <w:rPr>
          <w:rFonts w:cs="Arial"/>
          <w:snapToGrid w:val="0"/>
          <w:sz w:val="16"/>
          <w:szCs w:val="16"/>
        </w:rPr>
        <w:t>Goierri</w:t>
      </w:r>
      <w:proofErr w:type="spellEnd"/>
      <w:r w:rsidRPr="008C6F4C">
        <w:rPr>
          <w:rFonts w:cs="Arial"/>
          <w:snapToGrid w:val="0"/>
          <w:sz w:val="16"/>
          <w:szCs w:val="16"/>
        </w:rPr>
        <w:t>, Alto Deba y Bajo Deba</w:t>
      </w:r>
    </w:p>
  </w:footnote>
  <w:footnote w:id="2">
    <w:p w:rsidR="006367E5" w:rsidRPr="008C6F4C" w:rsidRDefault="006367E5" w:rsidP="00BD60C8">
      <w:pPr>
        <w:pStyle w:val="Textonotapie"/>
        <w:ind w:left="142" w:hanging="142"/>
        <w:rPr>
          <w:rFonts w:ascii="Arial" w:hAnsi="Arial" w:cs="Arial"/>
          <w:sz w:val="16"/>
          <w:szCs w:val="16"/>
        </w:rPr>
      </w:pPr>
      <w:r w:rsidRPr="008C6F4C">
        <w:rPr>
          <w:rStyle w:val="Refdenotaalpie"/>
          <w:rFonts w:ascii="Arial" w:hAnsi="Arial" w:cs="Arial"/>
          <w:sz w:val="16"/>
          <w:szCs w:val="16"/>
        </w:rPr>
        <w:footnoteRef/>
      </w:r>
      <w:r w:rsidRPr="008C6F4C">
        <w:rPr>
          <w:rFonts w:ascii="Arial" w:eastAsiaTheme="minorHAnsi" w:hAnsi="Arial" w:cs="Arial"/>
          <w:sz w:val="16"/>
          <w:szCs w:val="16"/>
          <w:lang w:val="es-ES" w:eastAsia="en-US"/>
        </w:rPr>
        <w:t xml:space="preserve"> </w:t>
      </w:r>
      <w:r w:rsidRPr="008C6F4C">
        <w:rPr>
          <w:rFonts w:ascii="Arial" w:eastAsiaTheme="minorHAnsi" w:hAnsi="Arial" w:cs="Arial"/>
          <w:sz w:val="16"/>
          <w:szCs w:val="16"/>
          <w:lang w:val="es-ES" w:eastAsia="en-US"/>
        </w:rPr>
        <w:tab/>
        <w:t>En la edición 2014 se ha procedido a la elaboración y envío censal de un cuestionario específico para la recogida informativa de los principales parámetros socioeconómicos de las Nuevas Formas (Fundaciones, Asociaciones de Utilidad Pública, Empresas de Inserción, Centros Especiales de Empleo, Cofradías de Pescadores, y Sociedades Agrarias de Transformación).</w:t>
      </w:r>
    </w:p>
  </w:footnote>
  <w:footnote w:id="3">
    <w:p w:rsidR="006367E5" w:rsidRPr="008C6F4C" w:rsidRDefault="006367E5" w:rsidP="00C3320A">
      <w:pPr>
        <w:spacing w:line="240" w:lineRule="auto"/>
        <w:ind w:left="227" w:hanging="227"/>
        <w:rPr>
          <w:rFonts w:eastAsia="Times New Roman" w:cs="Arial"/>
          <w:sz w:val="16"/>
          <w:szCs w:val="16"/>
          <w:lang w:val="es-ES_tradnl" w:eastAsia="es-ES"/>
        </w:rPr>
      </w:pPr>
      <w:r w:rsidRPr="008C6F4C">
        <w:rPr>
          <w:rStyle w:val="Refdenotaalpie"/>
          <w:rFonts w:cs="Arial"/>
          <w:sz w:val="16"/>
          <w:szCs w:val="16"/>
        </w:rPr>
        <w:footnoteRef/>
      </w:r>
      <w:r w:rsidRPr="008C6F4C">
        <w:rPr>
          <w:rFonts w:cs="Arial"/>
          <w:sz w:val="16"/>
          <w:szCs w:val="16"/>
        </w:rPr>
        <w:tab/>
        <w:t xml:space="preserve">Debe señalarse sin embargo que no toda la caída del empleo en las FCES se vincula a una pérdida estricta de puestos de trabajo. </w:t>
      </w:r>
      <w:r w:rsidRPr="008C6F4C">
        <w:rPr>
          <w:rFonts w:eastAsia="Times New Roman" w:cs="Arial"/>
          <w:sz w:val="16"/>
          <w:szCs w:val="16"/>
          <w:lang w:val="es-ES_tradnl" w:eastAsia="es-ES"/>
        </w:rPr>
        <w:t xml:space="preserve">La especificidad de la Estadística de la Economía Social conlleva que el análisis de los resultados relativos a la dinámica del empleo no se corresponda en exclusiva con la propia evolución de las empresas (cierres, aperturas, aumentos o decrementos de la plantilla, etc.) sino que refleje igualmente los procesos de entrada y salidas de empresas del marco formal de estudio. En este sentido, desde ediciones anteriores se viene detectando una clara tendencia a la conversión de sociedades laborales en sociedades mercantiles, un proceso que afecta al volumen de empleo de la Economía Social. </w:t>
      </w:r>
    </w:p>
  </w:footnote>
  <w:footnote w:id="4">
    <w:p w:rsidR="006367E5" w:rsidRPr="008C6F4C" w:rsidRDefault="006367E5" w:rsidP="006605C6">
      <w:pPr>
        <w:spacing w:line="240" w:lineRule="auto"/>
        <w:ind w:left="227" w:hanging="227"/>
        <w:rPr>
          <w:sz w:val="16"/>
          <w:szCs w:val="16"/>
        </w:rPr>
      </w:pPr>
      <w:r w:rsidRPr="008C6F4C">
        <w:rPr>
          <w:rStyle w:val="Refdenotaalpie"/>
          <w:sz w:val="16"/>
          <w:szCs w:val="16"/>
        </w:rPr>
        <w:footnoteRef/>
      </w:r>
      <w:r w:rsidRPr="008C6F4C">
        <w:rPr>
          <w:sz w:val="16"/>
          <w:szCs w:val="16"/>
        </w:rPr>
        <w:tab/>
      </w:r>
      <w:r w:rsidRPr="008C6F4C">
        <w:rPr>
          <w:rFonts w:eastAsia="Times New Roman" w:cs="Arial"/>
          <w:sz w:val="16"/>
          <w:szCs w:val="16"/>
          <w:lang w:val="es-ES_tradnl" w:eastAsia="es-ES"/>
        </w:rPr>
        <w:t xml:space="preserve">La cooperativa </w:t>
      </w:r>
      <w:proofErr w:type="spellStart"/>
      <w:r w:rsidRPr="008C6F4C">
        <w:rPr>
          <w:rFonts w:eastAsia="Times New Roman" w:cs="Arial"/>
          <w:sz w:val="16"/>
          <w:szCs w:val="16"/>
          <w:lang w:val="es-ES_tradnl" w:eastAsia="es-ES"/>
        </w:rPr>
        <w:t>Fagor</w:t>
      </w:r>
      <w:proofErr w:type="spellEnd"/>
      <w:r w:rsidRPr="008C6F4C">
        <w:rPr>
          <w:rFonts w:eastAsia="Times New Roman" w:cs="Arial"/>
          <w:sz w:val="16"/>
          <w:szCs w:val="16"/>
          <w:lang w:val="es-ES_tradnl" w:eastAsia="es-ES"/>
        </w:rPr>
        <w:t xml:space="preserve"> Electrodomésticos entra en proceso concursal el 19 de Noviembre de 2013. A lo largo del año 2014 </w:t>
      </w:r>
      <w:proofErr w:type="spellStart"/>
      <w:r w:rsidRPr="008C6F4C">
        <w:rPr>
          <w:rFonts w:eastAsia="Times New Roman" w:cs="Arial"/>
          <w:sz w:val="16"/>
          <w:szCs w:val="16"/>
          <w:lang w:val="es-ES_tradnl" w:eastAsia="es-ES"/>
        </w:rPr>
        <w:t>Fagor</w:t>
      </w:r>
      <w:proofErr w:type="spellEnd"/>
      <w:r w:rsidRPr="008C6F4C">
        <w:rPr>
          <w:rFonts w:eastAsia="Times New Roman" w:cs="Arial"/>
          <w:sz w:val="16"/>
          <w:szCs w:val="16"/>
          <w:lang w:val="es-ES_tradnl" w:eastAsia="es-ES"/>
        </w:rPr>
        <w:t xml:space="preserve"> Electrodomésticos no registra facturación y la plantilla queda sujeta a un proceso de ERE que comienza en enero de 2014 y finaliza el 8 de julio de ese año. De esta forma, la estadística de Economía Social 2014 deja de contar con los parámetros socioeconómicos generados hasta entonces por parte de </w:t>
      </w:r>
      <w:proofErr w:type="spellStart"/>
      <w:r w:rsidRPr="008C6F4C">
        <w:rPr>
          <w:rFonts w:eastAsia="Times New Roman" w:cs="Arial"/>
          <w:sz w:val="16"/>
          <w:szCs w:val="16"/>
          <w:lang w:val="es-ES_tradnl" w:eastAsia="es-ES"/>
        </w:rPr>
        <w:t>Fagor</w:t>
      </w:r>
      <w:proofErr w:type="spellEnd"/>
      <w:r w:rsidRPr="008C6F4C">
        <w:rPr>
          <w:rFonts w:eastAsia="Times New Roman" w:cs="Arial"/>
          <w:sz w:val="16"/>
          <w:szCs w:val="16"/>
          <w:lang w:val="es-ES_tradnl" w:eastAsia="es-ES"/>
        </w:rPr>
        <w:t xml:space="preserve"> Electrodomésticos. Esta empresa cooperativa contaba con más de 1.800 empleos que se recogían en la anterior Estadística de la Economía Social 2012.</w:t>
      </w:r>
    </w:p>
  </w:footnote>
  <w:footnote w:id="5">
    <w:p w:rsidR="006367E5" w:rsidRPr="008C6F4C" w:rsidRDefault="006367E5" w:rsidP="00700DB2">
      <w:pPr>
        <w:pStyle w:val="Textonotapie"/>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Facturación media de los ejercicios 2006,2007 y 2008</w:t>
      </w:r>
    </w:p>
  </w:footnote>
  <w:footnote w:id="6">
    <w:p w:rsidR="006367E5" w:rsidRPr="008C6F4C" w:rsidRDefault="006367E5" w:rsidP="007467DB">
      <w:pPr>
        <w:pStyle w:val="Textonotapie"/>
        <w:ind w:left="142" w:hanging="142"/>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La caída entre 2012 y 2014 corresponde al c</w:t>
      </w:r>
      <w:proofErr w:type="spellStart"/>
      <w:r w:rsidRPr="008C6F4C">
        <w:rPr>
          <w:rFonts w:ascii="Arial" w:hAnsi="Arial" w:cs="Arial"/>
          <w:sz w:val="16"/>
          <w:szCs w:val="16"/>
          <w:lang w:val="es-ES"/>
        </w:rPr>
        <w:t>ierre</w:t>
      </w:r>
      <w:proofErr w:type="spellEnd"/>
      <w:r w:rsidRPr="008C6F4C">
        <w:rPr>
          <w:rFonts w:ascii="Arial" w:hAnsi="Arial" w:cs="Arial"/>
          <w:sz w:val="16"/>
          <w:szCs w:val="16"/>
          <w:lang w:val="es-ES"/>
        </w:rPr>
        <w:t xml:space="preserve"> de la Cofradía de Pescadores de </w:t>
      </w:r>
      <w:proofErr w:type="spellStart"/>
      <w:r w:rsidRPr="008C6F4C">
        <w:rPr>
          <w:rFonts w:ascii="Arial" w:hAnsi="Arial" w:cs="Arial"/>
          <w:sz w:val="16"/>
          <w:szCs w:val="16"/>
          <w:lang w:val="es-ES"/>
        </w:rPr>
        <w:t>Mutriku</w:t>
      </w:r>
      <w:proofErr w:type="spellEnd"/>
      <w:r w:rsidRPr="008C6F4C">
        <w:rPr>
          <w:rFonts w:ascii="Arial" w:hAnsi="Arial" w:cs="Arial"/>
          <w:sz w:val="16"/>
          <w:szCs w:val="16"/>
          <w:lang w:val="es-ES"/>
        </w:rPr>
        <w:t xml:space="preserve"> (San Pedro)</w:t>
      </w:r>
    </w:p>
  </w:footnote>
  <w:footnote w:id="7">
    <w:p w:rsidR="006367E5" w:rsidRPr="008C6F4C" w:rsidRDefault="006367E5" w:rsidP="0054655A">
      <w:pPr>
        <w:pStyle w:val="Textonotapie"/>
        <w:ind w:left="142" w:hanging="142"/>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8C6F4C">
        <w:rPr>
          <w:rFonts w:ascii="Arial" w:hAnsi="Arial" w:cs="Arial"/>
          <w:sz w:val="16"/>
          <w:szCs w:val="16"/>
          <w:lang w:val="es-ES"/>
        </w:rPr>
        <w:t>Esta cifra de empleo no sería estrictamente comparable con los 26.441 empleos que se contabilizaban en la Estadística de la Economía Social 2012 (Ver explicaciones recogidas en el Anexo metodológico a este apartado).</w:t>
      </w:r>
    </w:p>
  </w:footnote>
  <w:footnote w:id="8">
    <w:p w:rsidR="006367E5" w:rsidRPr="008C6F4C" w:rsidRDefault="006367E5" w:rsidP="008C6F4C">
      <w:pPr>
        <w:pStyle w:val="Textonotapie"/>
        <w:ind w:left="142" w:hanging="142"/>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 xml:space="preserve">En esa aproximación conjunta es preciso eliminar algunas duplicidades, como las </w:t>
      </w:r>
      <w:r w:rsidRPr="008C6F4C">
        <w:rPr>
          <w:rFonts w:ascii="Arial" w:hAnsi="Arial" w:cs="Arial"/>
          <w:sz w:val="16"/>
          <w:szCs w:val="16"/>
          <w:lang w:val="es-ES"/>
        </w:rPr>
        <w:t>asociadas a Centros Especiales de Empleo y Empresas de Inserción con forma jurídica correspondientes a las FCES (</w:t>
      </w:r>
      <w:proofErr w:type="spellStart"/>
      <w:r w:rsidRPr="008C6F4C">
        <w:rPr>
          <w:rFonts w:ascii="Arial" w:hAnsi="Arial" w:cs="Arial"/>
          <w:sz w:val="16"/>
          <w:szCs w:val="16"/>
          <w:lang w:val="es-ES"/>
        </w:rPr>
        <w:t>Katea</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Legaia</w:t>
      </w:r>
      <w:proofErr w:type="spellEnd"/>
      <w:r w:rsidRPr="008C6F4C">
        <w:rPr>
          <w:rFonts w:ascii="Arial" w:hAnsi="Arial" w:cs="Arial"/>
          <w:sz w:val="16"/>
          <w:szCs w:val="16"/>
          <w:lang w:val="es-ES"/>
        </w:rPr>
        <w:t xml:space="preserve"> S.L.L., </w:t>
      </w:r>
      <w:proofErr w:type="spellStart"/>
      <w:r w:rsidRPr="008C6F4C">
        <w:rPr>
          <w:rFonts w:ascii="Arial" w:hAnsi="Arial" w:cs="Arial"/>
          <w:sz w:val="16"/>
          <w:szCs w:val="16"/>
          <w:lang w:val="es-ES"/>
        </w:rPr>
        <w:t>Bejantzi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Koopera</w:t>
      </w:r>
      <w:proofErr w:type="spellEnd"/>
      <w:r w:rsidRPr="008C6F4C">
        <w:rPr>
          <w:rFonts w:ascii="Arial" w:hAnsi="Arial" w:cs="Arial"/>
          <w:sz w:val="16"/>
          <w:szCs w:val="16"/>
          <w:lang w:val="es-ES"/>
        </w:rPr>
        <w:t xml:space="preserve"> Ambiente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Euskarri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Integra Social </w:t>
      </w:r>
      <w:proofErr w:type="spellStart"/>
      <w:r w:rsidRPr="008C6F4C">
        <w:rPr>
          <w:rFonts w:ascii="Arial" w:hAnsi="Arial" w:cs="Arial"/>
          <w:sz w:val="16"/>
          <w:szCs w:val="16"/>
          <w:lang w:val="es-ES"/>
        </w:rPr>
        <w:t>Outsourcing</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Jazki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Bat</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w:t>
      </w:r>
    </w:p>
    <w:p w:rsidR="006367E5" w:rsidRPr="008C6F4C" w:rsidRDefault="006367E5" w:rsidP="008C6F4C">
      <w:pPr>
        <w:pStyle w:val="Textonotapie"/>
        <w:ind w:left="142" w:hanging="142"/>
        <w:rPr>
          <w:rFonts w:ascii="Arial" w:hAnsi="Arial" w:cs="Arial"/>
          <w:sz w:val="16"/>
          <w:szCs w:val="16"/>
          <w:lang w:val="es-ES"/>
        </w:rPr>
      </w:pPr>
    </w:p>
  </w:footnote>
  <w:footnote w:id="9">
    <w:p w:rsidR="006367E5" w:rsidRPr="008C6F4C" w:rsidRDefault="006367E5" w:rsidP="00BD60C8">
      <w:pPr>
        <w:pStyle w:val="Textonotapie"/>
        <w:ind w:left="142" w:hanging="142"/>
        <w:rPr>
          <w:rFonts w:ascii="Arial" w:hAnsi="Arial" w:cs="Arial"/>
          <w:sz w:val="16"/>
          <w:szCs w:val="16"/>
          <w:lang w:val="es-ES"/>
        </w:rPr>
      </w:pPr>
      <w:r w:rsidRPr="008C6F4C">
        <w:rPr>
          <w:rFonts w:ascii="Arial" w:eastAsiaTheme="minorHAnsi" w:hAnsi="Arial" w:cs="Arial"/>
          <w:snapToGrid/>
          <w:sz w:val="16"/>
          <w:szCs w:val="16"/>
          <w:vertAlign w:val="superscript"/>
          <w:lang w:val="es-ES" w:eastAsia="en-US"/>
        </w:rPr>
        <w:footnoteRef/>
      </w:r>
      <w:r w:rsidRPr="008C6F4C">
        <w:rPr>
          <w:rFonts w:ascii="Arial" w:eastAsiaTheme="minorHAnsi" w:hAnsi="Arial" w:cs="Arial"/>
          <w:snapToGrid/>
          <w:sz w:val="16"/>
          <w:szCs w:val="16"/>
          <w:vertAlign w:val="superscript"/>
          <w:lang w:val="es-ES" w:eastAsia="en-US"/>
        </w:rPr>
        <w:t xml:space="preserve"> </w:t>
      </w:r>
      <w:r w:rsidRPr="008C6F4C">
        <w:rPr>
          <w:rFonts w:ascii="Arial" w:eastAsiaTheme="minorHAnsi" w:hAnsi="Arial" w:cs="Arial"/>
          <w:snapToGrid/>
          <w:sz w:val="16"/>
          <w:szCs w:val="16"/>
          <w:lang w:val="es-ES" w:eastAsia="en-US"/>
        </w:rPr>
        <w:t xml:space="preserve">La metodología en la que se basa la estimación en el ejercicio 2012 no resulta </w:t>
      </w:r>
      <w:r>
        <w:rPr>
          <w:rFonts w:ascii="Arial" w:eastAsiaTheme="minorHAnsi" w:hAnsi="Arial" w:cs="Arial"/>
          <w:snapToGrid/>
          <w:sz w:val="16"/>
          <w:szCs w:val="16"/>
          <w:lang w:val="es-ES" w:eastAsia="en-US"/>
        </w:rPr>
        <w:t xml:space="preserve">permite realizar una comparación estricta con los datos derivados de la aplicación de </w:t>
      </w:r>
      <w:r w:rsidRPr="008C6F4C">
        <w:rPr>
          <w:rFonts w:ascii="Arial" w:hAnsi="Arial" w:cs="Arial"/>
          <w:sz w:val="16"/>
          <w:szCs w:val="16"/>
          <w:lang w:val="es-ES"/>
        </w:rPr>
        <w:t>la metodología de 2014, ejercicio en el que por primera vez se asemeja la operativa de campo de las NFES a la de las FCES.</w:t>
      </w:r>
    </w:p>
    <w:p w:rsidR="006367E5" w:rsidRPr="008C6F4C" w:rsidRDefault="006367E5" w:rsidP="00BD60C8">
      <w:pPr>
        <w:pStyle w:val="Textonotapie"/>
        <w:ind w:left="142" w:hanging="142"/>
        <w:rPr>
          <w:rFonts w:ascii="Arial" w:hAnsi="Arial" w:cs="Arial"/>
          <w:sz w:val="16"/>
          <w:szCs w:val="16"/>
        </w:rPr>
      </w:pPr>
    </w:p>
  </w:footnote>
  <w:footnote w:id="10">
    <w:p w:rsidR="006367E5" w:rsidRPr="008C6F4C" w:rsidRDefault="006367E5" w:rsidP="008C6F4C">
      <w:pPr>
        <w:spacing w:line="240" w:lineRule="atLeast"/>
        <w:ind w:left="142" w:hanging="142"/>
        <w:rPr>
          <w:rFonts w:cs="Arial"/>
          <w:sz w:val="16"/>
          <w:szCs w:val="16"/>
        </w:rPr>
      </w:pPr>
      <w:r w:rsidRPr="008C6F4C">
        <w:rPr>
          <w:rStyle w:val="Refdenotaalpie"/>
          <w:rFonts w:cs="Arial"/>
          <w:sz w:val="16"/>
          <w:szCs w:val="16"/>
        </w:rPr>
        <w:footnoteRef/>
      </w:r>
      <w:r w:rsidRPr="008C6F4C">
        <w:rPr>
          <w:rFonts w:cs="Arial"/>
          <w:sz w:val="16"/>
          <w:szCs w:val="16"/>
        </w:rPr>
        <w:t xml:space="preserve"> Fuente Cuentas Económicas </w:t>
      </w:r>
      <w:proofErr w:type="spellStart"/>
      <w:r w:rsidRPr="008C6F4C">
        <w:rPr>
          <w:rFonts w:cs="Arial"/>
          <w:sz w:val="16"/>
          <w:szCs w:val="16"/>
        </w:rPr>
        <w:t>Eustat</w:t>
      </w:r>
      <w:proofErr w:type="spellEnd"/>
      <w:r w:rsidRPr="008C6F4C">
        <w:rPr>
          <w:rFonts w:cs="Arial"/>
          <w:sz w:val="16"/>
          <w:szCs w:val="16"/>
        </w:rPr>
        <w:t xml:space="preserve"> 2014 VALOR AÑADIDO BRUTO (VAB) a precios básicos</w:t>
      </w:r>
    </w:p>
  </w:footnote>
  <w:footnote w:id="11">
    <w:p w:rsidR="006367E5" w:rsidRPr="008C6F4C" w:rsidRDefault="006367E5" w:rsidP="0054655A">
      <w:pPr>
        <w:pStyle w:val="Textonotapie"/>
        <w:ind w:left="227" w:hanging="227"/>
        <w:rPr>
          <w:sz w:val="16"/>
          <w:szCs w:val="16"/>
        </w:rPr>
      </w:pPr>
      <w:r w:rsidRPr="008C6F4C">
        <w:rPr>
          <w:rStyle w:val="Refdenotaalpie"/>
          <w:sz w:val="16"/>
          <w:szCs w:val="16"/>
        </w:rPr>
        <w:footnoteRef/>
      </w:r>
      <w:r w:rsidRPr="008C6F4C">
        <w:rPr>
          <w:sz w:val="16"/>
          <w:szCs w:val="16"/>
        </w:rPr>
        <w:t xml:space="preserve"> </w:t>
      </w:r>
      <w:r w:rsidRPr="008C6F4C">
        <w:rPr>
          <w:sz w:val="16"/>
          <w:szCs w:val="16"/>
        </w:rPr>
        <w:tab/>
      </w:r>
      <w:r w:rsidRPr="008C6F4C">
        <w:rPr>
          <w:rFonts w:ascii="Arial" w:hAnsi="Arial" w:cs="Arial"/>
          <w:sz w:val="16"/>
          <w:szCs w:val="16"/>
        </w:rPr>
        <w:t xml:space="preserve">(Registro de Fundaciones y Asociaciones de Utilidad Pública, Memoria de </w:t>
      </w:r>
      <w:proofErr w:type="spellStart"/>
      <w:r w:rsidRPr="008C6F4C">
        <w:rPr>
          <w:rFonts w:ascii="Arial" w:hAnsi="Arial" w:cs="Arial"/>
          <w:sz w:val="16"/>
          <w:szCs w:val="16"/>
        </w:rPr>
        <w:t>Gizatea</w:t>
      </w:r>
      <w:proofErr w:type="spellEnd"/>
      <w:r w:rsidRPr="008C6F4C">
        <w:rPr>
          <w:rFonts w:ascii="Arial" w:hAnsi="Arial" w:cs="Arial"/>
          <w:sz w:val="16"/>
          <w:szCs w:val="16"/>
        </w:rPr>
        <w:t xml:space="preserve"> –Asociación de Empresas de Inserción del País Vasco-, Cuentas aportadas por EHLABE –Portal Vasco de Empleo para personas con discapacidad-, etc.).</w:t>
      </w:r>
    </w:p>
  </w:footnote>
  <w:footnote w:id="12">
    <w:p w:rsidR="006367E5" w:rsidRPr="008C6F4C" w:rsidRDefault="006367E5" w:rsidP="00D43F20">
      <w:pPr>
        <w:pStyle w:val="Textonotapie"/>
        <w:ind w:left="227" w:hanging="227"/>
        <w:rPr>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Pr>
          <w:rFonts w:ascii="Arial" w:hAnsi="Arial" w:cs="Arial"/>
          <w:sz w:val="16"/>
          <w:szCs w:val="16"/>
        </w:rPr>
        <w:tab/>
      </w:r>
      <w:r w:rsidRPr="008C6F4C">
        <w:rPr>
          <w:rFonts w:ascii="Arial" w:hAnsi="Arial" w:cs="Arial"/>
          <w:sz w:val="16"/>
          <w:szCs w:val="16"/>
        </w:rPr>
        <w:t>Los ratios que permiten valorar el nivel de cobertura de los Fondos Propios son el de Endeudamiento (Fondos Ajenos/Fondos Propios) y el de Garantía (Activo Total/Exigible Total). En principio, y en términos de gestión financiera, estos ratios deberían situarse entre un intervalo de 1 a 2 y de 1,5 a 2, respectivamente, para que el nivel de endeudamiento y de cobertura de recursos propios sea el esperado.</w:t>
      </w:r>
    </w:p>
  </w:footnote>
  <w:footnote w:id="13">
    <w:p w:rsidR="006367E5" w:rsidRPr="008C6F4C" w:rsidRDefault="006367E5" w:rsidP="00D43F20">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las Cuentas 2.1 (Inmovilizado Inmaterial) y 2.2. (Inmovilizado Material) respecto a 2011.</w:t>
      </w:r>
    </w:p>
  </w:footnote>
  <w:footnote w:id="14">
    <w:p w:rsidR="006367E5" w:rsidRPr="008C6F4C" w:rsidRDefault="006367E5" w:rsidP="00D43F20">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130 respecto a 2011.</w:t>
      </w:r>
    </w:p>
  </w:footnote>
  <w:footnote w:id="15">
    <w:p w:rsidR="006367E5" w:rsidRPr="008C6F4C" w:rsidRDefault="006367E5" w:rsidP="00952143">
      <w:pPr>
        <w:pStyle w:val="Textonotapie"/>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I+D Interna y/o I+D Externa y/o Innovación de Producto y/o Innovación de Proceso</w:t>
      </w:r>
    </w:p>
  </w:footnote>
  <w:footnote w:id="16">
    <w:p w:rsidR="006367E5" w:rsidRPr="008C6F4C" w:rsidRDefault="006367E5" w:rsidP="00B01F04">
      <w:pPr>
        <w:pStyle w:val="Textonotapie"/>
        <w:rPr>
          <w:sz w:val="16"/>
          <w:szCs w:val="16"/>
        </w:rPr>
      </w:pPr>
      <w:r w:rsidRPr="008C6F4C">
        <w:rPr>
          <w:rStyle w:val="Refdenotaalpie"/>
          <w:sz w:val="16"/>
          <w:szCs w:val="16"/>
        </w:rPr>
        <w:footnoteRef/>
      </w:r>
      <w:r w:rsidRPr="008C6F4C">
        <w:rPr>
          <w:sz w:val="16"/>
          <w:szCs w:val="16"/>
        </w:rPr>
        <w:t xml:space="preserve"> </w:t>
      </w:r>
      <w:r w:rsidRPr="008C6F4C">
        <w:rPr>
          <w:rFonts w:ascii="Arial" w:hAnsi="Arial" w:cs="Arial"/>
          <w:sz w:val="16"/>
          <w:szCs w:val="16"/>
          <w:lang w:val="es-ES"/>
        </w:rPr>
        <w:t xml:space="preserve">Cierre de la Cofradía de Pescadores de </w:t>
      </w:r>
      <w:proofErr w:type="spellStart"/>
      <w:r w:rsidRPr="008C6F4C">
        <w:rPr>
          <w:rFonts w:ascii="Arial" w:hAnsi="Arial" w:cs="Arial"/>
          <w:sz w:val="16"/>
          <w:szCs w:val="16"/>
          <w:lang w:val="es-ES"/>
        </w:rPr>
        <w:t>Mutriku</w:t>
      </w:r>
      <w:proofErr w:type="spellEnd"/>
      <w:r w:rsidRPr="008C6F4C">
        <w:rPr>
          <w:rFonts w:ascii="Arial" w:hAnsi="Arial" w:cs="Arial"/>
          <w:sz w:val="16"/>
          <w:szCs w:val="16"/>
          <w:lang w:val="es-ES"/>
        </w:rPr>
        <w:t xml:space="preserve"> (San Pedro)</w:t>
      </w:r>
    </w:p>
  </w:footnote>
  <w:footnote w:id="17">
    <w:p w:rsidR="006367E5" w:rsidRPr="008C6F4C" w:rsidRDefault="006367E5" w:rsidP="00B01F04">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El ratio que se utiliza para valorar el nivel de cobertura de los Fondos Propios, es el de Endeudamiento (Fondos Ajenos/Fondos Propios) En principio, y en términos de gestión financiera, este ratio debería situarse entre un intervalo de 1 a 2.</w:t>
      </w:r>
    </w:p>
  </w:footnote>
  <w:footnote w:id="18">
    <w:p w:rsidR="006367E5" w:rsidRPr="008C6F4C" w:rsidRDefault="006367E5" w:rsidP="00B01F04">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2.2 Inmovilizado Material respecto a 2013</w:t>
      </w:r>
    </w:p>
  </w:footnote>
  <w:footnote w:id="19">
    <w:p w:rsidR="006367E5" w:rsidRPr="008C6F4C" w:rsidRDefault="006367E5" w:rsidP="00B01F04">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2.1 Inmovilizado Inmaterial respecto a 2013</w:t>
      </w:r>
    </w:p>
  </w:footnote>
  <w:footnote w:id="20">
    <w:p w:rsidR="006367E5" w:rsidRPr="008C6F4C" w:rsidRDefault="006367E5" w:rsidP="00B01F04">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las Cuentas 2.1 (Inmovilizado Inmaterial) y 2.2. (Inmovilizado Material) respecto a 2013.</w:t>
      </w:r>
    </w:p>
  </w:footnote>
  <w:footnote w:id="21">
    <w:p w:rsidR="006367E5" w:rsidRPr="008C6F4C" w:rsidRDefault="006367E5" w:rsidP="00B01F04">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t>Incremento de la Cuenta 130 respecto a 2013.</w:t>
      </w:r>
    </w:p>
  </w:footnote>
  <w:footnote w:id="22">
    <w:p w:rsidR="006367E5" w:rsidRPr="008C6F4C" w:rsidRDefault="006367E5" w:rsidP="00DB6D48">
      <w:pPr>
        <w:pStyle w:val="Textonotapie"/>
        <w:ind w:left="142" w:hanging="142"/>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Duplicaciones asociadas a Centros Especiales de Empleo y Empresas de Inserción con forma jurídica correspondientes a las FCES (</w:t>
      </w:r>
      <w:proofErr w:type="spellStart"/>
      <w:r w:rsidRPr="008C6F4C">
        <w:rPr>
          <w:rFonts w:ascii="Arial" w:hAnsi="Arial" w:cs="Arial"/>
          <w:sz w:val="16"/>
          <w:szCs w:val="16"/>
          <w:lang w:val="es-ES"/>
        </w:rPr>
        <w:t>Katea</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Legaia</w:t>
      </w:r>
      <w:proofErr w:type="spellEnd"/>
      <w:r w:rsidRPr="008C6F4C">
        <w:rPr>
          <w:rFonts w:ascii="Arial" w:hAnsi="Arial" w:cs="Arial"/>
          <w:sz w:val="16"/>
          <w:szCs w:val="16"/>
          <w:lang w:val="es-ES"/>
        </w:rPr>
        <w:t xml:space="preserve"> S.L.L., </w:t>
      </w:r>
      <w:proofErr w:type="spellStart"/>
      <w:r w:rsidRPr="008C6F4C">
        <w:rPr>
          <w:rFonts w:ascii="Arial" w:hAnsi="Arial" w:cs="Arial"/>
          <w:sz w:val="16"/>
          <w:szCs w:val="16"/>
          <w:lang w:val="es-ES"/>
        </w:rPr>
        <w:t>Bejantzi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Koopera</w:t>
      </w:r>
      <w:proofErr w:type="spellEnd"/>
      <w:r w:rsidRPr="008C6F4C">
        <w:rPr>
          <w:rFonts w:ascii="Arial" w:hAnsi="Arial" w:cs="Arial"/>
          <w:sz w:val="16"/>
          <w:szCs w:val="16"/>
          <w:lang w:val="es-ES"/>
        </w:rPr>
        <w:t xml:space="preserve"> Ambiente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Euskarri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Integra Social </w:t>
      </w:r>
      <w:proofErr w:type="spellStart"/>
      <w:r w:rsidRPr="008C6F4C">
        <w:rPr>
          <w:rFonts w:ascii="Arial" w:hAnsi="Arial" w:cs="Arial"/>
          <w:sz w:val="16"/>
          <w:szCs w:val="16"/>
          <w:lang w:val="es-ES"/>
        </w:rPr>
        <w:t>Outsourcing</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Jazki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Bat</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w:t>
      </w:r>
    </w:p>
  </w:footnote>
  <w:footnote w:id="23">
    <w:p w:rsidR="006367E5" w:rsidRPr="008C6F4C" w:rsidRDefault="006367E5" w:rsidP="00DB6D48">
      <w:pPr>
        <w:pStyle w:val="Textonotapie"/>
        <w:ind w:left="142" w:hanging="142"/>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Duplicaciones asociadas a Centros Especiales de Empleo y Empresas de Inserción con forma jurídica correspondientes a las FCES (</w:t>
      </w:r>
      <w:proofErr w:type="spellStart"/>
      <w:r w:rsidRPr="008C6F4C">
        <w:rPr>
          <w:rFonts w:ascii="Arial" w:hAnsi="Arial" w:cs="Arial"/>
          <w:sz w:val="16"/>
          <w:szCs w:val="16"/>
          <w:lang w:val="es-ES"/>
        </w:rPr>
        <w:t>Katea</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Legaia</w:t>
      </w:r>
      <w:proofErr w:type="spellEnd"/>
      <w:r w:rsidRPr="008C6F4C">
        <w:rPr>
          <w:rFonts w:ascii="Arial" w:hAnsi="Arial" w:cs="Arial"/>
          <w:sz w:val="16"/>
          <w:szCs w:val="16"/>
          <w:lang w:val="es-ES"/>
        </w:rPr>
        <w:t xml:space="preserve"> S.L.L., </w:t>
      </w:r>
      <w:proofErr w:type="spellStart"/>
      <w:r w:rsidRPr="008C6F4C">
        <w:rPr>
          <w:rFonts w:ascii="Arial" w:hAnsi="Arial" w:cs="Arial"/>
          <w:sz w:val="16"/>
          <w:szCs w:val="16"/>
          <w:lang w:val="es-ES"/>
        </w:rPr>
        <w:t>Bejantzi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Koopera</w:t>
      </w:r>
      <w:proofErr w:type="spellEnd"/>
      <w:r w:rsidRPr="008C6F4C">
        <w:rPr>
          <w:rFonts w:ascii="Arial" w:hAnsi="Arial" w:cs="Arial"/>
          <w:sz w:val="16"/>
          <w:szCs w:val="16"/>
          <w:lang w:val="es-ES"/>
        </w:rPr>
        <w:t xml:space="preserve"> Ambiente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Euskarri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Integra Social </w:t>
      </w:r>
      <w:proofErr w:type="spellStart"/>
      <w:r w:rsidRPr="008C6F4C">
        <w:rPr>
          <w:rFonts w:ascii="Arial" w:hAnsi="Arial" w:cs="Arial"/>
          <w:sz w:val="16"/>
          <w:szCs w:val="16"/>
          <w:lang w:val="es-ES"/>
        </w:rPr>
        <w:t>Outsourcing</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Jazki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Bat</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w:t>
      </w:r>
    </w:p>
  </w:footnote>
  <w:footnote w:id="24">
    <w:p w:rsidR="006367E5" w:rsidRPr="008C6F4C" w:rsidRDefault="006367E5" w:rsidP="00DB6D48">
      <w:pPr>
        <w:pStyle w:val="Textonotapie"/>
        <w:ind w:left="142" w:hanging="142"/>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Duplicaciones asociadas a Centros Especiales de Empleo y Empresas de Inserción con forma jurídica correspondientes a las FCES (</w:t>
      </w:r>
      <w:proofErr w:type="spellStart"/>
      <w:r w:rsidRPr="008C6F4C">
        <w:rPr>
          <w:rFonts w:ascii="Arial" w:hAnsi="Arial" w:cs="Arial"/>
          <w:sz w:val="16"/>
          <w:szCs w:val="16"/>
          <w:lang w:val="es-ES"/>
        </w:rPr>
        <w:t>Katea</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Legaia</w:t>
      </w:r>
      <w:proofErr w:type="spellEnd"/>
      <w:r w:rsidRPr="008C6F4C">
        <w:rPr>
          <w:rFonts w:ascii="Arial" w:hAnsi="Arial" w:cs="Arial"/>
          <w:sz w:val="16"/>
          <w:szCs w:val="16"/>
          <w:lang w:val="es-ES"/>
        </w:rPr>
        <w:t xml:space="preserve"> S.L.L., </w:t>
      </w:r>
      <w:proofErr w:type="spellStart"/>
      <w:r w:rsidRPr="008C6F4C">
        <w:rPr>
          <w:rFonts w:ascii="Arial" w:hAnsi="Arial" w:cs="Arial"/>
          <w:sz w:val="16"/>
          <w:szCs w:val="16"/>
          <w:lang w:val="es-ES"/>
        </w:rPr>
        <w:t>Bejantzi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Koopera</w:t>
      </w:r>
      <w:proofErr w:type="spellEnd"/>
      <w:r w:rsidRPr="008C6F4C">
        <w:rPr>
          <w:rFonts w:ascii="Arial" w:hAnsi="Arial" w:cs="Arial"/>
          <w:sz w:val="16"/>
          <w:szCs w:val="16"/>
          <w:lang w:val="es-ES"/>
        </w:rPr>
        <w:t xml:space="preserve"> Ambiente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Euskarri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Integra Social </w:t>
      </w:r>
      <w:proofErr w:type="spellStart"/>
      <w:r w:rsidRPr="008C6F4C">
        <w:rPr>
          <w:rFonts w:ascii="Arial" w:hAnsi="Arial" w:cs="Arial"/>
          <w:sz w:val="16"/>
          <w:szCs w:val="16"/>
          <w:lang w:val="es-ES"/>
        </w:rPr>
        <w:t>Outsourcing</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Jazki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Bat</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w:t>
      </w:r>
    </w:p>
  </w:footnote>
  <w:footnote w:id="25">
    <w:p w:rsidR="006367E5" w:rsidRPr="008C6F4C" w:rsidRDefault="006367E5" w:rsidP="00DB6D48">
      <w:pPr>
        <w:pStyle w:val="Textonotapie"/>
        <w:ind w:left="142" w:hanging="142"/>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Duplicaciones asociadas a Centros Especiales de Empleo y Empresas de Inserción con forma jurídica correspondientes a las FCES (</w:t>
      </w:r>
      <w:proofErr w:type="spellStart"/>
      <w:r w:rsidRPr="008C6F4C">
        <w:rPr>
          <w:rFonts w:ascii="Arial" w:hAnsi="Arial" w:cs="Arial"/>
          <w:sz w:val="16"/>
          <w:szCs w:val="16"/>
          <w:lang w:val="es-ES"/>
        </w:rPr>
        <w:t>Katea</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Legaia</w:t>
      </w:r>
      <w:proofErr w:type="spellEnd"/>
      <w:r w:rsidRPr="008C6F4C">
        <w:rPr>
          <w:rFonts w:ascii="Arial" w:hAnsi="Arial" w:cs="Arial"/>
          <w:sz w:val="16"/>
          <w:szCs w:val="16"/>
          <w:lang w:val="es-ES"/>
        </w:rPr>
        <w:t xml:space="preserve"> S.L.L., </w:t>
      </w:r>
      <w:proofErr w:type="spellStart"/>
      <w:r w:rsidRPr="008C6F4C">
        <w:rPr>
          <w:rFonts w:ascii="Arial" w:hAnsi="Arial" w:cs="Arial"/>
          <w:sz w:val="16"/>
          <w:szCs w:val="16"/>
          <w:lang w:val="es-ES"/>
        </w:rPr>
        <w:t>Bejantzi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Koopera</w:t>
      </w:r>
      <w:proofErr w:type="spellEnd"/>
      <w:r w:rsidRPr="008C6F4C">
        <w:rPr>
          <w:rFonts w:ascii="Arial" w:hAnsi="Arial" w:cs="Arial"/>
          <w:sz w:val="16"/>
          <w:szCs w:val="16"/>
          <w:lang w:val="es-ES"/>
        </w:rPr>
        <w:t xml:space="preserve"> Ambiente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Euskarri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Integra Social </w:t>
      </w:r>
      <w:proofErr w:type="spellStart"/>
      <w:r w:rsidRPr="008C6F4C">
        <w:rPr>
          <w:rFonts w:ascii="Arial" w:hAnsi="Arial" w:cs="Arial"/>
          <w:sz w:val="16"/>
          <w:szCs w:val="16"/>
          <w:lang w:val="es-ES"/>
        </w:rPr>
        <w:t>Outsourcing</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Jazki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Bat</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w:t>
      </w:r>
    </w:p>
  </w:footnote>
  <w:footnote w:id="26">
    <w:p w:rsidR="006367E5" w:rsidRPr="008C6F4C" w:rsidRDefault="006367E5" w:rsidP="00DB6D48">
      <w:pPr>
        <w:pStyle w:val="Textonotapie"/>
        <w:ind w:left="142" w:hanging="142"/>
        <w:rPr>
          <w:rFonts w:ascii="Arial" w:hAnsi="Arial" w:cs="Arial"/>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Duplicaciones asociadas a Centros Especiales de Empleo y Empresas de Inserción con forma jurídica correspondientes a las FCES (</w:t>
      </w:r>
      <w:proofErr w:type="spellStart"/>
      <w:r w:rsidRPr="008C6F4C">
        <w:rPr>
          <w:rFonts w:ascii="Arial" w:hAnsi="Arial" w:cs="Arial"/>
          <w:sz w:val="16"/>
          <w:szCs w:val="16"/>
          <w:lang w:val="es-ES"/>
        </w:rPr>
        <w:t>Katea</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Legaia</w:t>
      </w:r>
      <w:proofErr w:type="spellEnd"/>
      <w:r w:rsidRPr="008C6F4C">
        <w:rPr>
          <w:rFonts w:ascii="Arial" w:hAnsi="Arial" w:cs="Arial"/>
          <w:sz w:val="16"/>
          <w:szCs w:val="16"/>
          <w:lang w:val="es-ES"/>
        </w:rPr>
        <w:t xml:space="preserve"> S.L.L., </w:t>
      </w:r>
      <w:proofErr w:type="spellStart"/>
      <w:r w:rsidRPr="008C6F4C">
        <w:rPr>
          <w:rFonts w:ascii="Arial" w:hAnsi="Arial" w:cs="Arial"/>
          <w:sz w:val="16"/>
          <w:szCs w:val="16"/>
          <w:lang w:val="es-ES"/>
        </w:rPr>
        <w:t>Bejantzi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Koopera</w:t>
      </w:r>
      <w:proofErr w:type="spellEnd"/>
      <w:r w:rsidRPr="008C6F4C">
        <w:rPr>
          <w:rFonts w:ascii="Arial" w:hAnsi="Arial" w:cs="Arial"/>
          <w:sz w:val="16"/>
          <w:szCs w:val="16"/>
          <w:lang w:val="es-ES"/>
        </w:rPr>
        <w:t xml:space="preserve"> Ambiente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Euskarri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Integra Social </w:t>
      </w:r>
      <w:proofErr w:type="spellStart"/>
      <w:r w:rsidRPr="008C6F4C">
        <w:rPr>
          <w:rFonts w:ascii="Arial" w:hAnsi="Arial" w:cs="Arial"/>
          <w:sz w:val="16"/>
          <w:szCs w:val="16"/>
          <w:lang w:val="es-ES"/>
        </w:rPr>
        <w:t>Outsourcing</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Jazki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Bat</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w:t>
      </w:r>
    </w:p>
  </w:footnote>
  <w:footnote w:id="27">
    <w:p w:rsidR="006367E5" w:rsidRPr="008C6F4C" w:rsidRDefault="006367E5" w:rsidP="00DB6D48">
      <w:pPr>
        <w:pStyle w:val="Textonotapie"/>
        <w:ind w:left="142" w:hanging="142"/>
        <w:rPr>
          <w:sz w:val="16"/>
          <w:szCs w:val="16"/>
          <w:lang w:val="es-ES"/>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lang w:val="es-ES"/>
        </w:rPr>
        <w:t>Duplicaciones asociadas a Centros Especiales de Empleo y Empresas de Inserción con forma jurídica correspondientes a las FCES (</w:t>
      </w:r>
      <w:proofErr w:type="spellStart"/>
      <w:r w:rsidRPr="008C6F4C">
        <w:rPr>
          <w:rFonts w:ascii="Arial" w:hAnsi="Arial" w:cs="Arial"/>
          <w:sz w:val="16"/>
          <w:szCs w:val="16"/>
          <w:lang w:val="es-ES"/>
        </w:rPr>
        <w:t>Katea</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Legaia</w:t>
      </w:r>
      <w:proofErr w:type="spellEnd"/>
      <w:r w:rsidRPr="008C6F4C">
        <w:rPr>
          <w:rFonts w:ascii="Arial" w:hAnsi="Arial" w:cs="Arial"/>
          <w:sz w:val="16"/>
          <w:szCs w:val="16"/>
          <w:lang w:val="es-ES"/>
        </w:rPr>
        <w:t xml:space="preserve"> S.L.L., </w:t>
      </w:r>
      <w:proofErr w:type="spellStart"/>
      <w:r w:rsidRPr="008C6F4C">
        <w:rPr>
          <w:rFonts w:ascii="Arial" w:hAnsi="Arial" w:cs="Arial"/>
          <w:sz w:val="16"/>
          <w:szCs w:val="16"/>
          <w:lang w:val="es-ES"/>
        </w:rPr>
        <w:t>Bejantzi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Koopera</w:t>
      </w:r>
      <w:proofErr w:type="spellEnd"/>
      <w:r w:rsidRPr="008C6F4C">
        <w:rPr>
          <w:rFonts w:ascii="Arial" w:hAnsi="Arial" w:cs="Arial"/>
          <w:sz w:val="16"/>
          <w:szCs w:val="16"/>
          <w:lang w:val="es-ES"/>
        </w:rPr>
        <w:t xml:space="preserve"> Ambiente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Euskarri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Integra Social </w:t>
      </w:r>
      <w:proofErr w:type="spellStart"/>
      <w:r w:rsidRPr="008C6F4C">
        <w:rPr>
          <w:rFonts w:ascii="Arial" w:hAnsi="Arial" w:cs="Arial"/>
          <w:sz w:val="16"/>
          <w:szCs w:val="16"/>
          <w:lang w:val="es-ES"/>
        </w:rPr>
        <w:t>Outsourcing</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Jazki</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Bat</w:t>
      </w:r>
      <w:proofErr w:type="spellEnd"/>
      <w:r w:rsidRPr="008C6F4C">
        <w:rPr>
          <w:rFonts w:ascii="Arial" w:hAnsi="Arial" w:cs="Arial"/>
          <w:sz w:val="16"/>
          <w:szCs w:val="16"/>
          <w:lang w:val="es-ES"/>
        </w:rPr>
        <w:t xml:space="preserve"> </w:t>
      </w:r>
      <w:proofErr w:type="spellStart"/>
      <w:r w:rsidRPr="008C6F4C">
        <w:rPr>
          <w:rFonts w:ascii="Arial" w:hAnsi="Arial" w:cs="Arial"/>
          <w:sz w:val="16"/>
          <w:szCs w:val="16"/>
          <w:lang w:val="es-ES"/>
        </w:rPr>
        <w:t>Coop</w:t>
      </w:r>
      <w:proofErr w:type="spellEnd"/>
      <w:r w:rsidRPr="008C6F4C">
        <w:rPr>
          <w:rFonts w:ascii="Arial" w:hAnsi="Arial" w:cs="Arial"/>
          <w:sz w:val="16"/>
          <w:szCs w:val="16"/>
          <w:lang w:val="es-ES"/>
        </w:rPr>
        <w:t>)</w:t>
      </w:r>
    </w:p>
  </w:footnote>
  <w:footnote w:id="28">
    <w:p w:rsidR="006367E5" w:rsidRPr="008C6F4C" w:rsidRDefault="006367E5" w:rsidP="00596EB7">
      <w:pPr>
        <w:spacing w:line="240" w:lineRule="auto"/>
        <w:rPr>
          <w:rFonts w:eastAsia="Times New Roman" w:cs="Arial"/>
          <w:snapToGrid w:val="0"/>
          <w:sz w:val="16"/>
          <w:szCs w:val="16"/>
          <w:lang w:eastAsia="es-ES"/>
        </w:rPr>
      </w:pPr>
      <w:r w:rsidRPr="008C6F4C">
        <w:rPr>
          <w:rStyle w:val="Refdenotaalpie"/>
          <w:sz w:val="16"/>
          <w:szCs w:val="16"/>
        </w:rPr>
        <w:footnoteRef/>
      </w:r>
      <w:r w:rsidRPr="008C6F4C">
        <w:rPr>
          <w:sz w:val="16"/>
          <w:szCs w:val="16"/>
        </w:rPr>
        <w:t xml:space="preserve"> </w:t>
      </w:r>
      <w:r w:rsidRPr="008C6F4C">
        <w:rPr>
          <w:rFonts w:eastAsia="Times New Roman" w:cs="Arial"/>
          <w:snapToGrid w:val="0"/>
          <w:sz w:val="16"/>
          <w:szCs w:val="16"/>
          <w:lang w:eastAsia="es-ES"/>
        </w:rPr>
        <w:t>La metodología en la que se ha apoyado la realización de la estimación de los parámetros socioeconómicos en la presente edición 2014 no resulta estrictamente comparable con las cifras estimadas en el capítulo de NFES desarrollado en la Estadística de la Economía Social 2012.</w:t>
      </w:r>
    </w:p>
    <w:p w:rsidR="006367E5" w:rsidRPr="008C6F4C" w:rsidRDefault="006367E5" w:rsidP="00596EB7">
      <w:pPr>
        <w:spacing w:line="240" w:lineRule="auto"/>
        <w:rPr>
          <w:rFonts w:eastAsia="Times New Roman" w:cs="Arial"/>
          <w:snapToGrid w:val="0"/>
          <w:sz w:val="16"/>
          <w:szCs w:val="16"/>
          <w:lang w:eastAsia="es-ES"/>
        </w:rPr>
      </w:pPr>
    </w:p>
    <w:p w:rsidR="006367E5" w:rsidRPr="008C6F4C" w:rsidRDefault="006367E5" w:rsidP="00596EB7">
      <w:pPr>
        <w:spacing w:line="240" w:lineRule="auto"/>
        <w:rPr>
          <w:rFonts w:eastAsia="Times New Roman" w:cs="Arial"/>
          <w:snapToGrid w:val="0"/>
          <w:sz w:val="16"/>
          <w:szCs w:val="16"/>
          <w:lang w:eastAsia="es-ES"/>
        </w:rPr>
      </w:pPr>
      <w:r w:rsidRPr="008C6F4C">
        <w:rPr>
          <w:rFonts w:eastAsia="Times New Roman" w:cs="Arial"/>
          <w:snapToGrid w:val="0"/>
          <w:sz w:val="16"/>
          <w:szCs w:val="16"/>
          <w:lang w:eastAsia="es-ES"/>
        </w:rPr>
        <w:t>Así, esta edición constituye la primera edición en la que se recaba la información a través de un cuestionario específico dirigido al conjunto de NFES de forma censal, y en la que las cifras de empleo se recogen de forma anualizada a través de la petición explicita en el cuestionario de horas trabajadas, que han permitido ajustar dicha estimación.</w:t>
      </w:r>
    </w:p>
    <w:p w:rsidR="006367E5" w:rsidRPr="008C6F4C" w:rsidRDefault="006367E5" w:rsidP="00596EB7">
      <w:pPr>
        <w:spacing w:line="240" w:lineRule="auto"/>
        <w:rPr>
          <w:rFonts w:eastAsia="Times New Roman" w:cs="Arial"/>
          <w:snapToGrid w:val="0"/>
          <w:sz w:val="16"/>
          <w:szCs w:val="16"/>
          <w:lang w:eastAsia="es-ES"/>
        </w:rPr>
      </w:pPr>
    </w:p>
    <w:p w:rsidR="006367E5" w:rsidRPr="008C6F4C" w:rsidRDefault="006367E5" w:rsidP="00596EB7">
      <w:pPr>
        <w:spacing w:line="240" w:lineRule="auto"/>
        <w:rPr>
          <w:rFonts w:eastAsia="Times New Roman" w:cs="Arial"/>
          <w:snapToGrid w:val="0"/>
          <w:sz w:val="16"/>
          <w:szCs w:val="16"/>
          <w:lang w:eastAsia="es-ES"/>
        </w:rPr>
      </w:pPr>
      <w:r w:rsidRPr="008C6F4C">
        <w:rPr>
          <w:rFonts w:eastAsia="Times New Roman" w:cs="Arial"/>
          <w:snapToGrid w:val="0"/>
          <w:sz w:val="16"/>
          <w:szCs w:val="16"/>
          <w:lang w:eastAsia="es-ES"/>
        </w:rPr>
        <w:t xml:space="preserve">En cambio, en la edición 2012, las estimaciones, atendiendo a las particularidades y ámbitos administrativos de cada entidad, se efectuada un compendio de fuentes indirectas, las cuales resultaban en buena medida heterogéneas entre sí. De forma que el análisis comparativo en términos de empleo con las cifras estimadas en la pasada edición no sería posible en tanto en cuanto, y por tipos de entidad:  </w:t>
      </w:r>
    </w:p>
    <w:p w:rsidR="006367E5" w:rsidRPr="008C6F4C" w:rsidRDefault="006367E5" w:rsidP="00596EB7">
      <w:pPr>
        <w:rPr>
          <w:rFonts w:eastAsia="Times New Roman" w:cs="Arial"/>
          <w:snapToGrid w:val="0"/>
          <w:sz w:val="16"/>
          <w:szCs w:val="16"/>
          <w:lang w:eastAsia="es-ES"/>
        </w:rPr>
      </w:pPr>
    </w:p>
    <w:p w:rsidR="006367E5" w:rsidRPr="008C6F4C" w:rsidRDefault="006367E5" w:rsidP="00596EB7">
      <w:pPr>
        <w:spacing w:line="240" w:lineRule="auto"/>
        <w:rPr>
          <w:rFonts w:eastAsia="Times New Roman" w:cs="Arial"/>
          <w:snapToGrid w:val="0"/>
          <w:sz w:val="16"/>
          <w:szCs w:val="16"/>
          <w:lang w:eastAsia="es-ES"/>
        </w:rPr>
      </w:pPr>
      <w:r w:rsidRPr="008C6F4C">
        <w:rPr>
          <w:rFonts w:eastAsia="Times New Roman" w:cs="Arial"/>
          <w:snapToGrid w:val="0"/>
          <w:sz w:val="16"/>
          <w:szCs w:val="16"/>
          <w:lang w:eastAsia="es-ES"/>
        </w:rPr>
        <w:t xml:space="preserve">En el caso de las Empresas de Inserción (EI), en la edición 2012 se incorporaban la cifras aportadas en la Memoria de </w:t>
      </w:r>
      <w:proofErr w:type="spellStart"/>
      <w:r w:rsidRPr="008C6F4C">
        <w:rPr>
          <w:rFonts w:eastAsia="Times New Roman" w:cs="Arial"/>
          <w:snapToGrid w:val="0"/>
          <w:sz w:val="16"/>
          <w:szCs w:val="16"/>
          <w:lang w:eastAsia="es-ES"/>
        </w:rPr>
        <w:t>Gizatea</w:t>
      </w:r>
      <w:proofErr w:type="spellEnd"/>
      <w:r w:rsidRPr="008C6F4C">
        <w:rPr>
          <w:rFonts w:eastAsia="Times New Roman" w:cs="Arial"/>
          <w:snapToGrid w:val="0"/>
          <w:sz w:val="16"/>
          <w:szCs w:val="16"/>
          <w:lang w:eastAsia="es-ES"/>
        </w:rPr>
        <w:t xml:space="preserve"> – Asociación de Empresas de Inserción del País Vasco- de empleo en términos de personas  trabajadoras (tanto aquellos empleos de inserción como de no inserción), un total de 1.046 personas vinculadas a 44 Empresas de Inserción (EI) de la CAE, esta cifra equivaldría a 637 empleos anualizados o equivalentes a jornada completa, de manera que procediendo a un ajuste de la estimación de 2012 los empleos anualizados equivaldrían a un total de 843 empleos, cifra en línea a los 846 de 2014. Asimismo, en el caso de los Centros Especiales de Empleo, en concreto, en la estimación del empleo del Grupo </w:t>
      </w:r>
      <w:proofErr w:type="spellStart"/>
      <w:r w:rsidRPr="008C6F4C">
        <w:rPr>
          <w:rFonts w:eastAsia="Times New Roman" w:cs="Arial"/>
          <w:snapToGrid w:val="0"/>
          <w:sz w:val="16"/>
          <w:szCs w:val="16"/>
          <w:lang w:eastAsia="es-ES"/>
        </w:rPr>
        <w:t>Gureak</w:t>
      </w:r>
      <w:proofErr w:type="spellEnd"/>
      <w:r w:rsidRPr="008C6F4C">
        <w:rPr>
          <w:rFonts w:eastAsia="Times New Roman" w:cs="Arial"/>
          <w:snapToGrid w:val="0"/>
          <w:sz w:val="16"/>
          <w:szCs w:val="16"/>
          <w:lang w:eastAsia="es-ES"/>
        </w:rPr>
        <w:t xml:space="preserve">, en la edición 2012 se incorporaron el total de personas empleadas -4.256-; el empleo anualizado equivalente descendería a 2.779 empleos, y descontando esta diferencia las cifras de 2012 dejarían una cifra de empleo comparable de 7.891 empleos frente a los 7.920 empleos de 2014. </w:t>
      </w:r>
    </w:p>
    <w:p w:rsidR="006367E5" w:rsidRPr="008C6F4C" w:rsidRDefault="006367E5" w:rsidP="00596EB7">
      <w:pPr>
        <w:spacing w:line="240" w:lineRule="auto"/>
        <w:rPr>
          <w:rFonts w:eastAsia="Times New Roman" w:cs="Arial"/>
          <w:snapToGrid w:val="0"/>
          <w:sz w:val="16"/>
          <w:szCs w:val="16"/>
          <w:lang w:eastAsia="es-ES"/>
        </w:rPr>
      </w:pPr>
    </w:p>
    <w:p w:rsidR="006367E5" w:rsidRPr="008C6F4C" w:rsidRDefault="006367E5" w:rsidP="008B4EEF">
      <w:pPr>
        <w:spacing w:line="240" w:lineRule="auto"/>
        <w:rPr>
          <w:sz w:val="16"/>
          <w:szCs w:val="16"/>
        </w:rPr>
      </w:pPr>
      <w:r w:rsidRPr="008C6F4C">
        <w:rPr>
          <w:rFonts w:eastAsia="Times New Roman" w:cs="Arial"/>
          <w:snapToGrid w:val="0"/>
          <w:sz w:val="16"/>
          <w:szCs w:val="16"/>
          <w:lang w:eastAsia="es-ES"/>
        </w:rPr>
        <w:t>En el caso conjunto de las Asociaciones de Utilidad Pública la fuente de información la constituía la información aportada por el Registro de Fundaciones y Asociaciones de Utilidad Pública de Gobierno Vasco, que a su vez trasladaba las cifras de trabajadores empleados de aquellas entidades que habían depositado Memoria en el año 2012  y en el caso de las Fundaciones se incluía parte del empleo voluntario –por comparación con los datos aportados por el anterior proveedor de Cuentas en el ejercicio 2010, que desagregaba el empleo voluntario y el empleo remunerado-.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7E5" w:rsidRDefault="006367E5" w:rsidP="008B1A7A">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7E5" w:rsidRDefault="006367E5" w:rsidP="008B1A7A">
    <w:pPr>
      <w:pStyle w:val="Encabezado"/>
      <w:jc w:val="center"/>
    </w:pPr>
    <w:r>
      <w:rPr>
        <w:noProof/>
        <w:lang w:eastAsia="es-ES"/>
      </w:rPr>
      <w:drawing>
        <wp:inline distT="0" distB="0" distL="0" distR="0">
          <wp:extent cx="2934339" cy="360000"/>
          <wp:effectExtent l="0" t="0" r="0" b="0"/>
          <wp:docPr id="31" name="Imagen 31" descr="R:\Organo Estadistico\VIVIENDA\Logotipos\GOBIERNO-CENTRAL-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rgano Estadistico\VIVIENDA\Logotipos\GOBIERNO-CENTRAL-COL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339" cy="360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7E5" w:rsidRDefault="006367E5" w:rsidP="006000E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A2CD4D2"/>
    <w:lvl w:ilvl="0">
      <w:start w:val="1"/>
      <w:numFmt w:val="bullet"/>
      <w:pStyle w:val="Listaconvietas2"/>
      <w:lvlText w:val=""/>
      <w:lvlJc w:val="left"/>
      <w:pPr>
        <w:tabs>
          <w:tab w:val="num" w:pos="425"/>
        </w:tabs>
        <w:ind w:left="425" w:hanging="360"/>
      </w:pPr>
      <w:rPr>
        <w:rFonts w:ascii="Symbol" w:hAnsi="Symbol" w:hint="default"/>
      </w:rPr>
    </w:lvl>
  </w:abstractNum>
  <w:abstractNum w:abstractNumId="1">
    <w:nsid w:val="FFFFFF89"/>
    <w:multiLevelType w:val="singleLevel"/>
    <w:tmpl w:val="544663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2"/>
    <w:multiLevelType w:val="singleLevel"/>
    <w:tmpl w:val="00000000"/>
    <w:lvl w:ilvl="0">
      <w:start w:val="1"/>
      <w:numFmt w:val="lowerLetter"/>
      <w:pStyle w:val="Rpidoa"/>
      <w:lvlText w:val="%1)"/>
      <w:lvlJc w:val="left"/>
      <w:pPr>
        <w:tabs>
          <w:tab w:val="num" w:pos="554"/>
        </w:tabs>
      </w:pPr>
      <w:rPr>
        <w:i/>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Tahoma"/>
      </w:rPr>
    </w:lvl>
  </w:abstractNum>
  <w:abstractNum w:abstractNumId="4">
    <w:nsid w:val="00000004"/>
    <w:multiLevelType w:val="singleLevel"/>
    <w:tmpl w:val="00000004"/>
    <w:name w:val="WW8Num4"/>
    <w:lvl w:ilvl="0">
      <w:numFmt w:val="bullet"/>
      <w:lvlText w:val="-"/>
      <w:lvlJc w:val="left"/>
      <w:pPr>
        <w:tabs>
          <w:tab w:val="num" w:pos="720"/>
        </w:tabs>
        <w:ind w:left="720" w:hanging="360"/>
      </w:pPr>
      <w:rPr>
        <w:rFonts w:ascii="Tahoma" w:hAnsi="Tahoma" w:cs="Tahoma"/>
      </w:rPr>
    </w:lvl>
  </w:abstractNum>
  <w:abstractNum w:abstractNumId="5">
    <w:nsid w:val="03383D98"/>
    <w:multiLevelType w:val="hybridMultilevel"/>
    <w:tmpl w:val="84AAF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6B11C2"/>
    <w:multiLevelType w:val="hybridMultilevel"/>
    <w:tmpl w:val="CA42BE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0F235DCA"/>
    <w:multiLevelType w:val="hybridMultilevel"/>
    <w:tmpl w:val="460CBF26"/>
    <w:lvl w:ilvl="0" w:tplc="824ABF74">
      <w:start w:val="1"/>
      <w:numFmt w:val="decimal"/>
      <w:suff w:val="nothing"/>
      <w:lvlText w:val="%1."/>
      <w:lvlJc w:val="left"/>
      <w:pPr>
        <w:ind w:left="705" w:hanging="705"/>
      </w:pPr>
      <w:rPr>
        <w:rFonts w:ascii="Arial" w:hAnsi="Arial" w:cs="Arial" w:hint="default"/>
        <w:b/>
        <w:i w:val="0"/>
        <w:color w:val="auto"/>
        <w:sz w:val="20"/>
        <w:szCs w:val="20"/>
        <w:lang w:val="es-ES"/>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FC819D0"/>
    <w:multiLevelType w:val="hybridMultilevel"/>
    <w:tmpl w:val="4D16B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E10D5D"/>
    <w:multiLevelType w:val="hybridMultilevel"/>
    <w:tmpl w:val="35625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B0C242C"/>
    <w:multiLevelType w:val="hybridMultilevel"/>
    <w:tmpl w:val="4DF2C9D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DD335D6"/>
    <w:multiLevelType w:val="hybridMultilevel"/>
    <w:tmpl w:val="93161800"/>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12">
    <w:nsid w:val="2EB62AAF"/>
    <w:multiLevelType w:val="hybridMultilevel"/>
    <w:tmpl w:val="3B64B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9E343A"/>
    <w:multiLevelType w:val="hybridMultilevel"/>
    <w:tmpl w:val="8DAEF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167FC0"/>
    <w:multiLevelType w:val="hybridMultilevel"/>
    <w:tmpl w:val="40D00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1748F2"/>
    <w:multiLevelType w:val="hybridMultilevel"/>
    <w:tmpl w:val="FF74C562"/>
    <w:lvl w:ilvl="0" w:tplc="F4E69D8C">
      <w:start w:val="1"/>
      <w:numFmt w:val="bullet"/>
      <w:pStyle w:val="Bolos"/>
      <w:lvlText w:val="◙"/>
      <w:lvlJc w:val="left"/>
      <w:pPr>
        <w:ind w:left="360" w:hanging="360"/>
      </w:pPr>
      <w:rPr>
        <w:rFonts w:ascii="Arial Narrow" w:hAnsi="Arial Narrow" w:hint="default"/>
        <w:color w:val="6798C1"/>
      </w:rPr>
    </w:lvl>
    <w:lvl w:ilvl="1" w:tplc="6E4608E6">
      <w:start w:val="1"/>
      <w:numFmt w:val="bullet"/>
      <w:lvlText w:val="o"/>
      <w:lvlJc w:val="left"/>
      <w:pPr>
        <w:tabs>
          <w:tab w:val="num" w:pos="1440"/>
        </w:tabs>
        <w:ind w:left="1440" w:hanging="360"/>
      </w:pPr>
      <w:rPr>
        <w:rFonts w:ascii="Courier New" w:hAnsi="Courier New" w:hint="default"/>
      </w:rPr>
    </w:lvl>
    <w:lvl w:ilvl="2" w:tplc="A538BE4C" w:tentative="1">
      <w:start w:val="1"/>
      <w:numFmt w:val="bullet"/>
      <w:lvlText w:val=""/>
      <w:lvlJc w:val="left"/>
      <w:pPr>
        <w:tabs>
          <w:tab w:val="num" w:pos="2160"/>
        </w:tabs>
        <w:ind w:left="2160" w:hanging="360"/>
      </w:pPr>
      <w:rPr>
        <w:rFonts w:ascii="Wingdings" w:hAnsi="Wingdings" w:hint="default"/>
      </w:rPr>
    </w:lvl>
    <w:lvl w:ilvl="3" w:tplc="EF320964">
      <w:start w:val="1"/>
      <w:numFmt w:val="bullet"/>
      <w:lvlText w:val=""/>
      <w:lvlJc w:val="left"/>
      <w:pPr>
        <w:tabs>
          <w:tab w:val="num" w:pos="2880"/>
        </w:tabs>
        <w:ind w:left="2880" w:hanging="360"/>
      </w:pPr>
      <w:rPr>
        <w:rFonts w:ascii="Symbol" w:hAnsi="Symbol" w:hint="default"/>
        <w:color w:val="000080"/>
      </w:rPr>
    </w:lvl>
    <w:lvl w:ilvl="4" w:tplc="BD2E0FDE" w:tentative="1">
      <w:start w:val="1"/>
      <w:numFmt w:val="bullet"/>
      <w:lvlText w:val="o"/>
      <w:lvlJc w:val="left"/>
      <w:pPr>
        <w:tabs>
          <w:tab w:val="num" w:pos="3600"/>
        </w:tabs>
        <w:ind w:left="3600" w:hanging="360"/>
      </w:pPr>
      <w:rPr>
        <w:rFonts w:ascii="Courier New" w:hAnsi="Courier New" w:hint="default"/>
      </w:rPr>
    </w:lvl>
    <w:lvl w:ilvl="5" w:tplc="FE4C4388" w:tentative="1">
      <w:start w:val="1"/>
      <w:numFmt w:val="bullet"/>
      <w:lvlText w:val=""/>
      <w:lvlJc w:val="left"/>
      <w:pPr>
        <w:tabs>
          <w:tab w:val="num" w:pos="4320"/>
        </w:tabs>
        <w:ind w:left="4320" w:hanging="360"/>
      </w:pPr>
      <w:rPr>
        <w:rFonts w:ascii="Wingdings" w:hAnsi="Wingdings" w:hint="default"/>
      </w:rPr>
    </w:lvl>
    <w:lvl w:ilvl="6" w:tplc="11BEE7DC" w:tentative="1">
      <w:start w:val="1"/>
      <w:numFmt w:val="bullet"/>
      <w:lvlText w:val=""/>
      <w:lvlJc w:val="left"/>
      <w:pPr>
        <w:tabs>
          <w:tab w:val="num" w:pos="5040"/>
        </w:tabs>
        <w:ind w:left="5040" w:hanging="360"/>
      </w:pPr>
      <w:rPr>
        <w:rFonts w:ascii="Symbol" w:hAnsi="Symbol" w:hint="default"/>
      </w:rPr>
    </w:lvl>
    <w:lvl w:ilvl="7" w:tplc="948682FA" w:tentative="1">
      <w:start w:val="1"/>
      <w:numFmt w:val="bullet"/>
      <w:lvlText w:val="o"/>
      <w:lvlJc w:val="left"/>
      <w:pPr>
        <w:tabs>
          <w:tab w:val="num" w:pos="5760"/>
        </w:tabs>
        <w:ind w:left="5760" w:hanging="360"/>
      </w:pPr>
      <w:rPr>
        <w:rFonts w:ascii="Courier New" w:hAnsi="Courier New" w:hint="default"/>
      </w:rPr>
    </w:lvl>
    <w:lvl w:ilvl="8" w:tplc="1DCC6FE6" w:tentative="1">
      <w:start w:val="1"/>
      <w:numFmt w:val="bullet"/>
      <w:lvlText w:val=""/>
      <w:lvlJc w:val="left"/>
      <w:pPr>
        <w:tabs>
          <w:tab w:val="num" w:pos="6480"/>
        </w:tabs>
        <w:ind w:left="6480" w:hanging="360"/>
      </w:pPr>
      <w:rPr>
        <w:rFonts w:ascii="Wingdings" w:hAnsi="Wingdings" w:hint="default"/>
      </w:rPr>
    </w:lvl>
  </w:abstractNum>
  <w:abstractNum w:abstractNumId="16">
    <w:nsid w:val="57ED561F"/>
    <w:multiLevelType w:val="hybridMultilevel"/>
    <w:tmpl w:val="18EC585E"/>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9CF1D56"/>
    <w:multiLevelType w:val="hybridMultilevel"/>
    <w:tmpl w:val="289C3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135711A"/>
    <w:multiLevelType w:val="hybridMultilevel"/>
    <w:tmpl w:val="7B04D1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4F65CAB"/>
    <w:multiLevelType w:val="hybridMultilevel"/>
    <w:tmpl w:val="DFDE03EE"/>
    <w:lvl w:ilvl="0" w:tplc="C9F8B02E">
      <w:numFmt w:val="bullet"/>
      <w:lvlText w:val=""/>
      <w:lvlJc w:val="left"/>
      <w:pPr>
        <w:tabs>
          <w:tab w:val="num" w:pos="360"/>
        </w:tabs>
        <w:ind w:left="360" w:hanging="360"/>
      </w:pPr>
      <w:rPr>
        <w:rFonts w:ascii="Wingdings 3" w:hAnsi="Wingdings 3" w:hint="default"/>
        <w:color w:val="1F497D" w:themeColor="text2"/>
        <w:sz w:val="20"/>
        <w:szCs w:val="20"/>
      </w:rPr>
    </w:lvl>
    <w:lvl w:ilvl="1" w:tplc="4EB4DA74" w:tentative="1">
      <w:start w:val="1"/>
      <w:numFmt w:val="bullet"/>
      <w:lvlText w:val="o"/>
      <w:lvlJc w:val="left"/>
      <w:pPr>
        <w:tabs>
          <w:tab w:val="num" w:pos="1437"/>
        </w:tabs>
        <w:ind w:left="1437" w:hanging="360"/>
      </w:pPr>
      <w:rPr>
        <w:rFonts w:ascii="Courier New" w:hAnsi="Courier New" w:cs="Courier New" w:hint="default"/>
      </w:rPr>
    </w:lvl>
    <w:lvl w:ilvl="2" w:tplc="1AF8F676" w:tentative="1">
      <w:start w:val="1"/>
      <w:numFmt w:val="bullet"/>
      <w:lvlText w:val=""/>
      <w:lvlJc w:val="left"/>
      <w:pPr>
        <w:tabs>
          <w:tab w:val="num" w:pos="2157"/>
        </w:tabs>
        <w:ind w:left="2157" w:hanging="360"/>
      </w:pPr>
      <w:rPr>
        <w:rFonts w:ascii="Wingdings" w:hAnsi="Wingdings" w:hint="default"/>
      </w:rPr>
    </w:lvl>
    <w:lvl w:ilvl="3" w:tplc="9668A34C" w:tentative="1">
      <w:start w:val="1"/>
      <w:numFmt w:val="bullet"/>
      <w:lvlText w:val=""/>
      <w:lvlJc w:val="left"/>
      <w:pPr>
        <w:tabs>
          <w:tab w:val="num" w:pos="2877"/>
        </w:tabs>
        <w:ind w:left="2877" w:hanging="360"/>
      </w:pPr>
      <w:rPr>
        <w:rFonts w:ascii="Symbol" w:hAnsi="Symbol" w:hint="default"/>
      </w:rPr>
    </w:lvl>
    <w:lvl w:ilvl="4" w:tplc="24DEC4B2" w:tentative="1">
      <w:start w:val="1"/>
      <w:numFmt w:val="bullet"/>
      <w:lvlText w:val="o"/>
      <w:lvlJc w:val="left"/>
      <w:pPr>
        <w:tabs>
          <w:tab w:val="num" w:pos="3597"/>
        </w:tabs>
        <w:ind w:left="3597" w:hanging="360"/>
      </w:pPr>
      <w:rPr>
        <w:rFonts w:ascii="Courier New" w:hAnsi="Courier New" w:cs="Courier New" w:hint="default"/>
      </w:rPr>
    </w:lvl>
    <w:lvl w:ilvl="5" w:tplc="91B8A3EA" w:tentative="1">
      <w:start w:val="1"/>
      <w:numFmt w:val="bullet"/>
      <w:lvlText w:val=""/>
      <w:lvlJc w:val="left"/>
      <w:pPr>
        <w:tabs>
          <w:tab w:val="num" w:pos="4317"/>
        </w:tabs>
        <w:ind w:left="4317" w:hanging="360"/>
      </w:pPr>
      <w:rPr>
        <w:rFonts w:ascii="Wingdings" w:hAnsi="Wingdings" w:hint="default"/>
      </w:rPr>
    </w:lvl>
    <w:lvl w:ilvl="6" w:tplc="DD300DF2" w:tentative="1">
      <w:start w:val="1"/>
      <w:numFmt w:val="bullet"/>
      <w:lvlText w:val=""/>
      <w:lvlJc w:val="left"/>
      <w:pPr>
        <w:tabs>
          <w:tab w:val="num" w:pos="5037"/>
        </w:tabs>
        <w:ind w:left="5037" w:hanging="360"/>
      </w:pPr>
      <w:rPr>
        <w:rFonts w:ascii="Symbol" w:hAnsi="Symbol" w:hint="default"/>
      </w:rPr>
    </w:lvl>
    <w:lvl w:ilvl="7" w:tplc="4802C8D0" w:tentative="1">
      <w:start w:val="1"/>
      <w:numFmt w:val="bullet"/>
      <w:lvlText w:val="o"/>
      <w:lvlJc w:val="left"/>
      <w:pPr>
        <w:tabs>
          <w:tab w:val="num" w:pos="5757"/>
        </w:tabs>
        <w:ind w:left="5757" w:hanging="360"/>
      </w:pPr>
      <w:rPr>
        <w:rFonts w:ascii="Courier New" w:hAnsi="Courier New" w:cs="Courier New" w:hint="default"/>
      </w:rPr>
    </w:lvl>
    <w:lvl w:ilvl="8" w:tplc="51B04F92" w:tentative="1">
      <w:start w:val="1"/>
      <w:numFmt w:val="bullet"/>
      <w:lvlText w:val=""/>
      <w:lvlJc w:val="left"/>
      <w:pPr>
        <w:tabs>
          <w:tab w:val="num" w:pos="6477"/>
        </w:tabs>
        <w:ind w:left="6477" w:hanging="360"/>
      </w:pPr>
      <w:rPr>
        <w:rFonts w:ascii="Wingdings" w:hAnsi="Wingdings" w:hint="default"/>
      </w:rPr>
    </w:lvl>
  </w:abstractNum>
  <w:abstractNum w:abstractNumId="20">
    <w:nsid w:val="797F3CD4"/>
    <w:multiLevelType w:val="hybridMultilevel"/>
    <w:tmpl w:val="E13A0B3A"/>
    <w:lvl w:ilvl="0" w:tplc="6E7CEE0E">
      <w:start w:val="1"/>
      <w:numFmt w:val="upperRoman"/>
      <w:lvlText w:val="%1."/>
      <w:lvlJc w:val="left"/>
      <w:pPr>
        <w:ind w:left="720" w:hanging="720"/>
      </w:pPr>
      <w:rPr>
        <w:rFonts w:hint="default"/>
      </w:rPr>
    </w:lvl>
    <w:lvl w:ilvl="1" w:tplc="42A62EAA" w:tentative="1">
      <w:start w:val="1"/>
      <w:numFmt w:val="lowerLetter"/>
      <w:lvlText w:val="%2."/>
      <w:lvlJc w:val="left"/>
      <w:pPr>
        <w:ind w:left="1080" w:hanging="360"/>
      </w:pPr>
    </w:lvl>
    <w:lvl w:ilvl="2" w:tplc="ACB66A74" w:tentative="1">
      <w:start w:val="1"/>
      <w:numFmt w:val="lowerRoman"/>
      <w:lvlText w:val="%3."/>
      <w:lvlJc w:val="right"/>
      <w:pPr>
        <w:ind w:left="1800" w:hanging="180"/>
      </w:pPr>
    </w:lvl>
    <w:lvl w:ilvl="3" w:tplc="5CB8640A" w:tentative="1">
      <w:start w:val="1"/>
      <w:numFmt w:val="decimal"/>
      <w:lvlText w:val="%4."/>
      <w:lvlJc w:val="left"/>
      <w:pPr>
        <w:ind w:left="2520" w:hanging="360"/>
      </w:pPr>
    </w:lvl>
    <w:lvl w:ilvl="4" w:tplc="3E3AB0D8" w:tentative="1">
      <w:start w:val="1"/>
      <w:numFmt w:val="lowerLetter"/>
      <w:lvlText w:val="%5."/>
      <w:lvlJc w:val="left"/>
      <w:pPr>
        <w:ind w:left="3240" w:hanging="360"/>
      </w:pPr>
    </w:lvl>
    <w:lvl w:ilvl="5" w:tplc="F7DC7E74" w:tentative="1">
      <w:start w:val="1"/>
      <w:numFmt w:val="lowerRoman"/>
      <w:lvlText w:val="%6."/>
      <w:lvlJc w:val="right"/>
      <w:pPr>
        <w:ind w:left="3960" w:hanging="180"/>
      </w:pPr>
    </w:lvl>
    <w:lvl w:ilvl="6" w:tplc="A07AFF22" w:tentative="1">
      <w:start w:val="1"/>
      <w:numFmt w:val="decimal"/>
      <w:lvlText w:val="%7."/>
      <w:lvlJc w:val="left"/>
      <w:pPr>
        <w:ind w:left="4680" w:hanging="360"/>
      </w:pPr>
    </w:lvl>
    <w:lvl w:ilvl="7" w:tplc="4D6EEA2C" w:tentative="1">
      <w:start w:val="1"/>
      <w:numFmt w:val="lowerLetter"/>
      <w:lvlText w:val="%8."/>
      <w:lvlJc w:val="left"/>
      <w:pPr>
        <w:ind w:left="5400" w:hanging="360"/>
      </w:pPr>
    </w:lvl>
    <w:lvl w:ilvl="8" w:tplc="470A9B56" w:tentative="1">
      <w:start w:val="1"/>
      <w:numFmt w:val="lowerRoman"/>
      <w:lvlText w:val="%9."/>
      <w:lvlJc w:val="right"/>
      <w:pPr>
        <w:ind w:left="6120" w:hanging="180"/>
      </w:pPr>
    </w:lvl>
  </w:abstractNum>
  <w:num w:numId="1">
    <w:abstractNumId w:val="1"/>
  </w:num>
  <w:num w:numId="2">
    <w:abstractNumId w:val="2"/>
    <w:lvlOverride w:ilvl="0">
      <w:startOverride w:val="5"/>
      <w:lvl w:ilvl="0">
        <w:start w:val="5"/>
        <w:numFmt w:val="decimal"/>
        <w:pStyle w:val="Rpidoa"/>
        <w:lvlText w:val="%1)"/>
        <w:lvlJc w:val="left"/>
      </w:lvl>
    </w:lvlOverride>
  </w:num>
  <w:num w:numId="3">
    <w:abstractNumId w:val="0"/>
  </w:num>
  <w:num w:numId="4">
    <w:abstractNumId w:val="11"/>
  </w:num>
  <w:num w:numId="5">
    <w:abstractNumId w:val="7"/>
  </w:num>
  <w:num w:numId="6">
    <w:abstractNumId w:val="19"/>
  </w:num>
  <w:num w:numId="7">
    <w:abstractNumId w:val="15"/>
  </w:num>
  <w:num w:numId="8">
    <w:abstractNumId w:val="20"/>
  </w:num>
  <w:num w:numId="9">
    <w:abstractNumId w:val="8"/>
  </w:num>
  <w:num w:numId="10">
    <w:abstractNumId w:val="18"/>
  </w:num>
  <w:num w:numId="11">
    <w:abstractNumId w:val="16"/>
  </w:num>
  <w:num w:numId="12">
    <w:abstractNumId w:val="10"/>
  </w:num>
  <w:num w:numId="13">
    <w:abstractNumId w:val="17"/>
  </w:num>
  <w:num w:numId="14">
    <w:abstractNumId w:val="5"/>
  </w:num>
  <w:num w:numId="15">
    <w:abstractNumId w:val="6"/>
  </w:num>
  <w:num w:numId="16">
    <w:abstractNumId w:val="9"/>
  </w:num>
  <w:num w:numId="17">
    <w:abstractNumId w:val="14"/>
  </w:num>
  <w:num w:numId="18">
    <w:abstractNumId w:val="13"/>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0D15"/>
    <w:rsid w:val="00000699"/>
    <w:rsid w:val="0000303C"/>
    <w:rsid w:val="0000325D"/>
    <w:rsid w:val="00003734"/>
    <w:rsid w:val="00003BD6"/>
    <w:rsid w:val="00004135"/>
    <w:rsid w:val="0000664D"/>
    <w:rsid w:val="00006845"/>
    <w:rsid w:val="00006FDA"/>
    <w:rsid w:val="00010409"/>
    <w:rsid w:val="00010ABE"/>
    <w:rsid w:val="00010F74"/>
    <w:rsid w:val="00012265"/>
    <w:rsid w:val="00012991"/>
    <w:rsid w:val="00014EE4"/>
    <w:rsid w:val="00014F65"/>
    <w:rsid w:val="00015293"/>
    <w:rsid w:val="000154D7"/>
    <w:rsid w:val="00015A90"/>
    <w:rsid w:val="0001618E"/>
    <w:rsid w:val="00016674"/>
    <w:rsid w:val="00017393"/>
    <w:rsid w:val="00021AB2"/>
    <w:rsid w:val="00022DE2"/>
    <w:rsid w:val="00023303"/>
    <w:rsid w:val="0002497C"/>
    <w:rsid w:val="0002539B"/>
    <w:rsid w:val="0002542F"/>
    <w:rsid w:val="000259AC"/>
    <w:rsid w:val="00026C74"/>
    <w:rsid w:val="00027158"/>
    <w:rsid w:val="00033351"/>
    <w:rsid w:val="00033E92"/>
    <w:rsid w:val="000342A1"/>
    <w:rsid w:val="00034392"/>
    <w:rsid w:val="00035661"/>
    <w:rsid w:val="00037C3E"/>
    <w:rsid w:val="00040553"/>
    <w:rsid w:val="00040953"/>
    <w:rsid w:val="000421DF"/>
    <w:rsid w:val="0004299E"/>
    <w:rsid w:val="0004472B"/>
    <w:rsid w:val="000459BF"/>
    <w:rsid w:val="00045A9A"/>
    <w:rsid w:val="00045D88"/>
    <w:rsid w:val="00050217"/>
    <w:rsid w:val="00050F44"/>
    <w:rsid w:val="0005110C"/>
    <w:rsid w:val="000517CD"/>
    <w:rsid w:val="00051B3E"/>
    <w:rsid w:val="000522C4"/>
    <w:rsid w:val="0005244B"/>
    <w:rsid w:val="00054584"/>
    <w:rsid w:val="00055042"/>
    <w:rsid w:val="0005696A"/>
    <w:rsid w:val="00056C7A"/>
    <w:rsid w:val="00056FF7"/>
    <w:rsid w:val="0005725A"/>
    <w:rsid w:val="00057E89"/>
    <w:rsid w:val="0006105C"/>
    <w:rsid w:val="00062A27"/>
    <w:rsid w:val="00063023"/>
    <w:rsid w:val="000645F7"/>
    <w:rsid w:val="00064791"/>
    <w:rsid w:val="0006553E"/>
    <w:rsid w:val="00066A5D"/>
    <w:rsid w:val="000671E2"/>
    <w:rsid w:val="00067DE2"/>
    <w:rsid w:val="00071DF0"/>
    <w:rsid w:val="00072297"/>
    <w:rsid w:val="00072BEE"/>
    <w:rsid w:val="00072E9F"/>
    <w:rsid w:val="00073CBF"/>
    <w:rsid w:val="000744CF"/>
    <w:rsid w:val="0007468B"/>
    <w:rsid w:val="00076EE0"/>
    <w:rsid w:val="00080A76"/>
    <w:rsid w:val="00081F6A"/>
    <w:rsid w:val="0008386B"/>
    <w:rsid w:val="00084A06"/>
    <w:rsid w:val="000851F8"/>
    <w:rsid w:val="0008530B"/>
    <w:rsid w:val="000871B4"/>
    <w:rsid w:val="00087411"/>
    <w:rsid w:val="00087682"/>
    <w:rsid w:val="000876CF"/>
    <w:rsid w:val="000912CC"/>
    <w:rsid w:val="00092063"/>
    <w:rsid w:val="000921D4"/>
    <w:rsid w:val="00093469"/>
    <w:rsid w:val="00093F83"/>
    <w:rsid w:val="00095474"/>
    <w:rsid w:val="0009559B"/>
    <w:rsid w:val="000958C6"/>
    <w:rsid w:val="00096535"/>
    <w:rsid w:val="00096609"/>
    <w:rsid w:val="00096ED9"/>
    <w:rsid w:val="00097A22"/>
    <w:rsid w:val="000A0A90"/>
    <w:rsid w:val="000A10CA"/>
    <w:rsid w:val="000A1B5B"/>
    <w:rsid w:val="000A38D4"/>
    <w:rsid w:val="000A5919"/>
    <w:rsid w:val="000A6A3A"/>
    <w:rsid w:val="000A72D6"/>
    <w:rsid w:val="000A7473"/>
    <w:rsid w:val="000B0F90"/>
    <w:rsid w:val="000B1BC0"/>
    <w:rsid w:val="000B2424"/>
    <w:rsid w:val="000B2CC9"/>
    <w:rsid w:val="000B3959"/>
    <w:rsid w:val="000B5689"/>
    <w:rsid w:val="000B5D3D"/>
    <w:rsid w:val="000B6185"/>
    <w:rsid w:val="000C0102"/>
    <w:rsid w:val="000C0C18"/>
    <w:rsid w:val="000C1030"/>
    <w:rsid w:val="000C1BA5"/>
    <w:rsid w:val="000C3A80"/>
    <w:rsid w:val="000C43BF"/>
    <w:rsid w:val="000C4A38"/>
    <w:rsid w:val="000C61FB"/>
    <w:rsid w:val="000C6A14"/>
    <w:rsid w:val="000C6F2D"/>
    <w:rsid w:val="000D1079"/>
    <w:rsid w:val="000D2567"/>
    <w:rsid w:val="000D28D9"/>
    <w:rsid w:val="000D2A8B"/>
    <w:rsid w:val="000D3619"/>
    <w:rsid w:val="000D5775"/>
    <w:rsid w:val="000D60B7"/>
    <w:rsid w:val="000D72A2"/>
    <w:rsid w:val="000E02B4"/>
    <w:rsid w:val="000E04F6"/>
    <w:rsid w:val="000E05AC"/>
    <w:rsid w:val="000E0626"/>
    <w:rsid w:val="000E1A2E"/>
    <w:rsid w:val="000E1CA6"/>
    <w:rsid w:val="000E2425"/>
    <w:rsid w:val="000E2C51"/>
    <w:rsid w:val="000E40D3"/>
    <w:rsid w:val="000E41C0"/>
    <w:rsid w:val="000E4425"/>
    <w:rsid w:val="000E4C7A"/>
    <w:rsid w:val="000E61CE"/>
    <w:rsid w:val="000E75C0"/>
    <w:rsid w:val="000E7EA7"/>
    <w:rsid w:val="000F14CD"/>
    <w:rsid w:val="000F1E35"/>
    <w:rsid w:val="000F2424"/>
    <w:rsid w:val="000F3082"/>
    <w:rsid w:val="000F4629"/>
    <w:rsid w:val="000F4EAC"/>
    <w:rsid w:val="000F54B3"/>
    <w:rsid w:val="000F64BB"/>
    <w:rsid w:val="000F7682"/>
    <w:rsid w:val="000F7C67"/>
    <w:rsid w:val="0010095A"/>
    <w:rsid w:val="001012B9"/>
    <w:rsid w:val="0010159C"/>
    <w:rsid w:val="0010167F"/>
    <w:rsid w:val="00101BEB"/>
    <w:rsid w:val="00103E76"/>
    <w:rsid w:val="00104878"/>
    <w:rsid w:val="00104A88"/>
    <w:rsid w:val="00105250"/>
    <w:rsid w:val="00105495"/>
    <w:rsid w:val="00106075"/>
    <w:rsid w:val="00106D13"/>
    <w:rsid w:val="00107159"/>
    <w:rsid w:val="00111B46"/>
    <w:rsid w:val="00111F33"/>
    <w:rsid w:val="001133D2"/>
    <w:rsid w:val="001140A6"/>
    <w:rsid w:val="00115016"/>
    <w:rsid w:val="00117697"/>
    <w:rsid w:val="00117758"/>
    <w:rsid w:val="00117920"/>
    <w:rsid w:val="00117C9B"/>
    <w:rsid w:val="00121B29"/>
    <w:rsid w:val="001225C2"/>
    <w:rsid w:val="00122EC4"/>
    <w:rsid w:val="001232E7"/>
    <w:rsid w:val="001244F4"/>
    <w:rsid w:val="001245FD"/>
    <w:rsid w:val="0012512D"/>
    <w:rsid w:val="001312AB"/>
    <w:rsid w:val="0013184B"/>
    <w:rsid w:val="0013196E"/>
    <w:rsid w:val="00134886"/>
    <w:rsid w:val="00134FF9"/>
    <w:rsid w:val="00135499"/>
    <w:rsid w:val="001361DF"/>
    <w:rsid w:val="00136389"/>
    <w:rsid w:val="00136955"/>
    <w:rsid w:val="001438CB"/>
    <w:rsid w:val="00143A7C"/>
    <w:rsid w:val="00144A6B"/>
    <w:rsid w:val="00144DBB"/>
    <w:rsid w:val="00145900"/>
    <w:rsid w:val="00147448"/>
    <w:rsid w:val="00151AE9"/>
    <w:rsid w:val="0015318F"/>
    <w:rsid w:val="00153402"/>
    <w:rsid w:val="001535F5"/>
    <w:rsid w:val="001535FE"/>
    <w:rsid w:val="00153F75"/>
    <w:rsid w:val="00154417"/>
    <w:rsid w:val="0015457E"/>
    <w:rsid w:val="001554CF"/>
    <w:rsid w:val="001555A3"/>
    <w:rsid w:val="00155B71"/>
    <w:rsid w:val="00156636"/>
    <w:rsid w:val="00156659"/>
    <w:rsid w:val="0015786E"/>
    <w:rsid w:val="00160236"/>
    <w:rsid w:val="00160240"/>
    <w:rsid w:val="0016025D"/>
    <w:rsid w:val="00160A93"/>
    <w:rsid w:val="00161D0B"/>
    <w:rsid w:val="00162189"/>
    <w:rsid w:val="00163B56"/>
    <w:rsid w:val="00164203"/>
    <w:rsid w:val="00164A5C"/>
    <w:rsid w:val="0016724D"/>
    <w:rsid w:val="001674E8"/>
    <w:rsid w:val="00167F3D"/>
    <w:rsid w:val="00170611"/>
    <w:rsid w:val="0017169E"/>
    <w:rsid w:val="001736A4"/>
    <w:rsid w:val="00173AD8"/>
    <w:rsid w:val="001740F1"/>
    <w:rsid w:val="00174A99"/>
    <w:rsid w:val="00175D09"/>
    <w:rsid w:val="001762F3"/>
    <w:rsid w:val="00176631"/>
    <w:rsid w:val="0017770D"/>
    <w:rsid w:val="00180EA5"/>
    <w:rsid w:val="001814F1"/>
    <w:rsid w:val="00181C3F"/>
    <w:rsid w:val="00181E5E"/>
    <w:rsid w:val="0018270F"/>
    <w:rsid w:val="00182900"/>
    <w:rsid w:val="00182CAE"/>
    <w:rsid w:val="00183F24"/>
    <w:rsid w:val="00184EBD"/>
    <w:rsid w:val="00186A54"/>
    <w:rsid w:val="00186D83"/>
    <w:rsid w:val="00187268"/>
    <w:rsid w:val="00191B4F"/>
    <w:rsid w:val="001927FE"/>
    <w:rsid w:val="00192B08"/>
    <w:rsid w:val="0019420F"/>
    <w:rsid w:val="00195911"/>
    <w:rsid w:val="00195956"/>
    <w:rsid w:val="0019718E"/>
    <w:rsid w:val="001A01CA"/>
    <w:rsid w:val="001A03FA"/>
    <w:rsid w:val="001A09A8"/>
    <w:rsid w:val="001A3905"/>
    <w:rsid w:val="001A3912"/>
    <w:rsid w:val="001A3C37"/>
    <w:rsid w:val="001A4308"/>
    <w:rsid w:val="001A5036"/>
    <w:rsid w:val="001A5177"/>
    <w:rsid w:val="001A637E"/>
    <w:rsid w:val="001B15B1"/>
    <w:rsid w:val="001B1E94"/>
    <w:rsid w:val="001B22C9"/>
    <w:rsid w:val="001B3977"/>
    <w:rsid w:val="001B5CC1"/>
    <w:rsid w:val="001B6691"/>
    <w:rsid w:val="001C0017"/>
    <w:rsid w:val="001C0281"/>
    <w:rsid w:val="001C1B05"/>
    <w:rsid w:val="001C29DA"/>
    <w:rsid w:val="001C4998"/>
    <w:rsid w:val="001C4C06"/>
    <w:rsid w:val="001C55AC"/>
    <w:rsid w:val="001C5FF0"/>
    <w:rsid w:val="001C63DE"/>
    <w:rsid w:val="001C7531"/>
    <w:rsid w:val="001C794E"/>
    <w:rsid w:val="001C7A76"/>
    <w:rsid w:val="001C7C5F"/>
    <w:rsid w:val="001D19B5"/>
    <w:rsid w:val="001D1EE0"/>
    <w:rsid w:val="001D4B9B"/>
    <w:rsid w:val="001D525B"/>
    <w:rsid w:val="001D525E"/>
    <w:rsid w:val="001E0ABD"/>
    <w:rsid w:val="001E0E38"/>
    <w:rsid w:val="001E117C"/>
    <w:rsid w:val="001E1CC0"/>
    <w:rsid w:val="001E20EB"/>
    <w:rsid w:val="001E5608"/>
    <w:rsid w:val="001E5A78"/>
    <w:rsid w:val="001E5D2D"/>
    <w:rsid w:val="001E615B"/>
    <w:rsid w:val="001E6B2E"/>
    <w:rsid w:val="001E6E71"/>
    <w:rsid w:val="001E7377"/>
    <w:rsid w:val="001F0006"/>
    <w:rsid w:val="001F256F"/>
    <w:rsid w:val="001F264B"/>
    <w:rsid w:val="001F37AD"/>
    <w:rsid w:val="001F4060"/>
    <w:rsid w:val="00200982"/>
    <w:rsid w:val="002018EF"/>
    <w:rsid w:val="002022D7"/>
    <w:rsid w:val="00203C7A"/>
    <w:rsid w:val="0020451A"/>
    <w:rsid w:val="00204EB1"/>
    <w:rsid w:val="00204F30"/>
    <w:rsid w:val="002072B4"/>
    <w:rsid w:val="0021093D"/>
    <w:rsid w:val="00210A45"/>
    <w:rsid w:val="00211262"/>
    <w:rsid w:val="002121A0"/>
    <w:rsid w:val="00212888"/>
    <w:rsid w:val="00213EDE"/>
    <w:rsid w:val="00214B4A"/>
    <w:rsid w:val="0021527D"/>
    <w:rsid w:val="0021755C"/>
    <w:rsid w:val="00217BCE"/>
    <w:rsid w:val="00217EC2"/>
    <w:rsid w:val="00220420"/>
    <w:rsid w:val="002207C5"/>
    <w:rsid w:val="00220A21"/>
    <w:rsid w:val="00220D57"/>
    <w:rsid w:val="00221B95"/>
    <w:rsid w:val="0022403B"/>
    <w:rsid w:val="00225100"/>
    <w:rsid w:val="002270D0"/>
    <w:rsid w:val="00227151"/>
    <w:rsid w:val="00227593"/>
    <w:rsid w:val="00227EEF"/>
    <w:rsid w:val="002300FE"/>
    <w:rsid w:val="00230CF2"/>
    <w:rsid w:val="002337AF"/>
    <w:rsid w:val="00233942"/>
    <w:rsid w:val="002345CA"/>
    <w:rsid w:val="00234B4F"/>
    <w:rsid w:val="00236673"/>
    <w:rsid w:val="00236D57"/>
    <w:rsid w:val="002373D5"/>
    <w:rsid w:val="002404A5"/>
    <w:rsid w:val="00240CB0"/>
    <w:rsid w:val="002419E1"/>
    <w:rsid w:val="00243227"/>
    <w:rsid w:val="00243271"/>
    <w:rsid w:val="00243555"/>
    <w:rsid w:val="00243E29"/>
    <w:rsid w:val="0024452D"/>
    <w:rsid w:val="00245C56"/>
    <w:rsid w:val="00246381"/>
    <w:rsid w:val="00247387"/>
    <w:rsid w:val="002475AE"/>
    <w:rsid w:val="00247A4F"/>
    <w:rsid w:val="00247E1A"/>
    <w:rsid w:val="00251AEB"/>
    <w:rsid w:val="002528DC"/>
    <w:rsid w:val="00252A4E"/>
    <w:rsid w:val="002537E7"/>
    <w:rsid w:val="002539FD"/>
    <w:rsid w:val="00256EC7"/>
    <w:rsid w:val="00257F00"/>
    <w:rsid w:val="00261151"/>
    <w:rsid w:val="0026242C"/>
    <w:rsid w:val="002625AC"/>
    <w:rsid w:val="0026342A"/>
    <w:rsid w:val="002659E9"/>
    <w:rsid w:val="0026761A"/>
    <w:rsid w:val="00267A51"/>
    <w:rsid w:val="002706B4"/>
    <w:rsid w:val="00271533"/>
    <w:rsid w:val="00271AF3"/>
    <w:rsid w:val="0027294D"/>
    <w:rsid w:val="002739E8"/>
    <w:rsid w:val="0028244D"/>
    <w:rsid w:val="00282A19"/>
    <w:rsid w:val="0028349C"/>
    <w:rsid w:val="0028529A"/>
    <w:rsid w:val="00285D9D"/>
    <w:rsid w:val="00286EE1"/>
    <w:rsid w:val="002872BD"/>
    <w:rsid w:val="0029043D"/>
    <w:rsid w:val="00291DA6"/>
    <w:rsid w:val="00291F54"/>
    <w:rsid w:val="002941A3"/>
    <w:rsid w:val="00297412"/>
    <w:rsid w:val="002978FB"/>
    <w:rsid w:val="00297A45"/>
    <w:rsid w:val="002A32B9"/>
    <w:rsid w:val="002A32BC"/>
    <w:rsid w:val="002A5279"/>
    <w:rsid w:val="002A5F63"/>
    <w:rsid w:val="002A65E9"/>
    <w:rsid w:val="002A76B9"/>
    <w:rsid w:val="002A77C6"/>
    <w:rsid w:val="002B04B0"/>
    <w:rsid w:val="002B05AE"/>
    <w:rsid w:val="002B216A"/>
    <w:rsid w:val="002B2284"/>
    <w:rsid w:val="002B2AD3"/>
    <w:rsid w:val="002B2F55"/>
    <w:rsid w:val="002B4B71"/>
    <w:rsid w:val="002B6139"/>
    <w:rsid w:val="002B6FE4"/>
    <w:rsid w:val="002B7F1E"/>
    <w:rsid w:val="002B7F76"/>
    <w:rsid w:val="002B7FD1"/>
    <w:rsid w:val="002C08BC"/>
    <w:rsid w:val="002C0AB3"/>
    <w:rsid w:val="002C0CFB"/>
    <w:rsid w:val="002C0F48"/>
    <w:rsid w:val="002C2EAC"/>
    <w:rsid w:val="002C50F5"/>
    <w:rsid w:val="002C5D6A"/>
    <w:rsid w:val="002C731D"/>
    <w:rsid w:val="002C74D9"/>
    <w:rsid w:val="002D0967"/>
    <w:rsid w:val="002D255F"/>
    <w:rsid w:val="002D2B7A"/>
    <w:rsid w:val="002D2F5A"/>
    <w:rsid w:val="002D4761"/>
    <w:rsid w:val="002D4DEF"/>
    <w:rsid w:val="002D544A"/>
    <w:rsid w:val="002D54DC"/>
    <w:rsid w:val="002E0D39"/>
    <w:rsid w:val="002E1C80"/>
    <w:rsid w:val="002E1D19"/>
    <w:rsid w:val="002E2A58"/>
    <w:rsid w:val="002E2BB9"/>
    <w:rsid w:val="002E3651"/>
    <w:rsid w:val="002E54B5"/>
    <w:rsid w:val="002E651A"/>
    <w:rsid w:val="002E6ADC"/>
    <w:rsid w:val="002E7E8D"/>
    <w:rsid w:val="002F0ED1"/>
    <w:rsid w:val="002F1620"/>
    <w:rsid w:val="002F18A0"/>
    <w:rsid w:val="002F332E"/>
    <w:rsid w:val="002F5C7F"/>
    <w:rsid w:val="002F63A9"/>
    <w:rsid w:val="002F6746"/>
    <w:rsid w:val="002F6E3A"/>
    <w:rsid w:val="002F79F3"/>
    <w:rsid w:val="0030114D"/>
    <w:rsid w:val="0030251B"/>
    <w:rsid w:val="00302E08"/>
    <w:rsid w:val="0030454A"/>
    <w:rsid w:val="00306E69"/>
    <w:rsid w:val="00310290"/>
    <w:rsid w:val="003105B5"/>
    <w:rsid w:val="0031086D"/>
    <w:rsid w:val="003119D1"/>
    <w:rsid w:val="00311C01"/>
    <w:rsid w:val="00313B37"/>
    <w:rsid w:val="00314595"/>
    <w:rsid w:val="00314939"/>
    <w:rsid w:val="00315167"/>
    <w:rsid w:val="00315474"/>
    <w:rsid w:val="003212A0"/>
    <w:rsid w:val="00322B4F"/>
    <w:rsid w:val="00323369"/>
    <w:rsid w:val="00323859"/>
    <w:rsid w:val="00324EAE"/>
    <w:rsid w:val="00325AF8"/>
    <w:rsid w:val="00325D74"/>
    <w:rsid w:val="00326D5E"/>
    <w:rsid w:val="00327658"/>
    <w:rsid w:val="00327E77"/>
    <w:rsid w:val="00330200"/>
    <w:rsid w:val="003308A6"/>
    <w:rsid w:val="00331C46"/>
    <w:rsid w:val="00332690"/>
    <w:rsid w:val="00334CC6"/>
    <w:rsid w:val="003356F1"/>
    <w:rsid w:val="00337936"/>
    <w:rsid w:val="0034053A"/>
    <w:rsid w:val="0034220F"/>
    <w:rsid w:val="0034284E"/>
    <w:rsid w:val="00342881"/>
    <w:rsid w:val="00342A95"/>
    <w:rsid w:val="003433AC"/>
    <w:rsid w:val="00344202"/>
    <w:rsid w:val="00346169"/>
    <w:rsid w:val="00350688"/>
    <w:rsid w:val="00350805"/>
    <w:rsid w:val="00351F89"/>
    <w:rsid w:val="003522A0"/>
    <w:rsid w:val="00352A8E"/>
    <w:rsid w:val="0035362C"/>
    <w:rsid w:val="00353A94"/>
    <w:rsid w:val="00354CC9"/>
    <w:rsid w:val="00354E9D"/>
    <w:rsid w:val="0035503D"/>
    <w:rsid w:val="003551DC"/>
    <w:rsid w:val="003554CB"/>
    <w:rsid w:val="00355F1F"/>
    <w:rsid w:val="003569A0"/>
    <w:rsid w:val="00357F83"/>
    <w:rsid w:val="0036074A"/>
    <w:rsid w:val="003610D7"/>
    <w:rsid w:val="00362B74"/>
    <w:rsid w:val="00362C66"/>
    <w:rsid w:val="00362E38"/>
    <w:rsid w:val="00363090"/>
    <w:rsid w:val="0036327B"/>
    <w:rsid w:val="00365142"/>
    <w:rsid w:val="00365D99"/>
    <w:rsid w:val="0036725A"/>
    <w:rsid w:val="00370044"/>
    <w:rsid w:val="0037101B"/>
    <w:rsid w:val="00371E34"/>
    <w:rsid w:val="00372FF7"/>
    <w:rsid w:val="003734FC"/>
    <w:rsid w:val="00374C9D"/>
    <w:rsid w:val="00375296"/>
    <w:rsid w:val="0037558C"/>
    <w:rsid w:val="00375F46"/>
    <w:rsid w:val="0037605B"/>
    <w:rsid w:val="00377FE0"/>
    <w:rsid w:val="003814D3"/>
    <w:rsid w:val="00382524"/>
    <w:rsid w:val="0038279F"/>
    <w:rsid w:val="00382FFA"/>
    <w:rsid w:val="00383730"/>
    <w:rsid w:val="00383BD4"/>
    <w:rsid w:val="00383E28"/>
    <w:rsid w:val="00385ADC"/>
    <w:rsid w:val="00386A28"/>
    <w:rsid w:val="003911B1"/>
    <w:rsid w:val="00391DC9"/>
    <w:rsid w:val="00391E74"/>
    <w:rsid w:val="0039239C"/>
    <w:rsid w:val="00392C4C"/>
    <w:rsid w:val="003938F5"/>
    <w:rsid w:val="00395A36"/>
    <w:rsid w:val="003966E4"/>
    <w:rsid w:val="003A1311"/>
    <w:rsid w:val="003A1D39"/>
    <w:rsid w:val="003A22A6"/>
    <w:rsid w:val="003A2376"/>
    <w:rsid w:val="003A3373"/>
    <w:rsid w:val="003A3705"/>
    <w:rsid w:val="003A37D5"/>
    <w:rsid w:val="003A3B16"/>
    <w:rsid w:val="003A3EAB"/>
    <w:rsid w:val="003A6269"/>
    <w:rsid w:val="003B09CD"/>
    <w:rsid w:val="003B1496"/>
    <w:rsid w:val="003B2809"/>
    <w:rsid w:val="003B29C7"/>
    <w:rsid w:val="003B4328"/>
    <w:rsid w:val="003B4726"/>
    <w:rsid w:val="003B644B"/>
    <w:rsid w:val="003B6D65"/>
    <w:rsid w:val="003B71A3"/>
    <w:rsid w:val="003B7637"/>
    <w:rsid w:val="003B7A70"/>
    <w:rsid w:val="003B7EB5"/>
    <w:rsid w:val="003C0055"/>
    <w:rsid w:val="003C05D3"/>
    <w:rsid w:val="003C08E5"/>
    <w:rsid w:val="003C14D6"/>
    <w:rsid w:val="003C17AA"/>
    <w:rsid w:val="003C2165"/>
    <w:rsid w:val="003C25D7"/>
    <w:rsid w:val="003C29C2"/>
    <w:rsid w:val="003C52CD"/>
    <w:rsid w:val="003C53B8"/>
    <w:rsid w:val="003C6341"/>
    <w:rsid w:val="003C641A"/>
    <w:rsid w:val="003D0BAE"/>
    <w:rsid w:val="003D0CBD"/>
    <w:rsid w:val="003D20D7"/>
    <w:rsid w:val="003D4A0C"/>
    <w:rsid w:val="003D51AE"/>
    <w:rsid w:val="003D568A"/>
    <w:rsid w:val="003D6264"/>
    <w:rsid w:val="003D6875"/>
    <w:rsid w:val="003D77B6"/>
    <w:rsid w:val="003D7AAF"/>
    <w:rsid w:val="003E01D1"/>
    <w:rsid w:val="003E0491"/>
    <w:rsid w:val="003E0B6E"/>
    <w:rsid w:val="003E19C8"/>
    <w:rsid w:val="003E216D"/>
    <w:rsid w:val="003E2332"/>
    <w:rsid w:val="003E274B"/>
    <w:rsid w:val="003E4526"/>
    <w:rsid w:val="003E506C"/>
    <w:rsid w:val="003E544C"/>
    <w:rsid w:val="003F0DC4"/>
    <w:rsid w:val="003F1674"/>
    <w:rsid w:val="003F2078"/>
    <w:rsid w:val="003F345F"/>
    <w:rsid w:val="003F3BBB"/>
    <w:rsid w:val="003F5903"/>
    <w:rsid w:val="004000D0"/>
    <w:rsid w:val="00400497"/>
    <w:rsid w:val="0040306A"/>
    <w:rsid w:val="004032DC"/>
    <w:rsid w:val="00403E87"/>
    <w:rsid w:val="004041B3"/>
    <w:rsid w:val="004041E3"/>
    <w:rsid w:val="0040452D"/>
    <w:rsid w:val="00404EBA"/>
    <w:rsid w:val="004054AB"/>
    <w:rsid w:val="00406063"/>
    <w:rsid w:val="00406A26"/>
    <w:rsid w:val="00410929"/>
    <w:rsid w:val="004114B8"/>
    <w:rsid w:val="0041153D"/>
    <w:rsid w:val="00412904"/>
    <w:rsid w:val="00412B97"/>
    <w:rsid w:val="00412E2A"/>
    <w:rsid w:val="0041346E"/>
    <w:rsid w:val="00414483"/>
    <w:rsid w:val="00414983"/>
    <w:rsid w:val="00415230"/>
    <w:rsid w:val="00416D23"/>
    <w:rsid w:val="00417CAD"/>
    <w:rsid w:val="00417F5E"/>
    <w:rsid w:val="00421899"/>
    <w:rsid w:val="00422CBC"/>
    <w:rsid w:val="00422EC3"/>
    <w:rsid w:val="0042373A"/>
    <w:rsid w:val="00423E97"/>
    <w:rsid w:val="00424057"/>
    <w:rsid w:val="00426A51"/>
    <w:rsid w:val="0042747D"/>
    <w:rsid w:val="0043092C"/>
    <w:rsid w:val="00430FA8"/>
    <w:rsid w:val="00431318"/>
    <w:rsid w:val="00431D4B"/>
    <w:rsid w:val="00431EFF"/>
    <w:rsid w:val="004327DA"/>
    <w:rsid w:val="00433207"/>
    <w:rsid w:val="00434262"/>
    <w:rsid w:val="004357AF"/>
    <w:rsid w:val="00437FB6"/>
    <w:rsid w:val="00440AF6"/>
    <w:rsid w:val="0044191A"/>
    <w:rsid w:val="00441C55"/>
    <w:rsid w:val="00442526"/>
    <w:rsid w:val="0044399D"/>
    <w:rsid w:val="0044536C"/>
    <w:rsid w:val="004458AA"/>
    <w:rsid w:val="00445C06"/>
    <w:rsid w:val="00446127"/>
    <w:rsid w:val="00446756"/>
    <w:rsid w:val="00446A95"/>
    <w:rsid w:val="00451A4D"/>
    <w:rsid w:val="00451BEE"/>
    <w:rsid w:val="004528F2"/>
    <w:rsid w:val="00452AF6"/>
    <w:rsid w:val="00454145"/>
    <w:rsid w:val="004544C8"/>
    <w:rsid w:val="00455C91"/>
    <w:rsid w:val="004560E4"/>
    <w:rsid w:val="00456596"/>
    <w:rsid w:val="00456C42"/>
    <w:rsid w:val="00457043"/>
    <w:rsid w:val="0046091C"/>
    <w:rsid w:val="004613D9"/>
    <w:rsid w:val="00461907"/>
    <w:rsid w:val="0046269A"/>
    <w:rsid w:val="00462A17"/>
    <w:rsid w:val="004644BD"/>
    <w:rsid w:val="00465097"/>
    <w:rsid w:val="00465AD7"/>
    <w:rsid w:val="004665D9"/>
    <w:rsid w:val="0046671F"/>
    <w:rsid w:val="00466D4E"/>
    <w:rsid w:val="00470106"/>
    <w:rsid w:val="00470941"/>
    <w:rsid w:val="00476C04"/>
    <w:rsid w:val="004811EF"/>
    <w:rsid w:val="00481BF6"/>
    <w:rsid w:val="00482EFB"/>
    <w:rsid w:val="00483289"/>
    <w:rsid w:val="004838EC"/>
    <w:rsid w:val="00483DF7"/>
    <w:rsid w:val="00484AB6"/>
    <w:rsid w:val="004852FF"/>
    <w:rsid w:val="0048537D"/>
    <w:rsid w:val="004858A6"/>
    <w:rsid w:val="00487212"/>
    <w:rsid w:val="00490517"/>
    <w:rsid w:val="00490B03"/>
    <w:rsid w:val="00491E13"/>
    <w:rsid w:val="00492385"/>
    <w:rsid w:val="004932EC"/>
    <w:rsid w:val="00493CDC"/>
    <w:rsid w:val="00493CF8"/>
    <w:rsid w:val="0049646E"/>
    <w:rsid w:val="00497341"/>
    <w:rsid w:val="004A038E"/>
    <w:rsid w:val="004A0A3E"/>
    <w:rsid w:val="004A2770"/>
    <w:rsid w:val="004A33AF"/>
    <w:rsid w:val="004A353D"/>
    <w:rsid w:val="004A3D84"/>
    <w:rsid w:val="004A3DBB"/>
    <w:rsid w:val="004A7912"/>
    <w:rsid w:val="004A7AF1"/>
    <w:rsid w:val="004B0779"/>
    <w:rsid w:val="004B1C4B"/>
    <w:rsid w:val="004B1D83"/>
    <w:rsid w:val="004B2AF5"/>
    <w:rsid w:val="004B2E5D"/>
    <w:rsid w:val="004B33E2"/>
    <w:rsid w:val="004B4283"/>
    <w:rsid w:val="004B4395"/>
    <w:rsid w:val="004B500F"/>
    <w:rsid w:val="004B5566"/>
    <w:rsid w:val="004B5A17"/>
    <w:rsid w:val="004B5AF7"/>
    <w:rsid w:val="004B6F82"/>
    <w:rsid w:val="004B72F1"/>
    <w:rsid w:val="004C0F90"/>
    <w:rsid w:val="004C16CE"/>
    <w:rsid w:val="004C34D4"/>
    <w:rsid w:val="004C3A41"/>
    <w:rsid w:val="004C46EF"/>
    <w:rsid w:val="004C7DB3"/>
    <w:rsid w:val="004D123A"/>
    <w:rsid w:val="004D1429"/>
    <w:rsid w:val="004D17E0"/>
    <w:rsid w:val="004D1CBD"/>
    <w:rsid w:val="004D1F3B"/>
    <w:rsid w:val="004D212F"/>
    <w:rsid w:val="004D25A0"/>
    <w:rsid w:val="004D2721"/>
    <w:rsid w:val="004D5123"/>
    <w:rsid w:val="004D5A61"/>
    <w:rsid w:val="004D7269"/>
    <w:rsid w:val="004D7BA2"/>
    <w:rsid w:val="004E04CE"/>
    <w:rsid w:val="004E2A8B"/>
    <w:rsid w:val="004E2AD0"/>
    <w:rsid w:val="004E3010"/>
    <w:rsid w:val="004E42BA"/>
    <w:rsid w:val="004E5F33"/>
    <w:rsid w:val="004E7D3E"/>
    <w:rsid w:val="004F052D"/>
    <w:rsid w:val="004F137B"/>
    <w:rsid w:val="004F192D"/>
    <w:rsid w:val="004F24D9"/>
    <w:rsid w:val="004F3600"/>
    <w:rsid w:val="004F4ECF"/>
    <w:rsid w:val="004F52C5"/>
    <w:rsid w:val="004F5B71"/>
    <w:rsid w:val="004F6ED9"/>
    <w:rsid w:val="004F7862"/>
    <w:rsid w:val="004F79DF"/>
    <w:rsid w:val="004F7E72"/>
    <w:rsid w:val="00500054"/>
    <w:rsid w:val="00500EBE"/>
    <w:rsid w:val="0050211D"/>
    <w:rsid w:val="00502786"/>
    <w:rsid w:val="00502A2C"/>
    <w:rsid w:val="00502CC1"/>
    <w:rsid w:val="005033D1"/>
    <w:rsid w:val="00503E0A"/>
    <w:rsid w:val="00504ED2"/>
    <w:rsid w:val="0050522C"/>
    <w:rsid w:val="005057D7"/>
    <w:rsid w:val="00505813"/>
    <w:rsid w:val="00511023"/>
    <w:rsid w:val="0051685E"/>
    <w:rsid w:val="0051718D"/>
    <w:rsid w:val="00520B7A"/>
    <w:rsid w:val="00521210"/>
    <w:rsid w:val="00521B10"/>
    <w:rsid w:val="00522E27"/>
    <w:rsid w:val="00523912"/>
    <w:rsid w:val="00524715"/>
    <w:rsid w:val="00525169"/>
    <w:rsid w:val="005309ED"/>
    <w:rsid w:val="00530F77"/>
    <w:rsid w:val="0053163A"/>
    <w:rsid w:val="005320DF"/>
    <w:rsid w:val="00532D18"/>
    <w:rsid w:val="00532D24"/>
    <w:rsid w:val="005334EF"/>
    <w:rsid w:val="00533F16"/>
    <w:rsid w:val="00534468"/>
    <w:rsid w:val="00534486"/>
    <w:rsid w:val="00534C4A"/>
    <w:rsid w:val="00535879"/>
    <w:rsid w:val="00537282"/>
    <w:rsid w:val="00537ABD"/>
    <w:rsid w:val="00537CE9"/>
    <w:rsid w:val="00540C90"/>
    <w:rsid w:val="00541027"/>
    <w:rsid w:val="0054110A"/>
    <w:rsid w:val="005426FF"/>
    <w:rsid w:val="00542967"/>
    <w:rsid w:val="00542AB5"/>
    <w:rsid w:val="00544BBE"/>
    <w:rsid w:val="005461E1"/>
    <w:rsid w:val="0054655A"/>
    <w:rsid w:val="00550C62"/>
    <w:rsid w:val="00552A8E"/>
    <w:rsid w:val="00553905"/>
    <w:rsid w:val="00554F81"/>
    <w:rsid w:val="005576D6"/>
    <w:rsid w:val="00557906"/>
    <w:rsid w:val="00557BE9"/>
    <w:rsid w:val="00561387"/>
    <w:rsid w:val="00561D8A"/>
    <w:rsid w:val="005627A1"/>
    <w:rsid w:val="00562E47"/>
    <w:rsid w:val="00565862"/>
    <w:rsid w:val="00565B13"/>
    <w:rsid w:val="00565F6F"/>
    <w:rsid w:val="00567359"/>
    <w:rsid w:val="005675F0"/>
    <w:rsid w:val="005700D9"/>
    <w:rsid w:val="00571406"/>
    <w:rsid w:val="0057167B"/>
    <w:rsid w:val="00571F7E"/>
    <w:rsid w:val="00572EEE"/>
    <w:rsid w:val="005733A4"/>
    <w:rsid w:val="005733B7"/>
    <w:rsid w:val="00575325"/>
    <w:rsid w:val="0057532B"/>
    <w:rsid w:val="00575E99"/>
    <w:rsid w:val="00575F47"/>
    <w:rsid w:val="005773F5"/>
    <w:rsid w:val="00577756"/>
    <w:rsid w:val="0058025B"/>
    <w:rsid w:val="005809D6"/>
    <w:rsid w:val="00581576"/>
    <w:rsid w:val="00581A31"/>
    <w:rsid w:val="00581F11"/>
    <w:rsid w:val="00583004"/>
    <w:rsid w:val="0058368E"/>
    <w:rsid w:val="005837A3"/>
    <w:rsid w:val="00583852"/>
    <w:rsid w:val="00584AE1"/>
    <w:rsid w:val="00585817"/>
    <w:rsid w:val="005872BD"/>
    <w:rsid w:val="00590197"/>
    <w:rsid w:val="00590809"/>
    <w:rsid w:val="0059104A"/>
    <w:rsid w:val="0059153E"/>
    <w:rsid w:val="00591EBA"/>
    <w:rsid w:val="00592097"/>
    <w:rsid w:val="0059221D"/>
    <w:rsid w:val="00592E9A"/>
    <w:rsid w:val="00593FC3"/>
    <w:rsid w:val="00594762"/>
    <w:rsid w:val="0059516C"/>
    <w:rsid w:val="00595B29"/>
    <w:rsid w:val="00596A12"/>
    <w:rsid w:val="00596EB7"/>
    <w:rsid w:val="00597960"/>
    <w:rsid w:val="005A0950"/>
    <w:rsid w:val="005A1E7A"/>
    <w:rsid w:val="005A1FBF"/>
    <w:rsid w:val="005A3534"/>
    <w:rsid w:val="005A3ADE"/>
    <w:rsid w:val="005A4B4F"/>
    <w:rsid w:val="005A5571"/>
    <w:rsid w:val="005A6E7D"/>
    <w:rsid w:val="005A7460"/>
    <w:rsid w:val="005A7898"/>
    <w:rsid w:val="005B1671"/>
    <w:rsid w:val="005B16C9"/>
    <w:rsid w:val="005B223C"/>
    <w:rsid w:val="005B284E"/>
    <w:rsid w:val="005B3345"/>
    <w:rsid w:val="005B5416"/>
    <w:rsid w:val="005B6C2E"/>
    <w:rsid w:val="005C1EBD"/>
    <w:rsid w:val="005C30BC"/>
    <w:rsid w:val="005C49C4"/>
    <w:rsid w:val="005C5966"/>
    <w:rsid w:val="005C6B2D"/>
    <w:rsid w:val="005D0047"/>
    <w:rsid w:val="005D0134"/>
    <w:rsid w:val="005D01CB"/>
    <w:rsid w:val="005D0988"/>
    <w:rsid w:val="005D16D9"/>
    <w:rsid w:val="005D319F"/>
    <w:rsid w:val="005D3B57"/>
    <w:rsid w:val="005D500C"/>
    <w:rsid w:val="005D5EDF"/>
    <w:rsid w:val="005D6F5B"/>
    <w:rsid w:val="005D7259"/>
    <w:rsid w:val="005D7525"/>
    <w:rsid w:val="005D790B"/>
    <w:rsid w:val="005D7E14"/>
    <w:rsid w:val="005E0A6A"/>
    <w:rsid w:val="005E0B67"/>
    <w:rsid w:val="005E2E8C"/>
    <w:rsid w:val="005E3631"/>
    <w:rsid w:val="005E5031"/>
    <w:rsid w:val="005E5848"/>
    <w:rsid w:val="005E5A35"/>
    <w:rsid w:val="005E7478"/>
    <w:rsid w:val="005E7D96"/>
    <w:rsid w:val="005F3B32"/>
    <w:rsid w:val="005F46E7"/>
    <w:rsid w:val="005F558F"/>
    <w:rsid w:val="005F762A"/>
    <w:rsid w:val="005F7651"/>
    <w:rsid w:val="005F7981"/>
    <w:rsid w:val="005F7CDC"/>
    <w:rsid w:val="006000E6"/>
    <w:rsid w:val="00601F03"/>
    <w:rsid w:val="00604EE4"/>
    <w:rsid w:val="00604F16"/>
    <w:rsid w:val="00606423"/>
    <w:rsid w:val="0061076C"/>
    <w:rsid w:val="00611146"/>
    <w:rsid w:val="006111CA"/>
    <w:rsid w:val="00611589"/>
    <w:rsid w:val="00613795"/>
    <w:rsid w:val="0061404F"/>
    <w:rsid w:val="00614A88"/>
    <w:rsid w:val="0062001A"/>
    <w:rsid w:val="00620028"/>
    <w:rsid w:val="0062012A"/>
    <w:rsid w:val="006209F1"/>
    <w:rsid w:val="00621316"/>
    <w:rsid w:val="00622D8D"/>
    <w:rsid w:val="0062478E"/>
    <w:rsid w:val="00624AE8"/>
    <w:rsid w:val="00624BDD"/>
    <w:rsid w:val="00624D92"/>
    <w:rsid w:val="00626CD4"/>
    <w:rsid w:val="00626E8F"/>
    <w:rsid w:val="006275BB"/>
    <w:rsid w:val="00627F6A"/>
    <w:rsid w:val="00630BD6"/>
    <w:rsid w:val="00630FFA"/>
    <w:rsid w:val="0063219E"/>
    <w:rsid w:val="00632C70"/>
    <w:rsid w:val="00633452"/>
    <w:rsid w:val="00634B15"/>
    <w:rsid w:val="0063536A"/>
    <w:rsid w:val="006367E5"/>
    <w:rsid w:val="0063717B"/>
    <w:rsid w:val="0063744A"/>
    <w:rsid w:val="00637FD9"/>
    <w:rsid w:val="0064066B"/>
    <w:rsid w:val="00640F72"/>
    <w:rsid w:val="006419E8"/>
    <w:rsid w:val="0064338C"/>
    <w:rsid w:val="00643598"/>
    <w:rsid w:val="006504FD"/>
    <w:rsid w:val="006509C2"/>
    <w:rsid w:val="006515C2"/>
    <w:rsid w:val="006515FA"/>
    <w:rsid w:val="00651629"/>
    <w:rsid w:val="006524ED"/>
    <w:rsid w:val="0065300F"/>
    <w:rsid w:val="006556F5"/>
    <w:rsid w:val="00656507"/>
    <w:rsid w:val="006605C6"/>
    <w:rsid w:val="00660700"/>
    <w:rsid w:val="006610AB"/>
    <w:rsid w:val="0066290A"/>
    <w:rsid w:val="00662E53"/>
    <w:rsid w:val="006635C3"/>
    <w:rsid w:val="00663AE9"/>
    <w:rsid w:val="0066413B"/>
    <w:rsid w:val="00665097"/>
    <w:rsid w:val="006659F9"/>
    <w:rsid w:val="00666A47"/>
    <w:rsid w:val="00671F59"/>
    <w:rsid w:val="00672B98"/>
    <w:rsid w:val="00672C72"/>
    <w:rsid w:val="00673A0F"/>
    <w:rsid w:val="00675F70"/>
    <w:rsid w:val="006773F6"/>
    <w:rsid w:val="00680BB7"/>
    <w:rsid w:val="00682231"/>
    <w:rsid w:val="00682CD7"/>
    <w:rsid w:val="006834F9"/>
    <w:rsid w:val="006843B0"/>
    <w:rsid w:val="00685FB3"/>
    <w:rsid w:val="00685FEC"/>
    <w:rsid w:val="00686706"/>
    <w:rsid w:val="00687946"/>
    <w:rsid w:val="006901F5"/>
    <w:rsid w:val="006903AC"/>
    <w:rsid w:val="006908B7"/>
    <w:rsid w:val="00691D30"/>
    <w:rsid w:val="006942A0"/>
    <w:rsid w:val="00694D8B"/>
    <w:rsid w:val="00695104"/>
    <w:rsid w:val="00695FB9"/>
    <w:rsid w:val="00696A2F"/>
    <w:rsid w:val="00696ED5"/>
    <w:rsid w:val="00697077"/>
    <w:rsid w:val="00697858"/>
    <w:rsid w:val="00697F43"/>
    <w:rsid w:val="006A020C"/>
    <w:rsid w:val="006A0817"/>
    <w:rsid w:val="006A2D86"/>
    <w:rsid w:val="006A4809"/>
    <w:rsid w:val="006A58F7"/>
    <w:rsid w:val="006A5CB0"/>
    <w:rsid w:val="006A7D3A"/>
    <w:rsid w:val="006B0A35"/>
    <w:rsid w:val="006B1883"/>
    <w:rsid w:val="006B1C2C"/>
    <w:rsid w:val="006B276E"/>
    <w:rsid w:val="006B3EB9"/>
    <w:rsid w:val="006B5AF6"/>
    <w:rsid w:val="006B6100"/>
    <w:rsid w:val="006B72FE"/>
    <w:rsid w:val="006B7502"/>
    <w:rsid w:val="006B76BC"/>
    <w:rsid w:val="006C0CF3"/>
    <w:rsid w:val="006C241B"/>
    <w:rsid w:val="006C2960"/>
    <w:rsid w:val="006C492C"/>
    <w:rsid w:val="006C5604"/>
    <w:rsid w:val="006C5612"/>
    <w:rsid w:val="006C5A24"/>
    <w:rsid w:val="006C5F1B"/>
    <w:rsid w:val="006D403C"/>
    <w:rsid w:val="006D4B9A"/>
    <w:rsid w:val="006D530C"/>
    <w:rsid w:val="006D53CE"/>
    <w:rsid w:val="006D6612"/>
    <w:rsid w:val="006D6DCF"/>
    <w:rsid w:val="006D6EAB"/>
    <w:rsid w:val="006D6EF8"/>
    <w:rsid w:val="006D7C57"/>
    <w:rsid w:val="006E0363"/>
    <w:rsid w:val="006E1576"/>
    <w:rsid w:val="006E1A4D"/>
    <w:rsid w:val="006E3650"/>
    <w:rsid w:val="006E6607"/>
    <w:rsid w:val="006E7EA4"/>
    <w:rsid w:val="006F32EF"/>
    <w:rsid w:val="006F3A27"/>
    <w:rsid w:val="006F3ABA"/>
    <w:rsid w:val="006F59A7"/>
    <w:rsid w:val="006F66B1"/>
    <w:rsid w:val="006F710D"/>
    <w:rsid w:val="006F744E"/>
    <w:rsid w:val="006F75AB"/>
    <w:rsid w:val="007000F9"/>
    <w:rsid w:val="00700DB2"/>
    <w:rsid w:val="00701230"/>
    <w:rsid w:val="00701C54"/>
    <w:rsid w:val="00701D46"/>
    <w:rsid w:val="00702006"/>
    <w:rsid w:val="00702115"/>
    <w:rsid w:val="007042F5"/>
    <w:rsid w:val="007046A9"/>
    <w:rsid w:val="0070579F"/>
    <w:rsid w:val="0070621D"/>
    <w:rsid w:val="00706E19"/>
    <w:rsid w:val="00706F98"/>
    <w:rsid w:val="007071D1"/>
    <w:rsid w:val="00707594"/>
    <w:rsid w:val="007076B3"/>
    <w:rsid w:val="00711374"/>
    <w:rsid w:val="00711FB8"/>
    <w:rsid w:val="00712316"/>
    <w:rsid w:val="007137E6"/>
    <w:rsid w:val="00713980"/>
    <w:rsid w:val="00714BCB"/>
    <w:rsid w:val="007157C4"/>
    <w:rsid w:val="0071686B"/>
    <w:rsid w:val="00720471"/>
    <w:rsid w:val="00720C16"/>
    <w:rsid w:val="00721419"/>
    <w:rsid w:val="00722823"/>
    <w:rsid w:val="007235DD"/>
    <w:rsid w:val="007236EC"/>
    <w:rsid w:val="00724B27"/>
    <w:rsid w:val="007259AF"/>
    <w:rsid w:val="00725DEB"/>
    <w:rsid w:val="007279B0"/>
    <w:rsid w:val="007303F8"/>
    <w:rsid w:val="00731F6A"/>
    <w:rsid w:val="00732E51"/>
    <w:rsid w:val="00733326"/>
    <w:rsid w:val="00735373"/>
    <w:rsid w:val="00735993"/>
    <w:rsid w:val="00735FEC"/>
    <w:rsid w:val="007367DC"/>
    <w:rsid w:val="00736E9E"/>
    <w:rsid w:val="007373AF"/>
    <w:rsid w:val="00737931"/>
    <w:rsid w:val="00737961"/>
    <w:rsid w:val="00737F39"/>
    <w:rsid w:val="0074130E"/>
    <w:rsid w:val="007416BF"/>
    <w:rsid w:val="00741908"/>
    <w:rsid w:val="00743ABE"/>
    <w:rsid w:val="00744140"/>
    <w:rsid w:val="0074546E"/>
    <w:rsid w:val="007454A3"/>
    <w:rsid w:val="00745AEF"/>
    <w:rsid w:val="007463B9"/>
    <w:rsid w:val="007467DB"/>
    <w:rsid w:val="00747A51"/>
    <w:rsid w:val="00750C8A"/>
    <w:rsid w:val="00751457"/>
    <w:rsid w:val="00751B7F"/>
    <w:rsid w:val="00752EBB"/>
    <w:rsid w:val="007532FD"/>
    <w:rsid w:val="00754313"/>
    <w:rsid w:val="00754642"/>
    <w:rsid w:val="00754765"/>
    <w:rsid w:val="00754E31"/>
    <w:rsid w:val="00755925"/>
    <w:rsid w:val="00756581"/>
    <w:rsid w:val="007567A4"/>
    <w:rsid w:val="00757172"/>
    <w:rsid w:val="007579C1"/>
    <w:rsid w:val="00760C43"/>
    <w:rsid w:val="00761A16"/>
    <w:rsid w:val="00761B75"/>
    <w:rsid w:val="00761CC6"/>
    <w:rsid w:val="007631D6"/>
    <w:rsid w:val="00763453"/>
    <w:rsid w:val="00765CBA"/>
    <w:rsid w:val="007666C1"/>
    <w:rsid w:val="00766883"/>
    <w:rsid w:val="007672ED"/>
    <w:rsid w:val="00767FD1"/>
    <w:rsid w:val="00770A74"/>
    <w:rsid w:val="00770E22"/>
    <w:rsid w:val="00771406"/>
    <w:rsid w:val="007716A4"/>
    <w:rsid w:val="00771A61"/>
    <w:rsid w:val="00771D56"/>
    <w:rsid w:val="00772AF7"/>
    <w:rsid w:val="00772B22"/>
    <w:rsid w:val="00773665"/>
    <w:rsid w:val="007736D3"/>
    <w:rsid w:val="007738E3"/>
    <w:rsid w:val="00774004"/>
    <w:rsid w:val="00774698"/>
    <w:rsid w:val="0077495C"/>
    <w:rsid w:val="00777109"/>
    <w:rsid w:val="00777AB4"/>
    <w:rsid w:val="00780573"/>
    <w:rsid w:val="00780FF0"/>
    <w:rsid w:val="00781A0E"/>
    <w:rsid w:val="00781D09"/>
    <w:rsid w:val="00781F6A"/>
    <w:rsid w:val="00783125"/>
    <w:rsid w:val="00783880"/>
    <w:rsid w:val="00783C27"/>
    <w:rsid w:val="007845F0"/>
    <w:rsid w:val="00785534"/>
    <w:rsid w:val="00785D3A"/>
    <w:rsid w:val="007867E2"/>
    <w:rsid w:val="00786C10"/>
    <w:rsid w:val="00787593"/>
    <w:rsid w:val="007900E4"/>
    <w:rsid w:val="00790279"/>
    <w:rsid w:val="00790A79"/>
    <w:rsid w:val="00790DDD"/>
    <w:rsid w:val="00791543"/>
    <w:rsid w:val="007915B5"/>
    <w:rsid w:val="0079371F"/>
    <w:rsid w:val="00793E3C"/>
    <w:rsid w:val="00794713"/>
    <w:rsid w:val="00794E16"/>
    <w:rsid w:val="0079680A"/>
    <w:rsid w:val="007A021C"/>
    <w:rsid w:val="007A06D5"/>
    <w:rsid w:val="007A08E2"/>
    <w:rsid w:val="007A21BB"/>
    <w:rsid w:val="007A2FA1"/>
    <w:rsid w:val="007A300B"/>
    <w:rsid w:val="007A4AA2"/>
    <w:rsid w:val="007A5C15"/>
    <w:rsid w:val="007A6FC1"/>
    <w:rsid w:val="007A7ADB"/>
    <w:rsid w:val="007B252F"/>
    <w:rsid w:val="007B26BF"/>
    <w:rsid w:val="007B2B19"/>
    <w:rsid w:val="007B2FF2"/>
    <w:rsid w:val="007B3C3B"/>
    <w:rsid w:val="007B43D2"/>
    <w:rsid w:val="007B51EC"/>
    <w:rsid w:val="007B5306"/>
    <w:rsid w:val="007B559E"/>
    <w:rsid w:val="007B5F0C"/>
    <w:rsid w:val="007B64E2"/>
    <w:rsid w:val="007B7D82"/>
    <w:rsid w:val="007C104B"/>
    <w:rsid w:val="007C17EC"/>
    <w:rsid w:val="007C22A9"/>
    <w:rsid w:val="007C4782"/>
    <w:rsid w:val="007C5891"/>
    <w:rsid w:val="007C60CA"/>
    <w:rsid w:val="007C69A0"/>
    <w:rsid w:val="007C7FA4"/>
    <w:rsid w:val="007D03EC"/>
    <w:rsid w:val="007D04BD"/>
    <w:rsid w:val="007D064B"/>
    <w:rsid w:val="007D20A5"/>
    <w:rsid w:val="007D351B"/>
    <w:rsid w:val="007D37F9"/>
    <w:rsid w:val="007D5A40"/>
    <w:rsid w:val="007D62C7"/>
    <w:rsid w:val="007D6775"/>
    <w:rsid w:val="007D6C7A"/>
    <w:rsid w:val="007D763B"/>
    <w:rsid w:val="007D781E"/>
    <w:rsid w:val="007D7991"/>
    <w:rsid w:val="007D7BB5"/>
    <w:rsid w:val="007E0928"/>
    <w:rsid w:val="007E0949"/>
    <w:rsid w:val="007E146F"/>
    <w:rsid w:val="007E1919"/>
    <w:rsid w:val="007E2973"/>
    <w:rsid w:val="007E4748"/>
    <w:rsid w:val="007E54E5"/>
    <w:rsid w:val="007E5A6F"/>
    <w:rsid w:val="007E601E"/>
    <w:rsid w:val="007E657D"/>
    <w:rsid w:val="007E681F"/>
    <w:rsid w:val="007E6F1C"/>
    <w:rsid w:val="007F003B"/>
    <w:rsid w:val="007F0B58"/>
    <w:rsid w:val="007F1968"/>
    <w:rsid w:val="007F2990"/>
    <w:rsid w:val="007F3861"/>
    <w:rsid w:val="007F441F"/>
    <w:rsid w:val="007F4FD0"/>
    <w:rsid w:val="007F7230"/>
    <w:rsid w:val="00801BC3"/>
    <w:rsid w:val="0080239E"/>
    <w:rsid w:val="00802ED1"/>
    <w:rsid w:val="00803DBF"/>
    <w:rsid w:val="00804C5A"/>
    <w:rsid w:val="008060ED"/>
    <w:rsid w:val="00807667"/>
    <w:rsid w:val="0081048F"/>
    <w:rsid w:val="00810A3A"/>
    <w:rsid w:val="00810D31"/>
    <w:rsid w:val="00814D1D"/>
    <w:rsid w:val="00815039"/>
    <w:rsid w:val="008151E6"/>
    <w:rsid w:val="008156FE"/>
    <w:rsid w:val="00816566"/>
    <w:rsid w:val="00816A46"/>
    <w:rsid w:val="008177FC"/>
    <w:rsid w:val="0081781C"/>
    <w:rsid w:val="00817C68"/>
    <w:rsid w:val="00820578"/>
    <w:rsid w:val="00820F85"/>
    <w:rsid w:val="00821221"/>
    <w:rsid w:val="00821A69"/>
    <w:rsid w:val="00822817"/>
    <w:rsid w:val="00823F05"/>
    <w:rsid w:val="0082483B"/>
    <w:rsid w:val="008278D4"/>
    <w:rsid w:val="00830160"/>
    <w:rsid w:val="0083369C"/>
    <w:rsid w:val="00833D6C"/>
    <w:rsid w:val="00834C1F"/>
    <w:rsid w:val="008356BE"/>
    <w:rsid w:val="008358F2"/>
    <w:rsid w:val="00835D04"/>
    <w:rsid w:val="00835DD0"/>
    <w:rsid w:val="00836A1D"/>
    <w:rsid w:val="008378A2"/>
    <w:rsid w:val="00840A4C"/>
    <w:rsid w:val="0084220C"/>
    <w:rsid w:val="008423A7"/>
    <w:rsid w:val="00842FFE"/>
    <w:rsid w:val="008430BC"/>
    <w:rsid w:val="008438E8"/>
    <w:rsid w:val="00844F87"/>
    <w:rsid w:val="0084530E"/>
    <w:rsid w:val="0084594D"/>
    <w:rsid w:val="008460CD"/>
    <w:rsid w:val="0084635F"/>
    <w:rsid w:val="00851DBC"/>
    <w:rsid w:val="00851ECA"/>
    <w:rsid w:val="0085207E"/>
    <w:rsid w:val="00853B08"/>
    <w:rsid w:val="00854EB9"/>
    <w:rsid w:val="00855858"/>
    <w:rsid w:val="00855B86"/>
    <w:rsid w:val="00855C3F"/>
    <w:rsid w:val="00856018"/>
    <w:rsid w:val="008610BE"/>
    <w:rsid w:val="00861162"/>
    <w:rsid w:val="00861248"/>
    <w:rsid w:val="008630CB"/>
    <w:rsid w:val="00863611"/>
    <w:rsid w:val="00864403"/>
    <w:rsid w:val="008657B9"/>
    <w:rsid w:val="00866BDB"/>
    <w:rsid w:val="008676D4"/>
    <w:rsid w:val="00867C17"/>
    <w:rsid w:val="00867EA4"/>
    <w:rsid w:val="00871792"/>
    <w:rsid w:val="00872B0A"/>
    <w:rsid w:val="00872C51"/>
    <w:rsid w:val="0087373F"/>
    <w:rsid w:val="008756DF"/>
    <w:rsid w:val="008768E4"/>
    <w:rsid w:val="0087691B"/>
    <w:rsid w:val="00877149"/>
    <w:rsid w:val="008778ED"/>
    <w:rsid w:val="00880569"/>
    <w:rsid w:val="0088062F"/>
    <w:rsid w:val="00880BB3"/>
    <w:rsid w:val="00883C28"/>
    <w:rsid w:val="00885C75"/>
    <w:rsid w:val="008860DD"/>
    <w:rsid w:val="00886541"/>
    <w:rsid w:val="00886DB3"/>
    <w:rsid w:val="008879C8"/>
    <w:rsid w:val="00890B04"/>
    <w:rsid w:val="008915A3"/>
    <w:rsid w:val="00891C6F"/>
    <w:rsid w:val="008920A5"/>
    <w:rsid w:val="008924BE"/>
    <w:rsid w:val="00893308"/>
    <w:rsid w:val="00893777"/>
    <w:rsid w:val="0089422B"/>
    <w:rsid w:val="0089495A"/>
    <w:rsid w:val="008959E4"/>
    <w:rsid w:val="00895FF3"/>
    <w:rsid w:val="008974D2"/>
    <w:rsid w:val="00897C43"/>
    <w:rsid w:val="008A036F"/>
    <w:rsid w:val="008A08F5"/>
    <w:rsid w:val="008A0BA3"/>
    <w:rsid w:val="008A11BA"/>
    <w:rsid w:val="008A200C"/>
    <w:rsid w:val="008A3073"/>
    <w:rsid w:val="008A4975"/>
    <w:rsid w:val="008A70E6"/>
    <w:rsid w:val="008B03A2"/>
    <w:rsid w:val="008B108D"/>
    <w:rsid w:val="008B1A7A"/>
    <w:rsid w:val="008B1D05"/>
    <w:rsid w:val="008B2760"/>
    <w:rsid w:val="008B46F2"/>
    <w:rsid w:val="008B47EF"/>
    <w:rsid w:val="008B4EA7"/>
    <w:rsid w:val="008B4EEF"/>
    <w:rsid w:val="008B5FDC"/>
    <w:rsid w:val="008B613A"/>
    <w:rsid w:val="008C022A"/>
    <w:rsid w:val="008C03B7"/>
    <w:rsid w:val="008C1A7E"/>
    <w:rsid w:val="008C2252"/>
    <w:rsid w:val="008C69B9"/>
    <w:rsid w:val="008C6BA6"/>
    <w:rsid w:val="008C6D36"/>
    <w:rsid w:val="008C6F4C"/>
    <w:rsid w:val="008C743C"/>
    <w:rsid w:val="008C74F4"/>
    <w:rsid w:val="008D1207"/>
    <w:rsid w:val="008D1C84"/>
    <w:rsid w:val="008D2AA5"/>
    <w:rsid w:val="008D2B88"/>
    <w:rsid w:val="008D2F10"/>
    <w:rsid w:val="008D34F2"/>
    <w:rsid w:val="008D350C"/>
    <w:rsid w:val="008D525B"/>
    <w:rsid w:val="008D5779"/>
    <w:rsid w:val="008D6B73"/>
    <w:rsid w:val="008D7788"/>
    <w:rsid w:val="008E07B1"/>
    <w:rsid w:val="008E0D7A"/>
    <w:rsid w:val="008E2C40"/>
    <w:rsid w:val="008E4468"/>
    <w:rsid w:val="008E4515"/>
    <w:rsid w:val="008E4F83"/>
    <w:rsid w:val="008E5EA6"/>
    <w:rsid w:val="008E7779"/>
    <w:rsid w:val="008E7DE5"/>
    <w:rsid w:val="008F02D1"/>
    <w:rsid w:val="008F1A36"/>
    <w:rsid w:val="008F205D"/>
    <w:rsid w:val="008F2100"/>
    <w:rsid w:val="008F2DD5"/>
    <w:rsid w:val="008F3129"/>
    <w:rsid w:val="008F3199"/>
    <w:rsid w:val="008F35C4"/>
    <w:rsid w:val="008F5666"/>
    <w:rsid w:val="008F5D5E"/>
    <w:rsid w:val="009013D7"/>
    <w:rsid w:val="009014FE"/>
    <w:rsid w:val="00903D87"/>
    <w:rsid w:val="00904001"/>
    <w:rsid w:val="00905D07"/>
    <w:rsid w:val="009066A7"/>
    <w:rsid w:val="00907CCE"/>
    <w:rsid w:val="00910796"/>
    <w:rsid w:val="0091120C"/>
    <w:rsid w:val="00911356"/>
    <w:rsid w:val="0091198E"/>
    <w:rsid w:val="00911BA5"/>
    <w:rsid w:val="00911D8C"/>
    <w:rsid w:val="00912183"/>
    <w:rsid w:val="00912800"/>
    <w:rsid w:val="00912C08"/>
    <w:rsid w:val="00915058"/>
    <w:rsid w:val="009152A7"/>
    <w:rsid w:val="00915A40"/>
    <w:rsid w:val="00915E10"/>
    <w:rsid w:val="00917494"/>
    <w:rsid w:val="009211D8"/>
    <w:rsid w:val="00921443"/>
    <w:rsid w:val="009221F6"/>
    <w:rsid w:val="00923403"/>
    <w:rsid w:val="00923626"/>
    <w:rsid w:val="00923DE8"/>
    <w:rsid w:val="00924D23"/>
    <w:rsid w:val="009268C0"/>
    <w:rsid w:val="00930F59"/>
    <w:rsid w:val="00931101"/>
    <w:rsid w:val="00931F8D"/>
    <w:rsid w:val="009336BE"/>
    <w:rsid w:val="0093497D"/>
    <w:rsid w:val="009375E5"/>
    <w:rsid w:val="00937CBF"/>
    <w:rsid w:val="00940359"/>
    <w:rsid w:val="009413FC"/>
    <w:rsid w:val="00941909"/>
    <w:rsid w:val="00942645"/>
    <w:rsid w:val="0094601C"/>
    <w:rsid w:val="00946114"/>
    <w:rsid w:val="009464EA"/>
    <w:rsid w:val="00946A5B"/>
    <w:rsid w:val="00950419"/>
    <w:rsid w:val="00951362"/>
    <w:rsid w:val="009514D5"/>
    <w:rsid w:val="00952143"/>
    <w:rsid w:val="00952951"/>
    <w:rsid w:val="009540B6"/>
    <w:rsid w:val="009553E1"/>
    <w:rsid w:val="00957041"/>
    <w:rsid w:val="009605D1"/>
    <w:rsid w:val="009606C0"/>
    <w:rsid w:val="00962031"/>
    <w:rsid w:val="00965F70"/>
    <w:rsid w:val="00966AFA"/>
    <w:rsid w:val="00967192"/>
    <w:rsid w:val="009673A6"/>
    <w:rsid w:val="0097064F"/>
    <w:rsid w:val="009718E7"/>
    <w:rsid w:val="009721A3"/>
    <w:rsid w:val="00972C39"/>
    <w:rsid w:val="00973D80"/>
    <w:rsid w:val="00974B2D"/>
    <w:rsid w:val="00974C5C"/>
    <w:rsid w:val="00975830"/>
    <w:rsid w:val="0097699A"/>
    <w:rsid w:val="00976CBA"/>
    <w:rsid w:val="009775D9"/>
    <w:rsid w:val="009777F2"/>
    <w:rsid w:val="00980209"/>
    <w:rsid w:val="0098077D"/>
    <w:rsid w:val="00980FE7"/>
    <w:rsid w:val="00981B8A"/>
    <w:rsid w:val="00986EA2"/>
    <w:rsid w:val="00987C2B"/>
    <w:rsid w:val="0099052C"/>
    <w:rsid w:val="00991A70"/>
    <w:rsid w:val="00991C55"/>
    <w:rsid w:val="00991D40"/>
    <w:rsid w:val="00992A76"/>
    <w:rsid w:val="00992B99"/>
    <w:rsid w:val="00992F45"/>
    <w:rsid w:val="009934E1"/>
    <w:rsid w:val="00993A78"/>
    <w:rsid w:val="00994644"/>
    <w:rsid w:val="0099512D"/>
    <w:rsid w:val="0099581F"/>
    <w:rsid w:val="00996AC8"/>
    <w:rsid w:val="00996F20"/>
    <w:rsid w:val="009970B4"/>
    <w:rsid w:val="009A00F2"/>
    <w:rsid w:val="009A0479"/>
    <w:rsid w:val="009A3978"/>
    <w:rsid w:val="009A4A8F"/>
    <w:rsid w:val="009A525E"/>
    <w:rsid w:val="009A5DDC"/>
    <w:rsid w:val="009A5ED5"/>
    <w:rsid w:val="009A6388"/>
    <w:rsid w:val="009A7884"/>
    <w:rsid w:val="009A78BB"/>
    <w:rsid w:val="009A7BE5"/>
    <w:rsid w:val="009B028A"/>
    <w:rsid w:val="009B160B"/>
    <w:rsid w:val="009B4089"/>
    <w:rsid w:val="009B44A3"/>
    <w:rsid w:val="009B4A5B"/>
    <w:rsid w:val="009B549A"/>
    <w:rsid w:val="009B6575"/>
    <w:rsid w:val="009B6E1D"/>
    <w:rsid w:val="009B706B"/>
    <w:rsid w:val="009C064B"/>
    <w:rsid w:val="009C114A"/>
    <w:rsid w:val="009C25B0"/>
    <w:rsid w:val="009C2BBC"/>
    <w:rsid w:val="009C37E1"/>
    <w:rsid w:val="009C4F85"/>
    <w:rsid w:val="009D004A"/>
    <w:rsid w:val="009D00C7"/>
    <w:rsid w:val="009D099F"/>
    <w:rsid w:val="009D357D"/>
    <w:rsid w:val="009D409C"/>
    <w:rsid w:val="009D5F8D"/>
    <w:rsid w:val="009E00BB"/>
    <w:rsid w:val="009E174C"/>
    <w:rsid w:val="009E2A2F"/>
    <w:rsid w:val="009E47CD"/>
    <w:rsid w:val="009E4D3D"/>
    <w:rsid w:val="009E4DF4"/>
    <w:rsid w:val="009E7BDC"/>
    <w:rsid w:val="009F0259"/>
    <w:rsid w:val="009F07BC"/>
    <w:rsid w:val="009F0D1E"/>
    <w:rsid w:val="009F1045"/>
    <w:rsid w:val="009F3B45"/>
    <w:rsid w:val="009F3D7E"/>
    <w:rsid w:val="009F45E1"/>
    <w:rsid w:val="009F581B"/>
    <w:rsid w:val="009F5EA1"/>
    <w:rsid w:val="00A01365"/>
    <w:rsid w:val="00A019F3"/>
    <w:rsid w:val="00A02739"/>
    <w:rsid w:val="00A03F54"/>
    <w:rsid w:val="00A05CB5"/>
    <w:rsid w:val="00A100D2"/>
    <w:rsid w:val="00A101EE"/>
    <w:rsid w:val="00A11BF3"/>
    <w:rsid w:val="00A1418D"/>
    <w:rsid w:val="00A1424C"/>
    <w:rsid w:val="00A147E9"/>
    <w:rsid w:val="00A14817"/>
    <w:rsid w:val="00A16483"/>
    <w:rsid w:val="00A168EA"/>
    <w:rsid w:val="00A16B67"/>
    <w:rsid w:val="00A20D15"/>
    <w:rsid w:val="00A21F2C"/>
    <w:rsid w:val="00A232B2"/>
    <w:rsid w:val="00A243AE"/>
    <w:rsid w:val="00A24C73"/>
    <w:rsid w:val="00A25CF2"/>
    <w:rsid w:val="00A2723F"/>
    <w:rsid w:val="00A301AF"/>
    <w:rsid w:val="00A30710"/>
    <w:rsid w:val="00A30790"/>
    <w:rsid w:val="00A30D50"/>
    <w:rsid w:val="00A30D9D"/>
    <w:rsid w:val="00A312C3"/>
    <w:rsid w:val="00A31669"/>
    <w:rsid w:val="00A3238A"/>
    <w:rsid w:val="00A3286A"/>
    <w:rsid w:val="00A33F7A"/>
    <w:rsid w:val="00A34B5F"/>
    <w:rsid w:val="00A350C2"/>
    <w:rsid w:val="00A3550C"/>
    <w:rsid w:val="00A35EFB"/>
    <w:rsid w:val="00A36AEA"/>
    <w:rsid w:val="00A36FC7"/>
    <w:rsid w:val="00A377D7"/>
    <w:rsid w:val="00A403B9"/>
    <w:rsid w:val="00A40BF0"/>
    <w:rsid w:val="00A41418"/>
    <w:rsid w:val="00A41BE7"/>
    <w:rsid w:val="00A4230C"/>
    <w:rsid w:val="00A4338C"/>
    <w:rsid w:val="00A43E0F"/>
    <w:rsid w:val="00A446E4"/>
    <w:rsid w:val="00A4683C"/>
    <w:rsid w:val="00A471CE"/>
    <w:rsid w:val="00A47D13"/>
    <w:rsid w:val="00A5022B"/>
    <w:rsid w:val="00A50E51"/>
    <w:rsid w:val="00A5139D"/>
    <w:rsid w:val="00A51C8F"/>
    <w:rsid w:val="00A5243C"/>
    <w:rsid w:val="00A53FF0"/>
    <w:rsid w:val="00A54975"/>
    <w:rsid w:val="00A55A29"/>
    <w:rsid w:val="00A55F7A"/>
    <w:rsid w:val="00A567F7"/>
    <w:rsid w:val="00A57205"/>
    <w:rsid w:val="00A604AB"/>
    <w:rsid w:val="00A62EF2"/>
    <w:rsid w:val="00A6385B"/>
    <w:rsid w:val="00A6570E"/>
    <w:rsid w:val="00A65DE8"/>
    <w:rsid w:val="00A66970"/>
    <w:rsid w:val="00A67658"/>
    <w:rsid w:val="00A677D4"/>
    <w:rsid w:val="00A706EB"/>
    <w:rsid w:val="00A70BE4"/>
    <w:rsid w:val="00A72601"/>
    <w:rsid w:val="00A7319F"/>
    <w:rsid w:val="00A73507"/>
    <w:rsid w:val="00A73E2F"/>
    <w:rsid w:val="00A747E3"/>
    <w:rsid w:val="00A74B0E"/>
    <w:rsid w:val="00A767C3"/>
    <w:rsid w:val="00A774E2"/>
    <w:rsid w:val="00A819D5"/>
    <w:rsid w:val="00A81D3D"/>
    <w:rsid w:val="00A8257B"/>
    <w:rsid w:val="00A83337"/>
    <w:rsid w:val="00A85D9E"/>
    <w:rsid w:val="00A85E81"/>
    <w:rsid w:val="00A86A7B"/>
    <w:rsid w:val="00A86CD0"/>
    <w:rsid w:val="00A87149"/>
    <w:rsid w:val="00A87981"/>
    <w:rsid w:val="00A87A3A"/>
    <w:rsid w:val="00A87E75"/>
    <w:rsid w:val="00A90711"/>
    <w:rsid w:val="00A90FC8"/>
    <w:rsid w:val="00A90FDF"/>
    <w:rsid w:val="00A917B1"/>
    <w:rsid w:val="00A92322"/>
    <w:rsid w:val="00A92F4B"/>
    <w:rsid w:val="00A93707"/>
    <w:rsid w:val="00A9416A"/>
    <w:rsid w:val="00A95E68"/>
    <w:rsid w:val="00A965CC"/>
    <w:rsid w:val="00A9793C"/>
    <w:rsid w:val="00A97DE2"/>
    <w:rsid w:val="00AA02C3"/>
    <w:rsid w:val="00AA3CE6"/>
    <w:rsid w:val="00AA5350"/>
    <w:rsid w:val="00AA5E58"/>
    <w:rsid w:val="00AA7228"/>
    <w:rsid w:val="00AB13F5"/>
    <w:rsid w:val="00AB21E2"/>
    <w:rsid w:val="00AB3A6D"/>
    <w:rsid w:val="00AB419C"/>
    <w:rsid w:val="00AB455C"/>
    <w:rsid w:val="00AC07F3"/>
    <w:rsid w:val="00AC1D4A"/>
    <w:rsid w:val="00AC28F9"/>
    <w:rsid w:val="00AC3419"/>
    <w:rsid w:val="00AC3584"/>
    <w:rsid w:val="00AC3EF2"/>
    <w:rsid w:val="00AC4219"/>
    <w:rsid w:val="00AC4440"/>
    <w:rsid w:val="00AC4749"/>
    <w:rsid w:val="00AC59B7"/>
    <w:rsid w:val="00AC5A66"/>
    <w:rsid w:val="00AC5F37"/>
    <w:rsid w:val="00AC6018"/>
    <w:rsid w:val="00AC7CAE"/>
    <w:rsid w:val="00AD06E5"/>
    <w:rsid w:val="00AD1039"/>
    <w:rsid w:val="00AD20A8"/>
    <w:rsid w:val="00AD2922"/>
    <w:rsid w:val="00AD396E"/>
    <w:rsid w:val="00AD3B77"/>
    <w:rsid w:val="00AD52F3"/>
    <w:rsid w:val="00AD75C9"/>
    <w:rsid w:val="00AE11C3"/>
    <w:rsid w:val="00AE1B3B"/>
    <w:rsid w:val="00AE1D0A"/>
    <w:rsid w:val="00AE28EC"/>
    <w:rsid w:val="00AE29E4"/>
    <w:rsid w:val="00AE2B1E"/>
    <w:rsid w:val="00AE3696"/>
    <w:rsid w:val="00AE3973"/>
    <w:rsid w:val="00AE3CD6"/>
    <w:rsid w:val="00AE5B6E"/>
    <w:rsid w:val="00AF056F"/>
    <w:rsid w:val="00AF06EA"/>
    <w:rsid w:val="00AF0A96"/>
    <w:rsid w:val="00AF0AD9"/>
    <w:rsid w:val="00AF3A0C"/>
    <w:rsid w:val="00AF3C20"/>
    <w:rsid w:val="00AF4AE0"/>
    <w:rsid w:val="00AF4BED"/>
    <w:rsid w:val="00AF5E0A"/>
    <w:rsid w:val="00AF60A5"/>
    <w:rsid w:val="00AF6493"/>
    <w:rsid w:val="00AF7C71"/>
    <w:rsid w:val="00B000C5"/>
    <w:rsid w:val="00B018F2"/>
    <w:rsid w:val="00B01F04"/>
    <w:rsid w:val="00B03B92"/>
    <w:rsid w:val="00B06C41"/>
    <w:rsid w:val="00B07197"/>
    <w:rsid w:val="00B11197"/>
    <w:rsid w:val="00B11366"/>
    <w:rsid w:val="00B113F8"/>
    <w:rsid w:val="00B119FC"/>
    <w:rsid w:val="00B11F7C"/>
    <w:rsid w:val="00B13BFA"/>
    <w:rsid w:val="00B13D94"/>
    <w:rsid w:val="00B14D75"/>
    <w:rsid w:val="00B159AC"/>
    <w:rsid w:val="00B15EC1"/>
    <w:rsid w:val="00B20306"/>
    <w:rsid w:val="00B216B1"/>
    <w:rsid w:val="00B23347"/>
    <w:rsid w:val="00B23540"/>
    <w:rsid w:val="00B23FCB"/>
    <w:rsid w:val="00B25FF2"/>
    <w:rsid w:val="00B26DB3"/>
    <w:rsid w:val="00B300CC"/>
    <w:rsid w:val="00B32123"/>
    <w:rsid w:val="00B3214F"/>
    <w:rsid w:val="00B3263A"/>
    <w:rsid w:val="00B33032"/>
    <w:rsid w:val="00B34122"/>
    <w:rsid w:val="00B343FC"/>
    <w:rsid w:val="00B34CBC"/>
    <w:rsid w:val="00B36DF0"/>
    <w:rsid w:val="00B371DD"/>
    <w:rsid w:val="00B378EE"/>
    <w:rsid w:val="00B403A9"/>
    <w:rsid w:val="00B42521"/>
    <w:rsid w:val="00B425F4"/>
    <w:rsid w:val="00B42B3B"/>
    <w:rsid w:val="00B42CD8"/>
    <w:rsid w:val="00B42F78"/>
    <w:rsid w:val="00B434E6"/>
    <w:rsid w:val="00B438BB"/>
    <w:rsid w:val="00B4463D"/>
    <w:rsid w:val="00B4534E"/>
    <w:rsid w:val="00B464CC"/>
    <w:rsid w:val="00B50515"/>
    <w:rsid w:val="00B50870"/>
    <w:rsid w:val="00B51E03"/>
    <w:rsid w:val="00B522DC"/>
    <w:rsid w:val="00B53573"/>
    <w:rsid w:val="00B53AB6"/>
    <w:rsid w:val="00B55878"/>
    <w:rsid w:val="00B566E2"/>
    <w:rsid w:val="00B57AC4"/>
    <w:rsid w:val="00B57CC7"/>
    <w:rsid w:val="00B60940"/>
    <w:rsid w:val="00B60ED0"/>
    <w:rsid w:val="00B61EBF"/>
    <w:rsid w:val="00B61F4F"/>
    <w:rsid w:val="00B657B4"/>
    <w:rsid w:val="00B673A8"/>
    <w:rsid w:val="00B67D53"/>
    <w:rsid w:val="00B67E26"/>
    <w:rsid w:val="00B705B8"/>
    <w:rsid w:val="00B70760"/>
    <w:rsid w:val="00B7194A"/>
    <w:rsid w:val="00B73156"/>
    <w:rsid w:val="00B7317C"/>
    <w:rsid w:val="00B73925"/>
    <w:rsid w:val="00B73CA4"/>
    <w:rsid w:val="00B741BD"/>
    <w:rsid w:val="00B750F8"/>
    <w:rsid w:val="00B75B71"/>
    <w:rsid w:val="00B77A89"/>
    <w:rsid w:val="00B8081A"/>
    <w:rsid w:val="00B8242E"/>
    <w:rsid w:val="00B82E60"/>
    <w:rsid w:val="00B83F27"/>
    <w:rsid w:val="00B845B7"/>
    <w:rsid w:val="00B84B0E"/>
    <w:rsid w:val="00B84CF3"/>
    <w:rsid w:val="00B86D4F"/>
    <w:rsid w:val="00B86F4A"/>
    <w:rsid w:val="00B87D45"/>
    <w:rsid w:val="00B87EC6"/>
    <w:rsid w:val="00B9100C"/>
    <w:rsid w:val="00B91998"/>
    <w:rsid w:val="00B928F3"/>
    <w:rsid w:val="00B9294F"/>
    <w:rsid w:val="00B92E05"/>
    <w:rsid w:val="00B938E5"/>
    <w:rsid w:val="00B94109"/>
    <w:rsid w:val="00B94FDC"/>
    <w:rsid w:val="00B95377"/>
    <w:rsid w:val="00B95A81"/>
    <w:rsid w:val="00B9622D"/>
    <w:rsid w:val="00B976B0"/>
    <w:rsid w:val="00B97FBC"/>
    <w:rsid w:val="00BA031B"/>
    <w:rsid w:val="00BA324D"/>
    <w:rsid w:val="00BA588A"/>
    <w:rsid w:val="00BA5ABE"/>
    <w:rsid w:val="00BA668A"/>
    <w:rsid w:val="00BA6BF1"/>
    <w:rsid w:val="00BA6DD6"/>
    <w:rsid w:val="00BA6FFB"/>
    <w:rsid w:val="00BA7116"/>
    <w:rsid w:val="00BA715F"/>
    <w:rsid w:val="00BB0366"/>
    <w:rsid w:val="00BB03D7"/>
    <w:rsid w:val="00BB08EB"/>
    <w:rsid w:val="00BB0F3F"/>
    <w:rsid w:val="00BB313D"/>
    <w:rsid w:val="00BB3682"/>
    <w:rsid w:val="00BB3C93"/>
    <w:rsid w:val="00BB4874"/>
    <w:rsid w:val="00BB52E5"/>
    <w:rsid w:val="00BB57E1"/>
    <w:rsid w:val="00BB6422"/>
    <w:rsid w:val="00BC036D"/>
    <w:rsid w:val="00BC04AA"/>
    <w:rsid w:val="00BC0522"/>
    <w:rsid w:val="00BC1E32"/>
    <w:rsid w:val="00BC3CBC"/>
    <w:rsid w:val="00BC44D2"/>
    <w:rsid w:val="00BC4F4F"/>
    <w:rsid w:val="00BD159C"/>
    <w:rsid w:val="00BD4CDC"/>
    <w:rsid w:val="00BD5A65"/>
    <w:rsid w:val="00BD5AED"/>
    <w:rsid w:val="00BD5B74"/>
    <w:rsid w:val="00BD5D45"/>
    <w:rsid w:val="00BD60C8"/>
    <w:rsid w:val="00BD60FE"/>
    <w:rsid w:val="00BD7855"/>
    <w:rsid w:val="00BD7DF7"/>
    <w:rsid w:val="00BE1644"/>
    <w:rsid w:val="00BE2484"/>
    <w:rsid w:val="00BE3456"/>
    <w:rsid w:val="00BE5472"/>
    <w:rsid w:val="00BE5EC5"/>
    <w:rsid w:val="00BE710E"/>
    <w:rsid w:val="00BE7393"/>
    <w:rsid w:val="00BE7C5C"/>
    <w:rsid w:val="00BF0148"/>
    <w:rsid w:val="00BF0D70"/>
    <w:rsid w:val="00BF10F7"/>
    <w:rsid w:val="00BF18F7"/>
    <w:rsid w:val="00BF260D"/>
    <w:rsid w:val="00BF4071"/>
    <w:rsid w:val="00BF49C0"/>
    <w:rsid w:val="00BF554C"/>
    <w:rsid w:val="00C0018A"/>
    <w:rsid w:val="00C004EB"/>
    <w:rsid w:val="00C02B6E"/>
    <w:rsid w:val="00C0398A"/>
    <w:rsid w:val="00C03EF7"/>
    <w:rsid w:val="00C043A1"/>
    <w:rsid w:val="00C10394"/>
    <w:rsid w:val="00C1167F"/>
    <w:rsid w:val="00C117D9"/>
    <w:rsid w:val="00C133A8"/>
    <w:rsid w:val="00C136CD"/>
    <w:rsid w:val="00C1578D"/>
    <w:rsid w:val="00C15889"/>
    <w:rsid w:val="00C15A90"/>
    <w:rsid w:val="00C1605F"/>
    <w:rsid w:val="00C16751"/>
    <w:rsid w:val="00C17E01"/>
    <w:rsid w:val="00C20A66"/>
    <w:rsid w:val="00C2195A"/>
    <w:rsid w:val="00C21DBC"/>
    <w:rsid w:val="00C2253B"/>
    <w:rsid w:val="00C225AB"/>
    <w:rsid w:val="00C24F89"/>
    <w:rsid w:val="00C257D1"/>
    <w:rsid w:val="00C258A0"/>
    <w:rsid w:val="00C25C3A"/>
    <w:rsid w:val="00C25E79"/>
    <w:rsid w:val="00C26E74"/>
    <w:rsid w:val="00C27636"/>
    <w:rsid w:val="00C277D3"/>
    <w:rsid w:val="00C307F6"/>
    <w:rsid w:val="00C30B7E"/>
    <w:rsid w:val="00C30E2A"/>
    <w:rsid w:val="00C3179C"/>
    <w:rsid w:val="00C327C3"/>
    <w:rsid w:val="00C3284F"/>
    <w:rsid w:val="00C330C6"/>
    <w:rsid w:val="00C3320A"/>
    <w:rsid w:val="00C35874"/>
    <w:rsid w:val="00C36093"/>
    <w:rsid w:val="00C3646B"/>
    <w:rsid w:val="00C36930"/>
    <w:rsid w:val="00C37D5A"/>
    <w:rsid w:val="00C37F0E"/>
    <w:rsid w:val="00C4044E"/>
    <w:rsid w:val="00C4223B"/>
    <w:rsid w:val="00C426B3"/>
    <w:rsid w:val="00C42999"/>
    <w:rsid w:val="00C42D1D"/>
    <w:rsid w:val="00C42DDC"/>
    <w:rsid w:val="00C431B7"/>
    <w:rsid w:val="00C44E3A"/>
    <w:rsid w:val="00C45E64"/>
    <w:rsid w:val="00C47330"/>
    <w:rsid w:val="00C47623"/>
    <w:rsid w:val="00C4762E"/>
    <w:rsid w:val="00C47BF5"/>
    <w:rsid w:val="00C50D3A"/>
    <w:rsid w:val="00C51C89"/>
    <w:rsid w:val="00C5286B"/>
    <w:rsid w:val="00C56135"/>
    <w:rsid w:val="00C561E9"/>
    <w:rsid w:val="00C61061"/>
    <w:rsid w:val="00C634E9"/>
    <w:rsid w:val="00C639E9"/>
    <w:rsid w:val="00C6486C"/>
    <w:rsid w:val="00C64A38"/>
    <w:rsid w:val="00C64C5A"/>
    <w:rsid w:val="00C656CD"/>
    <w:rsid w:val="00C6603E"/>
    <w:rsid w:val="00C6695B"/>
    <w:rsid w:val="00C67053"/>
    <w:rsid w:val="00C67A44"/>
    <w:rsid w:val="00C67CDB"/>
    <w:rsid w:val="00C7028F"/>
    <w:rsid w:val="00C70572"/>
    <w:rsid w:val="00C71160"/>
    <w:rsid w:val="00C71A39"/>
    <w:rsid w:val="00C724D6"/>
    <w:rsid w:val="00C72915"/>
    <w:rsid w:val="00C7375C"/>
    <w:rsid w:val="00C73FDF"/>
    <w:rsid w:val="00C74DFC"/>
    <w:rsid w:val="00C75898"/>
    <w:rsid w:val="00C766CC"/>
    <w:rsid w:val="00C7700A"/>
    <w:rsid w:val="00C7789F"/>
    <w:rsid w:val="00C77E1B"/>
    <w:rsid w:val="00C86565"/>
    <w:rsid w:val="00C86C48"/>
    <w:rsid w:val="00C87133"/>
    <w:rsid w:val="00C871E0"/>
    <w:rsid w:val="00C926CF"/>
    <w:rsid w:val="00C94466"/>
    <w:rsid w:val="00C959DB"/>
    <w:rsid w:val="00C95DD4"/>
    <w:rsid w:val="00C9661E"/>
    <w:rsid w:val="00C96F3E"/>
    <w:rsid w:val="00C97C58"/>
    <w:rsid w:val="00CA034D"/>
    <w:rsid w:val="00CA12A6"/>
    <w:rsid w:val="00CA1FBB"/>
    <w:rsid w:val="00CA2517"/>
    <w:rsid w:val="00CA3C57"/>
    <w:rsid w:val="00CA552F"/>
    <w:rsid w:val="00CA5FEC"/>
    <w:rsid w:val="00CA6222"/>
    <w:rsid w:val="00CB09B1"/>
    <w:rsid w:val="00CB0AAA"/>
    <w:rsid w:val="00CB1B10"/>
    <w:rsid w:val="00CB1BA4"/>
    <w:rsid w:val="00CB4D41"/>
    <w:rsid w:val="00CB6A42"/>
    <w:rsid w:val="00CB6FC3"/>
    <w:rsid w:val="00CB704F"/>
    <w:rsid w:val="00CC0B4C"/>
    <w:rsid w:val="00CC205C"/>
    <w:rsid w:val="00CC2916"/>
    <w:rsid w:val="00CC34D8"/>
    <w:rsid w:val="00CC39AE"/>
    <w:rsid w:val="00CC3A2C"/>
    <w:rsid w:val="00CC3BE9"/>
    <w:rsid w:val="00CC3C30"/>
    <w:rsid w:val="00CC6550"/>
    <w:rsid w:val="00CC7020"/>
    <w:rsid w:val="00CC7DDB"/>
    <w:rsid w:val="00CD042B"/>
    <w:rsid w:val="00CD069D"/>
    <w:rsid w:val="00CD0EDC"/>
    <w:rsid w:val="00CD1B5E"/>
    <w:rsid w:val="00CD2798"/>
    <w:rsid w:val="00CD3139"/>
    <w:rsid w:val="00CD42D5"/>
    <w:rsid w:val="00CD5E5C"/>
    <w:rsid w:val="00CD5FBF"/>
    <w:rsid w:val="00CD7BB1"/>
    <w:rsid w:val="00CE0E7F"/>
    <w:rsid w:val="00CE0FB1"/>
    <w:rsid w:val="00CE2625"/>
    <w:rsid w:val="00CE2C02"/>
    <w:rsid w:val="00CE4D66"/>
    <w:rsid w:val="00CF04E1"/>
    <w:rsid w:val="00CF25EB"/>
    <w:rsid w:val="00CF3848"/>
    <w:rsid w:val="00CF39A7"/>
    <w:rsid w:val="00CF4BA6"/>
    <w:rsid w:val="00CF5084"/>
    <w:rsid w:val="00CF629C"/>
    <w:rsid w:val="00CF766C"/>
    <w:rsid w:val="00CF7CFD"/>
    <w:rsid w:val="00D03938"/>
    <w:rsid w:val="00D04BF1"/>
    <w:rsid w:val="00D058B1"/>
    <w:rsid w:val="00D05C2E"/>
    <w:rsid w:val="00D06470"/>
    <w:rsid w:val="00D06F50"/>
    <w:rsid w:val="00D07B16"/>
    <w:rsid w:val="00D07DB1"/>
    <w:rsid w:val="00D07FF1"/>
    <w:rsid w:val="00D10020"/>
    <w:rsid w:val="00D1097F"/>
    <w:rsid w:val="00D10F42"/>
    <w:rsid w:val="00D10F72"/>
    <w:rsid w:val="00D122F5"/>
    <w:rsid w:val="00D12726"/>
    <w:rsid w:val="00D148B9"/>
    <w:rsid w:val="00D1570D"/>
    <w:rsid w:val="00D1592D"/>
    <w:rsid w:val="00D15DD2"/>
    <w:rsid w:val="00D16119"/>
    <w:rsid w:val="00D17DDD"/>
    <w:rsid w:val="00D202A7"/>
    <w:rsid w:val="00D20ABA"/>
    <w:rsid w:val="00D23799"/>
    <w:rsid w:val="00D239C4"/>
    <w:rsid w:val="00D24CC7"/>
    <w:rsid w:val="00D25CC4"/>
    <w:rsid w:val="00D27C80"/>
    <w:rsid w:val="00D307E9"/>
    <w:rsid w:val="00D3130E"/>
    <w:rsid w:val="00D31442"/>
    <w:rsid w:val="00D32D6F"/>
    <w:rsid w:val="00D32E51"/>
    <w:rsid w:val="00D334D5"/>
    <w:rsid w:val="00D33E14"/>
    <w:rsid w:val="00D363C7"/>
    <w:rsid w:val="00D36514"/>
    <w:rsid w:val="00D371EB"/>
    <w:rsid w:val="00D373F4"/>
    <w:rsid w:val="00D41405"/>
    <w:rsid w:val="00D4140D"/>
    <w:rsid w:val="00D41428"/>
    <w:rsid w:val="00D41EAA"/>
    <w:rsid w:val="00D426DB"/>
    <w:rsid w:val="00D43F20"/>
    <w:rsid w:val="00D442DC"/>
    <w:rsid w:val="00D4453B"/>
    <w:rsid w:val="00D45323"/>
    <w:rsid w:val="00D45B11"/>
    <w:rsid w:val="00D50160"/>
    <w:rsid w:val="00D503AA"/>
    <w:rsid w:val="00D508DF"/>
    <w:rsid w:val="00D509E4"/>
    <w:rsid w:val="00D510B7"/>
    <w:rsid w:val="00D528BA"/>
    <w:rsid w:val="00D52D1E"/>
    <w:rsid w:val="00D53250"/>
    <w:rsid w:val="00D54150"/>
    <w:rsid w:val="00D5460E"/>
    <w:rsid w:val="00D54C9A"/>
    <w:rsid w:val="00D556A3"/>
    <w:rsid w:val="00D60F76"/>
    <w:rsid w:val="00D61E8A"/>
    <w:rsid w:val="00D630AF"/>
    <w:rsid w:val="00D63867"/>
    <w:rsid w:val="00D64259"/>
    <w:rsid w:val="00D64CDE"/>
    <w:rsid w:val="00D6542C"/>
    <w:rsid w:val="00D658AD"/>
    <w:rsid w:val="00D6606A"/>
    <w:rsid w:val="00D6625A"/>
    <w:rsid w:val="00D706B7"/>
    <w:rsid w:val="00D70943"/>
    <w:rsid w:val="00D72116"/>
    <w:rsid w:val="00D72372"/>
    <w:rsid w:val="00D7244F"/>
    <w:rsid w:val="00D72B85"/>
    <w:rsid w:val="00D741B8"/>
    <w:rsid w:val="00D74349"/>
    <w:rsid w:val="00D74B3C"/>
    <w:rsid w:val="00D74FED"/>
    <w:rsid w:val="00D76A5C"/>
    <w:rsid w:val="00D81D67"/>
    <w:rsid w:val="00D8217C"/>
    <w:rsid w:val="00D82908"/>
    <w:rsid w:val="00D82A36"/>
    <w:rsid w:val="00D83102"/>
    <w:rsid w:val="00D83655"/>
    <w:rsid w:val="00D85EC2"/>
    <w:rsid w:val="00D86960"/>
    <w:rsid w:val="00D90A97"/>
    <w:rsid w:val="00D92088"/>
    <w:rsid w:val="00D92506"/>
    <w:rsid w:val="00D9253A"/>
    <w:rsid w:val="00D938A9"/>
    <w:rsid w:val="00D947A6"/>
    <w:rsid w:val="00D94BF5"/>
    <w:rsid w:val="00D9537D"/>
    <w:rsid w:val="00D95BA4"/>
    <w:rsid w:val="00D96285"/>
    <w:rsid w:val="00D9679F"/>
    <w:rsid w:val="00D97006"/>
    <w:rsid w:val="00DA0608"/>
    <w:rsid w:val="00DA07B3"/>
    <w:rsid w:val="00DA0C50"/>
    <w:rsid w:val="00DA0E82"/>
    <w:rsid w:val="00DA0F62"/>
    <w:rsid w:val="00DA1229"/>
    <w:rsid w:val="00DA2312"/>
    <w:rsid w:val="00DA23E1"/>
    <w:rsid w:val="00DA2744"/>
    <w:rsid w:val="00DA2B11"/>
    <w:rsid w:val="00DA4ED7"/>
    <w:rsid w:val="00DA5724"/>
    <w:rsid w:val="00DA6BCE"/>
    <w:rsid w:val="00DA7454"/>
    <w:rsid w:val="00DB080A"/>
    <w:rsid w:val="00DB1BF6"/>
    <w:rsid w:val="00DB2C6F"/>
    <w:rsid w:val="00DB4D91"/>
    <w:rsid w:val="00DB55AE"/>
    <w:rsid w:val="00DB6D48"/>
    <w:rsid w:val="00DB724B"/>
    <w:rsid w:val="00DB79D9"/>
    <w:rsid w:val="00DC10A4"/>
    <w:rsid w:val="00DC10B5"/>
    <w:rsid w:val="00DC2FB0"/>
    <w:rsid w:val="00DC4401"/>
    <w:rsid w:val="00DC4D26"/>
    <w:rsid w:val="00DC6827"/>
    <w:rsid w:val="00DC6F58"/>
    <w:rsid w:val="00DC7B6F"/>
    <w:rsid w:val="00DD0252"/>
    <w:rsid w:val="00DD0C29"/>
    <w:rsid w:val="00DD11F8"/>
    <w:rsid w:val="00DD1ADD"/>
    <w:rsid w:val="00DD1DB7"/>
    <w:rsid w:val="00DD3CAA"/>
    <w:rsid w:val="00DD3D18"/>
    <w:rsid w:val="00DD54F1"/>
    <w:rsid w:val="00DD5DE3"/>
    <w:rsid w:val="00DD62D2"/>
    <w:rsid w:val="00DD782A"/>
    <w:rsid w:val="00DD7A32"/>
    <w:rsid w:val="00DD7B5E"/>
    <w:rsid w:val="00DE01F8"/>
    <w:rsid w:val="00DE12AC"/>
    <w:rsid w:val="00DE1512"/>
    <w:rsid w:val="00DE1A3C"/>
    <w:rsid w:val="00DE4960"/>
    <w:rsid w:val="00DE6344"/>
    <w:rsid w:val="00DE6835"/>
    <w:rsid w:val="00DE6B32"/>
    <w:rsid w:val="00DF00EB"/>
    <w:rsid w:val="00DF0FAB"/>
    <w:rsid w:val="00DF1122"/>
    <w:rsid w:val="00DF1B20"/>
    <w:rsid w:val="00DF1FA6"/>
    <w:rsid w:val="00DF2403"/>
    <w:rsid w:val="00DF2BB3"/>
    <w:rsid w:val="00DF3AD0"/>
    <w:rsid w:val="00DF4A4F"/>
    <w:rsid w:val="00DF4E98"/>
    <w:rsid w:val="00DF6DD5"/>
    <w:rsid w:val="00DF7562"/>
    <w:rsid w:val="00E00CBB"/>
    <w:rsid w:val="00E018B5"/>
    <w:rsid w:val="00E0192C"/>
    <w:rsid w:val="00E01E87"/>
    <w:rsid w:val="00E024B7"/>
    <w:rsid w:val="00E02F6B"/>
    <w:rsid w:val="00E03139"/>
    <w:rsid w:val="00E033EB"/>
    <w:rsid w:val="00E044BB"/>
    <w:rsid w:val="00E0559B"/>
    <w:rsid w:val="00E06154"/>
    <w:rsid w:val="00E061C8"/>
    <w:rsid w:val="00E067C7"/>
    <w:rsid w:val="00E071CD"/>
    <w:rsid w:val="00E104D5"/>
    <w:rsid w:val="00E142C6"/>
    <w:rsid w:val="00E15FA7"/>
    <w:rsid w:val="00E1753C"/>
    <w:rsid w:val="00E20A1B"/>
    <w:rsid w:val="00E21E99"/>
    <w:rsid w:val="00E2227F"/>
    <w:rsid w:val="00E24D5B"/>
    <w:rsid w:val="00E25F48"/>
    <w:rsid w:val="00E27E55"/>
    <w:rsid w:val="00E27EF3"/>
    <w:rsid w:val="00E3165A"/>
    <w:rsid w:val="00E325BD"/>
    <w:rsid w:val="00E32E6B"/>
    <w:rsid w:val="00E34E88"/>
    <w:rsid w:val="00E35A1F"/>
    <w:rsid w:val="00E35D78"/>
    <w:rsid w:val="00E36333"/>
    <w:rsid w:val="00E417F1"/>
    <w:rsid w:val="00E41CCA"/>
    <w:rsid w:val="00E42491"/>
    <w:rsid w:val="00E4659B"/>
    <w:rsid w:val="00E50FA8"/>
    <w:rsid w:val="00E520C4"/>
    <w:rsid w:val="00E53A36"/>
    <w:rsid w:val="00E53E3A"/>
    <w:rsid w:val="00E542B0"/>
    <w:rsid w:val="00E546FE"/>
    <w:rsid w:val="00E54B3C"/>
    <w:rsid w:val="00E551BA"/>
    <w:rsid w:val="00E56329"/>
    <w:rsid w:val="00E56687"/>
    <w:rsid w:val="00E56870"/>
    <w:rsid w:val="00E57844"/>
    <w:rsid w:val="00E60057"/>
    <w:rsid w:val="00E611BF"/>
    <w:rsid w:val="00E62657"/>
    <w:rsid w:val="00E6313A"/>
    <w:rsid w:val="00E64272"/>
    <w:rsid w:val="00E646A7"/>
    <w:rsid w:val="00E65074"/>
    <w:rsid w:val="00E65EB2"/>
    <w:rsid w:val="00E66E08"/>
    <w:rsid w:val="00E676BF"/>
    <w:rsid w:val="00E702B7"/>
    <w:rsid w:val="00E70663"/>
    <w:rsid w:val="00E710BF"/>
    <w:rsid w:val="00E71160"/>
    <w:rsid w:val="00E731B1"/>
    <w:rsid w:val="00E73A14"/>
    <w:rsid w:val="00E74356"/>
    <w:rsid w:val="00E7466B"/>
    <w:rsid w:val="00E74674"/>
    <w:rsid w:val="00E75408"/>
    <w:rsid w:val="00E80CE0"/>
    <w:rsid w:val="00E80D80"/>
    <w:rsid w:val="00E8116B"/>
    <w:rsid w:val="00E8142C"/>
    <w:rsid w:val="00E81892"/>
    <w:rsid w:val="00E81A53"/>
    <w:rsid w:val="00E825A0"/>
    <w:rsid w:val="00E83B3B"/>
    <w:rsid w:val="00E85C7E"/>
    <w:rsid w:val="00E85CFA"/>
    <w:rsid w:val="00E85EB3"/>
    <w:rsid w:val="00E8705B"/>
    <w:rsid w:val="00E878B8"/>
    <w:rsid w:val="00E91137"/>
    <w:rsid w:val="00E9182F"/>
    <w:rsid w:val="00E91CE1"/>
    <w:rsid w:val="00E941E3"/>
    <w:rsid w:val="00E94393"/>
    <w:rsid w:val="00E94BAC"/>
    <w:rsid w:val="00E956BD"/>
    <w:rsid w:val="00E95838"/>
    <w:rsid w:val="00E968C7"/>
    <w:rsid w:val="00E96F33"/>
    <w:rsid w:val="00EA207E"/>
    <w:rsid w:val="00EA2D06"/>
    <w:rsid w:val="00EA3970"/>
    <w:rsid w:val="00EA52A2"/>
    <w:rsid w:val="00EA5864"/>
    <w:rsid w:val="00EA5A9B"/>
    <w:rsid w:val="00EA61CE"/>
    <w:rsid w:val="00EA6D78"/>
    <w:rsid w:val="00EA7E0D"/>
    <w:rsid w:val="00EB12D3"/>
    <w:rsid w:val="00EB1A74"/>
    <w:rsid w:val="00EB2B46"/>
    <w:rsid w:val="00EB3600"/>
    <w:rsid w:val="00EB609C"/>
    <w:rsid w:val="00EB76BC"/>
    <w:rsid w:val="00EC0691"/>
    <w:rsid w:val="00EC0BB4"/>
    <w:rsid w:val="00EC0C3D"/>
    <w:rsid w:val="00EC1B8F"/>
    <w:rsid w:val="00EC1C6B"/>
    <w:rsid w:val="00EC3A00"/>
    <w:rsid w:val="00EC479F"/>
    <w:rsid w:val="00EC589B"/>
    <w:rsid w:val="00EC5D89"/>
    <w:rsid w:val="00EC6DAF"/>
    <w:rsid w:val="00EC704A"/>
    <w:rsid w:val="00EC7863"/>
    <w:rsid w:val="00ED2143"/>
    <w:rsid w:val="00ED3B1B"/>
    <w:rsid w:val="00EE1D46"/>
    <w:rsid w:val="00EE3AF1"/>
    <w:rsid w:val="00EE460C"/>
    <w:rsid w:val="00EE4EFC"/>
    <w:rsid w:val="00EE5076"/>
    <w:rsid w:val="00EE5F74"/>
    <w:rsid w:val="00EE74E0"/>
    <w:rsid w:val="00EE7710"/>
    <w:rsid w:val="00EF0696"/>
    <w:rsid w:val="00EF1E21"/>
    <w:rsid w:val="00EF461D"/>
    <w:rsid w:val="00EF4E04"/>
    <w:rsid w:val="00EF7102"/>
    <w:rsid w:val="00EF74E7"/>
    <w:rsid w:val="00EF7DC3"/>
    <w:rsid w:val="00F0000A"/>
    <w:rsid w:val="00F01DDE"/>
    <w:rsid w:val="00F0661A"/>
    <w:rsid w:val="00F0724A"/>
    <w:rsid w:val="00F07F91"/>
    <w:rsid w:val="00F11232"/>
    <w:rsid w:val="00F1123D"/>
    <w:rsid w:val="00F11E46"/>
    <w:rsid w:val="00F12D53"/>
    <w:rsid w:val="00F13FB0"/>
    <w:rsid w:val="00F147FA"/>
    <w:rsid w:val="00F14B21"/>
    <w:rsid w:val="00F15C27"/>
    <w:rsid w:val="00F160D5"/>
    <w:rsid w:val="00F16C3F"/>
    <w:rsid w:val="00F170BB"/>
    <w:rsid w:val="00F1749A"/>
    <w:rsid w:val="00F1757C"/>
    <w:rsid w:val="00F20599"/>
    <w:rsid w:val="00F20EA9"/>
    <w:rsid w:val="00F212BE"/>
    <w:rsid w:val="00F219EC"/>
    <w:rsid w:val="00F21ED9"/>
    <w:rsid w:val="00F24F82"/>
    <w:rsid w:val="00F25196"/>
    <w:rsid w:val="00F25706"/>
    <w:rsid w:val="00F26366"/>
    <w:rsid w:val="00F265BA"/>
    <w:rsid w:val="00F27E82"/>
    <w:rsid w:val="00F27FAC"/>
    <w:rsid w:val="00F30F7C"/>
    <w:rsid w:val="00F3187A"/>
    <w:rsid w:val="00F32221"/>
    <w:rsid w:val="00F3262C"/>
    <w:rsid w:val="00F33863"/>
    <w:rsid w:val="00F33C68"/>
    <w:rsid w:val="00F33DDD"/>
    <w:rsid w:val="00F3439C"/>
    <w:rsid w:val="00F34602"/>
    <w:rsid w:val="00F349DA"/>
    <w:rsid w:val="00F3530C"/>
    <w:rsid w:val="00F35502"/>
    <w:rsid w:val="00F372A6"/>
    <w:rsid w:val="00F37638"/>
    <w:rsid w:val="00F37692"/>
    <w:rsid w:val="00F37BDF"/>
    <w:rsid w:val="00F42167"/>
    <w:rsid w:val="00F42401"/>
    <w:rsid w:val="00F43120"/>
    <w:rsid w:val="00F43C40"/>
    <w:rsid w:val="00F454BD"/>
    <w:rsid w:val="00F45AB1"/>
    <w:rsid w:val="00F472EA"/>
    <w:rsid w:val="00F47436"/>
    <w:rsid w:val="00F50382"/>
    <w:rsid w:val="00F50BE4"/>
    <w:rsid w:val="00F51E53"/>
    <w:rsid w:val="00F52973"/>
    <w:rsid w:val="00F52F81"/>
    <w:rsid w:val="00F536FB"/>
    <w:rsid w:val="00F53F41"/>
    <w:rsid w:val="00F54830"/>
    <w:rsid w:val="00F5560B"/>
    <w:rsid w:val="00F556A1"/>
    <w:rsid w:val="00F568C0"/>
    <w:rsid w:val="00F610F8"/>
    <w:rsid w:val="00F627A9"/>
    <w:rsid w:val="00F62A27"/>
    <w:rsid w:val="00F62FCA"/>
    <w:rsid w:val="00F644F1"/>
    <w:rsid w:val="00F65DF3"/>
    <w:rsid w:val="00F67726"/>
    <w:rsid w:val="00F67773"/>
    <w:rsid w:val="00F67BB4"/>
    <w:rsid w:val="00F719C5"/>
    <w:rsid w:val="00F719EE"/>
    <w:rsid w:val="00F735AC"/>
    <w:rsid w:val="00F751FF"/>
    <w:rsid w:val="00F75F74"/>
    <w:rsid w:val="00F75F84"/>
    <w:rsid w:val="00F77899"/>
    <w:rsid w:val="00F778EE"/>
    <w:rsid w:val="00F77B2F"/>
    <w:rsid w:val="00F77CD2"/>
    <w:rsid w:val="00F80093"/>
    <w:rsid w:val="00F815E8"/>
    <w:rsid w:val="00F8262A"/>
    <w:rsid w:val="00F84BB8"/>
    <w:rsid w:val="00F84D3B"/>
    <w:rsid w:val="00F84D94"/>
    <w:rsid w:val="00F901F0"/>
    <w:rsid w:val="00F902D4"/>
    <w:rsid w:val="00F91535"/>
    <w:rsid w:val="00F91CC1"/>
    <w:rsid w:val="00F922A0"/>
    <w:rsid w:val="00F92DD6"/>
    <w:rsid w:val="00F931F0"/>
    <w:rsid w:val="00F9531F"/>
    <w:rsid w:val="00F97302"/>
    <w:rsid w:val="00F976BE"/>
    <w:rsid w:val="00FA0B08"/>
    <w:rsid w:val="00FA2C49"/>
    <w:rsid w:val="00FA34AE"/>
    <w:rsid w:val="00FA41A0"/>
    <w:rsid w:val="00FA5547"/>
    <w:rsid w:val="00FA63A2"/>
    <w:rsid w:val="00FA7019"/>
    <w:rsid w:val="00FA7236"/>
    <w:rsid w:val="00FA79D3"/>
    <w:rsid w:val="00FA7B98"/>
    <w:rsid w:val="00FA7E38"/>
    <w:rsid w:val="00FB030D"/>
    <w:rsid w:val="00FB0667"/>
    <w:rsid w:val="00FB0D02"/>
    <w:rsid w:val="00FB149B"/>
    <w:rsid w:val="00FB3B69"/>
    <w:rsid w:val="00FB6B38"/>
    <w:rsid w:val="00FB7DB9"/>
    <w:rsid w:val="00FC00F2"/>
    <w:rsid w:val="00FC0ABB"/>
    <w:rsid w:val="00FC0F3D"/>
    <w:rsid w:val="00FC11DA"/>
    <w:rsid w:val="00FC575E"/>
    <w:rsid w:val="00FC5775"/>
    <w:rsid w:val="00FC71A9"/>
    <w:rsid w:val="00FC730C"/>
    <w:rsid w:val="00FC74BB"/>
    <w:rsid w:val="00FC7B8C"/>
    <w:rsid w:val="00FC7E17"/>
    <w:rsid w:val="00FD2F90"/>
    <w:rsid w:val="00FD3BD0"/>
    <w:rsid w:val="00FD43F8"/>
    <w:rsid w:val="00FD4667"/>
    <w:rsid w:val="00FD506B"/>
    <w:rsid w:val="00FD51C5"/>
    <w:rsid w:val="00FD5557"/>
    <w:rsid w:val="00FD6F64"/>
    <w:rsid w:val="00FE12CC"/>
    <w:rsid w:val="00FE18D1"/>
    <w:rsid w:val="00FE228C"/>
    <w:rsid w:val="00FE2D36"/>
    <w:rsid w:val="00FE2F59"/>
    <w:rsid w:val="00FE4AFD"/>
    <w:rsid w:val="00FE4DF8"/>
    <w:rsid w:val="00FE5C53"/>
    <w:rsid w:val="00FE640C"/>
    <w:rsid w:val="00FE74E8"/>
    <w:rsid w:val="00FE791C"/>
    <w:rsid w:val="00FF1428"/>
    <w:rsid w:val="00FF2320"/>
    <w:rsid w:val="00FF2AEB"/>
    <w:rsid w:val="00FF3AFA"/>
    <w:rsid w:val="00FF4D6A"/>
    <w:rsid w:val="00FF5D89"/>
    <w:rsid w:val="00FF6159"/>
    <w:rsid w:val="00FF7CDF"/>
    <w:rsid w:val="00FF7D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5"/>
        <o:r id="V:Rule2" type="connector"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57"/>
    <w:pPr>
      <w:spacing w:after="0" w:line="360" w:lineRule="auto"/>
      <w:jc w:val="both"/>
    </w:pPr>
    <w:rPr>
      <w:rFonts w:ascii="Arial" w:hAnsi="Arial"/>
      <w:sz w:val="20"/>
    </w:rPr>
  </w:style>
  <w:style w:type="paragraph" w:styleId="Ttulo1">
    <w:name w:val="heading 1"/>
    <w:basedOn w:val="Normal"/>
    <w:next w:val="Normal"/>
    <w:link w:val="Ttulo1Car"/>
    <w:qFormat/>
    <w:rsid w:val="0097064F"/>
    <w:pPr>
      <w:keepNext/>
      <w:widowControl w:val="0"/>
      <w:tabs>
        <w:tab w:val="left" w:pos="227"/>
      </w:tabs>
      <w:spacing w:line="240" w:lineRule="auto"/>
      <w:ind w:left="227" w:hanging="227"/>
      <w:outlineLvl w:val="0"/>
    </w:pPr>
    <w:rPr>
      <w:rFonts w:eastAsia="Times New Roman" w:cs="Times New Roman"/>
      <w:b/>
      <w:snapToGrid w:val="0"/>
      <w:sz w:val="28"/>
      <w:szCs w:val="20"/>
      <w:lang w:eastAsia="es-ES"/>
    </w:rPr>
  </w:style>
  <w:style w:type="paragraph" w:styleId="Ttulo2">
    <w:name w:val="heading 2"/>
    <w:basedOn w:val="Normal"/>
    <w:next w:val="Normal"/>
    <w:link w:val="Ttulo2Car"/>
    <w:qFormat/>
    <w:rsid w:val="00022DE2"/>
    <w:pPr>
      <w:keepNext/>
      <w:widowControl w:val="0"/>
      <w:spacing w:line="312" w:lineRule="auto"/>
      <w:outlineLvl w:val="1"/>
    </w:pPr>
    <w:rPr>
      <w:rFonts w:eastAsia="Times New Roman" w:cs="Times New Roman"/>
      <w:b/>
      <w:snapToGrid w:val="0"/>
      <w:sz w:val="24"/>
      <w:szCs w:val="20"/>
      <w:lang w:val="es-ES_tradnl" w:eastAsia="es-ES"/>
    </w:rPr>
  </w:style>
  <w:style w:type="paragraph" w:styleId="Ttulo3">
    <w:name w:val="heading 3"/>
    <w:basedOn w:val="Normal"/>
    <w:next w:val="Normal"/>
    <w:link w:val="Ttulo3Car"/>
    <w:qFormat/>
    <w:rsid w:val="009F3D7E"/>
    <w:pPr>
      <w:keepNext/>
      <w:spacing w:line="240" w:lineRule="auto"/>
      <w:outlineLvl w:val="2"/>
    </w:pPr>
    <w:rPr>
      <w:rFonts w:eastAsia="Times New Roman" w:cs="Times New Roman"/>
      <w:b/>
      <w:sz w:val="22"/>
      <w:szCs w:val="20"/>
      <w:lang w:val="es-ES_tradnl" w:eastAsia="es-ES"/>
    </w:rPr>
  </w:style>
  <w:style w:type="paragraph" w:styleId="Ttulo4">
    <w:name w:val="heading 4"/>
    <w:aliases w:val="Título 4 Car Car,Título 4 Car Car Car1,no vale 2 Car,no vale 2,Heading 4 Char,Numbered - 4,lowest level"/>
    <w:basedOn w:val="Normal"/>
    <w:next w:val="Normal"/>
    <w:link w:val="Ttulo4Car"/>
    <w:qFormat/>
    <w:rsid w:val="00A20D15"/>
    <w:pPr>
      <w:keepNext/>
      <w:spacing w:line="312" w:lineRule="auto"/>
      <w:jc w:val="center"/>
      <w:outlineLvl w:val="3"/>
    </w:pPr>
    <w:rPr>
      <w:rFonts w:ascii="Arial Narrow" w:eastAsia="Times New Roman" w:hAnsi="Arial Narrow" w:cs="Times New Roman"/>
      <w:b/>
      <w:i/>
      <w:sz w:val="30"/>
      <w:szCs w:val="20"/>
      <w:lang w:eastAsia="es-ES"/>
    </w:rPr>
  </w:style>
  <w:style w:type="paragraph" w:styleId="Ttulo5">
    <w:name w:val="heading 5"/>
    <w:basedOn w:val="Normal"/>
    <w:next w:val="Normal"/>
    <w:link w:val="Ttulo5Car"/>
    <w:qFormat/>
    <w:rsid w:val="00A20D15"/>
    <w:pPr>
      <w:keepNext/>
      <w:widowControl w:val="0"/>
      <w:spacing w:line="240" w:lineRule="auto"/>
      <w:ind w:left="584"/>
      <w:outlineLvl w:val="4"/>
    </w:pPr>
    <w:rPr>
      <w:rFonts w:ascii="Arial Narrow" w:eastAsia="Times New Roman" w:hAnsi="Arial Narrow" w:cs="Times New Roman"/>
      <w:b/>
      <w:snapToGrid w:val="0"/>
      <w:sz w:val="17"/>
      <w:szCs w:val="20"/>
      <w:lang w:eastAsia="es-ES"/>
    </w:rPr>
  </w:style>
  <w:style w:type="paragraph" w:styleId="Ttulo6">
    <w:name w:val="heading 6"/>
    <w:basedOn w:val="Normal"/>
    <w:next w:val="Normal"/>
    <w:link w:val="Ttulo6Car"/>
    <w:qFormat/>
    <w:rsid w:val="00A20D15"/>
    <w:pPr>
      <w:keepNext/>
      <w:spacing w:line="312" w:lineRule="auto"/>
      <w:outlineLvl w:val="5"/>
    </w:pPr>
    <w:rPr>
      <w:rFonts w:ascii="Arial Narrow" w:eastAsia="Times New Roman" w:hAnsi="Arial Narrow" w:cs="Times New Roman"/>
      <w:b/>
      <w:sz w:val="18"/>
      <w:szCs w:val="20"/>
      <w:lang w:val="es-ES_tradnl" w:eastAsia="es-ES"/>
    </w:rPr>
  </w:style>
  <w:style w:type="paragraph" w:styleId="Ttulo7">
    <w:name w:val="heading 7"/>
    <w:basedOn w:val="Normal"/>
    <w:next w:val="Normal"/>
    <w:link w:val="Ttulo7Car"/>
    <w:qFormat/>
    <w:rsid w:val="00A20D15"/>
    <w:pPr>
      <w:keepNext/>
      <w:spacing w:line="312" w:lineRule="auto"/>
      <w:jc w:val="center"/>
      <w:outlineLvl w:val="6"/>
    </w:pPr>
    <w:rPr>
      <w:rFonts w:ascii="Arial Narrow" w:eastAsia="Times New Roman" w:hAnsi="Arial Narrow" w:cs="Times New Roman"/>
      <w:b/>
      <w:snapToGrid w:val="0"/>
      <w:color w:val="000000"/>
      <w:szCs w:val="20"/>
      <w:lang w:eastAsia="es-ES"/>
    </w:rPr>
  </w:style>
  <w:style w:type="paragraph" w:styleId="Ttulo8">
    <w:name w:val="heading 8"/>
    <w:basedOn w:val="Normal"/>
    <w:next w:val="Normal"/>
    <w:link w:val="Ttulo8Car"/>
    <w:qFormat/>
    <w:rsid w:val="00A20D15"/>
    <w:pPr>
      <w:keepNext/>
      <w:widowControl w:val="0"/>
      <w:spacing w:line="240" w:lineRule="auto"/>
      <w:outlineLvl w:val="7"/>
    </w:pPr>
    <w:rPr>
      <w:rFonts w:ascii="CG Times" w:eastAsia="Times New Roman" w:hAnsi="CG Times" w:cs="Times New Roman"/>
      <w:b/>
      <w:snapToGrid w:val="0"/>
      <w:sz w:val="17"/>
      <w:szCs w:val="20"/>
      <w:lang w:eastAsia="es-ES"/>
    </w:rPr>
  </w:style>
  <w:style w:type="paragraph" w:styleId="Ttulo9">
    <w:name w:val="heading 9"/>
    <w:basedOn w:val="Normal"/>
    <w:next w:val="Normal"/>
    <w:link w:val="Ttulo9Car"/>
    <w:qFormat/>
    <w:rsid w:val="00A20D15"/>
    <w:pPr>
      <w:keepNext/>
      <w:widowControl w:val="0"/>
      <w:tabs>
        <w:tab w:val="left" w:pos="426"/>
        <w:tab w:val="left" w:pos="993"/>
        <w:tab w:val="left" w:pos="1276"/>
        <w:tab w:val="left" w:pos="1701"/>
        <w:tab w:val="right" w:leader="dot" w:pos="8505"/>
      </w:tabs>
      <w:spacing w:line="312" w:lineRule="auto"/>
      <w:outlineLvl w:val="8"/>
    </w:pPr>
    <w:rPr>
      <w:rFonts w:ascii="Arial Narrow" w:eastAsia="Times New Roman" w:hAnsi="Arial Narrow" w:cs="Times New Roman"/>
      <w:b/>
      <w:i/>
      <w:snapToGrid w:val="0"/>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7064F"/>
    <w:rPr>
      <w:rFonts w:ascii="Arial" w:eastAsia="Times New Roman" w:hAnsi="Arial" w:cs="Times New Roman"/>
      <w:b/>
      <w:snapToGrid w:val="0"/>
      <w:sz w:val="28"/>
      <w:szCs w:val="20"/>
      <w:lang w:eastAsia="es-ES"/>
    </w:rPr>
  </w:style>
  <w:style w:type="character" w:customStyle="1" w:styleId="Ttulo2Car">
    <w:name w:val="Título 2 Car"/>
    <w:basedOn w:val="Fuentedeprrafopredeter"/>
    <w:link w:val="Ttulo2"/>
    <w:rsid w:val="00022DE2"/>
    <w:rPr>
      <w:rFonts w:ascii="Arial" w:eastAsia="Times New Roman" w:hAnsi="Arial" w:cs="Times New Roman"/>
      <w:b/>
      <w:snapToGrid w:val="0"/>
      <w:sz w:val="24"/>
      <w:szCs w:val="20"/>
      <w:lang w:val="es-ES_tradnl" w:eastAsia="es-ES"/>
    </w:rPr>
  </w:style>
  <w:style w:type="character" w:customStyle="1" w:styleId="Ttulo3Car">
    <w:name w:val="Título 3 Car"/>
    <w:basedOn w:val="Fuentedeprrafopredeter"/>
    <w:link w:val="Ttulo3"/>
    <w:rsid w:val="009F3D7E"/>
    <w:rPr>
      <w:rFonts w:ascii="Arial" w:eastAsia="Times New Roman" w:hAnsi="Arial" w:cs="Times New Roman"/>
      <w:b/>
      <w:szCs w:val="20"/>
      <w:lang w:val="es-ES_tradnl" w:eastAsia="es-ES"/>
    </w:rPr>
  </w:style>
  <w:style w:type="character" w:customStyle="1" w:styleId="Ttulo4Car">
    <w:name w:val="Título 4 Car"/>
    <w:aliases w:val="Título 4 Car Car Car,Título 4 Car Car Car1 Car,no vale 2 Car Car,no vale 2 Car1,Heading 4 Char Car,Numbered - 4 Car,lowest level Car"/>
    <w:basedOn w:val="Fuentedeprrafopredeter"/>
    <w:link w:val="Ttulo4"/>
    <w:rsid w:val="00A20D15"/>
    <w:rPr>
      <w:rFonts w:ascii="Arial Narrow" w:eastAsia="Times New Roman" w:hAnsi="Arial Narrow" w:cs="Times New Roman"/>
      <w:b/>
      <w:i/>
      <w:sz w:val="30"/>
      <w:szCs w:val="20"/>
      <w:lang w:eastAsia="es-ES"/>
    </w:rPr>
  </w:style>
  <w:style w:type="character" w:customStyle="1" w:styleId="Ttulo5Car">
    <w:name w:val="Título 5 Car"/>
    <w:basedOn w:val="Fuentedeprrafopredeter"/>
    <w:link w:val="Ttulo5"/>
    <w:rsid w:val="00A20D15"/>
    <w:rPr>
      <w:rFonts w:ascii="Arial Narrow" w:eastAsia="Times New Roman" w:hAnsi="Arial Narrow" w:cs="Times New Roman"/>
      <w:b/>
      <w:snapToGrid w:val="0"/>
      <w:sz w:val="17"/>
      <w:szCs w:val="20"/>
      <w:lang w:eastAsia="es-ES"/>
    </w:rPr>
  </w:style>
  <w:style w:type="character" w:customStyle="1" w:styleId="Ttulo6Car">
    <w:name w:val="Título 6 Car"/>
    <w:basedOn w:val="Fuentedeprrafopredeter"/>
    <w:link w:val="Ttulo6"/>
    <w:rsid w:val="00A20D15"/>
    <w:rPr>
      <w:rFonts w:ascii="Arial Narrow" w:eastAsia="Times New Roman" w:hAnsi="Arial Narrow" w:cs="Times New Roman"/>
      <w:b/>
      <w:sz w:val="18"/>
      <w:szCs w:val="20"/>
      <w:lang w:val="es-ES_tradnl" w:eastAsia="es-ES"/>
    </w:rPr>
  </w:style>
  <w:style w:type="character" w:customStyle="1" w:styleId="Ttulo7Car">
    <w:name w:val="Título 7 Car"/>
    <w:basedOn w:val="Fuentedeprrafopredeter"/>
    <w:link w:val="Ttulo7"/>
    <w:rsid w:val="00A20D15"/>
    <w:rPr>
      <w:rFonts w:ascii="Arial Narrow" w:eastAsia="Times New Roman" w:hAnsi="Arial Narrow" w:cs="Times New Roman"/>
      <w:b/>
      <w:snapToGrid w:val="0"/>
      <w:color w:val="000000"/>
      <w:sz w:val="20"/>
      <w:szCs w:val="20"/>
      <w:lang w:eastAsia="es-ES"/>
    </w:rPr>
  </w:style>
  <w:style w:type="character" w:customStyle="1" w:styleId="Ttulo8Car">
    <w:name w:val="Título 8 Car"/>
    <w:basedOn w:val="Fuentedeprrafopredeter"/>
    <w:link w:val="Ttulo8"/>
    <w:rsid w:val="00A20D15"/>
    <w:rPr>
      <w:rFonts w:ascii="CG Times" w:eastAsia="Times New Roman" w:hAnsi="CG Times" w:cs="Times New Roman"/>
      <w:b/>
      <w:snapToGrid w:val="0"/>
      <w:sz w:val="17"/>
      <w:szCs w:val="20"/>
      <w:lang w:eastAsia="es-ES"/>
    </w:rPr>
  </w:style>
  <w:style w:type="character" w:customStyle="1" w:styleId="Ttulo9Car">
    <w:name w:val="Título 9 Car"/>
    <w:basedOn w:val="Fuentedeprrafopredeter"/>
    <w:link w:val="Ttulo9"/>
    <w:rsid w:val="00A20D15"/>
    <w:rPr>
      <w:rFonts w:ascii="Arial Narrow" w:eastAsia="Times New Roman" w:hAnsi="Arial Narrow" w:cs="Times New Roman"/>
      <w:b/>
      <w:i/>
      <w:snapToGrid w:val="0"/>
      <w:sz w:val="26"/>
      <w:szCs w:val="20"/>
      <w:lang w:val="es-ES_tradnl" w:eastAsia="es-ES"/>
    </w:rPr>
  </w:style>
  <w:style w:type="paragraph" w:styleId="Prrafodelista">
    <w:name w:val="List Paragraph"/>
    <w:basedOn w:val="Normal"/>
    <w:link w:val="PrrafodelistaCar"/>
    <w:qFormat/>
    <w:rsid w:val="00A20D15"/>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rsid w:val="00A20D15"/>
    <w:pPr>
      <w:spacing w:line="240" w:lineRule="auto"/>
    </w:pPr>
    <w:rPr>
      <w:rFonts w:ascii="CG Times" w:eastAsia="Times New Roman" w:hAnsi="CG Times" w:cs="Times New Roman"/>
      <w:sz w:val="26"/>
      <w:szCs w:val="20"/>
      <w:lang w:eastAsia="es-ES"/>
    </w:rPr>
  </w:style>
  <w:style w:type="character" w:customStyle="1" w:styleId="TextoindependienteCar">
    <w:name w:val="Texto independiente Car"/>
    <w:basedOn w:val="Fuentedeprrafopredeter"/>
    <w:link w:val="Textoindependiente"/>
    <w:rsid w:val="00A20D15"/>
    <w:rPr>
      <w:rFonts w:ascii="CG Times" w:eastAsia="Times New Roman" w:hAnsi="CG Times" w:cs="Times New Roman"/>
      <w:sz w:val="26"/>
      <w:szCs w:val="20"/>
      <w:lang w:eastAsia="es-ES"/>
    </w:rPr>
  </w:style>
  <w:style w:type="paragraph" w:styleId="Encabezado">
    <w:name w:val="header"/>
    <w:basedOn w:val="Normal"/>
    <w:link w:val="EncabezadoCar"/>
    <w:uiPriority w:val="99"/>
    <w:unhideWhenUsed/>
    <w:rsid w:val="00A20D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20D15"/>
  </w:style>
  <w:style w:type="paragraph" w:styleId="Piedepgina">
    <w:name w:val="footer"/>
    <w:basedOn w:val="Normal"/>
    <w:link w:val="PiedepginaCar"/>
    <w:uiPriority w:val="99"/>
    <w:unhideWhenUsed/>
    <w:rsid w:val="00A20D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20D15"/>
  </w:style>
  <w:style w:type="paragraph" w:styleId="Textoindependiente2">
    <w:name w:val="Body Text 2"/>
    <w:basedOn w:val="Normal"/>
    <w:link w:val="Textoindependiente2Car"/>
    <w:unhideWhenUsed/>
    <w:rsid w:val="00A20D15"/>
    <w:pPr>
      <w:spacing w:after="120" w:line="480" w:lineRule="auto"/>
    </w:pPr>
  </w:style>
  <w:style w:type="character" w:customStyle="1" w:styleId="Textoindependiente2Car">
    <w:name w:val="Texto independiente 2 Car"/>
    <w:basedOn w:val="Fuentedeprrafopredeter"/>
    <w:link w:val="Textoindependiente2"/>
    <w:rsid w:val="00A20D15"/>
  </w:style>
  <w:style w:type="character" w:customStyle="1" w:styleId="TextonotapieCar">
    <w:name w:val="Texto nota pie Car"/>
    <w:basedOn w:val="Fuentedeprrafopredeter"/>
    <w:link w:val="Textonotapie"/>
    <w:semiHidden/>
    <w:rsid w:val="00A20D15"/>
    <w:rPr>
      <w:rFonts w:ascii="CG Times" w:eastAsia="Times New Roman" w:hAnsi="CG Times" w:cs="Times New Roman"/>
      <w:snapToGrid w:val="0"/>
      <w:sz w:val="20"/>
      <w:szCs w:val="20"/>
      <w:lang w:val="es-ES_tradnl" w:eastAsia="es-ES"/>
    </w:rPr>
  </w:style>
  <w:style w:type="paragraph" w:styleId="Textonotapie">
    <w:name w:val="footnote text"/>
    <w:basedOn w:val="Normal"/>
    <w:link w:val="TextonotapieCar"/>
    <w:semiHidden/>
    <w:rsid w:val="00A20D15"/>
    <w:pPr>
      <w:widowControl w:val="0"/>
      <w:spacing w:line="240" w:lineRule="auto"/>
    </w:pPr>
    <w:rPr>
      <w:rFonts w:ascii="CG Times" w:eastAsia="Times New Roman" w:hAnsi="CG Times" w:cs="Times New Roman"/>
      <w:snapToGrid w:val="0"/>
      <w:szCs w:val="20"/>
      <w:lang w:val="es-ES_tradnl" w:eastAsia="es-ES"/>
    </w:rPr>
  </w:style>
  <w:style w:type="character" w:customStyle="1" w:styleId="TextonotapieCar1">
    <w:name w:val="Texto nota pie Car1"/>
    <w:basedOn w:val="Fuentedeprrafopredeter"/>
    <w:semiHidden/>
    <w:rsid w:val="00A20D15"/>
    <w:rPr>
      <w:sz w:val="20"/>
      <w:szCs w:val="20"/>
    </w:rPr>
  </w:style>
  <w:style w:type="paragraph" w:customStyle="1" w:styleId="ARIALNARROW">
    <w:name w:val="ARIAL NARROW"/>
    <w:basedOn w:val="Normal"/>
    <w:rsid w:val="00A20D15"/>
    <w:pPr>
      <w:spacing w:line="312" w:lineRule="auto"/>
    </w:pPr>
    <w:rPr>
      <w:rFonts w:eastAsia="Times New Roman" w:cs="Arial"/>
      <w:szCs w:val="20"/>
      <w:lang w:val="es-ES_tradnl" w:eastAsia="es-ES"/>
    </w:rPr>
  </w:style>
  <w:style w:type="paragraph" w:styleId="Sangradetextonormal">
    <w:name w:val="Body Text Indent"/>
    <w:basedOn w:val="Normal"/>
    <w:link w:val="SangradetextonormalCar"/>
    <w:rsid w:val="00A20D15"/>
    <w:pPr>
      <w:spacing w:line="312" w:lineRule="auto"/>
      <w:ind w:firstLine="708"/>
    </w:pPr>
    <w:rPr>
      <w:rFonts w:ascii="Arial Narrow" w:eastAsia="Times New Roman" w:hAnsi="Arial Narrow" w:cs="Times New Roman"/>
      <w:sz w:val="26"/>
      <w:szCs w:val="20"/>
      <w:lang w:eastAsia="es-ES"/>
    </w:rPr>
  </w:style>
  <w:style w:type="character" w:customStyle="1" w:styleId="SangradetextonormalCar">
    <w:name w:val="Sangría de texto normal Car"/>
    <w:basedOn w:val="Fuentedeprrafopredeter"/>
    <w:link w:val="Sangradetextonormal"/>
    <w:rsid w:val="00A20D15"/>
    <w:rPr>
      <w:rFonts w:ascii="Arial Narrow" w:eastAsia="Times New Roman" w:hAnsi="Arial Narrow" w:cs="Times New Roman"/>
      <w:sz w:val="26"/>
      <w:szCs w:val="20"/>
      <w:lang w:eastAsia="es-ES"/>
    </w:rPr>
  </w:style>
  <w:style w:type="paragraph" w:styleId="Sangra2detindependiente">
    <w:name w:val="Body Text Indent 2"/>
    <w:basedOn w:val="Normal"/>
    <w:link w:val="Sangra2detindependienteCar"/>
    <w:rsid w:val="00A20D15"/>
    <w:pPr>
      <w:spacing w:line="240" w:lineRule="auto"/>
      <w:ind w:left="584" w:hanging="584"/>
    </w:pPr>
    <w:rPr>
      <w:rFonts w:ascii="Arial Black" w:eastAsia="Times New Roman" w:hAnsi="Arial Black" w:cs="Times New Roman"/>
      <w:sz w:val="14"/>
      <w:szCs w:val="20"/>
      <w:lang w:eastAsia="es-ES"/>
    </w:rPr>
  </w:style>
  <w:style w:type="character" w:customStyle="1" w:styleId="Sangra2detindependienteCar">
    <w:name w:val="Sangría 2 de t. independiente Car"/>
    <w:basedOn w:val="Fuentedeprrafopredeter"/>
    <w:link w:val="Sangra2detindependiente"/>
    <w:rsid w:val="00A20D15"/>
    <w:rPr>
      <w:rFonts w:ascii="Arial Black" w:eastAsia="Times New Roman" w:hAnsi="Arial Black" w:cs="Times New Roman"/>
      <w:sz w:val="14"/>
      <w:szCs w:val="20"/>
      <w:lang w:eastAsia="es-ES"/>
    </w:rPr>
  </w:style>
  <w:style w:type="paragraph" w:styleId="Textoindependiente3">
    <w:name w:val="Body Text 3"/>
    <w:basedOn w:val="Normal"/>
    <w:link w:val="Textoindependiente3Car"/>
    <w:rsid w:val="00A20D15"/>
    <w:pPr>
      <w:spacing w:line="240" w:lineRule="auto"/>
      <w:jc w:val="center"/>
    </w:pPr>
    <w:rPr>
      <w:rFonts w:ascii="Arial Black" w:eastAsia="Times New Roman" w:hAnsi="Arial Black" w:cs="Times New Roman"/>
      <w:sz w:val="16"/>
      <w:szCs w:val="20"/>
      <w:lang w:eastAsia="es-ES"/>
    </w:rPr>
  </w:style>
  <w:style w:type="character" w:customStyle="1" w:styleId="Textoindependiente3Car">
    <w:name w:val="Texto independiente 3 Car"/>
    <w:basedOn w:val="Fuentedeprrafopredeter"/>
    <w:link w:val="Textoindependiente3"/>
    <w:rsid w:val="00A20D15"/>
    <w:rPr>
      <w:rFonts w:ascii="Arial Black" w:eastAsia="Times New Roman" w:hAnsi="Arial Black" w:cs="Times New Roman"/>
      <w:sz w:val="16"/>
      <w:szCs w:val="20"/>
      <w:lang w:eastAsia="es-ES"/>
    </w:rPr>
  </w:style>
  <w:style w:type="character" w:styleId="Nmerodepgina">
    <w:name w:val="page number"/>
    <w:basedOn w:val="Fuentedeprrafopredeter"/>
    <w:rsid w:val="00A20D15"/>
  </w:style>
  <w:style w:type="paragraph" w:styleId="Sangra3detindependiente">
    <w:name w:val="Body Text Indent 3"/>
    <w:basedOn w:val="Normal"/>
    <w:link w:val="Sangra3detindependienteCar"/>
    <w:rsid w:val="00A20D15"/>
    <w:pPr>
      <w:spacing w:line="312" w:lineRule="auto"/>
      <w:ind w:firstLine="705"/>
    </w:pPr>
    <w:rPr>
      <w:rFonts w:ascii="Arial Narrow" w:eastAsia="Times New Roman" w:hAnsi="Arial Narrow" w:cs="Times New Roman"/>
      <w:sz w:val="26"/>
      <w:szCs w:val="20"/>
      <w:lang w:eastAsia="es-ES"/>
    </w:rPr>
  </w:style>
  <w:style w:type="character" w:customStyle="1" w:styleId="Sangra3detindependienteCar">
    <w:name w:val="Sangría 3 de t. independiente Car"/>
    <w:basedOn w:val="Fuentedeprrafopredeter"/>
    <w:link w:val="Sangra3detindependiente"/>
    <w:rsid w:val="00A20D15"/>
    <w:rPr>
      <w:rFonts w:ascii="Arial Narrow" w:eastAsia="Times New Roman" w:hAnsi="Arial Narrow" w:cs="Times New Roman"/>
      <w:sz w:val="26"/>
      <w:szCs w:val="20"/>
      <w:lang w:eastAsia="es-ES"/>
    </w:rPr>
  </w:style>
  <w:style w:type="paragraph" w:customStyle="1" w:styleId="Rpido1">
    <w:name w:val="Rápido 1."/>
    <w:basedOn w:val="Normal"/>
    <w:rsid w:val="00A20D15"/>
    <w:pPr>
      <w:widowControl w:val="0"/>
      <w:spacing w:line="240" w:lineRule="auto"/>
      <w:ind w:left="584" w:hanging="584"/>
    </w:pPr>
    <w:rPr>
      <w:rFonts w:ascii="Zurich Cn BT" w:eastAsia="Times New Roman" w:hAnsi="Zurich Cn BT" w:cs="Times New Roman"/>
      <w:snapToGrid w:val="0"/>
      <w:sz w:val="24"/>
      <w:szCs w:val="20"/>
      <w:lang w:val="en-US" w:eastAsia="es-ES"/>
    </w:rPr>
  </w:style>
  <w:style w:type="paragraph" w:customStyle="1" w:styleId="Rpidoa">
    <w:name w:val="Rápido a)"/>
    <w:basedOn w:val="Normal"/>
    <w:rsid w:val="00A20D15"/>
    <w:pPr>
      <w:widowControl w:val="0"/>
      <w:numPr>
        <w:numId w:val="2"/>
      </w:numPr>
      <w:spacing w:line="240" w:lineRule="auto"/>
      <w:ind w:left="554" w:hanging="554"/>
    </w:pPr>
    <w:rPr>
      <w:rFonts w:ascii="Zurich Cn BT" w:eastAsia="Times New Roman" w:hAnsi="Zurich Cn BT" w:cs="Times New Roman"/>
      <w:snapToGrid w:val="0"/>
      <w:sz w:val="24"/>
      <w:szCs w:val="20"/>
      <w:lang w:val="en-US" w:eastAsia="es-ES"/>
    </w:rPr>
  </w:style>
  <w:style w:type="paragraph" w:styleId="Listaconvietas">
    <w:name w:val="List Bullet"/>
    <w:basedOn w:val="Normal"/>
    <w:autoRedefine/>
    <w:rsid w:val="00A20D15"/>
    <w:pPr>
      <w:widowControl w:val="0"/>
      <w:numPr>
        <w:numId w:val="1"/>
      </w:numPr>
      <w:spacing w:line="240" w:lineRule="auto"/>
    </w:pPr>
    <w:rPr>
      <w:rFonts w:ascii="Zurich Cn BT" w:eastAsia="Times New Roman" w:hAnsi="Zurich Cn BT" w:cs="Times New Roman"/>
      <w:snapToGrid w:val="0"/>
      <w:sz w:val="24"/>
      <w:szCs w:val="20"/>
      <w:lang w:val="en-US" w:eastAsia="es-ES"/>
    </w:rPr>
  </w:style>
  <w:style w:type="character" w:customStyle="1" w:styleId="TextodegloboCar">
    <w:name w:val="Texto de globo Car"/>
    <w:basedOn w:val="Fuentedeprrafopredeter"/>
    <w:link w:val="Textodeglobo"/>
    <w:uiPriority w:val="99"/>
    <w:semiHidden/>
    <w:rsid w:val="00A20D15"/>
    <w:rPr>
      <w:rFonts w:ascii="Tahoma" w:eastAsia="Times New Roman" w:hAnsi="Tahoma" w:cs="Tahoma"/>
      <w:sz w:val="16"/>
      <w:szCs w:val="16"/>
      <w:lang w:eastAsia="es-ES"/>
    </w:rPr>
  </w:style>
  <w:style w:type="paragraph" w:styleId="Textodeglobo">
    <w:name w:val="Balloon Text"/>
    <w:basedOn w:val="Normal"/>
    <w:link w:val="TextodegloboCar"/>
    <w:uiPriority w:val="99"/>
    <w:semiHidden/>
    <w:rsid w:val="00A20D15"/>
    <w:pPr>
      <w:spacing w:line="312" w:lineRule="auto"/>
    </w:pPr>
    <w:rPr>
      <w:rFonts w:ascii="Tahoma" w:eastAsia="Times New Roman" w:hAnsi="Tahoma" w:cs="Tahoma"/>
      <w:sz w:val="16"/>
      <w:szCs w:val="16"/>
      <w:lang w:eastAsia="es-ES"/>
    </w:rPr>
  </w:style>
  <w:style w:type="character" w:customStyle="1" w:styleId="TextodegloboCar1">
    <w:name w:val="Texto de globo Car1"/>
    <w:basedOn w:val="Fuentedeprrafopredeter"/>
    <w:uiPriority w:val="99"/>
    <w:semiHidden/>
    <w:rsid w:val="00A20D15"/>
    <w:rPr>
      <w:rFonts w:ascii="Tahoma" w:hAnsi="Tahoma" w:cs="Tahoma"/>
      <w:sz w:val="16"/>
      <w:szCs w:val="16"/>
    </w:rPr>
  </w:style>
  <w:style w:type="paragraph" w:customStyle="1" w:styleId="LUIKI">
    <w:name w:val="LUIKI"/>
    <w:basedOn w:val="Normal"/>
    <w:rsid w:val="00A20D15"/>
    <w:pPr>
      <w:tabs>
        <w:tab w:val="left" w:pos="426"/>
        <w:tab w:val="left" w:pos="851"/>
        <w:tab w:val="left" w:pos="1276"/>
        <w:tab w:val="left" w:pos="1701"/>
        <w:tab w:val="left" w:pos="2127"/>
        <w:tab w:val="left" w:leader="dot" w:pos="2552"/>
        <w:tab w:val="left" w:pos="2977"/>
        <w:tab w:val="left" w:pos="3402"/>
        <w:tab w:val="left" w:pos="3828"/>
        <w:tab w:val="left" w:pos="4253"/>
      </w:tabs>
      <w:spacing w:line="240" w:lineRule="auto"/>
    </w:pPr>
    <w:rPr>
      <w:rFonts w:eastAsia="Times New Roman" w:cs="Times New Roman"/>
      <w:szCs w:val="20"/>
      <w:lang w:val="es-ES_tradnl" w:eastAsia="es-ES_tradnl"/>
    </w:rPr>
  </w:style>
  <w:style w:type="paragraph" w:styleId="NormalWeb">
    <w:name w:val="Normal (Web)"/>
    <w:basedOn w:val="Normal"/>
    <w:uiPriority w:val="99"/>
    <w:rsid w:val="00A20D15"/>
    <w:pPr>
      <w:spacing w:before="100" w:beforeAutospacing="1" w:after="240" w:line="240" w:lineRule="auto"/>
    </w:pPr>
    <w:rPr>
      <w:rFonts w:ascii="Times New Roman" w:eastAsia="Times New Roman" w:hAnsi="Times New Roman" w:cs="Times New Roman"/>
      <w:sz w:val="34"/>
      <w:szCs w:val="34"/>
      <w:lang w:eastAsia="es-ES"/>
    </w:rPr>
  </w:style>
  <w:style w:type="character" w:customStyle="1" w:styleId="TextocomentarioCar">
    <w:name w:val="Texto comentario Car"/>
    <w:basedOn w:val="Fuentedeprrafopredeter"/>
    <w:link w:val="Textocomentario"/>
    <w:semiHidden/>
    <w:rsid w:val="00A20D15"/>
    <w:rPr>
      <w:rFonts w:ascii="Arial Narrow" w:eastAsia="Times New Roman" w:hAnsi="Arial Narrow" w:cs="Times New Roman"/>
      <w:sz w:val="20"/>
      <w:szCs w:val="20"/>
      <w:lang w:eastAsia="es-ES"/>
    </w:rPr>
  </w:style>
  <w:style w:type="paragraph" w:styleId="Textocomentario">
    <w:name w:val="annotation text"/>
    <w:basedOn w:val="Normal"/>
    <w:link w:val="TextocomentarioCar"/>
    <w:semiHidden/>
    <w:rsid w:val="00A20D15"/>
    <w:pPr>
      <w:spacing w:line="312" w:lineRule="auto"/>
    </w:pPr>
    <w:rPr>
      <w:rFonts w:ascii="Arial Narrow" w:eastAsia="Times New Roman" w:hAnsi="Arial Narrow" w:cs="Times New Roman"/>
      <w:szCs w:val="20"/>
      <w:lang w:eastAsia="es-ES"/>
    </w:rPr>
  </w:style>
  <w:style w:type="character" w:customStyle="1" w:styleId="TextocomentarioCar1">
    <w:name w:val="Texto comentario Car1"/>
    <w:basedOn w:val="Fuentedeprrafopredeter"/>
    <w:uiPriority w:val="99"/>
    <w:semiHidden/>
    <w:rsid w:val="00A20D15"/>
    <w:rPr>
      <w:sz w:val="20"/>
      <w:szCs w:val="20"/>
    </w:rPr>
  </w:style>
  <w:style w:type="character" w:customStyle="1" w:styleId="AsuntodelcomentarioCar">
    <w:name w:val="Asunto del comentario Car"/>
    <w:basedOn w:val="TextocomentarioCar"/>
    <w:link w:val="Asuntodelcomentario"/>
    <w:semiHidden/>
    <w:rsid w:val="00A20D15"/>
    <w:rPr>
      <w:rFonts w:ascii="Arial Narrow" w:eastAsia="Times New Roman" w:hAnsi="Arial Narrow" w:cs="Times New Roman"/>
      <w:b/>
      <w:bCs/>
      <w:sz w:val="20"/>
      <w:szCs w:val="20"/>
      <w:lang w:eastAsia="es-ES"/>
    </w:rPr>
  </w:style>
  <w:style w:type="paragraph" w:styleId="Asuntodelcomentario">
    <w:name w:val="annotation subject"/>
    <w:basedOn w:val="Textocomentario"/>
    <w:next w:val="Textocomentario"/>
    <w:link w:val="AsuntodelcomentarioCar"/>
    <w:semiHidden/>
    <w:rsid w:val="00A20D15"/>
    <w:rPr>
      <w:b/>
      <w:bCs/>
    </w:rPr>
  </w:style>
  <w:style w:type="character" w:customStyle="1" w:styleId="AsuntodelcomentarioCar1">
    <w:name w:val="Asunto del comentario Car1"/>
    <w:basedOn w:val="TextocomentarioCar1"/>
    <w:uiPriority w:val="99"/>
    <w:semiHidden/>
    <w:rsid w:val="00A20D15"/>
    <w:rPr>
      <w:b/>
      <w:bCs/>
      <w:sz w:val="20"/>
      <w:szCs w:val="20"/>
    </w:rPr>
  </w:style>
  <w:style w:type="character" w:customStyle="1" w:styleId="TextonotaalfinalCar">
    <w:name w:val="Texto nota al final Car"/>
    <w:basedOn w:val="Fuentedeprrafopredeter"/>
    <w:link w:val="Textonotaalfinal"/>
    <w:uiPriority w:val="99"/>
    <w:semiHidden/>
    <w:rsid w:val="00A20D15"/>
    <w:rPr>
      <w:rFonts w:ascii="Arial Narrow" w:eastAsia="Times New Roman" w:hAnsi="Arial Narrow" w:cs="Times New Roman"/>
      <w:sz w:val="20"/>
      <w:szCs w:val="20"/>
      <w:lang w:eastAsia="es-ES"/>
    </w:rPr>
  </w:style>
  <w:style w:type="paragraph" w:styleId="Textonotaalfinal">
    <w:name w:val="endnote text"/>
    <w:basedOn w:val="Normal"/>
    <w:link w:val="TextonotaalfinalCar"/>
    <w:uiPriority w:val="99"/>
    <w:semiHidden/>
    <w:unhideWhenUsed/>
    <w:rsid w:val="00A20D15"/>
    <w:pPr>
      <w:spacing w:line="312" w:lineRule="auto"/>
    </w:pPr>
    <w:rPr>
      <w:rFonts w:ascii="Arial Narrow" w:eastAsia="Times New Roman" w:hAnsi="Arial Narrow" w:cs="Times New Roman"/>
      <w:szCs w:val="20"/>
      <w:lang w:eastAsia="es-ES"/>
    </w:rPr>
  </w:style>
  <w:style w:type="character" w:customStyle="1" w:styleId="TextonotaalfinalCar1">
    <w:name w:val="Texto nota al final Car1"/>
    <w:basedOn w:val="Fuentedeprrafopredeter"/>
    <w:uiPriority w:val="99"/>
    <w:semiHidden/>
    <w:rsid w:val="00A20D15"/>
    <w:rPr>
      <w:sz w:val="20"/>
      <w:szCs w:val="20"/>
    </w:rPr>
  </w:style>
  <w:style w:type="character" w:styleId="Textoennegrita">
    <w:name w:val="Strong"/>
    <w:basedOn w:val="Fuentedeprrafopredeter"/>
    <w:uiPriority w:val="22"/>
    <w:qFormat/>
    <w:rsid w:val="00A20D15"/>
    <w:rPr>
      <w:b/>
      <w:bCs/>
    </w:rPr>
  </w:style>
  <w:style w:type="paragraph" w:styleId="Lista">
    <w:name w:val="List"/>
    <w:basedOn w:val="Normal"/>
    <w:uiPriority w:val="99"/>
    <w:unhideWhenUsed/>
    <w:rsid w:val="00A20D15"/>
    <w:pPr>
      <w:spacing w:line="312" w:lineRule="auto"/>
      <w:ind w:left="283" w:hanging="283"/>
      <w:contextualSpacing/>
    </w:pPr>
    <w:rPr>
      <w:rFonts w:ascii="Arial Narrow" w:eastAsia="Times New Roman" w:hAnsi="Arial Narrow" w:cs="Times New Roman"/>
      <w:sz w:val="26"/>
      <w:szCs w:val="20"/>
      <w:lang w:eastAsia="es-ES"/>
    </w:rPr>
  </w:style>
  <w:style w:type="paragraph" w:styleId="Saludo">
    <w:name w:val="Salutation"/>
    <w:basedOn w:val="Normal"/>
    <w:next w:val="Normal"/>
    <w:link w:val="SaludoCar"/>
    <w:uiPriority w:val="99"/>
    <w:unhideWhenUsed/>
    <w:rsid w:val="00A20D15"/>
    <w:pPr>
      <w:spacing w:line="312" w:lineRule="auto"/>
    </w:pPr>
    <w:rPr>
      <w:rFonts w:ascii="Arial Narrow" w:eastAsia="Times New Roman" w:hAnsi="Arial Narrow" w:cs="Times New Roman"/>
      <w:sz w:val="26"/>
      <w:szCs w:val="20"/>
      <w:lang w:eastAsia="es-ES"/>
    </w:rPr>
  </w:style>
  <w:style w:type="character" w:customStyle="1" w:styleId="SaludoCar">
    <w:name w:val="Saludo Car"/>
    <w:basedOn w:val="Fuentedeprrafopredeter"/>
    <w:link w:val="Saludo"/>
    <w:uiPriority w:val="99"/>
    <w:rsid w:val="00A20D15"/>
    <w:rPr>
      <w:rFonts w:ascii="Arial Narrow" w:eastAsia="Times New Roman" w:hAnsi="Arial Narrow" w:cs="Times New Roman"/>
      <w:sz w:val="26"/>
      <w:szCs w:val="20"/>
      <w:lang w:eastAsia="es-ES"/>
    </w:rPr>
  </w:style>
  <w:style w:type="paragraph" w:styleId="Listaconvietas2">
    <w:name w:val="List Bullet 2"/>
    <w:basedOn w:val="Normal"/>
    <w:uiPriority w:val="99"/>
    <w:unhideWhenUsed/>
    <w:rsid w:val="00A20D15"/>
    <w:pPr>
      <w:numPr>
        <w:numId w:val="3"/>
      </w:numPr>
      <w:spacing w:line="312" w:lineRule="auto"/>
      <w:contextualSpacing/>
    </w:pPr>
    <w:rPr>
      <w:rFonts w:ascii="Arial Narrow" w:eastAsia="Times New Roman" w:hAnsi="Arial Narrow" w:cs="Times New Roman"/>
      <w:sz w:val="26"/>
      <w:szCs w:val="20"/>
      <w:lang w:eastAsia="es-ES"/>
    </w:rPr>
  </w:style>
  <w:style w:type="paragraph" w:styleId="Epgrafe">
    <w:name w:val="caption"/>
    <w:basedOn w:val="Normal"/>
    <w:next w:val="Normal"/>
    <w:uiPriority w:val="35"/>
    <w:qFormat/>
    <w:rsid w:val="00A20D15"/>
    <w:pPr>
      <w:spacing w:line="312" w:lineRule="auto"/>
    </w:pPr>
    <w:rPr>
      <w:rFonts w:ascii="Arial Narrow" w:eastAsia="Times New Roman" w:hAnsi="Arial Narrow" w:cs="Times New Roman"/>
      <w:b/>
      <w:bCs/>
      <w:szCs w:val="20"/>
      <w:lang w:eastAsia="es-ES"/>
    </w:rPr>
  </w:style>
  <w:style w:type="paragraph" w:styleId="Ttulo">
    <w:name w:val="Title"/>
    <w:basedOn w:val="Normal"/>
    <w:next w:val="Normal"/>
    <w:link w:val="TtuloCar"/>
    <w:uiPriority w:val="10"/>
    <w:qFormat/>
    <w:rsid w:val="00A20D15"/>
    <w:pPr>
      <w:spacing w:before="240" w:after="60" w:line="312" w:lineRule="auto"/>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uiPriority w:val="10"/>
    <w:rsid w:val="00A20D15"/>
    <w:rPr>
      <w:rFonts w:ascii="Cambria" w:eastAsia="Times New Roman" w:hAnsi="Cambria" w:cs="Times New Roman"/>
      <w:b/>
      <w:bCs/>
      <w:kern w:val="28"/>
      <w:sz w:val="32"/>
      <w:szCs w:val="32"/>
      <w:lang w:eastAsia="es-ES"/>
    </w:rPr>
  </w:style>
  <w:style w:type="paragraph" w:styleId="Subttulo">
    <w:name w:val="Subtitle"/>
    <w:basedOn w:val="Normal"/>
    <w:next w:val="Normal"/>
    <w:link w:val="SubttuloCar"/>
    <w:uiPriority w:val="11"/>
    <w:qFormat/>
    <w:rsid w:val="00A20D15"/>
    <w:pPr>
      <w:spacing w:after="60" w:line="312"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A20D15"/>
    <w:rPr>
      <w:rFonts w:ascii="Cambria" w:eastAsia="Times New Roman" w:hAnsi="Cambria" w:cs="Times New Roman"/>
      <w:sz w:val="24"/>
      <w:szCs w:val="24"/>
      <w:lang w:eastAsia="es-ES"/>
    </w:rPr>
  </w:style>
  <w:style w:type="paragraph" w:customStyle="1" w:styleId="Infodocumentosadjuntos">
    <w:name w:val="Info documentos adjuntos"/>
    <w:basedOn w:val="Normal"/>
    <w:rsid w:val="00A20D15"/>
    <w:pPr>
      <w:spacing w:line="312" w:lineRule="auto"/>
    </w:pPr>
    <w:rPr>
      <w:rFonts w:ascii="Arial Narrow" w:eastAsia="Times New Roman" w:hAnsi="Arial Narrow" w:cs="Times New Roman"/>
      <w:sz w:val="26"/>
      <w:szCs w:val="20"/>
      <w:lang w:eastAsia="es-ES"/>
    </w:rPr>
  </w:style>
  <w:style w:type="paragraph" w:styleId="Textoindependienteprimerasangra">
    <w:name w:val="Body Text First Indent"/>
    <w:basedOn w:val="Textoindependiente"/>
    <w:link w:val="TextoindependienteprimerasangraCar"/>
    <w:uiPriority w:val="99"/>
    <w:unhideWhenUsed/>
    <w:rsid w:val="00A20D15"/>
    <w:pPr>
      <w:spacing w:after="120" w:line="312" w:lineRule="auto"/>
      <w:ind w:firstLine="210"/>
    </w:pPr>
    <w:rPr>
      <w:rFonts w:ascii="Arial Narrow" w:hAnsi="Arial Narrow"/>
    </w:rPr>
  </w:style>
  <w:style w:type="character" w:customStyle="1" w:styleId="TextoindependienteprimerasangraCar">
    <w:name w:val="Texto independiente primera sangría Car"/>
    <w:basedOn w:val="TextoindependienteCar"/>
    <w:link w:val="Textoindependienteprimerasangra"/>
    <w:uiPriority w:val="99"/>
    <w:rsid w:val="00A20D15"/>
    <w:rPr>
      <w:rFonts w:ascii="Arial Narrow" w:eastAsia="Times New Roman" w:hAnsi="Arial Narrow" w:cs="Times New Roman"/>
      <w:sz w:val="26"/>
      <w:szCs w:val="20"/>
      <w:lang w:eastAsia="es-ES"/>
    </w:rPr>
  </w:style>
  <w:style w:type="paragraph" w:styleId="Textoindependienteprimerasangra2">
    <w:name w:val="Body Text First Indent 2"/>
    <w:basedOn w:val="Sangradetextonormal"/>
    <w:link w:val="Textoindependienteprimerasangra2Car"/>
    <w:uiPriority w:val="99"/>
    <w:unhideWhenUsed/>
    <w:rsid w:val="00A20D15"/>
    <w:pPr>
      <w:spacing w:after="120"/>
      <w:ind w:left="283" w:firstLine="210"/>
    </w:pPr>
  </w:style>
  <w:style w:type="character" w:customStyle="1" w:styleId="Textoindependienteprimerasangra2Car">
    <w:name w:val="Texto independiente primera sangría 2 Car"/>
    <w:basedOn w:val="SangradetextonormalCar"/>
    <w:link w:val="Textoindependienteprimerasangra2"/>
    <w:uiPriority w:val="99"/>
    <w:rsid w:val="00A20D15"/>
    <w:rPr>
      <w:rFonts w:ascii="Arial Narrow" w:eastAsia="Times New Roman" w:hAnsi="Arial Narrow" w:cs="Times New Roman"/>
      <w:sz w:val="26"/>
      <w:szCs w:val="20"/>
      <w:lang w:eastAsia="es-ES"/>
    </w:rPr>
  </w:style>
  <w:style w:type="paragraph" w:customStyle="1" w:styleId="Textoindependiente21">
    <w:name w:val="Texto independiente 21"/>
    <w:basedOn w:val="Normal"/>
    <w:rsid w:val="00A20D15"/>
    <w:pPr>
      <w:suppressAutoHyphens/>
      <w:spacing w:line="312" w:lineRule="auto"/>
    </w:pPr>
    <w:rPr>
      <w:rFonts w:ascii="CG Times" w:eastAsia="Times New Roman" w:hAnsi="CG Times" w:cs="CG Times"/>
      <w:sz w:val="26"/>
      <w:szCs w:val="20"/>
      <w:lang w:val="es-ES_tradnl" w:eastAsia="zh-CN"/>
    </w:rPr>
  </w:style>
  <w:style w:type="paragraph" w:customStyle="1" w:styleId="Norma">
    <w:name w:val="Norma"/>
    <w:basedOn w:val="ARIALNARROW"/>
    <w:rsid w:val="00A20D15"/>
  </w:style>
  <w:style w:type="paragraph" w:customStyle="1" w:styleId="CarCarCarCarCarCarCarCarCarCarCar">
    <w:name w:val="Car Car Car Car Car Car Car Car Car Car Car"/>
    <w:basedOn w:val="Normal"/>
    <w:semiHidden/>
    <w:rsid w:val="00A20D15"/>
    <w:pPr>
      <w:spacing w:after="160" w:line="240" w:lineRule="exact"/>
    </w:pPr>
    <w:rPr>
      <w:rFonts w:ascii="Verdana" w:eastAsia="Times New Roman" w:hAnsi="Verdana" w:cs="Times New Roman"/>
      <w:szCs w:val="20"/>
      <w:lang w:val="en-US"/>
    </w:rPr>
  </w:style>
  <w:style w:type="paragraph" w:customStyle="1" w:styleId="CarCarCarCarCarCar1CarCarCarCarCarCarCarCar">
    <w:name w:val="Car Car Car Car Car Car1 Car Car Car Car Car Car Car Car"/>
    <w:basedOn w:val="Normal"/>
    <w:semiHidden/>
    <w:rsid w:val="00A20D15"/>
    <w:pPr>
      <w:spacing w:after="160" w:line="240" w:lineRule="exact"/>
    </w:pPr>
    <w:rPr>
      <w:rFonts w:ascii="Verdana" w:eastAsia="Times New Roman" w:hAnsi="Verdana" w:cs="Times New Roman"/>
      <w:szCs w:val="20"/>
      <w:lang w:val="en-US"/>
    </w:rPr>
  </w:style>
  <w:style w:type="table" w:styleId="Tablaconcuadrcula">
    <w:name w:val="Table Grid"/>
    <w:basedOn w:val="Tablanormal"/>
    <w:uiPriority w:val="59"/>
    <w:rsid w:val="00A20D15"/>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semiHidden/>
    <w:unhideWhenUsed/>
    <w:rsid w:val="00787593"/>
    <w:rPr>
      <w:vertAlign w:val="superscript"/>
    </w:rPr>
  </w:style>
  <w:style w:type="paragraph" w:styleId="TtulodeTDC">
    <w:name w:val="TOC Heading"/>
    <w:basedOn w:val="Ttulo1"/>
    <w:next w:val="Normal"/>
    <w:uiPriority w:val="39"/>
    <w:unhideWhenUsed/>
    <w:qFormat/>
    <w:rsid w:val="00A57205"/>
    <w:pPr>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Cs w:val="28"/>
    </w:rPr>
  </w:style>
  <w:style w:type="paragraph" w:styleId="TDC1">
    <w:name w:val="toc 1"/>
    <w:basedOn w:val="Normal"/>
    <w:next w:val="Normal"/>
    <w:autoRedefine/>
    <w:uiPriority w:val="39"/>
    <w:unhideWhenUsed/>
    <w:rsid w:val="00A25CF2"/>
    <w:pPr>
      <w:tabs>
        <w:tab w:val="left" w:pos="567"/>
        <w:tab w:val="left" w:pos="1276"/>
        <w:tab w:val="right" w:leader="dot" w:pos="8505"/>
      </w:tabs>
      <w:spacing w:line="312" w:lineRule="auto"/>
      <w:ind w:right="567"/>
    </w:pPr>
    <w:rPr>
      <w:rFonts w:cs="Arial"/>
      <w:noProof/>
      <w:sz w:val="22"/>
    </w:rPr>
  </w:style>
  <w:style w:type="paragraph" w:styleId="TDC2">
    <w:name w:val="toc 2"/>
    <w:basedOn w:val="Normal"/>
    <w:next w:val="Normal"/>
    <w:autoRedefine/>
    <w:uiPriority w:val="39"/>
    <w:unhideWhenUsed/>
    <w:rsid w:val="001E6B2E"/>
    <w:pPr>
      <w:tabs>
        <w:tab w:val="left" w:pos="567"/>
        <w:tab w:val="left" w:pos="1134"/>
        <w:tab w:val="left" w:pos="1701"/>
        <w:tab w:val="right" w:leader="dot" w:pos="8777"/>
      </w:tabs>
      <w:spacing w:line="288" w:lineRule="auto"/>
      <w:ind w:left="426"/>
      <w:jc w:val="left"/>
    </w:pPr>
  </w:style>
  <w:style w:type="character" w:styleId="Hipervnculo">
    <w:name w:val="Hyperlink"/>
    <w:basedOn w:val="Fuentedeprrafopredeter"/>
    <w:uiPriority w:val="99"/>
    <w:unhideWhenUsed/>
    <w:rsid w:val="00A57205"/>
    <w:rPr>
      <w:color w:val="0000FF" w:themeColor="hyperlink"/>
      <w:u w:val="single"/>
    </w:rPr>
  </w:style>
  <w:style w:type="paragraph" w:styleId="TDC3">
    <w:name w:val="toc 3"/>
    <w:basedOn w:val="Normal"/>
    <w:next w:val="Normal"/>
    <w:autoRedefine/>
    <w:uiPriority w:val="39"/>
    <w:unhideWhenUsed/>
    <w:rsid w:val="008E4F83"/>
    <w:pPr>
      <w:tabs>
        <w:tab w:val="right" w:leader="dot" w:pos="8789"/>
      </w:tabs>
      <w:spacing w:after="100"/>
      <w:ind w:left="400" w:right="282"/>
    </w:pPr>
  </w:style>
  <w:style w:type="paragraph" w:styleId="TDC4">
    <w:name w:val="toc 4"/>
    <w:basedOn w:val="Normal"/>
    <w:next w:val="Normal"/>
    <w:autoRedefine/>
    <w:uiPriority w:val="39"/>
    <w:unhideWhenUsed/>
    <w:rsid w:val="00665097"/>
    <w:pPr>
      <w:spacing w:after="100"/>
      <w:ind w:left="600"/>
    </w:pPr>
  </w:style>
  <w:style w:type="paragraph" w:styleId="Tabladeilustraciones">
    <w:name w:val="table of figures"/>
    <w:basedOn w:val="Normal"/>
    <w:next w:val="Normal"/>
    <w:uiPriority w:val="99"/>
    <w:unhideWhenUsed/>
    <w:rsid w:val="00665097"/>
  </w:style>
  <w:style w:type="paragraph" w:styleId="TDC5">
    <w:name w:val="toc 5"/>
    <w:basedOn w:val="Normal"/>
    <w:next w:val="Normal"/>
    <w:autoRedefine/>
    <w:uiPriority w:val="39"/>
    <w:unhideWhenUsed/>
    <w:rsid w:val="00844F87"/>
    <w:pPr>
      <w:spacing w:after="100" w:line="276" w:lineRule="auto"/>
      <w:ind w:left="880"/>
      <w:jc w:val="left"/>
    </w:pPr>
    <w:rPr>
      <w:rFonts w:asciiTheme="minorHAnsi" w:eastAsiaTheme="minorEastAsia" w:hAnsiTheme="minorHAnsi"/>
      <w:sz w:val="22"/>
      <w:lang w:eastAsia="es-ES"/>
    </w:rPr>
  </w:style>
  <w:style w:type="paragraph" w:styleId="TDC6">
    <w:name w:val="toc 6"/>
    <w:basedOn w:val="Normal"/>
    <w:next w:val="Normal"/>
    <w:autoRedefine/>
    <w:uiPriority w:val="39"/>
    <w:unhideWhenUsed/>
    <w:rsid w:val="00844F87"/>
    <w:pPr>
      <w:spacing w:after="100" w:line="276" w:lineRule="auto"/>
      <w:ind w:left="1100"/>
      <w:jc w:val="left"/>
    </w:pPr>
    <w:rPr>
      <w:rFonts w:asciiTheme="minorHAnsi" w:eastAsiaTheme="minorEastAsia" w:hAnsiTheme="minorHAnsi"/>
      <w:sz w:val="22"/>
      <w:lang w:eastAsia="es-ES"/>
    </w:rPr>
  </w:style>
  <w:style w:type="paragraph" w:styleId="TDC7">
    <w:name w:val="toc 7"/>
    <w:basedOn w:val="Normal"/>
    <w:next w:val="Normal"/>
    <w:autoRedefine/>
    <w:uiPriority w:val="39"/>
    <w:unhideWhenUsed/>
    <w:rsid w:val="00844F87"/>
    <w:pPr>
      <w:spacing w:after="100" w:line="276" w:lineRule="auto"/>
      <w:ind w:left="1320"/>
      <w:jc w:val="left"/>
    </w:pPr>
    <w:rPr>
      <w:rFonts w:asciiTheme="minorHAnsi" w:eastAsiaTheme="minorEastAsia" w:hAnsiTheme="minorHAnsi"/>
      <w:sz w:val="22"/>
      <w:lang w:eastAsia="es-ES"/>
    </w:rPr>
  </w:style>
  <w:style w:type="paragraph" w:styleId="TDC8">
    <w:name w:val="toc 8"/>
    <w:basedOn w:val="Normal"/>
    <w:next w:val="Normal"/>
    <w:autoRedefine/>
    <w:uiPriority w:val="39"/>
    <w:unhideWhenUsed/>
    <w:rsid w:val="00844F87"/>
    <w:pPr>
      <w:spacing w:after="100" w:line="276" w:lineRule="auto"/>
      <w:ind w:left="1540"/>
      <w:jc w:val="left"/>
    </w:pPr>
    <w:rPr>
      <w:rFonts w:asciiTheme="minorHAnsi" w:eastAsiaTheme="minorEastAsia" w:hAnsiTheme="minorHAnsi"/>
      <w:sz w:val="22"/>
      <w:lang w:eastAsia="es-ES"/>
    </w:rPr>
  </w:style>
  <w:style w:type="paragraph" w:styleId="TDC9">
    <w:name w:val="toc 9"/>
    <w:basedOn w:val="Normal"/>
    <w:next w:val="Normal"/>
    <w:autoRedefine/>
    <w:uiPriority w:val="39"/>
    <w:unhideWhenUsed/>
    <w:rsid w:val="00844F87"/>
    <w:pPr>
      <w:spacing w:after="100" w:line="276" w:lineRule="auto"/>
      <w:ind w:left="1760"/>
      <w:jc w:val="left"/>
    </w:pPr>
    <w:rPr>
      <w:rFonts w:asciiTheme="minorHAnsi" w:eastAsiaTheme="minorEastAsia" w:hAnsiTheme="minorHAnsi"/>
      <w:sz w:val="22"/>
      <w:lang w:eastAsia="es-ES"/>
    </w:rPr>
  </w:style>
  <w:style w:type="paragraph" w:styleId="Sinespaciado">
    <w:name w:val="No Spacing"/>
    <w:link w:val="SinespaciadoCar"/>
    <w:uiPriority w:val="1"/>
    <w:qFormat/>
    <w:rsid w:val="003C641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C641A"/>
    <w:rPr>
      <w:rFonts w:eastAsiaTheme="minorEastAsia"/>
      <w:lang w:eastAsia="es-ES"/>
    </w:rPr>
  </w:style>
  <w:style w:type="character" w:customStyle="1" w:styleId="PrrafodelistaCar">
    <w:name w:val="Párrafo de lista Car"/>
    <w:link w:val="Prrafodelista"/>
    <w:uiPriority w:val="34"/>
    <w:rsid w:val="004114B8"/>
    <w:rPr>
      <w:rFonts w:ascii="Calibri" w:eastAsia="Calibri" w:hAnsi="Calibri" w:cs="Times New Roman"/>
      <w:sz w:val="20"/>
    </w:rPr>
  </w:style>
  <w:style w:type="character" w:styleId="nfasisintenso">
    <w:name w:val="Intense Emphasis"/>
    <w:uiPriority w:val="21"/>
    <w:qFormat/>
    <w:rsid w:val="004114B8"/>
    <w:rPr>
      <w:rFonts w:ascii="Arial Narrow" w:hAnsi="Arial Narrow"/>
      <w:b/>
      <w:bCs/>
      <w:i/>
      <w:iCs/>
      <w:color w:val="5CACE2"/>
      <w:sz w:val="22"/>
    </w:rPr>
  </w:style>
  <w:style w:type="paragraph" w:customStyle="1" w:styleId="Bolos">
    <w:name w:val="Bolos"/>
    <w:basedOn w:val="Normal"/>
    <w:next w:val="Normal"/>
    <w:link w:val="BolosCar"/>
    <w:qFormat/>
    <w:rsid w:val="004114B8"/>
    <w:pPr>
      <w:numPr>
        <w:numId w:val="7"/>
      </w:numPr>
      <w:spacing w:before="120" w:after="120" w:line="240" w:lineRule="auto"/>
    </w:pPr>
    <w:rPr>
      <w:rFonts w:ascii="Arial Narrow" w:eastAsia="Times New Roman" w:hAnsi="Arial Narrow" w:cs="Times New Roman"/>
      <w:szCs w:val="24"/>
      <w:lang w:eastAsia="es-ES"/>
    </w:rPr>
  </w:style>
  <w:style w:type="character" w:customStyle="1" w:styleId="BolosCar">
    <w:name w:val="Bolos Car"/>
    <w:link w:val="Bolos"/>
    <w:rsid w:val="004114B8"/>
    <w:rPr>
      <w:rFonts w:ascii="Arial Narrow" w:eastAsia="Times New Roman" w:hAnsi="Arial Narrow" w:cs="Times New Roman"/>
      <w:sz w:val="20"/>
      <w:szCs w:val="24"/>
      <w:lang w:eastAsia="es-ES"/>
    </w:rPr>
  </w:style>
  <w:style w:type="paragraph" w:customStyle="1" w:styleId="Red2Red">
    <w:name w:val="Red2Red"/>
    <w:basedOn w:val="Normal"/>
    <w:link w:val="Red2RedCar"/>
    <w:qFormat/>
    <w:rsid w:val="004114B8"/>
    <w:pPr>
      <w:spacing w:before="120" w:after="120" w:line="240" w:lineRule="auto"/>
    </w:pPr>
    <w:rPr>
      <w:rFonts w:ascii="Arial Narrow" w:eastAsia="Times New Roman" w:hAnsi="Arial Narrow" w:cs="Times New Roman"/>
      <w:szCs w:val="24"/>
      <w:lang w:eastAsia="es-ES"/>
    </w:rPr>
  </w:style>
  <w:style w:type="character" w:customStyle="1" w:styleId="Red2RedCar">
    <w:name w:val="Red2Red Car"/>
    <w:basedOn w:val="Fuentedeprrafopredeter"/>
    <w:link w:val="Red2Red"/>
    <w:rsid w:val="004114B8"/>
    <w:rPr>
      <w:rFonts w:ascii="Arial Narrow" w:eastAsia="Times New Roman" w:hAnsi="Arial Narrow" w:cs="Times New Roman"/>
      <w:sz w:val="20"/>
      <w:szCs w:val="24"/>
      <w:lang w:eastAsia="es-ES"/>
    </w:rPr>
  </w:style>
  <w:style w:type="character" w:customStyle="1" w:styleId="apple-converted-space">
    <w:name w:val="apple-converted-space"/>
    <w:basedOn w:val="Fuentedeprrafopredeter"/>
    <w:rsid w:val="009521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3860">
      <w:bodyDiv w:val="1"/>
      <w:marLeft w:val="0"/>
      <w:marRight w:val="0"/>
      <w:marTop w:val="0"/>
      <w:marBottom w:val="0"/>
      <w:divBdr>
        <w:top w:val="none" w:sz="0" w:space="0" w:color="auto"/>
        <w:left w:val="none" w:sz="0" w:space="0" w:color="auto"/>
        <w:bottom w:val="none" w:sz="0" w:space="0" w:color="auto"/>
        <w:right w:val="none" w:sz="0" w:space="0" w:color="auto"/>
      </w:divBdr>
    </w:div>
    <w:div w:id="18356643">
      <w:bodyDiv w:val="1"/>
      <w:marLeft w:val="0"/>
      <w:marRight w:val="0"/>
      <w:marTop w:val="0"/>
      <w:marBottom w:val="0"/>
      <w:divBdr>
        <w:top w:val="none" w:sz="0" w:space="0" w:color="auto"/>
        <w:left w:val="none" w:sz="0" w:space="0" w:color="auto"/>
        <w:bottom w:val="none" w:sz="0" w:space="0" w:color="auto"/>
        <w:right w:val="none" w:sz="0" w:space="0" w:color="auto"/>
      </w:divBdr>
    </w:div>
    <w:div w:id="25327465">
      <w:bodyDiv w:val="1"/>
      <w:marLeft w:val="0"/>
      <w:marRight w:val="0"/>
      <w:marTop w:val="0"/>
      <w:marBottom w:val="0"/>
      <w:divBdr>
        <w:top w:val="none" w:sz="0" w:space="0" w:color="auto"/>
        <w:left w:val="none" w:sz="0" w:space="0" w:color="auto"/>
        <w:bottom w:val="none" w:sz="0" w:space="0" w:color="auto"/>
        <w:right w:val="none" w:sz="0" w:space="0" w:color="auto"/>
      </w:divBdr>
    </w:div>
    <w:div w:id="31881051">
      <w:bodyDiv w:val="1"/>
      <w:marLeft w:val="0"/>
      <w:marRight w:val="0"/>
      <w:marTop w:val="0"/>
      <w:marBottom w:val="0"/>
      <w:divBdr>
        <w:top w:val="none" w:sz="0" w:space="0" w:color="auto"/>
        <w:left w:val="none" w:sz="0" w:space="0" w:color="auto"/>
        <w:bottom w:val="none" w:sz="0" w:space="0" w:color="auto"/>
        <w:right w:val="none" w:sz="0" w:space="0" w:color="auto"/>
      </w:divBdr>
    </w:div>
    <w:div w:id="51974660">
      <w:bodyDiv w:val="1"/>
      <w:marLeft w:val="0"/>
      <w:marRight w:val="0"/>
      <w:marTop w:val="0"/>
      <w:marBottom w:val="0"/>
      <w:divBdr>
        <w:top w:val="none" w:sz="0" w:space="0" w:color="auto"/>
        <w:left w:val="none" w:sz="0" w:space="0" w:color="auto"/>
        <w:bottom w:val="none" w:sz="0" w:space="0" w:color="auto"/>
        <w:right w:val="none" w:sz="0" w:space="0" w:color="auto"/>
      </w:divBdr>
    </w:div>
    <w:div w:id="58947790">
      <w:bodyDiv w:val="1"/>
      <w:marLeft w:val="0"/>
      <w:marRight w:val="0"/>
      <w:marTop w:val="0"/>
      <w:marBottom w:val="0"/>
      <w:divBdr>
        <w:top w:val="none" w:sz="0" w:space="0" w:color="auto"/>
        <w:left w:val="none" w:sz="0" w:space="0" w:color="auto"/>
        <w:bottom w:val="none" w:sz="0" w:space="0" w:color="auto"/>
        <w:right w:val="none" w:sz="0" w:space="0" w:color="auto"/>
      </w:divBdr>
    </w:div>
    <w:div w:id="79911438">
      <w:bodyDiv w:val="1"/>
      <w:marLeft w:val="0"/>
      <w:marRight w:val="0"/>
      <w:marTop w:val="0"/>
      <w:marBottom w:val="0"/>
      <w:divBdr>
        <w:top w:val="none" w:sz="0" w:space="0" w:color="auto"/>
        <w:left w:val="none" w:sz="0" w:space="0" w:color="auto"/>
        <w:bottom w:val="none" w:sz="0" w:space="0" w:color="auto"/>
        <w:right w:val="none" w:sz="0" w:space="0" w:color="auto"/>
      </w:divBdr>
    </w:div>
    <w:div w:id="86972571">
      <w:bodyDiv w:val="1"/>
      <w:marLeft w:val="0"/>
      <w:marRight w:val="0"/>
      <w:marTop w:val="0"/>
      <w:marBottom w:val="0"/>
      <w:divBdr>
        <w:top w:val="none" w:sz="0" w:space="0" w:color="auto"/>
        <w:left w:val="none" w:sz="0" w:space="0" w:color="auto"/>
        <w:bottom w:val="none" w:sz="0" w:space="0" w:color="auto"/>
        <w:right w:val="none" w:sz="0" w:space="0" w:color="auto"/>
      </w:divBdr>
    </w:div>
    <w:div w:id="109977935">
      <w:bodyDiv w:val="1"/>
      <w:marLeft w:val="0"/>
      <w:marRight w:val="0"/>
      <w:marTop w:val="0"/>
      <w:marBottom w:val="0"/>
      <w:divBdr>
        <w:top w:val="none" w:sz="0" w:space="0" w:color="auto"/>
        <w:left w:val="none" w:sz="0" w:space="0" w:color="auto"/>
        <w:bottom w:val="none" w:sz="0" w:space="0" w:color="auto"/>
        <w:right w:val="none" w:sz="0" w:space="0" w:color="auto"/>
      </w:divBdr>
    </w:div>
    <w:div w:id="116142205">
      <w:bodyDiv w:val="1"/>
      <w:marLeft w:val="0"/>
      <w:marRight w:val="0"/>
      <w:marTop w:val="0"/>
      <w:marBottom w:val="0"/>
      <w:divBdr>
        <w:top w:val="none" w:sz="0" w:space="0" w:color="auto"/>
        <w:left w:val="none" w:sz="0" w:space="0" w:color="auto"/>
        <w:bottom w:val="none" w:sz="0" w:space="0" w:color="auto"/>
        <w:right w:val="none" w:sz="0" w:space="0" w:color="auto"/>
      </w:divBdr>
    </w:div>
    <w:div w:id="126777819">
      <w:bodyDiv w:val="1"/>
      <w:marLeft w:val="0"/>
      <w:marRight w:val="0"/>
      <w:marTop w:val="0"/>
      <w:marBottom w:val="0"/>
      <w:divBdr>
        <w:top w:val="none" w:sz="0" w:space="0" w:color="auto"/>
        <w:left w:val="none" w:sz="0" w:space="0" w:color="auto"/>
        <w:bottom w:val="none" w:sz="0" w:space="0" w:color="auto"/>
        <w:right w:val="none" w:sz="0" w:space="0" w:color="auto"/>
      </w:divBdr>
    </w:div>
    <w:div w:id="135731632">
      <w:bodyDiv w:val="1"/>
      <w:marLeft w:val="0"/>
      <w:marRight w:val="0"/>
      <w:marTop w:val="0"/>
      <w:marBottom w:val="0"/>
      <w:divBdr>
        <w:top w:val="none" w:sz="0" w:space="0" w:color="auto"/>
        <w:left w:val="none" w:sz="0" w:space="0" w:color="auto"/>
        <w:bottom w:val="none" w:sz="0" w:space="0" w:color="auto"/>
        <w:right w:val="none" w:sz="0" w:space="0" w:color="auto"/>
      </w:divBdr>
    </w:div>
    <w:div w:id="135805757">
      <w:bodyDiv w:val="1"/>
      <w:marLeft w:val="0"/>
      <w:marRight w:val="0"/>
      <w:marTop w:val="0"/>
      <w:marBottom w:val="0"/>
      <w:divBdr>
        <w:top w:val="none" w:sz="0" w:space="0" w:color="auto"/>
        <w:left w:val="none" w:sz="0" w:space="0" w:color="auto"/>
        <w:bottom w:val="none" w:sz="0" w:space="0" w:color="auto"/>
        <w:right w:val="none" w:sz="0" w:space="0" w:color="auto"/>
      </w:divBdr>
    </w:div>
    <w:div w:id="144248714">
      <w:bodyDiv w:val="1"/>
      <w:marLeft w:val="0"/>
      <w:marRight w:val="0"/>
      <w:marTop w:val="0"/>
      <w:marBottom w:val="0"/>
      <w:divBdr>
        <w:top w:val="none" w:sz="0" w:space="0" w:color="auto"/>
        <w:left w:val="none" w:sz="0" w:space="0" w:color="auto"/>
        <w:bottom w:val="none" w:sz="0" w:space="0" w:color="auto"/>
        <w:right w:val="none" w:sz="0" w:space="0" w:color="auto"/>
      </w:divBdr>
    </w:div>
    <w:div w:id="156697379">
      <w:bodyDiv w:val="1"/>
      <w:marLeft w:val="0"/>
      <w:marRight w:val="0"/>
      <w:marTop w:val="0"/>
      <w:marBottom w:val="0"/>
      <w:divBdr>
        <w:top w:val="none" w:sz="0" w:space="0" w:color="auto"/>
        <w:left w:val="none" w:sz="0" w:space="0" w:color="auto"/>
        <w:bottom w:val="none" w:sz="0" w:space="0" w:color="auto"/>
        <w:right w:val="none" w:sz="0" w:space="0" w:color="auto"/>
      </w:divBdr>
    </w:div>
    <w:div w:id="172651808">
      <w:bodyDiv w:val="1"/>
      <w:marLeft w:val="0"/>
      <w:marRight w:val="0"/>
      <w:marTop w:val="0"/>
      <w:marBottom w:val="0"/>
      <w:divBdr>
        <w:top w:val="none" w:sz="0" w:space="0" w:color="auto"/>
        <w:left w:val="none" w:sz="0" w:space="0" w:color="auto"/>
        <w:bottom w:val="none" w:sz="0" w:space="0" w:color="auto"/>
        <w:right w:val="none" w:sz="0" w:space="0" w:color="auto"/>
      </w:divBdr>
    </w:div>
    <w:div w:id="199826568">
      <w:bodyDiv w:val="1"/>
      <w:marLeft w:val="0"/>
      <w:marRight w:val="0"/>
      <w:marTop w:val="0"/>
      <w:marBottom w:val="0"/>
      <w:divBdr>
        <w:top w:val="none" w:sz="0" w:space="0" w:color="auto"/>
        <w:left w:val="none" w:sz="0" w:space="0" w:color="auto"/>
        <w:bottom w:val="none" w:sz="0" w:space="0" w:color="auto"/>
        <w:right w:val="none" w:sz="0" w:space="0" w:color="auto"/>
      </w:divBdr>
    </w:div>
    <w:div w:id="203180039">
      <w:bodyDiv w:val="1"/>
      <w:marLeft w:val="0"/>
      <w:marRight w:val="0"/>
      <w:marTop w:val="0"/>
      <w:marBottom w:val="0"/>
      <w:divBdr>
        <w:top w:val="none" w:sz="0" w:space="0" w:color="auto"/>
        <w:left w:val="none" w:sz="0" w:space="0" w:color="auto"/>
        <w:bottom w:val="none" w:sz="0" w:space="0" w:color="auto"/>
        <w:right w:val="none" w:sz="0" w:space="0" w:color="auto"/>
      </w:divBdr>
    </w:div>
    <w:div w:id="207111322">
      <w:bodyDiv w:val="1"/>
      <w:marLeft w:val="0"/>
      <w:marRight w:val="0"/>
      <w:marTop w:val="0"/>
      <w:marBottom w:val="0"/>
      <w:divBdr>
        <w:top w:val="none" w:sz="0" w:space="0" w:color="auto"/>
        <w:left w:val="none" w:sz="0" w:space="0" w:color="auto"/>
        <w:bottom w:val="none" w:sz="0" w:space="0" w:color="auto"/>
        <w:right w:val="none" w:sz="0" w:space="0" w:color="auto"/>
      </w:divBdr>
    </w:div>
    <w:div w:id="215555240">
      <w:bodyDiv w:val="1"/>
      <w:marLeft w:val="0"/>
      <w:marRight w:val="0"/>
      <w:marTop w:val="0"/>
      <w:marBottom w:val="0"/>
      <w:divBdr>
        <w:top w:val="none" w:sz="0" w:space="0" w:color="auto"/>
        <w:left w:val="none" w:sz="0" w:space="0" w:color="auto"/>
        <w:bottom w:val="none" w:sz="0" w:space="0" w:color="auto"/>
        <w:right w:val="none" w:sz="0" w:space="0" w:color="auto"/>
      </w:divBdr>
    </w:div>
    <w:div w:id="228661160">
      <w:bodyDiv w:val="1"/>
      <w:marLeft w:val="0"/>
      <w:marRight w:val="0"/>
      <w:marTop w:val="0"/>
      <w:marBottom w:val="0"/>
      <w:divBdr>
        <w:top w:val="none" w:sz="0" w:space="0" w:color="auto"/>
        <w:left w:val="none" w:sz="0" w:space="0" w:color="auto"/>
        <w:bottom w:val="none" w:sz="0" w:space="0" w:color="auto"/>
        <w:right w:val="none" w:sz="0" w:space="0" w:color="auto"/>
      </w:divBdr>
    </w:div>
    <w:div w:id="237373073">
      <w:bodyDiv w:val="1"/>
      <w:marLeft w:val="0"/>
      <w:marRight w:val="0"/>
      <w:marTop w:val="0"/>
      <w:marBottom w:val="0"/>
      <w:divBdr>
        <w:top w:val="none" w:sz="0" w:space="0" w:color="auto"/>
        <w:left w:val="none" w:sz="0" w:space="0" w:color="auto"/>
        <w:bottom w:val="none" w:sz="0" w:space="0" w:color="auto"/>
        <w:right w:val="none" w:sz="0" w:space="0" w:color="auto"/>
      </w:divBdr>
    </w:div>
    <w:div w:id="257714200">
      <w:bodyDiv w:val="1"/>
      <w:marLeft w:val="0"/>
      <w:marRight w:val="0"/>
      <w:marTop w:val="0"/>
      <w:marBottom w:val="0"/>
      <w:divBdr>
        <w:top w:val="none" w:sz="0" w:space="0" w:color="auto"/>
        <w:left w:val="none" w:sz="0" w:space="0" w:color="auto"/>
        <w:bottom w:val="none" w:sz="0" w:space="0" w:color="auto"/>
        <w:right w:val="none" w:sz="0" w:space="0" w:color="auto"/>
      </w:divBdr>
    </w:div>
    <w:div w:id="262418134">
      <w:bodyDiv w:val="1"/>
      <w:marLeft w:val="0"/>
      <w:marRight w:val="0"/>
      <w:marTop w:val="0"/>
      <w:marBottom w:val="0"/>
      <w:divBdr>
        <w:top w:val="none" w:sz="0" w:space="0" w:color="auto"/>
        <w:left w:val="none" w:sz="0" w:space="0" w:color="auto"/>
        <w:bottom w:val="none" w:sz="0" w:space="0" w:color="auto"/>
        <w:right w:val="none" w:sz="0" w:space="0" w:color="auto"/>
      </w:divBdr>
    </w:div>
    <w:div w:id="266428430">
      <w:bodyDiv w:val="1"/>
      <w:marLeft w:val="0"/>
      <w:marRight w:val="0"/>
      <w:marTop w:val="0"/>
      <w:marBottom w:val="0"/>
      <w:divBdr>
        <w:top w:val="none" w:sz="0" w:space="0" w:color="auto"/>
        <w:left w:val="none" w:sz="0" w:space="0" w:color="auto"/>
        <w:bottom w:val="none" w:sz="0" w:space="0" w:color="auto"/>
        <w:right w:val="none" w:sz="0" w:space="0" w:color="auto"/>
      </w:divBdr>
    </w:div>
    <w:div w:id="267658126">
      <w:bodyDiv w:val="1"/>
      <w:marLeft w:val="0"/>
      <w:marRight w:val="0"/>
      <w:marTop w:val="0"/>
      <w:marBottom w:val="0"/>
      <w:divBdr>
        <w:top w:val="none" w:sz="0" w:space="0" w:color="auto"/>
        <w:left w:val="none" w:sz="0" w:space="0" w:color="auto"/>
        <w:bottom w:val="none" w:sz="0" w:space="0" w:color="auto"/>
        <w:right w:val="none" w:sz="0" w:space="0" w:color="auto"/>
      </w:divBdr>
    </w:div>
    <w:div w:id="268005682">
      <w:bodyDiv w:val="1"/>
      <w:marLeft w:val="0"/>
      <w:marRight w:val="0"/>
      <w:marTop w:val="0"/>
      <w:marBottom w:val="0"/>
      <w:divBdr>
        <w:top w:val="none" w:sz="0" w:space="0" w:color="auto"/>
        <w:left w:val="none" w:sz="0" w:space="0" w:color="auto"/>
        <w:bottom w:val="none" w:sz="0" w:space="0" w:color="auto"/>
        <w:right w:val="none" w:sz="0" w:space="0" w:color="auto"/>
      </w:divBdr>
    </w:div>
    <w:div w:id="285241308">
      <w:bodyDiv w:val="1"/>
      <w:marLeft w:val="0"/>
      <w:marRight w:val="0"/>
      <w:marTop w:val="0"/>
      <w:marBottom w:val="0"/>
      <w:divBdr>
        <w:top w:val="none" w:sz="0" w:space="0" w:color="auto"/>
        <w:left w:val="none" w:sz="0" w:space="0" w:color="auto"/>
        <w:bottom w:val="none" w:sz="0" w:space="0" w:color="auto"/>
        <w:right w:val="none" w:sz="0" w:space="0" w:color="auto"/>
      </w:divBdr>
    </w:div>
    <w:div w:id="303387366">
      <w:bodyDiv w:val="1"/>
      <w:marLeft w:val="0"/>
      <w:marRight w:val="0"/>
      <w:marTop w:val="0"/>
      <w:marBottom w:val="0"/>
      <w:divBdr>
        <w:top w:val="none" w:sz="0" w:space="0" w:color="auto"/>
        <w:left w:val="none" w:sz="0" w:space="0" w:color="auto"/>
        <w:bottom w:val="none" w:sz="0" w:space="0" w:color="auto"/>
        <w:right w:val="none" w:sz="0" w:space="0" w:color="auto"/>
      </w:divBdr>
    </w:div>
    <w:div w:id="309332677">
      <w:bodyDiv w:val="1"/>
      <w:marLeft w:val="0"/>
      <w:marRight w:val="0"/>
      <w:marTop w:val="0"/>
      <w:marBottom w:val="0"/>
      <w:divBdr>
        <w:top w:val="none" w:sz="0" w:space="0" w:color="auto"/>
        <w:left w:val="none" w:sz="0" w:space="0" w:color="auto"/>
        <w:bottom w:val="none" w:sz="0" w:space="0" w:color="auto"/>
        <w:right w:val="none" w:sz="0" w:space="0" w:color="auto"/>
      </w:divBdr>
    </w:div>
    <w:div w:id="314141127">
      <w:bodyDiv w:val="1"/>
      <w:marLeft w:val="0"/>
      <w:marRight w:val="0"/>
      <w:marTop w:val="0"/>
      <w:marBottom w:val="0"/>
      <w:divBdr>
        <w:top w:val="none" w:sz="0" w:space="0" w:color="auto"/>
        <w:left w:val="none" w:sz="0" w:space="0" w:color="auto"/>
        <w:bottom w:val="none" w:sz="0" w:space="0" w:color="auto"/>
        <w:right w:val="none" w:sz="0" w:space="0" w:color="auto"/>
      </w:divBdr>
    </w:div>
    <w:div w:id="314721892">
      <w:bodyDiv w:val="1"/>
      <w:marLeft w:val="0"/>
      <w:marRight w:val="0"/>
      <w:marTop w:val="0"/>
      <w:marBottom w:val="0"/>
      <w:divBdr>
        <w:top w:val="none" w:sz="0" w:space="0" w:color="auto"/>
        <w:left w:val="none" w:sz="0" w:space="0" w:color="auto"/>
        <w:bottom w:val="none" w:sz="0" w:space="0" w:color="auto"/>
        <w:right w:val="none" w:sz="0" w:space="0" w:color="auto"/>
      </w:divBdr>
    </w:div>
    <w:div w:id="325280679">
      <w:bodyDiv w:val="1"/>
      <w:marLeft w:val="0"/>
      <w:marRight w:val="0"/>
      <w:marTop w:val="0"/>
      <w:marBottom w:val="0"/>
      <w:divBdr>
        <w:top w:val="none" w:sz="0" w:space="0" w:color="auto"/>
        <w:left w:val="none" w:sz="0" w:space="0" w:color="auto"/>
        <w:bottom w:val="none" w:sz="0" w:space="0" w:color="auto"/>
        <w:right w:val="none" w:sz="0" w:space="0" w:color="auto"/>
      </w:divBdr>
    </w:div>
    <w:div w:id="327094430">
      <w:bodyDiv w:val="1"/>
      <w:marLeft w:val="0"/>
      <w:marRight w:val="0"/>
      <w:marTop w:val="0"/>
      <w:marBottom w:val="0"/>
      <w:divBdr>
        <w:top w:val="none" w:sz="0" w:space="0" w:color="auto"/>
        <w:left w:val="none" w:sz="0" w:space="0" w:color="auto"/>
        <w:bottom w:val="none" w:sz="0" w:space="0" w:color="auto"/>
        <w:right w:val="none" w:sz="0" w:space="0" w:color="auto"/>
      </w:divBdr>
    </w:div>
    <w:div w:id="333069960">
      <w:bodyDiv w:val="1"/>
      <w:marLeft w:val="0"/>
      <w:marRight w:val="0"/>
      <w:marTop w:val="0"/>
      <w:marBottom w:val="0"/>
      <w:divBdr>
        <w:top w:val="none" w:sz="0" w:space="0" w:color="auto"/>
        <w:left w:val="none" w:sz="0" w:space="0" w:color="auto"/>
        <w:bottom w:val="none" w:sz="0" w:space="0" w:color="auto"/>
        <w:right w:val="none" w:sz="0" w:space="0" w:color="auto"/>
      </w:divBdr>
    </w:div>
    <w:div w:id="354817043">
      <w:bodyDiv w:val="1"/>
      <w:marLeft w:val="0"/>
      <w:marRight w:val="0"/>
      <w:marTop w:val="0"/>
      <w:marBottom w:val="0"/>
      <w:divBdr>
        <w:top w:val="none" w:sz="0" w:space="0" w:color="auto"/>
        <w:left w:val="none" w:sz="0" w:space="0" w:color="auto"/>
        <w:bottom w:val="none" w:sz="0" w:space="0" w:color="auto"/>
        <w:right w:val="none" w:sz="0" w:space="0" w:color="auto"/>
      </w:divBdr>
    </w:div>
    <w:div w:id="362099929">
      <w:bodyDiv w:val="1"/>
      <w:marLeft w:val="0"/>
      <w:marRight w:val="0"/>
      <w:marTop w:val="0"/>
      <w:marBottom w:val="0"/>
      <w:divBdr>
        <w:top w:val="none" w:sz="0" w:space="0" w:color="auto"/>
        <w:left w:val="none" w:sz="0" w:space="0" w:color="auto"/>
        <w:bottom w:val="none" w:sz="0" w:space="0" w:color="auto"/>
        <w:right w:val="none" w:sz="0" w:space="0" w:color="auto"/>
      </w:divBdr>
    </w:div>
    <w:div w:id="365300587">
      <w:bodyDiv w:val="1"/>
      <w:marLeft w:val="0"/>
      <w:marRight w:val="0"/>
      <w:marTop w:val="0"/>
      <w:marBottom w:val="0"/>
      <w:divBdr>
        <w:top w:val="none" w:sz="0" w:space="0" w:color="auto"/>
        <w:left w:val="none" w:sz="0" w:space="0" w:color="auto"/>
        <w:bottom w:val="none" w:sz="0" w:space="0" w:color="auto"/>
        <w:right w:val="none" w:sz="0" w:space="0" w:color="auto"/>
      </w:divBdr>
    </w:div>
    <w:div w:id="373849638">
      <w:bodyDiv w:val="1"/>
      <w:marLeft w:val="0"/>
      <w:marRight w:val="0"/>
      <w:marTop w:val="0"/>
      <w:marBottom w:val="0"/>
      <w:divBdr>
        <w:top w:val="none" w:sz="0" w:space="0" w:color="auto"/>
        <w:left w:val="none" w:sz="0" w:space="0" w:color="auto"/>
        <w:bottom w:val="none" w:sz="0" w:space="0" w:color="auto"/>
        <w:right w:val="none" w:sz="0" w:space="0" w:color="auto"/>
      </w:divBdr>
    </w:div>
    <w:div w:id="378744485">
      <w:bodyDiv w:val="1"/>
      <w:marLeft w:val="0"/>
      <w:marRight w:val="0"/>
      <w:marTop w:val="0"/>
      <w:marBottom w:val="0"/>
      <w:divBdr>
        <w:top w:val="none" w:sz="0" w:space="0" w:color="auto"/>
        <w:left w:val="none" w:sz="0" w:space="0" w:color="auto"/>
        <w:bottom w:val="none" w:sz="0" w:space="0" w:color="auto"/>
        <w:right w:val="none" w:sz="0" w:space="0" w:color="auto"/>
      </w:divBdr>
    </w:div>
    <w:div w:id="382758411">
      <w:bodyDiv w:val="1"/>
      <w:marLeft w:val="0"/>
      <w:marRight w:val="0"/>
      <w:marTop w:val="0"/>
      <w:marBottom w:val="0"/>
      <w:divBdr>
        <w:top w:val="none" w:sz="0" w:space="0" w:color="auto"/>
        <w:left w:val="none" w:sz="0" w:space="0" w:color="auto"/>
        <w:bottom w:val="none" w:sz="0" w:space="0" w:color="auto"/>
        <w:right w:val="none" w:sz="0" w:space="0" w:color="auto"/>
      </w:divBdr>
    </w:div>
    <w:div w:id="386073357">
      <w:bodyDiv w:val="1"/>
      <w:marLeft w:val="0"/>
      <w:marRight w:val="0"/>
      <w:marTop w:val="0"/>
      <w:marBottom w:val="0"/>
      <w:divBdr>
        <w:top w:val="none" w:sz="0" w:space="0" w:color="auto"/>
        <w:left w:val="none" w:sz="0" w:space="0" w:color="auto"/>
        <w:bottom w:val="none" w:sz="0" w:space="0" w:color="auto"/>
        <w:right w:val="none" w:sz="0" w:space="0" w:color="auto"/>
      </w:divBdr>
    </w:div>
    <w:div w:id="388965219">
      <w:bodyDiv w:val="1"/>
      <w:marLeft w:val="0"/>
      <w:marRight w:val="0"/>
      <w:marTop w:val="0"/>
      <w:marBottom w:val="0"/>
      <w:divBdr>
        <w:top w:val="none" w:sz="0" w:space="0" w:color="auto"/>
        <w:left w:val="none" w:sz="0" w:space="0" w:color="auto"/>
        <w:bottom w:val="none" w:sz="0" w:space="0" w:color="auto"/>
        <w:right w:val="none" w:sz="0" w:space="0" w:color="auto"/>
      </w:divBdr>
    </w:div>
    <w:div w:id="394549340">
      <w:bodyDiv w:val="1"/>
      <w:marLeft w:val="0"/>
      <w:marRight w:val="0"/>
      <w:marTop w:val="0"/>
      <w:marBottom w:val="0"/>
      <w:divBdr>
        <w:top w:val="none" w:sz="0" w:space="0" w:color="auto"/>
        <w:left w:val="none" w:sz="0" w:space="0" w:color="auto"/>
        <w:bottom w:val="none" w:sz="0" w:space="0" w:color="auto"/>
        <w:right w:val="none" w:sz="0" w:space="0" w:color="auto"/>
      </w:divBdr>
    </w:div>
    <w:div w:id="400908940">
      <w:bodyDiv w:val="1"/>
      <w:marLeft w:val="0"/>
      <w:marRight w:val="0"/>
      <w:marTop w:val="0"/>
      <w:marBottom w:val="0"/>
      <w:divBdr>
        <w:top w:val="none" w:sz="0" w:space="0" w:color="auto"/>
        <w:left w:val="none" w:sz="0" w:space="0" w:color="auto"/>
        <w:bottom w:val="none" w:sz="0" w:space="0" w:color="auto"/>
        <w:right w:val="none" w:sz="0" w:space="0" w:color="auto"/>
      </w:divBdr>
    </w:div>
    <w:div w:id="405999934">
      <w:bodyDiv w:val="1"/>
      <w:marLeft w:val="0"/>
      <w:marRight w:val="0"/>
      <w:marTop w:val="0"/>
      <w:marBottom w:val="0"/>
      <w:divBdr>
        <w:top w:val="none" w:sz="0" w:space="0" w:color="auto"/>
        <w:left w:val="none" w:sz="0" w:space="0" w:color="auto"/>
        <w:bottom w:val="none" w:sz="0" w:space="0" w:color="auto"/>
        <w:right w:val="none" w:sz="0" w:space="0" w:color="auto"/>
      </w:divBdr>
    </w:div>
    <w:div w:id="415058361">
      <w:bodyDiv w:val="1"/>
      <w:marLeft w:val="0"/>
      <w:marRight w:val="0"/>
      <w:marTop w:val="0"/>
      <w:marBottom w:val="0"/>
      <w:divBdr>
        <w:top w:val="none" w:sz="0" w:space="0" w:color="auto"/>
        <w:left w:val="none" w:sz="0" w:space="0" w:color="auto"/>
        <w:bottom w:val="none" w:sz="0" w:space="0" w:color="auto"/>
        <w:right w:val="none" w:sz="0" w:space="0" w:color="auto"/>
      </w:divBdr>
    </w:div>
    <w:div w:id="428620786">
      <w:bodyDiv w:val="1"/>
      <w:marLeft w:val="0"/>
      <w:marRight w:val="0"/>
      <w:marTop w:val="0"/>
      <w:marBottom w:val="0"/>
      <w:divBdr>
        <w:top w:val="none" w:sz="0" w:space="0" w:color="auto"/>
        <w:left w:val="none" w:sz="0" w:space="0" w:color="auto"/>
        <w:bottom w:val="none" w:sz="0" w:space="0" w:color="auto"/>
        <w:right w:val="none" w:sz="0" w:space="0" w:color="auto"/>
      </w:divBdr>
    </w:div>
    <w:div w:id="432046012">
      <w:bodyDiv w:val="1"/>
      <w:marLeft w:val="0"/>
      <w:marRight w:val="0"/>
      <w:marTop w:val="0"/>
      <w:marBottom w:val="0"/>
      <w:divBdr>
        <w:top w:val="none" w:sz="0" w:space="0" w:color="auto"/>
        <w:left w:val="none" w:sz="0" w:space="0" w:color="auto"/>
        <w:bottom w:val="none" w:sz="0" w:space="0" w:color="auto"/>
        <w:right w:val="none" w:sz="0" w:space="0" w:color="auto"/>
      </w:divBdr>
    </w:div>
    <w:div w:id="438841181">
      <w:bodyDiv w:val="1"/>
      <w:marLeft w:val="0"/>
      <w:marRight w:val="0"/>
      <w:marTop w:val="0"/>
      <w:marBottom w:val="0"/>
      <w:divBdr>
        <w:top w:val="none" w:sz="0" w:space="0" w:color="auto"/>
        <w:left w:val="none" w:sz="0" w:space="0" w:color="auto"/>
        <w:bottom w:val="none" w:sz="0" w:space="0" w:color="auto"/>
        <w:right w:val="none" w:sz="0" w:space="0" w:color="auto"/>
      </w:divBdr>
    </w:div>
    <w:div w:id="440685791">
      <w:bodyDiv w:val="1"/>
      <w:marLeft w:val="0"/>
      <w:marRight w:val="0"/>
      <w:marTop w:val="0"/>
      <w:marBottom w:val="0"/>
      <w:divBdr>
        <w:top w:val="none" w:sz="0" w:space="0" w:color="auto"/>
        <w:left w:val="none" w:sz="0" w:space="0" w:color="auto"/>
        <w:bottom w:val="none" w:sz="0" w:space="0" w:color="auto"/>
        <w:right w:val="none" w:sz="0" w:space="0" w:color="auto"/>
      </w:divBdr>
    </w:div>
    <w:div w:id="460075874">
      <w:bodyDiv w:val="1"/>
      <w:marLeft w:val="0"/>
      <w:marRight w:val="0"/>
      <w:marTop w:val="0"/>
      <w:marBottom w:val="0"/>
      <w:divBdr>
        <w:top w:val="none" w:sz="0" w:space="0" w:color="auto"/>
        <w:left w:val="none" w:sz="0" w:space="0" w:color="auto"/>
        <w:bottom w:val="none" w:sz="0" w:space="0" w:color="auto"/>
        <w:right w:val="none" w:sz="0" w:space="0" w:color="auto"/>
      </w:divBdr>
    </w:div>
    <w:div w:id="460927798">
      <w:bodyDiv w:val="1"/>
      <w:marLeft w:val="0"/>
      <w:marRight w:val="0"/>
      <w:marTop w:val="0"/>
      <w:marBottom w:val="0"/>
      <w:divBdr>
        <w:top w:val="none" w:sz="0" w:space="0" w:color="auto"/>
        <w:left w:val="none" w:sz="0" w:space="0" w:color="auto"/>
        <w:bottom w:val="none" w:sz="0" w:space="0" w:color="auto"/>
        <w:right w:val="none" w:sz="0" w:space="0" w:color="auto"/>
      </w:divBdr>
    </w:div>
    <w:div w:id="464011875">
      <w:bodyDiv w:val="1"/>
      <w:marLeft w:val="0"/>
      <w:marRight w:val="0"/>
      <w:marTop w:val="0"/>
      <w:marBottom w:val="0"/>
      <w:divBdr>
        <w:top w:val="none" w:sz="0" w:space="0" w:color="auto"/>
        <w:left w:val="none" w:sz="0" w:space="0" w:color="auto"/>
        <w:bottom w:val="none" w:sz="0" w:space="0" w:color="auto"/>
        <w:right w:val="none" w:sz="0" w:space="0" w:color="auto"/>
      </w:divBdr>
    </w:div>
    <w:div w:id="465657646">
      <w:bodyDiv w:val="1"/>
      <w:marLeft w:val="0"/>
      <w:marRight w:val="0"/>
      <w:marTop w:val="0"/>
      <w:marBottom w:val="0"/>
      <w:divBdr>
        <w:top w:val="none" w:sz="0" w:space="0" w:color="auto"/>
        <w:left w:val="none" w:sz="0" w:space="0" w:color="auto"/>
        <w:bottom w:val="none" w:sz="0" w:space="0" w:color="auto"/>
        <w:right w:val="none" w:sz="0" w:space="0" w:color="auto"/>
      </w:divBdr>
    </w:div>
    <w:div w:id="472646024">
      <w:bodyDiv w:val="1"/>
      <w:marLeft w:val="0"/>
      <w:marRight w:val="0"/>
      <w:marTop w:val="0"/>
      <w:marBottom w:val="0"/>
      <w:divBdr>
        <w:top w:val="none" w:sz="0" w:space="0" w:color="auto"/>
        <w:left w:val="none" w:sz="0" w:space="0" w:color="auto"/>
        <w:bottom w:val="none" w:sz="0" w:space="0" w:color="auto"/>
        <w:right w:val="none" w:sz="0" w:space="0" w:color="auto"/>
      </w:divBdr>
    </w:div>
    <w:div w:id="476994383">
      <w:bodyDiv w:val="1"/>
      <w:marLeft w:val="0"/>
      <w:marRight w:val="0"/>
      <w:marTop w:val="0"/>
      <w:marBottom w:val="0"/>
      <w:divBdr>
        <w:top w:val="none" w:sz="0" w:space="0" w:color="auto"/>
        <w:left w:val="none" w:sz="0" w:space="0" w:color="auto"/>
        <w:bottom w:val="none" w:sz="0" w:space="0" w:color="auto"/>
        <w:right w:val="none" w:sz="0" w:space="0" w:color="auto"/>
      </w:divBdr>
    </w:div>
    <w:div w:id="480124149">
      <w:bodyDiv w:val="1"/>
      <w:marLeft w:val="0"/>
      <w:marRight w:val="0"/>
      <w:marTop w:val="0"/>
      <w:marBottom w:val="0"/>
      <w:divBdr>
        <w:top w:val="none" w:sz="0" w:space="0" w:color="auto"/>
        <w:left w:val="none" w:sz="0" w:space="0" w:color="auto"/>
        <w:bottom w:val="none" w:sz="0" w:space="0" w:color="auto"/>
        <w:right w:val="none" w:sz="0" w:space="0" w:color="auto"/>
      </w:divBdr>
    </w:div>
    <w:div w:id="492527187">
      <w:bodyDiv w:val="1"/>
      <w:marLeft w:val="0"/>
      <w:marRight w:val="0"/>
      <w:marTop w:val="0"/>
      <w:marBottom w:val="0"/>
      <w:divBdr>
        <w:top w:val="none" w:sz="0" w:space="0" w:color="auto"/>
        <w:left w:val="none" w:sz="0" w:space="0" w:color="auto"/>
        <w:bottom w:val="none" w:sz="0" w:space="0" w:color="auto"/>
        <w:right w:val="none" w:sz="0" w:space="0" w:color="auto"/>
      </w:divBdr>
    </w:div>
    <w:div w:id="499739111">
      <w:bodyDiv w:val="1"/>
      <w:marLeft w:val="0"/>
      <w:marRight w:val="0"/>
      <w:marTop w:val="0"/>
      <w:marBottom w:val="0"/>
      <w:divBdr>
        <w:top w:val="none" w:sz="0" w:space="0" w:color="auto"/>
        <w:left w:val="none" w:sz="0" w:space="0" w:color="auto"/>
        <w:bottom w:val="none" w:sz="0" w:space="0" w:color="auto"/>
        <w:right w:val="none" w:sz="0" w:space="0" w:color="auto"/>
      </w:divBdr>
    </w:div>
    <w:div w:id="505366915">
      <w:bodyDiv w:val="1"/>
      <w:marLeft w:val="0"/>
      <w:marRight w:val="0"/>
      <w:marTop w:val="0"/>
      <w:marBottom w:val="0"/>
      <w:divBdr>
        <w:top w:val="none" w:sz="0" w:space="0" w:color="auto"/>
        <w:left w:val="none" w:sz="0" w:space="0" w:color="auto"/>
        <w:bottom w:val="none" w:sz="0" w:space="0" w:color="auto"/>
        <w:right w:val="none" w:sz="0" w:space="0" w:color="auto"/>
      </w:divBdr>
    </w:div>
    <w:div w:id="506091261">
      <w:bodyDiv w:val="1"/>
      <w:marLeft w:val="0"/>
      <w:marRight w:val="0"/>
      <w:marTop w:val="0"/>
      <w:marBottom w:val="0"/>
      <w:divBdr>
        <w:top w:val="none" w:sz="0" w:space="0" w:color="auto"/>
        <w:left w:val="none" w:sz="0" w:space="0" w:color="auto"/>
        <w:bottom w:val="none" w:sz="0" w:space="0" w:color="auto"/>
        <w:right w:val="none" w:sz="0" w:space="0" w:color="auto"/>
      </w:divBdr>
    </w:div>
    <w:div w:id="510610472">
      <w:bodyDiv w:val="1"/>
      <w:marLeft w:val="0"/>
      <w:marRight w:val="0"/>
      <w:marTop w:val="0"/>
      <w:marBottom w:val="0"/>
      <w:divBdr>
        <w:top w:val="none" w:sz="0" w:space="0" w:color="auto"/>
        <w:left w:val="none" w:sz="0" w:space="0" w:color="auto"/>
        <w:bottom w:val="none" w:sz="0" w:space="0" w:color="auto"/>
        <w:right w:val="none" w:sz="0" w:space="0" w:color="auto"/>
      </w:divBdr>
    </w:div>
    <w:div w:id="533691750">
      <w:bodyDiv w:val="1"/>
      <w:marLeft w:val="0"/>
      <w:marRight w:val="0"/>
      <w:marTop w:val="0"/>
      <w:marBottom w:val="0"/>
      <w:divBdr>
        <w:top w:val="none" w:sz="0" w:space="0" w:color="auto"/>
        <w:left w:val="none" w:sz="0" w:space="0" w:color="auto"/>
        <w:bottom w:val="none" w:sz="0" w:space="0" w:color="auto"/>
        <w:right w:val="none" w:sz="0" w:space="0" w:color="auto"/>
      </w:divBdr>
    </w:div>
    <w:div w:id="540746268">
      <w:bodyDiv w:val="1"/>
      <w:marLeft w:val="0"/>
      <w:marRight w:val="0"/>
      <w:marTop w:val="0"/>
      <w:marBottom w:val="0"/>
      <w:divBdr>
        <w:top w:val="none" w:sz="0" w:space="0" w:color="auto"/>
        <w:left w:val="none" w:sz="0" w:space="0" w:color="auto"/>
        <w:bottom w:val="none" w:sz="0" w:space="0" w:color="auto"/>
        <w:right w:val="none" w:sz="0" w:space="0" w:color="auto"/>
      </w:divBdr>
    </w:div>
    <w:div w:id="542132560">
      <w:bodyDiv w:val="1"/>
      <w:marLeft w:val="0"/>
      <w:marRight w:val="0"/>
      <w:marTop w:val="0"/>
      <w:marBottom w:val="0"/>
      <w:divBdr>
        <w:top w:val="none" w:sz="0" w:space="0" w:color="auto"/>
        <w:left w:val="none" w:sz="0" w:space="0" w:color="auto"/>
        <w:bottom w:val="none" w:sz="0" w:space="0" w:color="auto"/>
        <w:right w:val="none" w:sz="0" w:space="0" w:color="auto"/>
      </w:divBdr>
    </w:div>
    <w:div w:id="551775217">
      <w:bodyDiv w:val="1"/>
      <w:marLeft w:val="0"/>
      <w:marRight w:val="0"/>
      <w:marTop w:val="0"/>
      <w:marBottom w:val="0"/>
      <w:divBdr>
        <w:top w:val="none" w:sz="0" w:space="0" w:color="auto"/>
        <w:left w:val="none" w:sz="0" w:space="0" w:color="auto"/>
        <w:bottom w:val="none" w:sz="0" w:space="0" w:color="auto"/>
        <w:right w:val="none" w:sz="0" w:space="0" w:color="auto"/>
      </w:divBdr>
    </w:div>
    <w:div w:id="562914837">
      <w:bodyDiv w:val="1"/>
      <w:marLeft w:val="0"/>
      <w:marRight w:val="0"/>
      <w:marTop w:val="0"/>
      <w:marBottom w:val="0"/>
      <w:divBdr>
        <w:top w:val="none" w:sz="0" w:space="0" w:color="auto"/>
        <w:left w:val="none" w:sz="0" w:space="0" w:color="auto"/>
        <w:bottom w:val="none" w:sz="0" w:space="0" w:color="auto"/>
        <w:right w:val="none" w:sz="0" w:space="0" w:color="auto"/>
      </w:divBdr>
    </w:div>
    <w:div w:id="563641674">
      <w:bodyDiv w:val="1"/>
      <w:marLeft w:val="0"/>
      <w:marRight w:val="0"/>
      <w:marTop w:val="0"/>
      <w:marBottom w:val="0"/>
      <w:divBdr>
        <w:top w:val="none" w:sz="0" w:space="0" w:color="auto"/>
        <w:left w:val="none" w:sz="0" w:space="0" w:color="auto"/>
        <w:bottom w:val="none" w:sz="0" w:space="0" w:color="auto"/>
        <w:right w:val="none" w:sz="0" w:space="0" w:color="auto"/>
      </w:divBdr>
    </w:div>
    <w:div w:id="566763927">
      <w:bodyDiv w:val="1"/>
      <w:marLeft w:val="0"/>
      <w:marRight w:val="0"/>
      <w:marTop w:val="0"/>
      <w:marBottom w:val="0"/>
      <w:divBdr>
        <w:top w:val="none" w:sz="0" w:space="0" w:color="auto"/>
        <w:left w:val="none" w:sz="0" w:space="0" w:color="auto"/>
        <w:bottom w:val="none" w:sz="0" w:space="0" w:color="auto"/>
        <w:right w:val="none" w:sz="0" w:space="0" w:color="auto"/>
      </w:divBdr>
    </w:div>
    <w:div w:id="573396399">
      <w:bodyDiv w:val="1"/>
      <w:marLeft w:val="0"/>
      <w:marRight w:val="0"/>
      <w:marTop w:val="0"/>
      <w:marBottom w:val="0"/>
      <w:divBdr>
        <w:top w:val="none" w:sz="0" w:space="0" w:color="auto"/>
        <w:left w:val="none" w:sz="0" w:space="0" w:color="auto"/>
        <w:bottom w:val="none" w:sz="0" w:space="0" w:color="auto"/>
        <w:right w:val="none" w:sz="0" w:space="0" w:color="auto"/>
      </w:divBdr>
    </w:div>
    <w:div w:id="574049706">
      <w:bodyDiv w:val="1"/>
      <w:marLeft w:val="0"/>
      <w:marRight w:val="0"/>
      <w:marTop w:val="0"/>
      <w:marBottom w:val="0"/>
      <w:divBdr>
        <w:top w:val="none" w:sz="0" w:space="0" w:color="auto"/>
        <w:left w:val="none" w:sz="0" w:space="0" w:color="auto"/>
        <w:bottom w:val="none" w:sz="0" w:space="0" w:color="auto"/>
        <w:right w:val="none" w:sz="0" w:space="0" w:color="auto"/>
      </w:divBdr>
    </w:div>
    <w:div w:id="587616401">
      <w:bodyDiv w:val="1"/>
      <w:marLeft w:val="0"/>
      <w:marRight w:val="0"/>
      <w:marTop w:val="0"/>
      <w:marBottom w:val="0"/>
      <w:divBdr>
        <w:top w:val="none" w:sz="0" w:space="0" w:color="auto"/>
        <w:left w:val="none" w:sz="0" w:space="0" w:color="auto"/>
        <w:bottom w:val="none" w:sz="0" w:space="0" w:color="auto"/>
        <w:right w:val="none" w:sz="0" w:space="0" w:color="auto"/>
      </w:divBdr>
    </w:div>
    <w:div w:id="590314011">
      <w:bodyDiv w:val="1"/>
      <w:marLeft w:val="0"/>
      <w:marRight w:val="0"/>
      <w:marTop w:val="0"/>
      <w:marBottom w:val="0"/>
      <w:divBdr>
        <w:top w:val="none" w:sz="0" w:space="0" w:color="auto"/>
        <w:left w:val="none" w:sz="0" w:space="0" w:color="auto"/>
        <w:bottom w:val="none" w:sz="0" w:space="0" w:color="auto"/>
        <w:right w:val="none" w:sz="0" w:space="0" w:color="auto"/>
      </w:divBdr>
    </w:div>
    <w:div w:id="604921996">
      <w:bodyDiv w:val="1"/>
      <w:marLeft w:val="0"/>
      <w:marRight w:val="0"/>
      <w:marTop w:val="0"/>
      <w:marBottom w:val="0"/>
      <w:divBdr>
        <w:top w:val="none" w:sz="0" w:space="0" w:color="auto"/>
        <w:left w:val="none" w:sz="0" w:space="0" w:color="auto"/>
        <w:bottom w:val="none" w:sz="0" w:space="0" w:color="auto"/>
        <w:right w:val="none" w:sz="0" w:space="0" w:color="auto"/>
      </w:divBdr>
    </w:div>
    <w:div w:id="617297586">
      <w:bodyDiv w:val="1"/>
      <w:marLeft w:val="0"/>
      <w:marRight w:val="0"/>
      <w:marTop w:val="0"/>
      <w:marBottom w:val="0"/>
      <w:divBdr>
        <w:top w:val="none" w:sz="0" w:space="0" w:color="auto"/>
        <w:left w:val="none" w:sz="0" w:space="0" w:color="auto"/>
        <w:bottom w:val="none" w:sz="0" w:space="0" w:color="auto"/>
        <w:right w:val="none" w:sz="0" w:space="0" w:color="auto"/>
      </w:divBdr>
    </w:div>
    <w:div w:id="617490022">
      <w:bodyDiv w:val="1"/>
      <w:marLeft w:val="0"/>
      <w:marRight w:val="0"/>
      <w:marTop w:val="0"/>
      <w:marBottom w:val="0"/>
      <w:divBdr>
        <w:top w:val="none" w:sz="0" w:space="0" w:color="auto"/>
        <w:left w:val="none" w:sz="0" w:space="0" w:color="auto"/>
        <w:bottom w:val="none" w:sz="0" w:space="0" w:color="auto"/>
        <w:right w:val="none" w:sz="0" w:space="0" w:color="auto"/>
      </w:divBdr>
    </w:div>
    <w:div w:id="618999922">
      <w:bodyDiv w:val="1"/>
      <w:marLeft w:val="0"/>
      <w:marRight w:val="0"/>
      <w:marTop w:val="0"/>
      <w:marBottom w:val="0"/>
      <w:divBdr>
        <w:top w:val="none" w:sz="0" w:space="0" w:color="auto"/>
        <w:left w:val="none" w:sz="0" w:space="0" w:color="auto"/>
        <w:bottom w:val="none" w:sz="0" w:space="0" w:color="auto"/>
        <w:right w:val="none" w:sz="0" w:space="0" w:color="auto"/>
      </w:divBdr>
    </w:div>
    <w:div w:id="621230583">
      <w:bodyDiv w:val="1"/>
      <w:marLeft w:val="0"/>
      <w:marRight w:val="0"/>
      <w:marTop w:val="0"/>
      <w:marBottom w:val="0"/>
      <w:divBdr>
        <w:top w:val="none" w:sz="0" w:space="0" w:color="auto"/>
        <w:left w:val="none" w:sz="0" w:space="0" w:color="auto"/>
        <w:bottom w:val="none" w:sz="0" w:space="0" w:color="auto"/>
        <w:right w:val="none" w:sz="0" w:space="0" w:color="auto"/>
      </w:divBdr>
    </w:div>
    <w:div w:id="634218332">
      <w:bodyDiv w:val="1"/>
      <w:marLeft w:val="0"/>
      <w:marRight w:val="0"/>
      <w:marTop w:val="0"/>
      <w:marBottom w:val="0"/>
      <w:divBdr>
        <w:top w:val="none" w:sz="0" w:space="0" w:color="auto"/>
        <w:left w:val="none" w:sz="0" w:space="0" w:color="auto"/>
        <w:bottom w:val="none" w:sz="0" w:space="0" w:color="auto"/>
        <w:right w:val="none" w:sz="0" w:space="0" w:color="auto"/>
      </w:divBdr>
    </w:div>
    <w:div w:id="657733370">
      <w:bodyDiv w:val="1"/>
      <w:marLeft w:val="0"/>
      <w:marRight w:val="0"/>
      <w:marTop w:val="0"/>
      <w:marBottom w:val="0"/>
      <w:divBdr>
        <w:top w:val="none" w:sz="0" w:space="0" w:color="auto"/>
        <w:left w:val="none" w:sz="0" w:space="0" w:color="auto"/>
        <w:bottom w:val="none" w:sz="0" w:space="0" w:color="auto"/>
        <w:right w:val="none" w:sz="0" w:space="0" w:color="auto"/>
      </w:divBdr>
    </w:div>
    <w:div w:id="687408337">
      <w:bodyDiv w:val="1"/>
      <w:marLeft w:val="0"/>
      <w:marRight w:val="0"/>
      <w:marTop w:val="0"/>
      <w:marBottom w:val="0"/>
      <w:divBdr>
        <w:top w:val="none" w:sz="0" w:space="0" w:color="auto"/>
        <w:left w:val="none" w:sz="0" w:space="0" w:color="auto"/>
        <w:bottom w:val="none" w:sz="0" w:space="0" w:color="auto"/>
        <w:right w:val="none" w:sz="0" w:space="0" w:color="auto"/>
      </w:divBdr>
    </w:div>
    <w:div w:id="692537871">
      <w:bodyDiv w:val="1"/>
      <w:marLeft w:val="0"/>
      <w:marRight w:val="0"/>
      <w:marTop w:val="0"/>
      <w:marBottom w:val="0"/>
      <w:divBdr>
        <w:top w:val="none" w:sz="0" w:space="0" w:color="auto"/>
        <w:left w:val="none" w:sz="0" w:space="0" w:color="auto"/>
        <w:bottom w:val="none" w:sz="0" w:space="0" w:color="auto"/>
        <w:right w:val="none" w:sz="0" w:space="0" w:color="auto"/>
      </w:divBdr>
    </w:div>
    <w:div w:id="707144253">
      <w:bodyDiv w:val="1"/>
      <w:marLeft w:val="0"/>
      <w:marRight w:val="0"/>
      <w:marTop w:val="0"/>
      <w:marBottom w:val="0"/>
      <w:divBdr>
        <w:top w:val="none" w:sz="0" w:space="0" w:color="auto"/>
        <w:left w:val="none" w:sz="0" w:space="0" w:color="auto"/>
        <w:bottom w:val="none" w:sz="0" w:space="0" w:color="auto"/>
        <w:right w:val="none" w:sz="0" w:space="0" w:color="auto"/>
      </w:divBdr>
    </w:div>
    <w:div w:id="710957063">
      <w:bodyDiv w:val="1"/>
      <w:marLeft w:val="0"/>
      <w:marRight w:val="0"/>
      <w:marTop w:val="0"/>
      <w:marBottom w:val="0"/>
      <w:divBdr>
        <w:top w:val="none" w:sz="0" w:space="0" w:color="auto"/>
        <w:left w:val="none" w:sz="0" w:space="0" w:color="auto"/>
        <w:bottom w:val="none" w:sz="0" w:space="0" w:color="auto"/>
        <w:right w:val="none" w:sz="0" w:space="0" w:color="auto"/>
      </w:divBdr>
    </w:div>
    <w:div w:id="714235138">
      <w:bodyDiv w:val="1"/>
      <w:marLeft w:val="0"/>
      <w:marRight w:val="0"/>
      <w:marTop w:val="0"/>
      <w:marBottom w:val="0"/>
      <w:divBdr>
        <w:top w:val="none" w:sz="0" w:space="0" w:color="auto"/>
        <w:left w:val="none" w:sz="0" w:space="0" w:color="auto"/>
        <w:bottom w:val="none" w:sz="0" w:space="0" w:color="auto"/>
        <w:right w:val="none" w:sz="0" w:space="0" w:color="auto"/>
      </w:divBdr>
    </w:div>
    <w:div w:id="717630857">
      <w:bodyDiv w:val="1"/>
      <w:marLeft w:val="0"/>
      <w:marRight w:val="0"/>
      <w:marTop w:val="0"/>
      <w:marBottom w:val="0"/>
      <w:divBdr>
        <w:top w:val="none" w:sz="0" w:space="0" w:color="auto"/>
        <w:left w:val="none" w:sz="0" w:space="0" w:color="auto"/>
        <w:bottom w:val="none" w:sz="0" w:space="0" w:color="auto"/>
        <w:right w:val="none" w:sz="0" w:space="0" w:color="auto"/>
      </w:divBdr>
    </w:div>
    <w:div w:id="743718658">
      <w:bodyDiv w:val="1"/>
      <w:marLeft w:val="0"/>
      <w:marRight w:val="0"/>
      <w:marTop w:val="0"/>
      <w:marBottom w:val="0"/>
      <w:divBdr>
        <w:top w:val="none" w:sz="0" w:space="0" w:color="auto"/>
        <w:left w:val="none" w:sz="0" w:space="0" w:color="auto"/>
        <w:bottom w:val="none" w:sz="0" w:space="0" w:color="auto"/>
        <w:right w:val="none" w:sz="0" w:space="0" w:color="auto"/>
      </w:divBdr>
    </w:div>
    <w:div w:id="746002886">
      <w:bodyDiv w:val="1"/>
      <w:marLeft w:val="0"/>
      <w:marRight w:val="0"/>
      <w:marTop w:val="0"/>
      <w:marBottom w:val="0"/>
      <w:divBdr>
        <w:top w:val="none" w:sz="0" w:space="0" w:color="auto"/>
        <w:left w:val="none" w:sz="0" w:space="0" w:color="auto"/>
        <w:bottom w:val="none" w:sz="0" w:space="0" w:color="auto"/>
        <w:right w:val="none" w:sz="0" w:space="0" w:color="auto"/>
      </w:divBdr>
    </w:div>
    <w:div w:id="755977271">
      <w:bodyDiv w:val="1"/>
      <w:marLeft w:val="0"/>
      <w:marRight w:val="0"/>
      <w:marTop w:val="0"/>
      <w:marBottom w:val="0"/>
      <w:divBdr>
        <w:top w:val="none" w:sz="0" w:space="0" w:color="auto"/>
        <w:left w:val="none" w:sz="0" w:space="0" w:color="auto"/>
        <w:bottom w:val="none" w:sz="0" w:space="0" w:color="auto"/>
        <w:right w:val="none" w:sz="0" w:space="0" w:color="auto"/>
      </w:divBdr>
    </w:div>
    <w:div w:id="768550366">
      <w:bodyDiv w:val="1"/>
      <w:marLeft w:val="0"/>
      <w:marRight w:val="0"/>
      <w:marTop w:val="0"/>
      <w:marBottom w:val="0"/>
      <w:divBdr>
        <w:top w:val="none" w:sz="0" w:space="0" w:color="auto"/>
        <w:left w:val="none" w:sz="0" w:space="0" w:color="auto"/>
        <w:bottom w:val="none" w:sz="0" w:space="0" w:color="auto"/>
        <w:right w:val="none" w:sz="0" w:space="0" w:color="auto"/>
      </w:divBdr>
    </w:div>
    <w:div w:id="778915778">
      <w:bodyDiv w:val="1"/>
      <w:marLeft w:val="0"/>
      <w:marRight w:val="0"/>
      <w:marTop w:val="0"/>
      <w:marBottom w:val="0"/>
      <w:divBdr>
        <w:top w:val="none" w:sz="0" w:space="0" w:color="auto"/>
        <w:left w:val="none" w:sz="0" w:space="0" w:color="auto"/>
        <w:bottom w:val="none" w:sz="0" w:space="0" w:color="auto"/>
        <w:right w:val="none" w:sz="0" w:space="0" w:color="auto"/>
      </w:divBdr>
    </w:div>
    <w:div w:id="794451696">
      <w:bodyDiv w:val="1"/>
      <w:marLeft w:val="0"/>
      <w:marRight w:val="0"/>
      <w:marTop w:val="0"/>
      <w:marBottom w:val="0"/>
      <w:divBdr>
        <w:top w:val="none" w:sz="0" w:space="0" w:color="auto"/>
        <w:left w:val="none" w:sz="0" w:space="0" w:color="auto"/>
        <w:bottom w:val="none" w:sz="0" w:space="0" w:color="auto"/>
        <w:right w:val="none" w:sz="0" w:space="0" w:color="auto"/>
      </w:divBdr>
    </w:div>
    <w:div w:id="804932859">
      <w:bodyDiv w:val="1"/>
      <w:marLeft w:val="0"/>
      <w:marRight w:val="0"/>
      <w:marTop w:val="0"/>
      <w:marBottom w:val="0"/>
      <w:divBdr>
        <w:top w:val="none" w:sz="0" w:space="0" w:color="auto"/>
        <w:left w:val="none" w:sz="0" w:space="0" w:color="auto"/>
        <w:bottom w:val="none" w:sz="0" w:space="0" w:color="auto"/>
        <w:right w:val="none" w:sz="0" w:space="0" w:color="auto"/>
      </w:divBdr>
    </w:div>
    <w:div w:id="805201737">
      <w:bodyDiv w:val="1"/>
      <w:marLeft w:val="0"/>
      <w:marRight w:val="0"/>
      <w:marTop w:val="0"/>
      <w:marBottom w:val="0"/>
      <w:divBdr>
        <w:top w:val="none" w:sz="0" w:space="0" w:color="auto"/>
        <w:left w:val="none" w:sz="0" w:space="0" w:color="auto"/>
        <w:bottom w:val="none" w:sz="0" w:space="0" w:color="auto"/>
        <w:right w:val="none" w:sz="0" w:space="0" w:color="auto"/>
      </w:divBdr>
    </w:div>
    <w:div w:id="808061531">
      <w:bodyDiv w:val="1"/>
      <w:marLeft w:val="0"/>
      <w:marRight w:val="0"/>
      <w:marTop w:val="0"/>
      <w:marBottom w:val="0"/>
      <w:divBdr>
        <w:top w:val="none" w:sz="0" w:space="0" w:color="auto"/>
        <w:left w:val="none" w:sz="0" w:space="0" w:color="auto"/>
        <w:bottom w:val="none" w:sz="0" w:space="0" w:color="auto"/>
        <w:right w:val="none" w:sz="0" w:space="0" w:color="auto"/>
      </w:divBdr>
    </w:div>
    <w:div w:id="817305300">
      <w:bodyDiv w:val="1"/>
      <w:marLeft w:val="0"/>
      <w:marRight w:val="0"/>
      <w:marTop w:val="0"/>
      <w:marBottom w:val="0"/>
      <w:divBdr>
        <w:top w:val="none" w:sz="0" w:space="0" w:color="auto"/>
        <w:left w:val="none" w:sz="0" w:space="0" w:color="auto"/>
        <w:bottom w:val="none" w:sz="0" w:space="0" w:color="auto"/>
        <w:right w:val="none" w:sz="0" w:space="0" w:color="auto"/>
      </w:divBdr>
    </w:div>
    <w:div w:id="823620747">
      <w:bodyDiv w:val="1"/>
      <w:marLeft w:val="0"/>
      <w:marRight w:val="0"/>
      <w:marTop w:val="0"/>
      <w:marBottom w:val="0"/>
      <w:divBdr>
        <w:top w:val="none" w:sz="0" w:space="0" w:color="auto"/>
        <w:left w:val="none" w:sz="0" w:space="0" w:color="auto"/>
        <w:bottom w:val="none" w:sz="0" w:space="0" w:color="auto"/>
        <w:right w:val="none" w:sz="0" w:space="0" w:color="auto"/>
      </w:divBdr>
    </w:div>
    <w:div w:id="832375348">
      <w:bodyDiv w:val="1"/>
      <w:marLeft w:val="0"/>
      <w:marRight w:val="0"/>
      <w:marTop w:val="0"/>
      <w:marBottom w:val="0"/>
      <w:divBdr>
        <w:top w:val="none" w:sz="0" w:space="0" w:color="auto"/>
        <w:left w:val="none" w:sz="0" w:space="0" w:color="auto"/>
        <w:bottom w:val="none" w:sz="0" w:space="0" w:color="auto"/>
        <w:right w:val="none" w:sz="0" w:space="0" w:color="auto"/>
      </w:divBdr>
    </w:div>
    <w:div w:id="857349031">
      <w:bodyDiv w:val="1"/>
      <w:marLeft w:val="0"/>
      <w:marRight w:val="0"/>
      <w:marTop w:val="0"/>
      <w:marBottom w:val="0"/>
      <w:divBdr>
        <w:top w:val="none" w:sz="0" w:space="0" w:color="auto"/>
        <w:left w:val="none" w:sz="0" w:space="0" w:color="auto"/>
        <w:bottom w:val="none" w:sz="0" w:space="0" w:color="auto"/>
        <w:right w:val="none" w:sz="0" w:space="0" w:color="auto"/>
      </w:divBdr>
    </w:div>
    <w:div w:id="870265045">
      <w:bodyDiv w:val="1"/>
      <w:marLeft w:val="0"/>
      <w:marRight w:val="0"/>
      <w:marTop w:val="0"/>
      <w:marBottom w:val="0"/>
      <w:divBdr>
        <w:top w:val="none" w:sz="0" w:space="0" w:color="auto"/>
        <w:left w:val="none" w:sz="0" w:space="0" w:color="auto"/>
        <w:bottom w:val="none" w:sz="0" w:space="0" w:color="auto"/>
        <w:right w:val="none" w:sz="0" w:space="0" w:color="auto"/>
      </w:divBdr>
    </w:div>
    <w:div w:id="872840547">
      <w:bodyDiv w:val="1"/>
      <w:marLeft w:val="0"/>
      <w:marRight w:val="0"/>
      <w:marTop w:val="0"/>
      <w:marBottom w:val="0"/>
      <w:divBdr>
        <w:top w:val="none" w:sz="0" w:space="0" w:color="auto"/>
        <w:left w:val="none" w:sz="0" w:space="0" w:color="auto"/>
        <w:bottom w:val="none" w:sz="0" w:space="0" w:color="auto"/>
        <w:right w:val="none" w:sz="0" w:space="0" w:color="auto"/>
      </w:divBdr>
    </w:div>
    <w:div w:id="873463938">
      <w:bodyDiv w:val="1"/>
      <w:marLeft w:val="0"/>
      <w:marRight w:val="0"/>
      <w:marTop w:val="0"/>
      <w:marBottom w:val="0"/>
      <w:divBdr>
        <w:top w:val="none" w:sz="0" w:space="0" w:color="auto"/>
        <w:left w:val="none" w:sz="0" w:space="0" w:color="auto"/>
        <w:bottom w:val="none" w:sz="0" w:space="0" w:color="auto"/>
        <w:right w:val="none" w:sz="0" w:space="0" w:color="auto"/>
      </w:divBdr>
    </w:div>
    <w:div w:id="889026848">
      <w:bodyDiv w:val="1"/>
      <w:marLeft w:val="0"/>
      <w:marRight w:val="0"/>
      <w:marTop w:val="0"/>
      <w:marBottom w:val="0"/>
      <w:divBdr>
        <w:top w:val="none" w:sz="0" w:space="0" w:color="auto"/>
        <w:left w:val="none" w:sz="0" w:space="0" w:color="auto"/>
        <w:bottom w:val="none" w:sz="0" w:space="0" w:color="auto"/>
        <w:right w:val="none" w:sz="0" w:space="0" w:color="auto"/>
      </w:divBdr>
    </w:div>
    <w:div w:id="892698324">
      <w:bodyDiv w:val="1"/>
      <w:marLeft w:val="0"/>
      <w:marRight w:val="0"/>
      <w:marTop w:val="0"/>
      <w:marBottom w:val="0"/>
      <w:divBdr>
        <w:top w:val="none" w:sz="0" w:space="0" w:color="auto"/>
        <w:left w:val="none" w:sz="0" w:space="0" w:color="auto"/>
        <w:bottom w:val="none" w:sz="0" w:space="0" w:color="auto"/>
        <w:right w:val="none" w:sz="0" w:space="0" w:color="auto"/>
      </w:divBdr>
    </w:div>
    <w:div w:id="900359705">
      <w:bodyDiv w:val="1"/>
      <w:marLeft w:val="0"/>
      <w:marRight w:val="0"/>
      <w:marTop w:val="0"/>
      <w:marBottom w:val="0"/>
      <w:divBdr>
        <w:top w:val="none" w:sz="0" w:space="0" w:color="auto"/>
        <w:left w:val="none" w:sz="0" w:space="0" w:color="auto"/>
        <w:bottom w:val="none" w:sz="0" w:space="0" w:color="auto"/>
        <w:right w:val="none" w:sz="0" w:space="0" w:color="auto"/>
      </w:divBdr>
    </w:div>
    <w:div w:id="909772236">
      <w:bodyDiv w:val="1"/>
      <w:marLeft w:val="0"/>
      <w:marRight w:val="0"/>
      <w:marTop w:val="0"/>
      <w:marBottom w:val="0"/>
      <w:divBdr>
        <w:top w:val="none" w:sz="0" w:space="0" w:color="auto"/>
        <w:left w:val="none" w:sz="0" w:space="0" w:color="auto"/>
        <w:bottom w:val="none" w:sz="0" w:space="0" w:color="auto"/>
        <w:right w:val="none" w:sz="0" w:space="0" w:color="auto"/>
      </w:divBdr>
    </w:div>
    <w:div w:id="919288407">
      <w:bodyDiv w:val="1"/>
      <w:marLeft w:val="0"/>
      <w:marRight w:val="0"/>
      <w:marTop w:val="0"/>
      <w:marBottom w:val="0"/>
      <w:divBdr>
        <w:top w:val="none" w:sz="0" w:space="0" w:color="auto"/>
        <w:left w:val="none" w:sz="0" w:space="0" w:color="auto"/>
        <w:bottom w:val="none" w:sz="0" w:space="0" w:color="auto"/>
        <w:right w:val="none" w:sz="0" w:space="0" w:color="auto"/>
      </w:divBdr>
    </w:div>
    <w:div w:id="932905300">
      <w:bodyDiv w:val="1"/>
      <w:marLeft w:val="0"/>
      <w:marRight w:val="0"/>
      <w:marTop w:val="0"/>
      <w:marBottom w:val="0"/>
      <w:divBdr>
        <w:top w:val="none" w:sz="0" w:space="0" w:color="auto"/>
        <w:left w:val="none" w:sz="0" w:space="0" w:color="auto"/>
        <w:bottom w:val="none" w:sz="0" w:space="0" w:color="auto"/>
        <w:right w:val="none" w:sz="0" w:space="0" w:color="auto"/>
      </w:divBdr>
    </w:div>
    <w:div w:id="933711665">
      <w:bodyDiv w:val="1"/>
      <w:marLeft w:val="0"/>
      <w:marRight w:val="0"/>
      <w:marTop w:val="0"/>
      <w:marBottom w:val="0"/>
      <w:divBdr>
        <w:top w:val="none" w:sz="0" w:space="0" w:color="auto"/>
        <w:left w:val="none" w:sz="0" w:space="0" w:color="auto"/>
        <w:bottom w:val="none" w:sz="0" w:space="0" w:color="auto"/>
        <w:right w:val="none" w:sz="0" w:space="0" w:color="auto"/>
      </w:divBdr>
    </w:div>
    <w:div w:id="937754798">
      <w:bodyDiv w:val="1"/>
      <w:marLeft w:val="0"/>
      <w:marRight w:val="0"/>
      <w:marTop w:val="0"/>
      <w:marBottom w:val="0"/>
      <w:divBdr>
        <w:top w:val="none" w:sz="0" w:space="0" w:color="auto"/>
        <w:left w:val="none" w:sz="0" w:space="0" w:color="auto"/>
        <w:bottom w:val="none" w:sz="0" w:space="0" w:color="auto"/>
        <w:right w:val="none" w:sz="0" w:space="0" w:color="auto"/>
      </w:divBdr>
    </w:div>
    <w:div w:id="940576021">
      <w:bodyDiv w:val="1"/>
      <w:marLeft w:val="0"/>
      <w:marRight w:val="0"/>
      <w:marTop w:val="0"/>
      <w:marBottom w:val="0"/>
      <w:divBdr>
        <w:top w:val="none" w:sz="0" w:space="0" w:color="auto"/>
        <w:left w:val="none" w:sz="0" w:space="0" w:color="auto"/>
        <w:bottom w:val="none" w:sz="0" w:space="0" w:color="auto"/>
        <w:right w:val="none" w:sz="0" w:space="0" w:color="auto"/>
      </w:divBdr>
    </w:div>
    <w:div w:id="951788774">
      <w:bodyDiv w:val="1"/>
      <w:marLeft w:val="0"/>
      <w:marRight w:val="0"/>
      <w:marTop w:val="0"/>
      <w:marBottom w:val="0"/>
      <w:divBdr>
        <w:top w:val="none" w:sz="0" w:space="0" w:color="auto"/>
        <w:left w:val="none" w:sz="0" w:space="0" w:color="auto"/>
        <w:bottom w:val="none" w:sz="0" w:space="0" w:color="auto"/>
        <w:right w:val="none" w:sz="0" w:space="0" w:color="auto"/>
      </w:divBdr>
    </w:div>
    <w:div w:id="956720103">
      <w:bodyDiv w:val="1"/>
      <w:marLeft w:val="0"/>
      <w:marRight w:val="0"/>
      <w:marTop w:val="0"/>
      <w:marBottom w:val="0"/>
      <w:divBdr>
        <w:top w:val="none" w:sz="0" w:space="0" w:color="auto"/>
        <w:left w:val="none" w:sz="0" w:space="0" w:color="auto"/>
        <w:bottom w:val="none" w:sz="0" w:space="0" w:color="auto"/>
        <w:right w:val="none" w:sz="0" w:space="0" w:color="auto"/>
      </w:divBdr>
    </w:div>
    <w:div w:id="958875186">
      <w:bodyDiv w:val="1"/>
      <w:marLeft w:val="0"/>
      <w:marRight w:val="0"/>
      <w:marTop w:val="0"/>
      <w:marBottom w:val="0"/>
      <w:divBdr>
        <w:top w:val="none" w:sz="0" w:space="0" w:color="auto"/>
        <w:left w:val="none" w:sz="0" w:space="0" w:color="auto"/>
        <w:bottom w:val="none" w:sz="0" w:space="0" w:color="auto"/>
        <w:right w:val="none" w:sz="0" w:space="0" w:color="auto"/>
      </w:divBdr>
    </w:div>
    <w:div w:id="963119358">
      <w:bodyDiv w:val="1"/>
      <w:marLeft w:val="0"/>
      <w:marRight w:val="0"/>
      <w:marTop w:val="0"/>
      <w:marBottom w:val="0"/>
      <w:divBdr>
        <w:top w:val="none" w:sz="0" w:space="0" w:color="auto"/>
        <w:left w:val="none" w:sz="0" w:space="0" w:color="auto"/>
        <w:bottom w:val="none" w:sz="0" w:space="0" w:color="auto"/>
        <w:right w:val="none" w:sz="0" w:space="0" w:color="auto"/>
      </w:divBdr>
    </w:div>
    <w:div w:id="967590284">
      <w:bodyDiv w:val="1"/>
      <w:marLeft w:val="0"/>
      <w:marRight w:val="0"/>
      <w:marTop w:val="0"/>
      <w:marBottom w:val="0"/>
      <w:divBdr>
        <w:top w:val="none" w:sz="0" w:space="0" w:color="auto"/>
        <w:left w:val="none" w:sz="0" w:space="0" w:color="auto"/>
        <w:bottom w:val="none" w:sz="0" w:space="0" w:color="auto"/>
        <w:right w:val="none" w:sz="0" w:space="0" w:color="auto"/>
      </w:divBdr>
    </w:div>
    <w:div w:id="980233800">
      <w:bodyDiv w:val="1"/>
      <w:marLeft w:val="0"/>
      <w:marRight w:val="0"/>
      <w:marTop w:val="0"/>
      <w:marBottom w:val="0"/>
      <w:divBdr>
        <w:top w:val="none" w:sz="0" w:space="0" w:color="auto"/>
        <w:left w:val="none" w:sz="0" w:space="0" w:color="auto"/>
        <w:bottom w:val="none" w:sz="0" w:space="0" w:color="auto"/>
        <w:right w:val="none" w:sz="0" w:space="0" w:color="auto"/>
      </w:divBdr>
    </w:div>
    <w:div w:id="998658599">
      <w:bodyDiv w:val="1"/>
      <w:marLeft w:val="0"/>
      <w:marRight w:val="0"/>
      <w:marTop w:val="0"/>
      <w:marBottom w:val="0"/>
      <w:divBdr>
        <w:top w:val="none" w:sz="0" w:space="0" w:color="auto"/>
        <w:left w:val="none" w:sz="0" w:space="0" w:color="auto"/>
        <w:bottom w:val="none" w:sz="0" w:space="0" w:color="auto"/>
        <w:right w:val="none" w:sz="0" w:space="0" w:color="auto"/>
      </w:divBdr>
    </w:div>
    <w:div w:id="1003626569">
      <w:bodyDiv w:val="1"/>
      <w:marLeft w:val="0"/>
      <w:marRight w:val="0"/>
      <w:marTop w:val="0"/>
      <w:marBottom w:val="0"/>
      <w:divBdr>
        <w:top w:val="none" w:sz="0" w:space="0" w:color="auto"/>
        <w:left w:val="none" w:sz="0" w:space="0" w:color="auto"/>
        <w:bottom w:val="none" w:sz="0" w:space="0" w:color="auto"/>
        <w:right w:val="none" w:sz="0" w:space="0" w:color="auto"/>
      </w:divBdr>
    </w:div>
    <w:div w:id="1007054986">
      <w:bodyDiv w:val="1"/>
      <w:marLeft w:val="0"/>
      <w:marRight w:val="0"/>
      <w:marTop w:val="0"/>
      <w:marBottom w:val="0"/>
      <w:divBdr>
        <w:top w:val="none" w:sz="0" w:space="0" w:color="auto"/>
        <w:left w:val="none" w:sz="0" w:space="0" w:color="auto"/>
        <w:bottom w:val="none" w:sz="0" w:space="0" w:color="auto"/>
        <w:right w:val="none" w:sz="0" w:space="0" w:color="auto"/>
      </w:divBdr>
    </w:div>
    <w:div w:id="1007512789">
      <w:bodyDiv w:val="1"/>
      <w:marLeft w:val="0"/>
      <w:marRight w:val="0"/>
      <w:marTop w:val="0"/>
      <w:marBottom w:val="0"/>
      <w:divBdr>
        <w:top w:val="none" w:sz="0" w:space="0" w:color="auto"/>
        <w:left w:val="none" w:sz="0" w:space="0" w:color="auto"/>
        <w:bottom w:val="none" w:sz="0" w:space="0" w:color="auto"/>
        <w:right w:val="none" w:sz="0" w:space="0" w:color="auto"/>
      </w:divBdr>
    </w:div>
    <w:div w:id="1012806836">
      <w:bodyDiv w:val="1"/>
      <w:marLeft w:val="0"/>
      <w:marRight w:val="0"/>
      <w:marTop w:val="0"/>
      <w:marBottom w:val="0"/>
      <w:divBdr>
        <w:top w:val="none" w:sz="0" w:space="0" w:color="auto"/>
        <w:left w:val="none" w:sz="0" w:space="0" w:color="auto"/>
        <w:bottom w:val="none" w:sz="0" w:space="0" w:color="auto"/>
        <w:right w:val="none" w:sz="0" w:space="0" w:color="auto"/>
      </w:divBdr>
    </w:div>
    <w:div w:id="1020157378">
      <w:bodyDiv w:val="1"/>
      <w:marLeft w:val="0"/>
      <w:marRight w:val="0"/>
      <w:marTop w:val="0"/>
      <w:marBottom w:val="0"/>
      <w:divBdr>
        <w:top w:val="none" w:sz="0" w:space="0" w:color="auto"/>
        <w:left w:val="none" w:sz="0" w:space="0" w:color="auto"/>
        <w:bottom w:val="none" w:sz="0" w:space="0" w:color="auto"/>
        <w:right w:val="none" w:sz="0" w:space="0" w:color="auto"/>
      </w:divBdr>
    </w:div>
    <w:div w:id="1022709192">
      <w:bodyDiv w:val="1"/>
      <w:marLeft w:val="0"/>
      <w:marRight w:val="0"/>
      <w:marTop w:val="0"/>
      <w:marBottom w:val="0"/>
      <w:divBdr>
        <w:top w:val="none" w:sz="0" w:space="0" w:color="auto"/>
        <w:left w:val="none" w:sz="0" w:space="0" w:color="auto"/>
        <w:bottom w:val="none" w:sz="0" w:space="0" w:color="auto"/>
        <w:right w:val="none" w:sz="0" w:space="0" w:color="auto"/>
      </w:divBdr>
    </w:div>
    <w:div w:id="1024287761">
      <w:bodyDiv w:val="1"/>
      <w:marLeft w:val="0"/>
      <w:marRight w:val="0"/>
      <w:marTop w:val="0"/>
      <w:marBottom w:val="0"/>
      <w:divBdr>
        <w:top w:val="none" w:sz="0" w:space="0" w:color="auto"/>
        <w:left w:val="none" w:sz="0" w:space="0" w:color="auto"/>
        <w:bottom w:val="none" w:sz="0" w:space="0" w:color="auto"/>
        <w:right w:val="none" w:sz="0" w:space="0" w:color="auto"/>
      </w:divBdr>
    </w:div>
    <w:div w:id="1030841291">
      <w:bodyDiv w:val="1"/>
      <w:marLeft w:val="0"/>
      <w:marRight w:val="0"/>
      <w:marTop w:val="0"/>
      <w:marBottom w:val="0"/>
      <w:divBdr>
        <w:top w:val="none" w:sz="0" w:space="0" w:color="auto"/>
        <w:left w:val="none" w:sz="0" w:space="0" w:color="auto"/>
        <w:bottom w:val="none" w:sz="0" w:space="0" w:color="auto"/>
        <w:right w:val="none" w:sz="0" w:space="0" w:color="auto"/>
      </w:divBdr>
    </w:div>
    <w:div w:id="1043946979">
      <w:bodyDiv w:val="1"/>
      <w:marLeft w:val="0"/>
      <w:marRight w:val="0"/>
      <w:marTop w:val="0"/>
      <w:marBottom w:val="0"/>
      <w:divBdr>
        <w:top w:val="none" w:sz="0" w:space="0" w:color="auto"/>
        <w:left w:val="none" w:sz="0" w:space="0" w:color="auto"/>
        <w:bottom w:val="none" w:sz="0" w:space="0" w:color="auto"/>
        <w:right w:val="none" w:sz="0" w:space="0" w:color="auto"/>
      </w:divBdr>
    </w:div>
    <w:div w:id="1047219526">
      <w:bodyDiv w:val="1"/>
      <w:marLeft w:val="0"/>
      <w:marRight w:val="0"/>
      <w:marTop w:val="0"/>
      <w:marBottom w:val="0"/>
      <w:divBdr>
        <w:top w:val="none" w:sz="0" w:space="0" w:color="auto"/>
        <w:left w:val="none" w:sz="0" w:space="0" w:color="auto"/>
        <w:bottom w:val="none" w:sz="0" w:space="0" w:color="auto"/>
        <w:right w:val="none" w:sz="0" w:space="0" w:color="auto"/>
      </w:divBdr>
    </w:div>
    <w:div w:id="1052119086">
      <w:bodyDiv w:val="1"/>
      <w:marLeft w:val="0"/>
      <w:marRight w:val="0"/>
      <w:marTop w:val="0"/>
      <w:marBottom w:val="0"/>
      <w:divBdr>
        <w:top w:val="none" w:sz="0" w:space="0" w:color="auto"/>
        <w:left w:val="none" w:sz="0" w:space="0" w:color="auto"/>
        <w:bottom w:val="none" w:sz="0" w:space="0" w:color="auto"/>
        <w:right w:val="none" w:sz="0" w:space="0" w:color="auto"/>
      </w:divBdr>
    </w:div>
    <w:div w:id="1061439117">
      <w:bodyDiv w:val="1"/>
      <w:marLeft w:val="0"/>
      <w:marRight w:val="0"/>
      <w:marTop w:val="0"/>
      <w:marBottom w:val="0"/>
      <w:divBdr>
        <w:top w:val="none" w:sz="0" w:space="0" w:color="auto"/>
        <w:left w:val="none" w:sz="0" w:space="0" w:color="auto"/>
        <w:bottom w:val="none" w:sz="0" w:space="0" w:color="auto"/>
        <w:right w:val="none" w:sz="0" w:space="0" w:color="auto"/>
      </w:divBdr>
    </w:div>
    <w:div w:id="1074428614">
      <w:bodyDiv w:val="1"/>
      <w:marLeft w:val="0"/>
      <w:marRight w:val="0"/>
      <w:marTop w:val="0"/>
      <w:marBottom w:val="0"/>
      <w:divBdr>
        <w:top w:val="none" w:sz="0" w:space="0" w:color="auto"/>
        <w:left w:val="none" w:sz="0" w:space="0" w:color="auto"/>
        <w:bottom w:val="none" w:sz="0" w:space="0" w:color="auto"/>
        <w:right w:val="none" w:sz="0" w:space="0" w:color="auto"/>
      </w:divBdr>
    </w:div>
    <w:div w:id="1079399313">
      <w:bodyDiv w:val="1"/>
      <w:marLeft w:val="0"/>
      <w:marRight w:val="0"/>
      <w:marTop w:val="0"/>
      <w:marBottom w:val="0"/>
      <w:divBdr>
        <w:top w:val="none" w:sz="0" w:space="0" w:color="auto"/>
        <w:left w:val="none" w:sz="0" w:space="0" w:color="auto"/>
        <w:bottom w:val="none" w:sz="0" w:space="0" w:color="auto"/>
        <w:right w:val="none" w:sz="0" w:space="0" w:color="auto"/>
      </w:divBdr>
    </w:div>
    <w:div w:id="1095592899">
      <w:bodyDiv w:val="1"/>
      <w:marLeft w:val="0"/>
      <w:marRight w:val="0"/>
      <w:marTop w:val="0"/>
      <w:marBottom w:val="0"/>
      <w:divBdr>
        <w:top w:val="none" w:sz="0" w:space="0" w:color="auto"/>
        <w:left w:val="none" w:sz="0" w:space="0" w:color="auto"/>
        <w:bottom w:val="none" w:sz="0" w:space="0" w:color="auto"/>
        <w:right w:val="none" w:sz="0" w:space="0" w:color="auto"/>
      </w:divBdr>
    </w:div>
    <w:div w:id="1108621148">
      <w:bodyDiv w:val="1"/>
      <w:marLeft w:val="0"/>
      <w:marRight w:val="0"/>
      <w:marTop w:val="0"/>
      <w:marBottom w:val="0"/>
      <w:divBdr>
        <w:top w:val="none" w:sz="0" w:space="0" w:color="auto"/>
        <w:left w:val="none" w:sz="0" w:space="0" w:color="auto"/>
        <w:bottom w:val="none" w:sz="0" w:space="0" w:color="auto"/>
        <w:right w:val="none" w:sz="0" w:space="0" w:color="auto"/>
      </w:divBdr>
    </w:div>
    <w:div w:id="1113478502">
      <w:bodyDiv w:val="1"/>
      <w:marLeft w:val="0"/>
      <w:marRight w:val="0"/>
      <w:marTop w:val="0"/>
      <w:marBottom w:val="0"/>
      <w:divBdr>
        <w:top w:val="none" w:sz="0" w:space="0" w:color="auto"/>
        <w:left w:val="none" w:sz="0" w:space="0" w:color="auto"/>
        <w:bottom w:val="none" w:sz="0" w:space="0" w:color="auto"/>
        <w:right w:val="none" w:sz="0" w:space="0" w:color="auto"/>
      </w:divBdr>
    </w:div>
    <w:div w:id="1114665904">
      <w:bodyDiv w:val="1"/>
      <w:marLeft w:val="0"/>
      <w:marRight w:val="0"/>
      <w:marTop w:val="0"/>
      <w:marBottom w:val="0"/>
      <w:divBdr>
        <w:top w:val="none" w:sz="0" w:space="0" w:color="auto"/>
        <w:left w:val="none" w:sz="0" w:space="0" w:color="auto"/>
        <w:bottom w:val="none" w:sz="0" w:space="0" w:color="auto"/>
        <w:right w:val="none" w:sz="0" w:space="0" w:color="auto"/>
      </w:divBdr>
    </w:div>
    <w:div w:id="1132943300">
      <w:bodyDiv w:val="1"/>
      <w:marLeft w:val="0"/>
      <w:marRight w:val="0"/>
      <w:marTop w:val="0"/>
      <w:marBottom w:val="0"/>
      <w:divBdr>
        <w:top w:val="none" w:sz="0" w:space="0" w:color="auto"/>
        <w:left w:val="none" w:sz="0" w:space="0" w:color="auto"/>
        <w:bottom w:val="none" w:sz="0" w:space="0" w:color="auto"/>
        <w:right w:val="none" w:sz="0" w:space="0" w:color="auto"/>
      </w:divBdr>
    </w:div>
    <w:div w:id="1135414107">
      <w:bodyDiv w:val="1"/>
      <w:marLeft w:val="0"/>
      <w:marRight w:val="0"/>
      <w:marTop w:val="0"/>
      <w:marBottom w:val="0"/>
      <w:divBdr>
        <w:top w:val="none" w:sz="0" w:space="0" w:color="auto"/>
        <w:left w:val="none" w:sz="0" w:space="0" w:color="auto"/>
        <w:bottom w:val="none" w:sz="0" w:space="0" w:color="auto"/>
        <w:right w:val="none" w:sz="0" w:space="0" w:color="auto"/>
      </w:divBdr>
    </w:div>
    <w:div w:id="1141846689">
      <w:bodyDiv w:val="1"/>
      <w:marLeft w:val="0"/>
      <w:marRight w:val="0"/>
      <w:marTop w:val="0"/>
      <w:marBottom w:val="0"/>
      <w:divBdr>
        <w:top w:val="none" w:sz="0" w:space="0" w:color="auto"/>
        <w:left w:val="none" w:sz="0" w:space="0" w:color="auto"/>
        <w:bottom w:val="none" w:sz="0" w:space="0" w:color="auto"/>
        <w:right w:val="none" w:sz="0" w:space="0" w:color="auto"/>
      </w:divBdr>
    </w:div>
    <w:div w:id="1210454608">
      <w:bodyDiv w:val="1"/>
      <w:marLeft w:val="0"/>
      <w:marRight w:val="0"/>
      <w:marTop w:val="0"/>
      <w:marBottom w:val="0"/>
      <w:divBdr>
        <w:top w:val="none" w:sz="0" w:space="0" w:color="auto"/>
        <w:left w:val="none" w:sz="0" w:space="0" w:color="auto"/>
        <w:bottom w:val="none" w:sz="0" w:space="0" w:color="auto"/>
        <w:right w:val="none" w:sz="0" w:space="0" w:color="auto"/>
      </w:divBdr>
    </w:div>
    <w:div w:id="1215779358">
      <w:bodyDiv w:val="1"/>
      <w:marLeft w:val="0"/>
      <w:marRight w:val="0"/>
      <w:marTop w:val="0"/>
      <w:marBottom w:val="0"/>
      <w:divBdr>
        <w:top w:val="none" w:sz="0" w:space="0" w:color="auto"/>
        <w:left w:val="none" w:sz="0" w:space="0" w:color="auto"/>
        <w:bottom w:val="none" w:sz="0" w:space="0" w:color="auto"/>
        <w:right w:val="none" w:sz="0" w:space="0" w:color="auto"/>
      </w:divBdr>
    </w:div>
    <w:div w:id="1218203642">
      <w:bodyDiv w:val="1"/>
      <w:marLeft w:val="0"/>
      <w:marRight w:val="0"/>
      <w:marTop w:val="0"/>
      <w:marBottom w:val="0"/>
      <w:divBdr>
        <w:top w:val="none" w:sz="0" w:space="0" w:color="auto"/>
        <w:left w:val="none" w:sz="0" w:space="0" w:color="auto"/>
        <w:bottom w:val="none" w:sz="0" w:space="0" w:color="auto"/>
        <w:right w:val="none" w:sz="0" w:space="0" w:color="auto"/>
      </w:divBdr>
    </w:div>
    <w:div w:id="1224947971">
      <w:bodyDiv w:val="1"/>
      <w:marLeft w:val="0"/>
      <w:marRight w:val="0"/>
      <w:marTop w:val="0"/>
      <w:marBottom w:val="0"/>
      <w:divBdr>
        <w:top w:val="none" w:sz="0" w:space="0" w:color="auto"/>
        <w:left w:val="none" w:sz="0" w:space="0" w:color="auto"/>
        <w:bottom w:val="none" w:sz="0" w:space="0" w:color="auto"/>
        <w:right w:val="none" w:sz="0" w:space="0" w:color="auto"/>
      </w:divBdr>
    </w:div>
    <w:div w:id="1227641710">
      <w:bodyDiv w:val="1"/>
      <w:marLeft w:val="0"/>
      <w:marRight w:val="0"/>
      <w:marTop w:val="0"/>
      <w:marBottom w:val="0"/>
      <w:divBdr>
        <w:top w:val="none" w:sz="0" w:space="0" w:color="auto"/>
        <w:left w:val="none" w:sz="0" w:space="0" w:color="auto"/>
        <w:bottom w:val="none" w:sz="0" w:space="0" w:color="auto"/>
        <w:right w:val="none" w:sz="0" w:space="0" w:color="auto"/>
      </w:divBdr>
    </w:div>
    <w:div w:id="1247111723">
      <w:bodyDiv w:val="1"/>
      <w:marLeft w:val="0"/>
      <w:marRight w:val="0"/>
      <w:marTop w:val="0"/>
      <w:marBottom w:val="0"/>
      <w:divBdr>
        <w:top w:val="none" w:sz="0" w:space="0" w:color="auto"/>
        <w:left w:val="none" w:sz="0" w:space="0" w:color="auto"/>
        <w:bottom w:val="none" w:sz="0" w:space="0" w:color="auto"/>
        <w:right w:val="none" w:sz="0" w:space="0" w:color="auto"/>
      </w:divBdr>
    </w:div>
    <w:div w:id="1266108559">
      <w:bodyDiv w:val="1"/>
      <w:marLeft w:val="0"/>
      <w:marRight w:val="0"/>
      <w:marTop w:val="0"/>
      <w:marBottom w:val="0"/>
      <w:divBdr>
        <w:top w:val="none" w:sz="0" w:space="0" w:color="auto"/>
        <w:left w:val="none" w:sz="0" w:space="0" w:color="auto"/>
        <w:bottom w:val="none" w:sz="0" w:space="0" w:color="auto"/>
        <w:right w:val="none" w:sz="0" w:space="0" w:color="auto"/>
      </w:divBdr>
    </w:div>
    <w:div w:id="1266813981">
      <w:bodyDiv w:val="1"/>
      <w:marLeft w:val="0"/>
      <w:marRight w:val="0"/>
      <w:marTop w:val="0"/>
      <w:marBottom w:val="0"/>
      <w:divBdr>
        <w:top w:val="none" w:sz="0" w:space="0" w:color="auto"/>
        <w:left w:val="none" w:sz="0" w:space="0" w:color="auto"/>
        <w:bottom w:val="none" w:sz="0" w:space="0" w:color="auto"/>
        <w:right w:val="none" w:sz="0" w:space="0" w:color="auto"/>
      </w:divBdr>
    </w:div>
    <w:div w:id="1268273680">
      <w:bodyDiv w:val="1"/>
      <w:marLeft w:val="0"/>
      <w:marRight w:val="0"/>
      <w:marTop w:val="0"/>
      <w:marBottom w:val="0"/>
      <w:divBdr>
        <w:top w:val="none" w:sz="0" w:space="0" w:color="auto"/>
        <w:left w:val="none" w:sz="0" w:space="0" w:color="auto"/>
        <w:bottom w:val="none" w:sz="0" w:space="0" w:color="auto"/>
        <w:right w:val="none" w:sz="0" w:space="0" w:color="auto"/>
      </w:divBdr>
    </w:div>
    <w:div w:id="1274433395">
      <w:bodyDiv w:val="1"/>
      <w:marLeft w:val="0"/>
      <w:marRight w:val="0"/>
      <w:marTop w:val="0"/>
      <w:marBottom w:val="0"/>
      <w:divBdr>
        <w:top w:val="none" w:sz="0" w:space="0" w:color="auto"/>
        <w:left w:val="none" w:sz="0" w:space="0" w:color="auto"/>
        <w:bottom w:val="none" w:sz="0" w:space="0" w:color="auto"/>
        <w:right w:val="none" w:sz="0" w:space="0" w:color="auto"/>
      </w:divBdr>
    </w:div>
    <w:div w:id="1275866449">
      <w:bodyDiv w:val="1"/>
      <w:marLeft w:val="0"/>
      <w:marRight w:val="0"/>
      <w:marTop w:val="0"/>
      <w:marBottom w:val="0"/>
      <w:divBdr>
        <w:top w:val="none" w:sz="0" w:space="0" w:color="auto"/>
        <w:left w:val="none" w:sz="0" w:space="0" w:color="auto"/>
        <w:bottom w:val="none" w:sz="0" w:space="0" w:color="auto"/>
        <w:right w:val="none" w:sz="0" w:space="0" w:color="auto"/>
      </w:divBdr>
    </w:div>
    <w:div w:id="1286932065">
      <w:bodyDiv w:val="1"/>
      <w:marLeft w:val="0"/>
      <w:marRight w:val="0"/>
      <w:marTop w:val="0"/>
      <w:marBottom w:val="0"/>
      <w:divBdr>
        <w:top w:val="none" w:sz="0" w:space="0" w:color="auto"/>
        <w:left w:val="none" w:sz="0" w:space="0" w:color="auto"/>
        <w:bottom w:val="none" w:sz="0" w:space="0" w:color="auto"/>
        <w:right w:val="none" w:sz="0" w:space="0" w:color="auto"/>
      </w:divBdr>
    </w:div>
    <w:div w:id="1293170626">
      <w:bodyDiv w:val="1"/>
      <w:marLeft w:val="0"/>
      <w:marRight w:val="0"/>
      <w:marTop w:val="0"/>
      <w:marBottom w:val="0"/>
      <w:divBdr>
        <w:top w:val="none" w:sz="0" w:space="0" w:color="auto"/>
        <w:left w:val="none" w:sz="0" w:space="0" w:color="auto"/>
        <w:bottom w:val="none" w:sz="0" w:space="0" w:color="auto"/>
        <w:right w:val="none" w:sz="0" w:space="0" w:color="auto"/>
      </w:divBdr>
    </w:div>
    <w:div w:id="1299264665">
      <w:bodyDiv w:val="1"/>
      <w:marLeft w:val="0"/>
      <w:marRight w:val="0"/>
      <w:marTop w:val="0"/>
      <w:marBottom w:val="0"/>
      <w:divBdr>
        <w:top w:val="none" w:sz="0" w:space="0" w:color="auto"/>
        <w:left w:val="none" w:sz="0" w:space="0" w:color="auto"/>
        <w:bottom w:val="none" w:sz="0" w:space="0" w:color="auto"/>
        <w:right w:val="none" w:sz="0" w:space="0" w:color="auto"/>
      </w:divBdr>
    </w:div>
    <w:div w:id="1301115177">
      <w:bodyDiv w:val="1"/>
      <w:marLeft w:val="0"/>
      <w:marRight w:val="0"/>
      <w:marTop w:val="0"/>
      <w:marBottom w:val="0"/>
      <w:divBdr>
        <w:top w:val="none" w:sz="0" w:space="0" w:color="auto"/>
        <w:left w:val="none" w:sz="0" w:space="0" w:color="auto"/>
        <w:bottom w:val="none" w:sz="0" w:space="0" w:color="auto"/>
        <w:right w:val="none" w:sz="0" w:space="0" w:color="auto"/>
      </w:divBdr>
    </w:div>
    <w:div w:id="1320427884">
      <w:bodyDiv w:val="1"/>
      <w:marLeft w:val="0"/>
      <w:marRight w:val="0"/>
      <w:marTop w:val="0"/>
      <w:marBottom w:val="0"/>
      <w:divBdr>
        <w:top w:val="none" w:sz="0" w:space="0" w:color="auto"/>
        <w:left w:val="none" w:sz="0" w:space="0" w:color="auto"/>
        <w:bottom w:val="none" w:sz="0" w:space="0" w:color="auto"/>
        <w:right w:val="none" w:sz="0" w:space="0" w:color="auto"/>
      </w:divBdr>
    </w:div>
    <w:div w:id="1323698064">
      <w:bodyDiv w:val="1"/>
      <w:marLeft w:val="0"/>
      <w:marRight w:val="0"/>
      <w:marTop w:val="0"/>
      <w:marBottom w:val="0"/>
      <w:divBdr>
        <w:top w:val="none" w:sz="0" w:space="0" w:color="auto"/>
        <w:left w:val="none" w:sz="0" w:space="0" w:color="auto"/>
        <w:bottom w:val="none" w:sz="0" w:space="0" w:color="auto"/>
        <w:right w:val="none" w:sz="0" w:space="0" w:color="auto"/>
      </w:divBdr>
    </w:div>
    <w:div w:id="1327518630">
      <w:bodyDiv w:val="1"/>
      <w:marLeft w:val="0"/>
      <w:marRight w:val="0"/>
      <w:marTop w:val="0"/>
      <w:marBottom w:val="0"/>
      <w:divBdr>
        <w:top w:val="none" w:sz="0" w:space="0" w:color="auto"/>
        <w:left w:val="none" w:sz="0" w:space="0" w:color="auto"/>
        <w:bottom w:val="none" w:sz="0" w:space="0" w:color="auto"/>
        <w:right w:val="none" w:sz="0" w:space="0" w:color="auto"/>
      </w:divBdr>
    </w:div>
    <w:div w:id="1333558901">
      <w:bodyDiv w:val="1"/>
      <w:marLeft w:val="0"/>
      <w:marRight w:val="0"/>
      <w:marTop w:val="0"/>
      <w:marBottom w:val="0"/>
      <w:divBdr>
        <w:top w:val="none" w:sz="0" w:space="0" w:color="auto"/>
        <w:left w:val="none" w:sz="0" w:space="0" w:color="auto"/>
        <w:bottom w:val="none" w:sz="0" w:space="0" w:color="auto"/>
        <w:right w:val="none" w:sz="0" w:space="0" w:color="auto"/>
      </w:divBdr>
    </w:div>
    <w:div w:id="1333945862">
      <w:bodyDiv w:val="1"/>
      <w:marLeft w:val="0"/>
      <w:marRight w:val="0"/>
      <w:marTop w:val="0"/>
      <w:marBottom w:val="0"/>
      <w:divBdr>
        <w:top w:val="none" w:sz="0" w:space="0" w:color="auto"/>
        <w:left w:val="none" w:sz="0" w:space="0" w:color="auto"/>
        <w:bottom w:val="none" w:sz="0" w:space="0" w:color="auto"/>
        <w:right w:val="none" w:sz="0" w:space="0" w:color="auto"/>
      </w:divBdr>
    </w:div>
    <w:div w:id="1336958768">
      <w:bodyDiv w:val="1"/>
      <w:marLeft w:val="0"/>
      <w:marRight w:val="0"/>
      <w:marTop w:val="0"/>
      <w:marBottom w:val="0"/>
      <w:divBdr>
        <w:top w:val="none" w:sz="0" w:space="0" w:color="auto"/>
        <w:left w:val="none" w:sz="0" w:space="0" w:color="auto"/>
        <w:bottom w:val="none" w:sz="0" w:space="0" w:color="auto"/>
        <w:right w:val="none" w:sz="0" w:space="0" w:color="auto"/>
      </w:divBdr>
    </w:div>
    <w:div w:id="1345743687">
      <w:bodyDiv w:val="1"/>
      <w:marLeft w:val="0"/>
      <w:marRight w:val="0"/>
      <w:marTop w:val="0"/>
      <w:marBottom w:val="0"/>
      <w:divBdr>
        <w:top w:val="none" w:sz="0" w:space="0" w:color="auto"/>
        <w:left w:val="none" w:sz="0" w:space="0" w:color="auto"/>
        <w:bottom w:val="none" w:sz="0" w:space="0" w:color="auto"/>
        <w:right w:val="none" w:sz="0" w:space="0" w:color="auto"/>
      </w:divBdr>
    </w:div>
    <w:div w:id="1346982346">
      <w:bodyDiv w:val="1"/>
      <w:marLeft w:val="0"/>
      <w:marRight w:val="0"/>
      <w:marTop w:val="0"/>
      <w:marBottom w:val="0"/>
      <w:divBdr>
        <w:top w:val="none" w:sz="0" w:space="0" w:color="auto"/>
        <w:left w:val="none" w:sz="0" w:space="0" w:color="auto"/>
        <w:bottom w:val="none" w:sz="0" w:space="0" w:color="auto"/>
        <w:right w:val="none" w:sz="0" w:space="0" w:color="auto"/>
      </w:divBdr>
    </w:div>
    <w:div w:id="1348141369">
      <w:bodyDiv w:val="1"/>
      <w:marLeft w:val="0"/>
      <w:marRight w:val="0"/>
      <w:marTop w:val="0"/>
      <w:marBottom w:val="0"/>
      <w:divBdr>
        <w:top w:val="none" w:sz="0" w:space="0" w:color="auto"/>
        <w:left w:val="none" w:sz="0" w:space="0" w:color="auto"/>
        <w:bottom w:val="none" w:sz="0" w:space="0" w:color="auto"/>
        <w:right w:val="none" w:sz="0" w:space="0" w:color="auto"/>
      </w:divBdr>
    </w:div>
    <w:div w:id="1352610710">
      <w:bodyDiv w:val="1"/>
      <w:marLeft w:val="0"/>
      <w:marRight w:val="0"/>
      <w:marTop w:val="0"/>
      <w:marBottom w:val="0"/>
      <w:divBdr>
        <w:top w:val="none" w:sz="0" w:space="0" w:color="auto"/>
        <w:left w:val="none" w:sz="0" w:space="0" w:color="auto"/>
        <w:bottom w:val="none" w:sz="0" w:space="0" w:color="auto"/>
        <w:right w:val="none" w:sz="0" w:space="0" w:color="auto"/>
      </w:divBdr>
    </w:div>
    <w:div w:id="1355111801">
      <w:bodyDiv w:val="1"/>
      <w:marLeft w:val="0"/>
      <w:marRight w:val="0"/>
      <w:marTop w:val="0"/>
      <w:marBottom w:val="0"/>
      <w:divBdr>
        <w:top w:val="none" w:sz="0" w:space="0" w:color="auto"/>
        <w:left w:val="none" w:sz="0" w:space="0" w:color="auto"/>
        <w:bottom w:val="none" w:sz="0" w:space="0" w:color="auto"/>
        <w:right w:val="none" w:sz="0" w:space="0" w:color="auto"/>
      </w:divBdr>
    </w:div>
    <w:div w:id="1370030877">
      <w:bodyDiv w:val="1"/>
      <w:marLeft w:val="0"/>
      <w:marRight w:val="0"/>
      <w:marTop w:val="0"/>
      <w:marBottom w:val="0"/>
      <w:divBdr>
        <w:top w:val="none" w:sz="0" w:space="0" w:color="auto"/>
        <w:left w:val="none" w:sz="0" w:space="0" w:color="auto"/>
        <w:bottom w:val="none" w:sz="0" w:space="0" w:color="auto"/>
        <w:right w:val="none" w:sz="0" w:space="0" w:color="auto"/>
      </w:divBdr>
    </w:div>
    <w:div w:id="1373843303">
      <w:bodyDiv w:val="1"/>
      <w:marLeft w:val="0"/>
      <w:marRight w:val="0"/>
      <w:marTop w:val="0"/>
      <w:marBottom w:val="0"/>
      <w:divBdr>
        <w:top w:val="none" w:sz="0" w:space="0" w:color="auto"/>
        <w:left w:val="none" w:sz="0" w:space="0" w:color="auto"/>
        <w:bottom w:val="none" w:sz="0" w:space="0" w:color="auto"/>
        <w:right w:val="none" w:sz="0" w:space="0" w:color="auto"/>
      </w:divBdr>
    </w:div>
    <w:div w:id="1382943188">
      <w:bodyDiv w:val="1"/>
      <w:marLeft w:val="0"/>
      <w:marRight w:val="0"/>
      <w:marTop w:val="0"/>
      <w:marBottom w:val="0"/>
      <w:divBdr>
        <w:top w:val="none" w:sz="0" w:space="0" w:color="auto"/>
        <w:left w:val="none" w:sz="0" w:space="0" w:color="auto"/>
        <w:bottom w:val="none" w:sz="0" w:space="0" w:color="auto"/>
        <w:right w:val="none" w:sz="0" w:space="0" w:color="auto"/>
      </w:divBdr>
    </w:div>
    <w:div w:id="1385838078">
      <w:bodyDiv w:val="1"/>
      <w:marLeft w:val="0"/>
      <w:marRight w:val="0"/>
      <w:marTop w:val="0"/>
      <w:marBottom w:val="0"/>
      <w:divBdr>
        <w:top w:val="none" w:sz="0" w:space="0" w:color="auto"/>
        <w:left w:val="none" w:sz="0" w:space="0" w:color="auto"/>
        <w:bottom w:val="none" w:sz="0" w:space="0" w:color="auto"/>
        <w:right w:val="none" w:sz="0" w:space="0" w:color="auto"/>
      </w:divBdr>
    </w:div>
    <w:div w:id="1386174017">
      <w:bodyDiv w:val="1"/>
      <w:marLeft w:val="0"/>
      <w:marRight w:val="0"/>
      <w:marTop w:val="0"/>
      <w:marBottom w:val="0"/>
      <w:divBdr>
        <w:top w:val="none" w:sz="0" w:space="0" w:color="auto"/>
        <w:left w:val="none" w:sz="0" w:space="0" w:color="auto"/>
        <w:bottom w:val="none" w:sz="0" w:space="0" w:color="auto"/>
        <w:right w:val="none" w:sz="0" w:space="0" w:color="auto"/>
      </w:divBdr>
    </w:div>
    <w:div w:id="1387684794">
      <w:bodyDiv w:val="1"/>
      <w:marLeft w:val="0"/>
      <w:marRight w:val="0"/>
      <w:marTop w:val="0"/>
      <w:marBottom w:val="0"/>
      <w:divBdr>
        <w:top w:val="none" w:sz="0" w:space="0" w:color="auto"/>
        <w:left w:val="none" w:sz="0" w:space="0" w:color="auto"/>
        <w:bottom w:val="none" w:sz="0" w:space="0" w:color="auto"/>
        <w:right w:val="none" w:sz="0" w:space="0" w:color="auto"/>
      </w:divBdr>
    </w:div>
    <w:div w:id="1390885553">
      <w:bodyDiv w:val="1"/>
      <w:marLeft w:val="0"/>
      <w:marRight w:val="0"/>
      <w:marTop w:val="0"/>
      <w:marBottom w:val="0"/>
      <w:divBdr>
        <w:top w:val="none" w:sz="0" w:space="0" w:color="auto"/>
        <w:left w:val="none" w:sz="0" w:space="0" w:color="auto"/>
        <w:bottom w:val="none" w:sz="0" w:space="0" w:color="auto"/>
        <w:right w:val="none" w:sz="0" w:space="0" w:color="auto"/>
      </w:divBdr>
    </w:div>
    <w:div w:id="1394617860">
      <w:bodyDiv w:val="1"/>
      <w:marLeft w:val="0"/>
      <w:marRight w:val="0"/>
      <w:marTop w:val="0"/>
      <w:marBottom w:val="0"/>
      <w:divBdr>
        <w:top w:val="none" w:sz="0" w:space="0" w:color="auto"/>
        <w:left w:val="none" w:sz="0" w:space="0" w:color="auto"/>
        <w:bottom w:val="none" w:sz="0" w:space="0" w:color="auto"/>
        <w:right w:val="none" w:sz="0" w:space="0" w:color="auto"/>
      </w:divBdr>
    </w:div>
    <w:div w:id="1396319203">
      <w:bodyDiv w:val="1"/>
      <w:marLeft w:val="0"/>
      <w:marRight w:val="0"/>
      <w:marTop w:val="0"/>
      <w:marBottom w:val="0"/>
      <w:divBdr>
        <w:top w:val="none" w:sz="0" w:space="0" w:color="auto"/>
        <w:left w:val="none" w:sz="0" w:space="0" w:color="auto"/>
        <w:bottom w:val="none" w:sz="0" w:space="0" w:color="auto"/>
        <w:right w:val="none" w:sz="0" w:space="0" w:color="auto"/>
      </w:divBdr>
    </w:div>
    <w:div w:id="1401756199">
      <w:bodyDiv w:val="1"/>
      <w:marLeft w:val="0"/>
      <w:marRight w:val="0"/>
      <w:marTop w:val="0"/>
      <w:marBottom w:val="0"/>
      <w:divBdr>
        <w:top w:val="none" w:sz="0" w:space="0" w:color="auto"/>
        <w:left w:val="none" w:sz="0" w:space="0" w:color="auto"/>
        <w:bottom w:val="none" w:sz="0" w:space="0" w:color="auto"/>
        <w:right w:val="none" w:sz="0" w:space="0" w:color="auto"/>
      </w:divBdr>
    </w:div>
    <w:div w:id="1412046034">
      <w:bodyDiv w:val="1"/>
      <w:marLeft w:val="0"/>
      <w:marRight w:val="0"/>
      <w:marTop w:val="0"/>
      <w:marBottom w:val="0"/>
      <w:divBdr>
        <w:top w:val="none" w:sz="0" w:space="0" w:color="auto"/>
        <w:left w:val="none" w:sz="0" w:space="0" w:color="auto"/>
        <w:bottom w:val="none" w:sz="0" w:space="0" w:color="auto"/>
        <w:right w:val="none" w:sz="0" w:space="0" w:color="auto"/>
      </w:divBdr>
    </w:div>
    <w:div w:id="1413744280">
      <w:bodyDiv w:val="1"/>
      <w:marLeft w:val="0"/>
      <w:marRight w:val="0"/>
      <w:marTop w:val="0"/>
      <w:marBottom w:val="0"/>
      <w:divBdr>
        <w:top w:val="none" w:sz="0" w:space="0" w:color="auto"/>
        <w:left w:val="none" w:sz="0" w:space="0" w:color="auto"/>
        <w:bottom w:val="none" w:sz="0" w:space="0" w:color="auto"/>
        <w:right w:val="none" w:sz="0" w:space="0" w:color="auto"/>
      </w:divBdr>
    </w:div>
    <w:div w:id="1423257595">
      <w:bodyDiv w:val="1"/>
      <w:marLeft w:val="0"/>
      <w:marRight w:val="0"/>
      <w:marTop w:val="0"/>
      <w:marBottom w:val="0"/>
      <w:divBdr>
        <w:top w:val="none" w:sz="0" w:space="0" w:color="auto"/>
        <w:left w:val="none" w:sz="0" w:space="0" w:color="auto"/>
        <w:bottom w:val="none" w:sz="0" w:space="0" w:color="auto"/>
        <w:right w:val="none" w:sz="0" w:space="0" w:color="auto"/>
      </w:divBdr>
    </w:div>
    <w:div w:id="1423454853">
      <w:bodyDiv w:val="1"/>
      <w:marLeft w:val="0"/>
      <w:marRight w:val="0"/>
      <w:marTop w:val="0"/>
      <w:marBottom w:val="0"/>
      <w:divBdr>
        <w:top w:val="none" w:sz="0" w:space="0" w:color="auto"/>
        <w:left w:val="none" w:sz="0" w:space="0" w:color="auto"/>
        <w:bottom w:val="none" w:sz="0" w:space="0" w:color="auto"/>
        <w:right w:val="none" w:sz="0" w:space="0" w:color="auto"/>
      </w:divBdr>
    </w:div>
    <w:div w:id="1433430456">
      <w:bodyDiv w:val="1"/>
      <w:marLeft w:val="0"/>
      <w:marRight w:val="0"/>
      <w:marTop w:val="0"/>
      <w:marBottom w:val="0"/>
      <w:divBdr>
        <w:top w:val="none" w:sz="0" w:space="0" w:color="auto"/>
        <w:left w:val="none" w:sz="0" w:space="0" w:color="auto"/>
        <w:bottom w:val="none" w:sz="0" w:space="0" w:color="auto"/>
        <w:right w:val="none" w:sz="0" w:space="0" w:color="auto"/>
      </w:divBdr>
    </w:div>
    <w:div w:id="1447390773">
      <w:bodyDiv w:val="1"/>
      <w:marLeft w:val="0"/>
      <w:marRight w:val="0"/>
      <w:marTop w:val="0"/>
      <w:marBottom w:val="0"/>
      <w:divBdr>
        <w:top w:val="none" w:sz="0" w:space="0" w:color="auto"/>
        <w:left w:val="none" w:sz="0" w:space="0" w:color="auto"/>
        <w:bottom w:val="none" w:sz="0" w:space="0" w:color="auto"/>
        <w:right w:val="none" w:sz="0" w:space="0" w:color="auto"/>
      </w:divBdr>
    </w:div>
    <w:div w:id="1460874572">
      <w:bodyDiv w:val="1"/>
      <w:marLeft w:val="0"/>
      <w:marRight w:val="0"/>
      <w:marTop w:val="0"/>
      <w:marBottom w:val="0"/>
      <w:divBdr>
        <w:top w:val="none" w:sz="0" w:space="0" w:color="auto"/>
        <w:left w:val="none" w:sz="0" w:space="0" w:color="auto"/>
        <w:bottom w:val="none" w:sz="0" w:space="0" w:color="auto"/>
        <w:right w:val="none" w:sz="0" w:space="0" w:color="auto"/>
      </w:divBdr>
    </w:div>
    <w:div w:id="1461344184">
      <w:bodyDiv w:val="1"/>
      <w:marLeft w:val="0"/>
      <w:marRight w:val="0"/>
      <w:marTop w:val="0"/>
      <w:marBottom w:val="0"/>
      <w:divBdr>
        <w:top w:val="none" w:sz="0" w:space="0" w:color="auto"/>
        <w:left w:val="none" w:sz="0" w:space="0" w:color="auto"/>
        <w:bottom w:val="none" w:sz="0" w:space="0" w:color="auto"/>
        <w:right w:val="none" w:sz="0" w:space="0" w:color="auto"/>
      </w:divBdr>
    </w:div>
    <w:div w:id="1465663468">
      <w:bodyDiv w:val="1"/>
      <w:marLeft w:val="0"/>
      <w:marRight w:val="0"/>
      <w:marTop w:val="0"/>
      <w:marBottom w:val="0"/>
      <w:divBdr>
        <w:top w:val="none" w:sz="0" w:space="0" w:color="auto"/>
        <w:left w:val="none" w:sz="0" w:space="0" w:color="auto"/>
        <w:bottom w:val="none" w:sz="0" w:space="0" w:color="auto"/>
        <w:right w:val="none" w:sz="0" w:space="0" w:color="auto"/>
      </w:divBdr>
    </w:div>
    <w:div w:id="1488205589">
      <w:bodyDiv w:val="1"/>
      <w:marLeft w:val="0"/>
      <w:marRight w:val="0"/>
      <w:marTop w:val="0"/>
      <w:marBottom w:val="0"/>
      <w:divBdr>
        <w:top w:val="none" w:sz="0" w:space="0" w:color="auto"/>
        <w:left w:val="none" w:sz="0" w:space="0" w:color="auto"/>
        <w:bottom w:val="none" w:sz="0" w:space="0" w:color="auto"/>
        <w:right w:val="none" w:sz="0" w:space="0" w:color="auto"/>
      </w:divBdr>
    </w:div>
    <w:div w:id="1497653185">
      <w:bodyDiv w:val="1"/>
      <w:marLeft w:val="0"/>
      <w:marRight w:val="0"/>
      <w:marTop w:val="0"/>
      <w:marBottom w:val="0"/>
      <w:divBdr>
        <w:top w:val="none" w:sz="0" w:space="0" w:color="auto"/>
        <w:left w:val="none" w:sz="0" w:space="0" w:color="auto"/>
        <w:bottom w:val="none" w:sz="0" w:space="0" w:color="auto"/>
        <w:right w:val="none" w:sz="0" w:space="0" w:color="auto"/>
      </w:divBdr>
    </w:div>
    <w:div w:id="1502158804">
      <w:bodyDiv w:val="1"/>
      <w:marLeft w:val="0"/>
      <w:marRight w:val="0"/>
      <w:marTop w:val="0"/>
      <w:marBottom w:val="0"/>
      <w:divBdr>
        <w:top w:val="none" w:sz="0" w:space="0" w:color="auto"/>
        <w:left w:val="none" w:sz="0" w:space="0" w:color="auto"/>
        <w:bottom w:val="none" w:sz="0" w:space="0" w:color="auto"/>
        <w:right w:val="none" w:sz="0" w:space="0" w:color="auto"/>
      </w:divBdr>
    </w:div>
    <w:div w:id="1504127965">
      <w:bodyDiv w:val="1"/>
      <w:marLeft w:val="0"/>
      <w:marRight w:val="0"/>
      <w:marTop w:val="0"/>
      <w:marBottom w:val="0"/>
      <w:divBdr>
        <w:top w:val="none" w:sz="0" w:space="0" w:color="auto"/>
        <w:left w:val="none" w:sz="0" w:space="0" w:color="auto"/>
        <w:bottom w:val="none" w:sz="0" w:space="0" w:color="auto"/>
        <w:right w:val="none" w:sz="0" w:space="0" w:color="auto"/>
      </w:divBdr>
    </w:div>
    <w:div w:id="1506632394">
      <w:bodyDiv w:val="1"/>
      <w:marLeft w:val="0"/>
      <w:marRight w:val="0"/>
      <w:marTop w:val="0"/>
      <w:marBottom w:val="0"/>
      <w:divBdr>
        <w:top w:val="none" w:sz="0" w:space="0" w:color="auto"/>
        <w:left w:val="none" w:sz="0" w:space="0" w:color="auto"/>
        <w:bottom w:val="none" w:sz="0" w:space="0" w:color="auto"/>
        <w:right w:val="none" w:sz="0" w:space="0" w:color="auto"/>
      </w:divBdr>
    </w:div>
    <w:div w:id="1508327868">
      <w:bodyDiv w:val="1"/>
      <w:marLeft w:val="0"/>
      <w:marRight w:val="0"/>
      <w:marTop w:val="0"/>
      <w:marBottom w:val="0"/>
      <w:divBdr>
        <w:top w:val="none" w:sz="0" w:space="0" w:color="auto"/>
        <w:left w:val="none" w:sz="0" w:space="0" w:color="auto"/>
        <w:bottom w:val="none" w:sz="0" w:space="0" w:color="auto"/>
        <w:right w:val="none" w:sz="0" w:space="0" w:color="auto"/>
      </w:divBdr>
    </w:div>
    <w:div w:id="1508906499">
      <w:bodyDiv w:val="1"/>
      <w:marLeft w:val="0"/>
      <w:marRight w:val="0"/>
      <w:marTop w:val="0"/>
      <w:marBottom w:val="0"/>
      <w:divBdr>
        <w:top w:val="none" w:sz="0" w:space="0" w:color="auto"/>
        <w:left w:val="none" w:sz="0" w:space="0" w:color="auto"/>
        <w:bottom w:val="none" w:sz="0" w:space="0" w:color="auto"/>
        <w:right w:val="none" w:sz="0" w:space="0" w:color="auto"/>
      </w:divBdr>
    </w:div>
    <w:div w:id="1535072646">
      <w:bodyDiv w:val="1"/>
      <w:marLeft w:val="0"/>
      <w:marRight w:val="0"/>
      <w:marTop w:val="0"/>
      <w:marBottom w:val="0"/>
      <w:divBdr>
        <w:top w:val="none" w:sz="0" w:space="0" w:color="auto"/>
        <w:left w:val="none" w:sz="0" w:space="0" w:color="auto"/>
        <w:bottom w:val="none" w:sz="0" w:space="0" w:color="auto"/>
        <w:right w:val="none" w:sz="0" w:space="0" w:color="auto"/>
      </w:divBdr>
    </w:div>
    <w:div w:id="1537545320">
      <w:bodyDiv w:val="1"/>
      <w:marLeft w:val="0"/>
      <w:marRight w:val="0"/>
      <w:marTop w:val="0"/>
      <w:marBottom w:val="0"/>
      <w:divBdr>
        <w:top w:val="none" w:sz="0" w:space="0" w:color="auto"/>
        <w:left w:val="none" w:sz="0" w:space="0" w:color="auto"/>
        <w:bottom w:val="none" w:sz="0" w:space="0" w:color="auto"/>
        <w:right w:val="none" w:sz="0" w:space="0" w:color="auto"/>
      </w:divBdr>
    </w:div>
    <w:div w:id="1540972974">
      <w:bodyDiv w:val="1"/>
      <w:marLeft w:val="0"/>
      <w:marRight w:val="0"/>
      <w:marTop w:val="0"/>
      <w:marBottom w:val="0"/>
      <w:divBdr>
        <w:top w:val="none" w:sz="0" w:space="0" w:color="auto"/>
        <w:left w:val="none" w:sz="0" w:space="0" w:color="auto"/>
        <w:bottom w:val="none" w:sz="0" w:space="0" w:color="auto"/>
        <w:right w:val="none" w:sz="0" w:space="0" w:color="auto"/>
      </w:divBdr>
    </w:div>
    <w:div w:id="1541629848">
      <w:bodyDiv w:val="1"/>
      <w:marLeft w:val="0"/>
      <w:marRight w:val="0"/>
      <w:marTop w:val="0"/>
      <w:marBottom w:val="0"/>
      <w:divBdr>
        <w:top w:val="none" w:sz="0" w:space="0" w:color="auto"/>
        <w:left w:val="none" w:sz="0" w:space="0" w:color="auto"/>
        <w:bottom w:val="none" w:sz="0" w:space="0" w:color="auto"/>
        <w:right w:val="none" w:sz="0" w:space="0" w:color="auto"/>
      </w:divBdr>
    </w:div>
    <w:div w:id="1558979684">
      <w:bodyDiv w:val="1"/>
      <w:marLeft w:val="0"/>
      <w:marRight w:val="0"/>
      <w:marTop w:val="0"/>
      <w:marBottom w:val="0"/>
      <w:divBdr>
        <w:top w:val="none" w:sz="0" w:space="0" w:color="auto"/>
        <w:left w:val="none" w:sz="0" w:space="0" w:color="auto"/>
        <w:bottom w:val="none" w:sz="0" w:space="0" w:color="auto"/>
        <w:right w:val="none" w:sz="0" w:space="0" w:color="auto"/>
      </w:divBdr>
    </w:div>
    <w:div w:id="1564564332">
      <w:bodyDiv w:val="1"/>
      <w:marLeft w:val="0"/>
      <w:marRight w:val="0"/>
      <w:marTop w:val="0"/>
      <w:marBottom w:val="0"/>
      <w:divBdr>
        <w:top w:val="none" w:sz="0" w:space="0" w:color="auto"/>
        <w:left w:val="none" w:sz="0" w:space="0" w:color="auto"/>
        <w:bottom w:val="none" w:sz="0" w:space="0" w:color="auto"/>
        <w:right w:val="none" w:sz="0" w:space="0" w:color="auto"/>
      </w:divBdr>
    </w:div>
    <w:div w:id="1568346528">
      <w:bodyDiv w:val="1"/>
      <w:marLeft w:val="0"/>
      <w:marRight w:val="0"/>
      <w:marTop w:val="0"/>
      <w:marBottom w:val="0"/>
      <w:divBdr>
        <w:top w:val="none" w:sz="0" w:space="0" w:color="auto"/>
        <w:left w:val="none" w:sz="0" w:space="0" w:color="auto"/>
        <w:bottom w:val="none" w:sz="0" w:space="0" w:color="auto"/>
        <w:right w:val="none" w:sz="0" w:space="0" w:color="auto"/>
      </w:divBdr>
    </w:div>
    <w:div w:id="1570143363">
      <w:bodyDiv w:val="1"/>
      <w:marLeft w:val="0"/>
      <w:marRight w:val="0"/>
      <w:marTop w:val="0"/>
      <w:marBottom w:val="0"/>
      <w:divBdr>
        <w:top w:val="none" w:sz="0" w:space="0" w:color="auto"/>
        <w:left w:val="none" w:sz="0" w:space="0" w:color="auto"/>
        <w:bottom w:val="none" w:sz="0" w:space="0" w:color="auto"/>
        <w:right w:val="none" w:sz="0" w:space="0" w:color="auto"/>
      </w:divBdr>
    </w:div>
    <w:div w:id="1586525809">
      <w:bodyDiv w:val="1"/>
      <w:marLeft w:val="0"/>
      <w:marRight w:val="0"/>
      <w:marTop w:val="0"/>
      <w:marBottom w:val="0"/>
      <w:divBdr>
        <w:top w:val="none" w:sz="0" w:space="0" w:color="auto"/>
        <w:left w:val="none" w:sz="0" w:space="0" w:color="auto"/>
        <w:bottom w:val="none" w:sz="0" w:space="0" w:color="auto"/>
        <w:right w:val="none" w:sz="0" w:space="0" w:color="auto"/>
      </w:divBdr>
    </w:div>
    <w:div w:id="1605116716">
      <w:bodyDiv w:val="1"/>
      <w:marLeft w:val="0"/>
      <w:marRight w:val="0"/>
      <w:marTop w:val="0"/>
      <w:marBottom w:val="0"/>
      <w:divBdr>
        <w:top w:val="none" w:sz="0" w:space="0" w:color="auto"/>
        <w:left w:val="none" w:sz="0" w:space="0" w:color="auto"/>
        <w:bottom w:val="none" w:sz="0" w:space="0" w:color="auto"/>
        <w:right w:val="none" w:sz="0" w:space="0" w:color="auto"/>
      </w:divBdr>
    </w:div>
    <w:div w:id="1613824438">
      <w:bodyDiv w:val="1"/>
      <w:marLeft w:val="0"/>
      <w:marRight w:val="0"/>
      <w:marTop w:val="0"/>
      <w:marBottom w:val="0"/>
      <w:divBdr>
        <w:top w:val="none" w:sz="0" w:space="0" w:color="auto"/>
        <w:left w:val="none" w:sz="0" w:space="0" w:color="auto"/>
        <w:bottom w:val="none" w:sz="0" w:space="0" w:color="auto"/>
        <w:right w:val="none" w:sz="0" w:space="0" w:color="auto"/>
      </w:divBdr>
    </w:div>
    <w:div w:id="1615477857">
      <w:bodyDiv w:val="1"/>
      <w:marLeft w:val="0"/>
      <w:marRight w:val="0"/>
      <w:marTop w:val="0"/>
      <w:marBottom w:val="0"/>
      <w:divBdr>
        <w:top w:val="none" w:sz="0" w:space="0" w:color="auto"/>
        <w:left w:val="none" w:sz="0" w:space="0" w:color="auto"/>
        <w:bottom w:val="none" w:sz="0" w:space="0" w:color="auto"/>
        <w:right w:val="none" w:sz="0" w:space="0" w:color="auto"/>
      </w:divBdr>
    </w:div>
    <w:div w:id="1618176974">
      <w:bodyDiv w:val="1"/>
      <w:marLeft w:val="0"/>
      <w:marRight w:val="0"/>
      <w:marTop w:val="0"/>
      <w:marBottom w:val="0"/>
      <w:divBdr>
        <w:top w:val="none" w:sz="0" w:space="0" w:color="auto"/>
        <w:left w:val="none" w:sz="0" w:space="0" w:color="auto"/>
        <w:bottom w:val="none" w:sz="0" w:space="0" w:color="auto"/>
        <w:right w:val="none" w:sz="0" w:space="0" w:color="auto"/>
      </w:divBdr>
    </w:div>
    <w:div w:id="1624532511">
      <w:bodyDiv w:val="1"/>
      <w:marLeft w:val="0"/>
      <w:marRight w:val="0"/>
      <w:marTop w:val="0"/>
      <w:marBottom w:val="0"/>
      <w:divBdr>
        <w:top w:val="none" w:sz="0" w:space="0" w:color="auto"/>
        <w:left w:val="none" w:sz="0" w:space="0" w:color="auto"/>
        <w:bottom w:val="none" w:sz="0" w:space="0" w:color="auto"/>
        <w:right w:val="none" w:sz="0" w:space="0" w:color="auto"/>
      </w:divBdr>
    </w:div>
    <w:div w:id="1627856872">
      <w:bodyDiv w:val="1"/>
      <w:marLeft w:val="0"/>
      <w:marRight w:val="0"/>
      <w:marTop w:val="0"/>
      <w:marBottom w:val="0"/>
      <w:divBdr>
        <w:top w:val="none" w:sz="0" w:space="0" w:color="auto"/>
        <w:left w:val="none" w:sz="0" w:space="0" w:color="auto"/>
        <w:bottom w:val="none" w:sz="0" w:space="0" w:color="auto"/>
        <w:right w:val="none" w:sz="0" w:space="0" w:color="auto"/>
      </w:divBdr>
    </w:div>
    <w:div w:id="1636913165">
      <w:bodyDiv w:val="1"/>
      <w:marLeft w:val="0"/>
      <w:marRight w:val="0"/>
      <w:marTop w:val="0"/>
      <w:marBottom w:val="0"/>
      <w:divBdr>
        <w:top w:val="none" w:sz="0" w:space="0" w:color="auto"/>
        <w:left w:val="none" w:sz="0" w:space="0" w:color="auto"/>
        <w:bottom w:val="none" w:sz="0" w:space="0" w:color="auto"/>
        <w:right w:val="none" w:sz="0" w:space="0" w:color="auto"/>
      </w:divBdr>
    </w:div>
    <w:div w:id="1656226799">
      <w:bodyDiv w:val="1"/>
      <w:marLeft w:val="0"/>
      <w:marRight w:val="0"/>
      <w:marTop w:val="0"/>
      <w:marBottom w:val="0"/>
      <w:divBdr>
        <w:top w:val="none" w:sz="0" w:space="0" w:color="auto"/>
        <w:left w:val="none" w:sz="0" w:space="0" w:color="auto"/>
        <w:bottom w:val="none" w:sz="0" w:space="0" w:color="auto"/>
        <w:right w:val="none" w:sz="0" w:space="0" w:color="auto"/>
      </w:divBdr>
    </w:div>
    <w:div w:id="1656954221">
      <w:bodyDiv w:val="1"/>
      <w:marLeft w:val="0"/>
      <w:marRight w:val="0"/>
      <w:marTop w:val="0"/>
      <w:marBottom w:val="0"/>
      <w:divBdr>
        <w:top w:val="none" w:sz="0" w:space="0" w:color="auto"/>
        <w:left w:val="none" w:sz="0" w:space="0" w:color="auto"/>
        <w:bottom w:val="none" w:sz="0" w:space="0" w:color="auto"/>
        <w:right w:val="none" w:sz="0" w:space="0" w:color="auto"/>
      </w:divBdr>
    </w:div>
    <w:div w:id="1658607151">
      <w:bodyDiv w:val="1"/>
      <w:marLeft w:val="0"/>
      <w:marRight w:val="0"/>
      <w:marTop w:val="0"/>
      <w:marBottom w:val="0"/>
      <w:divBdr>
        <w:top w:val="none" w:sz="0" w:space="0" w:color="auto"/>
        <w:left w:val="none" w:sz="0" w:space="0" w:color="auto"/>
        <w:bottom w:val="none" w:sz="0" w:space="0" w:color="auto"/>
        <w:right w:val="none" w:sz="0" w:space="0" w:color="auto"/>
      </w:divBdr>
    </w:div>
    <w:div w:id="1662003804">
      <w:bodyDiv w:val="1"/>
      <w:marLeft w:val="0"/>
      <w:marRight w:val="0"/>
      <w:marTop w:val="0"/>
      <w:marBottom w:val="0"/>
      <w:divBdr>
        <w:top w:val="none" w:sz="0" w:space="0" w:color="auto"/>
        <w:left w:val="none" w:sz="0" w:space="0" w:color="auto"/>
        <w:bottom w:val="none" w:sz="0" w:space="0" w:color="auto"/>
        <w:right w:val="none" w:sz="0" w:space="0" w:color="auto"/>
      </w:divBdr>
    </w:div>
    <w:div w:id="1663269597">
      <w:bodyDiv w:val="1"/>
      <w:marLeft w:val="0"/>
      <w:marRight w:val="0"/>
      <w:marTop w:val="0"/>
      <w:marBottom w:val="0"/>
      <w:divBdr>
        <w:top w:val="none" w:sz="0" w:space="0" w:color="auto"/>
        <w:left w:val="none" w:sz="0" w:space="0" w:color="auto"/>
        <w:bottom w:val="none" w:sz="0" w:space="0" w:color="auto"/>
        <w:right w:val="none" w:sz="0" w:space="0" w:color="auto"/>
      </w:divBdr>
    </w:div>
    <w:div w:id="1674187676">
      <w:bodyDiv w:val="1"/>
      <w:marLeft w:val="0"/>
      <w:marRight w:val="0"/>
      <w:marTop w:val="0"/>
      <w:marBottom w:val="0"/>
      <w:divBdr>
        <w:top w:val="none" w:sz="0" w:space="0" w:color="auto"/>
        <w:left w:val="none" w:sz="0" w:space="0" w:color="auto"/>
        <w:bottom w:val="none" w:sz="0" w:space="0" w:color="auto"/>
        <w:right w:val="none" w:sz="0" w:space="0" w:color="auto"/>
      </w:divBdr>
    </w:div>
    <w:div w:id="1674337727">
      <w:bodyDiv w:val="1"/>
      <w:marLeft w:val="0"/>
      <w:marRight w:val="0"/>
      <w:marTop w:val="0"/>
      <w:marBottom w:val="0"/>
      <w:divBdr>
        <w:top w:val="none" w:sz="0" w:space="0" w:color="auto"/>
        <w:left w:val="none" w:sz="0" w:space="0" w:color="auto"/>
        <w:bottom w:val="none" w:sz="0" w:space="0" w:color="auto"/>
        <w:right w:val="none" w:sz="0" w:space="0" w:color="auto"/>
      </w:divBdr>
    </w:div>
    <w:div w:id="1677223009">
      <w:bodyDiv w:val="1"/>
      <w:marLeft w:val="0"/>
      <w:marRight w:val="0"/>
      <w:marTop w:val="0"/>
      <w:marBottom w:val="0"/>
      <w:divBdr>
        <w:top w:val="none" w:sz="0" w:space="0" w:color="auto"/>
        <w:left w:val="none" w:sz="0" w:space="0" w:color="auto"/>
        <w:bottom w:val="none" w:sz="0" w:space="0" w:color="auto"/>
        <w:right w:val="none" w:sz="0" w:space="0" w:color="auto"/>
      </w:divBdr>
    </w:div>
    <w:div w:id="1678263546">
      <w:bodyDiv w:val="1"/>
      <w:marLeft w:val="0"/>
      <w:marRight w:val="0"/>
      <w:marTop w:val="0"/>
      <w:marBottom w:val="0"/>
      <w:divBdr>
        <w:top w:val="none" w:sz="0" w:space="0" w:color="auto"/>
        <w:left w:val="none" w:sz="0" w:space="0" w:color="auto"/>
        <w:bottom w:val="none" w:sz="0" w:space="0" w:color="auto"/>
        <w:right w:val="none" w:sz="0" w:space="0" w:color="auto"/>
      </w:divBdr>
    </w:div>
    <w:div w:id="1679892774">
      <w:bodyDiv w:val="1"/>
      <w:marLeft w:val="0"/>
      <w:marRight w:val="0"/>
      <w:marTop w:val="0"/>
      <w:marBottom w:val="0"/>
      <w:divBdr>
        <w:top w:val="none" w:sz="0" w:space="0" w:color="auto"/>
        <w:left w:val="none" w:sz="0" w:space="0" w:color="auto"/>
        <w:bottom w:val="none" w:sz="0" w:space="0" w:color="auto"/>
        <w:right w:val="none" w:sz="0" w:space="0" w:color="auto"/>
      </w:divBdr>
    </w:div>
    <w:div w:id="1682272192">
      <w:bodyDiv w:val="1"/>
      <w:marLeft w:val="0"/>
      <w:marRight w:val="0"/>
      <w:marTop w:val="0"/>
      <w:marBottom w:val="0"/>
      <w:divBdr>
        <w:top w:val="none" w:sz="0" w:space="0" w:color="auto"/>
        <w:left w:val="none" w:sz="0" w:space="0" w:color="auto"/>
        <w:bottom w:val="none" w:sz="0" w:space="0" w:color="auto"/>
        <w:right w:val="none" w:sz="0" w:space="0" w:color="auto"/>
      </w:divBdr>
    </w:div>
    <w:div w:id="1699814997">
      <w:bodyDiv w:val="1"/>
      <w:marLeft w:val="0"/>
      <w:marRight w:val="0"/>
      <w:marTop w:val="0"/>
      <w:marBottom w:val="0"/>
      <w:divBdr>
        <w:top w:val="none" w:sz="0" w:space="0" w:color="auto"/>
        <w:left w:val="none" w:sz="0" w:space="0" w:color="auto"/>
        <w:bottom w:val="none" w:sz="0" w:space="0" w:color="auto"/>
        <w:right w:val="none" w:sz="0" w:space="0" w:color="auto"/>
      </w:divBdr>
    </w:div>
    <w:div w:id="1707294898">
      <w:bodyDiv w:val="1"/>
      <w:marLeft w:val="0"/>
      <w:marRight w:val="0"/>
      <w:marTop w:val="0"/>
      <w:marBottom w:val="0"/>
      <w:divBdr>
        <w:top w:val="none" w:sz="0" w:space="0" w:color="auto"/>
        <w:left w:val="none" w:sz="0" w:space="0" w:color="auto"/>
        <w:bottom w:val="none" w:sz="0" w:space="0" w:color="auto"/>
        <w:right w:val="none" w:sz="0" w:space="0" w:color="auto"/>
      </w:divBdr>
    </w:div>
    <w:div w:id="1713964010">
      <w:bodyDiv w:val="1"/>
      <w:marLeft w:val="0"/>
      <w:marRight w:val="0"/>
      <w:marTop w:val="0"/>
      <w:marBottom w:val="0"/>
      <w:divBdr>
        <w:top w:val="none" w:sz="0" w:space="0" w:color="auto"/>
        <w:left w:val="none" w:sz="0" w:space="0" w:color="auto"/>
        <w:bottom w:val="none" w:sz="0" w:space="0" w:color="auto"/>
        <w:right w:val="none" w:sz="0" w:space="0" w:color="auto"/>
      </w:divBdr>
    </w:div>
    <w:div w:id="1718117516">
      <w:bodyDiv w:val="1"/>
      <w:marLeft w:val="0"/>
      <w:marRight w:val="0"/>
      <w:marTop w:val="0"/>
      <w:marBottom w:val="0"/>
      <w:divBdr>
        <w:top w:val="none" w:sz="0" w:space="0" w:color="auto"/>
        <w:left w:val="none" w:sz="0" w:space="0" w:color="auto"/>
        <w:bottom w:val="none" w:sz="0" w:space="0" w:color="auto"/>
        <w:right w:val="none" w:sz="0" w:space="0" w:color="auto"/>
      </w:divBdr>
    </w:div>
    <w:div w:id="1720125144">
      <w:bodyDiv w:val="1"/>
      <w:marLeft w:val="0"/>
      <w:marRight w:val="0"/>
      <w:marTop w:val="0"/>
      <w:marBottom w:val="0"/>
      <w:divBdr>
        <w:top w:val="none" w:sz="0" w:space="0" w:color="auto"/>
        <w:left w:val="none" w:sz="0" w:space="0" w:color="auto"/>
        <w:bottom w:val="none" w:sz="0" w:space="0" w:color="auto"/>
        <w:right w:val="none" w:sz="0" w:space="0" w:color="auto"/>
      </w:divBdr>
    </w:div>
    <w:div w:id="1751539607">
      <w:bodyDiv w:val="1"/>
      <w:marLeft w:val="0"/>
      <w:marRight w:val="0"/>
      <w:marTop w:val="0"/>
      <w:marBottom w:val="0"/>
      <w:divBdr>
        <w:top w:val="none" w:sz="0" w:space="0" w:color="auto"/>
        <w:left w:val="none" w:sz="0" w:space="0" w:color="auto"/>
        <w:bottom w:val="none" w:sz="0" w:space="0" w:color="auto"/>
        <w:right w:val="none" w:sz="0" w:space="0" w:color="auto"/>
      </w:divBdr>
    </w:div>
    <w:div w:id="1756589819">
      <w:bodyDiv w:val="1"/>
      <w:marLeft w:val="0"/>
      <w:marRight w:val="0"/>
      <w:marTop w:val="0"/>
      <w:marBottom w:val="0"/>
      <w:divBdr>
        <w:top w:val="none" w:sz="0" w:space="0" w:color="auto"/>
        <w:left w:val="none" w:sz="0" w:space="0" w:color="auto"/>
        <w:bottom w:val="none" w:sz="0" w:space="0" w:color="auto"/>
        <w:right w:val="none" w:sz="0" w:space="0" w:color="auto"/>
      </w:divBdr>
    </w:div>
    <w:div w:id="1757626425">
      <w:bodyDiv w:val="1"/>
      <w:marLeft w:val="0"/>
      <w:marRight w:val="0"/>
      <w:marTop w:val="0"/>
      <w:marBottom w:val="0"/>
      <w:divBdr>
        <w:top w:val="none" w:sz="0" w:space="0" w:color="auto"/>
        <w:left w:val="none" w:sz="0" w:space="0" w:color="auto"/>
        <w:bottom w:val="none" w:sz="0" w:space="0" w:color="auto"/>
        <w:right w:val="none" w:sz="0" w:space="0" w:color="auto"/>
      </w:divBdr>
    </w:div>
    <w:div w:id="1767727082">
      <w:bodyDiv w:val="1"/>
      <w:marLeft w:val="0"/>
      <w:marRight w:val="0"/>
      <w:marTop w:val="0"/>
      <w:marBottom w:val="0"/>
      <w:divBdr>
        <w:top w:val="none" w:sz="0" w:space="0" w:color="auto"/>
        <w:left w:val="none" w:sz="0" w:space="0" w:color="auto"/>
        <w:bottom w:val="none" w:sz="0" w:space="0" w:color="auto"/>
        <w:right w:val="none" w:sz="0" w:space="0" w:color="auto"/>
      </w:divBdr>
    </w:div>
    <w:div w:id="1771273342">
      <w:bodyDiv w:val="1"/>
      <w:marLeft w:val="0"/>
      <w:marRight w:val="0"/>
      <w:marTop w:val="0"/>
      <w:marBottom w:val="0"/>
      <w:divBdr>
        <w:top w:val="none" w:sz="0" w:space="0" w:color="auto"/>
        <w:left w:val="none" w:sz="0" w:space="0" w:color="auto"/>
        <w:bottom w:val="none" w:sz="0" w:space="0" w:color="auto"/>
        <w:right w:val="none" w:sz="0" w:space="0" w:color="auto"/>
      </w:divBdr>
    </w:div>
    <w:div w:id="1777823454">
      <w:bodyDiv w:val="1"/>
      <w:marLeft w:val="0"/>
      <w:marRight w:val="0"/>
      <w:marTop w:val="0"/>
      <w:marBottom w:val="0"/>
      <w:divBdr>
        <w:top w:val="none" w:sz="0" w:space="0" w:color="auto"/>
        <w:left w:val="none" w:sz="0" w:space="0" w:color="auto"/>
        <w:bottom w:val="none" w:sz="0" w:space="0" w:color="auto"/>
        <w:right w:val="none" w:sz="0" w:space="0" w:color="auto"/>
      </w:divBdr>
    </w:div>
    <w:div w:id="1782069971">
      <w:bodyDiv w:val="1"/>
      <w:marLeft w:val="0"/>
      <w:marRight w:val="0"/>
      <w:marTop w:val="0"/>
      <w:marBottom w:val="0"/>
      <w:divBdr>
        <w:top w:val="none" w:sz="0" w:space="0" w:color="auto"/>
        <w:left w:val="none" w:sz="0" w:space="0" w:color="auto"/>
        <w:bottom w:val="none" w:sz="0" w:space="0" w:color="auto"/>
        <w:right w:val="none" w:sz="0" w:space="0" w:color="auto"/>
      </w:divBdr>
    </w:div>
    <w:div w:id="1783067715">
      <w:bodyDiv w:val="1"/>
      <w:marLeft w:val="0"/>
      <w:marRight w:val="0"/>
      <w:marTop w:val="0"/>
      <w:marBottom w:val="0"/>
      <w:divBdr>
        <w:top w:val="none" w:sz="0" w:space="0" w:color="auto"/>
        <w:left w:val="none" w:sz="0" w:space="0" w:color="auto"/>
        <w:bottom w:val="none" w:sz="0" w:space="0" w:color="auto"/>
        <w:right w:val="none" w:sz="0" w:space="0" w:color="auto"/>
      </w:divBdr>
    </w:div>
    <w:div w:id="1793742705">
      <w:bodyDiv w:val="1"/>
      <w:marLeft w:val="0"/>
      <w:marRight w:val="0"/>
      <w:marTop w:val="0"/>
      <w:marBottom w:val="0"/>
      <w:divBdr>
        <w:top w:val="none" w:sz="0" w:space="0" w:color="auto"/>
        <w:left w:val="none" w:sz="0" w:space="0" w:color="auto"/>
        <w:bottom w:val="none" w:sz="0" w:space="0" w:color="auto"/>
        <w:right w:val="none" w:sz="0" w:space="0" w:color="auto"/>
      </w:divBdr>
    </w:div>
    <w:div w:id="1802992575">
      <w:bodyDiv w:val="1"/>
      <w:marLeft w:val="0"/>
      <w:marRight w:val="0"/>
      <w:marTop w:val="0"/>
      <w:marBottom w:val="0"/>
      <w:divBdr>
        <w:top w:val="none" w:sz="0" w:space="0" w:color="auto"/>
        <w:left w:val="none" w:sz="0" w:space="0" w:color="auto"/>
        <w:bottom w:val="none" w:sz="0" w:space="0" w:color="auto"/>
        <w:right w:val="none" w:sz="0" w:space="0" w:color="auto"/>
      </w:divBdr>
    </w:div>
    <w:div w:id="1811510771">
      <w:bodyDiv w:val="1"/>
      <w:marLeft w:val="0"/>
      <w:marRight w:val="0"/>
      <w:marTop w:val="0"/>
      <w:marBottom w:val="0"/>
      <w:divBdr>
        <w:top w:val="none" w:sz="0" w:space="0" w:color="auto"/>
        <w:left w:val="none" w:sz="0" w:space="0" w:color="auto"/>
        <w:bottom w:val="none" w:sz="0" w:space="0" w:color="auto"/>
        <w:right w:val="none" w:sz="0" w:space="0" w:color="auto"/>
      </w:divBdr>
    </w:div>
    <w:div w:id="1814442641">
      <w:bodyDiv w:val="1"/>
      <w:marLeft w:val="0"/>
      <w:marRight w:val="0"/>
      <w:marTop w:val="0"/>
      <w:marBottom w:val="0"/>
      <w:divBdr>
        <w:top w:val="none" w:sz="0" w:space="0" w:color="auto"/>
        <w:left w:val="none" w:sz="0" w:space="0" w:color="auto"/>
        <w:bottom w:val="none" w:sz="0" w:space="0" w:color="auto"/>
        <w:right w:val="none" w:sz="0" w:space="0" w:color="auto"/>
      </w:divBdr>
    </w:div>
    <w:div w:id="1826899288">
      <w:bodyDiv w:val="1"/>
      <w:marLeft w:val="0"/>
      <w:marRight w:val="0"/>
      <w:marTop w:val="0"/>
      <w:marBottom w:val="0"/>
      <w:divBdr>
        <w:top w:val="none" w:sz="0" w:space="0" w:color="auto"/>
        <w:left w:val="none" w:sz="0" w:space="0" w:color="auto"/>
        <w:bottom w:val="none" w:sz="0" w:space="0" w:color="auto"/>
        <w:right w:val="none" w:sz="0" w:space="0" w:color="auto"/>
      </w:divBdr>
    </w:div>
    <w:div w:id="1840344926">
      <w:bodyDiv w:val="1"/>
      <w:marLeft w:val="0"/>
      <w:marRight w:val="0"/>
      <w:marTop w:val="0"/>
      <w:marBottom w:val="0"/>
      <w:divBdr>
        <w:top w:val="none" w:sz="0" w:space="0" w:color="auto"/>
        <w:left w:val="none" w:sz="0" w:space="0" w:color="auto"/>
        <w:bottom w:val="none" w:sz="0" w:space="0" w:color="auto"/>
        <w:right w:val="none" w:sz="0" w:space="0" w:color="auto"/>
      </w:divBdr>
    </w:div>
    <w:div w:id="1850022285">
      <w:bodyDiv w:val="1"/>
      <w:marLeft w:val="0"/>
      <w:marRight w:val="0"/>
      <w:marTop w:val="0"/>
      <w:marBottom w:val="0"/>
      <w:divBdr>
        <w:top w:val="none" w:sz="0" w:space="0" w:color="auto"/>
        <w:left w:val="none" w:sz="0" w:space="0" w:color="auto"/>
        <w:bottom w:val="none" w:sz="0" w:space="0" w:color="auto"/>
        <w:right w:val="none" w:sz="0" w:space="0" w:color="auto"/>
      </w:divBdr>
    </w:div>
    <w:div w:id="1859073949">
      <w:bodyDiv w:val="1"/>
      <w:marLeft w:val="0"/>
      <w:marRight w:val="0"/>
      <w:marTop w:val="0"/>
      <w:marBottom w:val="0"/>
      <w:divBdr>
        <w:top w:val="none" w:sz="0" w:space="0" w:color="auto"/>
        <w:left w:val="none" w:sz="0" w:space="0" w:color="auto"/>
        <w:bottom w:val="none" w:sz="0" w:space="0" w:color="auto"/>
        <w:right w:val="none" w:sz="0" w:space="0" w:color="auto"/>
      </w:divBdr>
    </w:div>
    <w:div w:id="1867863717">
      <w:bodyDiv w:val="1"/>
      <w:marLeft w:val="0"/>
      <w:marRight w:val="0"/>
      <w:marTop w:val="0"/>
      <w:marBottom w:val="0"/>
      <w:divBdr>
        <w:top w:val="none" w:sz="0" w:space="0" w:color="auto"/>
        <w:left w:val="none" w:sz="0" w:space="0" w:color="auto"/>
        <w:bottom w:val="none" w:sz="0" w:space="0" w:color="auto"/>
        <w:right w:val="none" w:sz="0" w:space="0" w:color="auto"/>
      </w:divBdr>
    </w:div>
    <w:div w:id="1868715029">
      <w:bodyDiv w:val="1"/>
      <w:marLeft w:val="0"/>
      <w:marRight w:val="0"/>
      <w:marTop w:val="0"/>
      <w:marBottom w:val="0"/>
      <w:divBdr>
        <w:top w:val="none" w:sz="0" w:space="0" w:color="auto"/>
        <w:left w:val="none" w:sz="0" w:space="0" w:color="auto"/>
        <w:bottom w:val="none" w:sz="0" w:space="0" w:color="auto"/>
        <w:right w:val="none" w:sz="0" w:space="0" w:color="auto"/>
      </w:divBdr>
    </w:div>
    <w:div w:id="1908805640">
      <w:bodyDiv w:val="1"/>
      <w:marLeft w:val="0"/>
      <w:marRight w:val="0"/>
      <w:marTop w:val="0"/>
      <w:marBottom w:val="0"/>
      <w:divBdr>
        <w:top w:val="none" w:sz="0" w:space="0" w:color="auto"/>
        <w:left w:val="none" w:sz="0" w:space="0" w:color="auto"/>
        <w:bottom w:val="none" w:sz="0" w:space="0" w:color="auto"/>
        <w:right w:val="none" w:sz="0" w:space="0" w:color="auto"/>
      </w:divBdr>
    </w:div>
    <w:div w:id="1912621868">
      <w:bodyDiv w:val="1"/>
      <w:marLeft w:val="0"/>
      <w:marRight w:val="0"/>
      <w:marTop w:val="0"/>
      <w:marBottom w:val="0"/>
      <w:divBdr>
        <w:top w:val="none" w:sz="0" w:space="0" w:color="auto"/>
        <w:left w:val="none" w:sz="0" w:space="0" w:color="auto"/>
        <w:bottom w:val="none" w:sz="0" w:space="0" w:color="auto"/>
        <w:right w:val="none" w:sz="0" w:space="0" w:color="auto"/>
      </w:divBdr>
    </w:div>
    <w:div w:id="1915163757">
      <w:bodyDiv w:val="1"/>
      <w:marLeft w:val="0"/>
      <w:marRight w:val="0"/>
      <w:marTop w:val="0"/>
      <w:marBottom w:val="0"/>
      <w:divBdr>
        <w:top w:val="none" w:sz="0" w:space="0" w:color="auto"/>
        <w:left w:val="none" w:sz="0" w:space="0" w:color="auto"/>
        <w:bottom w:val="none" w:sz="0" w:space="0" w:color="auto"/>
        <w:right w:val="none" w:sz="0" w:space="0" w:color="auto"/>
      </w:divBdr>
    </w:div>
    <w:div w:id="1923487781">
      <w:bodyDiv w:val="1"/>
      <w:marLeft w:val="0"/>
      <w:marRight w:val="0"/>
      <w:marTop w:val="0"/>
      <w:marBottom w:val="0"/>
      <w:divBdr>
        <w:top w:val="none" w:sz="0" w:space="0" w:color="auto"/>
        <w:left w:val="none" w:sz="0" w:space="0" w:color="auto"/>
        <w:bottom w:val="none" w:sz="0" w:space="0" w:color="auto"/>
        <w:right w:val="none" w:sz="0" w:space="0" w:color="auto"/>
      </w:divBdr>
    </w:div>
    <w:div w:id="1955138301">
      <w:bodyDiv w:val="1"/>
      <w:marLeft w:val="0"/>
      <w:marRight w:val="0"/>
      <w:marTop w:val="0"/>
      <w:marBottom w:val="0"/>
      <w:divBdr>
        <w:top w:val="none" w:sz="0" w:space="0" w:color="auto"/>
        <w:left w:val="none" w:sz="0" w:space="0" w:color="auto"/>
        <w:bottom w:val="none" w:sz="0" w:space="0" w:color="auto"/>
        <w:right w:val="none" w:sz="0" w:space="0" w:color="auto"/>
      </w:divBdr>
    </w:div>
    <w:div w:id="1965114736">
      <w:bodyDiv w:val="1"/>
      <w:marLeft w:val="0"/>
      <w:marRight w:val="0"/>
      <w:marTop w:val="0"/>
      <w:marBottom w:val="0"/>
      <w:divBdr>
        <w:top w:val="none" w:sz="0" w:space="0" w:color="auto"/>
        <w:left w:val="none" w:sz="0" w:space="0" w:color="auto"/>
        <w:bottom w:val="none" w:sz="0" w:space="0" w:color="auto"/>
        <w:right w:val="none" w:sz="0" w:space="0" w:color="auto"/>
      </w:divBdr>
    </w:div>
    <w:div w:id="1970352221">
      <w:bodyDiv w:val="1"/>
      <w:marLeft w:val="0"/>
      <w:marRight w:val="0"/>
      <w:marTop w:val="0"/>
      <w:marBottom w:val="0"/>
      <w:divBdr>
        <w:top w:val="none" w:sz="0" w:space="0" w:color="auto"/>
        <w:left w:val="none" w:sz="0" w:space="0" w:color="auto"/>
        <w:bottom w:val="none" w:sz="0" w:space="0" w:color="auto"/>
        <w:right w:val="none" w:sz="0" w:space="0" w:color="auto"/>
      </w:divBdr>
    </w:div>
    <w:div w:id="1973318673">
      <w:bodyDiv w:val="1"/>
      <w:marLeft w:val="0"/>
      <w:marRight w:val="0"/>
      <w:marTop w:val="0"/>
      <w:marBottom w:val="0"/>
      <w:divBdr>
        <w:top w:val="none" w:sz="0" w:space="0" w:color="auto"/>
        <w:left w:val="none" w:sz="0" w:space="0" w:color="auto"/>
        <w:bottom w:val="none" w:sz="0" w:space="0" w:color="auto"/>
        <w:right w:val="none" w:sz="0" w:space="0" w:color="auto"/>
      </w:divBdr>
    </w:div>
    <w:div w:id="1988435168">
      <w:bodyDiv w:val="1"/>
      <w:marLeft w:val="0"/>
      <w:marRight w:val="0"/>
      <w:marTop w:val="0"/>
      <w:marBottom w:val="0"/>
      <w:divBdr>
        <w:top w:val="none" w:sz="0" w:space="0" w:color="auto"/>
        <w:left w:val="none" w:sz="0" w:space="0" w:color="auto"/>
        <w:bottom w:val="none" w:sz="0" w:space="0" w:color="auto"/>
        <w:right w:val="none" w:sz="0" w:space="0" w:color="auto"/>
      </w:divBdr>
    </w:div>
    <w:div w:id="1993555422">
      <w:bodyDiv w:val="1"/>
      <w:marLeft w:val="0"/>
      <w:marRight w:val="0"/>
      <w:marTop w:val="0"/>
      <w:marBottom w:val="0"/>
      <w:divBdr>
        <w:top w:val="none" w:sz="0" w:space="0" w:color="auto"/>
        <w:left w:val="none" w:sz="0" w:space="0" w:color="auto"/>
        <w:bottom w:val="none" w:sz="0" w:space="0" w:color="auto"/>
        <w:right w:val="none" w:sz="0" w:space="0" w:color="auto"/>
      </w:divBdr>
    </w:div>
    <w:div w:id="2001541180">
      <w:bodyDiv w:val="1"/>
      <w:marLeft w:val="0"/>
      <w:marRight w:val="0"/>
      <w:marTop w:val="0"/>
      <w:marBottom w:val="0"/>
      <w:divBdr>
        <w:top w:val="none" w:sz="0" w:space="0" w:color="auto"/>
        <w:left w:val="none" w:sz="0" w:space="0" w:color="auto"/>
        <w:bottom w:val="none" w:sz="0" w:space="0" w:color="auto"/>
        <w:right w:val="none" w:sz="0" w:space="0" w:color="auto"/>
      </w:divBdr>
    </w:div>
    <w:div w:id="2002463341">
      <w:bodyDiv w:val="1"/>
      <w:marLeft w:val="0"/>
      <w:marRight w:val="0"/>
      <w:marTop w:val="0"/>
      <w:marBottom w:val="0"/>
      <w:divBdr>
        <w:top w:val="none" w:sz="0" w:space="0" w:color="auto"/>
        <w:left w:val="none" w:sz="0" w:space="0" w:color="auto"/>
        <w:bottom w:val="none" w:sz="0" w:space="0" w:color="auto"/>
        <w:right w:val="none" w:sz="0" w:space="0" w:color="auto"/>
      </w:divBdr>
    </w:div>
    <w:div w:id="2012294227">
      <w:bodyDiv w:val="1"/>
      <w:marLeft w:val="0"/>
      <w:marRight w:val="0"/>
      <w:marTop w:val="0"/>
      <w:marBottom w:val="0"/>
      <w:divBdr>
        <w:top w:val="none" w:sz="0" w:space="0" w:color="auto"/>
        <w:left w:val="none" w:sz="0" w:space="0" w:color="auto"/>
        <w:bottom w:val="none" w:sz="0" w:space="0" w:color="auto"/>
        <w:right w:val="none" w:sz="0" w:space="0" w:color="auto"/>
      </w:divBdr>
    </w:div>
    <w:div w:id="2032993316">
      <w:bodyDiv w:val="1"/>
      <w:marLeft w:val="0"/>
      <w:marRight w:val="0"/>
      <w:marTop w:val="0"/>
      <w:marBottom w:val="0"/>
      <w:divBdr>
        <w:top w:val="none" w:sz="0" w:space="0" w:color="auto"/>
        <w:left w:val="none" w:sz="0" w:space="0" w:color="auto"/>
        <w:bottom w:val="none" w:sz="0" w:space="0" w:color="auto"/>
        <w:right w:val="none" w:sz="0" w:space="0" w:color="auto"/>
      </w:divBdr>
    </w:div>
    <w:div w:id="2033215208">
      <w:bodyDiv w:val="1"/>
      <w:marLeft w:val="0"/>
      <w:marRight w:val="0"/>
      <w:marTop w:val="0"/>
      <w:marBottom w:val="0"/>
      <w:divBdr>
        <w:top w:val="none" w:sz="0" w:space="0" w:color="auto"/>
        <w:left w:val="none" w:sz="0" w:space="0" w:color="auto"/>
        <w:bottom w:val="none" w:sz="0" w:space="0" w:color="auto"/>
        <w:right w:val="none" w:sz="0" w:space="0" w:color="auto"/>
      </w:divBdr>
    </w:div>
    <w:div w:id="2049793842">
      <w:bodyDiv w:val="1"/>
      <w:marLeft w:val="0"/>
      <w:marRight w:val="0"/>
      <w:marTop w:val="0"/>
      <w:marBottom w:val="0"/>
      <w:divBdr>
        <w:top w:val="none" w:sz="0" w:space="0" w:color="auto"/>
        <w:left w:val="none" w:sz="0" w:space="0" w:color="auto"/>
        <w:bottom w:val="none" w:sz="0" w:space="0" w:color="auto"/>
        <w:right w:val="none" w:sz="0" w:space="0" w:color="auto"/>
      </w:divBdr>
    </w:div>
    <w:div w:id="2050714006">
      <w:bodyDiv w:val="1"/>
      <w:marLeft w:val="0"/>
      <w:marRight w:val="0"/>
      <w:marTop w:val="0"/>
      <w:marBottom w:val="0"/>
      <w:divBdr>
        <w:top w:val="none" w:sz="0" w:space="0" w:color="auto"/>
        <w:left w:val="none" w:sz="0" w:space="0" w:color="auto"/>
        <w:bottom w:val="none" w:sz="0" w:space="0" w:color="auto"/>
        <w:right w:val="none" w:sz="0" w:space="0" w:color="auto"/>
      </w:divBdr>
    </w:div>
    <w:div w:id="2052874313">
      <w:bodyDiv w:val="1"/>
      <w:marLeft w:val="0"/>
      <w:marRight w:val="0"/>
      <w:marTop w:val="0"/>
      <w:marBottom w:val="0"/>
      <w:divBdr>
        <w:top w:val="none" w:sz="0" w:space="0" w:color="auto"/>
        <w:left w:val="none" w:sz="0" w:space="0" w:color="auto"/>
        <w:bottom w:val="none" w:sz="0" w:space="0" w:color="auto"/>
        <w:right w:val="none" w:sz="0" w:space="0" w:color="auto"/>
      </w:divBdr>
    </w:div>
    <w:div w:id="2053144405">
      <w:bodyDiv w:val="1"/>
      <w:marLeft w:val="0"/>
      <w:marRight w:val="0"/>
      <w:marTop w:val="0"/>
      <w:marBottom w:val="0"/>
      <w:divBdr>
        <w:top w:val="none" w:sz="0" w:space="0" w:color="auto"/>
        <w:left w:val="none" w:sz="0" w:space="0" w:color="auto"/>
        <w:bottom w:val="none" w:sz="0" w:space="0" w:color="auto"/>
        <w:right w:val="none" w:sz="0" w:space="0" w:color="auto"/>
      </w:divBdr>
    </w:div>
    <w:div w:id="2053336630">
      <w:bodyDiv w:val="1"/>
      <w:marLeft w:val="0"/>
      <w:marRight w:val="0"/>
      <w:marTop w:val="0"/>
      <w:marBottom w:val="0"/>
      <w:divBdr>
        <w:top w:val="none" w:sz="0" w:space="0" w:color="auto"/>
        <w:left w:val="none" w:sz="0" w:space="0" w:color="auto"/>
        <w:bottom w:val="none" w:sz="0" w:space="0" w:color="auto"/>
        <w:right w:val="none" w:sz="0" w:space="0" w:color="auto"/>
      </w:divBdr>
    </w:div>
    <w:div w:id="2071490365">
      <w:bodyDiv w:val="1"/>
      <w:marLeft w:val="0"/>
      <w:marRight w:val="0"/>
      <w:marTop w:val="0"/>
      <w:marBottom w:val="0"/>
      <w:divBdr>
        <w:top w:val="none" w:sz="0" w:space="0" w:color="auto"/>
        <w:left w:val="none" w:sz="0" w:space="0" w:color="auto"/>
        <w:bottom w:val="none" w:sz="0" w:space="0" w:color="auto"/>
        <w:right w:val="none" w:sz="0" w:space="0" w:color="auto"/>
      </w:divBdr>
    </w:div>
    <w:div w:id="2087412111">
      <w:bodyDiv w:val="1"/>
      <w:marLeft w:val="0"/>
      <w:marRight w:val="0"/>
      <w:marTop w:val="0"/>
      <w:marBottom w:val="0"/>
      <w:divBdr>
        <w:top w:val="none" w:sz="0" w:space="0" w:color="auto"/>
        <w:left w:val="none" w:sz="0" w:space="0" w:color="auto"/>
        <w:bottom w:val="none" w:sz="0" w:space="0" w:color="auto"/>
        <w:right w:val="none" w:sz="0" w:space="0" w:color="auto"/>
      </w:divBdr>
    </w:div>
    <w:div w:id="2091930129">
      <w:bodyDiv w:val="1"/>
      <w:marLeft w:val="0"/>
      <w:marRight w:val="0"/>
      <w:marTop w:val="0"/>
      <w:marBottom w:val="0"/>
      <w:divBdr>
        <w:top w:val="none" w:sz="0" w:space="0" w:color="auto"/>
        <w:left w:val="none" w:sz="0" w:space="0" w:color="auto"/>
        <w:bottom w:val="none" w:sz="0" w:space="0" w:color="auto"/>
        <w:right w:val="none" w:sz="0" w:space="0" w:color="auto"/>
      </w:divBdr>
    </w:div>
    <w:div w:id="2094156391">
      <w:bodyDiv w:val="1"/>
      <w:marLeft w:val="0"/>
      <w:marRight w:val="0"/>
      <w:marTop w:val="0"/>
      <w:marBottom w:val="0"/>
      <w:divBdr>
        <w:top w:val="none" w:sz="0" w:space="0" w:color="auto"/>
        <w:left w:val="none" w:sz="0" w:space="0" w:color="auto"/>
        <w:bottom w:val="none" w:sz="0" w:space="0" w:color="auto"/>
        <w:right w:val="none" w:sz="0" w:space="0" w:color="auto"/>
      </w:divBdr>
    </w:div>
    <w:div w:id="2094862180">
      <w:bodyDiv w:val="1"/>
      <w:marLeft w:val="0"/>
      <w:marRight w:val="0"/>
      <w:marTop w:val="0"/>
      <w:marBottom w:val="0"/>
      <w:divBdr>
        <w:top w:val="none" w:sz="0" w:space="0" w:color="auto"/>
        <w:left w:val="none" w:sz="0" w:space="0" w:color="auto"/>
        <w:bottom w:val="none" w:sz="0" w:space="0" w:color="auto"/>
        <w:right w:val="none" w:sz="0" w:space="0" w:color="auto"/>
      </w:divBdr>
    </w:div>
    <w:div w:id="2096592369">
      <w:bodyDiv w:val="1"/>
      <w:marLeft w:val="0"/>
      <w:marRight w:val="0"/>
      <w:marTop w:val="0"/>
      <w:marBottom w:val="0"/>
      <w:divBdr>
        <w:top w:val="none" w:sz="0" w:space="0" w:color="auto"/>
        <w:left w:val="none" w:sz="0" w:space="0" w:color="auto"/>
        <w:bottom w:val="none" w:sz="0" w:space="0" w:color="auto"/>
        <w:right w:val="none" w:sz="0" w:space="0" w:color="auto"/>
      </w:divBdr>
    </w:div>
    <w:div w:id="2099985680">
      <w:bodyDiv w:val="1"/>
      <w:marLeft w:val="0"/>
      <w:marRight w:val="0"/>
      <w:marTop w:val="0"/>
      <w:marBottom w:val="0"/>
      <w:divBdr>
        <w:top w:val="none" w:sz="0" w:space="0" w:color="auto"/>
        <w:left w:val="none" w:sz="0" w:space="0" w:color="auto"/>
        <w:bottom w:val="none" w:sz="0" w:space="0" w:color="auto"/>
        <w:right w:val="none" w:sz="0" w:space="0" w:color="auto"/>
      </w:divBdr>
    </w:div>
    <w:div w:id="2116366955">
      <w:bodyDiv w:val="1"/>
      <w:marLeft w:val="0"/>
      <w:marRight w:val="0"/>
      <w:marTop w:val="0"/>
      <w:marBottom w:val="0"/>
      <w:divBdr>
        <w:top w:val="none" w:sz="0" w:space="0" w:color="auto"/>
        <w:left w:val="none" w:sz="0" w:space="0" w:color="auto"/>
        <w:bottom w:val="none" w:sz="0" w:space="0" w:color="auto"/>
        <w:right w:val="none" w:sz="0" w:space="0" w:color="auto"/>
      </w:divBdr>
    </w:div>
    <w:div w:id="2134975927">
      <w:bodyDiv w:val="1"/>
      <w:marLeft w:val="0"/>
      <w:marRight w:val="0"/>
      <w:marTop w:val="0"/>
      <w:marBottom w:val="0"/>
      <w:divBdr>
        <w:top w:val="none" w:sz="0" w:space="0" w:color="auto"/>
        <w:left w:val="none" w:sz="0" w:space="0" w:color="auto"/>
        <w:bottom w:val="none" w:sz="0" w:space="0" w:color="auto"/>
        <w:right w:val="none" w:sz="0" w:space="0" w:color="auto"/>
      </w:divBdr>
    </w:div>
    <w:div w:id="2135630611">
      <w:bodyDiv w:val="1"/>
      <w:marLeft w:val="0"/>
      <w:marRight w:val="0"/>
      <w:marTop w:val="0"/>
      <w:marBottom w:val="0"/>
      <w:divBdr>
        <w:top w:val="none" w:sz="0" w:space="0" w:color="auto"/>
        <w:left w:val="none" w:sz="0" w:space="0" w:color="auto"/>
        <w:bottom w:val="none" w:sz="0" w:space="0" w:color="auto"/>
        <w:right w:val="none" w:sz="0" w:space="0" w:color="auto"/>
      </w:divBdr>
    </w:div>
    <w:div w:id="213890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7.xml"/><Relationship Id="rId76" Type="http://schemas.openxmlformats.org/officeDocument/2006/relationships/chart" Target="charts/chart65.xml"/><Relationship Id="rId84" Type="http://schemas.openxmlformats.org/officeDocument/2006/relationships/chart" Target="charts/chart73.xml"/><Relationship Id="rId89" Type="http://schemas.openxmlformats.org/officeDocument/2006/relationships/chart" Target="charts/chart78.xml"/><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chart" Target="charts/chart60.xml"/><Relationship Id="rId92" Type="http://schemas.openxmlformats.org/officeDocument/2006/relationships/chart" Target="charts/chart81.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chart" Target="charts/chart68.xml"/><Relationship Id="rId87" Type="http://schemas.openxmlformats.org/officeDocument/2006/relationships/chart" Target="charts/chart76.xml"/><Relationship Id="rId5" Type="http://schemas.microsoft.com/office/2007/relationships/stylesWithEffects" Target="stylesWithEffects.xml"/><Relationship Id="rId61" Type="http://schemas.openxmlformats.org/officeDocument/2006/relationships/chart" Target="charts/chart50.xml"/><Relationship Id="rId82" Type="http://schemas.openxmlformats.org/officeDocument/2006/relationships/chart" Target="charts/chart71.xml"/><Relationship Id="rId90" Type="http://schemas.openxmlformats.org/officeDocument/2006/relationships/chart" Target="charts/chart79.xml"/><Relationship Id="rId95" Type="http://schemas.openxmlformats.org/officeDocument/2006/relationships/header" Target="header1.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chart" Target="charts/chart74.xml"/><Relationship Id="rId93" Type="http://schemas.openxmlformats.org/officeDocument/2006/relationships/chart" Target="charts/chart82.xml"/><Relationship Id="rId98"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chart" Target="charts/chart77.xml"/><Relationship Id="rId91" Type="http://schemas.openxmlformats.org/officeDocument/2006/relationships/chart" Target="charts/chart80.xm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1.gif"/><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chart" Target="charts/chart75.xml"/><Relationship Id="rId94" Type="http://schemas.openxmlformats.org/officeDocument/2006/relationships/chart" Target="charts/chart83.xml"/><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1.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643E-2"/>
          <c:y val="0.18620242782152693"/>
          <c:w val="0.88408644400784497"/>
          <c:h val="0.62698436132983382"/>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Lbls>
            <c:dLbl>
              <c:idx val="0"/>
              <c:layout>
                <c:manualLayout>
                  <c:x val="9.7349380578272797E-3"/>
                  <c:y val="-4.945378822839442E-2"/>
                </c:manualLayout>
              </c:layout>
              <c:showLegendKey val="0"/>
              <c:showVal val="1"/>
              <c:showCatName val="0"/>
              <c:showSerName val="0"/>
              <c:showPercent val="0"/>
              <c:showBubbleSize val="0"/>
            </c:dLbl>
            <c:dLbl>
              <c:idx val="1"/>
              <c:layout>
                <c:manualLayout>
                  <c:x val="5.1421103050588324E-3"/>
                  <c:y val="-4.3807108246084546E-2"/>
                </c:manualLayout>
              </c:layout>
              <c:showLegendKey val="0"/>
              <c:showVal val="1"/>
              <c:showCatName val="0"/>
              <c:showSerName val="0"/>
              <c:showPercent val="0"/>
              <c:showBubbleSize val="0"/>
            </c:dLbl>
            <c:dLbl>
              <c:idx val="2"/>
              <c:layout>
                <c:manualLayout>
                  <c:x val="6.4431921790094934E-3"/>
                  <c:y val="-3.9890746829724259E-2"/>
                </c:manualLayout>
              </c:layout>
              <c:showLegendKey val="0"/>
              <c:showVal val="1"/>
              <c:showCatName val="0"/>
              <c:showSerName val="0"/>
              <c:showPercent val="0"/>
              <c:showBubbleSize val="0"/>
            </c:dLbl>
            <c:dLbl>
              <c:idx val="3"/>
              <c:layout>
                <c:manualLayout>
                  <c:x val="5.7796375107204076E-3"/>
                  <c:y val="-2.906001533462154E-2"/>
                </c:manualLayout>
              </c:layout>
              <c:showLegendKey val="0"/>
              <c:showVal val="1"/>
              <c:showCatName val="0"/>
              <c:showSerName val="0"/>
              <c:showPercent val="0"/>
              <c:showBubbleSize val="0"/>
            </c:dLbl>
            <c:dLbl>
              <c:idx val="4"/>
              <c:layout>
                <c:manualLayout>
                  <c:x val="3.1514463001914282E-3"/>
                  <c:y val="-2.8900792449020812E-2"/>
                </c:manualLayout>
              </c:layout>
              <c:showLegendKey val="0"/>
              <c:showVal val="1"/>
              <c:showCatName val="0"/>
              <c:showSerName val="0"/>
              <c:showPercent val="0"/>
              <c:showBubbleSize val="0"/>
            </c:dLbl>
            <c:dLbl>
              <c:idx val="5"/>
              <c:layout>
                <c:manualLayout>
                  <c:x val="8.3818012586214727E-3"/>
                  <c:y val="-4.4614405170507562E-2"/>
                </c:manualLayout>
              </c:layout>
              <c:showLegendKey val="0"/>
              <c:showVal val="1"/>
              <c:showCatName val="0"/>
              <c:showSerName val="0"/>
              <c:showPercent val="0"/>
              <c:showBubbleSize val="0"/>
            </c:dLbl>
            <c:dLbl>
              <c:idx val="6"/>
              <c:layout>
                <c:manualLayout>
                  <c:x val="3.7889735058530384E-3"/>
                  <c:y val="-2.9350844365608166E-2"/>
                </c:manualLayout>
              </c:layout>
              <c:showLegendKey val="0"/>
              <c:showVal val="1"/>
              <c:showCatName val="0"/>
              <c:showSerName val="0"/>
              <c:showPercent val="0"/>
              <c:showBubbleSize val="0"/>
            </c:dLbl>
            <c:dLbl>
              <c:idx val="7"/>
              <c:layout>
                <c:manualLayout>
                  <c:x val="5.0900553798036829E-3"/>
                  <c:y val="-4.5982353167392506E-2"/>
                </c:manualLayout>
              </c:layout>
              <c:showLegendKey val="0"/>
              <c:showVal val="1"/>
              <c:showCatName val="0"/>
              <c:showSerName val="0"/>
              <c:showPercent val="0"/>
              <c:showBubbleSize val="0"/>
            </c:dLbl>
            <c:dLbl>
              <c:idx val="8"/>
              <c:layout>
                <c:manualLayout>
                  <c:x val="6.3911372537540324E-3"/>
                  <c:y val="-3.612192105794465E-2"/>
                </c:manualLayout>
              </c:layout>
              <c:showLegendKey val="0"/>
              <c:showVal val="1"/>
              <c:showCatName val="0"/>
              <c:showSerName val="0"/>
              <c:showPercent val="0"/>
              <c:showBubbleSize val="0"/>
            </c:dLbl>
            <c:dLbl>
              <c:idx val="9"/>
              <c:layout>
                <c:manualLayout>
                  <c:x val="3.7629460432254537E-3"/>
                  <c:y val="-1.894901358484026E-2"/>
                </c:manualLayout>
              </c:layout>
              <c:tx>
                <c:rich>
                  <a:bodyPr/>
                  <a:lstStyle/>
                  <a:p>
                    <a:r>
                      <a:rPr lang="es-ES" b="1"/>
                      <a:t>55.809</a:t>
                    </a:r>
                  </a:p>
                </c:rich>
              </c:tx>
              <c:showLegendKey val="0"/>
              <c:showVal val="0"/>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41867</c:v>
                </c:pt>
                <c:pt idx="1">
                  <c:v>43575</c:v>
                </c:pt>
                <c:pt idx="2">
                  <c:v>48387</c:v>
                </c:pt>
                <c:pt idx="3">
                  <c:v>54259</c:v>
                </c:pt>
                <c:pt idx="4">
                  <c:v>61022</c:v>
                </c:pt>
                <c:pt idx="5">
                  <c:v>61140</c:v>
                </c:pt>
                <c:pt idx="6">
                  <c:v>63480</c:v>
                </c:pt>
                <c:pt idx="7">
                  <c:v>62615</c:v>
                </c:pt>
                <c:pt idx="8">
                  <c:v>59915</c:v>
                </c:pt>
                <c:pt idx="9" formatCode="General">
                  <c:v>55809</c:v>
                </c:pt>
                <c:pt idx="10">
                  <c:v>54582</c:v>
                </c:pt>
              </c:numCache>
            </c:numRef>
          </c:val>
        </c:ser>
        <c:dLbls>
          <c:showLegendKey val="0"/>
          <c:showVal val="0"/>
          <c:showCatName val="0"/>
          <c:showSerName val="0"/>
          <c:showPercent val="0"/>
          <c:showBubbleSize val="0"/>
        </c:dLbls>
        <c:gapWidth val="150"/>
        <c:axId val="282799104"/>
        <c:axId val="282809088"/>
      </c:barChart>
      <c:catAx>
        <c:axId val="282799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82809088"/>
        <c:crosses val="autoZero"/>
        <c:auto val="1"/>
        <c:lblAlgn val="ctr"/>
        <c:lblOffset val="100"/>
        <c:tickLblSkip val="1"/>
        <c:tickMarkSkip val="1"/>
        <c:noMultiLvlLbl val="0"/>
      </c:catAx>
      <c:valAx>
        <c:axId val="282809088"/>
        <c:scaling>
          <c:orientation val="minMax"/>
          <c:max val="8000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282799104"/>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s-ES" sz="900" b="1"/>
              <a:t>ÁLAVA</a:t>
            </a:r>
          </a:p>
        </c:rich>
      </c:tx>
      <c:layout>
        <c:manualLayout>
          <c:xMode val="edge"/>
          <c:yMode val="edge"/>
          <c:x val="0.43799472295515157"/>
          <c:y val="1.9900497512438272E-2"/>
        </c:manualLayout>
      </c:layout>
      <c:overlay val="0"/>
      <c:spPr>
        <a:noFill/>
        <a:ln w="25369">
          <a:noFill/>
        </a:ln>
      </c:spPr>
    </c:title>
    <c:autoTitleDeleted val="0"/>
    <c:plotArea>
      <c:layout>
        <c:manualLayout>
          <c:layoutTarget val="inner"/>
          <c:xMode val="edge"/>
          <c:yMode val="edge"/>
          <c:x val="7.9155672823219114E-2"/>
          <c:y val="0.20398009950249285"/>
          <c:w val="0.92084432717679099"/>
          <c:h val="0.64676616915422858"/>
        </c:manualLayout>
      </c:layout>
      <c:barChart>
        <c:barDir val="col"/>
        <c:grouping val="clustered"/>
        <c:varyColors val="0"/>
        <c:ser>
          <c:idx val="0"/>
          <c:order val="0"/>
          <c:tx>
            <c:strRef>
              <c:f>Sheet1!$A$2</c:f>
              <c:strCache>
                <c:ptCount val="1"/>
                <c:pt idx="0">
                  <c:v>ALAVA</c:v>
                </c:pt>
              </c:strCache>
            </c:strRef>
          </c:tx>
          <c:spPr>
            <a:solidFill>
              <a:schemeClr val="accent1">
                <a:lumMod val="20000"/>
                <a:lumOff val="80000"/>
              </a:schemeClr>
            </a:solidFill>
            <a:ln w="12685">
              <a:noFill/>
              <a:prstDash val="solid"/>
            </a:ln>
          </c:spPr>
          <c:invertIfNegative val="0"/>
          <c:dPt>
            <c:idx val="0"/>
            <c:invertIfNegative val="0"/>
            <c:bubble3D val="0"/>
            <c:spPr>
              <a:solidFill>
                <a:schemeClr val="accent1"/>
              </a:solidFill>
              <a:ln w="12685">
                <a:noFill/>
                <a:prstDash val="solid"/>
              </a:ln>
            </c:spPr>
          </c:dPt>
          <c:dLbls>
            <c:dLbl>
              <c:idx val="0"/>
              <c:layout>
                <c:manualLayout>
                  <c:x val="2.8913107715840517E-3"/>
                  <c:y val="7.8937713430982433E-3"/>
                </c:manualLayout>
              </c:layout>
              <c:showLegendKey val="0"/>
              <c:showVal val="1"/>
              <c:showCatName val="0"/>
              <c:showSerName val="0"/>
              <c:showPercent val="0"/>
              <c:showBubbleSize val="0"/>
            </c:dLbl>
            <c:dLbl>
              <c:idx val="1"/>
              <c:layout>
                <c:manualLayout>
                  <c:x val="6.4938902504737012E-3"/>
                  <c:y val="1.3774165326108506E-2"/>
                </c:manualLayout>
              </c:layout>
              <c:showLegendKey val="0"/>
              <c:showVal val="1"/>
              <c:showCatName val="0"/>
              <c:showSerName val="0"/>
              <c:showPercent val="0"/>
              <c:showBubbleSize val="0"/>
            </c:dLbl>
            <c:dLbl>
              <c:idx val="2"/>
              <c:layout>
                <c:manualLayout>
                  <c:x val="6.5439502181432714E-3"/>
                  <c:y val="1.4257895182457061E-3"/>
                </c:manualLayout>
              </c:layout>
              <c:showLegendKey val="0"/>
              <c:showVal val="1"/>
              <c:showCatName val="0"/>
              <c:showSerName val="0"/>
              <c:showPercent val="0"/>
              <c:showBubbleSize val="0"/>
            </c:dLbl>
            <c:dLbl>
              <c:idx val="3"/>
              <c:layout>
                <c:manualLayout>
                  <c:x val="2.1786515096208999E-3"/>
                  <c:y val="1.546467981824862E-2"/>
                </c:manualLayout>
              </c:layout>
              <c:showLegendKey val="0"/>
              <c:showVal val="1"/>
              <c:showCatName val="0"/>
              <c:showSerName val="0"/>
              <c:showPercent val="0"/>
              <c:showBubbleSize val="0"/>
            </c:dLbl>
            <c:dLbl>
              <c:idx val="4"/>
              <c:layout>
                <c:manualLayout>
                  <c:x val="1.0196589664702618E-2"/>
                  <c:y val="-1.8654926198741287E-3"/>
                </c:manualLayout>
              </c:layout>
              <c:showLegendKey val="0"/>
              <c:showVal val="1"/>
              <c:showCatName val="0"/>
              <c:showSerName val="0"/>
              <c:showPercent val="0"/>
              <c:showBubbleSize val="0"/>
            </c:dLbl>
            <c:spPr>
              <a:noFill/>
              <a:ln w="25369">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Total</c:v>
                </c:pt>
                <c:pt idx="1">
                  <c:v>Agricultura</c:v>
                </c:pt>
                <c:pt idx="2">
                  <c:v>Industria</c:v>
                </c:pt>
                <c:pt idx="3">
                  <c:v>Construcción</c:v>
                </c:pt>
                <c:pt idx="4">
                  <c:v>Servicios</c:v>
                </c:pt>
              </c:strCache>
            </c:strRef>
          </c:cat>
          <c:val>
            <c:numRef>
              <c:f>Sheet1!$B$2:$F$2</c:f>
              <c:numCache>
                <c:formatCode>0.0%</c:formatCode>
                <c:ptCount val="5"/>
                <c:pt idx="0">
                  <c:v>4.1000000000000002E-2</c:v>
                </c:pt>
                <c:pt idx="1">
                  <c:v>1.9000000000000104E-2</c:v>
                </c:pt>
                <c:pt idx="2">
                  <c:v>0.05</c:v>
                </c:pt>
                <c:pt idx="3">
                  <c:v>2.8000000000000001E-2</c:v>
                </c:pt>
                <c:pt idx="4">
                  <c:v>3.9000000000000014E-2</c:v>
                </c:pt>
              </c:numCache>
            </c:numRef>
          </c:val>
        </c:ser>
        <c:dLbls>
          <c:showLegendKey val="0"/>
          <c:showVal val="0"/>
          <c:showCatName val="0"/>
          <c:showSerName val="0"/>
          <c:showPercent val="0"/>
          <c:showBubbleSize val="0"/>
        </c:dLbls>
        <c:gapWidth val="150"/>
        <c:axId val="283886336"/>
        <c:axId val="283887872"/>
      </c:barChart>
      <c:catAx>
        <c:axId val="2838863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00"/>
            </a:pPr>
            <a:endParaRPr lang="es-ES"/>
          </a:p>
        </c:txPr>
        <c:crossAx val="283887872"/>
        <c:crosses val="autoZero"/>
        <c:auto val="1"/>
        <c:lblAlgn val="ctr"/>
        <c:lblOffset val="100"/>
        <c:tickLblSkip val="1"/>
        <c:tickMarkSkip val="1"/>
        <c:noMultiLvlLbl val="0"/>
      </c:catAx>
      <c:valAx>
        <c:axId val="283887872"/>
        <c:scaling>
          <c:orientation val="minMax"/>
          <c:max val="0.1"/>
        </c:scaling>
        <c:delete val="0"/>
        <c:axPos val="l"/>
        <c:majorGridlines>
          <c:spPr>
            <a:ln w="12685">
              <a:solidFill>
                <a:schemeClr val="bg1">
                  <a:lumMod val="95000"/>
                </a:schemeClr>
              </a:solidFill>
              <a:prstDash val="solid"/>
            </a:ln>
          </c:spPr>
        </c:majorGridlines>
        <c:numFmt formatCode="0%" sourceLinked="0"/>
        <c:majorTickMark val="out"/>
        <c:minorTickMark val="none"/>
        <c:tickLblPos val="nextTo"/>
        <c:spPr>
          <a:ln w="3171">
            <a:solidFill>
              <a:srgbClr val="000000"/>
            </a:solidFill>
            <a:prstDash val="solid"/>
          </a:ln>
        </c:spPr>
        <c:txPr>
          <a:bodyPr rot="0" vert="horz"/>
          <a:lstStyle/>
          <a:p>
            <a:pPr>
              <a:defRPr/>
            </a:pPr>
            <a:endParaRPr lang="es-ES"/>
          </a:p>
        </c:txPr>
        <c:crossAx val="283886336"/>
        <c:crosses val="autoZero"/>
        <c:crossBetween val="between"/>
        <c:majorUnit val="2.0000000000000011E-2"/>
        <c:minorUnit val="2.0000000000000011E-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s-ES" sz="900" b="1"/>
              <a:t>CAE</a:t>
            </a:r>
          </a:p>
        </c:rich>
      </c:tx>
      <c:layout>
        <c:manualLayout>
          <c:xMode val="edge"/>
          <c:yMode val="edge"/>
          <c:x val="0.46315789473684232"/>
          <c:y val="2.0100502512562814E-2"/>
        </c:manualLayout>
      </c:layout>
      <c:overlay val="0"/>
      <c:spPr>
        <a:noFill/>
        <a:ln w="25464">
          <a:noFill/>
        </a:ln>
      </c:spPr>
    </c:title>
    <c:autoTitleDeleted val="0"/>
    <c:plotArea>
      <c:layout>
        <c:manualLayout>
          <c:layoutTarget val="inner"/>
          <c:xMode val="edge"/>
          <c:yMode val="edge"/>
          <c:x val="7.6315789473684212E-2"/>
          <c:y val="0.19095477386934673"/>
          <c:w val="0.92368421052632577"/>
          <c:h val="0.6683417085427249"/>
        </c:manualLayout>
      </c:layout>
      <c:barChart>
        <c:barDir val="col"/>
        <c:grouping val="clustered"/>
        <c:varyColors val="0"/>
        <c:ser>
          <c:idx val="0"/>
          <c:order val="0"/>
          <c:tx>
            <c:strRef>
              <c:f>Sheet1!$A$2</c:f>
              <c:strCache>
                <c:ptCount val="1"/>
                <c:pt idx="0">
                  <c:v>CAE</c:v>
                </c:pt>
              </c:strCache>
            </c:strRef>
          </c:tx>
          <c:spPr>
            <a:solidFill>
              <a:schemeClr val="accent1">
                <a:lumMod val="20000"/>
                <a:lumOff val="80000"/>
              </a:schemeClr>
            </a:solidFill>
            <a:ln w="12732">
              <a:noFill/>
              <a:prstDash val="solid"/>
            </a:ln>
          </c:spPr>
          <c:invertIfNegative val="0"/>
          <c:dPt>
            <c:idx val="0"/>
            <c:invertIfNegative val="0"/>
            <c:bubble3D val="0"/>
            <c:spPr>
              <a:solidFill>
                <a:schemeClr val="accent1"/>
              </a:solidFill>
              <a:ln w="12732">
                <a:noFill/>
                <a:prstDash val="solid"/>
              </a:ln>
            </c:spPr>
          </c:dPt>
          <c:dLbls>
            <c:dLbl>
              <c:idx val="0"/>
              <c:layout>
                <c:manualLayout>
                  <c:x val="-6.1117054188098534E-3"/>
                  <c:y val="-5.8498071564403023E-2"/>
                </c:manualLayout>
              </c:layout>
              <c:showLegendKey val="0"/>
              <c:showVal val="1"/>
              <c:showCatName val="0"/>
              <c:showSerName val="0"/>
              <c:showPercent val="0"/>
              <c:showBubbleSize val="0"/>
            </c:dLbl>
            <c:dLbl>
              <c:idx val="1"/>
              <c:layout>
                <c:manualLayout>
                  <c:x val="-4.5280218003146914E-3"/>
                  <c:y val="-7.0754057389142463E-2"/>
                </c:manualLayout>
              </c:layout>
              <c:showLegendKey val="0"/>
              <c:showVal val="1"/>
              <c:showCatName val="0"/>
              <c:showSerName val="0"/>
              <c:showPercent val="0"/>
              <c:showBubbleSize val="0"/>
            </c:dLbl>
            <c:dLbl>
              <c:idx val="2"/>
              <c:layout>
                <c:manualLayout>
                  <c:x val="-1.0814178625862402E-3"/>
                  <c:y val="-4.2946686201947123E-2"/>
                </c:manualLayout>
              </c:layout>
              <c:showLegendKey val="0"/>
              <c:showVal val="1"/>
              <c:showCatName val="0"/>
              <c:showSerName val="0"/>
              <c:showPercent val="0"/>
              <c:showBubbleSize val="0"/>
            </c:dLbl>
            <c:dLbl>
              <c:idx val="3"/>
              <c:layout>
                <c:manualLayout>
                  <c:x val="1.2711928469059893E-3"/>
                  <c:y val="-6.5217884965977482E-2"/>
                </c:manualLayout>
              </c:layout>
              <c:showLegendKey val="0"/>
              <c:showVal val="1"/>
              <c:showCatName val="0"/>
              <c:showSerName val="0"/>
              <c:showPercent val="0"/>
              <c:showBubbleSize val="0"/>
            </c:dLbl>
            <c:dLbl>
              <c:idx val="4"/>
              <c:layout>
                <c:manualLayout>
                  <c:x val="2.2329751803278254E-4"/>
                  <c:y val="-4.9886984684044546E-2"/>
                </c:manualLayout>
              </c:layout>
              <c:showLegendKey val="0"/>
              <c:showVal val="1"/>
              <c:showCatName val="0"/>
              <c:showSerName val="0"/>
              <c:showPercent val="0"/>
              <c:showBubbleSize val="0"/>
            </c:dLbl>
            <c:spPr>
              <a:noFill/>
              <a:ln w="25464">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Total</c:v>
                </c:pt>
                <c:pt idx="1">
                  <c:v>Agricultura</c:v>
                </c:pt>
                <c:pt idx="2">
                  <c:v>Industria</c:v>
                </c:pt>
                <c:pt idx="3">
                  <c:v>Construcción</c:v>
                </c:pt>
                <c:pt idx="4">
                  <c:v>Servicios</c:v>
                </c:pt>
              </c:strCache>
            </c:strRef>
          </c:cat>
          <c:val>
            <c:numRef>
              <c:f>Sheet1!$B$2:$F$2</c:f>
              <c:numCache>
                <c:formatCode>0.0%</c:formatCode>
                <c:ptCount val="5"/>
                <c:pt idx="0">
                  <c:v>6.1000000000000013E-2</c:v>
                </c:pt>
                <c:pt idx="1">
                  <c:v>1.9000000000000104E-2</c:v>
                </c:pt>
                <c:pt idx="2">
                  <c:v>0.12100000000000002</c:v>
                </c:pt>
                <c:pt idx="3">
                  <c:v>3.4000000000000002E-2</c:v>
                </c:pt>
                <c:pt idx="4">
                  <c:v>4.5000000000000012E-2</c:v>
                </c:pt>
              </c:numCache>
            </c:numRef>
          </c:val>
        </c:ser>
        <c:dLbls>
          <c:showLegendKey val="0"/>
          <c:showVal val="0"/>
          <c:showCatName val="0"/>
          <c:showSerName val="0"/>
          <c:showPercent val="0"/>
          <c:showBubbleSize val="0"/>
        </c:dLbls>
        <c:gapWidth val="150"/>
        <c:axId val="283929216"/>
        <c:axId val="283943296"/>
      </c:barChart>
      <c:catAx>
        <c:axId val="283929216"/>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700"/>
            </a:pPr>
            <a:endParaRPr lang="es-ES"/>
          </a:p>
        </c:txPr>
        <c:crossAx val="283943296"/>
        <c:crosses val="autoZero"/>
        <c:auto val="1"/>
        <c:lblAlgn val="ctr"/>
        <c:lblOffset val="100"/>
        <c:tickLblSkip val="1"/>
        <c:tickMarkSkip val="1"/>
        <c:noMultiLvlLbl val="0"/>
      </c:catAx>
      <c:valAx>
        <c:axId val="283943296"/>
        <c:scaling>
          <c:orientation val="minMax"/>
          <c:max val="0.2"/>
        </c:scaling>
        <c:delete val="0"/>
        <c:axPos val="l"/>
        <c:majorGridlines>
          <c:spPr>
            <a:ln w="12732">
              <a:solidFill>
                <a:schemeClr val="bg1">
                  <a:lumMod val="95000"/>
                </a:schemeClr>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es-ES"/>
          </a:p>
        </c:txPr>
        <c:crossAx val="283929216"/>
        <c:crosses val="autoZero"/>
        <c:crossBetween val="between"/>
        <c:majorUnit val="0.05"/>
        <c:minorUnit val="2.0000000000000011E-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s-ES" sz="900" b="1"/>
              <a:t>GIPUZKOA</a:t>
            </a:r>
          </a:p>
        </c:rich>
      </c:tx>
      <c:layout>
        <c:manualLayout>
          <c:xMode val="edge"/>
          <c:yMode val="edge"/>
          <c:x val="0.46315789473684232"/>
          <c:y val="2.0100502512562814E-2"/>
        </c:manualLayout>
      </c:layout>
      <c:overlay val="0"/>
      <c:spPr>
        <a:noFill/>
        <a:ln w="25464">
          <a:noFill/>
        </a:ln>
      </c:spPr>
    </c:title>
    <c:autoTitleDeleted val="0"/>
    <c:plotArea>
      <c:layout>
        <c:manualLayout>
          <c:layoutTarget val="inner"/>
          <c:xMode val="edge"/>
          <c:yMode val="edge"/>
          <c:x val="7.6315789473684212E-2"/>
          <c:y val="0.19095477386934673"/>
          <c:w val="0.92368421052632621"/>
          <c:h val="0.66834170854272534"/>
        </c:manualLayout>
      </c:layout>
      <c:barChart>
        <c:barDir val="col"/>
        <c:grouping val="clustered"/>
        <c:varyColors val="0"/>
        <c:ser>
          <c:idx val="0"/>
          <c:order val="0"/>
          <c:tx>
            <c:strRef>
              <c:f>Sheet1!$A$2</c:f>
              <c:strCache>
                <c:ptCount val="1"/>
                <c:pt idx="0">
                  <c:v>CAE</c:v>
                </c:pt>
              </c:strCache>
            </c:strRef>
          </c:tx>
          <c:spPr>
            <a:solidFill>
              <a:schemeClr val="accent1">
                <a:lumMod val="20000"/>
                <a:lumOff val="80000"/>
              </a:schemeClr>
            </a:solidFill>
            <a:ln w="12732">
              <a:noFill/>
              <a:prstDash val="solid"/>
            </a:ln>
          </c:spPr>
          <c:invertIfNegative val="0"/>
          <c:dPt>
            <c:idx val="0"/>
            <c:invertIfNegative val="0"/>
            <c:bubble3D val="0"/>
            <c:spPr>
              <a:solidFill>
                <a:schemeClr val="accent1"/>
              </a:solidFill>
              <a:ln w="12732">
                <a:noFill/>
                <a:prstDash val="solid"/>
              </a:ln>
            </c:spPr>
          </c:dPt>
          <c:dLbls>
            <c:dLbl>
              <c:idx val="0"/>
              <c:layout>
                <c:manualLayout>
                  <c:x val="-6.1117054188098534E-3"/>
                  <c:y val="-5.8498071564403023E-2"/>
                </c:manualLayout>
              </c:layout>
              <c:showLegendKey val="0"/>
              <c:showVal val="1"/>
              <c:showCatName val="0"/>
              <c:showSerName val="0"/>
              <c:showPercent val="0"/>
              <c:showBubbleSize val="0"/>
            </c:dLbl>
            <c:dLbl>
              <c:idx val="1"/>
              <c:layout>
                <c:manualLayout>
                  <c:x val="-4.5279936034485794E-3"/>
                  <c:y val="-1.7420622422197225E-2"/>
                </c:manualLayout>
              </c:layout>
              <c:showLegendKey val="0"/>
              <c:showVal val="1"/>
              <c:showCatName val="0"/>
              <c:showSerName val="0"/>
              <c:showPercent val="0"/>
              <c:showBubbleSize val="0"/>
            </c:dLbl>
            <c:dLbl>
              <c:idx val="2"/>
              <c:layout>
                <c:manualLayout>
                  <c:x val="-1.0815038848620761E-3"/>
                  <c:y val="2.7674540682415083E-3"/>
                </c:manualLayout>
              </c:layout>
              <c:showLegendKey val="0"/>
              <c:showVal val="1"/>
              <c:showCatName val="0"/>
              <c:showSerName val="0"/>
              <c:showPercent val="0"/>
              <c:showBubbleSize val="0"/>
            </c:dLbl>
            <c:dLbl>
              <c:idx val="3"/>
              <c:layout>
                <c:manualLayout>
                  <c:x val="1.2711928469059893E-3"/>
                  <c:y val="-6.5217884965977482E-2"/>
                </c:manualLayout>
              </c:layout>
              <c:showLegendKey val="0"/>
              <c:showVal val="1"/>
              <c:showCatName val="0"/>
              <c:showSerName val="0"/>
              <c:showPercent val="0"/>
              <c:showBubbleSize val="0"/>
            </c:dLbl>
            <c:dLbl>
              <c:idx val="4"/>
              <c:layout>
                <c:manualLayout>
                  <c:x val="2.2329751803278254E-4"/>
                  <c:y val="-4.9886984684044601E-2"/>
                </c:manualLayout>
              </c:layout>
              <c:showLegendKey val="0"/>
              <c:showVal val="1"/>
              <c:showCatName val="0"/>
              <c:showSerName val="0"/>
              <c:showPercent val="0"/>
              <c:showBubbleSize val="0"/>
            </c:dLbl>
            <c:spPr>
              <a:noFill/>
              <a:ln w="25464">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Total</c:v>
                </c:pt>
                <c:pt idx="1">
                  <c:v>Agricultura</c:v>
                </c:pt>
                <c:pt idx="2">
                  <c:v>Industria</c:v>
                </c:pt>
                <c:pt idx="3">
                  <c:v>Construcción</c:v>
                </c:pt>
                <c:pt idx="4">
                  <c:v>Servicios</c:v>
                </c:pt>
              </c:strCache>
            </c:strRef>
          </c:cat>
          <c:val>
            <c:numRef>
              <c:f>Sheet1!$B$2:$F$2</c:f>
              <c:numCache>
                <c:formatCode>0.0%</c:formatCode>
                <c:ptCount val="5"/>
                <c:pt idx="0">
                  <c:v>9.2000000000000026E-2</c:v>
                </c:pt>
                <c:pt idx="1">
                  <c:v>3.0000000000000092E-3</c:v>
                </c:pt>
                <c:pt idx="2">
                  <c:v>0.20600000000000004</c:v>
                </c:pt>
                <c:pt idx="3">
                  <c:v>3.9000000000000014E-2</c:v>
                </c:pt>
                <c:pt idx="4">
                  <c:v>5.8000000000000003E-2</c:v>
                </c:pt>
              </c:numCache>
            </c:numRef>
          </c:val>
        </c:ser>
        <c:dLbls>
          <c:showLegendKey val="0"/>
          <c:showVal val="0"/>
          <c:showCatName val="0"/>
          <c:showSerName val="0"/>
          <c:showPercent val="0"/>
          <c:showBubbleSize val="0"/>
        </c:dLbls>
        <c:gapWidth val="150"/>
        <c:axId val="284013312"/>
        <c:axId val="284014848"/>
      </c:barChart>
      <c:catAx>
        <c:axId val="284013312"/>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700"/>
            </a:pPr>
            <a:endParaRPr lang="es-ES"/>
          </a:p>
        </c:txPr>
        <c:crossAx val="284014848"/>
        <c:crosses val="autoZero"/>
        <c:auto val="1"/>
        <c:lblAlgn val="ctr"/>
        <c:lblOffset val="100"/>
        <c:tickLblSkip val="1"/>
        <c:tickMarkSkip val="1"/>
        <c:noMultiLvlLbl val="0"/>
      </c:catAx>
      <c:valAx>
        <c:axId val="284014848"/>
        <c:scaling>
          <c:orientation val="minMax"/>
          <c:max val="0.30000000000000032"/>
        </c:scaling>
        <c:delete val="0"/>
        <c:axPos val="l"/>
        <c:majorGridlines>
          <c:spPr>
            <a:ln w="12732">
              <a:solidFill>
                <a:schemeClr val="bg1">
                  <a:lumMod val="95000"/>
                </a:schemeClr>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es-ES"/>
          </a:p>
        </c:txPr>
        <c:crossAx val="284013312"/>
        <c:crosses val="autoZero"/>
        <c:crossBetween val="between"/>
        <c:majorUnit val="0.05"/>
        <c:minorUnit val="2.0000000000000011E-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s-ES" sz="900" b="1"/>
              <a:t>BIZKAIA</a:t>
            </a:r>
          </a:p>
        </c:rich>
      </c:tx>
      <c:layout>
        <c:manualLayout>
          <c:xMode val="edge"/>
          <c:yMode val="edge"/>
          <c:x val="0.46315789473684232"/>
          <c:y val="2.0100502512562814E-2"/>
        </c:manualLayout>
      </c:layout>
      <c:overlay val="0"/>
      <c:spPr>
        <a:noFill/>
        <a:ln w="25464">
          <a:noFill/>
        </a:ln>
      </c:spPr>
    </c:title>
    <c:autoTitleDeleted val="0"/>
    <c:plotArea>
      <c:layout>
        <c:manualLayout>
          <c:layoutTarget val="inner"/>
          <c:xMode val="edge"/>
          <c:yMode val="edge"/>
          <c:x val="7.6315789473684212E-2"/>
          <c:y val="0.19095477386934673"/>
          <c:w val="0.92368421052632599"/>
          <c:h val="0.66834170854272512"/>
        </c:manualLayout>
      </c:layout>
      <c:barChart>
        <c:barDir val="col"/>
        <c:grouping val="clustered"/>
        <c:varyColors val="0"/>
        <c:ser>
          <c:idx val="0"/>
          <c:order val="0"/>
          <c:tx>
            <c:strRef>
              <c:f>Sheet1!$A$2</c:f>
              <c:strCache>
                <c:ptCount val="1"/>
                <c:pt idx="0">
                  <c:v>CAE</c:v>
                </c:pt>
              </c:strCache>
            </c:strRef>
          </c:tx>
          <c:spPr>
            <a:solidFill>
              <a:schemeClr val="accent1">
                <a:lumMod val="20000"/>
                <a:lumOff val="80000"/>
              </a:schemeClr>
            </a:solidFill>
            <a:ln w="12732">
              <a:noFill/>
              <a:prstDash val="solid"/>
            </a:ln>
          </c:spPr>
          <c:invertIfNegative val="0"/>
          <c:dPt>
            <c:idx val="0"/>
            <c:invertIfNegative val="0"/>
            <c:bubble3D val="0"/>
            <c:spPr>
              <a:solidFill>
                <a:schemeClr val="accent1"/>
              </a:solidFill>
              <a:ln w="12732">
                <a:noFill/>
                <a:prstDash val="solid"/>
              </a:ln>
            </c:spPr>
          </c:dPt>
          <c:dLbls>
            <c:dLbl>
              <c:idx val="0"/>
              <c:layout>
                <c:manualLayout>
                  <c:x val="7.1328501155898975E-3"/>
                  <c:y val="1.0073340832395934E-2"/>
                </c:manualLayout>
              </c:layout>
              <c:showLegendKey val="0"/>
              <c:showVal val="1"/>
              <c:showCatName val="0"/>
              <c:showSerName val="0"/>
              <c:showPercent val="0"/>
              <c:showBubbleSize val="0"/>
            </c:dLbl>
            <c:dLbl>
              <c:idx val="1"/>
              <c:layout>
                <c:manualLayout>
                  <c:x val="8.7170395091342792E-3"/>
                  <c:y val="-9.8015748031495768E-3"/>
                </c:manualLayout>
              </c:layout>
              <c:showLegendKey val="0"/>
              <c:showVal val="1"/>
              <c:showCatName val="0"/>
              <c:showSerName val="0"/>
              <c:showPercent val="0"/>
              <c:showBubbleSize val="0"/>
            </c:dLbl>
            <c:dLbl>
              <c:idx val="2"/>
              <c:layout>
                <c:manualLayout>
                  <c:x val="-1.0815038848620761E-3"/>
                  <c:y val="1.0386501687289201E-2"/>
                </c:manualLayout>
              </c:layout>
              <c:showLegendKey val="0"/>
              <c:showVal val="1"/>
              <c:showCatName val="0"/>
              <c:showSerName val="0"/>
              <c:showPercent val="0"/>
              <c:showBubbleSize val="0"/>
            </c:dLbl>
            <c:dLbl>
              <c:idx val="3"/>
              <c:layout>
                <c:manualLayout>
                  <c:x val="1.2713145956093237E-3"/>
                  <c:y val="3.3535808023997162E-3"/>
                </c:manualLayout>
              </c:layout>
              <c:showLegendKey val="0"/>
              <c:showVal val="1"/>
              <c:showCatName val="0"/>
              <c:showSerName val="0"/>
              <c:showPercent val="0"/>
              <c:showBubbleSize val="0"/>
            </c:dLbl>
            <c:dLbl>
              <c:idx val="4"/>
              <c:layout>
                <c:manualLayout>
                  <c:x val="9.0532060975822767E-3"/>
                  <c:y val="3.4465691788526619E-3"/>
                </c:manualLayout>
              </c:layout>
              <c:showLegendKey val="0"/>
              <c:showVal val="1"/>
              <c:showCatName val="0"/>
              <c:showSerName val="0"/>
              <c:showPercent val="0"/>
              <c:showBubbleSize val="0"/>
            </c:dLbl>
            <c:spPr>
              <a:noFill/>
              <a:ln w="25464">
                <a:noFill/>
              </a:ln>
            </c:spPr>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Total</c:v>
                </c:pt>
                <c:pt idx="1">
                  <c:v>Agricultura</c:v>
                </c:pt>
                <c:pt idx="2">
                  <c:v>Industria</c:v>
                </c:pt>
                <c:pt idx="3">
                  <c:v>Construcción</c:v>
                </c:pt>
                <c:pt idx="4">
                  <c:v>Servicios</c:v>
                </c:pt>
              </c:strCache>
            </c:strRef>
          </c:cat>
          <c:val>
            <c:numRef>
              <c:f>Sheet1!$B$2:$F$2</c:f>
              <c:numCache>
                <c:formatCode>0.0%</c:formatCode>
                <c:ptCount val="5"/>
                <c:pt idx="0">
                  <c:v>4.7000000000000014E-2</c:v>
                </c:pt>
                <c:pt idx="1">
                  <c:v>3.6999999999999998E-2</c:v>
                </c:pt>
                <c:pt idx="2">
                  <c:v>8.0000000000000043E-2</c:v>
                </c:pt>
                <c:pt idx="3">
                  <c:v>3.3000000000000002E-2</c:v>
                </c:pt>
                <c:pt idx="4">
                  <c:v>3.9000000000000014E-2</c:v>
                </c:pt>
              </c:numCache>
            </c:numRef>
          </c:val>
        </c:ser>
        <c:dLbls>
          <c:showLegendKey val="0"/>
          <c:showVal val="0"/>
          <c:showCatName val="0"/>
          <c:showSerName val="0"/>
          <c:showPercent val="0"/>
          <c:showBubbleSize val="0"/>
        </c:dLbls>
        <c:gapWidth val="150"/>
        <c:axId val="284064384"/>
        <c:axId val="284078464"/>
      </c:barChart>
      <c:catAx>
        <c:axId val="284064384"/>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700"/>
            </a:pPr>
            <a:endParaRPr lang="es-ES"/>
          </a:p>
        </c:txPr>
        <c:crossAx val="284078464"/>
        <c:crosses val="autoZero"/>
        <c:auto val="1"/>
        <c:lblAlgn val="ctr"/>
        <c:lblOffset val="100"/>
        <c:tickLblSkip val="1"/>
        <c:tickMarkSkip val="1"/>
        <c:noMultiLvlLbl val="0"/>
      </c:catAx>
      <c:valAx>
        <c:axId val="284078464"/>
        <c:scaling>
          <c:orientation val="minMax"/>
          <c:max val="0.2"/>
        </c:scaling>
        <c:delete val="0"/>
        <c:axPos val="l"/>
        <c:majorGridlines>
          <c:spPr>
            <a:ln w="12732">
              <a:solidFill>
                <a:schemeClr val="bg1">
                  <a:lumMod val="95000"/>
                </a:schemeClr>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es-ES"/>
          </a:p>
        </c:txPr>
        <c:crossAx val="284064384"/>
        <c:crosses val="autoZero"/>
        <c:crossBetween val="between"/>
        <c:majorUnit val="0.05"/>
        <c:minorUnit val="2.0000000000000011E-2"/>
      </c:valAx>
      <c:spPr>
        <a:noFill/>
        <a:ln w="25400">
          <a:solidFill>
            <a:schemeClr val="bg1">
              <a:lumMod val="95000"/>
            </a:schemeClr>
          </a:solid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517"/>
          <c:w val="0.8946322067594441"/>
          <c:h val="0.57142857142858716"/>
        </c:manualLayout>
      </c:layout>
      <c:barChart>
        <c:barDir val="col"/>
        <c:grouping val="clustered"/>
        <c:varyColors val="0"/>
        <c:ser>
          <c:idx val="0"/>
          <c:order val="0"/>
          <c:tx>
            <c:strRef>
              <c:f>Sheet1!$A$2</c:f>
              <c:strCache>
                <c:ptCount val="1"/>
              </c:strCache>
            </c:strRef>
          </c:tx>
          <c:spPr>
            <a:solidFill>
              <a:schemeClr val="accent1"/>
            </a:solidFill>
          </c:spPr>
          <c:invertIfNegative val="0"/>
          <c:dLbls>
            <c:dLbl>
              <c:idx val="0"/>
              <c:layout>
                <c:manualLayout>
                  <c:x val="-3.6577593749057172E-3"/>
                  <c:y val="-8.2830271216098005E-3"/>
                </c:manualLayout>
              </c:layout>
              <c:showLegendKey val="0"/>
              <c:showVal val="1"/>
              <c:showCatName val="0"/>
              <c:showSerName val="0"/>
              <c:showPercent val="0"/>
              <c:showBubbleSize val="0"/>
            </c:dLbl>
            <c:dLbl>
              <c:idx val="1"/>
              <c:layout>
                <c:manualLayout>
                  <c:x val="6.4457190695990712E-3"/>
                  <c:y val="-1.1163057742782189E-2"/>
                </c:manualLayout>
              </c:layout>
              <c:showLegendKey val="0"/>
              <c:showVal val="1"/>
              <c:showCatName val="0"/>
              <c:showSerName val="0"/>
              <c:showPercent val="0"/>
              <c:showBubbleSize val="0"/>
            </c:dLbl>
            <c:dLbl>
              <c:idx val="2"/>
              <c:layout>
                <c:manualLayout>
                  <c:x val="9.6162548646936568E-4"/>
                  <c:y val="-9.8605643044619769E-3"/>
                </c:manualLayout>
              </c:layout>
              <c:showLegendKey val="0"/>
              <c:showVal val="1"/>
              <c:showCatName val="0"/>
              <c:showSerName val="0"/>
              <c:showPercent val="0"/>
              <c:showBubbleSize val="0"/>
            </c:dLbl>
            <c:dLbl>
              <c:idx val="3"/>
              <c:layout>
                <c:manualLayout>
                  <c:x val="8.2639454550940197E-3"/>
                  <c:y val="7.1828521434820795E-3"/>
                </c:manualLayout>
              </c:layout>
              <c:showLegendKey val="0"/>
              <c:showVal val="1"/>
              <c:showCatName val="0"/>
              <c:showSerName val="0"/>
              <c:showPercent val="0"/>
              <c:showBubbleSize val="0"/>
            </c:dLbl>
            <c:dLbl>
              <c:idx val="4"/>
              <c:layout>
                <c:manualLayout>
                  <c:x val="-1.1963752375780633E-3"/>
                  <c:y val="2.3507217847769106E-3"/>
                </c:manualLayout>
              </c:layout>
              <c:showLegendKey val="0"/>
              <c:showVal val="1"/>
              <c:showCatName val="0"/>
              <c:showSerName val="0"/>
              <c:showPercent val="0"/>
              <c:showBubbleSize val="0"/>
            </c:dLbl>
            <c:dLbl>
              <c:idx val="5"/>
              <c:layout>
                <c:manualLayout>
                  <c:x val="6.8743023501372704E-3"/>
                  <c:y val="7.08497375328088E-3"/>
                </c:manualLayout>
              </c:layout>
              <c:showLegendKey val="0"/>
              <c:showVal val="1"/>
              <c:showCatName val="0"/>
              <c:showSerName val="0"/>
              <c:showPercent val="0"/>
              <c:showBubbleSize val="0"/>
            </c:dLbl>
            <c:dLbl>
              <c:idx val="6"/>
              <c:layout>
                <c:manualLayout>
                  <c:x val="2.6099647026880321E-3"/>
                  <c:y val="1.2139107611548561E-4"/>
                </c:manualLayout>
              </c:layout>
              <c:showLegendKey val="0"/>
              <c:showVal val="1"/>
              <c:showCatName val="0"/>
              <c:showSerName val="0"/>
              <c:showPercent val="0"/>
              <c:showBubbleSize val="0"/>
            </c:dLbl>
            <c:dLbl>
              <c:idx val="7"/>
              <c:layout>
                <c:manualLayout>
                  <c:x val="-4.7930431109904518E-4"/>
                  <c:y val="1.0646325459317625E-3"/>
                </c:manualLayout>
              </c:layout>
              <c:showLegendKey val="0"/>
              <c:showVal val="1"/>
              <c:showCatName val="0"/>
              <c:showSerName val="0"/>
              <c:showPercent val="0"/>
              <c:showBubbleSize val="0"/>
            </c:dLbl>
            <c:dLbl>
              <c:idx val="8"/>
              <c:layout>
                <c:manualLayout>
                  <c:x val="1.6268440582858181E-3"/>
                  <c:y val="-7.3408792650918788E-3"/>
                </c:manualLayout>
              </c:layout>
              <c:showLegendKey val="0"/>
              <c:showVal val="1"/>
              <c:showCatName val="0"/>
              <c:showSerName val="0"/>
              <c:showPercent val="0"/>
              <c:showBubbleSize val="0"/>
            </c:dLbl>
            <c:dLbl>
              <c:idx val="9"/>
              <c:layout>
                <c:manualLayout>
                  <c:x val="1.3389220743958749E-3"/>
                  <c:y val="-1.9022856517935303E-2"/>
                </c:manualLayout>
              </c:layout>
              <c:tx>
                <c:rich>
                  <a:bodyPr/>
                  <a:lstStyle/>
                  <a:p>
                    <a:r>
                      <a:rPr lang="es-ES" b="1"/>
                      <a:t>3.078</a:t>
                    </a:r>
                  </a:p>
                </c:rich>
              </c:tx>
              <c:showLegendKey val="0"/>
              <c:showVal val="0"/>
              <c:showCatName val="0"/>
              <c:showSerName val="0"/>
              <c:showPercent val="0"/>
              <c:showBubbleSize val="0"/>
            </c:dLbl>
            <c:dLbl>
              <c:idx val="10"/>
              <c:layout>
                <c:manualLayout>
                  <c:x val="4.7892720306513571E-3"/>
                  <c:y val="-3.4722222222222224E-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1918</c:v>
                </c:pt>
                <c:pt idx="1">
                  <c:v>2117</c:v>
                </c:pt>
                <c:pt idx="2">
                  <c:v>2222</c:v>
                </c:pt>
                <c:pt idx="3">
                  <c:v>2803</c:v>
                </c:pt>
                <c:pt idx="4">
                  <c:v>2976</c:v>
                </c:pt>
                <c:pt idx="5">
                  <c:v>3032</c:v>
                </c:pt>
                <c:pt idx="6">
                  <c:v>3096</c:v>
                </c:pt>
                <c:pt idx="7">
                  <c:v>2986</c:v>
                </c:pt>
                <c:pt idx="8">
                  <c:v>2997</c:v>
                </c:pt>
                <c:pt idx="9" formatCode="General">
                  <c:v>3078</c:v>
                </c:pt>
                <c:pt idx="10">
                  <c:v>3127</c:v>
                </c:pt>
              </c:numCache>
            </c:numRef>
          </c:val>
        </c:ser>
        <c:dLbls>
          <c:showLegendKey val="0"/>
          <c:showVal val="0"/>
          <c:showCatName val="0"/>
          <c:showSerName val="0"/>
          <c:showPercent val="0"/>
          <c:showBubbleSize val="0"/>
        </c:dLbls>
        <c:gapWidth val="150"/>
        <c:axId val="284127616"/>
        <c:axId val="284129152"/>
      </c:barChart>
      <c:catAx>
        <c:axId val="284127616"/>
        <c:scaling>
          <c:orientation val="minMax"/>
        </c:scaling>
        <c:delete val="0"/>
        <c:axPos val="b"/>
        <c:numFmt formatCode="General" sourceLinked="1"/>
        <c:majorTickMark val="out"/>
        <c:minorTickMark val="none"/>
        <c:tickLblPos val="low"/>
        <c:txPr>
          <a:bodyPr rot="0" vert="horz"/>
          <a:lstStyle/>
          <a:p>
            <a:pPr>
              <a:defRPr/>
            </a:pPr>
            <a:endParaRPr lang="es-ES"/>
          </a:p>
        </c:txPr>
        <c:crossAx val="284129152"/>
        <c:crosses val="autoZero"/>
        <c:auto val="1"/>
        <c:lblAlgn val="ctr"/>
        <c:lblOffset val="100"/>
        <c:tickLblSkip val="1"/>
        <c:tickMarkSkip val="1"/>
        <c:noMultiLvlLbl val="0"/>
      </c:catAx>
      <c:valAx>
        <c:axId val="284129152"/>
        <c:scaling>
          <c:orientation val="minMax"/>
          <c:max val="4000"/>
        </c:scaling>
        <c:delete val="0"/>
        <c:axPos val="l"/>
        <c:majorGridlines>
          <c:spPr>
            <a:ln>
              <a:solidFill>
                <a:srgbClr val="C0C0C0"/>
              </a:solidFill>
            </a:ln>
          </c:spPr>
        </c:majorGridlines>
        <c:numFmt formatCode="#,##0" sourceLinked="1"/>
        <c:majorTickMark val="out"/>
        <c:minorTickMark val="none"/>
        <c:tickLblPos val="nextTo"/>
        <c:txPr>
          <a:bodyPr rot="0" vert="horz"/>
          <a:lstStyle/>
          <a:p>
            <a:pPr>
              <a:defRPr/>
            </a:pPr>
            <a:endParaRPr lang="es-ES"/>
          </a:p>
        </c:txPr>
        <c:crossAx val="284127616"/>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7190569744643E-2"/>
          <c:y val="0.24175824175824484"/>
          <c:w val="0.88408644400784675"/>
          <c:h val="0.57142857142858583"/>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Pt>
            <c:idx val="4"/>
            <c:invertIfNegative val="0"/>
            <c:bubble3D val="0"/>
            <c:spPr>
              <a:solidFill>
                <a:srgbClr val="4F81BD"/>
              </a:solidFill>
              <a:ln w="12700">
                <a:noFill/>
                <a:prstDash val="solid"/>
              </a:ln>
            </c:spPr>
          </c:dPt>
          <c:dPt>
            <c:idx val="5"/>
            <c:invertIfNegative val="0"/>
            <c:bubble3D val="0"/>
            <c:spPr>
              <a:solidFill>
                <a:srgbClr val="4F81BD"/>
              </a:solidFill>
              <a:ln w="12700">
                <a:noFill/>
                <a:prstDash val="solid"/>
              </a:ln>
            </c:spPr>
          </c:dPt>
          <c:dLbls>
            <c:dLbl>
              <c:idx val="2"/>
              <c:layout>
                <c:manualLayout>
                  <c:x val="-2.0984312986811813E-3"/>
                  <c:y val="3.4722222222222224E-2"/>
                </c:manualLayout>
              </c:layout>
              <c:showLegendKey val="0"/>
              <c:showVal val="1"/>
              <c:showCatName val="0"/>
              <c:showSerName val="0"/>
              <c:showPercent val="0"/>
              <c:showBubbleSize val="0"/>
            </c:dLbl>
            <c:dLbl>
              <c:idx val="4"/>
              <c:layout>
                <c:manualLayout>
                  <c:x val="0"/>
                  <c:y val="2.0833333333333412E-2"/>
                </c:manualLayout>
              </c:layout>
              <c:showLegendKey val="0"/>
              <c:showVal val="1"/>
              <c:showCatName val="0"/>
              <c:showSerName val="0"/>
              <c:showPercent val="0"/>
              <c:showBubbleSize val="0"/>
            </c:dLbl>
            <c:dLbl>
              <c:idx val="6"/>
              <c:layout>
                <c:manualLayout>
                  <c:x val="7.694159211580457E-17"/>
                  <c:y val="3.4722222222222224E-2"/>
                </c:manualLayout>
              </c:layout>
              <c:showLegendKey val="0"/>
              <c:showVal val="1"/>
              <c:showCatName val="0"/>
              <c:showSerName val="0"/>
              <c:showPercent val="0"/>
              <c:showBubbleSize val="0"/>
            </c:dLbl>
            <c:dLbl>
              <c:idx val="8"/>
              <c:layout>
                <c:manualLayout>
                  <c:x val="0"/>
                  <c:y val="3.4722222222222224E-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#,##0</c:formatCode>
                <c:ptCount val="10"/>
                <c:pt idx="0">
                  <c:v>9523957</c:v>
                </c:pt>
                <c:pt idx="1">
                  <c:v>10314878</c:v>
                </c:pt>
                <c:pt idx="2">
                  <c:v>9757100</c:v>
                </c:pt>
                <c:pt idx="3">
                  <c:v>9205115</c:v>
                </c:pt>
                <c:pt idx="4">
                  <c:v>8563275</c:v>
                </c:pt>
                <c:pt idx="5">
                  <c:v>9109612</c:v>
                </c:pt>
                <c:pt idx="6">
                  <c:v>8283006</c:v>
                </c:pt>
                <c:pt idx="7">
                  <c:v>8304498</c:v>
                </c:pt>
                <c:pt idx="8">
                  <c:v>7690772</c:v>
                </c:pt>
                <c:pt idx="9">
                  <c:v>7835588</c:v>
                </c:pt>
              </c:numCache>
            </c:numRef>
          </c:val>
        </c:ser>
        <c:dLbls>
          <c:showLegendKey val="0"/>
          <c:showVal val="0"/>
          <c:showCatName val="0"/>
          <c:showSerName val="0"/>
          <c:showPercent val="0"/>
          <c:showBubbleSize val="0"/>
        </c:dLbls>
        <c:gapWidth val="150"/>
        <c:axId val="284289280"/>
        <c:axId val="284295168"/>
      </c:barChart>
      <c:catAx>
        <c:axId val="284289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84295168"/>
        <c:crosses val="autoZero"/>
        <c:auto val="1"/>
        <c:lblAlgn val="ctr"/>
        <c:lblOffset val="100"/>
        <c:tickLblSkip val="1"/>
        <c:tickMarkSkip val="1"/>
        <c:noMultiLvlLbl val="0"/>
      </c:catAx>
      <c:valAx>
        <c:axId val="284295168"/>
        <c:scaling>
          <c:orientation val="minMax"/>
          <c:max val="10316000"/>
          <c:min val="0"/>
        </c:scaling>
        <c:delete val="0"/>
        <c:axPos val="l"/>
        <c:majorGridlines>
          <c:spPr>
            <a:ln w="12700">
              <a:solidFill>
                <a:schemeClr val="bg1">
                  <a:lumMod val="95000"/>
                </a:schemeClr>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284289280"/>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3444"/>
        </c:manualLayout>
      </c:layout>
      <c:barChart>
        <c:barDir val="col"/>
        <c:grouping val="clustered"/>
        <c:varyColors val="0"/>
        <c:ser>
          <c:idx val="0"/>
          <c:order val="0"/>
          <c:tx>
            <c:strRef>
              <c:f>Sheet1!$A$2</c:f>
              <c:strCache>
                <c:ptCount val="1"/>
                <c:pt idx="0">
                  <c:v>2002</c:v>
                </c:pt>
              </c:strCache>
            </c:strRef>
          </c:tx>
          <c:invertIfNegative val="0"/>
          <c:dLbls>
            <c:dLbl>
              <c:idx val="0"/>
              <c:layout>
                <c:manualLayout>
                  <c:x val="-2.501563477173234E-2"/>
                  <c:y val="4.2735042735042764E-2"/>
                </c:manualLayout>
              </c:layout>
              <c:showLegendKey val="0"/>
              <c:showVal val="1"/>
              <c:showCatName val="0"/>
              <c:showSerName val="0"/>
              <c:showPercent val="0"/>
              <c:showBubbleSize val="0"/>
            </c:dLbl>
            <c:dLbl>
              <c:idx val="1"/>
              <c:layout>
                <c:manualLayout>
                  <c:x val="-2.2514071294559089E-2"/>
                  <c:y val="4.2735042735042764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Sheet1!$B$2:$C$2</c:f>
              <c:numCache>
                <c:formatCode>General</c:formatCode>
                <c:ptCount val="2"/>
                <c:pt idx="0">
                  <c:v>334217</c:v>
                </c:pt>
                <c:pt idx="1">
                  <c:v>768799</c:v>
                </c:pt>
              </c:numCache>
            </c:numRef>
          </c:val>
        </c:ser>
        <c:ser>
          <c:idx val="1"/>
          <c:order val="1"/>
          <c:tx>
            <c:strRef>
              <c:f>Sheet1!$A$3</c:f>
              <c:strCache>
                <c:ptCount val="1"/>
                <c:pt idx="0">
                  <c:v>2004</c:v>
                </c:pt>
              </c:strCache>
            </c:strRef>
          </c:tx>
          <c:invertIfNegative val="0"/>
          <c:dLbls>
            <c:dLbl>
              <c:idx val="0"/>
              <c:layout>
                <c:manualLayout>
                  <c:x val="-2.5015634771732346E-3"/>
                  <c:y val="8.5470085470085513E-3"/>
                </c:manualLayout>
              </c:layout>
              <c:showLegendKey val="0"/>
              <c:showVal val="1"/>
              <c:showCatName val="0"/>
              <c:showSerName val="0"/>
              <c:showPercent val="0"/>
              <c:showBubbleSize val="0"/>
            </c:dLbl>
            <c:dLbl>
              <c:idx val="1"/>
              <c:layout>
                <c:manualLayout>
                  <c:x val="-1.2507817385866201E-2"/>
                  <c:y val="2.5641025641026206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Sheet1!$B$3:$C$3</c:f>
              <c:numCache>
                <c:formatCode>General</c:formatCode>
                <c:ptCount val="2"/>
                <c:pt idx="0">
                  <c:v>368142</c:v>
                </c:pt>
                <c:pt idx="1">
                  <c:v>821856</c:v>
                </c:pt>
              </c:numCache>
            </c:numRef>
          </c:val>
        </c:ser>
        <c:ser>
          <c:idx val="2"/>
          <c:order val="2"/>
          <c:tx>
            <c:strRef>
              <c:f>Sheet1!$A$4</c:f>
              <c:strCache>
                <c:ptCount val="1"/>
                <c:pt idx="0">
                  <c:v>2006</c:v>
                </c:pt>
              </c:strCache>
            </c:strRef>
          </c:tx>
          <c:invertIfNegative val="0"/>
          <c:dLbls>
            <c:dLbl>
              <c:idx val="0"/>
              <c:layout>
                <c:manualLayout>
                  <c:x val="2.5015634771732346E-3"/>
                  <c:y val="0"/>
                </c:manualLayout>
              </c:layout>
              <c:showLegendKey val="0"/>
              <c:showVal val="1"/>
              <c:showCatName val="0"/>
              <c:showSerName val="0"/>
              <c:showPercent val="0"/>
              <c:showBubbleSize val="0"/>
            </c:dLbl>
            <c:dLbl>
              <c:idx val="1"/>
              <c:layout>
                <c:manualLayout>
                  <c:x val="-1.0006253908692838E-2"/>
                  <c:y val="1.7094017094017123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Sheet1!$B$4:$C$4</c:f>
              <c:numCache>
                <c:formatCode>General</c:formatCode>
                <c:ptCount val="2"/>
                <c:pt idx="0">
                  <c:v>527196</c:v>
                </c:pt>
                <c:pt idx="1">
                  <c:v>984091</c:v>
                </c:pt>
              </c:numCache>
            </c:numRef>
          </c:val>
        </c:ser>
        <c:ser>
          <c:idx val="3"/>
          <c:order val="3"/>
          <c:tx>
            <c:strRef>
              <c:f>Sheet1!$A$5</c:f>
              <c:strCache>
                <c:ptCount val="1"/>
                <c:pt idx="0">
                  <c:v>2008</c:v>
                </c:pt>
              </c:strCache>
            </c:strRef>
          </c:tx>
          <c:invertIfNegative val="0"/>
          <c:dLbls>
            <c:dLbl>
              <c:idx val="0"/>
              <c:tx>
                <c:rich>
                  <a:bodyPr/>
                  <a:lstStyle/>
                  <a:p>
                    <a:r>
                      <a:rPr lang="en-US"/>
                      <a:t>248.232*</a:t>
                    </a:r>
                  </a:p>
                </c:rich>
              </c:tx>
              <c:showLegendKey val="0"/>
              <c:showVal val="1"/>
              <c:showCatName val="0"/>
              <c:showSerName val="0"/>
              <c:showPercent val="0"/>
              <c:showBubbleSize val="0"/>
            </c:dLbl>
            <c:dLbl>
              <c:idx val="1"/>
              <c:layout>
                <c:manualLayout>
                  <c:x val="-2.2753128555177567E-3"/>
                  <c:y val="-2.1978021978022001E-2"/>
                </c:manualLayout>
              </c:layout>
              <c:tx>
                <c:rich>
                  <a:bodyPr/>
                  <a:lstStyle/>
                  <a:p>
                    <a:r>
                      <a:rPr lang="en-US"/>
                      <a:t>1.040.589*</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Sheet1!$B$5:$C$5</c:f>
              <c:numCache>
                <c:formatCode>General</c:formatCode>
                <c:ptCount val="2"/>
                <c:pt idx="0">
                  <c:v>248232</c:v>
                </c:pt>
                <c:pt idx="1">
                  <c:v>1040589</c:v>
                </c:pt>
              </c:numCache>
            </c:numRef>
          </c:val>
        </c:ser>
        <c:ser>
          <c:idx val="4"/>
          <c:order val="4"/>
          <c:tx>
            <c:strRef>
              <c:f>Sheet1!$A$6</c:f>
              <c:strCache>
                <c:ptCount val="1"/>
                <c:pt idx="0">
                  <c:v>2010</c:v>
                </c:pt>
              </c:strCache>
            </c:strRef>
          </c:tx>
          <c:invertIfNegative val="0"/>
          <c:dLbls>
            <c:dLbl>
              <c:idx val="0"/>
              <c:layout>
                <c:manualLayout>
                  <c:x val="4.5506257110352324E-3"/>
                  <c:y val="-6.7154291382964362E-17"/>
                </c:manualLayout>
              </c:layout>
              <c:tx>
                <c:rich>
                  <a:bodyPr/>
                  <a:lstStyle/>
                  <a:p>
                    <a:r>
                      <a:rPr lang="en-US"/>
                      <a:t>99.716*</a:t>
                    </a:r>
                  </a:p>
                </c:rich>
              </c:tx>
              <c:showLegendKey val="0"/>
              <c:showVal val="1"/>
              <c:showCatName val="0"/>
              <c:showSerName val="0"/>
              <c:showPercent val="0"/>
              <c:showBubbleSize val="0"/>
            </c:dLbl>
            <c:dLbl>
              <c:idx val="1"/>
              <c:tx>
                <c:rich>
                  <a:bodyPr/>
                  <a:lstStyle/>
                  <a:p>
                    <a:r>
                      <a:rPr lang="en-US"/>
                      <a:t>954.690*</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Sheet1!$B$6:$C$6</c:f>
              <c:numCache>
                <c:formatCode>#,##0</c:formatCode>
                <c:ptCount val="2"/>
                <c:pt idx="0">
                  <c:v>99716</c:v>
                </c:pt>
                <c:pt idx="1">
                  <c:v>954690</c:v>
                </c:pt>
              </c:numCache>
            </c:numRef>
          </c:val>
        </c:ser>
        <c:ser>
          <c:idx val="5"/>
          <c:order val="5"/>
          <c:tx>
            <c:strRef>
              <c:f>Sheet1!$A$7</c:f>
              <c:strCache>
                <c:ptCount val="1"/>
                <c:pt idx="0">
                  <c:v>2012</c:v>
                </c:pt>
              </c:strCache>
            </c:strRef>
          </c:tx>
          <c:invertIfNegative val="0"/>
          <c:dLbls>
            <c:dLbl>
              <c:idx val="0"/>
              <c:layout>
                <c:manualLayout>
                  <c:x val="1.000625390869293E-2"/>
                  <c:y val="0"/>
                </c:manualLayout>
              </c:layout>
              <c:tx>
                <c:rich>
                  <a:bodyPr/>
                  <a:lstStyle/>
                  <a:p>
                    <a:r>
                      <a:rPr lang="en-US"/>
                      <a:t>79.320*</a:t>
                    </a:r>
                  </a:p>
                </c:rich>
              </c:tx>
              <c:showLegendKey val="0"/>
              <c:showVal val="1"/>
              <c:showCatName val="0"/>
              <c:showSerName val="0"/>
              <c:showPercent val="0"/>
              <c:showBubbleSize val="0"/>
            </c:dLbl>
            <c:dLbl>
              <c:idx val="1"/>
              <c:layout>
                <c:manualLayout>
                  <c:x val="2.7517198248905611E-2"/>
                  <c:y val="2.5641025641026157E-2"/>
                </c:manualLayout>
              </c:layout>
              <c:tx>
                <c:rich>
                  <a:bodyPr/>
                  <a:lstStyle/>
                  <a:p>
                    <a:r>
                      <a:rPr lang="en-US"/>
                      <a:t>932.293*</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Sheet1!$B$7:$C$7</c:f>
              <c:numCache>
                <c:formatCode>#,##0</c:formatCode>
                <c:ptCount val="2"/>
                <c:pt idx="0">
                  <c:v>79320</c:v>
                </c:pt>
                <c:pt idx="1">
                  <c:v>932293</c:v>
                </c:pt>
              </c:numCache>
            </c:numRef>
          </c:val>
        </c:ser>
        <c:ser>
          <c:idx val="6"/>
          <c:order val="6"/>
          <c:tx>
            <c:strRef>
              <c:f>Sheet1!$A$8</c:f>
              <c:strCache>
                <c:ptCount val="1"/>
                <c:pt idx="0">
                  <c:v>2014</c:v>
                </c:pt>
              </c:strCache>
            </c:strRef>
          </c:tx>
          <c:invertIfNegative val="0"/>
          <c:dLbls>
            <c:dLbl>
              <c:idx val="0"/>
              <c:layout>
                <c:manualLayout>
                  <c:x val="1.5927189988623441E-2"/>
                  <c:y val="0"/>
                </c:manualLayout>
              </c:layout>
              <c:tx>
                <c:rich>
                  <a:bodyPr/>
                  <a:lstStyle/>
                  <a:p>
                    <a:r>
                      <a:rPr lang="en-US" b="1"/>
                      <a:t>92.150</a:t>
                    </a:r>
                  </a:p>
                </c:rich>
              </c:tx>
              <c:showLegendKey val="0"/>
              <c:showVal val="1"/>
              <c:showCatName val="0"/>
              <c:showSerName val="0"/>
              <c:showPercent val="0"/>
              <c:showBubbleSize val="0"/>
            </c:dLbl>
            <c:dLbl>
              <c:idx val="1"/>
              <c:layout>
                <c:manualLayout>
                  <c:x val="4.5506257110352694E-2"/>
                  <c:y val="1.4652014652014652E-2"/>
                </c:manualLayout>
              </c:layout>
              <c:tx>
                <c:rich>
                  <a:bodyPr/>
                  <a:lstStyle/>
                  <a:p>
                    <a:r>
                      <a:rPr lang="en-US" b="1"/>
                      <a:t>888.212</a:t>
                    </a:r>
                  </a:p>
                </c:rich>
              </c:tx>
              <c:showLegendKey val="0"/>
              <c:showVal val="1"/>
              <c:showCatName val="0"/>
              <c:showSerName val="0"/>
              <c:showPercent val="0"/>
              <c:showBubbleSize val="0"/>
            </c:dLbl>
            <c:txPr>
              <a:bodyPr/>
              <a:lstStyle/>
              <a:p>
                <a:pPr>
                  <a:defRPr sz="700"/>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Sheet1!$B$8:$C$8</c:f>
              <c:numCache>
                <c:formatCode>General</c:formatCode>
                <c:ptCount val="2"/>
                <c:pt idx="0">
                  <c:v>92150</c:v>
                </c:pt>
                <c:pt idx="1">
                  <c:v>888212</c:v>
                </c:pt>
              </c:numCache>
            </c:numRef>
          </c:val>
        </c:ser>
        <c:dLbls>
          <c:showLegendKey val="0"/>
          <c:showVal val="0"/>
          <c:showCatName val="0"/>
          <c:showSerName val="0"/>
          <c:showPercent val="0"/>
          <c:showBubbleSize val="0"/>
        </c:dLbls>
        <c:gapWidth val="150"/>
        <c:axId val="284355200"/>
        <c:axId val="284377472"/>
      </c:barChart>
      <c:catAx>
        <c:axId val="284355200"/>
        <c:scaling>
          <c:orientation val="minMax"/>
        </c:scaling>
        <c:delete val="0"/>
        <c:axPos val="b"/>
        <c:numFmt formatCode="General" sourceLinked="1"/>
        <c:majorTickMark val="out"/>
        <c:minorTickMark val="none"/>
        <c:tickLblPos val="low"/>
        <c:txPr>
          <a:bodyPr rot="0" vert="horz"/>
          <a:lstStyle/>
          <a:p>
            <a:pPr>
              <a:defRPr/>
            </a:pPr>
            <a:endParaRPr lang="es-ES"/>
          </a:p>
        </c:txPr>
        <c:crossAx val="284377472"/>
        <c:crosses val="autoZero"/>
        <c:auto val="1"/>
        <c:lblAlgn val="ctr"/>
        <c:lblOffset val="100"/>
        <c:tickLblSkip val="1"/>
        <c:tickMarkSkip val="1"/>
        <c:noMultiLvlLbl val="0"/>
      </c:catAx>
      <c:valAx>
        <c:axId val="284377472"/>
        <c:scaling>
          <c:orientation val="minMax"/>
          <c:max val="1500000"/>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284355200"/>
        <c:crosses val="autoZero"/>
        <c:crossBetween val="between"/>
        <c:majorUnit val="500000"/>
      </c:valAx>
    </c:plotArea>
    <c:legend>
      <c:legendPos val="b"/>
      <c:layout>
        <c:manualLayout>
          <c:xMode val="edge"/>
          <c:yMode val="edge"/>
          <c:x val="0.21960221201243263"/>
          <c:y val="0.86935258092737544"/>
          <c:w val="0.60903400181162759"/>
          <c:h val="0.10875890513685789"/>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dLbl>
            <c:dLbl>
              <c:idx val="1"/>
              <c:layout>
                <c:manualLayout>
                  <c:x val="6.3694224662061904E-3"/>
                  <c:y val="-6.1068970945941173E-2"/>
                </c:manualLayout>
              </c:layout>
              <c:showLegendKey val="0"/>
              <c:showVal val="1"/>
              <c:showCatName val="0"/>
              <c:showSerName val="0"/>
              <c:showPercent val="0"/>
              <c:showBubbleSize val="0"/>
            </c:dLbl>
            <c:dLbl>
              <c:idx val="2"/>
              <c:layout>
                <c:manualLayout>
                  <c:x val="5.7022398004159588E-3"/>
                  <c:y val="-5.0420710632324832E-2"/>
                </c:manualLayout>
              </c:layout>
              <c:showLegendKey val="0"/>
              <c:showVal val="1"/>
              <c:showCatName val="0"/>
              <c:showSerName val="0"/>
              <c:showPercent val="0"/>
              <c:showBubbleSize val="0"/>
            </c:dLbl>
            <c:dLbl>
              <c:idx val="3"/>
              <c:layout>
                <c:manualLayout>
                  <c:x val="7.0231287052024746E-3"/>
                  <c:y val="-4.0075645592377647E-2"/>
                </c:manualLayout>
              </c:layout>
              <c:showLegendKey val="0"/>
              <c:showVal val="1"/>
              <c:showCatName val="0"/>
              <c:showSerName val="0"/>
              <c:showPercent val="0"/>
              <c:showBubbleSize val="0"/>
            </c:dLbl>
            <c:dLbl>
              <c:idx val="4"/>
              <c:layout>
                <c:manualLayout>
                  <c:x val="2.3798028982589862E-3"/>
                  <c:y val="-4.3751532260390545E-2"/>
                </c:manualLayout>
              </c:layout>
              <c:showLegendKey val="0"/>
              <c:showVal val="1"/>
              <c:showCatName val="0"/>
              <c:showSerName val="0"/>
              <c:showPercent val="0"/>
              <c:showBubbleSize val="0"/>
            </c:dLbl>
            <c:dLbl>
              <c:idx val="5"/>
              <c:layout>
                <c:manualLayout>
                  <c:x val="7.6768349441982894E-3"/>
                  <c:y val="-5.0193725784276964E-2"/>
                </c:manualLayout>
              </c:layout>
              <c:showLegendKey val="0"/>
              <c:showVal val="1"/>
              <c:showCatName val="0"/>
              <c:showSerName val="0"/>
              <c:showPercent val="0"/>
              <c:showBubbleSize val="0"/>
            </c:dLbl>
            <c:dLbl>
              <c:idx val="6"/>
              <c:layout>
                <c:manualLayout>
                  <c:x val="3.0335091372550912E-3"/>
                  <c:y val="-3.9545465470662441E-2"/>
                </c:manualLayout>
              </c:layout>
              <c:showLegendKey val="0"/>
              <c:showVal val="1"/>
              <c:showCatName val="0"/>
              <c:showSerName val="0"/>
              <c:showPercent val="0"/>
              <c:showBubbleSize val="0"/>
            </c:dLbl>
            <c:dLbl>
              <c:idx val="7"/>
              <c:layout>
                <c:manualLayout>
                  <c:x val="2.3663264714649202E-3"/>
                  <c:y val="-3.8370245786585218E-2"/>
                </c:manualLayout>
              </c:layout>
              <c:showLegendKey val="0"/>
              <c:showVal val="1"/>
              <c:showCatName val="0"/>
              <c:showSerName val="0"/>
              <c:showPercent val="0"/>
              <c:showBubbleSize val="0"/>
            </c:dLbl>
            <c:dLbl>
              <c:idx val="8"/>
              <c:layout>
                <c:manualLayout>
                  <c:x val="1.6991438056745565E-3"/>
                  <c:y val="-3.7195572909155615E-2"/>
                </c:manualLayout>
              </c:layout>
              <c:showLegendKey val="0"/>
              <c:showVal val="1"/>
              <c:showCatName val="0"/>
              <c:showSerName val="0"/>
              <c:showPercent val="0"/>
              <c:showBubbleSize val="0"/>
            </c:dLbl>
            <c:dLbl>
              <c:idx val="9"/>
              <c:layout>
                <c:manualLayout>
                  <c:x val="2.1231479855755692E-3"/>
                  <c:y val="-7.522419072615907E-3"/>
                </c:manualLayout>
              </c:layout>
              <c:showLegendKey val="0"/>
              <c:showVal val="1"/>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0.32300000000000251</c:v>
                </c:pt>
                <c:pt idx="10">
                  <c:v>0.34500000000000008</c:v>
                </c:pt>
              </c:numCache>
            </c:numRef>
          </c:val>
        </c:ser>
        <c:dLbls>
          <c:showLegendKey val="0"/>
          <c:showVal val="0"/>
          <c:showCatName val="0"/>
          <c:showSerName val="0"/>
          <c:showPercent val="0"/>
          <c:showBubbleSize val="0"/>
        </c:dLbls>
        <c:gapWidth val="150"/>
        <c:axId val="288743808"/>
        <c:axId val="288745344"/>
      </c:barChart>
      <c:catAx>
        <c:axId val="288743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88745344"/>
        <c:crosses val="autoZero"/>
        <c:auto val="1"/>
        <c:lblAlgn val="ctr"/>
        <c:lblOffset val="100"/>
        <c:tickLblSkip val="1"/>
        <c:tickMarkSkip val="1"/>
        <c:noMultiLvlLbl val="0"/>
      </c:catAx>
      <c:valAx>
        <c:axId val="288745344"/>
        <c:scaling>
          <c:orientation val="minMax"/>
          <c:max val="0.4"/>
          <c:min val="0"/>
        </c:scaling>
        <c:delete val="0"/>
        <c:axPos val="l"/>
        <c:majorGridlines>
          <c:spPr>
            <a:ln w="12700">
              <a:solidFill>
                <a:schemeClr val="bg1">
                  <a:lumMod val="95000"/>
                </a:scheme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288743808"/>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varyColors val="0"/>
        <c:ser>
          <c:idx val="0"/>
          <c:order val="0"/>
          <c:tx>
            <c:strRef>
              <c:f>Sheet1!$A$2</c:f>
              <c:strCache>
                <c:ptCount val="1"/>
              </c:strCache>
            </c:strRef>
          </c:tx>
          <c:invertIfNegative val="0"/>
          <c:dPt>
            <c:idx val="0"/>
            <c:invertIfNegative val="0"/>
            <c:bubble3D val="0"/>
            <c:spPr/>
          </c:dPt>
          <c:dLbls>
            <c:showLegendKey val="0"/>
            <c:showVal val="1"/>
            <c:showCatName val="0"/>
            <c:showSerName val="0"/>
            <c:showPercent val="0"/>
            <c:showBubbleSize val="0"/>
            <c:showLeaderLines val="0"/>
          </c:dLbls>
          <c:cat>
            <c:numRef>
              <c:f>Sheet1!$B$1:$G$1</c:f>
              <c:numCache>
                <c:formatCode>General</c:formatCode>
                <c:ptCount val="6"/>
                <c:pt idx="0">
                  <c:v>2004</c:v>
                </c:pt>
                <c:pt idx="1">
                  <c:v>2006</c:v>
                </c:pt>
                <c:pt idx="2">
                  <c:v>2008</c:v>
                </c:pt>
                <c:pt idx="3">
                  <c:v>2010</c:v>
                </c:pt>
                <c:pt idx="4">
                  <c:v>2012</c:v>
                </c:pt>
                <c:pt idx="5">
                  <c:v>2014</c:v>
                </c:pt>
              </c:numCache>
            </c:numRef>
          </c:cat>
          <c:val>
            <c:numRef>
              <c:f>Sheet1!$B$2:$G$2</c:f>
              <c:numCache>
                <c:formatCode>0.0%</c:formatCode>
                <c:ptCount val="6"/>
                <c:pt idx="0">
                  <c:v>0.39900000000000313</c:v>
                </c:pt>
                <c:pt idx="1">
                  <c:v>0.44</c:v>
                </c:pt>
                <c:pt idx="2">
                  <c:v>0.48800000000000032</c:v>
                </c:pt>
                <c:pt idx="3">
                  <c:v>0.54100000000000004</c:v>
                </c:pt>
                <c:pt idx="4">
                  <c:v>0.59699999999999998</c:v>
                </c:pt>
                <c:pt idx="5">
                  <c:v>0.65200000000000591</c:v>
                </c:pt>
              </c:numCache>
            </c:numRef>
          </c:val>
        </c:ser>
        <c:dLbls>
          <c:showLegendKey val="0"/>
          <c:showVal val="0"/>
          <c:showCatName val="0"/>
          <c:showSerName val="0"/>
          <c:showPercent val="0"/>
          <c:showBubbleSize val="0"/>
        </c:dLbls>
        <c:gapWidth val="150"/>
        <c:axId val="288790400"/>
        <c:axId val="288791936"/>
      </c:barChart>
      <c:catAx>
        <c:axId val="288790400"/>
        <c:scaling>
          <c:orientation val="minMax"/>
        </c:scaling>
        <c:delete val="0"/>
        <c:axPos val="b"/>
        <c:numFmt formatCode="General" sourceLinked="1"/>
        <c:majorTickMark val="out"/>
        <c:minorTickMark val="none"/>
        <c:tickLblPos val="low"/>
        <c:txPr>
          <a:bodyPr rot="0" vert="horz"/>
          <a:lstStyle/>
          <a:p>
            <a:pPr>
              <a:defRPr/>
            </a:pPr>
            <a:endParaRPr lang="es-ES"/>
          </a:p>
        </c:txPr>
        <c:crossAx val="288791936"/>
        <c:crosses val="autoZero"/>
        <c:auto val="1"/>
        <c:lblAlgn val="ctr"/>
        <c:lblOffset val="100"/>
        <c:tickLblSkip val="1"/>
        <c:tickMarkSkip val="1"/>
        <c:noMultiLvlLbl val="0"/>
      </c:catAx>
      <c:valAx>
        <c:axId val="288791936"/>
        <c:scaling>
          <c:orientation val="minMax"/>
          <c:min val="0"/>
        </c:scaling>
        <c:delete val="0"/>
        <c:axPos val="l"/>
        <c:majorGridlines>
          <c:spPr>
            <a:ln>
              <a:solidFill>
                <a:schemeClr val="bg2"/>
              </a:solidFill>
            </a:ln>
          </c:spPr>
        </c:majorGridlines>
        <c:numFmt formatCode="0%" sourceLinked="0"/>
        <c:majorTickMark val="out"/>
        <c:minorTickMark val="none"/>
        <c:tickLblPos val="nextTo"/>
        <c:txPr>
          <a:bodyPr rot="0" vert="horz"/>
          <a:lstStyle/>
          <a:p>
            <a:pPr>
              <a:defRPr/>
            </a:pPr>
            <a:endParaRPr lang="es-ES"/>
          </a:p>
        </c:txPr>
        <c:crossAx val="288790400"/>
        <c:crosses val="autoZero"/>
        <c:crossBetween val="between"/>
        <c:majorUnit val="0.1"/>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solidFill>
            <a:ln w="12674">
              <a:noFill/>
              <a:prstDash val="solid"/>
            </a:ln>
          </c:spPr>
          <c:invertIfNegative val="0"/>
          <c:dLbls>
            <c:showLegendKey val="0"/>
            <c:showVal val="1"/>
            <c:showCatName val="0"/>
            <c:showSerName val="0"/>
            <c:showPercent val="0"/>
            <c:showBubbleSize val="0"/>
            <c:showLeaderLines val="0"/>
          </c:dLbls>
          <c:cat>
            <c:strRef>
              <c:f>Sheet1!$B$1:$L$1</c:f>
              <c:strCache>
                <c:ptCount val="11"/>
                <c:pt idx="0">
                  <c:v>Alto Deba</c:v>
                </c:pt>
                <c:pt idx="1">
                  <c:v>Tolosa – Goierri</c:v>
                </c:pt>
                <c:pt idx="2">
                  <c:v>Bizkaia – Costa</c:v>
                </c:pt>
                <c:pt idx="3">
                  <c:v>Bajo Deba</c:v>
                </c:pt>
                <c:pt idx="4">
                  <c:v>Duranguesado</c:v>
                </c:pt>
                <c:pt idx="5">
                  <c:v>Gasteiz</c:v>
                </c:pt>
                <c:pt idx="6">
                  <c:v>M. Derecha</c:v>
                </c:pt>
                <c:pt idx="7">
                  <c:v>Donostialdea</c:v>
                </c:pt>
                <c:pt idx="8">
                  <c:v>Ayala</c:v>
                </c:pt>
                <c:pt idx="9">
                  <c:v>M. Izquierda</c:v>
                </c:pt>
                <c:pt idx="10">
                  <c:v>Bilbao</c:v>
                </c:pt>
              </c:strCache>
            </c:strRef>
          </c:cat>
          <c:val>
            <c:numRef>
              <c:f>Sheet1!$B$2:$L$2</c:f>
              <c:numCache>
                <c:formatCode>General</c:formatCode>
                <c:ptCount val="11"/>
                <c:pt idx="0">
                  <c:v>61.1</c:v>
                </c:pt>
                <c:pt idx="1">
                  <c:v>54.8</c:v>
                </c:pt>
                <c:pt idx="2" formatCode="#,##0.0">
                  <c:v>53</c:v>
                </c:pt>
                <c:pt idx="3">
                  <c:v>46</c:v>
                </c:pt>
                <c:pt idx="4" formatCode="#,##0.0">
                  <c:v>29.8</c:v>
                </c:pt>
                <c:pt idx="5">
                  <c:v>19.8</c:v>
                </c:pt>
                <c:pt idx="6" formatCode="#,##0.0">
                  <c:v>19.100000000000001</c:v>
                </c:pt>
                <c:pt idx="7" formatCode="#,##0.0">
                  <c:v>12.3</c:v>
                </c:pt>
                <c:pt idx="8" formatCode="#,##0.0">
                  <c:v>10.4</c:v>
                </c:pt>
                <c:pt idx="9" formatCode="#,##0.0">
                  <c:v>2.2000000000000002</c:v>
                </c:pt>
                <c:pt idx="10" formatCode="#,##0.0">
                  <c:v>1.3</c:v>
                </c:pt>
              </c:numCache>
            </c:numRef>
          </c:val>
        </c:ser>
        <c:dLbls>
          <c:showLegendKey val="0"/>
          <c:showVal val="0"/>
          <c:showCatName val="0"/>
          <c:showSerName val="0"/>
          <c:showPercent val="0"/>
          <c:showBubbleSize val="0"/>
        </c:dLbls>
        <c:gapWidth val="150"/>
        <c:axId val="288852992"/>
        <c:axId val="288867072"/>
      </c:barChart>
      <c:catAx>
        <c:axId val="288852992"/>
        <c:scaling>
          <c:orientation val="minMax"/>
        </c:scaling>
        <c:delete val="0"/>
        <c:axPos val="b"/>
        <c:numFmt formatCode="General" sourceLinked="1"/>
        <c:majorTickMark val="out"/>
        <c:minorTickMark val="none"/>
        <c:tickLblPos val="low"/>
        <c:spPr>
          <a:ln w="3168">
            <a:solidFill>
              <a:srgbClr val="000000"/>
            </a:solidFill>
            <a:prstDash val="solid"/>
          </a:ln>
        </c:spPr>
        <c:txPr>
          <a:bodyPr rot="-5400000" vert="horz"/>
          <a:lstStyle/>
          <a:p>
            <a:pPr>
              <a:defRPr sz="800"/>
            </a:pPr>
            <a:endParaRPr lang="es-ES"/>
          </a:p>
        </c:txPr>
        <c:crossAx val="288867072"/>
        <c:crosses val="autoZero"/>
        <c:auto val="1"/>
        <c:lblAlgn val="ctr"/>
        <c:lblOffset val="100"/>
        <c:tickLblSkip val="1"/>
        <c:tickMarkSkip val="1"/>
        <c:noMultiLvlLbl val="0"/>
      </c:catAx>
      <c:valAx>
        <c:axId val="288867072"/>
        <c:scaling>
          <c:orientation val="minMax"/>
        </c:scaling>
        <c:delete val="0"/>
        <c:axPos val="l"/>
        <c:majorGridlines>
          <c:spPr>
            <a:ln w="12674">
              <a:solidFill>
                <a:srgbClr val="C0C0C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es-ES"/>
          </a:p>
        </c:txPr>
        <c:crossAx val="288852992"/>
        <c:crosses val="autoZero"/>
        <c:crossBetween val="between"/>
        <c:majorUnit val="2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solidFill>
            <a:ln w="12674">
              <a:noFill/>
              <a:prstDash val="solid"/>
            </a:ln>
          </c:spPr>
          <c:invertIfNegative val="0"/>
          <c:dLbls>
            <c:dLbl>
              <c:idx val="0"/>
              <c:layout>
                <c:manualLayout>
                  <c:x val="1.1166861098090636E-2"/>
                  <c:y val="-7.3290625888722413E-2"/>
                </c:manualLayout>
              </c:layout>
              <c:showLegendKey val="0"/>
              <c:showVal val="1"/>
              <c:showCatName val="0"/>
              <c:showSerName val="0"/>
              <c:showPercent val="0"/>
              <c:showBubbleSize val="0"/>
            </c:dLbl>
            <c:dLbl>
              <c:idx val="1"/>
              <c:layout>
                <c:manualLayout>
                  <c:x val="4.4401375513309308E-3"/>
                  <c:y val="-6.7796120394217924E-2"/>
                </c:manualLayout>
              </c:layout>
              <c:showLegendKey val="0"/>
              <c:showVal val="1"/>
              <c:showCatName val="0"/>
              <c:showSerName val="0"/>
              <c:showPercent val="0"/>
              <c:showBubbleSize val="0"/>
            </c:dLbl>
            <c:dLbl>
              <c:idx val="2"/>
              <c:layout>
                <c:manualLayout>
                  <c:x val="7.6537718574542814E-3"/>
                  <c:y val="-5.3990246160614166E-2"/>
                </c:manualLayout>
              </c:layout>
              <c:showLegendKey val="0"/>
              <c:showVal val="1"/>
              <c:showCatName val="0"/>
              <c:showSerName val="0"/>
              <c:showPercent val="0"/>
              <c:showBubbleSize val="0"/>
            </c:dLbl>
            <c:dLbl>
              <c:idx val="3"/>
              <c:layout>
                <c:manualLayout>
                  <c:x val="4.9031914518479014E-3"/>
                  <c:y val="-4.7017424572370133E-2"/>
                </c:manualLayout>
              </c:layout>
              <c:showLegendKey val="0"/>
              <c:showVal val="1"/>
              <c:showCatName val="0"/>
              <c:showSerName val="0"/>
              <c:showPercent val="0"/>
              <c:showBubbleSize val="0"/>
            </c:dLbl>
            <c:dLbl>
              <c:idx val="4"/>
              <c:layout>
                <c:manualLayout>
                  <c:x val="2.1528160186676552E-3"/>
                  <c:y val="-4.0044602984125939E-2"/>
                </c:manualLayout>
              </c:layout>
              <c:showLegendKey val="0"/>
              <c:showVal val="1"/>
              <c:showCatName val="0"/>
              <c:showSerName val="0"/>
              <c:showPercent val="0"/>
              <c:showBubbleSize val="0"/>
            </c:dLbl>
            <c:dLbl>
              <c:idx val="5"/>
              <c:layout>
                <c:manualLayout>
                  <c:x val="7.3545218953673984E-3"/>
                  <c:y val="-5.3850477217729023E-2"/>
                </c:manualLayout>
              </c:layout>
              <c:showLegendKey val="0"/>
              <c:showVal val="1"/>
              <c:showCatName val="0"/>
              <c:showSerName val="0"/>
              <c:showPercent val="0"/>
              <c:showBubbleSize val="0"/>
            </c:dLbl>
            <c:dLbl>
              <c:idx val="6"/>
              <c:layout>
                <c:manualLayout>
                  <c:x val="6.2779834860832032E-4"/>
                  <c:y val="-4.2861466228717594E-2"/>
                </c:manualLayout>
              </c:layout>
              <c:showLegendKey val="0"/>
              <c:showVal val="1"/>
              <c:showCatName val="0"/>
              <c:showSerName val="0"/>
              <c:showPercent val="0"/>
              <c:showBubbleSize val="0"/>
            </c:dLbl>
            <c:dLbl>
              <c:idx val="7"/>
              <c:layout>
                <c:manualLayout>
                  <c:x val="3.8414326547315052E-3"/>
                  <c:y val="-6.6317804300478192E-2"/>
                </c:manualLayout>
              </c:layout>
              <c:showLegendKey val="0"/>
              <c:showVal val="1"/>
              <c:showCatName val="0"/>
              <c:showSerName val="0"/>
              <c:showPercent val="0"/>
              <c:showBubbleSize val="0"/>
            </c:dLbl>
            <c:dLbl>
              <c:idx val="8"/>
              <c:layout>
                <c:manualLayout>
                  <c:x val="3.0789238197017482E-3"/>
                  <c:y val="-4.9834287816963529E-2"/>
                </c:manualLayout>
              </c:layout>
              <c:showLegendKey val="0"/>
              <c:showVal val="1"/>
              <c:showCatName val="0"/>
              <c:showSerName val="0"/>
              <c:showPercent val="0"/>
              <c:showBubbleSize val="0"/>
            </c:dLbl>
            <c:dLbl>
              <c:idx val="9"/>
              <c:layout>
                <c:manualLayout>
                  <c:x val="-1.6595231840549221E-3"/>
                  <c:y val="-2.6517718688086812E-2"/>
                </c:manualLayout>
              </c:layout>
              <c:showLegendKey val="0"/>
              <c:showVal val="1"/>
              <c:showCatName val="0"/>
              <c:showSerName val="0"/>
              <c:showPercent val="0"/>
              <c:showBubbleSize val="0"/>
            </c:dLbl>
            <c:spPr>
              <a:noFill/>
              <a:ln w="25347">
                <a:noFill/>
              </a:ln>
            </c:spPr>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6</c:v>
                </c:pt>
                <c:pt idx="1">
                  <c:v>6</c:v>
                </c:pt>
                <c:pt idx="2">
                  <c:v>6.2</c:v>
                </c:pt>
                <c:pt idx="3">
                  <c:v>6.5</c:v>
                </c:pt>
                <c:pt idx="4">
                  <c:v>6.8</c:v>
                </c:pt>
                <c:pt idx="5">
                  <c:v>6.6</c:v>
                </c:pt>
                <c:pt idx="6">
                  <c:v>6.6</c:v>
                </c:pt>
                <c:pt idx="7">
                  <c:v>6.3</c:v>
                </c:pt>
                <c:pt idx="8">
                  <c:v>6.3</c:v>
                </c:pt>
                <c:pt idx="9" formatCode="General">
                  <c:v>6.2</c:v>
                </c:pt>
                <c:pt idx="10">
                  <c:v>6.1</c:v>
                </c:pt>
              </c:numCache>
            </c:numRef>
          </c:val>
        </c:ser>
        <c:dLbls>
          <c:showLegendKey val="0"/>
          <c:showVal val="0"/>
          <c:showCatName val="0"/>
          <c:showSerName val="0"/>
          <c:showPercent val="0"/>
          <c:showBubbleSize val="0"/>
        </c:dLbls>
        <c:gapWidth val="150"/>
        <c:axId val="282825088"/>
        <c:axId val="282826624"/>
      </c:barChart>
      <c:catAx>
        <c:axId val="282825088"/>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a:pPr>
            <a:endParaRPr lang="es-ES"/>
          </a:p>
        </c:txPr>
        <c:crossAx val="282826624"/>
        <c:crosses val="autoZero"/>
        <c:auto val="1"/>
        <c:lblAlgn val="ctr"/>
        <c:lblOffset val="100"/>
        <c:tickLblSkip val="1"/>
        <c:tickMarkSkip val="1"/>
        <c:noMultiLvlLbl val="0"/>
      </c:catAx>
      <c:valAx>
        <c:axId val="282826624"/>
        <c:scaling>
          <c:orientation val="minMax"/>
          <c:max val="7"/>
          <c:min val="0"/>
        </c:scaling>
        <c:delete val="0"/>
        <c:axPos val="l"/>
        <c:majorGridlines>
          <c:spPr>
            <a:ln w="12674">
              <a:solidFill>
                <a:srgbClr val="C0C0C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es-ES"/>
          </a:p>
        </c:txPr>
        <c:crossAx val="282825088"/>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2012</c:v>
                </c:pt>
              </c:strCache>
            </c:strRef>
          </c:tx>
          <c:invertIfNegative val="0"/>
          <c:dLbls>
            <c:dLbl>
              <c:idx val="0"/>
              <c:tx>
                <c:rich>
                  <a:bodyPr/>
                  <a:lstStyle/>
                  <a:p>
                    <a:r>
                      <a:rPr lang="en-US"/>
                      <a:t>50,7%</a:t>
                    </a:r>
                  </a:p>
                </c:rich>
              </c:tx>
              <c:showLegendKey val="0"/>
              <c:showVal val="1"/>
              <c:showCatName val="0"/>
              <c:showSerName val="0"/>
              <c:showPercent val="0"/>
              <c:showBubbleSize val="0"/>
            </c:dLbl>
            <c:dLbl>
              <c:idx val="1"/>
              <c:tx>
                <c:rich>
                  <a:bodyPr/>
                  <a:lstStyle/>
                  <a:p>
                    <a:r>
                      <a:rPr lang="en-US"/>
                      <a:t>50%</a:t>
                    </a:r>
                  </a:p>
                </c:rich>
              </c:tx>
              <c:showLegendKey val="0"/>
              <c:showVal val="1"/>
              <c:showCatName val="0"/>
              <c:showSerName val="0"/>
              <c:showPercent val="0"/>
              <c:showBubbleSize val="0"/>
            </c:dLbl>
            <c:dLbl>
              <c:idx val="2"/>
              <c:tx>
                <c:rich>
                  <a:bodyPr/>
                  <a:lstStyle/>
                  <a:p>
                    <a:r>
                      <a:rPr lang="en-US"/>
                      <a:t>39,1%</a:t>
                    </a:r>
                  </a:p>
                </c:rich>
              </c:tx>
              <c:showLegendKey val="0"/>
              <c:showVal val="1"/>
              <c:showCatName val="0"/>
              <c:showSerName val="0"/>
              <c:showPercent val="0"/>
              <c:showBubbleSize val="0"/>
            </c:dLbl>
            <c:dLbl>
              <c:idx val="3"/>
              <c:tx>
                <c:rich>
                  <a:bodyPr/>
                  <a:lstStyle/>
                  <a:p>
                    <a:r>
                      <a:rPr lang="en-US"/>
                      <a:t>37,6%</a:t>
                    </a:r>
                  </a:p>
                </c:rich>
              </c:tx>
              <c:showLegendKey val="0"/>
              <c:showVal val="1"/>
              <c:showCatName val="0"/>
              <c:showSerName val="0"/>
              <c:showPercent val="0"/>
              <c:showBubbleSize val="0"/>
            </c:dLbl>
            <c:dLbl>
              <c:idx val="4"/>
              <c:tx>
                <c:rich>
                  <a:bodyPr/>
                  <a:lstStyle/>
                  <a:p>
                    <a:r>
                      <a:rPr lang="en-US"/>
                      <a:t>36,9%</a:t>
                    </a:r>
                  </a:p>
                </c:rich>
              </c:tx>
              <c:showLegendKey val="0"/>
              <c:showVal val="1"/>
              <c:showCatName val="0"/>
              <c:showSerName val="0"/>
              <c:showPercent val="0"/>
              <c:showBubbleSize val="0"/>
            </c:dLbl>
            <c:dLbl>
              <c:idx val="5"/>
              <c:tx>
                <c:rich>
                  <a:bodyPr/>
                  <a:lstStyle/>
                  <a:p>
                    <a:r>
                      <a:rPr lang="en-US"/>
                      <a:t>35,3%</a:t>
                    </a:r>
                  </a:p>
                </c:rich>
              </c:tx>
              <c:showLegendKey val="0"/>
              <c:showVal val="1"/>
              <c:showCatName val="0"/>
              <c:showSerName val="0"/>
              <c:showPercent val="0"/>
              <c:showBubbleSize val="0"/>
            </c:dLbl>
            <c:dLbl>
              <c:idx val="6"/>
              <c:layout>
                <c:manualLayout>
                  <c:x val="0"/>
                  <c:y val="1.3729244877117857E-2"/>
                </c:manualLayout>
              </c:layout>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Hoja1!$A$2:$A$8</c:f>
              <c:strCache>
                <c:ptCount val="7"/>
                <c:pt idx="0">
                  <c:v>Ajuste salarial y/o ajuste de personal y dedicación horaria y/o acuerdos de colaboración</c:v>
                </c:pt>
                <c:pt idx="1">
                  <c:v>Ajuste salarial y/o ajuste de personal y dedicación horaria</c:v>
                </c:pt>
                <c:pt idx="2">
                  <c:v>Ajustes de personal y/o acuerdos de colaboración</c:v>
                </c:pt>
                <c:pt idx="3">
                  <c:v>Ajuste salarial y/o acuerdos de colaboración</c:v>
                </c:pt>
                <c:pt idx="4">
                  <c:v>Ajuste de personal y dedicación horaria</c:v>
                </c:pt>
                <c:pt idx="5">
                  <c:v>Ajuste salarial</c:v>
                </c:pt>
                <c:pt idx="6">
                  <c:v>Acuerdos de colaboración solidarios intercooperativos </c:v>
                </c:pt>
              </c:strCache>
            </c:strRef>
          </c:cat>
          <c:val>
            <c:numRef>
              <c:f>Hoja1!$B$2:$B$8</c:f>
              <c:numCache>
                <c:formatCode>General</c:formatCode>
                <c:ptCount val="7"/>
                <c:pt idx="0">
                  <c:v>50.7</c:v>
                </c:pt>
                <c:pt idx="1">
                  <c:v>50</c:v>
                </c:pt>
                <c:pt idx="2">
                  <c:v>39.1</c:v>
                </c:pt>
                <c:pt idx="3">
                  <c:v>37.6</c:v>
                </c:pt>
                <c:pt idx="4">
                  <c:v>36.9</c:v>
                </c:pt>
                <c:pt idx="5">
                  <c:v>35.300000000000004</c:v>
                </c:pt>
                <c:pt idx="6">
                  <c:v>6.7</c:v>
                </c:pt>
              </c:numCache>
            </c:numRef>
          </c:val>
        </c:ser>
        <c:ser>
          <c:idx val="1"/>
          <c:order val="1"/>
          <c:tx>
            <c:strRef>
              <c:f>Hoja1!$C$1</c:f>
              <c:strCache>
                <c:ptCount val="1"/>
                <c:pt idx="0">
                  <c:v>2014</c:v>
                </c:pt>
              </c:strCache>
            </c:strRef>
          </c:tx>
          <c:spPr>
            <a:solidFill>
              <a:schemeClr val="accent1">
                <a:lumMod val="60000"/>
                <a:lumOff val="40000"/>
              </a:schemeClr>
            </a:solidFill>
          </c:spPr>
          <c:invertIfNegative val="0"/>
          <c:dLbls>
            <c:dLbl>
              <c:idx val="0"/>
              <c:tx>
                <c:rich>
                  <a:bodyPr/>
                  <a:lstStyle/>
                  <a:p>
                    <a:r>
                      <a:rPr lang="en-US"/>
                      <a:t>45,7%</a:t>
                    </a:r>
                  </a:p>
                </c:rich>
              </c:tx>
              <c:showLegendKey val="0"/>
              <c:showVal val="1"/>
              <c:showCatName val="0"/>
              <c:showSerName val="0"/>
              <c:showPercent val="0"/>
              <c:showBubbleSize val="0"/>
            </c:dLbl>
            <c:dLbl>
              <c:idx val="1"/>
              <c:layout>
                <c:manualLayout>
                  <c:x val="-4.5073373773968743E-3"/>
                  <c:y val="-2.2882074795196512E-2"/>
                </c:manualLayout>
              </c:layout>
              <c:tx>
                <c:rich>
                  <a:bodyPr/>
                  <a:lstStyle/>
                  <a:p>
                    <a:r>
                      <a:rPr lang="en-US"/>
                      <a:t>44,6%</a:t>
                    </a:r>
                  </a:p>
                </c:rich>
              </c:tx>
              <c:showLegendKey val="0"/>
              <c:showVal val="1"/>
              <c:showCatName val="0"/>
              <c:showSerName val="0"/>
              <c:showPercent val="0"/>
              <c:showBubbleSize val="0"/>
            </c:dLbl>
            <c:dLbl>
              <c:idx val="2"/>
              <c:tx>
                <c:rich>
                  <a:bodyPr/>
                  <a:lstStyle/>
                  <a:p>
                    <a:r>
                      <a:rPr lang="en-US"/>
                      <a:t>33,7%</a:t>
                    </a:r>
                  </a:p>
                </c:rich>
              </c:tx>
              <c:showLegendKey val="0"/>
              <c:showVal val="1"/>
              <c:showCatName val="0"/>
              <c:showSerName val="0"/>
              <c:showPercent val="0"/>
              <c:showBubbleSize val="0"/>
            </c:dLbl>
            <c:dLbl>
              <c:idx val="3"/>
              <c:layout>
                <c:manualLayout>
                  <c:x val="0"/>
                  <c:y val="-9.1528299180785727E-3"/>
                </c:manualLayout>
              </c:layout>
              <c:tx>
                <c:rich>
                  <a:bodyPr/>
                  <a:lstStyle/>
                  <a:p>
                    <a:r>
                      <a:rPr lang="en-US"/>
                      <a:t>31,9%</a:t>
                    </a:r>
                  </a:p>
                </c:rich>
              </c:tx>
              <c:showLegendKey val="0"/>
              <c:showVal val="1"/>
              <c:showCatName val="0"/>
              <c:showSerName val="0"/>
              <c:showPercent val="0"/>
              <c:showBubbleSize val="0"/>
            </c:dLbl>
            <c:dLbl>
              <c:idx val="4"/>
              <c:layout>
                <c:manualLayout>
                  <c:x val="-4.5073373773968743E-3"/>
                  <c:y val="-1.3729244877117857E-2"/>
                </c:manualLayout>
              </c:layout>
              <c:tx>
                <c:rich>
                  <a:bodyPr/>
                  <a:lstStyle/>
                  <a:p>
                    <a:r>
                      <a:rPr lang="en-US"/>
                      <a:t>31,4%</a:t>
                    </a:r>
                  </a:p>
                </c:rich>
              </c:tx>
              <c:showLegendKey val="0"/>
              <c:showVal val="1"/>
              <c:showCatName val="0"/>
              <c:showSerName val="0"/>
              <c:showPercent val="0"/>
              <c:showBubbleSize val="0"/>
            </c:dLbl>
            <c:dLbl>
              <c:idx val="5"/>
              <c:tx>
                <c:rich>
                  <a:bodyPr/>
                  <a:lstStyle/>
                  <a:p>
                    <a:r>
                      <a:rPr lang="en-US"/>
                      <a:t>30%</a:t>
                    </a:r>
                  </a:p>
                </c:rich>
              </c:tx>
              <c:showLegendKey val="0"/>
              <c:showVal val="1"/>
              <c:showCatName val="0"/>
              <c:showSerName val="0"/>
              <c:showPercent val="0"/>
              <c:showBubbleSize val="0"/>
            </c:dLbl>
            <c:dLbl>
              <c:idx val="6"/>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Hoja1!$A$2:$A$8</c:f>
              <c:strCache>
                <c:ptCount val="7"/>
                <c:pt idx="0">
                  <c:v>Ajuste salarial y/o ajuste de personal y dedicación horaria y/o acuerdos de colaboración</c:v>
                </c:pt>
                <c:pt idx="1">
                  <c:v>Ajuste salarial y/o ajuste de personal y dedicación horaria</c:v>
                </c:pt>
                <c:pt idx="2">
                  <c:v>Ajustes de personal y/o acuerdos de colaboración</c:v>
                </c:pt>
                <c:pt idx="3">
                  <c:v>Ajuste salarial y/o acuerdos de colaboración</c:v>
                </c:pt>
                <c:pt idx="4">
                  <c:v>Ajuste de personal y dedicación horaria</c:v>
                </c:pt>
                <c:pt idx="5">
                  <c:v>Ajuste salarial</c:v>
                </c:pt>
                <c:pt idx="6">
                  <c:v>Acuerdos de colaboración solidarios intercooperativos </c:v>
                </c:pt>
              </c:strCache>
            </c:strRef>
          </c:cat>
          <c:val>
            <c:numRef>
              <c:f>Hoja1!$C$2:$C$8</c:f>
              <c:numCache>
                <c:formatCode>General</c:formatCode>
                <c:ptCount val="7"/>
                <c:pt idx="0">
                  <c:v>45.7</c:v>
                </c:pt>
                <c:pt idx="1">
                  <c:v>44.6</c:v>
                </c:pt>
                <c:pt idx="2">
                  <c:v>33.700000000000003</c:v>
                </c:pt>
                <c:pt idx="3">
                  <c:v>31.9</c:v>
                </c:pt>
                <c:pt idx="4">
                  <c:v>31.4</c:v>
                </c:pt>
                <c:pt idx="5">
                  <c:v>30</c:v>
                </c:pt>
                <c:pt idx="6">
                  <c:v>6</c:v>
                </c:pt>
              </c:numCache>
            </c:numRef>
          </c:val>
        </c:ser>
        <c:dLbls>
          <c:showLegendKey val="0"/>
          <c:showVal val="0"/>
          <c:showCatName val="0"/>
          <c:showSerName val="0"/>
          <c:showPercent val="0"/>
          <c:showBubbleSize val="0"/>
        </c:dLbls>
        <c:gapWidth val="150"/>
        <c:axId val="288949760"/>
        <c:axId val="288951296"/>
      </c:barChart>
      <c:catAx>
        <c:axId val="288949760"/>
        <c:scaling>
          <c:orientation val="minMax"/>
        </c:scaling>
        <c:delete val="0"/>
        <c:axPos val="l"/>
        <c:majorTickMark val="out"/>
        <c:minorTickMark val="none"/>
        <c:tickLblPos val="nextTo"/>
        <c:txPr>
          <a:bodyPr/>
          <a:lstStyle/>
          <a:p>
            <a:pPr>
              <a:defRPr sz="800"/>
            </a:pPr>
            <a:endParaRPr lang="es-ES"/>
          </a:p>
        </c:txPr>
        <c:crossAx val="288951296"/>
        <c:crosses val="autoZero"/>
        <c:auto val="1"/>
        <c:lblAlgn val="ctr"/>
        <c:lblOffset val="100"/>
        <c:noMultiLvlLbl val="0"/>
      </c:catAx>
      <c:valAx>
        <c:axId val="28895129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288949760"/>
        <c:crosses val="autoZero"/>
        <c:crossBetween val="between"/>
      </c:valAx>
    </c:plotArea>
    <c:legend>
      <c:legendPos val="b"/>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2012</c:v>
                </c:pt>
              </c:strCache>
            </c:strRef>
          </c:tx>
          <c:invertIfNegative val="0"/>
          <c:dLbls>
            <c:dLbl>
              <c:idx val="0"/>
              <c:layout>
                <c:manualLayout>
                  <c:x val="3.4323118376922029E-3"/>
                  <c:y val="1.0858584886987425E-2"/>
                </c:manualLayout>
              </c:layout>
              <c:tx>
                <c:rich>
                  <a:bodyPr/>
                  <a:lstStyle/>
                  <a:p>
                    <a:r>
                      <a:rPr lang="en-US"/>
                      <a:t>28,8%</a:t>
                    </a:r>
                  </a:p>
                </c:rich>
              </c:tx>
              <c:showLegendKey val="0"/>
              <c:showVal val="1"/>
              <c:showCatName val="0"/>
              <c:showSerName val="0"/>
              <c:showPercent val="0"/>
              <c:showBubbleSize val="0"/>
            </c:dLbl>
            <c:dLbl>
              <c:idx val="1"/>
              <c:tx>
                <c:rich>
                  <a:bodyPr/>
                  <a:lstStyle/>
                  <a:p>
                    <a:r>
                      <a:rPr lang="en-US"/>
                      <a:t>19,5%</a:t>
                    </a:r>
                  </a:p>
                </c:rich>
              </c:tx>
              <c:showLegendKey val="0"/>
              <c:showVal val="1"/>
              <c:showCatName val="0"/>
              <c:showSerName val="0"/>
              <c:showPercent val="0"/>
              <c:showBubbleSize val="0"/>
            </c:dLbl>
            <c:dLbl>
              <c:idx val="2"/>
              <c:tx>
                <c:rich>
                  <a:bodyPr/>
                  <a:lstStyle/>
                  <a:p>
                    <a:r>
                      <a:rPr lang="en-US"/>
                      <a:t>3,4%</a:t>
                    </a:r>
                  </a:p>
                </c:rich>
              </c:tx>
              <c:showLegendKey val="0"/>
              <c:showVal val="1"/>
              <c:showCatName val="0"/>
              <c:showSerName val="0"/>
              <c:showPercent val="0"/>
              <c:showBubbleSize val="0"/>
            </c:dLbl>
            <c:dLbl>
              <c:idx val="3"/>
              <c:tx>
                <c:rich>
                  <a:bodyPr/>
                  <a:lstStyle/>
                  <a:p>
                    <a:r>
                      <a:rPr lang="en-US"/>
                      <a:t>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Hoja1!$A$2:$A$5</c:f>
              <c:strCache>
                <c:ptCount val="4"/>
                <c:pt idx="0">
                  <c:v>Reducción salarial mensual</c:v>
                </c:pt>
                <c:pt idx="1">
                  <c:v>Reducción /eliminación de pagas extras</c:v>
                </c:pt>
                <c:pt idx="2">
                  <c:v>Capitalización de los intereses de las aportaciones del socio colectivo</c:v>
                </c:pt>
                <c:pt idx="3">
                  <c:v>Otros</c:v>
                </c:pt>
              </c:strCache>
            </c:strRef>
          </c:cat>
          <c:val>
            <c:numRef>
              <c:f>Hoja1!$B$2:$B$5</c:f>
              <c:numCache>
                <c:formatCode>General</c:formatCode>
                <c:ptCount val="4"/>
                <c:pt idx="0">
                  <c:v>28.8</c:v>
                </c:pt>
                <c:pt idx="1">
                  <c:v>19.5</c:v>
                </c:pt>
                <c:pt idx="2">
                  <c:v>3.4</c:v>
                </c:pt>
                <c:pt idx="3">
                  <c:v>5</c:v>
                </c:pt>
              </c:numCache>
            </c:numRef>
          </c:val>
        </c:ser>
        <c:ser>
          <c:idx val="1"/>
          <c:order val="1"/>
          <c:tx>
            <c:strRef>
              <c:f>Hoja1!$C$1</c:f>
              <c:strCache>
                <c:ptCount val="1"/>
                <c:pt idx="0">
                  <c:v>2014</c:v>
                </c:pt>
              </c:strCache>
            </c:strRef>
          </c:tx>
          <c:spPr>
            <a:solidFill>
              <a:schemeClr val="accent1">
                <a:lumMod val="60000"/>
                <a:lumOff val="40000"/>
              </a:schemeClr>
            </a:solidFill>
          </c:spPr>
          <c:invertIfNegative val="0"/>
          <c:dLbls>
            <c:dLbl>
              <c:idx val="0"/>
              <c:tx>
                <c:rich>
                  <a:bodyPr/>
                  <a:lstStyle/>
                  <a:p>
                    <a:r>
                      <a:rPr lang="en-US"/>
                      <a:t>22,1%</a:t>
                    </a:r>
                  </a:p>
                </c:rich>
              </c:tx>
              <c:showLegendKey val="0"/>
              <c:showVal val="1"/>
              <c:showCatName val="0"/>
              <c:showSerName val="0"/>
              <c:showPercent val="0"/>
              <c:showBubbleSize val="0"/>
            </c:dLbl>
            <c:dLbl>
              <c:idx val="1"/>
              <c:tx>
                <c:rich>
                  <a:bodyPr/>
                  <a:lstStyle/>
                  <a:p>
                    <a:r>
                      <a:rPr lang="en-US"/>
                      <a:t>14,9%</a:t>
                    </a:r>
                  </a:p>
                </c:rich>
              </c:tx>
              <c:showLegendKey val="0"/>
              <c:showVal val="1"/>
              <c:showCatName val="0"/>
              <c:showSerName val="0"/>
              <c:showPercent val="0"/>
              <c:showBubbleSize val="0"/>
            </c:dLbl>
            <c:dLbl>
              <c:idx val="2"/>
              <c:tx>
                <c:rich>
                  <a:bodyPr/>
                  <a:lstStyle/>
                  <a:p>
                    <a:r>
                      <a:rPr lang="en-US"/>
                      <a:t>3,1%</a:t>
                    </a:r>
                  </a:p>
                </c:rich>
              </c:tx>
              <c:showLegendKey val="0"/>
              <c:showVal val="1"/>
              <c:showCatName val="0"/>
              <c:showSerName val="0"/>
              <c:showPercent val="0"/>
              <c:showBubbleSize val="0"/>
            </c:dLbl>
            <c:dLbl>
              <c:idx val="3"/>
              <c:tx>
                <c:rich>
                  <a:bodyPr/>
                  <a:lstStyle/>
                  <a:p>
                    <a:r>
                      <a:rPr lang="en-US"/>
                      <a:t>3,3%</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Hoja1!$A$2:$A$5</c:f>
              <c:strCache>
                <c:ptCount val="4"/>
                <c:pt idx="0">
                  <c:v>Reducción salarial mensual</c:v>
                </c:pt>
                <c:pt idx="1">
                  <c:v>Reducción /eliminación de pagas extras</c:v>
                </c:pt>
                <c:pt idx="2">
                  <c:v>Capitalización de los intereses de las aportaciones del socio colectivo</c:v>
                </c:pt>
                <c:pt idx="3">
                  <c:v>Otros</c:v>
                </c:pt>
              </c:strCache>
            </c:strRef>
          </c:cat>
          <c:val>
            <c:numRef>
              <c:f>Hoja1!$C$2:$C$5</c:f>
              <c:numCache>
                <c:formatCode>General</c:formatCode>
                <c:ptCount val="4"/>
                <c:pt idx="0">
                  <c:v>22.1</c:v>
                </c:pt>
                <c:pt idx="1">
                  <c:v>14.9</c:v>
                </c:pt>
                <c:pt idx="2">
                  <c:v>3.1</c:v>
                </c:pt>
                <c:pt idx="3">
                  <c:v>3.3</c:v>
                </c:pt>
              </c:numCache>
            </c:numRef>
          </c:val>
        </c:ser>
        <c:dLbls>
          <c:showLegendKey val="0"/>
          <c:showVal val="0"/>
          <c:showCatName val="0"/>
          <c:showSerName val="0"/>
          <c:showPercent val="0"/>
          <c:showBubbleSize val="0"/>
        </c:dLbls>
        <c:gapWidth val="150"/>
        <c:axId val="288690560"/>
        <c:axId val="288692096"/>
      </c:barChart>
      <c:catAx>
        <c:axId val="288690560"/>
        <c:scaling>
          <c:orientation val="minMax"/>
        </c:scaling>
        <c:delete val="0"/>
        <c:axPos val="l"/>
        <c:majorTickMark val="out"/>
        <c:minorTickMark val="none"/>
        <c:tickLblPos val="nextTo"/>
        <c:txPr>
          <a:bodyPr/>
          <a:lstStyle/>
          <a:p>
            <a:pPr>
              <a:defRPr sz="700"/>
            </a:pPr>
            <a:endParaRPr lang="es-ES"/>
          </a:p>
        </c:txPr>
        <c:crossAx val="288692096"/>
        <c:crosses val="autoZero"/>
        <c:auto val="1"/>
        <c:lblAlgn val="ctr"/>
        <c:lblOffset val="100"/>
        <c:noMultiLvlLbl val="0"/>
      </c:catAx>
      <c:valAx>
        <c:axId val="28869209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288690560"/>
        <c:crosses val="autoZero"/>
        <c:crossBetween val="between"/>
      </c:valAx>
    </c:plotArea>
    <c:legend>
      <c:legendPos val="b"/>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2012</c:v>
                </c:pt>
              </c:strCache>
            </c:strRef>
          </c:tx>
          <c:invertIfNegative val="0"/>
          <c:dLbls>
            <c:dLbl>
              <c:idx val="0"/>
              <c:tx>
                <c:rich>
                  <a:bodyPr/>
                  <a:lstStyle/>
                  <a:p>
                    <a:r>
                      <a:rPr lang="en-US"/>
                      <a:t>23%</a:t>
                    </a:r>
                  </a:p>
                </c:rich>
              </c:tx>
              <c:showLegendKey val="0"/>
              <c:showVal val="1"/>
              <c:showCatName val="0"/>
              <c:showSerName val="0"/>
              <c:showPercent val="0"/>
              <c:showBubbleSize val="0"/>
            </c:dLbl>
            <c:dLbl>
              <c:idx val="1"/>
              <c:tx>
                <c:rich>
                  <a:bodyPr/>
                  <a:lstStyle/>
                  <a:p>
                    <a:r>
                      <a:rPr lang="en-US"/>
                      <a:t>7,2%</a:t>
                    </a:r>
                  </a:p>
                </c:rich>
              </c:tx>
              <c:showLegendKey val="0"/>
              <c:showVal val="1"/>
              <c:showCatName val="0"/>
              <c:showSerName val="0"/>
              <c:showPercent val="0"/>
              <c:showBubbleSize val="0"/>
            </c:dLbl>
            <c:dLbl>
              <c:idx val="2"/>
              <c:tx>
                <c:rich>
                  <a:bodyPr/>
                  <a:lstStyle/>
                  <a:p>
                    <a:r>
                      <a:rPr lang="en-US"/>
                      <a:t>8,6%</a:t>
                    </a:r>
                  </a:p>
                </c:rich>
              </c:tx>
              <c:showLegendKey val="0"/>
              <c:showVal val="1"/>
              <c:showCatName val="0"/>
              <c:showSerName val="0"/>
              <c:showPercent val="0"/>
              <c:showBubbleSize val="0"/>
            </c:dLbl>
            <c:dLbl>
              <c:idx val="3"/>
              <c:tx>
                <c:rich>
                  <a:bodyPr/>
                  <a:lstStyle/>
                  <a:p>
                    <a:r>
                      <a:rPr lang="en-US"/>
                      <a:t>9,6%</a:t>
                    </a:r>
                  </a:p>
                </c:rich>
              </c:tx>
              <c:showLegendKey val="0"/>
              <c:showVal val="1"/>
              <c:showCatName val="0"/>
              <c:showSerName val="0"/>
              <c:showPercent val="0"/>
              <c:showBubbleSize val="0"/>
            </c:dLbl>
            <c:dLbl>
              <c:idx val="4"/>
              <c:tx>
                <c:rich>
                  <a:bodyPr/>
                  <a:lstStyle/>
                  <a:p>
                    <a:r>
                      <a:rPr lang="en-US"/>
                      <a:t>6,5%</a:t>
                    </a:r>
                  </a:p>
                </c:rich>
              </c:tx>
              <c:showLegendKey val="0"/>
              <c:showVal val="1"/>
              <c:showCatName val="0"/>
              <c:showSerName val="0"/>
              <c:showPercent val="0"/>
              <c:showBubbleSize val="0"/>
            </c:dLbl>
            <c:dLbl>
              <c:idx val="5"/>
              <c:tx>
                <c:rich>
                  <a:bodyPr/>
                  <a:lstStyle/>
                  <a:p>
                    <a:r>
                      <a:rPr lang="en-US"/>
                      <a:t>2,3%</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Hoja1!$A$2:$A$7</c:f>
              <c:strCache>
                <c:ptCount val="6"/>
                <c:pt idx="0">
                  <c:v>Reducción del número de asalariados/as</c:v>
                </c:pt>
                <c:pt idx="1">
                  <c:v>Incremento de las horas trabajadas</c:v>
                </c:pt>
                <c:pt idx="2">
                  <c:v>Prejubilaciones</c:v>
                </c:pt>
                <c:pt idx="3">
                  <c:v>Reducción de la jornada laboral</c:v>
                </c:pt>
                <c:pt idx="4">
                  <c:v>Calendario móvil - Creación de bolsa de horas anuales de los/as operarios/as</c:v>
                </c:pt>
                <c:pt idx="5">
                  <c:v>Otros</c:v>
                </c:pt>
              </c:strCache>
            </c:strRef>
          </c:cat>
          <c:val>
            <c:numRef>
              <c:f>Hoja1!$B$2:$B$7</c:f>
              <c:numCache>
                <c:formatCode>General</c:formatCode>
                <c:ptCount val="6"/>
                <c:pt idx="0">
                  <c:v>23</c:v>
                </c:pt>
                <c:pt idx="1">
                  <c:v>7.2</c:v>
                </c:pt>
                <c:pt idx="2">
                  <c:v>8.6</c:v>
                </c:pt>
                <c:pt idx="3">
                  <c:v>9.6</c:v>
                </c:pt>
                <c:pt idx="4">
                  <c:v>6.5</c:v>
                </c:pt>
                <c:pt idx="5">
                  <c:v>2.2999999999999998</c:v>
                </c:pt>
              </c:numCache>
            </c:numRef>
          </c:val>
        </c:ser>
        <c:ser>
          <c:idx val="1"/>
          <c:order val="1"/>
          <c:tx>
            <c:strRef>
              <c:f>Hoja1!$C$1</c:f>
              <c:strCache>
                <c:ptCount val="1"/>
                <c:pt idx="0">
                  <c:v>2014</c:v>
                </c:pt>
              </c:strCache>
            </c:strRef>
          </c:tx>
          <c:spPr>
            <a:solidFill>
              <a:schemeClr val="accent1">
                <a:lumMod val="60000"/>
                <a:lumOff val="40000"/>
              </a:schemeClr>
            </a:solidFill>
          </c:spPr>
          <c:invertIfNegative val="0"/>
          <c:dLbls>
            <c:dLbl>
              <c:idx val="0"/>
              <c:tx>
                <c:rich>
                  <a:bodyPr/>
                  <a:lstStyle/>
                  <a:p>
                    <a:r>
                      <a:rPr lang="en-US"/>
                      <a:t>15,6%</a:t>
                    </a:r>
                  </a:p>
                </c:rich>
              </c:tx>
              <c:showLegendKey val="0"/>
              <c:showVal val="1"/>
              <c:showCatName val="0"/>
              <c:showSerName val="0"/>
              <c:showPercent val="0"/>
              <c:showBubbleSize val="0"/>
            </c:dLbl>
            <c:dLbl>
              <c:idx val="1"/>
              <c:tx>
                <c:rich>
                  <a:bodyPr/>
                  <a:lstStyle/>
                  <a:p>
                    <a:r>
                      <a:rPr lang="en-US"/>
                      <a:t>8,6%</a:t>
                    </a:r>
                  </a:p>
                </c:rich>
              </c:tx>
              <c:showLegendKey val="0"/>
              <c:showVal val="1"/>
              <c:showCatName val="0"/>
              <c:showSerName val="0"/>
              <c:showPercent val="0"/>
              <c:showBubbleSize val="0"/>
            </c:dLbl>
            <c:dLbl>
              <c:idx val="2"/>
              <c:tx>
                <c:rich>
                  <a:bodyPr/>
                  <a:lstStyle/>
                  <a:p>
                    <a:r>
                      <a:rPr lang="en-US"/>
                      <a:t>6,9%</a:t>
                    </a:r>
                  </a:p>
                </c:rich>
              </c:tx>
              <c:showLegendKey val="0"/>
              <c:showVal val="1"/>
              <c:showCatName val="0"/>
              <c:showSerName val="0"/>
              <c:showPercent val="0"/>
              <c:showBubbleSize val="0"/>
            </c:dLbl>
            <c:dLbl>
              <c:idx val="3"/>
              <c:tx>
                <c:rich>
                  <a:bodyPr/>
                  <a:lstStyle/>
                  <a:p>
                    <a:r>
                      <a:rPr lang="en-US"/>
                      <a:t>6,7%</a:t>
                    </a:r>
                  </a:p>
                </c:rich>
              </c:tx>
              <c:showLegendKey val="0"/>
              <c:showVal val="1"/>
              <c:showCatName val="0"/>
              <c:showSerName val="0"/>
              <c:showPercent val="0"/>
              <c:showBubbleSize val="0"/>
            </c:dLbl>
            <c:dLbl>
              <c:idx val="4"/>
              <c:tx>
                <c:rich>
                  <a:bodyPr/>
                  <a:lstStyle/>
                  <a:p>
                    <a:r>
                      <a:rPr lang="en-US"/>
                      <a:t>4,6%</a:t>
                    </a:r>
                  </a:p>
                </c:rich>
              </c:tx>
              <c:showLegendKey val="0"/>
              <c:showVal val="1"/>
              <c:showCatName val="0"/>
              <c:showSerName val="0"/>
              <c:showPercent val="0"/>
              <c:showBubbleSize val="0"/>
            </c:dLbl>
            <c:dLbl>
              <c:idx val="5"/>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Hoja1!$A$2:$A$7</c:f>
              <c:strCache>
                <c:ptCount val="6"/>
                <c:pt idx="0">
                  <c:v>Reducción del número de asalariados/as</c:v>
                </c:pt>
                <c:pt idx="1">
                  <c:v>Incremento de las horas trabajadas</c:v>
                </c:pt>
                <c:pt idx="2">
                  <c:v>Prejubilaciones</c:v>
                </c:pt>
                <c:pt idx="3">
                  <c:v>Reducción de la jornada laboral</c:v>
                </c:pt>
                <c:pt idx="4">
                  <c:v>Calendario móvil - Creación de bolsa de horas anuales de los/as operarios/as</c:v>
                </c:pt>
                <c:pt idx="5">
                  <c:v>Otros</c:v>
                </c:pt>
              </c:strCache>
            </c:strRef>
          </c:cat>
          <c:val>
            <c:numRef>
              <c:f>Hoja1!$C$2:$C$7</c:f>
              <c:numCache>
                <c:formatCode>General</c:formatCode>
                <c:ptCount val="6"/>
                <c:pt idx="0">
                  <c:v>15.6</c:v>
                </c:pt>
                <c:pt idx="1">
                  <c:v>8.6</c:v>
                </c:pt>
                <c:pt idx="2">
                  <c:v>6.9</c:v>
                </c:pt>
                <c:pt idx="3">
                  <c:v>6.7</c:v>
                </c:pt>
                <c:pt idx="4">
                  <c:v>4.5999999999999996</c:v>
                </c:pt>
                <c:pt idx="5">
                  <c:v>1.6</c:v>
                </c:pt>
              </c:numCache>
            </c:numRef>
          </c:val>
        </c:ser>
        <c:dLbls>
          <c:showLegendKey val="0"/>
          <c:showVal val="0"/>
          <c:showCatName val="0"/>
          <c:showSerName val="0"/>
          <c:showPercent val="0"/>
          <c:showBubbleSize val="0"/>
        </c:dLbls>
        <c:gapWidth val="70"/>
        <c:axId val="289258112"/>
        <c:axId val="289288576"/>
      </c:barChart>
      <c:catAx>
        <c:axId val="289258112"/>
        <c:scaling>
          <c:orientation val="minMax"/>
        </c:scaling>
        <c:delete val="0"/>
        <c:axPos val="l"/>
        <c:majorTickMark val="out"/>
        <c:minorTickMark val="none"/>
        <c:tickLblPos val="nextTo"/>
        <c:txPr>
          <a:bodyPr/>
          <a:lstStyle/>
          <a:p>
            <a:pPr>
              <a:defRPr sz="700"/>
            </a:pPr>
            <a:endParaRPr lang="es-ES"/>
          </a:p>
        </c:txPr>
        <c:crossAx val="289288576"/>
        <c:crosses val="autoZero"/>
        <c:auto val="1"/>
        <c:lblAlgn val="ctr"/>
        <c:lblOffset val="100"/>
        <c:noMultiLvlLbl val="0"/>
      </c:catAx>
      <c:valAx>
        <c:axId val="28928857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289258112"/>
        <c:crosses val="autoZero"/>
        <c:crossBetween val="between"/>
      </c:valAx>
    </c:plotArea>
    <c:legend>
      <c:legendPos val="b"/>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2012</c:v>
                </c:pt>
              </c:strCache>
            </c:strRef>
          </c:tx>
          <c:invertIfNegative val="0"/>
          <c:dLbls>
            <c:dLbl>
              <c:idx val="0"/>
              <c:tx>
                <c:rich>
                  <a:bodyPr/>
                  <a:lstStyle/>
                  <a:p>
                    <a:r>
                      <a:rPr lang="en-US"/>
                      <a:t>4,2%</a:t>
                    </a:r>
                  </a:p>
                </c:rich>
              </c:tx>
              <c:showLegendKey val="0"/>
              <c:showVal val="1"/>
              <c:showCatName val="0"/>
              <c:showSerName val="0"/>
              <c:showPercent val="0"/>
              <c:showBubbleSize val="0"/>
            </c:dLbl>
            <c:dLbl>
              <c:idx val="1"/>
              <c:tx>
                <c:rich>
                  <a:bodyPr/>
                  <a:lstStyle/>
                  <a:p>
                    <a:r>
                      <a:rPr lang="en-US"/>
                      <a:t>2,7%</a:t>
                    </a:r>
                  </a:p>
                </c:rich>
              </c:tx>
              <c:showLegendKey val="0"/>
              <c:showVal val="1"/>
              <c:showCatName val="0"/>
              <c:showSerName val="0"/>
              <c:showPercent val="0"/>
              <c:showBubbleSize val="0"/>
            </c:dLbl>
            <c:dLbl>
              <c:idx val="2"/>
              <c:tx>
                <c:rich>
                  <a:bodyPr/>
                  <a:lstStyle/>
                  <a:p>
                    <a:r>
                      <a:rPr lang="en-US"/>
                      <a:t>3,6%</a:t>
                    </a:r>
                  </a:p>
                </c:rich>
              </c:tx>
              <c:showLegendKey val="0"/>
              <c:showVal val="1"/>
              <c:showCatName val="0"/>
              <c:showSerName val="0"/>
              <c:showPercent val="0"/>
              <c:showBubbleSize val="0"/>
            </c:dLbl>
            <c:dLbl>
              <c:idx val="3"/>
              <c:tx>
                <c:rich>
                  <a:bodyPr/>
                  <a:lstStyle/>
                  <a:p>
                    <a:r>
                      <a:rPr lang="en-US"/>
                      <a:t>0,3%</a:t>
                    </a:r>
                  </a:p>
                </c:rich>
              </c:tx>
              <c:showLegendKey val="0"/>
              <c:showVal val="1"/>
              <c:showCatName val="0"/>
              <c:showSerName val="0"/>
              <c:showPercent val="0"/>
              <c:showBubbleSize val="0"/>
            </c:dLbl>
            <c:dLbl>
              <c:idx val="4"/>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Hoja1!$A$2:$A$6</c:f>
              <c:strCache>
                <c:ptCount val="5"/>
                <c:pt idx="0">
                  <c:v>Acogida por parte de la empresa de personal proveniente de otras empresas del grupo</c:v>
                </c:pt>
                <c:pt idx="1">
                  <c:v>Contribución a un fondo común de financiación de los excedentes de empleo y de horas no aplicadas</c:v>
                </c:pt>
                <c:pt idx="2">
                  <c:v>Reubicación de personal propio excedentario en otras empresas del grupo/aliadas/colaboradoras en la CAE</c:v>
                </c:pt>
                <c:pt idx="3">
                  <c:v>Reubicación de personal propio excedentario en otras empresas del grupo/aliadas/colaboradoras fuera de la CAE</c:v>
                </c:pt>
                <c:pt idx="4">
                  <c:v>Otros</c:v>
                </c:pt>
              </c:strCache>
            </c:strRef>
          </c:cat>
          <c:val>
            <c:numRef>
              <c:f>Hoja1!$B$2:$B$6</c:f>
              <c:numCache>
                <c:formatCode>General</c:formatCode>
                <c:ptCount val="5"/>
                <c:pt idx="0">
                  <c:v>4.2</c:v>
                </c:pt>
                <c:pt idx="1">
                  <c:v>2.7</c:v>
                </c:pt>
                <c:pt idx="2">
                  <c:v>3.6</c:v>
                </c:pt>
                <c:pt idx="3">
                  <c:v>0.30000000000000032</c:v>
                </c:pt>
                <c:pt idx="4">
                  <c:v>1</c:v>
                </c:pt>
              </c:numCache>
            </c:numRef>
          </c:val>
        </c:ser>
        <c:ser>
          <c:idx val="1"/>
          <c:order val="1"/>
          <c:tx>
            <c:strRef>
              <c:f>Hoja1!$C$1</c:f>
              <c:strCache>
                <c:ptCount val="1"/>
                <c:pt idx="0">
                  <c:v>2014</c:v>
                </c:pt>
              </c:strCache>
            </c:strRef>
          </c:tx>
          <c:spPr>
            <a:solidFill>
              <a:schemeClr val="accent1">
                <a:lumMod val="60000"/>
                <a:lumOff val="40000"/>
              </a:schemeClr>
            </a:solidFill>
          </c:spPr>
          <c:invertIfNegative val="0"/>
          <c:dLbls>
            <c:dLbl>
              <c:idx val="0"/>
              <c:tx>
                <c:rich>
                  <a:bodyPr/>
                  <a:lstStyle/>
                  <a:p>
                    <a:r>
                      <a:rPr lang="en-US"/>
                      <a:t>4,1%</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dLbl>
              <c:idx val="2"/>
              <c:tx>
                <c:rich>
                  <a:bodyPr/>
                  <a:lstStyle/>
                  <a:p>
                    <a:r>
                      <a:rPr lang="en-US"/>
                      <a:t>2,1%</a:t>
                    </a:r>
                  </a:p>
                </c:rich>
              </c:tx>
              <c:showLegendKey val="0"/>
              <c:showVal val="1"/>
              <c:showCatName val="0"/>
              <c:showSerName val="0"/>
              <c:showPercent val="0"/>
              <c:showBubbleSize val="0"/>
            </c:dLbl>
            <c:dLbl>
              <c:idx val="3"/>
              <c:tx>
                <c:rich>
                  <a:bodyPr/>
                  <a:lstStyle/>
                  <a:p>
                    <a:r>
                      <a:rPr lang="en-US"/>
                      <a:t>0,2%</a:t>
                    </a:r>
                  </a:p>
                </c:rich>
              </c:tx>
              <c:showLegendKey val="0"/>
              <c:showVal val="1"/>
              <c:showCatName val="0"/>
              <c:showSerName val="0"/>
              <c:showPercent val="0"/>
              <c:showBubbleSize val="0"/>
            </c:dLbl>
            <c:dLbl>
              <c:idx val="4"/>
              <c:tx>
                <c:rich>
                  <a:bodyPr/>
                  <a:lstStyle/>
                  <a:p>
                    <a:r>
                      <a:rPr lang="en-US"/>
                      <a:t>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Hoja1!$A$2:$A$6</c:f>
              <c:strCache>
                <c:ptCount val="5"/>
                <c:pt idx="0">
                  <c:v>Acogida por parte de la empresa de personal proveniente de otras empresas del grupo</c:v>
                </c:pt>
                <c:pt idx="1">
                  <c:v>Contribución a un fondo común de financiación de los excedentes de empleo y de horas no aplicadas</c:v>
                </c:pt>
                <c:pt idx="2">
                  <c:v>Reubicación de personal propio excedentario en otras empresas del grupo/aliadas/colaboradoras en la CAE</c:v>
                </c:pt>
                <c:pt idx="3">
                  <c:v>Reubicación de personal propio excedentario en otras empresas del grupo/aliadas/colaboradoras fuera de la CAE</c:v>
                </c:pt>
                <c:pt idx="4">
                  <c:v>Otros</c:v>
                </c:pt>
              </c:strCache>
            </c:strRef>
          </c:cat>
          <c:val>
            <c:numRef>
              <c:f>Hoja1!$C$2:$C$6</c:f>
              <c:numCache>
                <c:formatCode>General</c:formatCode>
                <c:ptCount val="5"/>
                <c:pt idx="0">
                  <c:v>4.0999999999999996</c:v>
                </c:pt>
                <c:pt idx="1">
                  <c:v>2.5</c:v>
                </c:pt>
                <c:pt idx="2">
                  <c:v>2.1</c:v>
                </c:pt>
                <c:pt idx="3">
                  <c:v>0.2</c:v>
                </c:pt>
                <c:pt idx="4">
                  <c:v>0.2</c:v>
                </c:pt>
              </c:numCache>
            </c:numRef>
          </c:val>
        </c:ser>
        <c:dLbls>
          <c:showLegendKey val="0"/>
          <c:showVal val="0"/>
          <c:showCatName val="0"/>
          <c:showSerName val="0"/>
          <c:showPercent val="0"/>
          <c:showBubbleSize val="0"/>
        </c:dLbls>
        <c:gapWidth val="150"/>
        <c:axId val="289338880"/>
        <c:axId val="289340416"/>
      </c:barChart>
      <c:catAx>
        <c:axId val="289338880"/>
        <c:scaling>
          <c:orientation val="minMax"/>
        </c:scaling>
        <c:delete val="0"/>
        <c:axPos val="l"/>
        <c:majorTickMark val="out"/>
        <c:minorTickMark val="none"/>
        <c:tickLblPos val="nextTo"/>
        <c:crossAx val="289340416"/>
        <c:crosses val="autoZero"/>
        <c:auto val="1"/>
        <c:lblAlgn val="ctr"/>
        <c:lblOffset val="100"/>
        <c:noMultiLvlLbl val="0"/>
      </c:catAx>
      <c:valAx>
        <c:axId val="28934041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289338880"/>
        <c:crosses val="autoZero"/>
        <c:crossBetween val="between"/>
      </c:valAx>
    </c:plotArea>
    <c:legend>
      <c:legendPos val="b"/>
      <c:layout>
        <c:manualLayout>
          <c:xMode val="edge"/>
          <c:yMode val="edge"/>
          <c:x val="0.43178731575883544"/>
          <c:y val="0.88982787048296308"/>
          <c:w val="0.22221402381475711"/>
          <c:h val="7.8461213221371423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Columna1</c:v>
                </c:pt>
              </c:strCache>
            </c:strRef>
          </c:tx>
          <c:invertIfNegative val="0"/>
          <c:dLbls>
            <c:dLbl>
              <c:idx val="0"/>
              <c:tx>
                <c:rich>
                  <a:bodyPr/>
                  <a:lstStyle/>
                  <a:p>
                    <a:r>
                      <a:rPr lang="en-US"/>
                      <a:t>65,4%</a:t>
                    </a:r>
                  </a:p>
                </c:rich>
              </c:tx>
              <c:showLegendKey val="0"/>
              <c:showVal val="1"/>
              <c:showCatName val="0"/>
              <c:showSerName val="0"/>
              <c:showPercent val="0"/>
              <c:showBubbleSize val="0"/>
            </c:dLbl>
            <c:dLbl>
              <c:idx val="1"/>
              <c:tx>
                <c:rich>
                  <a:bodyPr/>
                  <a:lstStyle/>
                  <a:p>
                    <a:r>
                      <a:rPr lang="en-US"/>
                      <a:t>46,3%</a:t>
                    </a:r>
                  </a:p>
                </c:rich>
              </c:tx>
              <c:showLegendKey val="0"/>
              <c:showVal val="1"/>
              <c:showCatName val="0"/>
              <c:showSerName val="0"/>
              <c:showPercent val="0"/>
              <c:showBubbleSize val="0"/>
            </c:dLbl>
            <c:dLbl>
              <c:idx val="2"/>
              <c:tx>
                <c:rich>
                  <a:bodyPr/>
                  <a:lstStyle/>
                  <a:p>
                    <a:r>
                      <a:rPr lang="en-US"/>
                      <a:t>14,9%</a:t>
                    </a:r>
                  </a:p>
                </c:rich>
              </c:tx>
              <c:showLegendKey val="0"/>
              <c:showVal val="1"/>
              <c:showCatName val="0"/>
              <c:showSerName val="0"/>
              <c:showPercent val="0"/>
              <c:showBubbleSize val="0"/>
            </c:dLbl>
            <c:dLbl>
              <c:idx val="3"/>
              <c:tx>
                <c:rich>
                  <a:bodyPr/>
                  <a:lstStyle/>
                  <a:p>
                    <a:r>
                      <a:rPr lang="en-US"/>
                      <a:t>9,1%</a:t>
                    </a:r>
                  </a:p>
                </c:rich>
              </c:tx>
              <c:showLegendKey val="0"/>
              <c:showVal val="1"/>
              <c:showCatName val="0"/>
              <c:showSerName val="0"/>
              <c:showPercent val="0"/>
              <c:showBubbleSize val="0"/>
            </c:dLbl>
            <c:dLbl>
              <c:idx val="4"/>
              <c:tx>
                <c:rich>
                  <a:bodyPr/>
                  <a:lstStyle/>
                  <a:p>
                    <a:r>
                      <a:rPr lang="en-US"/>
                      <a:t>2,7%</a:t>
                    </a:r>
                  </a:p>
                </c:rich>
              </c:tx>
              <c:showLegendKey val="0"/>
              <c:showVal val="1"/>
              <c:showCatName val="0"/>
              <c:showSerName val="0"/>
              <c:showPercent val="0"/>
              <c:showBubbleSize val="0"/>
            </c:dLbl>
            <c:dLbl>
              <c:idx val="5"/>
              <c:tx>
                <c:rich>
                  <a:bodyPr/>
                  <a:lstStyle/>
                  <a:p>
                    <a:r>
                      <a:rPr lang="en-US"/>
                      <a:t>12,4%</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Hoja1!$A$2:$A$7</c:f>
              <c:strCache>
                <c:ptCount val="6"/>
                <c:pt idx="0">
                  <c:v>Colaboraciones puntuales</c:v>
                </c:pt>
                <c:pt idx="1">
                  <c:v>Alianzas estratégicas</c:v>
                </c:pt>
                <c:pt idx="2">
                  <c:v>Cooperativas de segunda grado</c:v>
                </c:pt>
                <c:pt idx="3">
                  <c:v>Intercambio accionarial</c:v>
                </c:pt>
                <c:pt idx="4">
                  <c:v>Joint Venture</c:v>
                </c:pt>
                <c:pt idx="5">
                  <c:v>Otras</c:v>
                </c:pt>
              </c:strCache>
            </c:strRef>
          </c:cat>
          <c:val>
            <c:numRef>
              <c:f>Hoja1!$B$2:$B$7</c:f>
              <c:numCache>
                <c:formatCode>General</c:formatCode>
                <c:ptCount val="6"/>
                <c:pt idx="0">
                  <c:v>65.400000000000006</c:v>
                </c:pt>
                <c:pt idx="1">
                  <c:v>46.3</c:v>
                </c:pt>
                <c:pt idx="2">
                  <c:v>14.9</c:v>
                </c:pt>
                <c:pt idx="3">
                  <c:v>9.1</c:v>
                </c:pt>
                <c:pt idx="4">
                  <c:v>2.7</c:v>
                </c:pt>
                <c:pt idx="5">
                  <c:v>12.4</c:v>
                </c:pt>
              </c:numCache>
            </c:numRef>
          </c:val>
        </c:ser>
        <c:dLbls>
          <c:showLegendKey val="0"/>
          <c:showVal val="0"/>
          <c:showCatName val="0"/>
          <c:showSerName val="0"/>
          <c:showPercent val="0"/>
          <c:showBubbleSize val="0"/>
        </c:dLbls>
        <c:gapWidth val="150"/>
        <c:axId val="289364992"/>
        <c:axId val="289366784"/>
      </c:barChart>
      <c:catAx>
        <c:axId val="289364992"/>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289366784"/>
        <c:crosses val="autoZero"/>
        <c:auto val="1"/>
        <c:lblAlgn val="ctr"/>
        <c:lblOffset val="100"/>
        <c:noMultiLvlLbl val="0"/>
      </c:catAx>
      <c:valAx>
        <c:axId val="289366784"/>
        <c:scaling>
          <c:orientation val="minMax"/>
        </c:scaling>
        <c:delete val="0"/>
        <c:axPos val="b"/>
        <c:majorGridlines/>
        <c:numFmt formatCode="General" sourceLinked="1"/>
        <c:majorTickMark val="out"/>
        <c:minorTickMark val="none"/>
        <c:tickLblPos val="nextTo"/>
        <c:crossAx val="289364992"/>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invertIfNegative val="0"/>
          <c:dLbls>
            <c:dLbl>
              <c:idx val="0"/>
              <c:tx>
                <c:rich>
                  <a:bodyPr/>
                  <a:lstStyle/>
                  <a:p>
                    <a:r>
                      <a:rPr lang="en-US"/>
                      <a:t>21,6%*</a:t>
                    </a:r>
                  </a:p>
                </c:rich>
              </c:tx>
              <c:showLegendKey val="0"/>
              <c:showVal val="1"/>
              <c:showCatName val="0"/>
              <c:showSerName val="0"/>
              <c:showPercent val="0"/>
              <c:showBubbleSize val="0"/>
            </c:dLbl>
            <c:dLbl>
              <c:idx val="1"/>
              <c:tx>
                <c:rich>
                  <a:bodyPr/>
                  <a:lstStyle/>
                  <a:p>
                    <a:r>
                      <a:rPr lang="en-US"/>
                      <a:t>17,0%**</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Hoja1!$A$2:$A$3</c:f>
              <c:strCache>
                <c:ptCount val="2"/>
                <c:pt idx="0">
                  <c:v>Economía Social</c:v>
                </c:pt>
                <c:pt idx="1">
                  <c:v>Economía CAE</c:v>
                </c:pt>
              </c:strCache>
            </c:strRef>
          </c:cat>
          <c:val>
            <c:numRef>
              <c:f>Hoja1!$B$2:$B$3</c:f>
              <c:numCache>
                <c:formatCode>General</c:formatCode>
                <c:ptCount val="2"/>
                <c:pt idx="0">
                  <c:v>21.6</c:v>
                </c:pt>
                <c:pt idx="1">
                  <c:v>17</c:v>
                </c:pt>
              </c:numCache>
            </c:numRef>
          </c:val>
        </c:ser>
        <c:dLbls>
          <c:showLegendKey val="0"/>
          <c:showVal val="0"/>
          <c:showCatName val="0"/>
          <c:showSerName val="0"/>
          <c:showPercent val="0"/>
          <c:showBubbleSize val="0"/>
        </c:dLbls>
        <c:gapWidth val="150"/>
        <c:axId val="289452416"/>
        <c:axId val="289453952"/>
      </c:barChart>
      <c:catAx>
        <c:axId val="28945241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289453952"/>
        <c:crosses val="autoZero"/>
        <c:auto val="1"/>
        <c:lblAlgn val="ctr"/>
        <c:lblOffset val="100"/>
        <c:noMultiLvlLbl val="0"/>
      </c:catAx>
      <c:valAx>
        <c:axId val="289453952"/>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289452416"/>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Economía Social</c:v>
                </c:pt>
              </c:strCache>
            </c:strRef>
          </c:tx>
          <c:invertIfNegative val="0"/>
          <c:dLbls>
            <c:dLbl>
              <c:idx val="0"/>
              <c:tx>
                <c:rich>
                  <a:bodyPr/>
                  <a:lstStyle/>
                  <a:p>
                    <a:r>
                      <a:rPr lang="en-US"/>
                      <a:t>26,0%</a:t>
                    </a:r>
                  </a:p>
                </c:rich>
              </c:tx>
              <c:showLegendKey val="0"/>
              <c:showVal val="1"/>
              <c:showCatName val="0"/>
              <c:showSerName val="0"/>
              <c:showPercent val="0"/>
              <c:showBubbleSize val="0"/>
            </c:dLbl>
            <c:dLbl>
              <c:idx val="1"/>
              <c:tx>
                <c:rich>
                  <a:bodyPr/>
                  <a:lstStyle/>
                  <a:p>
                    <a:r>
                      <a:rPr lang="en-US"/>
                      <a:t>8,2%</a:t>
                    </a:r>
                  </a:p>
                </c:rich>
              </c:tx>
              <c:showLegendKey val="0"/>
              <c:showVal val="1"/>
              <c:showCatName val="0"/>
              <c:showSerName val="0"/>
              <c:showPercent val="0"/>
              <c:showBubbleSize val="0"/>
            </c:dLbl>
            <c:dLbl>
              <c:idx val="2"/>
              <c:tx>
                <c:rich>
                  <a:bodyPr/>
                  <a:lstStyle/>
                  <a:p>
                    <a:r>
                      <a:rPr lang="en-US"/>
                      <a:t>22,9%</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Hoja1!$A$2:$A$4</c:f>
              <c:strCache>
                <c:ptCount val="3"/>
                <c:pt idx="0">
                  <c:v>Industria</c:v>
                </c:pt>
                <c:pt idx="1">
                  <c:v>Construcción </c:v>
                </c:pt>
                <c:pt idx="2">
                  <c:v>Servicios</c:v>
                </c:pt>
              </c:strCache>
            </c:strRef>
          </c:cat>
          <c:val>
            <c:numRef>
              <c:f>Hoja1!$B$2:$B$4</c:f>
              <c:numCache>
                <c:formatCode>General</c:formatCode>
                <c:ptCount val="3"/>
                <c:pt idx="0">
                  <c:v>26</c:v>
                </c:pt>
                <c:pt idx="1">
                  <c:v>8.2000000000000011</c:v>
                </c:pt>
                <c:pt idx="2">
                  <c:v>22.9</c:v>
                </c:pt>
              </c:numCache>
            </c:numRef>
          </c:val>
        </c:ser>
        <c:ser>
          <c:idx val="1"/>
          <c:order val="1"/>
          <c:tx>
            <c:strRef>
              <c:f>Hoja1!$C$1</c:f>
              <c:strCache>
                <c:ptCount val="1"/>
                <c:pt idx="0">
                  <c:v>CAE</c:v>
                </c:pt>
              </c:strCache>
            </c:strRef>
          </c:tx>
          <c:spPr>
            <a:solidFill>
              <a:schemeClr val="accent1">
                <a:lumMod val="20000"/>
                <a:lumOff val="80000"/>
              </a:schemeClr>
            </a:solidFill>
          </c:spPr>
          <c:invertIfNegative val="0"/>
          <c:dLbls>
            <c:dLbl>
              <c:idx val="0"/>
              <c:tx>
                <c:rich>
                  <a:bodyPr/>
                  <a:lstStyle/>
                  <a:p>
                    <a:r>
                      <a:rPr lang="en-US"/>
                      <a:t>24,0%</a:t>
                    </a:r>
                  </a:p>
                </c:rich>
              </c:tx>
              <c:showLegendKey val="0"/>
              <c:showVal val="1"/>
              <c:showCatName val="0"/>
              <c:showSerName val="0"/>
              <c:showPercent val="0"/>
              <c:showBubbleSize val="0"/>
            </c:dLbl>
            <c:dLbl>
              <c:idx val="1"/>
              <c:tx>
                <c:rich>
                  <a:bodyPr/>
                  <a:lstStyle/>
                  <a:p>
                    <a:r>
                      <a:rPr lang="en-US"/>
                      <a:t>10,5%</a:t>
                    </a:r>
                  </a:p>
                </c:rich>
              </c:tx>
              <c:showLegendKey val="0"/>
              <c:showVal val="1"/>
              <c:showCatName val="0"/>
              <c:showSerName val="0"/>
              <c:showPercent val="0"/>
              <c:showBubbleSize val="0"/>
            </c:dLbl>
            <c:dLbl>
              <c:idx val="2"/>
              <c:tx>
                <c:rich>
                  <a:bodyPr/>
                  <a:lstStyle/>
                  <a:p>
                    <a:r>
                      <a:rPr lang="en-US"/>
                      <a:t>17,4%</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Hoja1!$A$2:$A$4</c:f>
              <c:strCache>
                <c:ptCount val="3"/>
                <c:pt idx="0">
                  <c:v>Industria</c:v>
                </c:pt>
                <c:pt idx="1">
                  <c:v>Construcción </c:v>
                </c:pt>
                <c:pt idx="2">
                  <c:v>Servicios</c:v>
                </c:pt>
              </c:strCache>
            </c:strRef>
          </c:cat>
          <c:val>
            <c:numRef>
              <c:f>Hoja1!$C$2:$C$4</c:f>
              <c:numCache>
                <c:formatCode>General</c:formatCode>
                <c:ptCount val="3"/>
                <c:pt idx="0">
                  <c:v>24</c:v>
                </c:pt>
                <c:pt idx="1">
                  <c:v>10.5</c:v>
                </c:pt>
                <c:pt idx="2">
                  <c:v>17.399999999999999</c:v>
                </c:pt>
              </c:numCache>
            </c:numRef>
          </c:val>
        </c:ser>
        <c:dLbls>
          <c:showLegendKey val="0"/>
          <c:showVal val="0"/>
          <c:showCatName val="0"/>
          <c:showSerName val="0"/>
          <c:showPercent val="0"/>
          <c:showBubbleSize val="0"/>
        </c:dLbls>
        <c:gapWidth val="150"/>
        <c:axId val="289540736"/>
        <c:axId val="289567104"/>
      </c:barChart>
      <c:catAx>
        <c:axId val="28954073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289567104"/>
        <c:crosses val="autoZero"/>
        <c:auto val="1"/>
        <c:lblAlgn val="ctr"/>
        <c:lblOffset val="100"/>
        <c:noMultiLvlLbl val="0"/>
      </c:catAx>
      <c:valAx>
        <c:axId val="289567104"/>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2895407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Economía Social</c:v>
                </c:pt>
              </c:strCache>
            </c:strRef>
          </c:tx>
          <c:invertIfNegative val="0"/>
          <c:dLbls>
            <c:showLegendKey val="0"/>
            <c:showVal val="1"/>
            <c:showCatName val="0"/>
            <c:showSerName val="0"/>
            <c:showPercent val="0"/>
            <c:showBubbleSize val="0"/>
            <c:showLeaderLines val="0"/>
          </c:dLbls>
          <c:cat>
            <c:strRef>
              <c:f>Hoja1!$A$2</c:f>
              <c:strCache>
                <c:ptCount val="1"/>
                <c:pt idx="0">
                  <c:v>Impacto sobre el empleo</c:v>
                </c:pt>
              </c:strCache>
            </c:strRef>
          </c:cat>
          <c:val>
            <c:numRef>
              <c:f>Hoja1!$B$2</c:f>
              <c:numCache>
                <c:formatCode>General</c:formatCode>
                <c:ptCount val="1"/>
                <c:pt idx="0">
                  <c:v>52.6</c:v>
                </c:pt>
              </c:numCache>
            </c:numRef>
          </c:val>
        </c:ser>
        <c:ser>
          <c:idx val="1"/>
          <c:order val="1"/>
          <c:tx>
            <c:strRef>
              <c:f>Hoja1!$C$1</c:f>
              <c:strCache>
                <c:ptCount val="1"/>
                <c:pt idx="0">
                  <c:v>CAE</c:v>
                </c:pt>
              </c:strCache>
            </c:strRef>
          </c:tx>
          <c:spPr>
            <a:solidFill>
              <a:schemeClr val="accent1">
                <a:lumMod val="20000"/>
                <a:lumOff val="80000"/>
              </a:schemeClr>
            </a:solidFill>
          </c:spPr>
          <c:invertIfNegative val="0"/>
          <c:dLbls>
            <c:showLegendKey val="0"/>
            <c:showVal val="1"/>
            <c:showCatName val="0"/>
            <c:showSerName val="0"/>
            <c:showPercent val="0"/>
            <c:showBubbleSize val="0"/>
            <c:showLeaderLines val="0"/>
          </c:dLbls>
          <c:cat>
            <c:strRef>
              <c:f>Hoja1!$A$2</c:f>
              <c:strCache>
                <c:ptCount val="1"/>
                <c:pt idx="0">
                  <c:v>Impacto sobre el empleo</c:v>
                </c:pt>
              </c:strCache>
            </c:strRef>
          </c:cat>
          <c:val>
            <c:numRef>
              <c:f>Hoja1!$C$2</c:f>
              <c:numCache>
                <c:formatCode>General</c:formatCode>
                <c:ptCount val="1"/>
                <c:pt idx="0">
                  <c:v>53.7</c:v>
                </c:pt>
              </c:numCache>
            </c:numRef>
          </c:val>
        </c:ser>
        <c:dLbls>
          <c:showLegendKey val="0"/>
          <c:showVal val="0"/>
          <c:showCatName val="0"/>
          <c:showSerName val="0"/>
          <c:showPercent val="0"/>
          <c:showBubbleSize val="0"/>
        </c:dLbls>
        <c:gapWidth val="150"/>
        <c:axId val="289826304"/>
        <c:axId val="289827840"/>
      </c:barChart>
      <c:catAx>
        <c:axId val="289826304"/>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289827840"/>
        <c:crosses val="autoZero"/>
        <c:auto val="1"/>
        <c:lblAlgn val="ctr"/>
        <c:lblOffset val="100"/>
        <c:noMultiLvlLbl val="0"/>
      </c:catAx>
      <c:valAx>
        <c:axId val="289827840"/>
        <c:scaling>
          <c:orientation val="minMax"/>
          <c:min val="0"/>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2898263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EMPLEOS</a:t>
            </a:r>
          </a:p>
        </c:rich>
      </c:tx>
      <c:layout>
        <c:manualLayout>
          <c:xMode val="edge"/>
          <c:yMode val="edge"/>
          <c:x val="0.44597249508841474"/>
          <c:y val="2.197802197802199E-2"/>
        </c:manualLayout>
      </c:layout>
      <c:overlay val="0"/>
      <c:spPr>
        <a:noFill/>
        <a:ln w="25400">
          <a:noFill/>
        </a:ln>
      </c:spPr>
    </c:title>
    <c:autoTitleDeleted val="0"/>
    <c:plotArea>
      <c:layout>
        <c:manualLayout>
          <c:layoutTarget val="inner"/>
          <c:xMode val="edge"/>
          <c:yMode val="edge"/>
          <c:x val="9.6267190569744643E-2"/>
          <c:y val="0.24175824175824448"/>
          <c:w val="0.88408644400784808"/>
          <c:h val="0.57142857142858416"/>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Pt>
            <c:idx val="4"/>
            <c:invertIfNegative val="0"/>
            <c:bubble3D val="0"/>
            <c:spPr>
              <a:solidFill>
                <a:schemeClr val="accent1"/>
              </a:solidFill>
              <a:ln w="12700">
                <a:noFill/>
                <a:prstDash val="solid"/>
              </a:ln>
            </c:spPr>
          </c:dPt>
          <c:dPt>
            <c:idx val="5"/>
            <c:invertIfNegative val="0"/>
            <c:bubble3D val="0"/>
            <c:spPr>
              <a:solidFill>
                <a:schemeClr val="accent1">
                  <a:lumMod val="20000"/>
                  <a:lumOff val="80000"/>
                </a:schemeClr>
              </a:solidFill>
              <a:ln w="12700">
                <a:noFill/>
                <a:prstDash val="solid"/>
              </a:ln>
            </c:spPr>
          </c:dPt>
          <c:dLbls>
            <c:dLbl>
              <c:idx val="0"/>
              <c:layout>
                <c:manualLayout>
                  <c:x val="-4.3794419840074992E-3"/>
                  <c:y val="-8.6041634501569653E-3"/>
                </c:manualLayout>
              </c:layout>
              <c:showLegendKey val="0"/>
              <c:showVal val="1"/>
              <c:showCatName val="0"/>
              <c:showSerName val="0"/>
              <c:showPercent val="0"/>
              <c:showBubbleSize val="0"/>
            </c:dLbl>
            <c:dLbl>
              <c:idx val="1"/>
              <c:layout>
                <c:manualLayout>
                  <c:x val="5.1420601359198756E-3"/>
                  <c:y val="1.3382610261952607E-2"/>
                </c:manualLayout>
              </c:layout>
              <c:showLegendKey val="0"/>
              <c:showVal val="1"/>
              <c:showCatName val="0"/>
              <c:showSerName val="0"/>
              <c:showPercent val="0"/>
              <c:showBubbleSize val="0"/>
            </c:dLbl>
            <c:dLbl>
              <c:idx val="2"/>
              <c:layout>
                <c:manualLayout>
                  <c:x val="7.975149895253984E-4"/>
                  <c:y val="9.5916319283615228E-4"/>
                </c:manualLayout>
              </c:layout>
              <c:showLegendKey val="0"/>
              <c:showVal val="1"/>
              <c:showCatName val="0"/>
              <c:showSerName val="0"/>
              <c:showPercent val="0"/>
              <c:showBubbleSize val="0"/>
            </c:dLbl>
            <c:dLbl>
              <c:idx val="3"/>
              <c:layout>
                <c:manualLayout>
                  <c:x val="5.7796375107203651E-3"/>
                  <c:y val="-2.906001533462154E-2"/>
                </c:manualLayout>
              </c:layout>
              <c:tx>
                <c:rich>
                  <a:bodyPr/>
                  <a:lstStyle/>
                  <a:p>
                    <a:r>
                      <a:rPr lang="en-US"/>
                      <a:t>55.809</a:t>
                    </a:r>
                  </a:p>
                </c:rich>
              </c:tx>
              <c:showLegendKey val="0"/>
              <c:showVal val="1"/>
              <c:showCatName val="0"/>
              <c:showSerName val="0"/>
              <c:showPercent val="0"/>
              <c:showBubbleSize val="0"/>
            </c:dLbl>
            <c:dLbl>
              <c:idx val="4"/>
              <c:layout>
                <c:manualLayout>
                  <c:x val="5.8732081566727982E-4"/>
                  <c:y val="-1.1231408573928261E-3"/>
                </c:manualLayout>
              </c:layout>
              <c:showLegendKey val="0"/>
              <c:showVal val="1"/>
              <c:showCatName val="0"/>
              <c:showSerName val="0"/>
              <c:showPercent val="0"/>
              <c:showBubbleSize val="0"/>
            </c:dLbl>
            <c:dLbl>
              <c:idx val="5"/>
              <c:layout>
                <c:manualLayout>
                  <c:x val="-8.6686411904933898E-5"/>
                  <c:y val="4.4053316864804039E-3"/>
                </c:manualLayout>
              </c:layout>
              <c:showLegendKey val="0"/>
              <c:showVal val="1"/>
              <c:showCatName val="0"/>
              <c:showSerName val="0"/>
              <c:showPercent val="0"/>
              <c:showBubbleSize val="0"/>
            </c:dLbl>
            <c:dLbl>
              <c:idx val="6"/>
              <c:layout>
                <c:manualLayout>
                  <c:x val="3.788973505853012E-3"/>
                  <c:y val="-2.9350844365608166E-2"/>
                </c:manualLayout>
              </c:layout>
              <c:showLegendKey val="0"/>
              <c:showVal val="1"/>
              <c:showCatName val="0"/>
              <c:showSerName val="0"/>
              <c:showPercent val="0"/>
              <c:showBubbleSize val="0"/>
            </c:dLbl>
            <c:dLbl>
              <c:idx val="7"/>
              <c:layout>
                <c:manualLayout>
                  <c:x val="5.0900553798036829E-3"/>
                  <c:y val="-4.5982353167392506E-2"/>
                </c:manualLayout>
              </c:layout>
              <c:showLegendKey val="0"/>
              <c:showVal val="1"/>
              <c:showCatName val="0"/>
              <c:showSerName val="0"/>
              <c:showPercent val="0"/>
              <c:showBubbleSize val="0"/>
            </c:dLbl>
            <c:dLbl>
              <c:idx val="8"/>
              <c:layout>
                <c:manualLayout>
                  <c:x val="6.3911372537540324E-3"/>
                  <c:y val="-3.612192105794465E-2"/>
                </c:manualLayout>
              </c:layout>
              <c:showLegendKey val="0"/>
              <c:showVal val="1"/>
              <c:showCatName val="0"/>
              <c:showSerName val="0"/>
              <c:showPercent val="0"/>
              <c:showBubbleSize val="0"/>
            </c:dLbl>
            <c:dLbl>
              <c:idx val="9"/>
              <c:layout>
                <c:manualLayout>
                  <c:x val="3.7629460432254376E-3"/>
                  <c:y val="-1.894901358484026E-2"/>
                </c:manualLayout>
              </c:layout>
              <c:tx>
                <c:rich>
                  <a:bodyPr/>
                  <a:lstStyle/>
                  <a:p>
                    <a:r>
                      <a:rPr lang="es-ES" b="1"/>
                      <a:t>55.809</a:t>
                    </a:r>
                  </a:p>
                </c:rich>
              </c:tx>
              <c:showLegendKey val="0"/>
              <c:showVal val="0"/>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Sheet1!$B$1:$G$1</c:f>
              <c:numCache>
                <c:formatCode>General</c:formatCode>
                <c:ptCount val="6"/>
                <c:pt idx="0">
                  <c:v>2006</c:v>
                </c:pt>
                <c:pt idx="1">
                  <c:v>2008</c:v>
                </c:pt>
                <c:pt idx="2">
                  <c:v>2010</c:v>
                </c:pt>
                <c:pt idx="3">
                  <c:v>2012</c:v>
                </c:pt>
                <c:pt idx="4">
                  <c:v>2014</c:v>
                </c:pt>
                <c:pt idx="5">
                  <c:v>2015</c:v>
                </c:pt>
              </c:numCache>
            </c:numRef>
          </c:cat>
          <c:val>
            <c:numRef>
              <c:f>Sheet1!$B$2:$G$2</c:f>
              <c:numCache>
                <c:formatCode>#,##0</c:formatCode>
                <c:ptCount val="6"/>
                <c:pt idx="0">
                  <c:v>63480</c:v>
                </c:pt>
                <c:pt idx="1">
                  <c:v>62615</c:v>
                </c:pt>
                <c:pt idx="2">
                  <c:v>59915</c:v>
                </c:pt>
                <c:pt idx="3" formatCode="General">
                  <c:v>55809</c:v>
                </c:pt>
                <c:pt idx="4">
                  <c:v>54582</c:v>
                </c:pt>
                <c:pt idx="5">
                  <c:v>55372</c:v>
                </c:pt>
              </c:numCache>
            </c:numRef>
          </c:val>
        </c:ser>
        <c:dLbls>
          <c:showLegendKey val="0"/>
          <c:showVal val="0"/>
          <c:showCatName val="0"/>
          <c:showSerName val="0"/>
          <c:showPercent val="0"/>
          <c:showBubbleSize val="0"/>
        </c:dLbls>
        <c:gapWidth val="150"/>
        <c:axId val="289869824"/>
        <c:axId val="289871360"/>
      </c:barChart>
      <c:catAx>
        <c:axId val="289869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89871360"/>
        <c:crosses val="autoZero"/>
        <c:auto val="1"/>
        <c:lblAlgn val="ctr"/>
        <c:lblOffset val="100"/>
        <c:tickLblSkip val="1"/>
        <c:tickMarkSkip val="1"/>
        <c:noMultiLvlLbl val="0"/>
      </c:catAx>
      <c:valAx>
        <c:axId val="289871360"/>
        <c:scaling>
          <c:orientation val="minMax"/>
          <c:max val="8000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289869824"/>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FACTURACIÓN</a:t>
            </a:r>
          </a:p>
        </c:rich>
      </c:tx>
      <c:layout>
        <c:manualLayout>
          <c:xMode val="edge"/>
          <c:yMode val="edge"/>
          <c:x val="0.44597249508841491"/>
          <c:y val="2.197802197802199E-2"/>
        </c:manualLayout>
      </c:layout>
      <c:overlay val="0"/>
      <c:spPr>
        <a:noFill/>
        <a:ln w="25400">
          <a:noFill/>
        </a:ln>
      </c:spPr>
    </c:title>
    <c:autoTitleDeleted val="0"/>
    <c:plotArea>
      <c:layout>
        <c:manualLayout>
          <c:layoutTarget val="inner"/>
          <c:xMode val="edge"/>
          <c:yMode val="edge"/>
          <c:x val="0.13019050038100077"/>
          <c:y val="0.20133851933029689"/>
          <c:w val="0.88408644400784786"/>
          <c:h val="0.57142857142858461"/>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Pt>
            <c:idx val="4"/>
            <c:invertIfNegative val="0"/>
            <c:bubble3D val="0"/>
            <c:spPr>
              <a:solidFill>
                <a:schemeClr val="accent1"/>
              </a:solidFill>
              <a:ln w="12700">
                <a:noFill/>
                <a:prstDash val="solid"/>
              </a:ln>
            </c:spPr>
          </c:dPt>
          <c:dPt>
            <c:idx val="5"/>
            <c:invertIfNegative val="0"/>
            <c:bubble3D val="0"/>
            <c:spPr>
              <a:solidFill>
                <a:schemeClr val="accent1">
                  <a:lumMod val="20000"/>
                  <a:lumOff val="80000"/>
                </a:schemeClr>
              </a:solidFill>
              <a:ln w="12700">
                <a:noFill/>
                <a:prstDash val="solid"/>
              </a:ln>
            </c:spPr>
          </c:dPt>
          <c:dLbls>
            <c:txPr>
              <a:bodyPr/>
              <a:lstStyle/>
              <a:p>
                <a:pPr>
                  <a:defRPr b="1"/>
                </a:pPr>
                <a:endParaRPr lang="es-ES"/>
              </a:p>
            </c:txPr>
            <c:showLegendKey val="0"/>
            <c:showVal val="1"/>
            <c:showCatName val="0"/>
            <c:showSerName val="0"/>
            <c:showPercent val="0"/>
            <c:showBubbleSize val="0"/>
            <c:showLeaderLines val="0"/>
          </c:dLbls>
          <c:cat>
            <c:numRef>
              <c:f>Sheet1!$B$1:$G$1</c:f>
              <c:numCache>
                <c:formatCode>General</c:formatCode>
                <c:ptCount val="6"/>
                <c:pt idx="0">
                  <c:v>2006</c:v>
                </c:pt>
                <c:pt idx="1">
                  <c:v>2008</c:v>
                </c:pt>
                <c:pt idx="2">
                  <c:v>2010</c:v>
                </c:pt>
                <c:pt idx="3">
                  <c:v>2012</c:v>
                </c:pt>
                <c:pt idx="4">
                  <c:v>2014</c:v>
                </c:pt>
                <c:pt idx="5">
                  <c:v>2015</c:v>
                </c:pt>
              </c:numCache>
            </c:numRef>
          </c:cat>
          <c:val>
            <c:numRef>
              <c:f>Sheet1!$B$2:$G$2</c:f>
              <c:numCache>
                <c:formatCode>#,##0</c:formatCode>
                <c:ptCount val="6"/>
                <c:pt idx="0">
                  <c:v>9523957</c:v>
                </c:pt>
                <c:pt idx="1">
                  <c:v>9757100</c:v>
                </c:pt>
                <c:pt idx="2">
                  <c:v>8563275</c:v>
                </c:pt>
                <c:pt idx="3">
                  <c:v>8283006</c:v>
                </c:pt>
                <c:pt idx="4">
                  <c:v>7690772</c:v>
                </c:pt>
                <c:pt idx="5">
                  <c:v>7835588</c:v>
                </c:pt>
              </c:numCache>
            </c:numRef>
          </c:val>
        </c:ser>
        <c:dLbls>
          <c:showLegendKey val="0"/>
          <c:showVal val="0"/>
          <c:showCatName val="0"/>
          <c:showSerName val="0"/>
          <c:showPercent val="0"/>
          <c:showBubbleSize val="0"/>
        </c:dLbls>
        <c:gapWidth val="150"/>
        <c:axId val="289925376"/>
        <c:axId val="289939456"/>
      </c:barChart>
      <c:catAx>
        <c:axId val="2899253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89939456"/>
        <c:crosses val="autoZero"/>
        <c:auto val="1"/>
        <c:lblAlgn val="ctr"/>
        <c:lblOffset val="100"/>
        <c:tickLblSkip val="1"/>
        <c:tickMarkSkip val="1"/>
        <c:noMultiLvlLbl val="0"/>
      </c:catAx>
      <c:valAx>
        <c:axId val="289939456"/>
        <c:scaling>
          <c:orientation val="minMax"/>
          <c:max val="10316000"/>
          <c:min val="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289925376"/>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32E-2"/>
          <c:y val="8.7912087912087933E-2"/>
          <c:w val="0.93638170974154356"/>
          <c:h val="0.38331858673341079"/>
        </c:manualLayout>
      </c:layout>
      <c:barChart>
        <c:barDir val="col"/>
        <c:grouping val="clustered"/>
        <c:varyColors val="0"/>
        <c:ser>
          <c:idx val="0"/>
          <c:order val="0"/>
          <c:tx>
            <c:strRef>
              <c:f>Sheet1!$A$2</c:f>
              <c:strCache>
                <c:ptCount val="1"/>
              </c:strCache>
            </c:strRef>
          </c:tx>
          <c:spPr>
            <a:solidFill>
              <a:schemeClr val="accent1"/>
            </a:solidFill>
            <a:ln w="12674">
              <a:noFill/>
              <a:prstDash val="solid"/>
            </a:ln>
          </c:spPr>
          <c:invertIfNegative val="0"/>
          <c:dLbls>
            <c:dLbl>
              <c:idx val="0"/>
              <c:layout>
                <c:manualLayout>
                  <c:x val="7.5028707349081996E-4"/>
                  <c:y val="-4.6899606299212714E-3"/>
                </c:manualLayout>
              </c:layout>
              <c:showLegendKey val="0"/>
              <c:showVal val="1"/>
              <c:showCatName val="0"/>
              <c:showSerName val="0"/>
              <c:showPercent val="0"/>
              <c:showBubbleSize val="0"/>
            </c:dLbl>
            <c:dLbl>
              <c:idx val="1"/>
              <c:layout>
                <c:manualLayout>
                  <c:x val="1.8360400262467452E-3"/>
                  <c:y val="-4.0018591426071934E-2"/>
                </c:manualLayout>
              </c:layout>
              <c:tx>
                <c:rich>
                  <a:bodyPr/>
                  <a:lstStyle/>
                  <a:p>
                    <a:r>
                      <a:rPr lang="en-US" b="1"/>
                      <a:t>1</a:t>
                    </a:r>
                    <a:r>
                      <a:rPr lang="en-US"/>
                      <a:t>1,0</a:t>
                    </a:r>
                  </a:p>
                </c:rich>
              </c:tx>
              <c:showLegendKey val="0"/>
              <c:showVal val="1"/>
              <c:showCatName val="0"/>
              <c:showSerName val="0"/>
              <c:showPercent val="0"/>
              <c:showBubbleSize val="0"/>
            </c:dLbl>
            <c:dLbl>
              <c:idx val="2"/>
              <c:layout>
                <c:manualLayout>
                  <c:x val="7.6537893700787413E-3"/>
                  <c:y val="-1.2323381452318441E-2"/>
                </c:manualLayout>
              </c:layout>
              <c:showLegendKey val="0"/>
              <c:showVal val="1"/>
              <c:showCatName val="0"/>
              <c:showSerName val="0"/>
              <c:showPercent val="0"/>
              <c:showBubbleSize val="0"/>
            </c:dLbl>
            <c:dLbl>
              <c:idx val="3"/>
              <c:layout>
                <c:manualLayout>
                  <c:x val="4.9032152230971482E-3"/>
                  <c:y val="-1.2295494313210861E-2"/>
                </c:manualLayout>
              </c:layout>
              <c:showLegendKey val="0"/>
              <c:showVal val="1"/>
              <c:showCatName val="0"/>
              <c:showSerName val="0"/>
              <c:showPercent val="0"/>
              <c:showBubbleSize val="0"/>
            </c:dLbl>
            <c:dLbl>
              <c:idx val="4"/>
              <c:layout>
                <c:manualLayout>
                  <c:x val="-3.055487204724427E-3"/>
                  <c:y val="-1.9212051618547867E-2"/>
                </c:manualLayout>
              </c:layout>
              <c:showLegendKey val="0"/>
              <c:showVal val="1"/>
              <c:showCatName val="0"/>
              <c:showSerName val="0"/>
              <c:showPercent val="0"/>
              <c:showBubbleSize val="0"/>
            </c:dLbl>
            <c:dLbl>
              <c:idx val="5"/>
              <c:layout>
                <c:manualLayout>
                  <c:x val="7.35461778215227E-3"/>
                  <c:y val="1.7043963254593183E-3"/>
                </c:manualLayout>
              </c:layout>
              <c:showLegendKey val="0"/>
              <c:showVal val="1"/>
              <c:showCatName val="0"/>
              <c:showSerName val="0"/>
              <c:showPercent val="0"/>
              <c:showBubbleSize val="0"/>
            </c:dLbl>
            <c:dLbl>
              <c:idx val="6"/>
              <c:layout>
                <c:manualLayout>
                  <c:x val="6.2787073490814182E-4"/>
                  <c:y val="1.2694116360454939E-2"/>
                </c:manualLayout>
              </c:layout>
              <c:showLegendKey val="0"/>
              <c:showVal val="1"/>
              <c:showCatName val="0"/>
              <c:showSerName val="0"/>
              <c:showPercent val="0"/>
              <c:showBubbleSize val="0"/>
            </c:dLbl>
            <c:dLbl>
              <c:idx val="7"/>
              <c:layout>
                <c:manualLayout>
                  <c:x val="1.2372867454068241E-3"/>
                  <c:y val="1.007053805774278E-2"/>
                </c:manualLayout>
              </c:layout>
              <c:showLegendKey val="0"/>
              <c:showVal val="1"/>
              <c:showCatName val="0"/>
              <c:showSerName val="0"/>
              <c:showPercent val="0"/>
              <c:showBubbleSize val="0"/>
            </c:dLbl>
            <c:dLbl>
              <c:idx val="8"/>
              <c:layout>
                <c:manualLayout>
                  <c:x val="3.0788631889764892E-3"/>
                  <c:y val="1.2665682414698162E-2"/>
                </c:manualLayout>
              </c:layout>
              <c:showLegendKey val="0"/>
              <c:showVal val="1"/>
              <c:showCatName val="0"/>
              <c:showSerName val="0"/>
              <c:showPercent val="0"/>
              <c:showBubbleSize val="0"/>
            </c:dLbl>
            <c:dLbl>
              <c:idx val="9"/>
              <c:layout>
                <c:manualLayout>
                  <c:x val="-1.6594898293963445E-3"/>
                  <c:y val="1.5148731408573935E-2"/>
                </c:manualLayout>
              </c:layout>
              <c:showLegendKey val="0"/>
              <c:showVal val="1"/>
              <c:showCatName val="0"/>
              <c:showSerName val="0"/>
              <c:showPercent val="0"/>
              <c:showBubbleSize val="0"/>
            </c:dLbl>
            <c:spPr>
              <a:noFill/>
              <a:ln w="25347">
                <a:noFill/>
              </a:ln>
            </c:spPr>
            <c:txPr>
              <a:bodyPr/>
              <a:lstStyle/>
              <a:p>
                <a:pPr>
                  <a:defRPr b="1"/>
                </a:pPr>
                <a:endParaRPr lang="es-ES"/>
              </a:p>
            </c:txPr>
            <c:showLegendKey val="0"/>
            <c:showVal val="1"/>
            <c:showCatName val="0"/>
            <c:showSerName val="0"/>
            <c:showPercent val="0"/>
            <c:showBubbleSize val="0"/>
            <c:showLeaderLines val="0"/>
          </c:dLbls>
          <c:cat>
            <c:strRef>
              <c:f>Sheet1!$B$1:$L$1</c:f>
              <c:strCache>
                <c:ptCount val="11"/>
                <c:pt idx="0">
                  <c:v>Alto Deba</c:v>
                </c:pt>
                <c:pt idx="1">
                  <c:v>Tolosa – Goierri</c:v>
                </c:pt>
                <c:pt idx="2">
                  <c:v>Duranguesado</c:v>
                </c:pt>
                <c:pt idx="3">
                  <c:v>Bizkaia – Costa</c:v>
                </c:pt>
                <c:pt idx="4">
                  <c:v>Bajo Deba</c:v>
                </c:pt>
                <c:pt idx="5">
                  <c:v>M. Derecha</c:v>
                </c:pt>
                <c:pt idx="6">
                  <c:v>Donostialdea</c:v>
                </c:pt>
                <c:pt idx="7">
                  <c:v>Gasteiz</c:v>
                </c:pt>
                <c:pt idx="8">
                  <c:v>Ayala</c:v>
                </c:pt>
                <c:pt idx="9">
                  <c:v>Bilbao</c:v>
                </c:pt>
                <c:pt idx="10">
                  <c:v>M. Izquierda</c:v>
                </c:pt>
              </c:strCache>
            </c:strRef>
          </c:cat>
          <c:val>
            <c:numRef>
              <c:f>Sheet1!$B$2:$L$2</c:f>
              <c:numCache>
                <c:formatCode>General</c:formatCode>
                <c:ptCount val="11"/>
                <c:pt idx="0">
                  <c:v>40.800000000000004</c:v>
                </c:pt>
                <c:pt idx="1">
                  <c:v>11</c:v>
                </c:pt>
                <c:pt idx="2" formatCode="#,##0.0">
                  <c:v>10.1</c:v>
                </c:pt>
                <c:pt idx="3" formatCode="#,##0.0">
                  <c:v>7.9</c:v>
                </c:pt>
                <c:pt idx="4">
                  <c:v>7.1</c:v>
                </c:pt>
                <c:pt idx="5" formatCode="#,##0.0">
                  <c:v>5</c:v>
                </c:pt>
                <c:pt idx="6" formatCode="#,##0.0">
                  <c:v>4.7</c:v>
                </c:pt>
                <c:pt idx="7" formatCode="#,##0.0">
                  <c:v>4.2</c:v>
                </c:pt>
                <c:pt idx="8" formatCode="#,##0.0">
                  <c:v>3.3</c:v>
                </c:pt>
                <c:pt idx="9" formatCode="#,##0.0">
                  <c:v>3.2</c:v>
                </c:pt>
                <c:pt idx="10" formatCode="#,##0.0">
                  <c:v>2.9</c:v>
                </c:pt>
              </c:numCache>
            </c:numRef>
          </c:val>
        </c:ser>
        <c:dLbls>
          <c:showLegendKey val="0"/>
          <c:showVal val="0"/>
          <c:showCatName val="0"/>
          <c:showSerName val="0"/>
          <c:showPercent val="0"/>
          <c:showBubbleSize val="0"/>
        </c:dLbls>
        <c:gapWidth val="150"/>
        <c:axId val="282867200"/>
        <c:axId val="282868736"/>
      </c:barChart>
      <c:catAx>
        <c:axId val="282867200"/>
        <c:scaling>
          <c:orientation val="minMax"/>
        </c:scaling>
        <c:delete val="0"/>
        <c:axPos val="b"/>
        <c:numFmt formatCode="General" sourceLinked="1"/>
        <c:majorTickMark val="out"/>
        <c:minorTickMark val="none"/>
        <c:tickLblPos val="low"/>
        <c:spPr>
          <a:ln w="3168">
            <a:solidFill>
              <a:srgbClr val="000000"/>
            </a:solidFill>
            <a:prstDash val="solid"/>
          </a:ln>
        </c:spPr>
        <c:txPr>
          <a:bodyPr rot="-5400000" vert="horz" anchor="ctr" anchorCtr="0"/>
          <a:lstStyle/>
          <a:p>
            <a:pPr>
              <a:defRPr sz="800"/>
            </a:pPr>
            <a:endParaRPr lang="es-ES"/>
          </a:p>
        </c:txPr>
        <c:crossAx val="282868736"/>
        <c:crosses val="autoZero"/>
        <c:auto val="1"/>
        <c:lblAlgn val="ctr"/>
        <c:lblOffset val="0"/>
        <c:tickLblSkip val="1"/>
        <c:tickMarkSkip val="1"/>
        <c:noMultiLvlLbl val="0"/>
      </c:catAx>
      <c:valAx>
        <c:axId val="282868736"/>
        <c:scaling>
          <c:orientation val="minMax"/>
          <c:max val="45"/>
          <c:min val="0"/>
        </c:scaling>
        <c:delete val="0"/>
        <c:axPos val="l"/>
        <c:majorGridlines>
          <c:spPr>
            <a:ln w="12674">
              <a:solidFill>
                <a:srgbClr val="C0C0C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es-ES"/>
          </a:p>
        </c:txPr>
        <c:crossAx val="282867200"/>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105722895745E-2"/>
          <c:y val="5.7068741893645102E-2"/>
          <c:w val="0.89605336369990751"/>
          <c:h val="0.62686357338380394"/>
        </c:manualLayout>
      </c:layout>
      <c:barChart>
        <c:barDir val="col"/>
        <c:grouping val="clustered"/>
        <c:varyColors val="0"/>
        <c:ser>
          <c:idx val="0"/>
          <c:order val="0"/>
          <c:tx>
            <c:strRef>
              <c:f>Hoja1!$B$1</c:f>
              <c:strCache>
                <c:ptCount val="1"/>
                <c:pt idx="0">
                  <c:v>Facturación</c:v>
                </c:pt>
              </c:strCache>
            </c:strRef>
          </c:tx>
          <c:spPr>
            <a:solidFill>
              <a:schemeClr val="accent1"/>
            </a:solidFill>
          </c:spPr>
          <c:invertIfNegative val="0"/>
          <c:dLbls>
            <c:showLegendKey val="0"/>
            <c:showVal val="1"/>
            <c:showCatName val="0"/>
            <c:showSerName val="0"/>
            <c:showPercent val="0"/>
            <c:showBubbleSize val="0"/>
            <c:showLeaderLines val="0"/>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Hoja1!$B$2:$B$10</c:f>
              <c:numCache>
                <c:formatCode>General</c:formatCode>
                <c:ptCount val="9"/>
                <c:pt idx="0">
                  <c:v>-1.5</c:v>
                </c:pt>
                <c:pt idx="1">
                  <c:v>1.5</c:v>
                </c:pt>
                <c:pt idx="2">
                  <c:v>2.9</c:v>
                </c:pt>
                <c:pt idx="3">
                  <c:v>4.7</c:v>
                </c:pt>
                <c:pt idx="4">
                  <c:v>3.9</c:v>
                </c:pt>
                <c:pt idx="5">
                  <c:v>-1.6</c:v>
                </c:pt>
                <c:pt idx="6">
                  <c:v>2</c:v>
                </c:pt>
                <c:pt idx="7">
                  <c:v>-1.7</c:v>
                </c:pt>
                <c:pt idx="8">
                  <c:v>2.9</c:v>
                </c:pt>
              </c:numCache>
            </c:numRef>
          </c:val>
        </c:ser>
        <c:ser>
          <c:idx val="1"/>
          <c:order val="1"/>
          <c:tx>
            <c:strRef>
              <c:f>Hoja1!$C$1</c:f>
              <c:strCache>
                <c:ptCount val="1"/>
                <c:pt idx="0">
                  <c:v>Empleo</c:v>
                </c:pt>
              </c:strCache>
            </c:strRef>
          </c:tx>
          <c:spPr>
            <a:solidFill>
              <a:schemeClr val="accent2"/>
            </a:solidFill>
          </c:spPr>
          <c:invertIfNegative val="0"/>
          <c:dLbls>
            <c:showLegendKey val="0"/>
            <c:showVal val="1"/>
            <c:showCatName val="0"/>
            <c:showSerName val="0"/>
            <c:showPercent val="0"/>
            <c:showBubbleSize val="0"/>
            <c:showLeaderLines val="0"/>
          </c:dLbls>
          <c:cat>
            <c:strRef>
              <c:f>Hoja1!$A$2:$A$10</c:f>
              <c:strCache>
                <c:ptCount val="9"/>
                <c:pt idx="0">
                  <c:v>Álava</c:v>
                </c:pt>
                <c:pt idx="1">
                  <c:v>Bizkaia</c:v>
                </c:pt>
                <c:pt idx="2">
                  <c:v>Gipuzkoa</c:v>
                </c:pt>
                <c:pt idx="3">
                  <c:v>Industria</c:v>
                </c:pt>
                <c:pt idx="4">
                  <c:v>Construcción</c:v>
                </c:pt>
                <c:pt idx="5">
                  <c:v>Servicios</c:v>
                </c:pt>
                <c:pt idx="6">
                  <c:v>S.Coop.</c:v>
                </c:pt>
                <c:pt idx="7">
                  <c:v>SAL</c:v>
                </c:pt>
                <c:pt idx="8">
                  <c:v>SLL</c:v>
                </c:pt>
              </c:strCache>
            </c:strRef>
          </c:cat>
          <c:val>
            <c:numRef>
              <c:f>Hoja1!$C$2:$C$10</c:f>
              <c:numCache>
                <c:formatCode>General</c:formatCode>
                <c:ptCount val="9"/>
                <c:pt idx="0">
                  <c:v>-1.2</c:v>
                </c:pt>
                <c:pt idx="1">
                  <c:v>0.30000000000000032</c:v>
                </c:pt>
                <c:pt idx="2">
                  <c:v>3</c:v>
                </c:pt>
                <c:pt idx="3">
                  <c:v>2.2000000000000002</c:v>
                </c:pt>
                <c:pt idx="4">
                  <c:v>4.9000000000000004</c:v>
                </c:pt>
                <c:pt idx="5">
                  <c:v>0.70000000000000062</c:v>
                </c:pt>
                <c:pt idx="6">
                  <c:v>1.4</c:v>
                </c:pt>
                <c:pt idx="7">
                  <c:v>0.9</c:v>
                </c:pt>
                <c:pt idx="8">
                  <c:v>2.6</c:v>
                </c:pt>
              </c:numCache>
            </c:numRef>
          </c:val>
        </c:ser>
        <c:dLbls>
          <c:showLegendKey val="0"/>
          <c:showVal val="0"/>
          <c:showCatName val="0"/>
          <c:showSerName val="0"/>
          <c:showPercent val="0"/>
          <c:showBubbleSize val="0"/>
        </c:dLbls>
        <c:gapWidth val="150"/>
        <c:axId val="290075776"/>
        <c:axId val="290077312"/>
      </c:barChart>
      <c:catAx>
        <c:axId val="290075776"/>
        <c:scaling>
          <c:orientation val="minMax"/>
        </c:scaling>
        <c:delete val="0"/>
        <c:axPos val="b"/>
        <c:majorTickMark val="out"/>
        <c:minorTickMark val="none"/>
        <c:tickLblPos val="low"/>
        <c:txPr>
          <a:bodyPr/>
          <a:lstStyle/>
          <a:p>
            <a:pPr>
              <a:defRPr sz="700"/>
            </a:pPr>
            <a:endParaRPr lang="es-ES"/>
          </a:p>
        </c:txPr>
        <c:crossAx val="290077312"/>
        <c:crosses val="autoZero"/>
        <c:auto val="1"/>
        <c:lblAlgn val="ctr"/>
        <c:lblOffset val="100"/>
        <c:noMultiLvlLbl val="0"/>
      </c:catAx>
      <c:valAx>
        <c:axId val="290077312"/>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290075776"/>
        <c:crosses val="autoZero"/>
        <c:crossBetween val="between"/>
      </c:valAx>
    </c:plotArea>
    <c:legend>
      <c:legendPos val="b"/>
      <c:layout>
        <c:manualLayout>
          <c:xMode val="edge"/>
          <c:yMode val="edge"/>
          <c:x val="0.38005915927175782"/>
          <c:y val="0.91504669212486189"/>
          <c:w val="0.23988149629444491"/>
          <c:h val="8.495330787514222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455"/>
        </c:manualLayout>
      </c:layout>
      <c:barChart>
        <c:barDir val="col"/>
        <c:grouping val="clustered"/>
        <c:varyColors val="0"/>
        <c:ser>
          <c:idx val="0"/>
          <c:order val="0"/>
          <c:tx>
            <c:strRef>
              <c:f>Sheet1!$A$2</c:f>
              <c:strCache>
                <c:ptCount val="1"/>
                <c:pt idx="0">
                  <c:v>Fundaciones</c:v>
                </c:pt>
              </c:strCache>
            </c:strRef>
          </c:tx>
          <c:invertIfNegative val="0"/>
          <c:dLbls>
            <c:dLbl>
              <c:idx val="0"/>
              <c:tx>
                <c:rich>
                  <a:bodyPr/>
                  <a:lstStyle/>
                  <a:p>
                    <a:r>
                      <a:rPr lang="en-US"/>
                      <a:t>266.926.686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Sheet1!$B$2</c:f>
              <c:numCache>
                <c:formatCode>#,##0.00</c:formatCode>
                <c:ptCount val="1"/>
                <c:pt idx="0">
                  <c:v>266926686</c:v>
                </c:pt>
              </c:numCache>
            </c:numRef>
          </c:val>
        </c:ser>
        <c:ser>
          <c:idx val="1"/>
          <c:order val="1"/>
          <c:tx>
            <c:strRef>
              <c:f>Sheet1!$A$3</c:f>
              <c:strCache>
                <c:ptCount val="1"/>
                <c:pt idx="0">
                  <c:v>Centros Especiales de Empleo</c:v>
                </c:pt>
              </c:strCache>
            </c:strRef>
          </c:tx>
          <c:invertIfNegative val="0"/>
          <c:dLbls>
            <c:dLbl>
              <c:idx val="0"/>
              <c:tx>
                <c:rich>
                  <a:bodyPr/>
                  <a:lstStyle/>
                  <a:p>
                    <a:r>
                      <a:rPr lang="en-US"/>
                      <a:t>118.350.755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Sheet1!$B$3</c:f>
              <c:numCache>
                <c:formatCode>#,##0.00</c:formatCode>
                <c:ptCount val="1"/>
                <c:pt idx="0">
                  <c:v>118350755</c:v>
                </c:pt>
              </c:numCache>
            </c:numRef>
          </c:val>
        </c:ser>
        <c:ser>
          <c:idx val="2"/>
          <c:order val="2"/>
          <c:tx>
            <c:strRef>
              <c:f>Sheet1!$A$4</c:f>
              <c:strCache>
                <c:ptCount val="1"/>
                <c:pt idx="0">
                  <c:v>Asociaciones de Utilidad Pública</c:v>
                </c:pt>
              </c:strCache>
            </c:strRef>
          </c:tx>
          <c:invertIfNegative val="0"/>
          <c:dLbls>
            <c:dLbl>
              <c:idx val="0"/>
              <c:tx>
                <c:rich>
                  <a:bodyPr/>
                  <a:lstStyle/>
                  <a:p>
                    <a:r>
                      <a:rPr lang="en-US"/>
                      <a:t>44.587.734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Sheet1!$B$4</c:f>
              <c:numCache>
                <c:formatCode>#,##0.00</c:formatCode>
                <c:ptCount val="1"/>
                <c:pt idx="0">
                  <c:v>44587734</c:v>
                </c:pt>
              </c:numCache>
            </c:numRef>
          </c:val>
        </c:ser>
        <c:ser>
          <c:idx val="3"/>
          <c:order val="3"/>
          <c:tx>
            <c:strRef>
              <c:f>Sheet1!$A$5</c:f>
              <c:strCache>
                <c:ptCount val="1"/>
                <c:pt idx="0">
                  <c:v>Empresas de Inserción</c:v>
                </c:pt>
              </c:strCache>
            </c:strRef>
          </c:tx>
          <c:invertIfNegative val="0"/>
          <c:dLbls>
            <c:dLbl>
              <c:idx val="0"/>
              <c:tx>
                <c:rich>
                  <a:bodyPr/>
                  <a:lstStyle/>
                  <a:p>
                    <a:r>
                      <a:rPr lang="en-US"/>
                      <a:t>16.187.617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Sheet1!$B$5</c:f>
              <c:numCache>
                <c:formatCode>#,##0.00</c:formatCode>
                <c:ptCount val="1"/>
                <c:pt idx="0">
                  <c:v>16187617</c:v>
                </c:pt>
              </c:numCache>
            </c:numRef>
          </c:val>
        </c:ser>
        <c:ser>
          <c:idx val="4"/>
          <c:order val="4"/>
          <c:tx>
            <c:strRef>
              <c:f>Sheet1!$A$6</c:f>
              <c:strCache>
                <c:ptCount val="1"/>
                <c:pt idx="0">
                  <c:v>EPSV</c:v>
                </c:pt>
              </c:strCache>
            </c:strRef>
          </c:tx>
          <c:invertIfNegative val="0"/>
          <c:dLbls>
            <c:dLbl>
              <c:idx val="0"/>
              <c:tx>
                <c:rich>
                  <a:bodyPr/>
                  <a:lstStyle/>
                  <a:p>
                    <a:r>
                      <a:rPr lang="en-US"/>
                      <a:t>10.077.779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Sheet1!$B$6</c:f>
              <c:numCache>
                <c:formatCode>#,##0.00</c:formatCode>
                <c:ptCount val="1"/>
                <c:pt idx="0">
                  <c:v>10077778.75</c:v>
                </c:pt>
              </c:numCache>
            </c:numRef>
          </c:val>
        </c:ser>
        <c:ser>
          <c:idx val="5"/>
          <c:order val="5"/>
          <c:tx>
            <c:strRef>
              <c:f>Sheet1!$A$7</c:f>
              <c:strCache>
                <c:ptCount val="1"/>
                <c:pt idx="0">
                  <c:v>SATs</c:v>
                </c:pt>
              </c:strCache>
            </c:strRef>
          </c:tx>
          <c:invertIfNegative val="0"/>
          <c:dLbls>
            <c:dLbl>
              <c:idx val="0"/>
              <c:layout>
                <c:manualLayout>
                  <c:x val="1.2066365007541479E-2"/>
                  <c:y val="0"/>
                </c:manualLayout>
              </c:layout>
              <c:tx>
                <c:rich>
                  <a:bodyPr/>
                  <a:lstStyle/>
                  <a:p>
                    <a:r>
                      <a:rPr lang="en-US"/>
                      <a:t>8.023.843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Sheet1!$B$7</c:f>
              <c:numCache>
                <c:formatCode>#,##0.00</c:formatCode>
                <c:ptCount val="1"/>
                <c:pt idx="0">
                  <c:v>8023843</c:v>
                </c:pt>
              </c:numCache>
            </c:numRef>
          </c:val>
        </c:ser>
        <c:ser>
          <c:idx val="6"/>
          <c:order val="6"/>
          <c:tx>
            <c:strRef>
              <c:f>Sheet1!$A$8</c:f>
              <c:strCache>
                <c:ptCount val="1"/>
                <c:pt idx="0">
                  <c:v>Cofradías de Pescadores</c:v>
                </c:pt>
              </c:strCache>
            </c:strRef>
          </c:tx>
          <c:invertIfNegative val="0"/>
          <c:dLbls>
            <c:dLbl>
              <c:idx val="0"/>
              <c:layout>
                <c:manualLayout>
                  <c:x val="2.6143790849673429E-2"/>
                  <c:y val="0"/>
                </c:manualLayout>
              </c:layout>
              <c:tx>
                <c:rich>
                  <a:bodyPr/>
                  <a:lstStyle/>
                  <a:p>
                    <a:r>
                      <a:rPr lang="en-US"/>
                      <a:t>2.330.840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Sheet1!$B$8</c:f>
              <c:numCache>
                <c:formatCode>#,##0.00</c:formatCode>
                <c:ptCount val="1"/>
                <c:pt idx="0">
                  <c:v>2330840</c:v>
                </c:pt>
              </c:numCache>
            </c:numRef>
          </c:val>
        </c:ser>
        <c:dLbls>
          <c:showLegendKey val="0"/>
          <c:showVal val="0"/>
          <c:showCatName val="0"/>
          <c:showSerName val="0"/>
          <c:showPercent val="0"/>
          <c:showBubbleSize val="0"/>
        </c:dLbls>
        <c:gapWidth val="150"/>
        <c:axId val="290150272"/>
        <c:axId val="290151808"/>
      </c:barChart>
      <c:catAx>
        <c:axId val="290150272"/>
        <c:scaling>
          <c:orientation val="minMax"/>
        </c:scaling>
        <c:delete val="0"/>
        <c:axPos val="b"/>
        <c:numFmt formatCode="General" sourceLinked="1"/>
        <c:majorTickMark val="out"/>
        <c:minorTickMark val="none"/>
        <c:tickLblPos val="none"/>
        <c:txPr>
          <a:bodyPr rot="0" vert="horz"/>
          <a:lstStyle/>
          <a:p>
            <a:pPr>
              <a:defRPr/>
            </a:pPr>
            <a:endParaRPr lang="es-ES"/>
          </a:p>
        </c:txPr>
        <c:crossAx val="290151808"/>
        <c:crosses val="autoZero"/>
        <c:auto val="1"/>
        <c:lblAlgn val="ctr"/>
        <c:lblOffset val="100"/>
        <c:tickMarkSkip val="1"/>
        <c:noMultiLvlLbl val="0"/>
      </c:catAx>
      <c:valAx>
        <c:axId val="290151808"/>
        <c:scaling>
          <c:orientation val="minMax"/>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290150272"/>
        <c:crosses val="autoZero"/>
        <c:crossBetween val="between"/>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900"/>
              <a:t>ESTABLECIMIENTOS</a:t>
            </a:r>
          </a:p>
        </c:rich>
      </c:tx>
      <c:layout>
        <c:manualLayout>
          <c:xMode val="edge"/>
          <c:yMode val="edge"/>
          <c:x val="0.38966202783300891"/>
          <c:y val="2.1978021978022001E-2"/>
        </c:manualLayout>
      </c:layout>
      <c:overlay val="0"/>
    </c:title>
    <c:autoTitleDeleted val="0"/>
    <c:plotArea>
      <c:layout>
        <c:manualLayout>
          <c:layoutTarget val="inner"/>
          <c:xMode val="edge"/>
          <c:yMode val="edge"/>
          <c:x val="8.5487077534791192E-2"/>
          <c:y val="0.24175824175824503"/>
          <c:w val="0.8946322067594441"/>
          <c:h val="0.57142857142858672"/>
        </c:manualLayout>
      </c:layout>
      <c:barChart>
        <c:barDir val="col"/>
        <c:grouping val="clustered"/>
        <c:varyColors val="0"/>
        <c:ser>
          <c:idx val="0"/>
          <c:order val="0"/>
          <c:tx>
            <c:strRef>
              <c:f>Sheet1!$A$2</c:f>
              <c:strCache>
                <c:ptCount val="1"/>
              </c:strCache>
            </c:strRef>
          </c:tx>
          <c:spPr>
            <a:solidFill>
              <a:schemeClr val="accent1"/>
            </a:solidFill>
          </c:spPr>
          <c:invertIfNegative val="0"/>
          <c:dLbls>
            <c:dLbl>
              <c:idx val="0"/>
              <c:layout>
                <c:manualLayout>
                  <c:x val="1.0709989395876423E-2"/>
                  <c:y val="-4.9949519531212364E-2"/>
                </c:manualLayout>
              </c:layout>
              <c:showLegendKey val="0"/>
              <c:showVal val="1"/>
              <c:showCatName val="0"/>
              <c:showSerName val="0"/>
              <c:showPercent val="0"/>
              <c:showBubbleSize val="0"/>
            </c:dLbl>
            <c:dLbl>
              <c:idx val="1"/>
              <c:layout>
                <c:manualLayout>
                  <c:x val="6.4456502065732089E-3"/>
                  <c:y val="-4.5885328035918514E-2"/>
                </c:manualLayout>
              </c:layout>
              <c:showLegendKey val="0"/>
              <c:showVal val="1"/>
              <c:showCatName val="0"/>
              <c:showSerName val="0"/>
              <c:showPercent val="0"/>
              <c:showBubbleSize val="0"/>
            </c:dLbl>
            <c:dLbl>
              <c:idx val="2"/>
              <c:layout>
                <c:manualLayout>
                  <c:x val="8.1455257289995125E-3"/>
                  <c:y val="-3.7638582436811202E-2"/>
                </c:manualLayout>
              </c:layout>
              <c:showLegendKey val="0"/>
              <c:showVal val="1"/>
              <c:showCatName val="0"/>
              <c:showSerName val="0"/>
              <c:showPercent val="0"/>
              <c:showBubbleSize val="0"/>
            </c:dLbl>
            <c:dLbl>
              <c:idx val="3"/>
              <c:layout>
                <c:manualLayout>
                  <c:x val="5.869258110272931E-3"/>
                  <c:y val="-2.7539183803947608E-2"/>
                </c:manualLayout>
              </c:layout>
              <c:showLegendKey val="0"/>
              <c:showVal val="1"/>
              <c:showCatName val="0"/>
              <c:showSerName val="0"/>
              <c:showPercent val="0"/>
              <c:showBubbleSize val="0"/>
            </c:dLbl>
            <c:dLbl>
              <c:idx val="4"/>
              <c:layout>
                <c:manualLayout>
                  <c:x val="3.5929904915460412E-3"/>
                  <c:y val="-3.2371728774287886E-2"/>
                </c:manualLayout>
              </c:layout>
              <c:showLegendKey val="0"/>
              <c:showVal val="1"/>
              <c:showCatName val="0"/>
              <c:showSerName val="0"/>
              <c:showPercent val="0"/>
              <c:showBubbleSize val="0"/>
            </c:dLbl>
            <c:dLbl>
              <c:idx val="5"/>
              <c:layout>
                <c:manualLayout>
                  <c:x val="9.2690091551258548E-3"/>
                  <c:y val="-4.1526395738994207E-2"/>
                </c:manualLayout>
              </c:layout>
              <c:showLegendKey val="0"/>
              <c:showVal val="1"/>
              <c:showCatName val="0"/>
              <c:showSerName val="0"/>
              <c:showPercent val="0"/>
              <c:showBubbleSize val="0"/>
            </c:dLbl>
            <c:dLbl>
              <c:idx val="6"/>
              <c:layout>
                <c:manualLayout>
                  <c:x val="5.0046699658223316E-3"/>
                  <c:y val="-2.7656452799169451E-2"/>
                </c:manualLayout>
              </c:layout>
              <c:showLegendKey val="0"/>
              <c:showVal val="1"/>
              <c:showCatName val="0"/>
              <c:showSerName val="0"/>
              <c:showPercent val="0"/>
              <c:showBubbleSize val="0"/>
            </c:dLbl>
            <c:dLbl>
              <c:idx val="7"/>
              <c:layout>
                <c:manualLayout>
                  <c:x val="6.7045454882487124E-3"/>
                  <c:y val="-4.7546736946345008E-2"/>
                </c:manualLayout>
              </c:layout>
              <c:showLegendKey val="0"/>
              <c:showVal val="1"/>
              <c:showCatName val="0"/>
              <c:showSerName val="0"/>
              <c:showPercent val="0"/>
              <c:showBubbleSize val="0"/>
            </c:dLbl>
            <c:dLbl>
              <c:idx val="8"/>
              <c:layout>
                <c:manualLayout>
                  <c:x val="6.4163494400987075E-3"/>
                  <c:y val="-3.511798405007064E-2"/>
                </c:manualLayout>
              </c:layout>
              <c:showLegendKey val="0"/>
              <c:showVal val="1"/>
              <c:showCatName val="0"/>
              <c:showSerName val="0"/>
              <c:showPercent val="0"/>
              <c:showBubbleSize val="0"/>
            </c:dLbl>
            <c:dLbl>
              <c:idx val="9"/>
              <c:layout>
                <c:manualLayout>
                  <c:x val="6.1281533919482073E-3"/>
                  <c:y val="-1.9023084854777841E-2"/>
                </c:manualLayout>
              </c:layout>
              <c:tx>
                <c:rich>
                  <a:bodyPr/>
                  <a:lstStyle/>
                  <a:p>
                    <a:r>
                      <a:rPr lang="es-ES" b="1"/>
                      <a:t>3.078</a:t>
                    </a:r>
                  </a:p>
                </c:rich>
              </c:tx>
              <c:showLegendKey val="0"/>
              <c:showVal val="0"/>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1918</c:v>
                </c:pt>
                <c:pt idx="1">
                  <c:v>2117</c:v>
                </c:pt>
                <c:pt idx="2">
                  <c:v>2222</c:v>
                </c:pt>
                <c:pt idx="3">
                  <c:v>2803</c:v>
                </c:pt>
                <c:pt idx="4">
                  <c:v>2976</c:v>
                </c:pt>
                <c:pt idx="5">
                  <c:v>3032</c:v>
                </c:pt>
                <c:pt idx="6">
                  <c:v>3096</c:v>
                </c:pt>
                <c:pt idx="7">
                  <c:v>2986</c:v>
                </c:pt>
                <c:pt idx="8">
                  <c:v>2997</c:v>
                </c:pt>
                <c:pt idx="9" formatCode="General">
                  <c:v>3078</c:v>
                </c:pt>
                <c:pt idx="10">
                  <c:v>3127</c:v>
                </c:pt>
              </c:numCache>
            </c:numRef>
          </c:val>
        </c:ser>
        <c:dLbls>
          <c:showLegendKey val="0"/>
          <c:showVal val="0"/>
          <c:showCatName val="0"/>
          <c:showSerName val="0"/>
          <c:showPercent val="0"/>
          <c:showBubbleSize val="0"/>
        </c:dLbls>
        <c:gapWidth val="150"/>
        <c:axId val="290209152"/>
        <c:axId val="290309248"/>
      </c:barChart>
      <c:catAx>
        <c:axId val="290209152"/>
        <c:scaling>
          <c:orientation val="minMax"/>
        </c:scaling>
        <c:delete val="0"/>
        <c:axPos val="b"/>
        <c:numFmt formatCode="General" sourceLinked="1"/>
        <c:majorTickMark val="out"/>
        <c:minorTickMark val="none"/>
        <c:tickLblPos val="low"/>
        <c:txPr>
          <a:bodyPr rot="0" vert="horz"/>
          <a:lstStyle/>
          <a:p>
            <a:pPr>
              <a:defRPr/>
            </a:pPr>
            <a:endParaRPr lang="es-ES"/>
          </a:p>
        </c:txPr>
        <c:crossAx val="290309248"/>
        <c:crosses val="autoZero"/>
        <c:auto val="1"/>
        <c:lblAlgn val="ctr"/>
        <c:lblOffset val="100"/>
        <c:tickLblSkip val="1"/>
        <c:tickMarkSkip val="1"/>
        <c:noMultiLvlLbl val="0"/>
      </c:catAx>
      <c:valAx>
        <c:axId val="290309248"/>
        <c:scaling>
          <c:orientation val="minMax"/>
          <c:max val="4000"/>
        </c:scaling>
        <c:delete val="0"/>
        <c:axPos val="l"/>
        <c:majorGridlines>
          <c:spPr>
            <a:ln>
              <a:solidFill>
                <a:srgbClr val="C0C0C0"/>
              </a:solidFill>
            </a:ln>
          </c:spPr>
        </c:majorGridlines>
        <c:numFmt formatCode="#,##0" sourceLinked="1"/>
        <c:majorTickMark val="out"/>
        <c:minorTickMark val="none"/>
        <c:tickLblPos val="nextTo"/>
        <c:txPr>
          <a:bodyPr rot="0" vert="horz"/>
          <a:lstStyle/>
          <a:p>
            <a:pPr>
              <a:defRPr/>
            </a:pPr>
            <a:endParaRPr lang="es-ES"/>
          </a:p>
        </c:txPr>
        <c:crossAx val="290209152"/>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EMPLEOS</a:t>
            </a:r>
          </a:p>
        </c:rich>
      </c:tx>
      <c:layout>
        <c:manualLayout>
          <c:xMode val="edge"/>
          <c:yMode val="edge"/>
          <c:x val="0.44597249508841597"/>
          <c:y val="2.197802197802199E-2"/>
        </c:manualLayout>
      </c:layout>
      <c:overlay val="0"/>
      <c:spPr>
        <a:noFill/>
        <a:ln w="25400">
          <a:noFill/>
        </a:ln>
      </c:spPr>
    </c:title>
    <c:autoTitleDeleted val="0"/>
    <c:plotArea>
      <c:layout>
        <c:manualLayout>
          <c:layoutTarget val="inner"/>
          <c:xMode val="edge"/>
          <c:yMode val="edge"/>
          <c:x val="9.6267190569744643E-2"/>
          <c:y val="0.18620242782152652"/>
          <c:w val="0.88408644400784597"/>
          <c:h val="0.62698436132983382"/>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Lbls>
            <c:dLbl>
              <c:idx val="0"/>
              <c:layout>
                <c:manualLayout>
                  <c:x val="9.7349380578272797E-3"/>
                  <c:y val="-4.945378822839442E-2"/>
                </c:manualLayout>
              </c:layout>
              <c:showLegendKey val="0"/>
              <c:showVal val="1"/>
              <c:showCatName val="0"/>
              <c:showSerName val="0"/>
              <c:showPercent val="0"/>
              <c:showBubbleSize val="0"/>
            </c:dLbl>
            <c:dLbl>
              <c:idx val="1"/>
              <c:layout>
                <c:manualLayout>
                  <c:x val="5.1421103050588324E-3"/>
                  <c:y val="-4.3807108246084546E-2"/>
                </c:manualLayout>
              </c:layout>
              <c:showLegendKey val="0"/>
              <c:showVal val="1"/>
              <c:showCatName val="0"/>
              <c:showSerName val="0"/>
              <c:showPercent val="0"/>
              <c:showBubbleSize val="0"/>
            </c:dLbl>
            <c:dLbl>
              <c:idx val="2"/>
              <c:layout>
                <c:manualLayout>
                  <c:x val="6.4431921790094934E-3"/>
                  <c:y val="-3.9890746829724183E-2"/>
                </c:manualLayout>
              </c:layout>
              <c:showLegendKey val="0"/>
              <c:showVal val="1"/>
              <c:showCatName val="0"/>
              <c:showSerName val="0"/>
              <c:showPercent val="0"/>
              <c:showBubbleSize val="0"/>
            </c:dLbl>
            <c:dLbl>
              <c:idx val="3"/>
              <c:layout>
                <c:manualLayout>
                  <c:x val="5.7796375107203937E-3"/>
                  <c:y val="-2.906001533462154E-2"/>
                </c:manualLayout>
              </c:layout>
              <c:showLegendKey val="0"/>
              <c:showVal val="1"/>
              <c:showCatName val="0"/>
              <c:showSerName val="0"/>
              <c:showPercent val="0"/>
              <c:showBubbleSize val="0"/>
            </c:dLbl>
            <c:dLbl>
              <c:idx val="4"/>
              <c:layout>
                <c:manualLayout>
                  <c:x val="3.1514463001914282E-3"/>
                  <c:y val="-2.8900792449020812E-2"/>
                </c:manualLayout>
              </c:layout>
              <c:showLegendKey val="0"/>
              <c:showVal val="1"/>
              <c:showCatName val="0"/>
              <c:showSerName val="0"/>
              <c:showPercent val="0"/>
              <c:showBubbleSize val="0"/>
            </c:dLbl>
            <c:dLbl>
              <c:idx val="5"/>
              <c:layout>
                <c:manualLayout>
                  <c:x val="8.3818012586214727E-3"/>
                  <c:y val="-4.4614405170507562E-2"/>
                </c:manualLayout>
              </c:layout>
              <c:showLegendKey val="0"/>
              <c:showVal val="1"/>
              <c:showCatName val="0"/>
              <c:showSerName val="0"/>
              <c:showPercent val="0"/>
              <c:showBubbleSize val="0"/>
            </c:dLbl>
            <c:dLbl>
              <c:idx val="6"/>
              <c:layout>
                <c:manualLayout>
                  <c:x val="3.7889735058530302E-3"/>
                  <c:y val="-2.9350844365608166E-2"/>
                </c:manualLayout>
              </c:layout>
              <c:showLegendKey val="0"/>
              <c:showVal val="1"/>
              <c:showCatName val="0"/>
              <c:showSerName val="0"/>
              <c:showPercent val="0"/>
              <c:showBubbleSize val="0"/>
            </c:dLbl>
            <c:dLbl>
              <c:idx val="7"/>
              <c:layout>
                <c:manualLayout>
                  <c:x val="5.0900553798036829E-3"/>
                  <c:y val="-4.5982353167392506E-2"/>
                </c:manualLayout>
              </c:layout>
              <c:showLegendKey val="0"/>
              <c:showVal val="1"/>
              <c:showCatName val="0"/>
              <c:showSerName val="0"/>
              <c:showPercent val="0"/>
              <c:showBubbleSize val="0"/>
            </c:dLbl>
            <c:dLbl>
              <c:idx val="8"/>
              <c:layout>
                <c:manualLayout>
                  <c:x val="6.3911372537540324E-3"/>
                  <c:y val="-3.612192105794465E-2"/>
                </c:manualLayout>
              </c:layout>
              <c:showLegendKey val="0"/>
              <c:showVal val="1"/>
              <c:showCatName val="0"/>
              <c:showSerName val="0"/>
              <c:showPercent val="0"/>
              <c:showBubbleSize val="0"/>
            </c:dLbl>
            <c:dLbl>
              <c:idx val="9"/>
              <c:layout>
                <c:manualLayout>
                  <c:x val="3.7629460432254485E-3"/>
                  <c:y val="-1.894901358484026E-2"/>
                </c:manualLayout>
              </c:layout>
              <c:tx>
                <c:rich>
                  <a:bodyPr/>
                  <a:lstStyle/>
                  <a:p>
                    <a:r>
                      <a:rPr lang="es-ES" b="1"/>
                      <a:t>55.809</a:t>
                    </a:r>
                  </a:p>
                </c:rich>
              </c:tx>
              <c:showLegendKey val="0"/>
              <c:showVal val="0"/>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c:formatCode>
                <c:ptCount val="11"/>
                <c:pt idx="0">
                  <c:v>41867</c:v>
                </c:pt>
                <c:pt idx="1">
                  <c:v>43575</c:v>
                </c:pt>
                <c:pt idx="2">
                  <c:v>48387</c:v>
                </c:pt>
                <c:pt idx="3">
                  <c:v>54259</c:v>
                </c:pt>
                <c:pt idx="4">
                  <c:v>61022</c:v>
                </c:pt>
                <c:pt idx="5">
                  <c:v>61140</c:v>
                </c:pt>
                <c:pt idx="6">
                  <c:v>63480</c:v>
                </c:pt>
                <c:pt idx="7">
                  <c:v>62615</c:v>
                </c:pt>
                <c:pt idx="8">
                  <c:v>59915</c:v>
                </c:pt>
                <c:pt idx="9" formatCode="General">
                  <c:v>55809</c:v>
                </c:pt>
                <c:pt idx="10">
                  <c:v>54582</c:v>
                </c:pt>
              </c:numCache>
            </c:numRef>
          </c:val>
        </c:ser>
        <c:dLbls>
          <c:showLegendKey val="0"/>
          <c:showVal val="0"/>
          <c:showCatName val="0"/>
          <c:showSerName val="0"/>
          <c:showPercent val="0"/>
          <c:showBubbleSize val="0"/>
        </c:dLbls>
        <c:gapWidth val="150"/>
        <c:axId val="290337920"/>
        <c:axId val="290339456"/>
      </c:barChart>
      <c:catAx>
        <c:axId val="290337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90339456"/>
        <c:crosses val="autoZero"/>
        <c:auto val="1"/>
        <c:lblAlgn val="ctr"/>
        <c:lblOffset val="100"/>
        <c:tickLblSkip val="1"/>
        <c:tickMarkSkip val="1"/>
        <c:noMultiLvlLbl val="0"/>
      </c:catAx>
      <c:valAx>
        <c:axId val="290339456"/>
        <c:scaling>
          <c:orientation val="minMax"/>
          <c:max val="8000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29033792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solidFill>
            <a:ln w="12674">
              <a:noFill/>
              <a:prstDash val="solid"/>
            </a:ln>
          </c:spPr>
          <c:invertIfNegative val="0"/>
          <c:dLbls>
            <c:dLbl>
              <c:idx val="0"/>
              <c:layout>
                <c:manualLayout>
                  <c:x val="1.1166861098090624E-2"/>
                  <c:y val="-7.3290625888722413E-2"/>
                </c:manualLayout>
              </c:layout>
              <c:showLegendKey val="0"/>
              <c:showVal val="1"/>
              <c:showCatName val="0"/>
              <c:showSerName val="0"/>
              <c:showPercent val="0"/>
              <c:showBubbleSize val="0"/>
            </c:dLbl>
            <c:dLbl>
              <c:idx val="1"/>
              <c:layout>
                <c:manualLayout>
                  <c:x val="4.4401375513309308E-3"/>
                  <c:y val="-6.7796120394217924E-2"/>
                </c:manualLayout>
              </c:layout>
              <c:showLegendKey val="0"/>
              <c:showVal val="1"/>
              <c:showCatName val="0"/>
              <c:showSerName val="0"/>
              <c:showPercent val="0"/>
              <c:showBubbleSize val="0"/>
            </c:dLbl>
            <c:dLbl>
              <c:idx val="2"/>
              <c:layout>
                <c:manualLayout>
                  <c:x val="7.6537718574542814E-3"/>
                  <c:y val="-5.3990246160614166E-2"/>
                </c:manualLayout>
              </c:layout>
              <c:showLegendKey val="0"/>
              <c:showVal val="1"/>
              <c:showCatName val="0"/>
              <c:showSerName val="0"/>
              <c:showPercent val="0"/>
              <c:showBubbleSize val="0"/>
            </c:dLbl>
            <c:dLbl>
              <c:idx val="3"/>
              <c:layout>
                <c:manualLayout>
                  <c:x val="4.9031914518479014E-3"/>
                  <c:y val="-4.7017424572370133E-2"/>
                </c:manualLayout>
              </c:layout>
              <c:showLegendKey val="0"/>
              <c:showVal val="1"/>
              <c:showCatName val="0"/>
              <c:showSerName val="0"/>
              <c:showPercent val="0"/>
              <c:showBubbleSize val="0"/>
            </c:dLbl>
            <c:dLbl>
              <c:idx val="4"/>
              <c:layout>
                <c:manualLayout>
                  <c:x val="2.1528160186676552E-3"/>
                  <c:y val="-4.0044602984125939E-2"/>
                </c:manualLayout>
              </c:layout>
              <c:showLegendKey val="0"/>
              <c:showVal val="1"/>
              <c:showCatName val="0"/>
              <c:showSerName val="0"/>
              <c:showPercent val="0"/>
              <c:showBubbleSize val="0"/>
            </c:dLbl>
            <c:dLbl>
              <c:idx val="5"/>
              <c:layout>
                <c:manualLayout>
                  <c:x val="7.3545218953673984E-3"/>
                  <c:y val="-5.3850477217729023E-2"/>
                </c:manualLayout>
              </c:layout>
              <c:showLegendKey val="0"/>
              <c:showVal val="1"/>
              <c:showCatName val="0"/>
              <c:showSerName val="0"/>
              <c:showPercent val="0"/>
              <c:showBubbleSize val="0"/>
            </c:dLbl>
            <c:dLbl>
              <c:idx val="6"/>
              <c:layout>
                <c:manualLayout>
                  <c:x val="6.2779834860831967E-4"/>
                  <c:y val="-4.2861466228717594E-2"/>
                </c:manualLayout>
              </c:layout>
              <c:showLegendKey val="0"/>
              <c:showVal val="1"/>
              <c:showCatName val="0"/>
              <c:showSerName val="0"/>
              <c:showPercent val="0"/>
              <c:showBubbleSize val="0"/>
            </c:dLbl>
            <c:dLbl>
              <c:idx val="7"/>
              <c:layout>
                <c:manualLayout>
                  <c:x val="3.8414326547315052E-3"/>
                  <c:y val="-6.6317804300478192E-2"/>
                </c:manualLayout>
              </c:layout>
              <c:showLegendKey val="0"/>
              <c:showVal val="1"/>
              <c:showCatName val="0"/>
              <c:showSerName val="0"/>
              <c:showPercent val="0"/>
              <c:showBubbleSize val="0"/>
            </c:dLbl>
            <c:dLbl>
              <c:idx val="8"/>
              <c:layout>
                <c:manualLayout>
                  <c:x val="3.0789238197017482E-3"/>
                  <c:y val="-4.9834287816963446E-2"/>
                </c:manualLayout>
              </c:layout>
              <c:showLegendKey val="0"/>
              <c:showVal val="1"/>
              <c:showCatName val="0"/>
              <c:showSerName val="0"/>
              <c:showPercent val="0"/>
              <c:showBubbleSize val="0"/>
            </c:dLbl>
            <c:dLbl>
              <c:idx val="9"/>
              <c:layout>
                <c:manualLayout>
                  <c:x val="-1.6595231840549221E-3"/>
                  <c:y val="-2.6517718688086812E-2"/>
                </c:manualLayout>
              </c:layout>
              <c:showLegendKey val="0"/>
              <c:showVal val="1"/>
              <c:showCatName val="0"/>
              <c:showSerName val="0"/>
              <c:showPercent val="0"/>
              <c:showBubbleSize val="0"/>
            </c:dLbl>
            <c:spPr>
              <a:noFill/>
              <a:ln w="25347">
                <a:noFill/>
              </a:ln>
            </c:spPr>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6</c:v>
                </c:pt>
                <c:pt idx="1">
                  <c:v>6</c:v>
                </c:pt>
                <c:pt idx="2">
                  <c:v>6.2</c:v>
                </c:pt>
                <c:pt idx="3">
                  <c:v>6.5</c:v>
                </c:pt>
                <c:pt idx="4">
                  <c:v>6.8</c:v>
                </c:pt>
                <c:pt idx="5">
                  <c:v>6.6</c:v>
                </c:pt>
                <c:pt idx="6">
                  <c:v>6.6</c:v>
                </c:pt>
                <c:pt idx="7">
                  <c:v>6.3</c:v>
                </c:pt>
                <c:pt idx="8">
                  <c:v>6.3</c:v>
                </c:pt>
                <c:pt idx="9" formatCode="General">
                  <c:v>6.2</c:v>
                </c:pt>
                <c:pt idx="10">
                  <c:v>6.1</c:v>
                </c:pt>
              </c:numCache>
            </c:numRef>
          </c:val>
        </c:ser>
        <c:dLbls>
          <c:showLegendKey val="0"/>
          <c:showVal val="0"/>
          <c:showCatName val="0"/>
          <c:showSerName val="0"/>
          <c:showPercent val="0"/>
          <c:showBubbleSize val="0"/>
        </c:dLbls>
        <c:gapWidth val="150"/>
        <c:axId val="290404992"/>
        <c:axId val="290410880"/>
      </c:barChart>
      <c:catAx>
        <c:axId val="29040499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a:pPr>
            <a:endParaRPr lang="es-ES"/>
          </a:p>
        </c:txPr>
        <c:crossAx val="290410880"/>
        <c:crosses val="autoZero"/>
        <c:auto val="1"/>
        <c:lblAlgn val="ctr"/>
        <c:lblOffset val="100"/>
        <c:tickLblSkip val="1"/>
        <c:tickMarkSkip val="1"/>
        <c:noMultiLvlLbl val="0"/>
      </c:catAx>
      <c:valAx>
        <c:axId val="290410880"/>
        <c:scaling>
          <c:orientation val="minMax"/>
          <c:max val="7"/>
          <c:min val="0"/>
        </c:scaling>
        <c:delete val="0"/>
        <c:axPos val="l"/>
        <c:majorGridlines>
          <c:spPr>
            <a:ln w="12674">
              <a:solidFill>
                <a:srgbClr val="C0C0C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es-ES"/>
          </a:p>
        </c:txPr>
        <c:crossAx val="290404992"/>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8201438848921"/>
          <c:y val="6.5934065934065936E-2"/>
          <c:w val="0.81654676258992809"/>
          <c:h val="0.60439560439561724"/>
        </c:manualLayout>
      </c:layout>
      <c:barChart>
        <c:barDir val="col"/>
        <c:grouping val="clustered"/>
        <c:varyColors val="0"/>
        <c:ser>
          <c:idx val="0"/>
          <c:order val="0"/>
          <c:tx>
            <c:strRef>
              <c:f>Sheet1!$A$2</c:f>
              <c:strCache>
                <c:ptCount val="1"/>
                <c:pt idx="0">
                  <c:v>2010-2012</c:v>
                </c:pt>
              </c:strCache>
            </c:strRef>
          </c:tx>
          <c:spPr>
            <a:solidFill>
              <a:schemeClr val="tx2"/>
            </a:solidFill>
            <a:ln w="11449">
              <a:noFill/>
              <a:prstDash val="solid"/>
            </a:ln>
          </c:spPr>
          <c:invertIfNegative val="0"/>
          <c:dLbls>
            <c:dLbl>
              <c:idx val="0"/>
              <c:layout>
                <c:manualLayout>
                  <c:x val="1.1861931973098519E-2"/>
                  <c:y val="2.3850804707103854E-2"/>
                </c:manualLayout>
              </c:layout>
              <c:showLegendKey val="0"/>
              <c:showVal val="1"/>
              <c:showCatName val="0"/>
              <c:showSerName val="0"/>
              <c:showPercent val="0"/>
              <c:showBubbleSize val="0"/>
            </c:dLbl>
            <c:dLbl>
              <c:idx val="1"/>
              <c:layout>
                <c:manualLayout>
                  <c:x val="1.1197844455489575E-2"/>
                  <c:y val="-2.7750019619640692E-3"/>
                </c:manualLayout>
              </c:layout>
              <c:showLegendKey val="0"/>
              <c:showVal val="1"/>
              <c:showCatName val="0"/>
              <c:showSerName val="0"/>
              <c:showPercent val="0"/>
              <c:showBubbleSize val="0"/>
            </c:dLbl>
            <c:spPr>
              <a:noFill/>
              <a:ln w="22899">
                <a:noFill/>
              </a:ln>
            </c:spPr>
            <c:txPr>
              <a:bodyPr/>
              <a:lstStyle/>
              <a:p>
                <a:pPr>
                  <a:defRPr b="1"/>
                </a:pPr>
                <a:endParaRPr lang="es-ES"/>
              </a:p>
            </c:txPr>
            <c:showLegendKey val="0"/>
            <c:showVal val="1"/>
            <c:showCatName val="0"/>
            <c:showSerName val="0"/>
            <c:showPercent val="0"/>
            <c:showBubbleSize val="0"/>
            <c:showLeaderLines val="0"/>
          </c:dLbls>
          <c:cat>
            <c:strRef>
              <c:f>Sheet1!$B$1:$C$1</c:f>
              <c:strCache>
                <c:ptCount val="2"/>
                <c:pt idx="0">
                  <c:v>Industria</c:v>
                </c:pt>
                <c:pt idx="1">
                  <c:v>Servicios</c:v>
                </c:pt>
              </c:strCache>
            </c:strRef>
          </c:cat>
          <c:val>
            <c:numRef>
              <c:f>Sheet1!$B$2:$C$2</c:f>
              <c:numCache>
                <c:formatCode>0.0%</c:formatCode>
                <c:ptCount val="2"/>
                <c:pt idx="0">
                  <c:v>-3.0000000000000002E-2</c:v>
                </c:pt>
                <c:pt idx="1">
                  <c:v>-0.10299999999999998</c:v>
                </c:pt>
              </c:numCache>
            </c:numRef>
          </c:val>
        </c:ser>
        <c:ser>
          <c:idx val="1"/>
          <c:order val="1"/>
          <c:tx>
            <c:strRef>
              <c:f>Sheet1!$A$3</c:f>
              <c:strCache>
                <c:ptCount val="1"/>
                <c:pt idx="0">
                  <c:v>2012-2014</c:v>
                </c:pt>
              </c:strCache>
            </c:strRef>
          </c:tx>
          <c:spPr>
            <a:solidFill>
              <a:schemeClr val="accent1"/>
            </a:solidFill>
            <a:ln w="11449">
              <a:noFill/>
              <a:prstDash val="solid"/>
            </a:ln>
          </c:spPr>
          <c:invertIfNegative val="0"/>
          <c:dLbls>
            <c:txPr>
              <a:bodyPr/>
              <a:lstStyle/>
              <a:p>
                <a:pPr>
                  <a:defRPr b="1"/>
                </a:pPr>
                <a:endParaRPr lang="es-ES"/>
              </a:p>
            </c:txPr>
            <c:showLegendKey val="0"/>
            <c:showVal val="1"/>
            <c:showCatName val="0"/>
            <c:showSerName val="0"/>
            <c:showPercent val="0"/>
            <c:showBubbleSize val="0"/>
            <c:showLeaderLines val="0"/>
          </c:dLbls>
          <c:cat>
            <c:strRef>
              <c:f>Sheet1!$B$1:$C$1</c:f>
              <c:strCache>
                <c:ptCount val="2"/>
                <c:pt idx="0">
                  <c:v>Industria</c:v>
                </c:pt>
                <c:pt idx="1">
                  <c:v>Servicios</c:v>
                </c:pt>
              </c:strCache>
            </c:strRef>
          </c:cat>
          <c:val>
            <c:numRef>
              <c:f>Sheet1!$B$3:$C$3</c:f>
              <c:numCache>
                <c:formatCode>0.0%</c:formatCode>
                <c:ptCount val="2"/>
                <c:pt idx="0">
                  <c:v>-7.5000000000000011E-2</c:v>
                </c:pt>
                <c:pt idx="1">
                  <c:v>3.6999999999999998E-2</c:v>
                </c:pt>
              </c:numCache>
            </c:numRef>
          </c:val>
        </c:ser>
        <c:dLbls>
          <c:showLegendKey val="0"/>
          <c:showVal val="0"/>
          <c:showCatName val="0"/>
          <c:showSerName val="0"/>
          <c:showPercent val="0"/>
          <c:showBubbleSize val="0"/>
        </c:dLbls>
        <c:gapWidth val="150"/>
        <c:axId val="290542720"/>
        <c:axId val="290544256"/>
      </c:barChart>
      <c:catAx>
        <c:axId val="290542720"/>
        <c:scaling>
          <c:orientation val="minMax"/>
        </c:scaling>
        <c:delete val="0"/>
        <c:axPos val="b"/>
        <c:numFmt formatCode="General" sourceLinked="1"/>
        <c:majorTickMark val="out"/>
        <c:minorTickMark val="none"/>
        <c:tickLblPos val="low"/>
        <c:spPr>
          <a:ln w="2862">
            <a:solidFill>
              <a:srgbClr val="000000"/>
            </a:solidFill>
            <a:prstDash val="solid"/>
          </a:ln>
        </c:spPr>
        <c:txPr>
          <a:bodyPr rot="0" vert="horz"/>
          <a:lstStyle/>
          <a:p>
            <a:pPr>
              <a:defRPr/>
            </a:pPr>
            <a:endParaRPr lang="es-ES"/>
          </a:p>
        </c:txPr>
        <c:crossAx val="290544256"/>
        <c:crosses val="autoZero"/>
        <c:auto val="1"/>
        <c:lblAlgn val="ctr"/>
        <c:lblOffset val="100"/>
        <c:tickLblSkip val="1"/>
        <c:tickMarkSkip val="1"/>
        <c:noMultiLvlLbl val="0"/>
      </c:catAx>
      <c:valAx>
        <c:axId val="290544256"/>
        <c:scaling>
          <c:orientation val="minMax"/>
        </c:scaling>
        <c:delete val="0"/>
        <c:axPos val="l"/>
        <c:majorGridlines>
          <c:spPr>
            <a:ln w="11449">
              <a:solidFill>
                <a:srgbClr val="C0C0C0"/>
              </a:solidFill>
              <a:prstDash val="solid"/>
            </a:ln>
          </c:spPr>
        </c:majorGridlines>
        <c:numFmt formatCode="0%" sourceLinked="0"/>
        <c:majorTickMark val="out"/>
        <c:minorTickMark val="none"/>
        <c:tickLblPos val="nextTo"/>
        <c:spPr>
          <a:ln w="2862">
            <a:solidFill>
              <a:srgbClr val="000000"/>
            </a:solidFill>
            <a:prstDash val="solid"/>
          </a:ln>
        </c:spPr>
        <c:txPr>
          <a:bodyPr rot="0" vert="horz"/>
          <a:lstStyle/>
          <a:p>
            <a:pPr>
              <a:defRPr/>
            </a:pPr>
            <a:endParaRPr lang="es-ES"/>
          </a:p>
        </c:txPr>
        <c:crossAx val="290542720"/>
        <c:crosses val="autoZero"/>
        <c:crossBetween val="between"/>
      </c:valAx>
      <c:spPr>
        <a:noFill/>
        <a:ln w="25400">
          <a:noFill/>
        </a:ln>
      </c:spPr>
    </c:plotArea>
    <c:legend>
      <c:legendPos val="b"/>
      <c:layout>
        <c:manualLayout>
          <c:xMode val="edge"/>
          <c:yMode val="edge"/>
          <c:x val="0.24820158509598347"/>
          <c:y val="0.79716113610798667"/>
          <c:w val="0.61444598836911368"/>
          <c:h val="8.4806959171875224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Economía CAE</c:v>
                </c:pt>
              </c:strCache>
            </c:strRef>
          </c:tx>
          <c:spPr>
            <a:solidFill>
              <a:schemeClr val="accent1">
                <a:lumMod val="20000"/>
                <a:lumOff val="80000"/>
              </a:schemeClr>
            </a:solidFill>
            <a:ln w="12700">
              <a:noFill/>
              <a:prstDash val="solid"/>
            </a:ln>
          </c:spPr>
          <c:invertIfNegative val="0"/>
          <c:dLbls>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Primario</c:v>
                </c:pt>
                <c:pt idx="1">
                  <c:v>Industria</c:v>
                </c:pt>
                <c:pt idx="2">
                  <c:v>Construcción</c:v>
                </c:pt>
                <c:pt idx="3">
                  <c:v>Servicios</c:v>
                </c:pt>
              </c:strCache>
            </c:strRef>
          </c:cat>
          <c:val>
            <c:numRef>
              <c:f>Sheet1!$B$2:$E$2</c:f>
              <c:numCache>
                <c:formatCode>0.0%</c:formatCode>
                <c:ptCount val="4"/>
                <c:pt idx="0">
                  <c:v>1.0000000000000005E-2</c:v>
                </c:pt>
                <c:pt idx="1">
                  <c:v>0.22</c:v>
                </c:pt>
                <c:pt idx="2">
                  <c:v>5.3000000000000012E-2</c:v>
                </c:pt>
                <c:pt idx="3">
                  <c:v>0.71700000000000064</c:v>
                </c:pt>
              </c:numCache>
            </c:numRef>
          </c:val>
        </c:ser>
        <c:ser>
          <c:idx val="1"/>
          <c:order val="1"/>
          <c:tx>
            <c:strRef>
              <c:f>Sheet1!$A$3</c:f>
              <c:strCache>
                <c:ptCount val="1"/>
                <c:pt idx="0">
                  <c:v>Economía Social</c:v>
                </c:pt>
              </c:strCache>
            </c:strRef>
          </c:tx>
          <c:spPr>
            <a:solidFill>
              <a:schemeClr val="tx2"/>
            </a:solidFill>
            <a:ln w="12700">
              <a:noFill/>
              <a:prstDash val="solid"/>
            </a:ln>
          </c:spPr>
          <c:invertIfNegative val="0"/>
          <c:dLbls>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Primario</c:v>
                </c:pt>
                <c:pt idx="1">
                  <c:v>Industria</c:v>
                </c:pt>
                <c:pt idx="2">
                  <c:v>Construcción</c:v>
                </c:pt>
                <c:pt idx="3">
                  <c:v>Servicios</c:v>
                </c:pt>
              </c:strCache>
            </c:strRef>
          </c:cat>
          <c:val>
            <c:numRef>
              <c:f>Sheet1!$B$3:$E$3</c:f>
              <c:numCache>
                <c:formatCode>0.0%</c:formatCode>
                <c:ptCount val="4"/>
                <c:pt idx="0">
                  <c:v>3.0000000000000092E-3</c:v>
                </c:pt>
                <c:pt idx="1">
                  <c:v>0.43600000000000227</c:v>
                </c:pt>
                <c:pt idx="2">
                  <c:v>2.9000000000000001E-2</c:v>
                </c:pt>
                <c:pt idx="3">
                  <c:v>0.53100000000000003</c:v>
                </c:pt>
              </c:numCache>
            </c:numRef>
          </c:val>
        </c:ser>
        <c:dLbls>
          <c:showLegendKey val="0"/>
          <c:showVal val="0"/>
          <c:showCatName val="0"/>
          <c:showSerName val="0"/>
          <c:showPercent val="0"/>
          <c:showBubbleSize val="0"/>
        </c:dLbls>
        <c:gapWidth val="150"/>
        <c:axId val="290562048"/>
        <c:axId val="290563584"/>
      </c:barChart>
      <c:catAx>
        <c:axId val="2905620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90563584"/>
        <c:crosses val="autoZero"/>
        <c:auto val="1"/>
        <c:lblAlgn val="ctr"/>
        <c:lblOffset val="100"/>
        <c:tickLblSkip val="1"/>
        <c:tickMarkSkip val="1"/>
        <c:noMultiLvlLbl val="0"/>
      </c:catAx>
      <c:valAx>
        <c:axId val="290563584"/>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290562048"/>
        <c:crosses val="autoZero"/>
        <c:crossBetween val="between"/>
        <c:majorUnit val="0.2"/>
      </c:valAx>
      <c:spPr>
        <a:noFill/>
        <a:ln w="25400">
          <a:noFill/>
        </a:ln>
      </c:spPr>
    </c:plotArea>
    <c:legend>
      <c:legendPos val="b"/>
      <c:layout>
        <c:manualLayout>
          <c:xMode val="edge"/>
          <c:yMode val="edge"/>
          <c:x val="0.21659919028340538"/>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2010</c:v>
                </c:pt>
              </c:strCache>
            </c:strRef>
          </c:tx>
          <c:spPr>
            <a:solidFill>
              <a:schemeClr val="accent1">
                <a:lumMod val="20000"/>
                <a:lumOff val="80000"/>
              </a:schemeClr>
            </a:solidFill>
            <a:ln w="12700">
              <a:noFill/>
              <a:prstDash val="solid"/>
            </a:ln>
          </c:spPr>
          <c:invertIfNegative val="0"/>
          <c:dLbls>
            <c:dLbl>
              <c:idx val="0"/>
              <c:layout>
                <c:manualLayout>
                  <c:x val="-1.183431952662722E-2"/>
                  <c:y val="6.9444444444446227E-3"/>
                </c:manualLayout>
              </c:layout>
              <c:showLegendKey val="0"/>
              <c:showVal val="1"/>
              <c:showCatName val="0"/>
              <c:showSerName val="0"/>
              <c:showPercent val="0"/>
              <c:showBubbleSize val="0"/>
            </c:dLbl>
            <c:dLbl>
              <c:idx val="1"/>
              <c:layout>
                <c:manualLayout>
                  <c:x val="0"/>
                  <c:y val="2.0833333333333412E-2"/>
                </c:manualLayout>
              </c:layout>
              <c:showLegendKey val="0"/>
              <c:showVal val="1"/>
              <c:showCatName val="0"/>
              <c:showSerName val="0"/>
              <c:showPercent val="0"/>
              <c:showBubbleSize val="0"/>
            </c:dLbl>
            <c:dLbl>
              <c:idx val="2"/>
              <c:layout>
                <c:manualLayout>
                  <c:x val="-1.183431952662722E-2"/>
                  <c:y val="2.0833333333333412E-2"/>
                </c:manualLayout>
              </c:layout>
              <c:showLegendKey val="0"/>
              <c:showVal val="1"/>
              <c:showCatName val="0"/>
              <c:showSerName val="0"/>
              <c:showPercent val="0"/>
              <c:showBubbleSize val="0"/>
            </c:dLbl>
            <c:dLbl>
              <c:idx val="3"/>
              <c:layout>
                <c:manualLayout>
                  <c:x val="-9.4674556213018048E-3"/>
                  <c:y val="2.0833333333333412E-2"/>
                </c:manualLayout>
              </c:layout>
              <c:showLegendKey val="0"/>
              <c:showVal val="1"/>
              <c:showCatName val="0"/>
              <c:showSerName val="0"/>
              <c:showPercent val="0"/>
              <c:showBubbleSize val="0"/>
            </c:dLbl>
            <c:dLbl>
              <c:idx val="4"/>
              <c:layout>
                <c:manualLayout>
                  <c:x val="-9.473060982830071E-3"/>
                  <c:y val="2.7777777777778546E-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CAPV</c:v>
                </c:pt>
                <c:pt idx="1">
                  <c:v>Agricultura</c:v>
                </c:pt>
                <c:pt idx="2">
                  <c:v>Industria</c:v>
                </c:pt>
                <c:pt idx="3">
                  <c:v>Construcción</c:v>
                </c:pt>
                <c:pt idx="4">
                  <c:v>Servicios</c:v>
                </c:pt>
              </c:strCache>
            </c:strRef>
          </c:cat>
          <c:val>
            <c:numRef>
              <c:f>Sheet1!$B$2:$F$2</c:f>
              <c:numCache>
                <c:formatCode>0.0%</c:formatCode>
                <c:ptCount val="5"/>
                <c:pt idx="0">
                  <c:v>6.3E-2</c:v>
                </c:pt>
                <c:pt idx="1">
                  <c:v>2.0000000000000011E-2</c:v>
                </c:pt>
                <c:pt idx="2">
                  <c:v>0.11799999999999998</c:v>
                </c:pt>
                <c:pt idx="3">
                  <c:v>2.8000000000000001E-2</c:v>
                </c:pt>
                <c:pt idx="4">
                  <c:v>4.9000000000000113E-2</c:v>
                </c:pt>
              </c:numCache>
            </c:numRef>
          </c:val>
        </c:ser>
        <c:ser>
          <c:idx val="0"/>
          <c:order val="1"/>
          <c:tx>
            <c:strRef>
              <c:f>Sheet1!$A$3</c:f>
              <c:strCache>
                <c:ptCount val="1"/>
                <c:pt idx="0">
                  <c:v>2012</c:v>
                </c:pt>
              </c:strCache>
            </c:strRef>
          </c:tx>
          <c:spPr>
            <a:solidFill>
              <a:schemeClr val="tx2"/>
            </a:solidFill>
            <a:ln w="12700">
              <a:noFill/>
              <a:prstDash val="solid"/>
            </a:ln>
          </c:spPr>
          <c:invertIfNegative val="0"/>
          <c:dLbls>
            <c:dLbl>
              <c:idx val="0"/>
              <c:layout>
                <c:manualLayout>
                  <c:x val="0"/>
                  <c:y val="-4.8611111111111112E-2"/>
                </c:manualLayout>
              </c:layout>
              <c:showLegendKey val="0"/>
              <c:showVal val="1"/>
              <c:showCatName val="0"/>
              <c:showSerName val="0"/>
              <c:showPercent val="0"/>
              <c:showBubbleSize val="0"/>
            </c:dLbl>
            <c:dLbl>
              <c:idx val="1"/>
              <c:layout>
                <c:manualLayout>
                  <c:x val="4.7337278106510134E-3"/>
                  <c:y val="-4.8611111111111084E-2"/>
                </c:manualLayout>
              </c:layout>
              <c:showLegendKey val="0"/>
              <c:showVal val="1"/>
              <c:showCatName val="0"/>
              <c:showSerName val="0"/>
              <c:showPercent val="0"/>
              <c:showBubbleSize val="0"/>
            </c:dLbl>
            <c:dLbl>
              <c:idx val="2"/>
              <c:layout>
                <c:manualLayout>
                  <c:x val="4.7337278106509024E-3"/>
                  <c:y val="-6.25E-2"/>
                </c:manualLayout>
              </c:layout>
              <c:showLegendKey val="0"/>
              <c:showVal val="1"/>
              <c:showCatName val="0"/>
              <c:showSerName val="0"/>
              <c:showPercent val="0"/>
              <c:showBubbleSize val="0"/>
            </c:dLbl>
            <c:dLbl>
              <c:idx val="3"/>
              <c:layout>
                <c:manualLayout>
                  <c:x val="-7.1005917159762504E-3"/>
                  <c:y val="-2.0833333333333412E-2"/>
                </c:manualLayout>
              </c:layout>
              <c:showLegendKey val="0"/>
              <c:showVal val="1"/>
              <c:showCatName val="0"/>
              <c:showSerName val="0"/>
              <c:showPercent val="0"/>
              <c:showBubbleSize val="0"/>
            </c:dLbl>
            <c:dLbl>
              <c:idx val="4"/>
              <c:layout>
                <c:manualLayout>
                  <c:x val="0"/>
                  <c:y val="-2.0833333333333412E-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CAPV</c:v>
                </c:pt>
                <c:pt idx="1">
                  <c:v>Agricultura</c:v>
                </c:pt>
                <c:pt idx="2">
                  <c:v>Industria</c:v>
                </c:pt>
                <c:pt idx="3">
                  <c:v>Construcción</c:v>
                </c:pt>
                <c:pt idx="4">
                  <c:v>Servicios</c:v>
                </c:pt>
              </c:strCache>
            </c:strRef>
          </c:cat>
          <c:val>
            <c:numRef>
              <c:f>Sheet1!$B$3:$F$3</c:f>
              <c:numCache>
                <c:formatCode>0.0%</c:formatCode>
                <c:ptCount val="5"/>
                <c:pt idx="0">
                  <c:v>6.2000000000000034E-2</c:v>
                </c:pt>
                <c:pt idx="1">
                  <c:v>1.4E-2</c:v>
                </c:pt>
                <c:pt idx="2">
                  <c:v>0.12000000000000002</c:v>
                </c:pt>
                <c:pt idx="3">
                  <c:v>3.500000000000001E-2</c:v>
                </c:pt>
                <c:pt idx="4">
                  <c:v>4.5000000000000012E-2</c:v>
                </c:pt>
              </c:numCache>
            </c:numRef>
          </c:val>
        </c:ser>
        <c:ser>
          <c:idx val="1"/>
          <c:order val="2"/>
          <c:tx>
            <c:strRef>
              <c:f>Sheet1!$A$4</c:f>
              <c:strCache>
                <c:ptCount val="1"/>
                <c:pt idx="0">
                  <c:v>2014</c:v>
                </c:pt>
              </c:strCache>
            </c:strRef>
          </c:tx>
          <c:spPr>
            <a:solidFill>
              <a:schemeClr val="accent1"/>
            </a:solidFill>
            <a:ln w="12700">
              <a:noFill/>
              <a:prstDash val="solid"/>
            </a:ln>
          </c:spPr>
          <c:invertIfNegative val="0"/>
          <c:dLbls>
            <c:dLbl>
              <c:idx val="1"/>
              <c:layout>
                <c:manualLayout>
                  <c:x val="1.4209591474245119E-2"/>
                  <c:y val="0"/>
                </c:manualLayout>
              </c:layout>
              <c:showLegendKey val="0"/>
              <c:showVal val="1"/>
              <c:showCatName val="0"/>
              <c:showSerName val="0"/>
              <c:showPercent val="0"/>
              <c:showBubbleSize val="0"/>
            </c:dLbl>
            <c:dLbl>
              <c:idx val="2"/>
              <c:layout>
                <c:manualLayout>
                  <c:x val="2.1314387211367681E-2"/>
                  <c:y val="1.3888888888888954E-2"/>
                </c:manualLayout>
              </c:layout>
              <c:showLegendKey val="0"/>
              <c:showVal val="1"/>
              <c:showCatName val="0"/>
              <c:showSerName val="0"/>
              <c:showPercent val="0"/>
              <c:showBubbleSize val="0"/>
            </c:dLbl>
            <c:dLbl>
              <c:idx val="4"/>
              <c:layout>
                <c:manualLayout>
                  <c:x val="1.8946121965660385E-2"/>
                  <c:y val="0"/>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CAPV</c:v>
                </c:pt>
                <c:pt idx="1">
                  <c:v>Agricultura</c:v>
                </c:pt>
                <c:pt idx="2">
                  <c:v>Industria</c:v>
                </c:pt>
                <c:pt idx="3">
                  <c:v>Construcción</c:v>
                </c:pt>
                <c:pt idx="4">
                  <c:v>Servicios</c:v>
                </c:pt>
              </c:strCache>
            </c:strRef>
          </c:cat>
          <c:val>
            <c:numRef>
              <c:f>Sheet1!$B$4:$F$4</c:f>
              <c:numCache>
                <c:formatCode>0.0%</c:formatCode>
                <c:ptCount val="5"/>
                <c:pt idx="0">
                  <c:v>6.1000000000000013E-2</c:v>
                </c:pt>
                <c:pt idx="1">
                  <c:v>1.9000000000000149E-2</c:v>
                </c:pt>
                <c:pt idx="2">
                  <c:v>0.12100000000000002</c:v>
                </c:pt>
                <c:pt idx="3">
                  <c:v>3.4000000000000002E-2</c:v>
                </c:pt>
                <c:pt idx="4">
                  <c:v>4.5000000000000012E-2</c:v>
                </c:pt>
              </c:numCache>
            </c:numRef>
          </c:val>
        </c:ser>
        <c:dLbls>
          <c:showLegendKey val="0"/>
          <c:showVal val="0"/>
          <c:showCatName val="0"/>
          <c:showSerName val="0"/>
          <c:showPercent val="0"/>
          <c:showBubbleSize val="0"/>
        </c:dLbls>
        <c:gapWidth val="150"/>
        <c:axId val="290697216"/>
        <c:axId val="290698752"/>
      </c:barChart>
      <c:catAx>
        <c:axId val="290697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90698752"/>
        <c:crosses val="autoZero"/>
        <c:auto val="1"/>
        <c:lblAlgn val="ctr"/>
        <c:lblOffset val="100"/>
        <c:tickLblSkip val="1"/>
        <c:tickMarkSkip val="1"/>
        <c:noMultiLvlLbl val="0"/>
      </c:catAx>
      <c:valAx>
        <c:axId val="290698752"/>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290697216"/>
        <c:crosses val="autoZero"/>
        <c:crossBetween val="between"/>
        <c:majorUnit val="0.05"/>
      </c:valAx>
      <c:spPr>
        <a:noFill/>
        <a:ln w="25400">
          <a:noFill/>
        </a:ln>
      </c:spPr>
    </c:plotArea>
    <c:legend>
      <c:legendPos val="b"/>
      <c:layout>
        <c:manualLayout>
          <c:xMode val="edge"/>
          <c:yMode val="edge"/>
          <c:x val="0.24926468806784338"/>
          <c:y val="0.8681318681318686"/>
          <c:w val="0.51841271024553859"/>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49726775956283E-2"/>
          <c:y val="8.8105726872247728E-3"/>
          <c:w val="0.95765027322405782"/>
          <c:h val="0.75770925110133514"/>
        </c:manualLayout>
      </c:layout>
      <c:barChart>
        <c:barDir val="col"/>
        <c:grouping val="clustered"/>
        <c:varyColors val="0"/>
        <c:ser>
          <c:idx val="0"/>
          <c:order val="0"/>
          <c:tx>
            <c:strRef>
              <c:f>Sheet1!$A$2</c:f>
              <c:strCache>
                <c:ptCount val="1"/>
                <c:pt idx="0">
                  <c:v>Cooperativas</c:v>
                </c:pt>
              </c:strCache>
            </c:strRef>
          </c:tx>
          <c:spPr>
            <a:solidFill>
              <a:schemeClr val="accent1">
                <a:lumMod val="20000"/>
                <a:lumOff val="80000"/>
              </a:schemeClr>
            </a:solidFill>
            <a:ln w="12682">
              <a:noFill/>
              <a:prstDash val="solid"/>
            </a:ln>
          </c:spPr>
          <c:invertIfNegative val="0"/>
          <c:dLbls>
            <c:txPr>
              <a:bodyPr/>
              <a:lstStyle/>
              <a:p>
                <a:pPr>
                  <a:defRPr sz="700" b="1"/>
                </a:pPr>
                <a:endParaRPr lang="es-ES"/>
              </a:p>
            </c:txPr>
            <c:showLegendKey val="0"/>
            <c:showVal val="1"/>
            <c:showCatName val="0"/>
            <c:showSerName val="0"/>
            <c:showPercent val="0"/>
            <c:showBubbleSize val="0"/>
            <c:showLeaderLines val="0"/>
          </c:dLbls>
          <c:cat>
            <c:numRef>
              <c:f>Sheet1!$B$1:$K$1</c:f>
              <c:numCache>
                <c:formatCode>General</c:formatCode>
                <c:ptCount val="10"/>
                <c:pt idx="0">
                  <c:v>1996</c:v>
                </c:pt>
                <c:pt idx="1">
                  <c:v>1998</c:v>
                </c:pt>
                <c:pt idx="2">
                  <c:v>2000</c:v>
                </c:pt>
                <c:pt idx="3">
                  <c:v>2002</c:v>
                </c:pt>
                <c:pt idx="4">
                  <c:v>2004</c:v>
                </c:pt>
                <c:pt idx="5">
                  <c:v>2006</c:v>
                </c:pt>
                <c:pt idx="6">
                  <c:v>2008</c:v>
                </c:pt>
                <c:pt idx="7">
                  <c:v>2010</c:v>
                </c:pt>
                <c:pt idx="8">
                  <c:v>2012</c:v>
                </c:pt>
                <c:pt idx="9">
                  <c:v>2014</c:v>
                </c:pt>
              </c:numCache>
            </c:numRef>
          </c:cat>
          <c:val>
            <c:numRef>
              <c:f>Sheet1!$B$2:$K$2</c:f>
              <c:numCache>
                <c:formatCode>0.0%</c:formatCode>
                <c:ptCount val="10"/>
                <c:pt idx="0">
                  <c:v>0.74300000000000443</c:v>
                </c:pt>
                <c:pt idx="1">
                  <c:v>0.68700000000000061</c:v>
                </c:pt>
                <c:pt idx="2">
                  <c:v>0.6600000000000058</c:v>
                </c:pt>
                <c:pt idx="3">
                  <c:v>0.67300000000000582</c:v>
                </c:pt>
                <c:pt idx="4">
                  <c:v>0.6590000000000058</c:v>
                </c:pt>
                <c:pt idx="5">
                  <c:v>0.69000000000000061</c:v>
                </c:pt>
                <c:pt idx="6">
                  <c:v>0.68899999999999995</c:v>
                </c:pt>
                <c:pt idx="7">
                  <c:v>0.70800000000000063</c:v>
                </c:pt>
                <c:pt idx="8">
                  <c:v>0.71500000000000064</c:v>
                </c:pt>
                <c:pt idx="9">
                  <c:v>0.67800000000000571</c:v>
                </c:pt>
              </c:numCache>
            </c:numRef>
          </c:val>
        </c:ser>
        <c:ser>
          <c:idx val="1"/>
          <c:order val="1"/>
          <c:tx>
            <c:strRef>
              <c:f>Sheet1!$A$3</c:f>
              <c:strCache>
                <c:ptCount val="1"/>
                <c:pt idx="0">
                  <c:v>S.A.L.</c:v>
                </c:pt>
              </c:strCache>
            </c:strRef>
          </c:tx>
          <c:spPr>
            <a:solidFill>
              <a:schemeClr val="accent1"/>
            </a:solidFill>
            <a:ln w="12682">
              <a:noFill/>
              <a:prstDash val="solid"/>
            </a:ln>
          </c:spPr>
          <c:invertIfNegative val="0"/>
          <c:dLbls>
            <c:dLbl>
              <c:idx val="3"/>
              <c:layout>
                <c:manualLayout>
                  <c:x val="0"/>
                  <c:y val="1.6877637130801686E-2"/>
                </c:manualLayout>
              </c:layout>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numRef>
              <c:f>Sheet1!$B$1:$K$1</c:f>
              <c:numCache>
                <c:formatCode>General</c:formatCode>
                <c:ptCount val="10"/>
                <c:pt idx="0">
                  <c:v>1996</c:v>
                </c:pt>
                <c:pt idx="1">
                  <c:v>1998</c:v>
                </c:pt>
                <c:pt idx="2">
                  <c:v>2000</c:v>
                </c:pt>
                <c:pt idx="3">
                  <c:v>2002</c:v>
                </c:pt>
                <c:pt idx="4">
                  <c:v>2004</c:v>
                </c:pt>
                <c:pt idx="5">
                  <c:v>2006</c:v>
                </c:pt>
                <c:pt idx="6">
                  <c:v>2008</c:v>
                </c:pt>
                <c:pt idx="7">
                  <c:v>2010</c:v>
                </c:pt>
                <c:pt idx="8">
                  <c:v>2012</c:v>
                </c:pt>
                <c:pt idx="9">
                  <c:v>2014</c:v>
                </c:pt>
              </c:numCache>
            </c:numRef>
          </c:cat>
          <c:val>
            <c:numRef>
              <c:f>Sheet1!$B$3:$K$3</c:f>
              <c:numCache>
                <c:formatCode>0.0%</c:formatCode>
                <c:ptCount val="10"/>
                <c:pt idx="0">
                  <c:v>0.70600000000000063</c:v>
                </c:pt>
                <c:pt idx="1">
                  <c:v>0.62800000000000489</c:v>
                </c:pt>
                <c:pt idx="2">
                  <c:v>0.58799999999999997</c:v>
                </c:pt>
                <c:pt idx="3">
                  <c:v>0.57299999999999995</c:v>
                </c:pt>
                <c:pt idx="4">
                  <c:v>0.46200000000000002</c:v>
                </c:pt>
                <c:pt idx="5">
                  <c:v>0.5</c:v>
                </c:pt>
                <c:pt idx="6">
                  <c:v>0.59599999999999997</c:v>
                </c:pt>
                <c:pt idx="7">
                  <c:v>0.34900000000000031</c:v>
                </c:pt>
                <c:pt idx="8">
                  <c:v>0.59299999999999997</c:v>
                </c:pt>
                <c:pt idx="9">
                  <c:v>0.53900000000000003</c:v>
                </c:pt>
              </c:numCache>
            </c:numRef>
          </c:val>
        </c:ser>
        <c:ser>
          <c:idx val="2"/>
          <c:order val="2"/>
          <c:tx>
            <c:strRef>
              <c:f>Sheet1!$A$4</c:f>
              <c:strCache>
                <c:ptCount val="1"/>
                <c:pt idx="0">
                  <c:v>S.L.L.</c:v>
                </c:pt>
              </c:strCache>
            </c:strRef>
          </c:tx>
          <c:spPr>
            <a:solidFill>
              <a:schemeClr val="tx2"/>
            </a:solidFill>
            <a:ln w="12682">
              <a:noFill/>
              <a:prstDash val="solid"/>
            </a:ln>
          </c:spPr>
          <c:invertIfNegative val="0"/>
          <c:dLbls>
            <c:dLbl>
              <c:idx val="1"/>
              <c:layout>
                <c:manualLayout>
                  <c:x val="6.0882800608828124E-3"/>
                  <c:y val="1.6877637130801686E-2"/>
                </c:manualLayout>
              </c:layout>
              <c:showLegendKey val="0"/>
              <c:showVal val="1"/>
              <c:showCatName val="0"/>
              <c:showSerName val="0"/>
              <c:showPercent val="0"/>
              <c:showBubbleSize val="0"/>
            </c:dLbl>
            <c:dLbl>
              <c:idx val="2"/>
              <c:layout>
                <c:manualLayout>
                  <c:x val="8.1177067478437528E-3"/>
                  <c:y val="1.6877637130801662E-2"/>
                </c:manualLayout>
              </c:layout>
              <c:showLegendKey val="0"/>
              <c:showVal val="1"/>
              <c:showCatName val="0"/>
              <c:showSerName val="0"/>
              <c:showPercent val="0"/>
              <c:showBubbleSize val="0"/>
            </c:dLbl>
            <c:dLbl>
              <c:idx val="6"/>
              <c:layout>
                <c:manualLayout>
                  <c:x val="0"/>
                  <c:y val="3.37552742616034E-2"/>
                </c:manualLayout>
              </c:layout>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numRef>
              <c:f>Sheet1!$B$1:$K$1</c:f>
              <c:numCache>
                <c:formatCode>General</c:formatCode>
                <c:ptCount val="10"/>
                <c:pt idx="0">
                  <c:v>1996</c:v>
                </c:pt>
                <c:pt idx="1">
                  <c:v>1998</c:v>
                </c:pt>
                <c:pt idx="2">
                  <c:v>2000</c:v>
                </c:pt>
                <c:pt idx="3">
                  <c:v>2002</c:v>
                </c:pt>
                <c:pt idx="4">
                  <c:v>2004</c:v>
                </c:pt>
                <c:pt idx="5">
                  <c:v>2006</c:v>
                </c:pt>
                <c:pt idx="6">
                  <c:v>2008</c:v>
                </c:pt>
                <c:pt idx="7">
                  <c:v>2010</c:v>
                </c:pt>
                <c:pt idx="8">
                  <c:v>2012</c:v>
                </c:pt>
                <c:pt idx="9">
                  <c:v>2014</c:v>
                </c:pt>
              </c:numCache>
            </c:numRef>
          </c:cat>
          <c:val>
            <c:numRef>
              <c:f>Sheet1!$B$4:$K$4</c:f>
              <c:numCache>
                <c:formatCode>0.0%</c:formatCode>
                <c:ptCount val="10"/>
                <c:pt idx="1">
                  <c:v>0.62200000000000444</c:v>
                </c:pt>
                <c:pt idx="2">
                  <c:v>0.55600000000000005</c:v>
                </c:pt>
                <c:pt idx="3">
                  <c:v>0.62100000000000444</c:v>
                </c:pt>
                <c:pt idx="4">
                  <c:v>0.61700000000000443</c:v>
                </c:pt>
                <c:pt idx="5">
                  <c:v>0.59</c:v>
                </c:pt>
                <c:pt idx="6">
                  <c:v>0.56599999999999995</c:v>
                </c:pt>
                <c:pt idx="7">
                  <c:v>0.65400000000000569</c:v>
                </c:pt>
                <c:pt idx="8">
                  <c:v>0.68</c:v>
                </c:pt>
                <c:pt idx="9">
                  <c:v>0.6460000000000049</c:v>
                </c:pt>
              </c:numCache>
            </c:numRef>
          </c:val>
        </c:ser>
        <c:dLbls>
          <c:showLegendKey val="0"/>
          <c:showVal val="0"/>
          <c:showCatName val="0"/>
          <c:showSerName val="0"/>
          <c:showPercent val="0"/>
          <c:showBubbleSize val="0"/>
        </c:dLbls>
        <c:gapWidth val="60"/>
        <c:axId val="290754560"/>
        <c:axId val="290756096"/>
      </c:barChart>
      <c:catAx>
        <c:axId val="29075456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a:pPr>
            <a:endParaRPr lang="es-ES"/>
          </a:p>
        </c:txPr>
        <c:crossAx val="290756096"/>
        <c:crosses val="autoZero"/>
        <c:auto val="1"/>
        <c:lblAlgn val="ctr"/>
        <c:lblOffset val="100"/>
        <c:tickLblSkip val="1"/>
        <c:tickMarkSkip val="1"/>
        <c:noMultiLvlLbl val="0"/>
      </c:catAx>
      <c:valAx>
        <c:axId val="290756096"/>
        <c:scaling>
          <c:orientation val="minMax"/>
        </c:scaling>
        <c:delete val="0"/>
        <c:axPos val="l"/>
        <c:majorGridlines>
          <c:spPr>
            <a:ln w="12682">
              <a:solidFill>
                <a:srgbClr val="C0C0C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a:pPr>
            <a:endParaRPr lang="es-ES"/>
          </a:p>
        </c:txPr>
        <c:crossAx val="290754560"/>
        <c:crosses val="autoZero"/>
        <c:crossBetween val="between"/>
        <c:majorUnit val="0.2"/>
      </c:valAx>
      <c:spPr>
        <a:noFill/>
        <a:ln w="25400">
          <a:noFill/>
        </a:ln>
      </c:spPr>
    </c:plotArea>
    <c:legend>
      <c:legendPos val="b"/>
      <c:layout>
        <c:manualLayout>
          <c:xMode val="edge"/>
          <c:yMode val="edge"/>
          <c:x val="0.30601092896175625"/>
          <c:y val="0.90748898678414058"/>
          <c:w val="0.42273788835756282"/>
          <c:h val="7.9425894547992024E-2"/>
        </c:manualLayout>
      </c:layout>
      <c:overlay val="0"/>
      <c:spPr>
        <a:noFill/>
        <a:ln w="3170">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3377"/>
        </c:manualLayout>
      </c:layout>
      <c:barChart>
        <c:barDir val="col"/>
        <c:grouping val="clustered"/>
        <c:varyColors val="0"/>
        <c:ser>
          <c:idx val="0"/>
          <c:order val="0"/>
          <c:tx>
            <c:strRef>
              <c:f>Sheet1!$A$2</c:f>
              <c:strCache>
                <c:ptCount val="1"/>
                <c:pt idx="0">
                  <c:v>2002</c:v>
                </c:pt>
              </c:strCache>
            </c:strRef>
          </c:tx>
          <c:invertIfNegative val="0"/>
          <c:dLbls>
            <c:dLbl>
              <c:idx val="0"/>
              <c:layout>
                <c:manualLayout>
                  <c:x val="-2.501563477173234E-2"/>
                  <c:y val="4.2735042735042764E-2"/>
                </c:manualLayout>
              </c:layout>
              <c:showLegendKey val="0"/>
              <c:showVal val="1"/>
              <c:showCatName val="0"/>
              <c:showSerName val="0"/>
              <c:showPercent val="0"/>
              <c:showBubbleSize val="0"/>
            </c:dLbl>
            <c:dLbl>
              <c:idx val="1"/>
              <c:layout>
                <c:manualLayout>
                  <c:x val="-2.2514071294559089E-2"/>
                  <c:y val="4.2735042735042764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Sheet1!$B$2:$C$2</c:f>
              <c:numCache>
                <c:formatCode>General</c:formatCode>
                <c:ptCount val="2"/>
                <c:pt idx="0">
                  <c:v>334217</c:v>
                </c:pt>
                <c:pt idx="1">
                  <c:v>768799</c:v>
                </c:pt>
              </c:numCache>
            </c:numRef>
          </c:val>
        </c:ser>
        <c:ser>
          <c:idx val="1"/>
          <c:order val="1"/>
          <c:tx>
            <c:strRef>
              <c:f>Sheet1!$A$3</c:f>
              <c:strCache>
                <c:ptCount val="1"/>
                <c:pt idx="0">
                  <c:v>2004</c:v>
                </c:pt>
              </c:strCache>
            </c:strRef>
          </c:tx>
          <c:invertIfNegative val="0"/>
          <c:dLbls>
            <c:dLbl>
              <c:idx val="0"/>
              <c:layout>
                <c:manualLayout>
                  <c:x val="-2.5015634771732346E-3"/>
                  <c:y val="8.5470085470085513E-3"/>
                </c:manualLayout>
              </c:layout>
              <c:showLegendKey val="0"/>
              <c:showVal val="1"/>
              <c:showCatName val="0"/>
              <c:showSerName val="0"/>
              <c:showPercent val="0"/>
              <c:showBubbleSize val="0"/>
            </c:dLbl>
            <c:dLbl>
              <c:idx val="1"/>
              <c:layout>
                <c:manualLayout>
                  <c:x val="-1.2507817385866201E-2"/>
                  <c:y val="2.5641025641026164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Sheet1!$B$3:$C$3</c:f>
              <c:numCache>
                <c:formatCode>General</c:formatCode>
                <c:ptCount val="2"/>
                <c:pt idx="0">
                  <c:v>368142</c:v>
                </c:pt>
                <c:pt idx="1">
                  <c:v>821856</c:v>
                </c:pt>
              </c:numCache>
            </c:numRef>
          </c:val>
        </c:ser>
        <c:ser>
          <c:idx val="2"/>
          <c:order val="2"/>
          <c:tx>
            <c:strRef>
              <c:f>Sheet1!$A$4</c:f>
              <c:strCache>
                <c:ptCount val="1"/>
                <c:pt idx="0">
                  <c:v>2006</c:v>
                </c:pt>
              </c:strCache>
            </c:strRef>
          </c:tx>
          <c:invertIfNegative val="0"/>
          <c:dLbls>
            <c:dLbl>
              <c:idx val="0"/>
              <c:layout>
                <c:manualLayout>
                  <c:x val="2.5015634771732346E-3"/>
                  <c:y val="0"/>
                </c:manualLayout>
              </c:layout>
              <c:showLegendKey val="0"/>
              <c:showVal val="1"/>
              <c:showCatName val="0"/>
              <c:showSerName val="0"/>
              <c:showPercent val="0"/>
              <c:showBubbleSize val="0"/>
            </c:dLbl>
            <c:dLbl>
              <c:idx val="1"/>
              <c:layout>
                <c:manualLayout>
                  <c:x val="-1.0006253908692838E-2"/>
                  <c:y val="1.7094017094017123E-2"/>
                </c:manualLayout>
              </c:layout>
              <c:showLegendKey val="0"/>
              <c:showVal val="1"/>
              <c:showCatName val="0"/>
              <c:showSerName val="0"/>
              <c:showPercent val="0"/>
              <c:showBubbleSize val="0"/>
            </c:dLbl>
            <c:numFmt formatCode="#,##0" sourceLinked="0"/>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Sheet1!$B$4:$C$4</c:f>
              <c:numCache>
                <c:formatCode>General</c:formatCode>
                <c:ptCount val="2"/>
                <c:pt idx="0">
                  <c:v>527196</c:v>
                </c:pt>
                <c:pt idx="1">
                  <c:v>984091</c:v>
                </c:pt>
              </c:numCache>
            </c:numRef>
          </c:val>
        </c:ser>
        <c:ser>
          <c:idx val="3"/>
          <c:order val="3"/>
          <c:tx>
            <c:strRef>
              <c:f>Sheet1!$A$5</c:f>
              <c:strCache>
                <c:ptCount val="1"/>
                <c:pt idx="0">
                  <c:v>2008</c:v>
                </c:pt>
              </c:strCache>
            </c:strRef>
          </c:tx>
          <c:invertIfNegative val="0"/>
          <c:dLbls>
            <c:dLbl>
              <c:idx val="0"/>
              <c:tx>
                <c:rich>
                  <a:bodyPr/>
                  <a:lstStyle/>
                  <a:p>
                    <a:r>
                      <a:rPr lang="en-US"/>
                      <a:t>248.232*</a:t>
                    </a:r>
                  </a:p>
                </c:rich>
              </c:tx>
              <c:showLegendKey val="0"/>
              <c:showVal val="1"/>
              <c:showCatName val="0"/>
              <c:showSerName val="0"/>
              <c:showPercent val="0"/>
              <c:showBubbleSize val="0"/>
            </c:dLbl>
            <c:dLbl>
              <c:idx val="1"/>
              <c:layout>
                <c:manualLayout>
                  <c:x val="-2.2753128555177519E-3"/>
                  <c:y val="-2.1978021978022001E-2"/>
                </c:manualLayout>
              </c:layout>
              <c:tx>
                <c:rich>
                  <a:bodyPr/>
                  <a:lstStyle/>
                  <a:p>
                    <a:r>
                      <a:rPr lang="en-US"/>
                      <a:t>1.040.589*</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Sheet1!$B$5:$C$5</c:f>
              <c:numCache>
                <c:formatCode>General</c:formatCode>
                <c:ptCount val="2"/>
                <c:pt idx="0">
                  <c:v>248232</c:v>
                </c:pt>
                <c:pt idx="1">
                  <c:v>1040589</c:v>
                </c:pt>
              </c:numCache>
            </c:numRef>
          </c:val>
        </c:ser>
        <c:ser>
          <c:idx val="4"/>
          <c:order val="4"/>
          <c:tx>
            <c:strRef>
              <c:f>Sheet1!$A$6</c:f>
              <c:strCache>
                <c:ptCount val="1"/>
                <c:pt idx="0">
                  <c:v>2010</c:v>
                </c:pt>
              </c:strCache>
            </c:strRef>
          </c:tx>
          <c:invertIfNegative val="0"/>
          <c:dLbls>
            <c:dLbl>
              <c:idx val="0"/>
              <c:tx>
                <c:rich>
                  <a:bodyPr/>
                  <a:lstStyle/>
                  <a:p>
                    <a:r>
                      <a:rPr lang="en-US"/>
                      <a:t>99.716*</a:t>
                    </a:r>
                  </a:p>
                </c:rich>
              </c:tx>
              <c:showLegendKey val="0"/>
              <c:showVal val="1"/>
              <c:showCatName val="0"/>
              <c:showSerName val="0"/>
              <c:showPercent val="0"/>
              <c:showBubbleSize val="0"/>
            </c:dLbl>
            <c:dLbl>
              <c:idx val="1"/>
              <c:tx>
                <c:rich>
                  <a:bodyPr/>
                  <a:lstStyle/>
                  <a:p>
                    <a:r>
                      <a:rPr lang="en-US"/>
                      <a:t>954.690*</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Sheet1!$B$6:$C$6</c:f>
              <c:numCache>
                <c:formatCode>#,##0</c:formatCode>
                <c:ptCount val="2"/>
                <c:pt idx="0">
                  <c:v>99716</c:v>
                </c:pt>
                <c:pt idx="1">
                  <c:v>954690</c:v>
                </c:pt>
              </c:numCache>
            </c:numRef>
          </c:val>
        </c:ser>
        <c:ser>
          <c:idx val="5"/>
          <c:order val="5"/>
          <c:tx>
            <c:strRef>
              <c:f>Sheet1!$A$7</c:f>
              <c:strCache>
                <c:ptCount val="1"/>
                <c:pt idx="0">
                  <c:v>2012</c:v>
                </c:pt>
              </c:strCache>
            </c:strRef>
          </c:tx>
          <c:invertIfNegative val="0"/>
          <c:dLbls>
            <c:dLbl>
              <c:idx val="0"/>
              <c:layout>
                <c:manualLayout>
                  <c:x val="1.000625390869293E-2"/>
                  <c:y val="0"/>
                </c:manualLayout>
              </c:layout>
              <c:tx>
                <c:rich>
                  <a:bodyPr/>
                  <a:lstStyle/>
                  <a:p>
                    <a:r>
                      <a:rPr lang="en-US"/>
                      <a:t>79.320*</a:t>
                    </a:r>
                  </a:p>
                </c:rich>
              </c:tx>
              <c:showLegendKey val="0"/>
              <c:showVal val="1"/>
              <c:showCatName val="0"/>
              <c:showSerName val="0"/>
              <c:showPercent val="0"/>
              <c:showBubbleSize val="0"/>
            </c:dLbl>
            <c:dLbl>
              <c:idx val="1"/>
              <c:layout>
                <c:manualLayout>
                  <c:x val="6.0344709468658966E-3"/>
                  <c:y val="2.5641232768663674E-2"/>
                </c:manualLayout>
              </c:layout>
              <c:tx>
                <c:rich>
                  <a:bodyPr/>
                  <a:lstStyle/>
                  <a:p>
                    <a:r>
                      <a:rPr lang="en-US"/>
                      <a:t>932.293*</a:t>
                    </a:r>
                  </a:p>
                </c:rich>
              </c:tx>
              <c:showLegendKey val="0"/>
              <c:showVal val="1"/>
              <c:showCatName val="0"/>
              <c:showSerName val="0"/>
              <c:showPercent val="0"/>
              <c:showBubbleSize val="0"/>
            </c:dLbl>
            <c:txPr>
              <a:bodyPr/>
              <a:lstStyle/>
              <a:p>
                <a:pPr>
                  <a:defRPr sz="700" b="1"/>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Sheet1!$B$7:$C$7</c:f>
              <c:numCache>
                <c:formatCode>#,##0</c:formatCode>
                <c:ptCount val="2"/>
                <c:pt idx="0">
                  <c:v>79320</c:v>
                </c:pt>
                <c:pt idx="1">
                  <c:v>932293</c:v>
                </c:pt>
              </c:numCache>
            </c:numRef>
          </c:val>
        </c:ser>
        <c:ser>
          <c:idx val="6"/>
          <c:order val="6"/>
          <c:tx>
            <c:strRef>
              <c:f>Sheet1!$A$8</c:f>
              <c:strCache>
                <c:ptCount val="1"/>
                <c:pt idx="0">
                  <c:v>2014</c:v>
                </c:pt>
              </c:strCache>
            </c:strRef>
          </c:tx>
          <c:invertIfNegative val="0"/>
          <c:dLbls>
            <c:dLbl>
              <c:idx val="0"/>
              <c:layout>
                <c:manualLayout>
                  <c:x val="1.5927189988623441E-2"/>
                  <c:y val="0"/>
                </c:manualLayout>
              </c:layout>
              <c:tx>
                <c:rich>
                  <a:bodyPr/>
                  <a:lstStyle/>
                  <a:p>
                    <a:r>
                      <a:rPr lang="en-US" b="1"/>
                      <a:t>92.150</a:t>
                    </a:r>
                  </a:p>
                </c:rich>
              </c:tx>
              <c:showLegendKey val="0"/>
              <c:showVal val="1"/>
              <c:showCatName val="0"/>
              <c:showSerName val="0"/>
              <c:showPercent val="0"/>
              <c:showBubbleSize val="0"/>
            </c:dLbl>
            <c:dLbl>
              <c:idx val="1"/>
              <c:layout>
                <c:manualLayout>
                  <c:x val="2.402336517920484E-2"/>
                  <c:y val="1.4652297867356138E-2"/>
                </c:manualLayout>
              </c:layout>
              <c:tx>
                <c:rich>
                  <a:bodyPr/>
                  <a:lstStyle/>
                  <a:p>
                    <a:r>
                      <a:rPr lang="en-US" b="1"/>
                      <a:t>888.212</a:t>
                    </a:r>
                  </a:p>
                </c:rich>
              </c:tx>
              <c:showLegendKey val="0"/>
              <c:showVal val="1"/>
              <c:showCatName val="0"/>
              <c:showSerName val="0"/>
              <c:showPercent val="0"/>
              <c:showBubbleSize val="0"/>
            </c:dLbl>
            <c:txPr>
              <a:bodyPr/>
              <a:lstStyle/>
              <a:p>
                <a:pPr>
                  <a:defRPr sz="700"/>
                </a:pPr>
                <a:endParaRPr lang="es-ES"/>
              </a:p>
            </c:txPr>
            <c:showLegendKey val="0"/>
            <c:showVal val="1"/>
            <c:showCatName val="0"/>
            <c:showSerName val="0"/>
            <c:showPercent val="0"/>
            <c:showBubbleSize val="0"/>
            <c:showLeaderLines val="0"/>
          </c:dLbls>
          <c:cat>
            <c:strRef>
              <c:f>Sheet1!$B$1:$C$1</c:f>
              <c:strCache>
                <c:ptCount val="2"/>
                <c:pt idx="0">
                  <c:v>Resultados</c:v>
                </c:pt>
                <c:pt idx="1">
                  <c:v>Cash Flow</c:v>
                </c:pt>
              </c:strCache>
            </c:strRef>
          </c:cat>
          <c:val>
            <c:numRef>
              <c:f>Sheet1!$B$8:$C$8</c:f>
              <c:numCache>
                <c:formatCode>General</c:formatCode>
                <c:ptCount val="2"/>
                <c:pt idx="0">
                  <c:v>92150</c:v>
                </c:pt>
                <c:pt idx="1">
                  <c:v>888212</c:v>
                </c:pt>
              </c:numCache>
            </c:numRef>
          </c:val>
        </c:ser>
        <c:dLbls>
          <c:showLegendKey val="0"/>
          <c:showVal val="0"/>
          <c:showCatName val="0"/>
          <c:showSerName val="0"/>
          <c:showPercent val="0"/>
          <c:showBubbleSize val="0"/>
        </c:dLbls>
        <c:gapWidth val="150"/>
        <c:axId val="292545280"/>
        <c:axId val="292546816"/>
      </c:barChart>
      <c:catAx>
        <c:axId val="292545280"/>
        <c:scaling>
          <c:orientation val="minMax"/>
        </c:scaling>
        <c:delete val="0"/>
        <c:axPos val="b"/>
        <c:numFmt formatCode="General" sourceLinked="1"/>
        <c:majorTickMark val="out"/>
        <c:minorTickMark val="none"/>
        <c:tickLblPos val="low"/>
        <c:txPr>
          <a:bodyPr rot="0" vert="horz"/>
          <a:lstStyle/>
          <a:p>
            <a:pPr>
              <a:defRPr/>
            </a:pPr>
            <a:endParaRPr lang="es-ES"/>
          </a:p>
        </c:txPr>
        <c:crossAx val="292546816"/>
        <c:crosses val="autoZero"/>
        <c:auto val="1"/>
        <c:lblAlgn val="ctr"/>
        <c:lblOffset val="100"/>
        <c:tickLblSkip val="1"/>
        <c:tickMarkSkip val="1"/>
        <c:noMultiLvlLbl val="0"/>
      </c:catAx>
      <c:valAx>
        <c:axId val="292546816"/>
        <c:scaling>
          <c:orientation val="minMax"/>
          <c:max val="1500000"/>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292545280"/>
        <c:crosses val="autoZero"/>
        <c:crossBetween val="between"/>
        <c:majorUnit val="500000"/>
      </c:valAx>
    </c:plotArea>
    <c:legend>
      <c:legendPos val="b"/>
      <c:layout>
        <c:manualLayout>
          <c:xMode val="edge"/>
          <c:yMode val="edge"/>
          <c:x val="0.21960221201243238"/>
          <c:y val="0.86935258092737611"/>
          <c:w val="0.57353470747897162"/>
          <c:h val="0.10875890513685789"/>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8201438848921"/>
          <c:y val="6.5934065934065936E-2"/>
          <c:w val="0.81654676258992809"/>
          <c:h val="0.60439560439561779"/>
        </c:manualLayout>
      </c:layout>
      <c:barChart>
        <c:barDir val="col"/>
        <c:grouping val="clustered"/>
        <c:varyColors val="0"/>
        <c:ser>
          <c:idx val="0"/>
          <c:order val="0"/>
          <c:tx>
            <c:strRef>
              <c:f>Sheet1!$A$2</c:f>
              <c:strCache>
                <c:ptCount val="1"/>
                <c:pt idx="0">
                  <c:v>2010-2012</c:v>
                </c:pt>
              </c:strCache>
            </c:strRef>
          </c:tx>
          <c:spPr>
            <a:solidFill>
              <a:schemeClr val="tx2"/>
            </a:solidFill>
            <a:ln w="11449">
              <a:noFill/>
              <a:prstDash val="solid"/>
            </a:ln>
          </c:spPr>
          <c:invertIfNegative val="0"/>
          <c:dLbls>
            <c:dLbl>
              <c:idx val="0"/>
              <c:layout>
                <c:manualLayout>
                  <c:x val="1.1861931973098519E-2"/>
                  <c:y val="2.3850804707103854E-2"/>
                </c:manualLayout>
              </c:layout>
              <c:showLegendKey val="0"/>
              <c:showVal val="1"/>
              <c:showCatName val="0"/>
              <c:showSerName val="0"/>
              <c:showPercent val="0"/>
              <c:showBubbleSize val="0"/>
            </c:dLbl>
            <c:dLbl>
              <c:idx val="1"/>
              <c:layout>
                <c:manualLayout>
                  <c:x val="1.1197844455489575E-2"/>
                  <c:y val="-2.7750019619640692E-3"/>
                </c:manualLayout>
              </c:layout>
              <c:showLegendKey val="0"/>
              <c:showVal val="1"/>
              <c:showCatName val="0"/>
              <c:showSerName val="0"/>
              <c:showPercent val="0"/>
              <c:showBubbleSize val="0"/>
            </c:dLbl>
            <c:spPr>
              <a:noFill/>
              <a:ln w="22899">
                <a:noFill/>
              </a:ln>
            </c:spPr>
            <c:txPr>
              <a:bodyPr/>
              <a:lstStyle/>
              <a:p>
                <a:pPr>
                  <a:defRPr b="1"/>
                </a:pPr>
                <a:endParaRPr lang="es-ES"/>
              </a:p>
            </c:txPr>
            <c:showLegendKey val="0"/>
            <c:showVal val="1"/>
            <c:showCatName val="0"/>
            <c:showSerName val="0"/>
            <c:showPercent val="0"/>
            <c:showBubbleSize val="0"/>
            <c:showLeaderLines val="0"/>
          </c:dLbls>
          <c:cat>
            <c:strRef>
              <c:f>Sheet1!$B$1:$C$1</c:f>
              <c:strCache>
                <c:ptCount val="2"/>
                <c:pt idx="0">
                  <c:v>Industria</c:v>
                </c:pt>
                <c:pt idx="1">
                  <c:v>Servicios</c:v>
                </c:pt>
              </c:strCache>
            </c:strRef>
          </c:cat>
          <c:val>
            <c:numRef>
              <c:f>Sheet1!$B$2:$C$2</c:f>
              <c:numCache>
                <c:formatCode>0.0%</c:formatCode>
                <c:ptCount val="2"/>
                <c:pt idx="0">
                  <c:v>-3.0000000000000002E-2</c:v>
                </c:pt>
                <c:pt idx="1">
                  <c:v>-0.10299999999999998</c:v>
                </c:pt>
              </c:numCache>
            </c:numRef>
          </c:val>
        </c:ser>
        <c:ser>
          <c:idx val="1"/>
          <c:order val="1"/>
          <c:tx>
            <c:strRef>
              <c:f>Sheet1!$A$3</c:f>
              <c:strCache>
                <c:ptCount val="1"/>
                <c:pt idx="0">
                  <c:v>2012-2014</c:v>
                </c:pt>
              </c:strCache>
            </c:strRef>
          </c:tx>
          <c:spPr>
            <a:solidFill>
              <a:schemeClr val="accent1"/>
            </a:solidFill>
            <a:ln w="11449">
              <a:noFill/>
              <a:prstDash val="solid"/>
            </a:ln>
          </c:spPr>
          <c:invertIfNegative val="0"/>
          <c:dLbls>
            <c:txPr>
              <a:bodyPr/>
              <a:lstStyle/>
              <a:p>
                <a:pPr>
                  <a:defRPr b="1"/>
                </a:pPr>
                <a:endParaRPr lang="es-ES"/>
              </a:p>
            </c:txPr>
            <c:showLegendKey val="0"/>
            <c:showVal val="1"/>
            <c:showCatName val="0"/>
            <c:showSerName val="0"/>
            <c:showPercent val="0"/>
            <c:showBubbleSize val="0"/>
            <c:showLeaderLines val="0"/>
          </c:dLbls>
          <c:cat>
            <c:strRef>
              <c:f>Sheet1!$B$1:$C$1</c:f>
              <c:strCache>
                <c:ptCount val="2"/>
                <c:pt idx="0">
                  <c:v>Industria</c:v>
                </c:pt>
                <c:pt idx="1">
                  <c:v>Servicios</c:v>
                </c:pt>
              </c:strCache>
            </c:strRef>
          </c:cat>
          <c:val>
            <c:numRef>
              <c:f>Sheet1!$B$3:$C$3</c:f>
              <c:numCache>
                <c:formatCode>0.0%</c:formatCode>
                <c:ptCount val="2"/>
                <c:pt idx="0">
                  <c:v>-7.5000000000000011E-2</c:v>
                </c:pt>
                <c:pt idx="1">
                  <c:v>3.6999999999999998E-2</c:v>
                </c:pt>
              </c:numCache>
            </c:numRef>
          </c:val>
        </c:ser>
        <c:dLbls>
          <c:showLegendKey val="0"/>
          <c:showVal val="0"/>
          <c:showCatName val="0"/>
          <c:showSerName val="0"/>
          <c:showPercent val="0"/>
          <c:showBubbleSize val="0"/>
        </c:dLbls>
        <c:gapWidth val="150"/>
        <c:axId val="283017216"/>
        <c:axId val="283018752"/>
      </c:barChart>
      <c:catAx>
        <c:axId val="283017216"/>
        <c:scaling>
          <c:orientation val="minMax"/>
        </c:scaling>
        <c:delete val="0"/>
        <c:axPos val="b"/>
        <c:numFmt formatCode="General" sourceLinked="1"/>
        <c:majorTickMark val="out"/>
        <c:minorTickMark val="none"/>
        <c:tickLblPos val="low"/>
        <c:spPr>
          <a:ln w="2862">
            <a:solidFill>
              <a:srgbClr val="000000"/>
            </a:solidFill>
            <a:prstDash val="solid"/>
          </a:ln>
        </c:spPr>
        <c:txPr>
          <a:bodyPr rot="0" vert="horz"/>
          <a:lstStyle/>
          <a:p>
            <a:pPr>
              <a:defRPr/>
            </a:pPr>
            <a:endParaRPr lang="es-ES"/>
          </a:p>
        </c:txPr>
        <c:crossAx val="283018752"/>
        <c:crosses val="autoZero"/>
        <c:auto val="1"/>
        <c:lblAlgn val="ctr"/>
        <c:lblOffset val="100"/>
        <c:tickLblSkip val="1"/>
        <c:tickMarkSkip val="1"/>
        <c:noMultiLvlLbl val="0"/>
      </c:catAx>
      <c:valAx>
        <c:axId val="283018752"/>
        <c:scaling>
          <c:orientation val="minMax"/>
        </c:scaling>
        <c:delete val="0"/>
        <c:axPos val="l"/>
        <c:majorGridlines>
          <c:spPr>
            <a:ln w="11449">
              <a:solidFill>
                <a:srgbClr val="C0C0C0"/>
              </a:solidFill>
              <a:prstDash val="solid"/>
            </a:ln>
          </c:spPr>
        </c:majorGridlines>
        <c:numFmt formatCode="0%" sourceLinked="0"/>
        <c:majorTickMark val="out"/>
        <c:minorTickMark val="none"/>
        <c:tickLblPos val="nextTo"/>
        <c:spPr>
          <a:ln w="2862">
            <a:solidFill>
              <a:srgbClr val="000000"/>
            </a:solidFill>
            <a:prstDash val="solid"/>
          </a:ln>
        </c:spPr>
        <c:txPr>
          <a:bodyPr rot="0" vert="horz"/>
          <a:lstStyle/>
          <a:p>
            <a:pPr>
              <a:defRPr/>
            </a:pPr>
            <a:endParaRPr lang="es-ES"/>
          </a:p>
        </c:txPr>
        <c:crossAx val="283017216"/>
        <c:crosses val="autoZero"/>
        <c:crossBetween val="between"/>
      </c:valAx>
      <c:spPr>
        <a:noFill/>
        <a:ln w="25400">
          <a:noFill/>
        </a:ln>
      </c:spPr>
    </c:plotArea>
    <c:legend>
      <c:legendPos val="b"/>
      <c:layout>
        <c:manualLayout>
          <c:xMode val="edge"/>
          <c:yMode val="edge"/>
          <c:x val="0.24820158509598358"/>
          <c:y val="0.79716113610798667"/>
          <c:w val="0.61444598836911413"/>
          <c:h val="8.4806959171875307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ESTABLECIMIENTOS</a:t>
            </a:r>
          </a:p>
        </c:rich>
      </c:tx>
      <c:layout>
        <c:manualLayout>
          <c:xMode val="edge"/>
          <c:yMode val="edge"/>
          <c:x val="0.3057553956834585"/>
          <c:y val="2.197802197802199E-2"/>
        </c:manualLayout>
      </c:layout>
      <c:overlay val="0"/>
    </c:title>
    <c:autoTitleDeleted val="0"/>
    <c:plotArea>
      <c:layout>
        <c:manualLayout>
          <c:layoutTarget val="inner"/>
          <c:xMode val="edge"/>
          <c:yMode val="edge"/>
          <c:x val="0.33696607646380733"/>
          <c:y val="0.2730502494809538"/>
          <c:w val="0.36014024686277218"/>
          <c:h val="0.54209186513025753"/>
        </c:manualLayout>
      </c:layout>
      <c:pieChart>
        <c:varyColors val="1"/>
        <c:ser>
          <c:idx val="0"/>
          <c:order val="0"/>
          <c:tx>
            <c:strRef>
              <c:f>Sheet1!$A$2</c:f>
              <c:strCache>
                <c:ptCount val="1"/>
              </c:strCache>
            </c:strRef>
          </c:tx>
          <c:dLbls>
            <c:dLbl>
              <c:idx val="0"/>
              <c:layout>
                <c:manualLayout>
                  <c:x val="2.0349941965706792E-2"/>
                  <c:y val="-5.8683437465215434E-2"/>
                </c:manualLayout>
              </c:layout>
              <c:dLblPos val="bestFit"/>
              <c:showLegendKey val="0"/>
              <c:showVal val="0"/>
              <c:showCatName val="1"/>
              <c:showSerName val="0"/>
              <c:showPercent val="1"/>
              <c:showBubbleSize val="0"/>
            </c:dLbl>
            <c:dLbl>
              <c:idx val="1"/>
              <c:layout>
                <c:manualLayout>
                  <c:x val="-3.5514093812997756E-2"/>
                  <c:y val="-1.2000735617943523E-2"/>
                </c:manualLayout>
              </c:layout>
              <c:dLblPos val="bestFit"/>
              <c:showLegendKey val="0"/>
              <c:showVal val="0"/>
              <c:showCatName val="1"/>
              <c:showSerName val="0"/>
              <c:showPercent val="1"/>
              <c:showBubbleSize val="0"/>
            </c:dLbl>
            <c:dLbl>
              <c:idx val="2"/>
              <c:layout>
                <c:manualLayout>
                  <c:x val="-8.907476295965569E-2"/>
                  <c:y val="-1.1471768241631432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S.L.L.es</c:v>
                </c:pt>
                <c:pt idx="1">
                  <c:v>Coop.</c:v>
                </c:pt>
                <c:pt idx="2">
                  <c:v>S.A.L.es</c:v>
                </c:pt>
              </c:strCache>
            </c:strRef>
          </c:cat>
          <c:val>
            <c:numRef>
              <c:f>Sheet1!$B$2:$D$2</c:f>
              <c:numCache>
                <c:formatCode>0.0%</c:formatCode>
                <c:ptCount val="3"/>
                <c:pt idx="0">
                  <c:v>0.21200000000000024</c:v>
                </c:pt>
                <c:pt idx="1">
                  <c:v>0.71400000000000063</c:v>
                </c:pt>
                <c:pt idx="2">
                  <c:v>7.3999999999999996E-2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EMPLEO</a:t>
            </a:r>
          </a:p>
        </c:rich>
      </c:tx>
      <c:layout>
        <c:manualLayout>
          <c:xMode val="edge"/>
          <c:yMode val="edge"/>
          <c:x val="0.41366906474820142"/>
          <c:y val="2.197802197802199E-2"/>
        </c:manualLayout>
      </c:layout>
      <c:overlay val="0"/>
    </c:title>
    <c:autoTitleDeleted val="0"/>
    <c:plotArea>
      <c:layout>
        <c:manualLayout>
          <c:layoutTarget val="inner"/>
          <c:xMode val="edge"/>
          <c:yMode val="edge"/>
          <c:x val="0.28385899098804668"/>
          <c:y val="0.27307086614173232"/>
          <c:w val="0.38057228455751724"/>
          <c:h val="0.57278759509899968"/>
        </c:manualLayout>
      </c:layout>
      <c:pieChart>
        <c:varyColors val="1"/>
        <c:ser>
          <c:idx val="0"/>
          <c:order val="0"/>
          <c:tx>
            <c:strRef>
              <c:f>Sheet1!$A$2</c:f>
              <c:strCache>
                <c:ptCount val="1"/>
              </c:strCache>
            </c:strRef>
          </c:tx>
          <c:dLbls>
            <c:dLbl>
              <c:idx val="0"/>
              <c:layout>
                <c:manualLayout>
                  <c:x val="7.0735631407984834E-2"/>
                  <c:y val="-2.1279920655080206E-2"/>
                </c:manualLayout>
              </c:layout>
              <c:dLblPos val="bestFit"/>
              <c:showLegendKey val="0"/>
              <c:showVal val="0"/>
              <c:showCatName val="1"/>
              <c:showSerName val="0"/>
              <c:showPercent val="1"/>
              <c:showBubbleSize val="0"/>
            </c:dLbl>
            <c:dLbl>
              <c:idx val="1"/>
              <c:layout>
                <c:manualLayout>
                  <c:x val="-9.8544938465671375E-2"/>
                  <c:y val="-2.5584382597336509E-2"/>
                </c:manualLayout>
              </c:layout>
              <c:tx>
                <c:rich>
                  <a:bodyPr/>
                  <a:lstStyle/>
                  <a:p>
                    <a:pPr>
                      <a:defRPr/>
                    </a:pPr>
                    <a:r>
                      <a:rPr lang="es-ES"/>
                      <a:t>Coop.
86,0%</a:t>
                    </a:r>
                  </a:p>
                </c:rich>
              </c:tx>
              <c:spPr/>
              <c:dLblPos val="bestFit"/>
              <c:showLegendKey val="0"/>
              <c:showVal val="0"/>
              <c:showCatName val="0"/>
              <c:showSerName val="0"/>
              <c:showPercent val="0"/>
              <c:showBubbleSize val="0"/>
            </c:dLbl>
            <c:dLbl>
              <c:idx val="2"/>
              <c:layout>
                <c:manualLayout>
                  <c:x val="-7.0186266520726834E-2"/>
                  <c:y val="-2.5178949405517882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S.L.L.es</c:v>
                </c:pt>
                <c:pt idx="1">
                  <c:v>Coop.</c:v>
                </c:pt>
                <c:pt idx="2">
                  <c:v>S.A.L.es</c:v>
                </c:pt>
              </c:strCache>
            </c:strRef>
          </c:cat>
          <c:val>
            <c:numRef>
              <c:f>Sheet1!$B$2:$D$2</c:f>
              <c:numCache>
                <c:formatCode>0.0%</c:formatCode>
                <c:ptCount val="3"/>
                <c:pt idx="0">
                  <c:v>7.5000000000000011E-2</c:v>
                </c:pt>
                <c:pt idx="1">
                  <c:v>0.86700000000000443</c:v>
                </c:pt>
                <c:pt idx="2">
                  <c:v>5.8000000000000003E-2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385899098804696"/>
          <c:y val="0.27307086614173232"/>
          <c:w val="0.3805722845575174"/>
          <c:h val="0.57278759509899968"/>
        </c:manualLayout>
      </c:layout>
      <c:pieChart>
        <c:varyColors val="1"/>
        <c:ser>
          <c:idx val="0"/>
          <c:order val="0"/>
          <c:tx>
            <c:strRef>
              <c:f>Sheet1!$A$2</c:f>
              <c:strCache>
                <c:ptCount val="1"/>
              </c:strCache>
            </c:strRef>
          </c:tx>
          <c:dLbls>
            <c:dLbl>
              <c:idx val="0"/>
              <c:layout>
                <c:manualLayout>
                  <c:x val="0.12902132646263254"/>
                  <c:y val="-4.552414819115197E-2"/>
                </c:manualLayout>
              </c:layout>
              <c:tx>
                <c:rich>
                  <a:bodyPr/>
                  <a:lstStyle/>
                  <a:p>
                    <a:r>
                      <a:rPr lang="en-US"/>
                      <a:t>S.L.L.es
4,7%</a:t>
                    </a:r>
                  </a:p>
                </c:rich>
              </c:tx>
              <c:showLegendKey val="0"/>
              <c:showVal val="1"/>
              <c:showCatName val="1"/>
              <c:showSerName val="0"/>
              <c:showPercent val="0"/>
              <c:showBubbleSize val="0"/>
              <c:separator>
</c:separator>
            </c:dLbl>
            <c:dLbl>
              <c:idx val="1"/>
              <c:layout>
                <c:manualLayout>
                  <c:x val="0.21850546204660543"/>
                  <c:y val="-3.9777930984434148E-2"/>
                </c:manualLayout>
              </c:layout>
              <c:showLegendKey val="0"/>
              <c:showVal val="1"/>
              <c:showCatName val="1"/>
              <c:showSerName val="0"/>
              <c:showPercent val="0"/>
              <c:showBubbleSize val="0"/>
              <c:separator>
</c:separator>
            </c:dLbl>
            <c:dLbl>
              <c:idx val="2"/>
              <c:layout>
                <c:manualLayout>
                  <c:x val="-7.6024464831804334E-2"/>
                  <c:y val="-6.5781777277840334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Sheet1!$B$1:$D$1</c:f>
              <c:strCache>
                <c:ptCount val="3"/>
                <c:pt idx="0">
                  <c:v>S.L.L.es</c:v>
                </c:pt>
                <c:pt idx="1">
                  <c:v>Coop.</c:v>
                </c:pt>
                <c:pt idx="2">
                  <c:v>S.A.L.es</c:v>
                </c:pt>
              </c:strCache>
            </c:strRef>
          </c:cat>
          <c:val>
            <c:numRef>
              <c:f>Sheet1!$B$2:$D$2</c:f>
              <c:numCache>
                <c:formatCode>0.0%</c:formatCode>
                <c:ptCount val="3"/>
                <c:pt idx="0">
                  <c:v>3.9000000000000014E-2</c:v>
                </c:pt>
                <c:pt idx="1">
                  <c:v>0.90200000000000002</c:v>
                </c:pt>
                <c:pt idx="2">
                  <c:v>5.1000000000000004E-2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775"/>
          <c:y val="0.21407687963055017"/>
          <c:w val="0.41504591205378605"/>
          <c:h val="0.62482047339021385"/>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dLbl>
            <c:dLbl>
              <c:idx val="1"/>
              <c:layout>
                <c:manualLayout>
                  <c:x val="-3.1894456970728353E-2"/>
                  <c:y val="-1.7279931354734893E-3"/>
                </c:manualLayout>
              </c:layout>
              <c:dLblPos val="bestFit"/>
              <c:showLegendKey val="0"/>
              <c:showVal val="0"/>
              <c:showCatName val="1"/>
              <c:showSerName val="0"/>
              <c:showPercent val="1"/>
              <c:showBubbleSize val="0"/>
            </c:dLbl>
            <c:dLbl>
              <c:idx val="2"/>
              <c:layout>
                <c:manualLayout>
                  <c:x val="-2.3377708417078816E-2"/>
                  <c:y val="-1.4395352479674218E-3"/>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0.45100000000000001</c:v>
                </c:pt>
                <c:pt idx="1">
                  <c:v>0.39100000000000257</c:v>
                </c:pt>
                <c:pt idx="2">
                  <c:v>0.15800000000000117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791"/>
          <c:y val="0.21407687963055017"/>
          <c:w val="0.41504591205378605"/>
          <c:h val="0.62482047339021418"/>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dLbl>
            <c:dLbl>
              <c:idx val="1"/>
              <c:layout>
                <c:manualLayout>
                  <c:x val="-3.1894456970728353E-2"/>
                  <c:y val="-1.7279931354734893E-3"/>
                </c:manualLayout>
              </c:layout>
              <c:dLblPos val="bestFit"/>
              <c:showLegendKey val="0"/>
              <c:showVal val="0"/>
              <c:showCatName val="1"/>
              <c:showSerName val="0"/>
              <c:showPercent val="1"/>
              <c:showBubbleSize val="0"/>
            </c:dLbl>
            <c:dLbl>
              <c:idx val="2"/>
              <c:layout>
                <c:manualLayout>
                  <c:x val="-2.3377708417078816E-2"/>
                  <c:y val="-1.4395352479674218E-3"/>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0.45500000000000002</c:v>
                </c:pt>
                <c:pt idx="1">
                  <c:v>0.3930000000000064</c:v>
                </c:pt>
                <c:pt idx="2">
                  <c:v>0.15200000000000041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775"/>
          <c:y val="0.21407687963055017"/>
          <c:w val="0.41504591205378605"/>
          <c:h val="0.62482047339021385"/>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dLbl>
            <c:dLbl>
              <c:idx val="1"/>
              <c:layout>
                <c:manualLayout>
                  <c:x val="-3.1894456970728353E-2"/>
                  <c:y val="-1.7279931354734893E-3"/>
                </c:manualLayout>
              </c:layout>
              <c:dLblPos val="bestFit"/>
              <c:showLegendKey val="0"/>
              <c:showVal val="0"/>
              <c:showCatName val="1"/>
              <c:showSerName val="0"/>
              <c:showPercent val="1"/>
              <c:showBubbleSize val="0"/>
            </c:dLbl>
            <c:dLbl>
              <c:idx val="2"/>
              <c:layout>
                <c:manualLayout>
                  <c:x val="-2.3377708417078816E-2"/>
                  <c:y val="-1.4395352479674218E-3"/>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0.39000000000000251</c:v>
                </c:pt>
                <c:pt idx="1">
                  <c:v>0.50700000000000001</c:v>
                </c:pt>
                <c:pt idx="2">
                  <c:v>0.10199999999999998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7012760083190291"/>
          <c:y val="2.1977799650043851E-2"/>
        </c:manualLayout>
      </c:layout>
      <c:overlay val="0"/>
    </c:title>
    <c:autoTitleDeleted val="0"/>
    <c:plotArea>
      <c:layout>
        <c:manualLayout>
          <c:layoutTarget val="inner"/>
          <c:xMode val="edge"/>
          <c:yMode val="edge"/>
          <c:x val="0.26402637386590705"/>
          <c:y val="0.18788167104111986"/>
          <c:w val="0.43342578717453856"/>
          <c:h val="0.65239610673665749"/>
        </c:manualLayout>
      </c:layout>
      <c:pieChart>
        <c:varyColors val="1"/>
        <c:ser>
          <c:idx val="0"/>
          <c:order val="0"/>
          <c:tx>
            <c:strRef>
              <c:f>Sheet1!$A$2</c:f>
              <c:strCache>
                <c:ptCount val="1"/>
              </c:strCache>
            </c:strRef>
          </c:tx>
          <c:dLbls>
            <c:dLbl>
              <c:idx val="0"/>
              <c:layout>
                <c:manualLayout>
                  <c:x val="-9.4363413990492764E-2"/>
                  <c:y val="-0.18719381231192536"/>
                </c:manualLayout>
              </c:layout>
              <c:dLblPos val="bestFit"/>
              <c:showLegendKey val="0"/>
              <c:showVal val="0"/>
              <c:showCatName val="1"/>
              <c:showSerName val="0"/>
              <c:showPercent val="1"/>
              <c:showBubbleSize val="0"/>
            </c:dLbl>
            <c:dLbl>
              <c:idx val="1"/>
              <c:layout>
                <c:manualLayout>
                  <c:x val="-2.6895530792215051E-2"/>
                  <c:y val="-3.0523293963254601E-2"/>
                </c:manualLayout>
              </c:layout>
              <c:dLblPos val="bestFit"/>
              <c:showLegendKey val="0"/>
              <c:showVal val="0"/>
              <c:showCatName val="1"/>
              <c:showSerName val="0"/>
              <c:showPercent val="1"/>
              <c:showBubbleSize val="0"/>
            </c:dLbl>
            <c:dLbl>
              <c:idx val="2"/>
              <c:layout>
                <c:manualLayout>
                  <c:x val="-6.340371813384918E-2"/>
                  <c:y val="-1.0538057742782141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0.3780000000000055</c:v>
                </c:pt>
                <c:pt idx="1">
                  <c:v>0.51700000000000002</c:v>
                </c:pt>
                <c:pt idx="2">
                  <c:v>0.10500000000000002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77704194260528E-2"/>
          <c:y val="9.5890410958904146E-2"/>
          <c:w val="0.89624724061811378"/>
          <c:h val="0.49315068493150682"/>
        </c:manualLayout>
      </c:layout>
      <c:barChart>
        <c:barDir val="col"/>
        <c:grouping val="clustered"/>
        <c:varyColors val="0"/>
        <c:ser>
          <c:idx val="0"/>
          <c:order val="0"/>
          <c:tx>
            <c:strRef>
              <c:f>Sheet1!$A$2</c:f>
              <c:strCache>
                <c:ptCount val="1"/>
                <c:pt idx="0">
                  <c:v>2012</c:v>
                </c:pt>
              </c:strCache>
            </c:strRef>
          </c:tx>
          <c:spPr>
            <a:solidFill>
              <a:schemeClr val="tx2"/>
            </a:solidFill>
            <a:ln w="12643">
              <a:noFill/>
              <a:prstDash val="solid"/>
            </a:ln>
          </c:spPr>
          <c:invertIfNegative val="0"/>
          <c:dLbls>
            <c:dLbl>
              <c:idx val="0"/>
              <c:layout>
                <c:manualLayout>
                  <c:x val="-1.6483622844324561E-3"/>
                  <c:y val="5.3611406682272785E-3"/>
                </c:manualLayout>
              </c:layout>
              <c:showLegendKey val="0"/>
              <c:showVal val="1"/>
              <c:showCatName val="0"/>
              <c:showSerName val="0"/>
              <c:showPercent val="0"/>
              <c:showBubbleSize val="0"/>
            </c:dLbl>
            <c:dLbl>
              <c:idx val="1"/>
              <c:layout>
                <c:manualLayout>
                  <c:x val="6.7146262210350536E-3"/>
                  <c:y val="-2.4706837883410052E-2"/>
                </c:manualLayout>
              </c:layout>
              <c:showLegendKey val="0"/>
              <c:showVal val="1"/>
              <c:showCatName val="0"/>
              <c:showSerName val="0"/>
              <c:showPercent val="0"/>
              <c:showBubbleSize val="0"/>
            </c:dLbl>
            <c:dLbl>
              <c:idx val="2"/>
              <c:layout>
                <c:manualLayout>
                  <c:x val="-2.5825405229986192E-3"/>
                  <c:y val="-2.3998297510108541E-2"/>
                </c:manualLayout>
              </c:layout>
              <c:showLegendKey val="0"/>
              <c:showVal val="1"/>
              <c:showCatName val="0"/>
              <c:showSerName val="0"/>
              <c:showPercent val="0"/>
              <c:showBubbleSize val="0"/>
            </c:dLbl>
            <c:dLbl>
              <c:idx val="3"/>
              <c:layout>
                <c:manualLayout>
                  <c:x val="-8.4217238571861067E-4"/>
                  <c:y val="-2.3438178335816098E-2"/>
                </c:manualLayout>
              </c:layout>
              <c:showLegendKey val="0"/>
              <c:showVal val="1"/>
              <c:showCatName val="0"/>
              <c:showSerName val="0"/>
              <c:showPercent val="0"/>
              <c:showBubbleSize val="0"/>
            </c:dLbl>
            <c:dLbl>
              <c:idx val="4"/>
              <c:layout>
                <c:manualLayout>
                  <c:xMode val="edge"/>
                  <c:yMode val="edge"/>
                  <c:x val="0.75496688741721851"/>
                  <c:y val="0.54794520547946468"/>
                </c:manualLayout>
              </c:layout>
              <c:showLegendKey val="0"/>
              <c:showVal val="1"/>
              <c:showCatName val="0"/>
              <c:showSerName val="0"/>
              <c:showPercent val="0"/>
              <c:showBubbleSize val="0"/>
            </c:dLbl>
            <c:spPr>
              <a:noFill/>
              <a:ln w="25287">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CAPV</c:v>
                </c:pt>
                <c:pt idx="1">
                  <c:v>Álava</c:v>
                </c:pt>
                <c:pt idx="2">
                  <c:v>Gipuzkoa</c:v>
                </c:pt>
                <c:pt idx="3">
                  <c:v>Bizkaia</c:v>
                </c:pt>
              </c:strCache>
            </c:strRef>
          </c:cat>
          <c:val>
            <c:numRef>
              <c:f>Sheet1!$B$2:$E$2</c:f>
              <c:numCache>
                <c:formatCode>0.0%</c:formatCode>
                <c:ptCount val="4"/>
                <c:pt idx="0">
                  <c:v>6.2000000000000034E-2</c:v>
                </c:pt>
                <c:pt idx="1">
                  <c:v>4.2000000000000023E-2</c:v>
                </c:pt>
                <c:pt idx="2">
                  <c:v>9.7000000000000003E-2</c:v>
                </c:pt>
                <c:pt idx="3">
                  <c:v>4.5000000000000012E-2</c:v>
                </c:pt>
              </c:numCache>
            </c:numRef>
          </c:val>
        </c:ser>
        <c:ser>
          <c:idx val="1"/>
          <c:order val="1"/>
          <c:tx>
            <c:strRef>
              <c:f>Sheet1!$A$3</c:f>
              <c:strCache>
                <c:ptCount val="1"/>
                <c:pt idx="0">
                  <c:v>2014</c:v>
                </c:pt>
              </c:strCache>
            </c:strRef>
          </c:tx>
          <c:spPr>
            <a:solidFill>
              <a:schemeClr val="accent1"/>
            </a:solidFill>
            <a:ln w="12643">
              <a:noFill/>
              <a:prstDash val="solid"/>
            </a:ln>
          </c:spPr>
          <c:invertIfNegative val="0"/>
          <c:dLbls>
            <c:dLbl>
              <c:idx val="0"/>
              <c:layout>
                <c:manualLayout>
                  <c:x val="2.4230788938801304E-2"/>
                  <c:y val="-1.775696956799319E-3"/>
                </c:manualLayout>
              </c:layout>
              <c:showLegendKey val="0"/>
              <c:showVal val="1"/>
              <c:showCatName val="0"/>
              <c:showSerName val="0"/>
              <c:showPercent val="0"/>
              <c:showBubbleSize val="0"/>
            </c:dLbl>
            <c:dLbl>
              <c:idx val="1"/>
              <c:layout>
                <c:manualLayout>
                  <c:x val="2.5818053133276488E-2"/>
                  <c:y val="-2.1251563786350319E-2"/>
                </c:manualLayout>
              </c:layout>
              <c:showLegendKey val="0"/>
              <c:showVal val="1"/>
              <c:showCatName val="0"/>
              <c:showSerName val="0"/>
              <c:showPercent val="0"/>
              <c:showBubbleSize val="0"/>
            </c:dLbl>
            <c:dLbl>
              <c:idx val="2"/>
              <c:layout>
                <c:manualLayout>
                  <c:x val="2.0936004081199611E-2"/>
                  <c:y val="-3.2800323036543642E-2"/>
                </c:manualLayout>
              </c:layout>
              <c:showLegendKey val="0"/>
              <c:showVal val="1"/>
              <c:showCatName val="0"/>
              <c:showSerName val="0"/>
              <c:showPercent val="0"/>
              <c:showBubbleSize val="0"/>
            </c:dLbl>
            <c:dLbl>
              <c:idx val="3"/>
              <c:layout>
                <c:manualLayout>
                  <c:x val="1.9783991209341781E-2"/>
                  <c:y val="-2.7906079307654152E-2"/>
                </c:manualLayout>
              </c:layout>
              <c:showLegendKey val="0"/>
              <c:showVal val="1"/>
              <c:showCatName val="0"/>
              <c:showSerName val="0"/>
              <c:showPercent val="0"/>
              <c:showBubbleSize val="0"/>
            </c:dLbl>
            <c:dLbl>
              <c:idx val="4"/>
              <c:layout>
                <c:manualLayout>
                  <c:xMode val="edge"/>
                  <c:yMode val="edge"/>
                  <c:x val="0.8366445916114964"/>
                  <c:y val="0.57534246575342451"/>
                </c:manualLayout>
              </c:layout>
              <c:showLegendKey val="0"/>
              <c:showVal val="1"/>
              <c:showCatName val="0"/>
              <c:showSerName val="0"/>
              <c:showPercent val="0"/>
              <c:showBubbleSize val="0"/>
            </c:dLbl>
            <c:spPr>
              <a:noFill/>
              <a:ln w="25287">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CAPV</c:v>
                </c:pt>
                <c:pt idx="1">
                  <c:v>Álava</c:v>
                </c:pt>
                <c:pt idx="2">
                  <c:v>Gipuzkoa</c:v>
                </c:pt>
                <c:pt idx="3">
                  <c:v>Bizkaia</c:v>
                </c:pt>
              </c:strCache>
            </c:strRef>
          </c:cat>
          <c:val>
            <c:numRef>
              <c:f>Sheet1!$B$3:$E$3</c:f>
              <c:numCache>
                <c:formatCode>0.0%</c:formatCode>
                <c:ptCount val="4"/>
                <c:pt idx="0">
                  <c:v>6.1000000000000013E-2</c:v>
                </c:pt>
                <c:pt idx="1">
                  <c:v>4.1000000000000002E-2</c:v>
                </c:pt>
                <c:pt idx="2">
                  <c:v>9.2000000000000026E-2</c:v>
                </c:pt>
                <c:pt idx="3">
                  <c:v>4.7000000000000014E-2</c:v>
                </c:pt>
              </c:numCache>
            </c:numRef>
          </c:val>
        </c:ser>
        <c:dLbls>
          <c:showLegendKey val="0"/>
          <c:showVal val="0"/>
          <c:showCatName val="0"/>
          <c:showSerName val="0"/>
          <c:showPercent val="0"/>
          <c:showBubbleSize val="0"/>
        </c:dLbls>
        <c:gapWidth val="150"/>
        <c:axId val="293015936"/>
        <c:axId val="293017472"/>
      </c:barChart>
      <c:catAx>
        <c:axId val="293015936"/>
        <c:scaling>
          <c:orientation val="minMax"/>
        </c:scaling>
        <c:delete val="0"/>
        <c:axPos val="b"/>
        <c:numFmt formatCode="General" sourceLinked="1"/>
        <c:majorTickMark val="out"/>
        <c:minorTickMark val="none"/>
        <c:tickLblPos val="low"/>
        <c:spPr>
          <a:ln w="3161">
            <a:solidFill>
              <a:srgbClr val="000000"/>
            </a:solidFill>
            <a:prstDash val="solid"/>
          </a:ln>
        </c:spPr>
        <c:txPr>
          <a:bodyPr rot="0" vert="horz"/>
          <a:lstStyle/>
          <a:p>
            <a:pPr>
              <a:defRPr/>
            </a:pPr>
            <a:endParaRPr lang="es-ES"/>
          </a:p>
        </c:txPr>
        <c:crossAx val="293017472"/>
        <c:crosses val="autoZero"/>
        <c:auto val="1"/>
        <c:lblAlgn val="ctr"/>
        <c:lblOffset val="100"/>
        <c:tickLblSkip val="1"/>
        <c:tickMarkSkip val="1"/>
        <c:noMultiLvlLbl val="0"/>
      </c:catAx>
      <c:valAx>
        <c:axId val="293017472"/>
        <c:scaling>
          <c:orientation val="minMax"/>
        </c:scaling>
        <c:delete val="0"/>
        <c:axPos val="l"/>
        <c:majorGridlines>
          <c:spPr>
            <a:ln w="12643">
              <a:solidFill>
                <a:srgbClr val="C0C0C0"/>
              </a:solidFill>
              <a:prstDash val="solid"/>
            </a:ln>
          </c:spPr>
        </c:majorGridlines>
        <c:numFmt formatCode="0%" sourceLinked="0"/>
        <c:majorTickMark val="out"/>
        <c:minorTickMark val="none"/>
        <c:tickLblPos val="nextTo"/>
        <c:spPr>
          <a:ln w="3161">
            <a:solidFill>
              <a:srgbClr val="000000"/>
            </a:solidFill>
            <a:prstDash val="solid"/>
          </a:ln>
        </c:spPr>
        <c:txPr>
          <a:bodyPr rot="0" vert="horz"/>
          <a:lstStyle/>
          <a:p>
            <a:pPr>
              <a:defRPr/>
            </a:pPr>
            <a:endParaRPr lang="es-ES"/>
          </a:p>
        </c:txPr>
        <c:crossAx val="293015936"/>
        <c:crosses val="autoZero"/>
        <c:crossBetween val="between"/>
      </c:valAx>
      <c:spPr>
        <a:noFill/>
        <a:ln w="25400">
          <a:noFill/>
        </a:ln>
      </c:spPr>
    </c:plotArea>
    <c:legend>
      <c:legendPos val="b"/>
      <c:layout>
        <c:manualLayout>
          <c:xMode val="edge"/>
          <c:yMode val="edge"/>
          <c:x val="0.15802605235525774"/>
          <c:y val="0.8048240123830982"/>
          <c:w val="0.81015445097132599"/>
          <c:h val="0.12045494313210849"/>
        </c:manualLayout>
      </c:layout>
      <c:overlay val="0"/>
      <c:spPr>
        <a:noFill/>
        <a:ln w="3161">
          <a:noFill/>
          <a:prstDash val="solid"/>
        </a:ln>
      </c:spPr>
    </c:legend>
    <c:plotVisOnly val="1"/>
    <c:dispBlanksAs val="gap"/>
    <c:showDLblsOverMax val="0"/>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dLbl>
            <c:dLbl>
              <c:idx val="1"/>
              <c:layout>
                <c:manualLayout>
                  <c:x val="-3.1894456970728353E-2"/>
                  <c:y val="-1.7279931354734893E-3"/>
                </c:manualLayout>
              </c:layout>
              <c:dLblPos val="bestFit"/>
              <c:showLegendKey val="0"/>
              <c:showVal val="0"/>
              <c:showCatName val="1"/>
              <c:showSerName val="0"/>
              <c:showPercent val="1"/>
              <c:showBubbleSize val="0"/>
            </c:dLbl>
            <c:dLbl>
              <c:idx val="2"/>
              <c:layout>
                <c:manualLayout>
                  <c:x val="-2.3377708417078816E-2"/>
                  <c:y val="-1.4395352479674218E-3"/>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0.35200000000000031</c:v>
                </c:pt>
                <c:pt idx="1">
                  <c:v>0.53500000000000003</c:v>
                </c:pt>
                <c:pt idx="2">
                  <c:v>0.113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7012760083190291"/>
          <c:y val="2.1977799650043851E-2"/>
        </c:manualLayout>
      </c:layout>
      <c:overlay val="0"/>
    </c:title>
    <c:autoTitleDeleted val="0"/>
    <c:plotArea>
      <c:layout>
        <c:manualLayout>
          <c:layoutTarget val="inner"/>
          <c:xMode val="edge"/>
          <c:yMode val="edge"/>
          <c:x val="0.26402637386590688"/>
          <c:y val="0.18788167104111986"/>
          <c:w val="0.46110744807418103"/>
          <c:h val="0.69406277340332467"/>
        </c:manualLayout>
      </c:layout>
      <c:pieChart>
        <c:varyColors val="1"/>
        <c:ser>
          <c:idx val="0"/>
          <c:order val="0"/>
          <c:tx>
            <c:strRef>
              <c:f>Sheet1!$A$2</c:f>
              <c:strCache>
                <c:ptCount val="1"/>
              </c:strCache>
            </c:strRef>
          </c:tx>
          <c:dLbls>
            <c:dLbl>
              <c:idx val="0"/>
              <c:layout>
                <c:manualLayout>
                  <c:x val="-9.4363413990492764E-2"/>
                  <c:y val="-0.18719381231192531"/>
                </c:manualLayout>
              </c:layout>
              <c:dLblPos val="bestFit"/>
              <c:showLegendKey val="0"/>
              <c:showVal val="0"/>
              <c:showCatName val="1"/>
              <c:showSerName val="0"/>
              <c:showPercent val="1"/>
              <c:showBubbleSize val="0"/>
            </c:dLbl>
            <c:dLbl>
              <c:idx val="1"/>
              <c:layout>
                <c:manualLayout>
                  <c:x val="-2.6895530792215051E-2"/>
                  <c:y val="-3.0523293963254601E-2"/>
                </c:manualLayout>
              </c:layout>
              <c:dLblPos val="bestFit"/>
              <c:showLegendKey val="0"/>
              <c:showVal val="0"/>
              <c:showCatName val="1"/>
              <c:showSerName val="0"/>
              <c:showPercent val="1"/>
              <c:showBubbleSize val="0"/>
            </c:dLbl>
            <c:dLbl>
              <c:idx val="2"/>
              <c:layout>
                <c:manualLayout>
                  <c:x val="-6.340371813384918E-2"/>
                  <c:y val="-1.0538057742782141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0.3280000000000059</c:v>
                </c:pt>
                <c:pt idx="1">
                  <c:v>0.54900000000000004</c:v>
                </c:pt>
                <c:pt idx="2">
                  <c:v>0.12300000000000012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2010</c:v>
                </c:pt>
              </c:strCache>
            </c:strRef>
          </c:tx>
          <c:spPr>
            <a:solidFill>
              <a:schemeClr val="accent1">
                <a:lumMod val="20000"/>
                <a:lumOff val="80000"/>
              </a:schemeClr>
            </a:solidFill>
            <a:ln w="12700">
              <a:noFill/>
              <a:prstDash val="solid"/>
            </a:ln>
          </c:spPr>
          <c:invertIfNegative val="0"/>
          <c:dLbls>
            <c:dLbl>
              <c:idx val="0"/>
              <c:layout>
                <c:manualLayout>
                  <c:x val="-1.183431952662722E-2"/>
                  <c:y val="6.9444444444446331E-3"/>
                </c:manualLayout>
              </c:layout>
              <c:showLegendKey val="0"/>
              <c:showVal val="1"/>
              <c:showCatName val="0"/>
              <c:showSerName val="0"/>
              <c:showPercent val="0"/>
              <c:showBubbleSize val="0"/>
            </c:dLbl>
            <c:dLbl>
              <c:idx val="1"/>
              <c:layout>
                <c:manualLayout>
                  <c:x val="0"/>
                  <c:y val="2.0833333333333412E-2"/>
                </c:manualLayout>
              </c:layout>
              <c:showLegendKey val="0"/>
              <c:showVal val="1"/>
              <c:showCatName val="0"/>
              <c:showSerName val="0"/>
              <c:showPercent val="0"/>
              <c:showBubbleSize val="0"/>
            </c:dLbl>
            <c:dLbl>
              <c:idx val="2"/>
              <c:layout>
                <c:manualLayout>
                  <c:x val="-1.183431952662722E-2"/>
                  <c:y val="2.0833333333333412E-2"/>
                </c:manualLayout>
              </c:layout>
              <c:showLegendKey val="0"/>
              <c:showVal val="1"/>
              <c:showCatName val="0"/>
              <c:showSerName val="0"/>
              <c:showPercent val="0"/>
              <c:showBubbleSize val="0"/>
            </c:dLbl>
            <c:dLbl>
              <c:idx val="3"/>
              <c:layout>
                <c:manualLayout>
                  <c:x val="-9.4674556213018048E-3"/>
                  <c:y val="2.0833333333333412E-2"/>
                </c:manualLayout>
              </c:layout>
              <c:showLegendKey val="0"/>
              <c:showVal val="1"/>
              <c:showCatName val="0"/>
              <c:showSerName val="0"/>
              <c:showPercent val="0"/>
              <c:showBubbleSize val="0"/>
            </c:dLbl>
            <c:dLbl>
              <c:idx val="4"/>
              <c:layout>
                <c:manualLayout>
                  <c:x val="-9.473060982830071E-3"/>
                  <c:y val="2.7777777777778598E-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CAPV</c:v>
                </c:pt>
                <c:pt idx="1">
                  <c:v>Agricultura</c:v>
                </c:pt>
                <c:pt idx="2">
                  <c:v>Industria</c:v>
                </c:pt>
                <c:pt idx="3">
                  <c:v>Construcción</c:v>
                </c:pt>
                <c:pt idx="4">
                  <c:v>Servicios</c:v>
                </c:pt>
              </c:strCache>
            </c:strRef>
          </c:cat>
          <c:val>
            <c:numRef>
              <c:f>Sheet1!$B$2:$F$2</c:f>
              <c:numCache>
                <c:formatCode>0.0%</c:formatCode>
                <c:ptCount val="5"/>
                <c:pt idx="0">
                  <c:v>6.3E-2</c:v>
                </c:pt>
                <c:pt idx="1">
                  <c:v>2.0000000000000011E-2</c:v>
                </c:pt>
                <c:pt idx="2">
                  <c:v>0.11799999999999998</c:v>
                </c:pt>
                <c:pt idx="3">
                  <c:v>2.8000000000000001E-2</c:v>
                </c:pt>
                <c:pt idx="4">
                  <c:v>4.9000000000000113E-2</c:v>
                </c:pt>
              </c:numCache>
            </c:numRef>
          </c:val>
        </c:ser>
        <c:ser>
          <c:idx val="0"/>
          <c:order val="1"/>
          <c:tx>
            <c:strRef>
              <c:f>Sheet1!$A$3</c:f>
              <c:strCache>
                <c:ptCount val="1"/>
                <c:pt idx="0">
                  <c:v>2012</c:v>
                </c:pt>
              </c:strCache>
            </c:strRef>
          </c:tx>
          <c:spPr>
            <a:solidFill>
              <a:schemeClr val="tx2"/>
            </a:solidFill>
            <a:ln w="12700">
              <a:noFill/>
              <a:prstDash val="solid"/>
            </a:ln>
          </c:spPr>
          <c:invertIfNegative val="0"/>
          <c:dLbls>
            <c:dLbl>
              <c:idx val="0"/>
              <c:layout>
                <c:manualLayout>
                  <c:x val="0"/>
                  <c:y val="-4.8611111111111112E-2"/>
                </c:manualLayout>
              </c:layout>
              <c:showLegendKey val="0"/>
              <c:showVal val="1"/>
              <c:showCatName val="0"/>
              <c:showSerName val="0"/>
              <c:showPercent val="0"/>
              <c:showBubbleSize val="0"/>
            </c:dLbl>
            <c:dLbl>
              <c:idx val="1"/>
              <c:layout>
                <c:manualLayout>
                  <c:x val="4.7337278106510134E-3"/>
                  <c:y val="-4.8611111111111084E-2"/>
                </c:manualLayout>
              </c:layout>
              <c:showLegendKey val="0"/>
              <c:showVal val="1"/>
              <c:showCatName val="0"/>
              <c:showSerName val="0"/>
              <c:showPercent val="0"/>
              <c:showBubbleSize val="0"/>
            </c:dLbl>
            <c:dLbl>
              <c:idx val="2"/>
              <c:layout>
                <c:manualLayout>
                  <c:x val="4.7337333277390134E-3"/>
                  <c:y val="-2.7777777777778078E-2"/>
                </c:manualLayout>
              </c:layout>
              <c:showLegendKey val="0"/>
              <c:showVal val="1"/>
              <c:showCatName val="0"/>
              <c:showSerName val="0"/>
              <c:showPercent val="0"/>
              <c:showBubbleSize val="0"/>
            </c:dLbl>
            <c:dLbl>
              <c:idx val="3"/>
              <c:layout>
                <c:manualLayout>
                  <c:x val="-7.1005917159762504E-3"/>
                  <c:y val="-2.0833333333333412E-2"/>
                </c:manualLayout>
              </c:layout>
              <c:showLegendKey val="0"/>
              <c:showVal val="1"/>
              <c:showCatName val="0"/>
              <c:showSerName val="0"/>
              <c:showPercent val="0"/>
              <c:showBubbleSize val="0"/>
            </c:dLbl>
            <c:dLbl>
              <c:idx val="4"/>
              <c:layout>
                <c:manualLayout>
                  <c:x val="0"/>
                  <c:y val="-2.0833333333333412E-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CAPV</c:v>
                </c:pt>
                <c:pt idx="1">
                  <c:v>Agricultura</c:v>
                </c:pt>
                <c:pt idx="2">
                  <c:v>Industria</c:v>
                </c:pt>
                <c:pt idx="3">
                  <c:v>Construcción</c:v>
                </c:pt>
                <c:pt idx="4">
                  <c:v>Servicios</c:v>
                </c:pt>
              </c:strCache>
            </c:strRef>
          </c:cat>
          <c:val>
            <c:numRef>
              <c:f>Sheet1!$B$3:$F$3</c:f>
              <c:numCache>
                <c:formatCode>0.0%</c:formatCode>
                <c:ptCount val="5"/>
                <c:pt idx="0">
                  <c:v>6.2000000000000034E-2</c:v>
                </c:pt>
                <c:pt idx="1">
                  <c:v>1.4E-2</c:v>
                </c:pt>
                <c:pt idx="2">
                  <c:v>0.12000000000000002</c:v>
                </c:pt>
                <c:pt idx="3">
                  <c:v>3.500000000000001E-2</c:v>
                </c:pt>
                <c:pt idx="4">
                  <c:v>4.5000000000000012E-2</c:v>
                </c:pt>
              </c:numCache>
            </c:numRef>
          </c:val>
        </c:ser>
        <c:ser>
          <c:idx val="1"/>
          <c:order val="2"/>
          <c:tx>
            <c:strRef>
              <c:f>Sheet1!$A$4</c:f>
              <c:strCache>
                <c:ptCount val="1"/>
                <c:pt idx="0">
                  <c:v>2014</c:v>
                </c:pt>
              </c:strCache>
            </c:strRef>
          </c:tx>
          <c:spPr>
            <a:solidFill>
              <a:schemeClr val="accent1"/>
            </a:solidFill>
            <a:ln w="12700">
              <a:noFill/>
              <a:prstDash val="solid"/>
            </a:ln>
          </c:spPr>
          <c:invertIfNegative val="0"/>
          <c:dLbls>
            <c:dLbl>
              <c:idx val="1"/>
              <c:layout>
                <c:manualLayout>
                  <c:x val="1.4209591474245119E-2"/>
                  <c:y val="0"/>
                </c:manualLayout>
              </c:layout>
              <c:showLegendKey val="0"/>
              <c:showVal val="1"/>
              <c:showCatName val="0"/>
              <c:showSerName val="0"/>
              <c:showPercent val="0"/>
              <c:showBubbleSize val="0"/>
            </c:dLbl>
            <c:dLbl>
              <c:idx val="2"/>
              <c:layout>
                <c:manualLayout>
                  <c:x val="2.8419182948490228E-2"/>
                  <c:y val="1.3888888888888954E-2"/>
                </c:manualLayout>
              </c:layout>
              <c:showLegendKey val="0"/>
              <c:showVal val="1"/>
              <c:showCatName val="0"/>
              <c:showSerName val="0"/>
              <c:showPercent val="0"/>
              <c:showBubbleSize val="0"/>
            </c:dLbl>
            <c:dLbl>
              <c:idx val="4"/>
              <c:layout>
                <c:manualLayout>
                  <c:x val="1.8946121965660406E-2"/>
                  <c:y val="0"/>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Sheet1!$B$1:$F$1</c:f>
              <c:strCache>
                <c:ptCount val="5"/>
                <c:pt idx="0">
                  <c:v>CAPV</c:v>
                </c:pt>
                <c:pt idx="1">
                  <c:v>Agricultura</c:v>
                </c:pt>
                <c:pt idx="2">
                  <c:v>Industria</c:v>
                </c:pt>
                <c:pt idx="3">
                  <c:v>Construcción</c:v>
                </c:pt>
                <c:pt idx="4">
                  <c:v>Servicios</c:v>
                </c:pt>
              </c:strCache>
            </c:strRef>
          </c:cat>
          <c:val>
            <c:numRef>
              <c:f>Sheet1!$B$4:$F$4</c:f>
              <c:numCache>
                <c:formatCode>0.0%</c:formatCode>
                <c:ptCount val="5"/>
                <c:pt idx="0">
                  <c:v>6.1000000000000013E-2</c:v>
                </c:pt>
                <c:pt idx="1">
                  <c:v>1.9000000000000166E-2</c:v>
                </c:pt>
                <c:pt idx="2">
                  <c:v>0.12100000000000002</c:v>
                </c:pt>
                <c:pt idx="3">
                  <c:v>3.4000000000000002E-2</c:v>
                </c:pt>
                <c:pt idx="4">
                  <c:v>4.5000000000000012E-2</c:v>
                </c:pt>
              </c:numCache>
            </c:numRef>
          </c:val>
        </c:ser>
        <c:dLbls>
          <c:showLegendKey val="0"/>
          <c:showVal val="0"/>
          <c:showCatName val="0"/>
          <c:showSerName val="0"/>
          <c:showPercent val="0"/>
          <c:showBubbleSize val="0"/>
        </c:dLbls>
        <c:gapWidth val="150"/>
        <c:axId val="283205632"/>
        <c:axId val="283207168"/>
      </c:barChart>
      <c:catAx>
        <c:axId val="2832056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83207168"/>
        <c:crosses val="autoZero"/>
        <c:auto val="1"/>
        <c:lblAlgn val="ctr"/>
        <c:lblOffset val="100"/>
        <c:tickLblSkip val="1"/>
        <c:tickMarkSkip val="1"/>
        <c:noMultiLvlLbl val="0"/>
      </c:catAx>
      <c:valAx>
        <c:axId val="283207168"/>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283205632"/>
        <c:crosses val="autoZero"/>
        <c:crossBetween val="between"/>
        <c:majorUnit val="0.05"/>
      </c:valAx>
      <c:spPr>
        <a:noFill/>
        <a:ln w="25400">
          <a:noFill/>
        </a:ln>
      </c:spPr>
    </c:plotArea>
    <c:legend>
      <c:legendPos val="b"/>
      <c:layout>
        <c:manualLayout>
          <c:xMode val="edge"/>
          <c:yMode val="edge"/>
          <c:x val="0.24926468806784358"/>
          <c:y val="0.8681318681318686"/>
          <c:w val="0.51841271024553859"/>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dLbl>
            <c:dLbl>
              <c:idx val="1"/>
              <c:layout>
                <c:manualLayout>
                  <c:x val="6.3694224662061904E-3"/>
                  <c:y val="-6.1068970945941103E-2"/>
                </c:manualLayout>
              </c:layout>
              <c:showLegendKey val="0"/>
              <c:showVal val="1"/>
              <c:showCatName val="0"/>
              <c:showSerName val="0"/>
              <c:showPercent val="0"/>
              <c:showBubbleSize val="0"/>
            </c:dLbl>
            <c:dLbl>
              <c:idx val="2"/>
              <c:layout>
                <c:manualLayout>
                  <c:x val="5.7022398004159588E-3"/>
                  <c:y val="-5.0420710632324832E-2"/>
                </c:manualLayout>
              </c:layout>
              <c:showLegendKey val="0"/>
              <c:showVal val="1"/>
              <c:showCatName val="0"/>
              <c:showSerName val="0"/>
              <c:showPercent val="0"/>
              <c:showBubbleSize val="0"/>
            </c:dLbl>
            <c:dLbl>
              <c:idx val="3"/>
              <c:layout>
                <c:manualLayout>
                  <c:x val="7.0231287052024659E-3"/>
                  <c:y val="-4.0075645592377647E-2"/>
                </c:manualLayout>
              </c:layout>
              <c:showLegendKey val="0"/>
              <c:showVal val="1"/>
              <c:showCatName val="0"/>
              <c:showSerName val="0"/>
              <c:showPercent val="0"/>
              <c:showBubbleSize val="0"/>
            </c:dLbl>
            <c:dLbl>
              <c:idx val="4"/>
              <c:layout>
                <c:manualLayout>
                  <c:x val="2.3798028982589862E-3"/>
                  <c:y val="-4.3751532260390545E-2"/>
                </c:manualLayout>
              </c:layout>
              <c:showLegendKey val="0"/>
              <c:showVal val="1"/>
              <c:showCatName val="0"/>
              <c:showSerName val="0"/>
              <c:showPercent val="0"/>
              <c:showBubbleSize val="0"/>
            </c:dLbl>
            <c:dLbl>
              <c:idx val="5"/>
              <c:layout>
                <c:manualLayout>
                  <c:x val="7.6768349441982894E-3"/>
                  <c:y val="-5.0193725784276964E-2"/>
                </c:manualLayout>
              </c:layout>
              <c:showLegendKey val="0"/>
              <c:showVal val="1"/>
              <c:showCatName val="0"/>
              <c:showSerName val="0"/>
              <c:showPercent val="0"/>
              <c:showBubbleSize val="0"/>
            </c:dLbl>
            <c:dLbl>
              <c:idx val="6"/>
              <c:layout>
                <c:manualLayout>
                  <c:x val="3.0335091372550912E-3"/>
                  <c:y val="-3.9545465470662441E-2"/>
                </c:manualLayout>
              </c:layout>
              <c:showLegendKey val="0"/>
              <c:showVal val="1"/>
              <c:showCatName val="0"/>
              <c:showSerName val="0"/>
              <c:showPercent val="0"/>
              <c:showBubbleSize val="0"/>
            </c:dLbl>
            <c:dLbl>
              <c:idx val="7"/>
              <c:layout>
                <c:manualLayout>
                  <c:x val="2.3663264714649202E-3"/>
                  <c:y val="-3.837024578658519E-2"/>
                </c:manualLayout>
              </c:layout>
              <c:showLegendKey val="0"/>
              <c:showVal val="1"/>
              <c:showCatName val="0"/>
              <c:showSerName val="0"/>
              <c:showPercent val="0"/>
              <c:showBubbleSize val="0"/>
            </c:dLbl>
            <c:dLbl>
              <c:idx val="8"/>
              <c:layout>
                <c:manualLayout>
                  <c:x val="1.6991438056745552E-3"/>
                  <c:y val="-3.7195572909155615E-2"/>
                </c:manualLayout>
              </c:layout>
              <c:showLegendKey val="0"/>
              <c:showVal val="1"/>
              <c:showCatName val="0"/>
              <c:showSerName val="0"/>
              <c:showPercent val="0"/>
              <c:showBubbleSize val="0"/>
            </c:dLbl>
            <c:dLbl>
              <c:idx val="9"/>
              <c:layout>
                <c:manualLayout>
                  <c:x val="8.9842474221906096E-3"/>
                  <c:y val="-3.5300196850393699E-2"/>
                </c:manualLayout>
              </c:layout>
              <c:showLegendKey val="0"/>
              <c:showVal val="1"/>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Sheet1!$B$1:$L$1</c:f>
              <c:numCache>
                <c:formatCode>General</c:formatCode>
                <c:ptCount val="11"/>
                <c:pt idx="0">
                  <c:v>1994</c:v>
                </c:pt>
                <c:pt idx="1">
                  <c:v>1996</c:v>
                </c:pt>
                <c:pt idx="2">
                  <c:v>1998</c:v>
                </c:pt>
                <c:pt idx="3">
                  <c:v>2000</c:v>
                </c:pt>
                <c:pt idx="4">
                  <c:v>2002</c:v>
                </c:pt>
                <c:pt idx="5">
                  <c:v>2004</c:v>
                </c:pt>
                <c:pt idx="6">
                  <c:v>2006</c:v>
                </c:pt>
                <c:pt idx="7">
                  <c:v>2008</c:v>
                </c:pt>
                <c:pt idx="8">
                  <c:v>2010</c:v>
                </c:pt>
                <c:pt idx="9">
                  <c:v>2012</c:v>
                </c:pt>
                <c:pt idx="10">
                  <c:v>2014</c:v>
                </c:pt>
              </c:numCache>
            </c:numRef>
          </c:cat>
          <c:val>
            <c:numRef>
              <c:f>Sheet1!$B$2:$L$2</c:f>
              <c:numCache>
                <c:formatCode>0.0%</c:formatCode>
                <c:ptCount val="11"/>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0.32300000000000223</c:v>
                </c:pt>
                <c:pt idx="10">
                  <c:v>0.34500000000000008</c:v>
                </c:pt>
              </c:numCache>
            </c:numRef>
          </c:val>
        </c:ser>
        <c:dLbls>
          <c:showLegendKey val="0"/>
          <c:showVal val="0"/>
          <c:showCatName val="0"/>
          <c:showSerName val="0"/>
          <c:showPercent val="0"/>
          <c:showBubbleSize val="0"/>
        </c:dLbls>
        <c:gapWidth val="150"/>
        <c:axId val="293218944"/>
        <c:axId val="293249408"/>
      </c:barChart>
      <c:catAx>
        <c:axId val="293218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93249408"/>
        <c:crosses val="autoZero"/>
        <c:auto val="1"/>
        <c:lblAlgn val="ctr"/>
        <c:lblOffset val="100"/>
        <c:tickLblSkip val="1"/>
        <c:tickMarkSkip val="1"/>
        <c:noMultiLvlLbl val="0"/>
      </c:catAx>
      <c:valAx>
        <c:axId val="293249408"/>
        <c:scaling>
          <c:orientation val="minMax"/>
          <c:max val="0.4"/>
          <c:min val="0"/>
        </c:scaling>
        <c:delete val="0"/>
        <c:axPos val="l"/>
        <c:majorGridlines>
          <c:spPr>
            <a:ln w="12700">
              <a:solidFill>
                <a:schemeClr val="bg1">
                  <a:lumMod val="95000"/>
                </a:scheme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293218944"/>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varyColors val="0"/>
        <c:ser>
          <c:idx val="0"/>
          <c:order val="0"/>
          <c:tx>
            <c:strRef>
              <c:f>Sheet1!$A$2</c:f>
              <c:strCache>
                <c:ptCount val="1"/>
              </c:strCache>
            </c:strRef>
          </c:tx>
          <c:invertIfNegative val="0"/>
          <c:dPt>
            <c:idx val="0"/>
            <c:invertIfNegative val="0"/>
            <c:bubble3D val="0"/>
            <c:spPr/>
          </c:dPt>
          <c:dLbls>
            <c:showLegendKey val="0"/>
            <c:showVal val="1"/>
            <c:showCatName val="0"/>
            <c:showSerName val="0"/>
            <c:showPercent val="0"/>
            <c:showBubbleSize val="0"/>
            <c:showLeaderLines val="0"/>
          </c:dLbls>
          <c:cat>
            <c:numRef>
              <c:f>Sheet1!$B$1:$G$1</c:f>
              <c:numCache>
                <c:formatCode>General</c:formatCode>
                <c:ptCount val="6"/>
                <c:pt idx="0">
                  <c:v>2004</c:v>
                </c:pt>
                <c:pt idx="1">
                  <c:v>2006</c:v>
                </c:pt>
                <c:pt idx="2">
                  <c:v>2008</c:v>
                </c:pt>
                <c:pt idx="3">
                  <c:v>2010</c:v>
                </c:pt>
                <c:pt idx="4">
                  <c:v>2012</c:v>
                </c:pt>
                <c:pt idx="5">
                  <c:v>2014</c:v>
                </c:pt>
              </c:numCache>
            </c:numRef>
          </c:cat>
          <c:val>
            <c:numRef>
              <c:f>Sheet1!$B$2:$G$2</c:f>
              <c:numCache>
                <c:formatCode>0.0%</c:formatCode>
                <c:ptCount val="6"/>
                <c:pt idx="0">
                  <c:v>0.39900000000000257</c:v>
                </c:pt>
                <c:pt idx="1">
                  <c:v>0.44</c:v>
                </c:pt>
                <c:pt idx="2">
                  <c:v>0.48800000000000032</c:v>
                </c:pt>
                <c:pt idx="3">
                  <c:v>0.54100000000000004</c:v>
                </c:pt>
                <c:pt idx="4">
                  <c:v>0.59699999999999998</c:v>
                </c:pt>
                <c:pt idx="5">
                  <c:v>0.65200000000000491</c:v>
                </c:pt>
              </c:numCache>
            </c:numRef>
          </c:val>
        </c:ser>
        <c:dLbls>
          <c:showLegendKey val="0"/>
          <c:showVal val="0"/>
          <c:showCatName val="0"/>
          <c:showSerName val="0"/>
          <c:showPercent val="0"/>
          <c:showBubbleSize val="0"/>
        </c:dLbls>
        <c:gapWidth val="150"/>
        <c:axId val="328499584"/>
        <c:axId val="328501120"/>
      </c:barChart>
      <c:catAx>
        <c:axId val="328499584"/>
        <c:scaling>
          <c:orientation val="minMax"/>
        </c:scaling>
        <c:delete val="0"/>
        <c:axPos val="b"/>
        <c:numFmt formatCode="General" sourceLinked="1"/>
        <c:majorTickMark val="out"/>
        <c:minorTickMark val="none"/>
        <c:tickLblPos val="low"/>
        <c:txPr>
          <a:bodyPr rot="0" vert="horz"/>
          <a:lstStyle/>
          <a:p>
            <a:pPr>
              <a:defRPr/>
            </a:pPr>
            <a:endParaRPr lang="es-ES"/>
          </a:p>
        </c:txPr>
        <c:crossAx val="328501120"/>
        <c:crosses val="autoZero"/>
        <c:auto val="1"/>
        <c:lblAlgn val="ctr"/>
        <c:lblOffset val="100"/>
        <c:tickLblSkip val="1"/>
        <c:tickMarkSkip val="1"/>
        <c:noMultiLvlLbl val="0"/>
      </c:catAx>
      <c:valAx>
        <c:axId val="328501120"/>
        <c:scaling>
          <c:orientation val="minMax"/>
          <c:min val="0"/>
        </c:scaling>
        <c:delete val="0"/>
        <c:axPos val="l"/>
        <c:majorGridlines>
          <c:spPr>
            <a:ln>
              <a:solidFill>
                <a:schemeClr val="bg2"/>
              </a:solidFill>
            </a:ln>
          </c:spPr>
        </c:majorGridlines>
        <c:numFmt formatCode="0%" sourceLinked="0"/>
        <c:majorTickMark val="out"/>
        <c:minorTickMark val="none"/>
        <c:tickLblPos val="nextTo"/>
        <c:txPr>
          <a:bodyPr rot="0" vert="horz"/>
          <a:lstStyle/>
          <a:p>
            <a:pPr>
              <a:defRPr/>
            </a:pPr>
            <a:endParaRPr lang="es-ES"/>
          </a:p>
        </c:txPr>
        <c:crossAx val="328499584"/>
        <c:crosses val="autoZero"/>
        <c:crossBetween val="between"/>
        <c:majorUnit val="0.1"/>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64976023741404"/>
          <c:y val="0.23609407647573474"/>
          <c:w val="0.31598950692084826"/>
          <c:h val="0.71149986342204963"/>
        </c:manualLayout>
      </c:layout>
      <c:pieChart>
        <c:varyColors val="1"/>
        <c:ser>
          <c:idx val="0"/>
          <c:order val="0"/>
          <c:tx>
            <c:strRef>
              <c:f>Sheet1!$A$2</c:f>
              <c:strCache>
                <c:ptCount val="1"/>
              </c:strCache>
            </c:strRef>
          </c:tx>
          <c:dLbls>
            <c:dLbl>
              <c:idx val="0"/>
              <c:layout>
                <c:manualLayout>
                  <c:x val="-7.3047430467817684E-2"/>
                  <c:y val="-6.0097781894912293E-2"/>
                </c:manualLayout>
              </c:layout>
              <c:dLblPos val="bestFit"/>
              <c:showLegendKey val="0"/>
              <c:showVal val="0"/>
              <c:showCatName val="1"/>
              <c:showSerName val="0"/>
              <c:showPercent val="1"/>
              <c:showBubbleSize val="0"/>
              <c:separator>
</c:separator>
            </c:dLbl>
            <c:dLbl>
              <c:idx val="1"/>
              <c:layout>
                <c:manualLayout>
                  <c:x val="5.0516892400541934E-2"/>
                  <c:y val="-2.5265398349500871E-2"/>
                </c:manualLayout>
              </c:layout>
              <c:dLblPos val="bestFit"/>
              <c:showLegendKey val="0"/>
              <c:showVal val="0"/>
              <c:showCatName val="1"/>
              <c:showSerName val="0"/>
              <c:showPercent val="1"/>
              <c:showBubbleSize val="0"/>
              <c:separator>
</c:separator>
            </c:dLbl>
            <c:dLbl>
              <c:idx val="2"/>
              <c:layout>
                <c:manualLayout>
                  <c:x val="0.1027911722882459"/>
                  <c:y val="-4.7058823529411813E-2"/>
                </c:manualLayout>
              </c:layout>
              <c:dLblPos val="bestFit"/>
              <c:showLegendKey val="0"/>
              <c:showVal val="0"/>
              <c:showCatName val="1"/>
              <c:showSerName val="0"/>
              <c:showPercent val="1"/>
              <c:showBubbleSize val="0"/>
              <c:separator>
</c:separator>
            </c:dLbl>
            <c:dLbl>
              <c:idx val="3"/>
              <c:layout>
                <c:manualLayout>
                  <c:x val="-4.3462157461780587E-2"/>
                  <c:y val="9.3458905872061765E-2"/>
                </c:manualLayout>
              </c:layout>
              <c:showLegendKey val="0"/>
              <c:showVal val="0"/>
              <c:showCatName val="1"/>
              <c:showSerName val="0"/>
              <c:showPercent val="1"/>
              <c:showBubbleSize val="0"/>
              <c:separator>
</c:separator>
            </c:dLbl>
            <c:dLbl>
              <c:idx val="4"/>
              <c:layout>
                <c:manualLayout>
                  <c:x val="-7.9211960019317032E-2"/>
                  <c:y val="-7.2884771756472094E-2"/>
                </c:manualLayout>
              </c:layout>
              <c:dLblPos val="bestFit"/>
              <c:showLegendKey val="0"/>
              <c:showVal val="0"/>
              <c:showCatName val="1"/>
              <c:showSerName val="0"/>
              <c:showPercent val="1"/>
              <c:showBubbleSize val="0"/>
              <c:separator>
</c:separator>
            </c:dLbl>
            <c:numFmt formatCode="0.0%" sourceLinked="0"/>
            <c:showLegendKey val="0"/>
            <c:showVal val="0"/>
            <c:showCatName val="1"/>
            <c:showSerName val="0"/>
            <c:showPercent val="1"/>
            <c:showBubbleSize val="0"/>
            <c:separator>
</c:separator>
            <c:showLeaderLines val="1"/>
          </c:dLbls>
          <c:cat>
            <c:strRef>
              <c:f>Sheet1!$B$1:$F$1</c:f>
              <c:strCache>
                <c:ptCount val="5"/>
                <c:pt idx="0">
                  <c:v>Centroamérica y Sudamérica</c:v>
                </c:pt>
                <c:pt idx="1">
                  <c:v>Otros</c:v>
                </c:pt>
                <c:pt idx="2">
                  <c:v>Europa</c:v>
                </c:pt>
                <c:pt idx="3">
                  <c:v>Asia</c:v>
                </c:pt>
                <c:pt idx="4">
                  <c:v>EE.UU.</c:v>
                </c:pt>
              </c:strCache>
            </c:strRef>
          </c:cat>
          <c:val>
            <c:numRef>
              <c:f>Sheet1!$B$2:$F$2</c:f>
              <c:numCache>
                <c:formatCode>0.0%</c:formatCode>
                <c:ptCount val="5"/>
                <c:pt idx="0">
                  <c:v>8.0000000000000043E-2</c:v>
                </c:pt>
                <c:pt idx="1">
                  <c:v>5.3000000000000012E-2</c:v>
                </c:pt>
                <c:pt idx="2">
                  <c:v>0.63900000000000445</c:v>
                </c:pt>
                <c:pt idx="3">
                  <c:v>0.15100000000000041</c:v>
                </c:pt>
                <c:pt idx="4">
                  <c:v>7.5999999999999998E-2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8913043478260865E-2"/>
          <c:y val="6.0439560439560454E-2"/>
          <c:w val="0.93297101449275865"/>
          <c:h val="0.60989010989010994"/>
        </c:manualLayout>
      </c:layout>
      <c:barChart>
        <c:barDir val="col"/>
        <c:grouping val="clustered"/>
        <c:varyColors val="0"/>
        <c:ser>
          <c:idx val="0"/>
          <c:order val="0"/>
          <c:tx>
            <c:strRef>
              <c:f>Sheet1!$A$2</c:f>
              <c:strCache>
                <c:ptCount val="1"/>
                <c:pt idx="0">
                  <c:v>2010</c:v>
                </c:pt>
              </c:strCache>
            </c:strRef>
          </c:tx>
          <c:spPr>
            <a:solidFill>
              <a:schemeClr val="accent1">
                <a:lumMod val="20000"/>
                <a:lumOff val="80000"/>
              </a:schemeClr>
            </a:solidFill>
          </c:spPr>
          <c:invertIfNegative val="0"/>
          <c:dLbls>
            <c:dLbl>
              <c:idx val="0"/>
              <c:layout>
                <c:manualLayout>
                  <c:x val="-1.9585705632950111E-2"/>
                  <c:y val="-5.112903397196833E-3"/>
                </c:manualLayout>
              </c:layout>
              <c:showLegendKey val="0"/>
              <c:showVal val="1"/>
              <c:showCatName val="0"/>
              <c:showSerName val="0"/>
              <c:showPercent val="0"/>
              <c:showBubbleSize val="0"/>
            </c:dLbl>
            <c:dLbl>
              <c:idx val="1"/>
              <c:layout>
                <c:manualLayout>
                  <c:x val="-1.4676419885384148E-2"/>
                  <c:y val="4.203725546452443E-4"/>
                </c:manualLayout>
              </c:layout>
              <c:showLegendKey val="0"/>
              <c:showVal val="1"/>
              <c:showCatName val="0"/>
              <c:showSerName val="0"/>
              <c:showPercent val="0"/>
              <c:showBubbleSize val="0"/>
            </c:dLbl>
            <c:dLbl>
              <c:idx val="2"/>
              <c:layout>
                <c:manualLayout>
                  <c:x val="-6.2673438009597914E-3"/>
                  <c:y val="1.0397951268237534E-2"/>
                </c:manualLayout>
              </c:layout>
              <c:showLegendKey val="0"/>
              <c:showVal val="1"/>
              <c:showCatName val="0"/>
              <c:showSerName val="0"/>
              <c:showPercent val="0"/>
              <c:showBubbleSize val="0"/>
            </c:dLbl>
            <c:dLbl>
              <c:idx val="3"/>
              <c:layout>
                <c:manualLayout>
                  <c:xMode val="edge"/>
                  <c:yMode val="edge"/>
                  <c:x val="0.63224637681160001"/>
                  <c:y val="0.35714285714286587"/>
                </c:manualLayout>
              </c:layout>
              <c:showLegendKey val="0"/>
              <c:showVal val="1"/>
              <c:showCatName val="0"/>
              <c:showSerName val="0"/>
              <c:showPercent val="0"/>
              <c:showBubbleSize val="0"/>
            </c:dLbl>
            <c:dLbl>
              <c:idx val="4"/>
              <c:layout>
                <c:manualLayout>
                  <c:xMode val="edge"/>
                  <c:yMode val="edge"/>
                  <c:x val="0.78442028985507251"/>
                  <c:y val="0.3131868131868250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Cooperativas</c:v>
                </c:pt>
                <c:pt idx="1">
                  <c:v>S.A.L.es</c:v>
                </c:pt>
                <c:pt idx="2">
                  <c:v>S.L.L.es</c:v>
                </c:pt>
              </c:strCache>
            </c:strRef>
          </c:cat>
          <c:val>
            <c:numRef>
              <c:f>Sheet1!$B$2:$D$2</c:f>
              <c:numCache>
                <c:formatCode>0.0%</c:formatCode>
                <c:ptCount val="3"/>
                <c:pt idx="0">
                  <c:v>0.27700000000000002</c:v>
                </c:pt>
                <c:pt idx="1">
                  <c:v>0.15900000000000106</c:v>
                </c:pt>
                <c:pt idx="2">
                  <c:v>4.0000000000000022E-2</c:v>
                </c:pt>
              </c:numCache>
            </c:numRef>
          </c:val>
        </c:ser>
        <c:ser>
          <c:idx val="1"/>
          <c:order val="1"/>
          <c:tx>
            <c:strRef>
              <c:f>Sheet1!$A$3</c:f>
              <c:strCache>
                <c:ptCount val="1"/>
                <c:pt idx="0">
                  <c:v>2012</c:v>
                </c:pt>
              </c:strCache>
            </c:strRef>
          </c:tx>
          <c:spPr>
            <a:solidFill>
              <a:schemeClr val="tx2"/>
            </a:solidFill>
          </c:spPr>
          <c:invertIfNegative val="0"/>
          <c:dLbls>
            <c:dLbl>
              <c:idx val="0"/>
              <c:layout>
                <c:manualLayout>
                  <c:x val="-1.0032148348320161E-3"/>
                  <c:y val="-1.5416493990882741E-3"/>
                </c:manualLayout>
              </c:layout>
              <c:showLegendKey val="0"/>
              <c:showVal val="1"/>
              <c:showCatName val="0"/>
              <c:showSerName val="0"/>
              <c:showPercent val="0"/>
              <c:showBubbleSize val="0"/>
            </c:dLbl>
            <c:dLbl>
              <c:idx val="1"/>
              <c:layout>
                <c:manualLayout>
                  <c:x val="1.8025439127801381E-3"/>
                  <c:y val="1.140489017820146E-2"/>
                </c:manualLayout>
              </c:layout>
              <c:showLegendKey val="0"/>
              <c:showVal val="1"/>
              <c:showCatName val="0"/>
              <c:showSerName val="0"/>
              <c:showPercent val="0"/>
              <c:showBubbleSize val="0"/>
            </c:dLbl>
            <c:dLbl>
              <c:idx val="2"/>
              <c:layout>
                <c:manualLayout>
                  <c:x val="-7.758468061315019E-4"/>
                  <c:y val="1.2335320433123997E-2"/>
                </c:manualLayout>
              </c:layout>
              <c:showLegendKey val="0"/>
              <c:showVal val="1"/>
              <c:showCatName val="0"/>
              <c:showSerName val="0"/>
              <c:showPercent val="0"/>
              <c:showBubbleSize val="0"/>
            </c:dLbl>
            <c:dLbl>
              <c:idx val="3"/>
              <c:layout>
                <c:manualLayout>
                  <c:xMode val="edge"/>
                  <c:yMode val="edge"/>
                  <c:x val="0.67753623188405798"/>
                  <c:y val="0.44505494505495241"/>
                </c:manualLayout>
              </c:layout>
              <c:showLegendKey val="0"/>
              <c:showVal val="1"/>
              <c:showCatName val="0"/>
              <c:showSerName val="0"/>
              <c:showPercent val="0"/>
              <c:showBubbleSize val="0"/>
            </c:dLbl>
            <c:dLbl>
              <c:idx val="4"/>
              <c:layout>
                <c:manualLayout>
                  <c:xMode val="edge"/>
                  <c:yMode val="edge"/>
                  <c:x val="0.85144927536231885"/>
                  <c:y val="0.3626373626373626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Cooperativas</c:v>
                </c:pt>
                <c:pt idx="1">
                  <c:v>S.A.L.es</c:v>
                </c:pt>
                <c:pt idx="2">
                  <c:v>S.L.L.es</c:v>
                </c:pt>
              </c:strCache>
            </c:strRef>
          </c:cat>
          <c:val>
            <c:numRef>
              <c:f>Sheet1!$B$3:$D$3</c:f>
              <c:numCache>
                <c:formatCode>0.00%</c:formatCode>
                <c:ptCount val="3"/>
                <c:pt idx="0" formatCode="0.0%">
                  <c:v>0.33500000000000257</c:v>
                </c:pt>
                <c:pt idx="1">
                  <c:v>0.21200000000000024</c:v>
                </c:pt>
                <c:pt idx="2" formatCode="0.0%">
                  <c:v>0.12100000000000002</c:v>
                </c:pt>
              </c:numCache>
            </c:numRef>
          </c:val>
        </c:ser>
        <c:ser>
          <c:idx val="2"/>
          <c:order val="2"/>
          <c:tx>
            <c:strRef>
              <c:f>Sheet1!$A$4</c:f>
              <c:strCache>
                <c:ptCount val="1"/>
                <c:pt idx="0">
                  <c:v>2014</c:v>
                </c:pt>
              </c:strCache>
            </c:strRef>
          </c:tx>
          <c:spPr>
            <a:solidFill>
              <a:schemeClr val="accent1"/>
            </a:solidFill>
          </c:spPr>
          <c:invertIfNegative val="0"/>
          <c:dLbls>
            <c:showLegendKey val="0"/>
            <c:showVal val="1"/>
            <c:showCatName val="0"/>
            <c:showSerName val="0"/>
            <c:showPercent val="0"/>
            <c:showBubbleSize val="0"/>
            <c:showLeaderLines val="0"/>
          </c:dLbls>
          <c:cat>
            <c:strRef>
              <c:f>Sheet1!$B$1:$D$1</c:f>
              <c:strCache>
                <c:ptCount val="3"/>
                <c:pt idx="0">
                  <c:v>Cooperativas</c:v>
                </c:pt>
                <c:pt idx="1">
                  <c:v>S.A.L.es</c:v>
                </c:pt>
                <c:pt idx="2">
                  <c:v>S.L.L.es</c:v>
                </c:pt>
              </c:strCache>
            </c:strRef>
          </c:cat>
          <c:val>
            <c:numRef>
              <c:f>Sheet1!$B$4:$D$4</c:f>
              <c:numCache>
                <c:formatCode>0.00%</c:formatCode>
                <c:ptCount val="3"/>
                <c:pt idx="0" formatCode="0.0%">
                  <c:v>0.35900000000000032</c:v>
                </c:pt>
                <c:pt idx="1">
                  <c:v>0.27700000000000002</c:v>
                </c:pt>
                <c:pt idx="2" formatCode="0.0%">
                  <c:v>9.0000000000000024E-2</c:v>
                </c:pt>
              </c:numCache>
            </c:numRef>
          </c:val>
        </c:ser>
        <c:dLbls>
          <c:showLegendKey val="0"/>
          <c:showVal val="0"/>
          <c:showCatName val="0"/>
          <c:showSerName val="0"/>
          <c:showPercent val="0"/>
          <c:showBubbleSize val="0"/>
        </c:dLbls>
        <c:gapWidth val="150"/>
        <c:axId val="330028928"/>
        <c:axId val="330030464"/>
      </c:barChart>
      <c:catAx>
        <c:axId val="330028928"/>
        <c:scaling>
          <c:orientation val="minMax"/>
        </c:scaling>
        <c:delete val="0"/>
        <c:axPos val="b"/>
        <c:numFmt formatCode="General" sourceLinked="1"/>
        <c:majorTickMark val="out"/>
        <c:minorTickMark val="none"/>
        <c:tickLblPos val="low"/>
        <c:txPr>
          <a:bodyPr rot="0" vert="horz"/>
          <a:lstStyle/>
          <a:p>
            <a:pPr>
              <a:defRPr/>
            </a:pPr>
            <a:endParaRPr lang="es-ES"/>
          </a:p>
        </c:txPr>
        <c:crossAx val="330030464"/>
        <c:crosses val="autoZero"/>
        <c:auto val="1"/>
        <c:lblAlgn val="ctr"/>
        <c:lblOffset val="100"/>
        <c:tickLblSkip val="1"/>
        <c:tickMarkSkip val="1"/>
        <c:noMultiLvlLbl val="0"/>
      </c:catAx>
      <c:valAx>
        <c:axId val="330030464"/>
        <c:scaling>
          <c:orientation val="minMax"/>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330028928"/>
        <c:crosses val="autoZero"/>
        <c:crossBetween val="between"/>
      </c:valAx>
    </c:plotArea>
    <c:legend>
      <c:legendPos val="b"/>
      <c:layout>
        <c:manualLayout>
          <c:xMode val="edge"/>
          <c:yMode val="edge"/>
          <c:x val="0.28476764664771925"/>
          <c:y val="0.82494692212056475"/>
          <c:w val="0.48764347947630804"/>
          <c:h val="8.0138140627158447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9041954386612862"/>
          <c:y val="0.28268819658412281"/>
          <c:w val="0.38254870678650782"/>
          <c:h val="0.57681691962419002"/>
        </c:manualLayout>
      </c:layout>
      <c:pieChart>
        <c:varyColors val="1"/>
        <c:ser>
          <c:idx val="0"/>
          <c:order val="0"/>
          <c:tx>
            <c:strRef>
              <c:f>Sheet1!$A$2</c:f>
              <c:strCache>
                <c:ptCount val="1"/>
              </c:strCache>
            </c:strRef>
          </c:tx>
          <c:dLbls>
            <c:dLbl>
              <c:idx val="0"/>
              <c:layout>
                <c:manualLayout>
                  <c:x val="2.0093473033287207E-2"/>
                  <c:y val="-4.6178249457948177E-2"/>
                </c:manualLayout>
              </c:layout>
              <c:dLblPos val="bestFit"/>
              <c:showLegendKey val="0"/>
              <c:showVal val="0"/>
              <c:showCatName val="1"/>
              <c:showSerName val="0"/>
              <c:showPercent val="1"/>
              <c:showBubbleSize val="0"/>
            </c:dLbl>
            <c:dLbl>
              <c:idx val="1"/>
              <c:layout>
                <c:manualLayout>
                  <c:x val="1.905182844070732E-3"/>
                  <c:y val="-1.6336490547377243E-2"/>
                </c:manualLayout>
              </c:layout>
              <c:dLblPos val="bestFit"/>
              <c:showLegendKey val="0"/>
              <c:showVal val="0"/>
              <c:showCatName val="1"/>
              <c:showSerName val="0"/>
              <c:showPercent val="1"/>
              <c:showBubbleSize val="0"/>
            </c:dLbl>
            <c:dLbl>
              <c:idx val="2"/>
              <c:layout>
                <c:manualLayout>
                  <c:x val="3.9848048542612292E-3"/>
                  <c:y val="-9.0934966573997536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0.251</c:v>
                </c:pt>
                <c:pt idx="1">
                  <c:v>0.68200000000000005</c:v>
                </c:pt>
                <c:pt idx="2">
                  <c:v>6.8000000000000019E-2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5500982318272"/>
          <c:y val="5.4945054945054944E-2"/>
          <c:w val="0.87229862475442665"/>
          <c:h val="0.75824175824176065"/>
        </c:manualLayout>
      </c:layout>
      <c:barChart>
        <c:barDir val="col"/>
        <c:grouping val="clustered"/>
        <c:varyColors val="0"/>
        <c:ser>
          <c:idx val="0"/>
          <c:order val="0"/>
          <c:tx>
            <c:strRef>
              <c:f>Sheet1!$A$2</c:f>
              <c:strCache>
                <c:ptCount val="1"/>
              </c:strCache>
            </c:strRef>
          </c:tx>
          <c:invertIfNegative val="0"/>
          <c:dLbls>
            <c:dLbl>
              <c:idx val="0"/>
              <c:layout>
                <c:manualLayout>
                  <c:x val="6.5440069317999373E-4"/>
                  <c:y val="-1.985018829168152E-2"/>
                </c:manualLayout>
              </c:layout>
              <c:showLegendKey val="0"/>
              <c:showVal val="1"/>
              <c:showCatName val="0"/>
              <c:showSerName val="0"/>
              <c:showPercent val="0"/>
              <c:showBubbleSize val="0"/>
            </c:dLbl>
            <c:dLbl>
              <c:idx val="1"/>
              <c:layout>
                <c:manualLayout>
                  <c:x val="-2.2768700661166892E-3"/>
                  <c:y val="-5.3948647723382405E-2"/>
                </c:manualLayout>
              </c:layout>
              <c:showLegendKey val="0"/>
              <c:showVal val="1"/>
              <c:showCatName val="0"/>
              <c:showSerName val="0"/>
              <c:showPercent val="0"/>
              <c:showBubbleSize val="0"/>
            </c:dLbl>
            <c:dLbl>
              <c:idx val="2"/>
              <c:layout>
                <c:manualLayout>
                  <c:x val="8.3815802362914998E-3"/>
                  <c:y val="-8.0985963711058227E-3"/>
                </c:manualLayout>
              </c:layout>
              <c:showLegendKey val="0"/>
              <c:showVal val="1"/>
              <c:showCatName val="0"/>
              <c:showSerName val="0"/>
              <c:showPercent val="0"/>
              <c:showBubbleSize val="0"/>
            </c:dLbl>
            <c:dLbl>
              <c:idx val="3"/>
              <c:layout>
                <c:manualLayout>
                  <c:x val="-6.2036781762419592E-3"/>
                  <c:y val="0"/>
                </c:manualLayout>
              </c:layout>
              <c:showLegendKey val="0"/>
              <c:showVal val="1"/>
              <c:showCatName val="0"/>
              <c:showSerName val="0"/>
              <c:showPercent val="0"/>
              <c:showBubbleSize val="0"/>
            </c:dLbl>
            <c:dLbl>
              <c:idx val="4"/>
              <c:layout>
                <c:manualLayout>
                  <c:xMode val="edge"/>
                  <c:yMode val="edge"/>
                  <c:x val="0.5009823182711195"/>
                  <c:y val="0.1373626373626374"/>
                </c:manualLayout>
              </c:layout>
              <c:showLegendKey val="0"/>
              <c:showVal val="1"/>
              <c:showCatName val="0"/>
              <c:showSerName val="0"/>
              <c:showPercent val="0"/>
              <c:showBubbleSize val="0"/>
            </c:dLbl>
            <c:dLbl>
              <c:idx val="5"/>
              <c:layout>
                <c:manualLayout>
                  <c:xMode val="edge"/>
                  <c:yMode val="edge"/>
                  <c:x val="0.58939096267190549"/>
                  <c:y val="0.12637362637362209"/>
                </c:manualLayout>
              </c:layout>
              <c:showLegendKey val="0"/>
              <c:showVal val="1"/>
              <c:showCatName val="0"/>
              <c:showSerName val="0"/>
              <c:showPercent val="0"/>
              <c:showBubbleSize val="0"/>
            </c:dLbl>
            <c:dLbl>
              <c:idx val="6"/>
              <c:layout>
                <c:manualLayout>
                  <c:xMode val="edge"/>
                  <c:yMode val="edge"/>
                  <c:x val="0.66797642436150895"/>
                  <c:y val="0.1153846153846154"/>
                </c:manualLayout>
              </c:layout>
              <c:showLegendKey val="0"/>
              <c:showVal val="1"/>
              <c:showCatName val="0"/>
              <c:showSerName val="0"/>
              <c:showPercent val="0"/>
              <c:showBubbleSize val="0"/>
            </c:dLbl>
            <c:dLbl>
              <c:idx val="7"/>
              <c:layout>
                <c:manualLayout>
                  <c:xMode val="edge"/>
                  <c:yMode val="edge"/>
                  <c:x val="0.75245579567779963"/>
                  <c:y val="9.8901098901100243E-2"/>
                </c:manualLayout>
              </c:layout>
              <c:showLegendKey val="0"/>
              <c:showVal val="1"/>
              <c:showCatName val="0"/>
              <c:showSerName val="0"/>
              <c:showPercent val="0"/>
              <c:showBubbleSize val="0"/>
            </c:dLbl>
            <c:dLbl>
              <c:idx val="8"/>
              <c:layout>
                <c:manualLayout>
                  <c:xMode val="edge"/>
                  <c:yMode val="edge"/>
                  <c:x val="0.83889980353636184"/>
                  <c:y val="0.14285714285714662"/>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Primario</c:v>
                </c:pt>
                <c:pt idx="1">
                  <c:v>Industria</c:v>
                </c:pt>
                <c:pt idx="2">
                  <c:v>Construcción</c:v>
                </c:pt>
                <c:pt idx="3">
                  <c:v>Servicios</c:v>
                </c:pt>
              </c:strCache>
            </c:strRef>
          </c:cat>
          <c:val>
            <c:numRef>
              <c:f>Sheet1!$B$2:$E$2</c:f>
              <c:numCache>
                <c:formatCode>#,##0</c:formatCode>
                <c:ptCount val="4"/>
                <c:pt idx="0">
                  <c:v>40947.432748538005</c:v>
                </c:pt>
                <c:pt idx="1">
                  <c:v>88769.490485991511</c:v>
                </c:pt>
                <c:pt idx="2">
                  <c:v>27002.669168230092</c:v>
                </c:pt>
                <c:pt idx="3">
                  <c:v>119476.50112049648</c:v>
                </c:pt>
              </c:numCache>
            </c:numRef>
          </c:val>
        </c:ser>
        <c:dLbls>
          <c:showLegendKey val="0"/>
          <c:showVal val="0"/>
          <c:showCatName val="0"/>
          <c:showSerName val="0"/>
          <c:showPercent val="0"/>
          <c:showBubbleSize val="0"/>
        </c:dLbls>
        <c:gapWidth val="150"/>
        <c:axId val="330237440"/>
        <c:axId val="330238976"/>
      </c:barChart>
      <c:catAx>
        <c:axId val="330237440"/>
        <c:scaling>
          <c:orientation val="minMax"/>
        </c:scaling>
        <c:delete val="0"/>
        <c:axPos val="b"/>
        <c:numFmt formatCode="General" sourceLinked="1"/>
        <c:majorTickMark val="out"/>
        <c:minorTickMark val="none"/>
        <c:tickLblPos val="low"/>
        <c:txPr>
          <a:bodyPr rot="0" vert="horz"/>
          <a:lstStyle/>
          <a:p>
            <a:pPr>
              <a:defRPr/>
            </a:pPr>
            <a:endParaRPr lang="es-ES"/>
          </a:p>
        </c:txPr>
        <c:crossAx val="330238976"/>
        <c:crosses val="autoZero"/>
        <c:auto val="1"/>
        <c:lblAlgn val="ctr"/>
        <c:lblOffset val="100"/>
        <c:tickLblSkip val="1"/>
        <c:tickMarkSkip val="1"/>
        <c:noMultiLvlLbl val="0"/>
      </c:catAx>
      <c:valAx>
        <c:axId val="330238976"/>
        <c:scaling>
          <c:orientation val="minMax"/>
          <c:max val="130000"/>
          <c:min val="0"/>
        </c:scaling>
        <c:delete val="0"/>
        <c:axPos val="l"/>
        <c:majorGridlines/>
        <c:numFmt formatCode="#,##0" sourceLinked="1"/>
        <c:majorTickMark val="out"/>
        <c:minorTickMark val="none"/>
        <c:tickLblPos val="nextTo"/>
        <c:txPr>
          <a:bodyPr rot="0" vert="horz"/>
          <a:lstStyle/>
          <a:p>
            <a:pPr>
              <a:defRPr/>
            </a:pPr>
            <a:endParaRPr lang="es-ES"/>
          </a:p>
        </c:txPr>
        <c:crossAx val="330237440"/>
        <c:crosses val="autoZero"/>
        <c:crossBetween val="between"/>
        <c:majorUnit val="20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32E-2"/>
          <c:y val="8.7912087912087933E-2"/>
          <c:w val="0.93638170974154356"/>
          <c:h val="0.58951696492483208"/>
        </c:manualLayout>
      </c:layout>
      <c:barChart>
        <c:barDir val="col"/>
        <c:grouping val="clustered"/>
        <c:varyColors val="0"/>
        <c:ser>
          <c:idx val="0"/>
          <c:order val="0"/>
          <c:tx>
            <c:strRef>
              <c:f>Sheet1!$A$2</c:f>
              <c:strCache>
                <c:ptCount val="1"/>
              </c:strCache>
            </c:strRef>
          </c:tx>
          <c:spPr>
            <a:solidFill>
              <a:schemeClr val="accent1"/>
            </a:solidFill>
            <a:ln w="12674">
              <a:noFill/>
              <a:prstDash val="solid"/>
            </a:ln>
          </c:spPr>
          <c:invertIfNegative val="0"/>
          <c:dLbls>
            <c:dLbl>
              <c:idx val="0"/>
              <c:layout>
                <c:manualLayout>
                  <c:x val="7.5028707349081964E-4"/>
                  <c:y val="-4.6899606299212714E-3"/>
                </c:manualLayout>
              </c:layout>
              <c:showLegendKey val="0"/>
              <c:showVal val="1"/>
              <c:showCatName val="0"/>
              <c:showSerName val="0"/>
              <c:showPercent val="0"/>
              <c:showBubbleSize val="0"/>
            </c:dLbl>
            <c:dLbl>
              <c:idx val="1"/>
              <c:layout>
                <c:manualLayout>
                  <c:x val="1.8360400262467436E-3"/>
                  <c:y val="-4.0018591426071934E-2"/>
                </c:manualLayout>
              </c:layout>
              <c:tx>
                <c:rich>
                  <a:bodyPr/>
                  <a:lstStyle/>
                  <a:p>
                    <a:r>
                      <a:rPr lang="en-US" b="1"/>
                      <a:t>1</a:t>
                    </a:r>
                    <a:r>
                      <a:rPr lang="en-US"/>
                      <a:t>1,0</a:t>
                    </a:r>
                  </a:p>
                </c:rich>
              </c:tx>
              <c:showLegendKey val="0"/>
              <c:showVal val="1"/>
              <c:showCatName val="0"/>
              <c:showSerName val="0"/>
              <c:showPercent val="0"/>
              <c:showBubbleSize val="0"/>
            </c:dLbl>
            <c:dLbl>
              <c:idx val="2"/>
              <c:layout>
                <c:manualLayout>
                  <c:x val="7.6537893700787413E-3"/>
                  <c:y val="-1.2323381452318441E-2"/>
                </c:manualLayout>
              </c:layout>
              <c:showLegendKey val="0"/>
              <c:showVal val="1"/>
              <c:showCatName val="0"/>
              <c:showSerName val="0"/>
              <c:showPercent val="0"/>
              <c:showBubbleSize val="0"/>
            </c:dLbl>
            <c:dLbl>
              <c:idx val="3"/>
              <c:layout>
                <c:manualLayout>
                  <c:x val="4.9032152230971448E-3"/>
                  <c:y val="-1.2295494313210861E-2"/>
                </c:manualLayout>
              </c:layout>
              <c:showLegendKey val="0"/>
              <c:showVal val="1"/>
              <c:showCatName val="0"/>
              <c:showSerName val="0"/>
              <c:showPercent val="0"/>
              <c:showBubbleSize val="0"/>
            </c:dLbl>
            <c:dLbl>
              <c:idx val="4"/>
              <c:layout>
                <c:manualLayout>
                  <c:x val="-3.0554872047244262E-3"/>
                  <c:y val="-1.9212051618547853E-2"/>
                </c:manualLayout>
              </c:layout>
              <c:showLegendKey val="0"/>
              <c:showVal val="1"/>
              <c:showCatName val="0"/>
              <c:showSerName val="0"/>
              <c:showPercent val="0"/>
              <c:showBubbleSize val="0"/>
            </c:dLbl>
            <c:dLbl>
              <c:idx val="5"/>
              <c:layout>
                <c:manualLayout>
                  <c:x val="7.3546177821522656E-3"/>
                  <c:y val="1.7043963254593183E-3"/>
                </c:manualLayout>
              </c:layout>
              <c:showLegendKey val="0"/>
              <c:showVal val="1"/>
              <c:showCatName val="0"/>
              <c:showSerName val="0"/>
              <c:showPercent val="0"/>
              <c:showBubbleSize val="0"/>
            </c:dLbl>
            <c:dLbl>
              <c:idx val="6"/>
              <c:layout>
                <c:manualLayout>
                  <c:x val="6.278707349081416E-4"/>
                  <c:y val="1.2694116360454939E-2"/>
                </c:manualLayout>
              </c:layout>
              <c:showLegendKey val="0"/>
              <c:showVal val="1"/>
              <c:showCatName val="0"/>
              <c:showSerName val="0"/>
              <c:showPercent val="0"/>
              <c:showBubbleSize val="0"/>
            </c:dLbl>
            <c:dLbl>
              <c:idx val="7"/>
              <c:layout>
                <c:manualLayout>
                  <c:x val="1.2372867454068241E-3"/>
                  <c:y val="1.007053805774278E-2"/>
                </c:manualLayout>
              </c:layout>
              <c:showLegendKey val="0"/>
              <c:showVal val="1"/>
              <c:showCatName val="0"/>
              <c:showSerName val="0"/>
              <c:showPercent val="0"/>
              <c:showBubbleSize val="0"/>
            </c:dLbl>
            <c:dLbl>
              <c:idx val="8"/>
              <c:layout>
                <c:manualLayout>
                  <c:x val="3.0788631889764892E-3"/>
                  <c:y val="1.2665682414698162E-2"/>
                </c:manualLayout>
              </c:layout>
              <c:showLegendKey val="0"/>
              <c:showVal val="1"/>
              <c:showCatName val="0"/>
              <c:showSerName val="0"/>
              <c:showPercent val="0"/>
              <c:showBubbleSize val="0"/>
            </c:dLbl>
            <c:dLbl>
              <c:idx val="9"/>
              <c:layout>
                <c:manualLayout>
                  <c:x val="-1.6594898293963434E-3"/>
                  <c:y val="1.5148731408573935E-2"/>
                </c:manualLayout>
              </c:layout>
              <c:showLegendKey val="0"/>
              <c:showVal val="1"/>
              <c:showCatName val="0"/>
              <c:showSerName val="0"/>
              <c:showPercent val="0"/>
              <c:showBubbleSize val="0"/>
            </c:dLbl>
            <c:spPr>
              <a:noFill/>
              <a:ln w="25347">
                <a:noFill/>
              </a:ln>
            </c:spPr>
            <c:txPr>
              <a:bodyPr/>
              <a:lstStyle/>
              <a:p>
                <a:pPr>
                  <a:defRPr b="1"/>
                </a:pPr>
                <a:endParaRPr lang="es-ES"/>
              </a:p>
            </c:txPr>
            <c:showLegendKey val="0"/>
            <c:showVal val="1"/>
            <c:showCatName val="0"/>
            <c:showSerName val="0"/>
            <c:showPercent val="0"/>
            <c:showBubbleSize val="0"/>
            <c:showLeaderLines val="0"/>
          </c:dLbls>
          <c:cat>
            <c:strRef>
              <c:f>Sheet1!$B$1:$L$1</c:f>
              <c:strCache>
                <c:ptCount val="11"/>
                <c:pt idx="0">
                  <c:v>Alto Deba</c:v>
                </c:pt>
                <c:pt idx="1">
                  <c:v>Tolosa – Goierri</c:v>
                </c:pt>
                <c:pt idx="2">
                  <c:v>Duranguesado</c:v>
                </c:pt>
                <c:pt idx="3">
                  <c:v>Bizkaia – Costa</c:v>
                </c:pt>
                <c:pt idx="4">
                  <c:v>Bajo Deba</c:v>
                </c:pt>
                <c:pt idx="5">
                  <c:v>M. Derecha</c:v>
                </c:pt>
                <c:pt idx="6">
                  <c:v>Donostialdea</c:v>
                </c:pt>
                <c:pt idx="7">
                  <c:v>Gasteiz</c:v>
                </c:pt>
                <c:pt idx="8">
                  <c:v>Ayala</c:v>
                </c:pt>
                <c:pt idx="9">
                  <c:v>Bilbao</c:v>
                </c:pt>
                <c:pt idx="10">
                  <c:v>M. Izquierda</c:v>
                </c:pt>
              </c:strCache>
            </c:strRef>
          </c:cat>
          <c:val>
            <c:numRef>
              <c:f>Sheet1!$B$2:$L$2</c:f>
              <c:numCache>
                <c:formatCode>General</c:formatCode>
                <c:ptCount val="11"/>
                <c:pt idx="0">
                  <c:v>40.800000000000004</c:v>
                </c:pt>
                <c:pt idx="1">
                  <c:v>11</c:v>
                </c:pt>
                <c:pt idx="2" formatCode="#,##0.0">
                  <c:v>10.1</c:v>
                </c:pt>
                <c:pt idx="3" formatCode="#,##0.0">
                  <c:v>7.9</c:v>
                </c:pt>
                <c:pt idx="4">
                  <c:v>7.1</c:v>
                </c:pt>
                <c:pt idx="5" formatCode="#,##0.0">
                  <c:v>5</c:v>
                </c:pt>
                <c:pt idx="6" formatCode="#,##0.0">
                  <c:v>4.7</c:v>
                </c:pt>
                <c:pt idx="7" formatCode="#,##0.0">
                  <c:v>4.2</c:v>
                </c:pt>
                <c:pt idx="8" formatCode="#,##0.0">
                  <c:v>3.3</c:v>
                </c:pt>
                <c:pt idx="9" formatCode="#,##0.0">
                  <c:v>3.2</c:v>
                </c:pt>
                <c:pt idx="10" formatCode="#,##0.0">
                  <c:v>2.9</c:v>
                </c:pt>
              </c:numCache>
            </c:numRef>
          </c:val>
        </c:ser>
        <c:dLbls>
          <c:showLegendKey val="0"/>
          <c:showVal val="0"/>
          <c:showCatName val="0"/>
          <c:showSerName val="0"/>
          <c:showPercent val="0"/>
          <c:showBubbleSize val="0"/>
        </c:dLbls>
        <c:gapWidth val="150"/>
        <c:axId val="330267264"/>
        <c:axId val="330273152"/>
      </c:barChart>
      <c:catAx>
        <c:axId val="330267264"/>
        <c:scaling>
          <c:orientation val="minMax"/>
        </c:scaling>
        <c:delete val="0"/>
        <c:axPos val="b"/>
        <c:numFmt formatCode="General" sourceLinked="1"/>
        <c:majorTickMark val="out"/>
        <c:minorTickMark val="none"/>
        <c:tickLblPos val="low"/>
        <c:spPr>
          <a:ln w="3168">
            <a:solidFill>
              <a:srgbClr val="000000"/>
            </a:solidFill>
            <a:prstDash val="solid"/>
          </a:ln>
        </c:spPr>
        <c:txPr>
          <a:bodyPr rot="-5400000" vert="horz" anchor="ctr" anchorCtr="0"/>
          <a:lstStyle/>
          <a:p>
            <a:pPr>
              <a:defRPr sz="800"/>
            </a:pPr>
            <a:endParaRPr lang="es-ES"/>
          </a:p>
        </c:txPr>
        <c:crossAx val="330273152"/>
        <c:crosses val="autoZero"/>
        <c:auto val="1"/>
        <c:lblAlgn val="ctr"/>
        <c:lblOffset val="0"/>
        <c:tickLblSkip val="1"/>
        <c:tickMarkSkip val="1"/>
        <c:noMultiLvlLbl val="0"/>
      </c:catAx>
      <c:valAx>
        <c:axId val="330273152"/>
        <c:scaling>
          <c:orientation val="minMax"/>
          <c:max val="45"/>
          <c:min val="0"/>
        </c:scaling>
        <c:delete val="0"/>
        <c:axPos val="l"/>
        <c:majorGridlines>
          <c:spPr>
            <a:ln w="12674">
              <a:solidFill>
                <a:srgbClr val="C0C0C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es-ES"/>
          </a:p>
        </c:txPr>
        <c:crossAx val="330267264"/>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accent1"/>
            </a:solidFill>
            <a:ln w="12674">
              <a:noFill/>
              <a:prstDash val="solid"/>
            </a:ln>
          </c:spPr>
          <c:invertIfNegative val="0"/>
          <c:dLbls>
            <c:showLegendKey val="0"/>
            <c:showVal val="1"/>
            <c:showCatName val="0"/>
            <c:showSerName val="0"/>
            <c:showPercent val="0"/>
            <c:showBubbleSize val="0"/>
            <c:showLeaderLines val="0"/>
          </c:dLbls>
          <c:cat>
            <c:strRef>
              <c:f>Sheet1!$B$1:$L$1</c:f>
              <c:strCache>
                <c:ptCount val="11"/>
                <c:pt idx="0">
                  <c:v>Alto Deba</c:v>
                </c:pt>
                <c:pt idx="1">
                  <c:v>Tolosa – Goierri</c:v>
                </c:pt>
                <c:pt idx="2">
                  <c:v>Bizkaia – Costa</c:v>
                </c:pt>
                <c:pt idx="3">
                  <c:v>Bajo Deba</c:v>
                </c:pt>
                <c:pt idx="4">
                  <c:v>Duranguesado</c:v>
                </c:pt>
                <c:pt idx="5">
                  <c:v>Gasteiz</c:v>
                </c:pt>
                <c:pt idx="6">
                  <c:v>M. Derecha</c:v>
                </c:pt>
                <c:pt idx="7">
                  <c:v>Donostialdea</c:v>
                </c:pt>
                <c:pt idx="8">
                  <c:v>Ayala</c:v>
                </c:pt>
                <c:pt idx="9">
                  <c:v>M. Izquierda</c:v>
                </c:pt>
                <c:pt idx="10">
                  <c:v>Bilbao</c:v>
                </c:pt>
              </c:strCache>
            </c:strRef>
          </c:cat>
          <c:val>
            <c:numRef>
              <c:f>Sheet1!$B$2:$L$2</c:f>
              <c:numCache>
                <c:formatCode>General</c:formatCode>
                <c:ptCount val="11"/>
                <c:pt idx="0">
                  <c:v>61.1</c:v>
                </c:pt>
                <c:pt idx="1">
                  <c:v>54.8</c:v>
                </c:pt>
                <c:pt idx="2" formatCode="#,##0.0">
                  <c:v>53</c:v>
                </c:pt>
                <c:pt idx="3">
                  <c:v>46</c:v>
                </c:pt>
                <c:pt idx="4" formatCode="#,##0.0">
                  <c:v>29.8</c:v>
                </c:pt>
                <c:pt idx="5">
                  <c:v>19.8</c:v>
                </c:pt>
                <c:pt idx="6" formatCode="#,##0.0">
                  <c:v>19.100000000000001</c:v>
                </c:pt>
                <c:pt idx="7" formatCode="#,##0.0">
                  <c:v>12.3</c:v>
                </c:pt>
                <c:pt idx="8" formatCode="#,##0.0">
                  <c:v>10.4</c:v>
                </c:pt>
                <c:pt idx="9" formatCode="#,##0.0">
                  <c:v>2.2000000000000002</c:v>
                </c:pt>
                <c:pt idx="10" formatCode="#,##0.0">
                  <c:v>1.3</c:v>
                </c:pt>
              </c:numCache>
            </c:numRef>
          </c:val>
        </c:ser>
        <c:dLbls>
          <c:showLegendKey val="0"/>
          <c:showVal val="0"/>
          <c:showCatName val="0"/>
          <c:showSerName val="0"/>
          <c:showPercent val="0"/>
          <c:showBubbleSize val="0"/>
        </c:dLbls>
        <c:gapWidth val="150"/>
        <c:axId val="293195776"/>
        <c:axId val="293197312"/>
      </c:barChart>
      <c:catAx>
        <c:axId val="293195776"/>
        <c:scaling>
          <c:orientation val="minMax"/>
        </c:scaling>
        <c:delete val="0"/>
        <c:axPos val="b"/>
        <c:numFmt formatCode="General" sourceLinked="1"/>
        <c:majorTickMark val="out"/>
        <c:minorTickMark val="none"/>
        <c:tickLblPos val="low"/>
        <c:spPr>
          <a:ln w="3168">
            <a:solidFill>
              <a:srgbClr val="000000"/>
            </a:solidFill>
            <a:prstDash val="solid"/>
          </a:ln>
        </c:spPr>
        <c:txPr>
          <a:bodyPr rot="-5400000" vert="horz"/>
          <a:lstStyle/>
          <a:p>
            <a:pPr>
              <a:defRPr sz="800"/>
            </a:pPr>
            <a:endParaRPr lang="es-ES"/>
          </a:p>
        </c:txPr>
        <c:crossAx val="293197312"/>
        <c:crosses val="autoZero"/>
        <c:auto val="1"/>
        <c:lblAlgn val="ctr"/>
        <c:lblOffset val="100"/>
        <c:tickLblSkip val="1"/>
        <c:tickMarkSkip val="1"/>
        <c:noMultiLvlLbl val="0"/>
      </c:catAx>
      <c:valAx>
        <c:axId val="293197312"/>
        <c:scaling>
          <c:orientation val="minMax"/>
        </c:scaling>
        <c:delete val="0"/>
        <c:axPos val="l"/>
        <c:majorGridlines>
          <c:spPr>
            <a:ln w="12674">
              <a:solidFill>
                <a:srgbClr val="C0C0C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es-ES"/>
          </a:p>
        </c:txPr>
        <c:crossAx val="293195776"/>
        <c:crosses val="autoZero"/>
        <c:crossBetween val="between"/>
        <c:majorUnit val="2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451"/>
          <c:w val="0.88408644400784797"/>
          <c:h val="0.57142857142858439"/>
        </c:manualLayout>
      </c:layout>
      <c:barChart>
        <c:barDir val="col"/>
        <c:grouping val="clustered"/>
        <c:varyColors val="0"/>
        <c:ser>
          <c:idx val="0"/>
          <c:order val="0"/>
          <c:tx>
            <c:strRef>
              <c:f>Sheet1!$A$2</c:f>
              <c:strCache>
                <c:ptCount val="1"/>
              </c:strCache>
            </c:strRef>
          </c:tx>
          <c:spPr>
            <a:solidFill>
              <a:schemeClr val="accent1"/>
            </a:solidFill>
            <a:ln w="12700">
              <a:noFill/>
              <a:prstDash val="solid"/>
            </a:ln>
          </c:spPr>
          <c:invertIfNegative val="0"/>
          <c:dPt>
            <c:idx val="10"/>
            <c:invertIfNegative val="0"/>
            <c:bubble3D val="0"/>
            <c:spPr>
              <a:solidFill>
                <a:srgbClr val="4F81BD"/>
              </a:solidFill>
              <a:ln w="12700">
                <a:noFill/>
                <a:prstDash val="solid"/>
              </a:ln>
            </c:spPr>
          </c:dPt>
          <c:dPt>
            <c:idx val="11"/>
            <c:invertIfNegative val="0"/>
            <c:bubble3D val="0"/>
            <c:spPr>
              <a:solidFill>
                <a:srgbClr val="4F81BD">
                  <a:lumMod val="20000"/>
                  <a:lumOff val="80000"/>
                </a:srgbClr>
              </a:solidFill>
              <a:ln w="12700">
                <a:noFill/>
                <a:prstDash val="solid"/>
              </a:ln>
            </c:spPr>
          </c:dPt>
          <c:dLbls>
            <c:dLbl>
              <c:idx val="0"/>
              <c:layout>
                <c:manualLayout>
                  <c:x val="-1.0654030596321264E-3"/>
                  <c:y val="5.7945795449602013E-3"/>
                </c:manualLayout>
              </c:layout>
              <c:showLegendKey val="0"/>
              <c:showVal val="1"/>
              <c:showCatName val="0"/>
              <c:showSerName val="0"/>
              <c:showPercent val="0"/>
              <c:showBubbleSize val="0"/>
            </c:dLbl>
            <c:dLbl>
              <c:idx val="1"/>
              <c:layout>
                <c:manualLayout>
                  <c:x val="8.2201356756101394E-4"/>
                  <c:y val="4.5351720537695414E-3"/>
                </c:manualLayout>
              </c:layout>
              <c:showLegendKey val="0"/>
              <c:showVal val="1"/>
              <c:showCatName val="0"/>
              <c:showSerName val="0"/>
              <c:showPercent val="0"/>
              <c:showBubbleSize val="0"/>
            </c:dLbl>
            <c:dLbl>
              <c:idx val="2"/>
              <c:layout>
                <c:manualLayout>
                  <c:x val="-4.3570290834285133E-3"/>
                  <c:y val="-5.3600948362117675E-3"/>
                </c:manualLayout>
              </c:layout>
              <c:showLegendKey val="0"/>
              <c:showVal val="1"/>
              <c:showCatName val="0"/>
              <c:showSerName val="0"/>
              <c:showPercent val="0"/>
              <c:showBubbleSize val="0"/>
            </c:dLbl>
            <c:dLbl>
              <c:idx val="3"/>
              <c:layout>
                <c:manualLayout>
                  <c:x val="-2.8606344284726718E-3"/>
                  <c:y val="-8.3416713794753558E-3"/>
                </c:manualLayout>
              </c:layout>
              <c:showLegendKey val="0"/>
              <c:showVal val="1"/>
              <c:showCatName val="0"/>
              <c:showSerName val="0"/>
              <c:showPercent val="0"/>
              <c:showBubbleSize val="0"/>
            </c:dLbl>
            <c:dLbl>
              <c:idx val="4"/>
              <c:layout>
                <c:manualLayout>
                  <c:x val="-1.1686437456469316E-3"/>
                  <c:y val="-1.2762648453473698E-3"/>
                </c:manualLayout>
              </c:layout>
              <c:showLegendKey val="0"/>
              <c:showVal val="1"/>
              <c:showCatName val="0"/>
              <c:showSerName val="0"/>
              <c:showPercent val="0"/>
              <c:showBubbleSize val="0"/>
            </c:dLbl>
            <c:dLbl>
              <c:idx val="5"/>
              <c:layout>
                <c:manualLayout>
                  <c:x val="-2.5835684029074286E-4"/>
                  <c:y val="-1.6990037847479027E-2"/>
                </c:manualLayout>
              </c:layout>
              <c:showLegendKey val="0"/>
              <c:showVal val="1"/>
              <c:showCatName val="0"/>
              <c:showSerName val="0"/>
              <c:showPercent val="0"/>
              <c:showBubbleSize val="0"/>
            </c:dLbl>
            <c:dLbl>
              <c:idx val="6"/>
              <c:layout>
                <c:manualLayout>
                  <c:x val="3.7889501850933861E-3"/>
                  <c:y val="-8.6325966850828838E-3"/>
                </c:manualLayout>
              </c:layout>
              <c:showLegendKey val="0"/>
              <c:showVal val="1"/>
              <c:showCatName val="0"/>
              <c:showSerName val="0"/>
              <c:showPercent val="0"/>
              <c:showBubbleSize val="0"/>
            </c:dLbl>
            <c:dLbl>
              <c:idx val="7"/>
              <c:layout>
                <c:manualLayout>
                  <c:x val="5.0900889791843304E-3"/>
                  <c:y val="-1.145212511419498E-2"/>
                </c:manualLayout>
              </c:layout>
              <c:showLegendKey val="0"/>
              <c:showVal val="1"/>
              <c:showCatName val="0"/>
              <c:showSerName val="0"/>
              <c:showPercent val="0"/>
              <c:showBubbleSize val="0"/>
            </c:dLbl>
            <c:dLbl>
              <c:idx val="8"/>
              <c:layout>
                <c:manualLayout>
                  <c:x val="6.3908876062702975E-3"/>
                  <c:y val="-1.5916605037629965E-3"/>
                </c:manualLayout>
              </c:layout>
              <c:showLegendKey val="0"/>
              <c:showVal val="1"/>
              <c:showCatName val="0"/>
              <c:showSerName val="0"/>
              <c:showPercent val="0"/>
              <c:showBubbleSize val="0"/>
            </c:dLbl>
            <c:dLbl>
              <c:idx val="9"/>
              <c:layout>
                <c:manualLayout>
                  <c:x val="-5.5719355417542483E-4"/>
                  <c:y val="1.7694784008352609E-3"/>
                </c:manualLayout>
              </c:layout>
              <c:tx>
                <c:rich>
                  <a:bodyPr/>
                  <a:lstStyle/>
                  <a:p>
                    <a:r>
                      <a:rPr lang="es-ES" b="1"/>
                      <a:t>55.809</a:t>
                    </a:r>
                  </a:p>
                </c:rich>
              </c:tx>
              <c:showLegendKey val="0"/>
              <c:showVal val="0"/>
              <c:showCatName val="0"/>
              <c:showSerName val="0"/>
              <c:showPercent val="0"/>
              <c:showBubbleSize val="0"/>
            </c:dLbl>
            <c:spPr>
              <a:noFill/>
              <a:ln w="25400">
                <a:noFill/>
              </a:ln>
            </c:spPr>
            <c:txPr>
              <a:bodyPr/>
              <a:lstStyle/>
              <a:p>
                <a:pPr>
                  <a:defRPr b="1"/>
                </a:pPr>
                <a:endParaRPr lang="es-ES"/>
              </a:p>
            </c:txPr>
            <c:showLegendKey val="0"/>
            <c:showVal val="1"/>
            <c:showCatName val="0"/>
            <c:showSerName val="0"/>
            <c:showPercent val="0"/>
            <c:showBubbleSize val="0"/>
            <c:showLeaderLines val="0"/>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2015</c:v>
                </c:pt>
              </c:numCache>
            </c:numRef>
          </c:cat>
          <c:val>
            <c:numRef>
              <c:f>Sheet1!$B$2:$M$2</c:f>
              <c:numCache>
                <c:formatCode>#,##0</c:formatCode>
                <c:ptCount val="12"/>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55372</c:v>
                </c:pt>
              </c:numCache>
            </c:numRef>
          </c:val>
        </c:ser>
        <c:dLbls>
          <c:showLegendKey val="0"/>
          <c:showVal val="0"/>
          <c:showCatName val="0"/>
          <c:showSerName val="0"/>
          <c:showPercent val="0"/>
          <c:showBubbleSize val="0"/>
        </c:dLbls>
        <c:gapWidth val="150"/>
        <c:axId val="330426240"/>
        <c:axId val="330427776"/>
      </c:barChart>
      <c:catAx>
        <c:axId val="3304262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330427776"/>
        <c:crosses val="autoZero"/>
        <c:auto val="1"/>
        <c:lblAlgn val="ctr"/>
        <c:lblOffset val="100"/>
        <c:tickLblSkip val="1"/>
        <c:tickMarkSkip val="1"/>
        <c:noMultiLvlLbl val="0"/>
      </c:catAx>
      <c:valAx>
        <c:axId val="330427776"/>
        <c:scaling>
          <c:orientation val="minMax"/>
          <c:max val="8000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330426240"/>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456"/>
          <c:w val="0.88408644400784775"/>
          <c:h val="0.57142857142858472"/>
        </c:manualLayout>
      </c:layout>
      <c:barChart>
        <c:barDir val="col"/>
        <c:grouping val="clustered"/>
        <c:varyColors val="0"/>
        <c:ser>
          <c:idx val="1"/>
          <c:order val="0"/>
          <c:spPr>
            <a:solidFill>
              <a:srgbClr val="4F81BD"/>
            </a:solidFill>
          </c:spPr>
          <c:invertIfNegative val="0"/>
          <c:dPt>
            <c:idx val="8"/>
            <c:invertIfNegative val="0"/>
            <c:bubble3D val="0"/>
            <c:spPr>
              <a:solidFill>
                <a:srgbClr val="4F81BD">
                  <a:lumMod val="20000"/>
                  <a:lumOff val="80000"/>
                </a:srgbClr>
              </a:solidFill>
            </c:spPr>
          </c:dPt>
          <c:dLbls>
            <c:txPr>
              <a:bodyPr/>
              <a:lstStyle/>
              <a:p>
                <a:pPr>
                  <a:defRPr b="1"/>
                </a:pPr>
                <a:endParaRPr lang="es-ES"/>
              </a:p>
            </c:txPr>
            <c:showLegendKey val="0"/>
            <c:showVal val="1"/>
            <c:showCatName val="0"/>
            <c:showSerName val="0"/>
            <c:showPercent val="0"/>
            <c:showBubbleSize val="0"/>
            <c:showLeaderLines val="0"/>
          </c:dLbls>
          <c:cat>
            <c:numRef>
              <c:f>Sheet1!$B$1:$J$1</c:f>
              <c:numCache>
                <c:formatCode>General</c:formatCode>
                <c:ptCount val="9"/>
                <c:pt idx="0">
                  <c:v>2006</c:v>
                </c:pt>
                <c:pt idx="1">
                  <c:v>2007</c:v>
                </c:pt>
                <c:pt idx="2">
                  <c:v>2008</c:v>
                </c:pt>
                <c:pt idx="3">
                  <c:v>2009</c:v>
                </c:pt>
                <c:pt idx="4">
                  <c:v>2010</c:v>
                </c:pt>
                <c:pt idx="5">
                  <c:v>2011</c:v>
                </c:pt>
                <c:pt idx="6">
                  <c:v>2012</c:v>
                </c:pt>
                <c:pt idx="7">
                  <c:v>2014</c:v>
                </c:pt>
                <c:pt idx="8">
                  <c:v>2015</c:v>
                </c:pt>
              </c:numCache>
            </c:numRef>
          </c:cat>
          <c:val>
            <c:numRef>
              <c:f>Sheet1!$B$2:$J$2</c:f>
              <c:numCache>
                <c:formatCode>#,##0</c:formatCode>
                <c:ptCount val="9"/>
                <c:pt idx="0">
                  <c:v>9523957</c:v>
                </c:pt>
                <c:pt idx="1">
                  <c:v>10314878</c:v>
                </c:pt>
                <c:pt idx="2">
                  <c:v>9757100</c:v>
                </c:pt>
                <c:pt idx="3">
                  <c:v>9205115</c:v>
                </c:pt>
                <c:pt idx="4">
                  <c:v>8563275</c:v>
                </c:pt>
                <c:pt idx="5">
                  <c:v>9109612</c:v>
                </c:pt>
                <c:pt idx="6">
                  <c:v>8283006</c:v>
                </c:pt>
                <c:pt idx="7">
                  <c:v>7690772</c:v>
                </c:pt>
                <c:pt idx="8">
                  <c:v>7835588</c:v>
                </c:pt>
              </c:numCache>
            </c:numRef>
          </c:val>
        </c:ser>
        <c:dLbls>
          <c:showLegendKey val="0"/>
          <c:showVal val="0"/>
          <c:showCatName val="0"/>
          <c:showSerName val="0"/>
          <c:showPercent val="0"/>
          <c:showBubbleSize val="0"/>
        </c:dLbls>
        <c:gapWidth val="150"/>
        <c:axId val="330382720"/>
        <c:axId val="330404992"/>
      </c:barChart>
      <c:catAx>
        <c:axId val="330382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330404992"/>
        <c:crosses val="autoZero"/>
        <c:auto val="1"/>
        <c:lblAlgn val="ctr"/>
        <c:lblOffset val="100"/>
        <c:tickLblSkip val="1"/>
        <c:tickMarkSkip val="1"/>
        <c:noMultiLvlLbl val="0"/>
      </c:catAx>
      <c:valAx>
        <c:axId val="330404992"/>
        <c:scaling>
          <c:orientation val="minMax"/>
          <c:max val="10316000"/>
          <c:min val="0"/>
        </c:scaling>
        <c:delete val="0"/>
        <c:axPos val="l"/>
        <c:majorGridlines>
          <c:spPr>
            <a:ln w="12700">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s-ES"/>
          </a:p>
        </c:txPr>
        <c:crossAx val="330382720"/>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Economía CAE</c:v>
                </c:pt>
              </c:strCache>
            </c:strRef>
          </c:tx>
          <c:spPr>
            <a:solidFill>
              <a:schemeClr val="accent1">
                <a:lumMod val="20000"/>
                <a:lumOff val="80000"/>
              </a:schemeClr>
            </a:solidFill>
            <a:ln w="12700">
              <a:noFill/>
              <a:prstDash val="solid"/>
            </a:ln>
          </c:spPr>
          <c:invertIfNegative val="0"/>
          <c:dLbls>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Primario</c:v>
                </c:pt>
                <c:pt idx="1">
                  <c:v>Industria</c:v>
                </c:pt>
                <c:pt idx="2">
                  <c:v>Construcción</c:v>
                </c:pt>
                <c:pt idx="3">
                  <c:v>Servicios</c:v>
                </c:pt>
              </c:strCache>
            </c:strRef>
          </c:cat>
          <c:val>
            <c:numRef>
              <c:f>Sheet1!$B$2:$E$2</c:f>
              <c:numCache>
                <c:formatCode>0.0%</c:formatCode>
                <c:ptCount val="4"/>
                <c:pt idx="0">
                  <c:v>1.0000000000000005E-2</c:v>
                </c:pt>
                <c:pt idx="1">
                  <c:v>0.22</c:v>
                </c:pt>
                <c:pt idx="2">
                  <c:v>5.3000000000000012E-2</c:v>
                </c:pt>
                <c:pt idx="3">
                  <c:v>0.71700000000000064</c:v>
                </c:pt>
              </c:numCache>
            </c:numRef>
          </c:val>
        </c:ser>
        <c:ser>
          <c:idx val="1"/>
          <c:order val="1"/>
          <c:tx>
            <c:strRef>
              <c:f>Sheet1!$A$3</c:f>
              <c:strCache>
                <c:ptCount val="1"/>
                <c:pt idx="0">
                  <c:v>Economía Social</c:v>
                </c:pt>
              </c:strCache>
            </c:strRef>
          </c:tx>
          <c:spPr>
            <a:solidFill>
              <a:schemeClr val="tx2"/>
            </a:solidFill>
            <a:ln w="12700">
              <a:noFill/>
              <a:prstDash val="solid"/>
            </a:ln>
          </c:spPr>
          <c:invertIfNegative val="0"/>
          <c:dLbls>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Primario</c:v>
                </c:pt>
                <c:pt idx="1">
                  <c:v>Industria</c:v>
                </c:pt>
                <c:pt idx="2">
                  <c:v>Construcción</c:v>
                </c:pt>
                <c:pt idx="3">
                  <c:v>Servicios</c:v>
                </c:pt>
              </c:strCache>
            </c:strRef>
          </c:cat>
          <c:val>
            <c:numRef>
              <c:f>Sheet1!$B$3:$E$3</c:f>
              <c:numCache>
                <c:formatCode>0.0%</c:formatCode>
                <c:ptCount val="4"/>
                <c:pt idx="0">
                  <c:v>3.0000000000000092E-3</c:v>
                </c:pt>
                <c:pt idx="1">
                  <c:v>0.4360000000000025</c:v>
                </c:pt>
                <c:pt idx="2">
                  <c:v>2.9000000000000001E-2</c:v>
                </c:pt>
                <c:pt idx="3">
                  <c:v>0.53100000000000003</c:v>
                </c:pt>
              </c:numCache>
            </c:numRef>
          </c:val>
        </c:ser>
        <c:dLbls>
          <c:showLegendKey val="0"/>
          <c:showVal val="0"/>
          <c:showCatName val="0"/>
          <c:showSerName val="0"/>
          <c:showPercent val="0"/>
          <c:showBubbleSize val="0"/>
        </c:dLbls>
        <c:gapWidth val="150"/>
        <c:axId val="283372160"/>
        <c:axId val="283447680"/>
      </c:barChart>
      <c:catAx>
        <c:axId val="2833721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283447680"/>
        <c:crosses val="autoZero"/>
        <c:auto val="1"/>
        <c:lblAlgn val="ctr"/>
        <c:lblOffset val="100"/>
        <c:tickLblSkip val="1"/>
        <c:tickMarkSkip val="1"/>
        <c:noMultiLvlLbl val="0"/>
      </c:catAx>
      <c:valAx>
        <c:axId val="283447680"/>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s-ES"/>
          </a:p>
        </c:txPr>
        <c:crossAx val="283372160"/>
        <c:crosses val="autoZero"/>
        <c:crossBetween val="between"/>
        <c:majorUnit val="0.2"/>
      </c:valAx>
      <c:spPr>
        <a:noFill/>
        <a:ln w="25400">
          <a:noFill/>
        </a:ln>
      </c:spPr>
    </c:plotArea>
    <c:legend>
      <c:legendPos val="b"/>
      <c:layout>
        <c:manualLayout>
          <c:xMode val="edge"/>
          <c:yMode val="edge"/>
          <c:x val="0.21659919028340552"/>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tx>
                <c:rich>
                  <a:bodyPr/>
                  <a:lstStyle/>
                  <a:p>
                    <a:r>
                      <a:rPr lang="en-US"/>
                      <a:t>45,7%</a:t>
                    </a:r>
                  </a:p>
                </c:rich>
              </c:tx>
              <c:showLegendKey val="0"/>
              <c:showVal val="1"/>
              <c:showCatName val="0"/>
              <c:showSerName val="0"/>
              <c:showPercent val="0"/>
              <c:showBubbleSize val="0"/>
            </c:dLbl>
            <c:dLbl>
              <c:idx val="1"/>
              <c:tx>
                <c:rich>
                  <a:bodyPr/>
                  <a:lstStyle/>
                  <a:p>
                    <a:r>
                      <a:rPr lang="en-US"/>
                      <a:t>44,6%</a:t>
                    </a:r>
                  </a:p>
                </c:rich>
              </c:tx>
              <c:showLegendKey val="0"/>
              <c:showVal val="1"/>
              <c:showCatName val="0"/>
              <c:showSerName val="0"/>
              <c:showPercent val="0"/>
              <c:showBubbleSize val="0"/>
            </c:dLbl>
            <c:dLbl>
              <c:idx val="2"/>
              <c:tx>
                <c:rich>
                  <a:bodyPr/>
                  <a:lstStyle/>
                  <a:p>
                    <a:r>
                      <a:rPr lang="en-US"/>
                      <a:t>33,7%</a:t>
                    </a:r>
                  </a:p>
                </c:rich>
              </c:tx>
              <c:showLegendKey val="0"/>
              <c:showVal val="1"/>
              <c:showCatName val="0"/>
              <c:showSerName val="0"/>
              <c:showPercent val="0"/>
              <c:showBubbleSize val="0"/>
            </c:dLbl>
            <c:dLbl>
              <c:idx val="3"/>
              <c:tx>
                <c:rich>
                  <a:bodyPr/>
                  <a:lstStyle/>
                  <a:p>
                    <a:r>
                      <a:rPr lang="en-US"/>
                      <a:t>31,9%</a:t>
                    </a:r>
                  </a:p>
                </c:rich>
              </c:tx>
              <c:showLegendKey val="0"/>
              <c:showVal val="1"/>
              <c:showCatName val="0"/>
              <c:showSerName val="0"/>
              <c:showPercent val="0"/>
              <c:showBubbleSize val="0"/>
            </c:dLbl>
            <c:dLbl>
              <c:idx val="4"/>
              <c:tx>
                <c:rich>
                  <a:bodyPr/>
                  <a:lstStyle/>
                  <a:p>
                    <a:r>
                      <a:rPr lang="en-US"/>
                      <a:t>31,4%</a:t>
                    </a:r>
                  </a:p>
                </c:rich>
              </c:tx>
              <c:showLegendKey val="0"/>
              <c:showVal val="1"/>
              <c:showCatName val="0"/>
              <c:showSerName val="0"/>
              <c:showPercent val="0"/>
              <c:showBubbleSize val="0"/>
            </c:dLbl>
            <c:dLbl>
              <c:idx val="5"/>
              <c:tx>
                <c:rich>
                  <a:bodyPr/>
                  <a:lstStyle/>
                  <a:p>
                    <a:r>
                      <a:rPr lang="en-US"/>
                      <a:t>30%</a:t>
                    </a:r>
                  </a:p>
                </c:rich>
              </c:tx>
              <c:showLegendKey val="0"/>
              <c:showVal val="1"/>
              <c:showCatName val="0"/>
              <c:showSerName val="0"/>
              <c:showPercent val="0"/>
              <c:showBubbleSize val="0"/>
            </c:dLbl>
            <c:dLbl>
              <c:idx val="6"/>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Hoja1!$A$2:$A$8</c:f>
              <c:strCache>
                <c:ptCount val="7"/>
                <c:pt idx="0">
                  <c:v>Ajuste salarial y/o ajuste de personal y dedicación horaria y/o acuerdos de colaboración</c:v>
                </c:pt>
                <c:pt idx="1">
                  <c:v>Ajuste salarial y/o ajuste de personal y dedicación horaria</c:v>
                </c:pt>
                <c:pt idx="2">
                  <c:v>Ajustes de personal y/o acuerdos de colaboración</c:v>
                </c:pt>
                <c:pt idx="3">
                  <c:v>Ajuste salarial y/o acuerdos de colaboración</c:v>
                </c:pt>
                <c:pt idx="4">
                  <c:v>Ajuste de personal y dedicación horaria</c:v>
                </c:pt>
                <c:pt idx="5">
                  <c:v>Ajuste salarial</c:v>
                </c:pt>
                <c:pt idx="6">
                  <c:v>Acuerdos de colaboración solidarios intercooperativos </c:v>
                </c:pt>
              </c:strCache>
            </c:strRef>
          </c:cat>
          <c:val>
            <c:numRef>
              <c:f>Hoja1!$B$2:$B$8</c:f>
              <c:numCache>
                <c:formatCode>General</c:formatCode>
                <c:ptCount val="7"/>
                <c:pt idx="0">
                  <c:v>45.7</c:v>
                </c:pt>
                <c:pt idx="1">
                  <c:v>44.6</c:v>
                </c:pt>
                <c:pt idx="2">
                  <c:v>33.700000000000003</c:v>
                </c:pt>
                <c:pt idx="3">
                  <c:v>31.9</c:v>
                </c:pt>
                <c:pt idx="4">
                  <c:v>31.4</c:v>
                </c:pt>
                <c:pt idx="5">
                  <c:v>30</c:v>
                </c:pt>
                <c:pt idx="6">
                  <c:v>6</c:v>
                </c:pt>
              </c:numCache>
            </c:numRef>
          </c:val>
        </c:ser>
        <c:dLbls>
          <c:showLegendKey val="0"/>
          <c:showVal val="0"/>
          <c:showCatName val="0"/>
          <c:showSerName val="0"/>
          <c:showPercent val="0"/>
          <c:showBubbleSize val="0"/>
        </c:dLbls>
        <c:gapWidth val="150"/>
        <c:axId val="337314560"/>
        <c:axId val="337316096"/>
      </c:barChart>
      <c:catAx>
        <c:axId val="337314560"/>
        <c:scaling>
          <c:orientation val="minMax"/>
        </c:scaling>
        <c:delete val="0"/>
        <c:axPos val="l"/>
        <c:majorTickMark val="out"/>
        <c:minorTickMark val="none"/>
        <c:tickLblPos val="nextTo"/>
        <c:txPr>
          <a:bodyPr/>
          <a:lstStyle/>
          <a:p>
            <a:pPr>
              <a:defRPr sz="800"/>
            </a:pPr>
            <a:endParaRPr lang="es-ES"/>
          </a:p>
        </c:txPr>
        <c:crossAx val="337316096"/>
        <c:crosses val="autoZero"/>
        <c:auto val="1"/>
        <c:lblAlgn val="ctr"/>
        <c:lblOffset val="100"/>
        <c:noMultiLvlLbl val="0"/>
      </c:catAx>
      <c:valAx>
        <c:axId val="33731609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33731456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tx>
                <c:rich>
                  <a:bodyPr/>
                  <a:lstStyle/>
                  <a:p>
                    <a:r>
                      <a:rPr lang="en-US"/>
                      <a:t>22,1%</a:t>
                    </a:r>
                  </a:p>
                </c:rich>
              </c:tx>
              <c:showLegendKey val="0"/>
              <c:showVal val="1"/>
              <c:showCatName val="0"/>
              <c:showSerName val="0"/>
              <c:showPercent val="0"/>
              <c:showBubbleSize val="0"/>
            </c:dLbl>
            <c:dLbl>
              <c:idx val="1"/>
              <c:tx>
                <c:rich>
                  <a:bodyPr/>
                  <a:lstStyle/>
                  <a:p>
                    <a:r>
                      <a:rPr lang="en-US"/>
                      <a:t>14,9%</a:t>
                    </a:r>
                  </a:p>
                </c:rich>
              </c:tx>
              <c:showLegendKey val="0"/>
              <c:showVal val="1"/>
              <c:showCatName val="0"/>
              <c:showSerName val="0"/>
              <c:showPercent val="0"/>
              <c:showBubbleSize val="0"/>
            </c:dLbl>
            <c:dLbl>
              <c:idx val="2"/>
              <c:tx>
                <c:rich>
                  <a:bodyPr/>
                  <a:lstStyle/>
                  <a:p>
                    <a:r>
                      <a:rPr lang="en-US"/>
                      <a:t>3,1%</a:t>
                    </a:r>
                  </a:p>
                </c:rich>
              </c:tx>
              <c:showLegendKey val="0"/>
              <c:showVal val="1"/>
              <c:showCatName val="0"/>
              <c:showSerName val="0"/>
              <c:showPercent val="0"/>
              <c:showBubbleSize val="0"/>
            </c:dLbl>
            <c:dLbl>
              <c:idx val="3"/>
              <c:tx>
                <c:rich>
                  <a:bodyPr/>
                  <a:lstStyle/>
                  <a:p>
                    <a:r>
                      <a:rPr lang="en-US"/>
                      <a:t>3,3%</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Hoja1!$A$2:$A$5</c:f>
              <c:strCache>
                <c:ptCount val="4"/>
                <c:pt idx="0">
                  <c:v>Reducción salarial mensual</c:v>
                </c:pt>
                <c:pt idx="1">
                  <c:v>Reducción /eliminación de pagas extras</c:v>
                </c:pt>
                <c:pt idx="2">
                  <c:v>Capitalización de los intereses de las aportaciones del socio colectivo</c:v>
                </c:pt>
                <c:pt idx="3">
                  <c:v>Otros</c:v>
                </c:pt>
              </c:strCache>
            </c:strRef>
          </c:cat>
          <c:val>
            <c:numRef>
              <c:f>Hoja1!$B$2:$B$5</c:f>
              <c:numCache>
                <c:formatCode>General</c:formatCode>
                <c:ptCount val="4"/>
                <c:pt idx="0">
                  <c:v>22.1</c:v>
                </c:pt>
                <c:pt idx="1">
                  <c:v>14.9</c:v>
                </c:pt>
                <c:pt idx="2">
                  <c:v>3.1</c:v>
                </c:pt>
                <c:pt idx="3">
                  <c:v>3.3</c:v>
                </c:pt>
              </c:numCache>
            </c:numRef>
          </c:val>
        </c:ser>
        <c:dLbls>
          <c:showLegendKey val="0"/>
          <c:showVal val="0"/>
          <c:showCatName val="0"/>
          <c:showSerName val="0"/>
          <c:showPercent val="0"/>
          <c:showBubbleSize val="0"/>
        </c:dLbls>
        <c:gapWidth val="150"/>
        <c:axId val="337360768"/>
        <c:axId val="337362304"/>
      </c:barChart>
      <c:catAx>
        <c:axId val="337360768"/>
        <c:scaling>
          <c:orientation val="minMax"/>
        </c:scaling>
        <c:delete val="0"/>
        <c:axPos val="l"/>
        <c:majorTickMark val="out"/>
        <c:minorTickMark val="none"/>
        <c:tickLblPos val="nextTo"/>
        <c:crossAx val="337362304"/>
        <c:crosses val="autoZero"/>
        <c:auto val="1"/>
        <c:lblAlgn val="ctr"/>
        <c:lblOffset val="100"/>
        <c:noMultiLvlLbl val="0"/>
      </c:catAx>
      <c:valAx>
        <c:axId val="337362304"/>
        <c:scaling>
          <c:orientation val="minMax"/>
        </c:scaling>
        <c:delete val="0"/>
        <c:axPos val="b"/>
        <c:majorGridlines>
          <c:spPr>
            <a:ln>
              <a:solidFill>
                <a:srgbClr val="C0C0C0"/>
              </a:solidFill>
            </a:ln>
          </c:spPr>
        </c:majorGridlines>
        <c:numFmt formatCode="General" sourceLinked="1"/>
        <c:majorTickMark val="out"/>
        <c:minorTickMark val="none"/>
        <c:tickLblPos val="nextTo"/>
        <c:crossAx val="337360768"/>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tx>
                <c:rich>
                  <a:bodyPr/>
                  <a:lstStyle/>
                  <a:p>
                    <a:r>
                      <a:rPr lang="en-US"/>
                      <a:t>15,6%</a:t>
                    </a:r>
                  </a:p>
                </c:rich>
              </c:tx>
              <c:showLegendKey val="0"/>
              <c:showVal val="1"/>
              <c:showCatName val="0"/>
              <c:showSerName val="0"/>
              <c:showPercent val="0"/>
              <c:showBubbleSize val="0"/>
            </c:dLbl>
            <c:dLbl>
              <c:idx val="1"/>
              <c:tx>
                <c:rich>
                  <a:bodyPr/>
                  <a:lstStyle/>
                  <a:p>
                    <a:r>
                      <a:rPr lang="en-US"/>
                      <a:t>8,6%</a:t>
                    </a:r>
                  </a:p>
                </c:rich>
              </c:tx>
              <c:showLegendKey val="0"/>
              <c:showVal val="1"/>
              <c:showCatName val="0"/>
              <c:showSerName val="0"/>
              <c:showPercent val="0"/>
              <c:showBubbleSize val="0"/>
            </c:dLbl>
            <c:dLbl>
              <c:idx val="2"/>
              <c:tx>
                <c:rich>
                  <a:bodyPr/>
                  <a:lstStyle/>
                  <a:p>
                    <a:r>
                      <a:rPr lang="en-US"/>
                      <a:t>6,9%</a:t>
                    </a:r>
                  </a:p>
                </c:rich>
              </c:tx>
              <c:showLegendKey val="0"/>
              <c:showVal val="1"/>
              <c:showCatName val="0"/>
              <c:showSerName val="0"/>
              <c:showPercent val="0"/>
              <c:showBubbleSize val="0"/>
            </c:dLbl>
            <c:dLbl>
              <c:idx val="3"/>
              <c:tx>
                <c:rich>
                  <a:bodyPr/>
                  <a:lstStyle/>
                  <a:p>
                    <a:r>
                      <a:rPr lang="en-US"/>
                      <a:t>6,7%</a:t>
                    </a:r>
                  </a:p>
                </c:rich>
              </c:tx>
              <c:showLegendKey val="0"/>
              <c:showVal val="1"/>
              <c:showCatName val="0"/>
              <c:showSerName val="0"/>
              <c:showPercent val="0"/>
              <c:showBubbleSize val="0"/>
            </c:dLbl>
            <c:dLbl>
              <c:idx val="4"/>
              <c:tx>
                <c:rich>
                  <a:bodyPr/>
                  <a:lstStyle/>
                  <a:p>
                    <a:r>
                      <a:rPr lang="en-US"/>
                      <a:t>4,6%</a:t>
                    </a:r>
                  </a:p>
                </c:rich>
              </c:tx>
              <c:showLegendKey val="0"/>
              <c:showVal val="1"/>
              <c:showCatName val="0"/>
              <c:showSerName val="0"/>
              <c:showPercent val="0"/>
              <c:showBubbleSize val="0"/>
            </c:dLbl>
            <c:dLbl>
              <c:idx val="5"/>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Hoja1!$A$2:$A$7</c:f>
              <c:strCache>
                <c:ptCount val="6"/>
                <c:pt idx="0">
                  <c:v>Reducción del número de asalariados/as</c:v>
                </c:pt>
                <c:pt idx="1">
                  <c:v>Incremento de las horas trabajadas</c:v>
                </c:pt>
                <c:pt idx="2">
                  <c:v>Prejubilaciones</c:v>
                </c:pt>
                <c:pt idx="3">
                  <c:v>Reducción de la jornada laboral</c:v>
                </c:pt>
                <c:pt idx="4">
                  <c:v>Calendario móvil - Creación de bolsa de horas anuales de los/as operarios/as</c:v>
                </c:pt>
                <c:pt idx="5">
                  <c:v>Otros</c:v>
                </c:pt>
              </c:strCache>
            </c:strRef>
          </c:cat>
          <c:val>
            <c:numRef>
              <c:f>Hoja1!$B$2:$B$7</c:f>
              <c:numCache>
                <c:formatCode>General</c:formatCode>
                <c:ptCount val="6"/>
                <c:pt idx="0">
                  <c:v>15.6</c:v>
                </c:pt>
                <c:pt idx="1">
                  <c:v>8.6</c:v>
                </c:pt>
                <c:pt idx="2">
                  <c:v>6.9</c:v>
                </c:pt>
                <c:pt idx="3">
                  <c:v>6.7</c:v>
                </c:pt>
                <c:pt idx="4">
                  <c:v>4.5999999999999996</c:v>
                </c:pt>
                <c:pt idx="5">
                  <c:v>1.6</c:v>
                </c:pt>
              </c:numCache>
            </c:numRef>
          </c:val>
        </c:ser>
        <c:dLbls>
          <c:showLegendKey val="0"/>
          <c:showVal val="0"/>
          <c:showCatName val="0"/>
          <c:showSerName val="0"/>
          <c:showPercent val="0"/>
          <c:showBubbleSize val="0"/>
        </c:dLbls>
        <c:gapWidth val="150"/>
        <c:axId val="337394688"/>
        <c:axId val="337605376"/>
      </c:barChart>
      <c:catAx>
        <c:axId val="337394688"/>
        <c:scaling>
          <c:orientation val="minMax"/>
        </c:scaling>
        <c:delete val="0"/>
        <c:axPos val="l"/>
        <c:majorTickMark val="out"/>
        <c:minorTickMark val="none"/>
        <c:tickLblPos val="nextTo"/>
        <c:crossAx val="337605376"/>
        <c:crosses val="autoZero"/>
        <c:auto val="1"/>
        <c:lblAlgn val="ctr"/>
        <c:lblOffset val="100"/>
        <c:noMultiLvlLbl val="0"/>
      </c:catAx>
      <c:valAx>
        <c:axId val="33760537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337394688"/>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tx>
                <c:rich>
                  <a:bodyPr/>
                  <a:lstStyle/>
                  <a:p>
                    <a:r>
                      <a:rPr lang="en-US"/>
                      <a:t>4,1%</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dLbl>
              <c:idx val="2"/>
              <c:tx>
                <c:rich>
                  <a:bodyPr/>
                  <a:lstStyle/>
                  <a:p>
                    <a:r>
                      <a:rPr lang="en-US"/>
                      <a:t>2,1%</a:t>
                    </a:r>
                  </a:p>
                </c:rich>
              </c:tx>
              <c:showLegendKey val="0"/>
              <c:showVal val="1"/>
              <c:showCatName val="0"/>
              <c:showSerName val="0"/>
              <c:showPercent val="0"/>
              <c:showBubbleSize val="0"/>
            </c:dLbl>
            <c:dLbl>
              <c:idx val="3"/>
              <c:tx>
                <c:rich>
                  <a:bodyPr/>
                  <a:lstStyle/>
                  <a:p>
                    <a:r>
                      <a:rPr lang="en-US"/>
                      <a:t>0,2%</a:t>
                    </a:r>
                  </a:p>
                </c:rich>
              </c:tx>
              <c:showLegendKey val="0"/>
              <c:showVal val="1"/>
              <c:showCatName val="0"/>
              <c:showSerName val="0"/>
              <c:showPercent val="0"/>
              <c:showBubbleSize val="0"/>
            </c:dLbl>
            <c:dLbl>
              <c:idx val="4"/>
              <c:tx>
                <c:rich>
                  <a:bodyPr/>
                  <a:lstStyle/>
                  <a:p>
                    <a:r>
                      <a:rPr lang="en-US"/>
                      <a:t>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Hoja1!$A$2:$A$6</c:f>
              <c:strCache>
                <c:ptCount val="5"/>
                <c:pt idx="0">
                  <c:v>Acogida por parte de la empresa de personal proveniente de otras empresas del grupo</c:v>
                </c:pt>
                <c:pt idx="1">
                  <c:v>Contribución a un fondo común de financiación de los excedentes de empleo y de horas no aplicadas</c:v>
                </c:pt>
                <c:pt idx="2">
                  <c:v>Reubicación de personal propio excedentario en otras empresas del grupo/aliadas/colaboradoras en la CAE</c:v>
                </c:pt>
                <c:pt idx="3">
                  <c:v>Reubicación de personal propio excedentario en otras empresas del grupo/aliadas/colaboradoras fuera de la CAE</c:v>
                </c:pt>
                <c:pt idx="4">
                  <c:v>Otros</c:v>
                </c:pt>
              </c:strCache>
            </c:strRef>
          </c:cat>
          <c:val>
            <c:numRef>
              <c:f>Hoja1!$B$2:$B$6</c:f>
              <c:numCache>
                <c:formatCode>General</c:formatCode>
                <c:ptCount val="5"/>
                <c:pt idx="0">
                  <c:v>4.0999999999999996</c:v>
                </c:pt>
                <c:pt idx="1">
                  <c:v>2.5</c:v>
                </c:pt>
                <c:pt idx="2">
                  <c:v>2.1</c:v>
                </c:pt>
                <c:pt idx="3">
                  <c:v>0.2</c:v>
                </c:pt>
                <c:pt idx="4">
                  <c:v>0.2</c:v>
                </c:pt>
              </c:numCache>
            </c:numRef>
          </c:val>
        </c:ser>
        <c:dLbls>
          <c:showLegendKey val="0"/>
          <c:showVal val="0"/>
          <c:showCatName val="0"/>
          <c:showSerName val="0"/>
          <c:showPercent val="0"/>
          <c:showBubbleSize val="0"/>
        </c:dLbls>
        <c:gapWidth val="150"/>
        <c:axId val="337637760"/>
        <c:axId val="337639296"/>
      </c:barChart>
      <c:catAx>
        <c:axId val="337637760"/>
        <c:scaling>
          <c:orientation val="minMax"/>
        </c:scaling>
        <c:delete val="0"/>
        <c:axPos val="l"/>
        <c:majorTickMark val="out"/>
        <c:minorTickMark val="none"/>
        <c:tickLblPos val="nextTo"/>
        <c:crossAx val="337639296"/>
        <c:crosses val="autoZero"/>
        <c:auto val="1"/>
        <c:lblAlgn val="ctr"/>
        <c:lblOffset val="100"/>
        <c:noMultiLvlLbl val="0"/>
      </c:catAx>
      <c:valAx>
        <c:axId val="337639296"/>
        <c:scaling>
          <c:orientation val="minMax"/>
        </c:scaling>
        <c:delete val="0"/>
        <c:axPos val="b"/>
        <c:majorGridlines>
          <c:spPr>
            <a:ln>
              <a:solidFill>
                <a:srgbClr val="C0C0C0"/>
              </a:solidFill>
            </a:ln>
          </c:spPr>
        </c:majorGridlines>
        <c:numFmt formatCode="General" sourceLinked="1"/>
        <c:majorTickMark val="out"/>
        <c:minorTickMark val="none"/>
        <c:tickLblPos val="nextTo"/>
        <c:crossAx val="337637760"/>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invertIfNegative val="0"/>
          <c:dLbls>
            <c:dLbl>
              <c:idx val="0"/>
              <c:tx>
                <c:rich>
                  <a:bodyPr/>
                  <a:lstStyle/>
                  <a:p>
                    <a:r>
                      <a:rPr lang="en-US"/>
                      <a:t>36,6%</a:t>
                    </a:r>
                  </a:p>
                </c:rich>
              </c:tx>
              <c:showLegendKey val="0"/>
              <c:showVal val="1"/>
              <c:showCatName val="0"/>
              <c:showSerName val="0"/>
              <c:showPercent val="0"/>
              <c:showBubbleSize val="0"/>
            </c:dLbl>
            <c:dLbl>
              <c:idx val="1"/>
              <c:tx>
                <c:rich>
                  <a:bodyPr/>
                  <a:lstStyle/>
                  <a:p>
                    <a:r>
                      <a:rPr lang="en-US"/>
                      <a:t>51,7%</a:t>
                    </a:r>
                  </a:p>
                </c:rich>
              </c:tx>
              <c:showLegendKey val="0"/>
              <c:showVal val="1"/>
              <c:showCatName val="0"/>
              <c:showSerName val="0"/>
              <c:showPercent val="0"/>
              <c:showBubbleSize val="0"/>
            </c:dLbl>
            <c:dLbl>
              <c:idx val="2"/>
              <c:tx>
                <c:rich>
                  <a:bodyPr/>
                  <a:lstStyle/>
                  <a:p>
                    <a:r>
                      <a:rPr lang="en-US"/>
                      <a:t>72,3%</a:t>
                    </a:r>
                  </a:p>
                </c:rich>
              </c:tx>
              <c:showLegendKey val="0"/>
              <c:showVal val="1"/>
              <c:showCatName val="0"/>
              <c:showSerName val="0"/>
              <c:showPercent val="0"/>
              <c:showBubbleSize val="0"/>
            </c:dLbl>
            <c:dLbl>
              <c:idx val="3"/>
              <c:tx>
                <c:rich>
                  <a:bodyPr/>
                  <a:lstStyle/>
                  <a:p>
                    <a:r>
                      <a:rPr lang="en-US"/>
                      <a:t>79,3%</a:t>
                    </a:r>
                  </a:p>
                </c:rich>
              </c:tx>
              <c:showLegendKey val="0"/>
              <c:showVal val="1"/>
              <c:showCatName val="0"/>
              <c:showSerName val="0"/>
              <c:showPercent val="0"/>
              <c:showBubbleSize val="0"/>
            </c:dLbl>
            <c:dLbl>
              <c:idx val="4"/>
              <c:tx>
                <c:rich>
                  <a:bodyPr/>
                  <a:lstStyle/>
                  <a:p>
                    <a:r>
                      <a:rPr lang="en-US"/>
                      <a:t>95%</a:t>
                    </a:r>
                  </a:p>
                </c:rich>
              </c:tx>
              <c:showLegendKey val="0"/>
              <c:showVal val="1"/>
              <c:showCatName val="0"/>
              <c:showSerName val="0"/>
              <c:showPercent val="0"/>
              <c:showBubbleSize val="0"/>
            </c:dLbl>
            <c:dLbl>
              <c:idx val="5"/>
              <c:tx>
                <c:rich>
                  <a:bodyPr/>
                  <a:lstStyle/>
                  <a:p>
                    <a:r>
                      <a:rPr lang="en-US"/>
                      <a:t>83,3%</a:t>
                    </a:r>
                  </a:p>
                </c:rich>
              </c:tx>
              <c:showLegendKey val="0"/>
              <c:showVal val="1"/>
              <c:showCatName val="0"/>
              <c:showSerName val="0"/>
              <c:showPercent val="0"/>
              <c:showBubbleSize val="0"/>
            </c:dLbl>
            <c:dLbl>
              <c:idx val="6"/>
              <c:tx>
                <c:rich>
                  <a:bodyPr/>
                  <a:lstStyle/>
                  <a:p>
                    <a:r>
                      <a:rPr lang="en-US"/>
                      <a:t>100,0%</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General</c:formatCode>
                <c:ptCount val="7"/>
                <c:pt idx="0">
                  <c:v>36.6</c:v>
                </c:pt>
                <c:pt idx="1">
                  <c:v>51.7</c:v>
                </c:pt>
                <c:pt idx="2">
                  <c:v>72.3</c:v>
                </c:pt>
                <c:pt idx="3">
                  <c:v>79.3</c:v>
                </c:pt>
                <c:pt idx="4">
                  <c:v>95</c:v>
                </c:pt>
                <c:pt idx="5">
                  <c:v>83.3</c:v>
                </c:pt>
                <c:pt idx="6">
                  <c:v>100</c:v>
                </c:pt>
              </c:numCache>
            </c:numRef>
          </c:val>
        </c:ser>
        <c:dLbls>
          <c:showLegendKey val="0"/>
          <c:showVal val="0"/>
          <c:showCatName val="0"/>
          <c:showSerName val="0"/>
          <c:showPercent val="0"/>
          <c:showBubbleSize val="0"/>
        </c:dLbls>
        <c:gapWidth val="150"/>
        <c:axId val="337765888"/>
        <c:axId val="337767424"/>
      </c:barChart>
      <c:catAx>
        <c:axId val="33776588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337767424"/>
        <c:crosses val="autoZero"/>
        <c:auto val="1"/>
        <c:lblAlgn val="ctr"/>
        <c:lblOffset val="100"/>
        <c:noMultiLvlLbl val="0"/>
      </c:catAx>
      <c:valAx>
        <c:axId val="337767424"/>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7765888"/>
        <c:crosses val="autoZero"/>
        <c:crossBetween val="between"/>
      </c:valAx>
    </c:plotArea>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invertIfNegative val="0"/>
          <c:dLbls>
            <c:dLbl>
              <c:idx val="0"/>
              <c:tx>
                <c:rich>
                  <a:bodyPr/>
                  <a:lstStyle/>
                  <a:p>
                    <a:r>
                      <a:rPr lang="en-US"/>
                      <a:t>15,7%</a:t>
                    </a:r>
                  </a:p>
                </c:rich>
              </c:tx>
              <c:showLegendKey val="0"/>
              <c:showVal val="1"/>
              <c:showCatName val="0"/>
              <c:showSerName val="0"/>
              <c:showPercent val="0"/>
              <c:showBubbleSize val="0"/>
            </c:dLbl>
            <c:dLbl>
              <c:idx val="1"/>
              <c:tx>
                <c:rich>
                  <a:bodyPr/>
                  <a:lstStyle/>
                  <a:p>
                    <a:r>
                      <a:rPr lang="en-US"/>
                      <a:t>21,8%</a:t>
                    </a:r>
                  </a:p>
                </c:rich>
              </c:tx>
              <c:showLegendKey val="0"/>
              <c:showVal val="1"/>
              <c:showCatName val="0"/>
              <c:showSerName val="0"/>
              <c:showPercent val="0"/>
              <c:showBubbleSize val="0"/>
            </c:dLbl>
            <c:dLbl>
              <c:idx val="2"/>
              <c:tx>
                <c:rich>
                  <a:bodyPr/>
                  <a:lstStyle/>
                  <a:p>
                    <a:r>
                      <a:rPr lang="en-US"/>
                      <a:t>46,7%</a:t>
                    </a:r>
                  </a:p>
                </c:rich>
              </c:tx>
              <c:showLegendKey val="0"/>
              <c:showVal val="1"/>
              <c:showCatName val="0"/>
              <c:showSerName val="0"/>
              <c:showPercent val="0"/>
              <c:showBubbleSize val="0"/>
            </c:dLbl>
            <c:dLbl>
              <c:idx val="3"/>
              <c:tx>
                <c:rich>
                  <a:bodyPr/>
                  <a:lstStyle/>
                  <a:p>
                    <a:r>
                      <a:rPr lang="en-US"/>
                      <a:t>68,6%</a:t>
                    </a:r>
                  </a:p>
                </c:rich>
              </c:tx>
              <c:showLegendKey val="0"/>
              <c:showVal val="1"/>
              <c:showCatName val="0"/>
              <c:showSerName val="0"/>
              <c:showPercent val="0"/>
              <c:showBubbleSize val="0"/>
            </c:dLbl>
            <c:dLbl>
              <c:idx val="4"/>
              <c:tx>
                <c:rich>
                  <a:bodyPr/>
                  <a:lstStyle/>
                  <a:p>
                    <a:r>
                      <a:rPr lang="en-US"/>
                      <a:t>72,5%</a:t>
                    </a:r>
                  </a:p>
                </c:rich>
              </c:tx>
              <c:showLegendKey val="0"/>
              <c:showVal val="1"/>
              <c:showCatName val="0"/>
              <c:showSerName val="0"/>
              <c:showPercent val="0"/>
              <c:showBubbleSize val="0"/>
            </c:dLbl>
            <c:dLbl>
              <c:idx val="5"/>
              <c:tx>
                <c:rich>
                  <a:bodyPr/>
                  <a:lstStyle/>
                  <a:p>
                    <a:r>
                      <a:rPr lang="en-US"/>
                      <a:t>90,9%</a:t>
                    </a:r>
                  </a:p>
                </c:rich>
              </c:tx>
              <c:showLegendKey val="0"/>
              <c:showVal val="1"/>
              <c:showCatName val="0"/>
              <c:showSerName val="0"/>
              <c:showPercent val="0"/>
              <c:showBubbleSize val="0"/>
            </c:dLbl>
            <c:dLbl>
              <c:idx val="6"/>
              <c:tx>
                <c:rich>
                  <a:bodyPr/>
                  <a:lstStyle/>
                  <a:p>
                    <a:r>
                      <a:rPr lang="en-US"/>
                      <a:t>83,2%</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General</c:formatCode>
                <c:ptCount val="7"/>
                <c:pt idx="0">
                  <c:v>15.7</c:v>
                </c:pt>
                <c:pt idx="1">
                  <c:v>21.8</c:v>
                </c:pt>
                <c:pt idx="2">
                  <c:v>46.7</c:v>
                </c:pt>
                <c:pt idx="3">
                  <c:v>68.599999999999994</c:v>
                </c:pt>
                <c:pt idx="4">
                  <c:v>72.5</c:v>
                </c:pt>
                <c:pt idx="5">
                  <c:v>90.9</c:v>
                </c:pt>
                <c:pt idx="6">
                  <c:v>83.2</c:v>
                </c:pt>
              </c:numCache>
            </c:numRef>
          </c:val>
        </c:ser>
        <c:dLbls>
          <c:showLegendKey val="0"/>
          <c:showVal val="0"/>
          <c:showCatName val="0"/>
          <c:showSerName val="0"/>
          <c:showPercent val="0"/>
          <c:showBubbleSize val="0"/>
        </c:dLbls>
        <c:gapWidth val="150"/>
        <c:axId val="337812096"/>
        <c:axId val="338055552"/>
      </c:barChart>
      <c:catAx>
        <c:axId val="33781209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338055552"/>
        <c:crosses val="autoZero"/>
        <c:auto val="1"/>
        <c:lblAlgn val="ctr"/>
        <c:lblOffset val="100"/>
        <c:noMultiLvlLbl val="0"/>
      </c:catAx>
      <c:valAx>
        <c:axId val="338055552"/>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7812096"/>
        <c:crosses val="autoZero"/>
        <c:crossBetween val="between"/>
        <c:majorUnit val="20"/>
      </c:valAx>
    </c:plotArea>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invertIfNegative val="0"/>
          <c:dLbls>
            <c:dLbl>
              <c:idx val="0"/>
              <c:tx>
                <c:rich>
                  <a:bodyPr/>
                  <a:lstStyle/>
                  <a:p>
                    <a:r>
                      <a:rPr lang="en-US"/>
                      <a:t>73,1%</a:t>
                    </a:r>
                  </a:p>
                </c:rich>
              </c:tx>
              <c:showLegendKey val="0"/>
              <c:showVal val="1"/>
              <c:showCatName val="0"/>
              <c:showSerName val="0"/>
              <c:showPercent val="0"/>
              <c:showBubbleSize val="0"/>
            </c:dLbl>
            <c:dLbl>
              <c:idx val="1"/>
              <c:tx>
                <c:rich>
                  <a:bodyPr/>
                  <a:lstStyle/>
                  <a:p>
                    <a:r>
                      <a:rPr lang="en-US"/>
                      <a:t>32%</a:t>
                    </a:r>
                  </a:p>
                </c:rich>
              </c:tx>
              <c:showLegendKey val="0"/>
              <c:showVal val="1"/>
              <c:showCatName val="0"/>
              <c:showSerName val="0"/>
              <c:showPercent val="0"/>
              <c:showBubbleSize val="0"/>
            </c:dLbl>
            <c:dLbl>
              <c:idx val="2"/>
              <c:tx>
                <c:rich>
                  <a:bodyPr/>
                  <a:lstStyle/>
                  <a:p>
                    <a:r>
                      <a:rPr lang="en-US"/>
                      <a:t>28,5%</a:t>
                    </a:r>
                  </a:p>
                </c:rich>
              </c:tx>
              <c:showLegendKey val="0"/>
              <c:showVal val="1"/>
              <c:showCatName val="0"/>
              <c:showSerName val="0"/>
              <c:showPercent val="0"/>
              <c:showBubbleSize val="0"/>
            </c:dLbl>
            <c:dLbl>
              <c:idx val="3"/>
              <c:tx>
                <c:rich>
                  <a:bodyPr/>
                  <a:lstStyle/>
                  <a:p>
                    <a:r>
                      <a:rPr lang="en-US"/>
                      <a:t>14,3%</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Hoja1!$A$2:$A$5</c:f>
              <c:strCache>
                <c:ptCount val="4"/>
                <c:pt idx="0">
                  <c:v>Socios</c:v>
                </c:pt>
                <c:pt idx="1">
                  <c:v>Administradores</c:v>
                </c:pt>
                <c:pt idx="2">
                  <c:v>Miembros del Consejo Rector</c:v>
                </c:pt>
                <c:pt idx="3">
                  <c:v>Otros</c:v>
                </c:pt>
              </c:strCache>
            </c:strRef>
          </c:cat>
          <c:val>
            <c:numRef>
              <c:f>Hoja1!$B$2:$B$5</c:f>
              <c:numCache>
                <c:formatCode>General</c:formatCode>
                <c:ptCount val="4"/>
                <c:pt idx="0">
                  <c:v>73.099999999999994</c:v>
                </c:pt>
                <c:pt idx="1">
                  <c:v>32</c:v>
                </c:pt>
                <c:pt idx="2">
                  <c:v>28.5</c:v>
                </c:pt>
                <c:pt idx="3">
                  <c:v>14.3</c:v>
                </c:pt>
              </c:numCache>
            </c:numRef>
          </c:val>
        </c:ser>
        <c:dLbls>
          <c:showLegendKey val="0"/>
          <c:showVal val="0"/>
          <c:showCatName val="0"/>
          <c:showSerName val="0"/>
          <c:showPercent val="0"/>
          <c:showBubbleSize val="0"/>
        </c:dLbls>
        <c:gapWidth val="150"/>
        <c:axId val="338092032"/>
        <c:axId val="338093568"/>
      </c:barChart>
      <c:catAx>
        <c:axId val="338092032"/>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338093568"/>
        <c:crosses val="autoZero"/>
        <c:auto val="1"/>
        <c:lblAlgn val="ctr"/>
        <c:lblOffset val="100"/>
        <c:noMultiLvlLbl val="0"/>
      </c:catAx>
      <c:valAx>
        <c:axId val="338093568"/>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8092032"/>
        <c:crosses val="autoZero"/>
        <c:crossBetween val="between"/>
      </c:valAx>
    </c:plotArea>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Columna1</c:v>
                </c:pt>
              </c:strCache>
            </c:strRef>
          </c:tx>
          <c:invertIfNegative val="0"/>
          <c:dLbls>
            <c:dLbl>
              <c:idx val="0"/>
              <c:tx>
                <c:rich>
                  <a:bodyPr/>
                  <a:lstStyle/>
                  <a:p>
                    <a:r>
                      <a:rPr lang="en-US"/>
                      <a:t>65,4%</a:t>
                    </a:r>
                  </a:p>
                </c:rich>
              </c:tx>
              <c:showLegendKey val="0"/>
              <c:showVal val="1"/>
              <c:showCatName val="0"/>
              <c:showSerName val="0"/>
              <c:showPercent val="0"/>
              <c:showBubbleSize val="0"/>
            </c:dLbl>
            <c:dLbl>
              <c:idx val="1"/>
              <c:tx>
                <c:rich>
                  <a:bodyPr/>
                  <a:lstStyle/>
                  <a:p>
                    <a:r>
                      <a:rPr lang="en-US"/>
                      <a:t>46,3%</a:t>
                    </a:r>
                  </a:p>
                </c:rich>
              </c:tx>
              <c:showLegendKey val="0"/>
              <c:showVal val="1"/>
              <c:showCatName val="0"/>
              <c:showSerName val="0"/>
              <c:showPercent val="0"/>
              <c:showBubbleSize val="0"/>
            </c:dLbl>
            <c:dLbl>
              <c:idx val="2"/>
              <c:tx>
                <c:rich>
                  <a:bodyPr/>
                  <a:lstStyle/>
                  <a:p>
                    <a:r>
                      <a:rPr lang="en-US"/>
                      <a:t>14,9%</a:t>
                    </a:r>
                  </a:p>
                </c:rich>
              </c:tx>
              <c:showLegendKey val="0"/>
              <c:showVal val="1"/>
              <c:showCatName val="0"/>
              <c:showSerName val="0"/>
              <c:showPercent val="0"/>
              <c:showBubbleSize val="0"/>
            </c:dLbl>
            <c:dLbl>
              <c:idx val="3"/>
              <c:tx>
                <c:rich>
                  <a:bodyPr/>
                  <a:lstStyle/>
                  <a:p>
                    <a:r>
                      <a:rPr lang="en-US"/>
                      <a:t>9,1%</a:t>
                    </a:r>
                  </a:p>
                </c:rich>
              </c:tx>
              <c:showLegendKey val="0"/>
              <c:showVal val="1"/>
              <c:showCatName val="0"/>
              <c:showSerName val="0"/>
              <c:showPercent val="0"/>
              <c:showBubbleSize val="0"/>
            </c:dLbl>
            <c:dLbl>
              <c:idx val="4"/>
              <c:tx>
                <c:rich>
                  <a:bodyPr/>
                  <a:lstStyle/>
                  <a:p>
                    <a:r>
                      <a:rPr lang="en-US"/>
                      <a:t>2,7%</a:t>
                    </a:r>
                  </a:p>
                </c:rich>
              </c:tx>
              <c:showLegendKey val="0"/>
              <c:showVal val="1"/>
              <c:showCatName val="0"/>
              <c:showSerName val="0"/>
              <c:showPercent val="0"/>
              <c:showBubbleSize val="0"/>
            </c:dLbl>
            <c:dLbl>
              <c:idx val="5"/>
              <c:tx>
                <c:rich>
                  <a:bodyPr/>
                  <a:lstStyle/>
                  <a:p>
                    <a:r>
                      <a:rPr lang="en-US"/>
                      <a:t>12,4%</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Hoja1!$A$2:$A$7</c:f>
              <c:strCache>
                <c:ptCount val="6"/>
                <c:pt idx="0">
                  <c:v>Colaboraciones puntuales</c:v>
                </c:pt>
                <c:pt idx="1">
                  <c:v>Alianzas estratégicas</c:v>
                </c:pt>
                <c:pt idx="2">
                  <c:v>Cooperativas de segunda grado</c:v>
                </c:pt>
                <c:pt idx="3">
                  <c:v>Intercambio accionarial</c:v>
                </c:pt>
                <c:pt idx="4">
                  <c:v>Joint Venture</c:v>
                </c:pt>
                <c:pt idx="5">
                  <c:v>Otras</c:v>
                </c:pt>
              </c:strCache>
            </c:strRef>
          </c:cat>
          <c:val>
            <c:numRef>
              <c:f>Hoja1!$B$2:$B$7</c:f>
              <c:numCache>
                <c:formatCode>General</c:formatCode>
                <c:ptCount val="6"/>
                <c:pt idx="0">
                  <c:v>65.400000000000006</c:v>
                </c:pt>
                <c:pt idx="1">
                  <c:v>46.3</c:v>
                </c:pt>
                <c:pt idx="2">
                  <c:v>14.9</c:v>
                </c:pt>
                <c:pt idx="3">
                  <c:v>9.1</c:v>
                </c:pt>
                <c:pt idx="4">
                  <c:v>2.7</c:v>
                </c:pt>
                <c:pt idx="5">
                  <c:v>12.4</c:v>
                </c:pt>
              </c:numCache>
            </c:numRef>
          </c:val>
        </c:ser>
        <c:dLbls>
          <c:showLegendKey val="0"/>
          <c:showVal val="0"/>
          <c:showCatName val="0"/>
          <c:showSerName val="0"/>
          <c:showPercent val="0"/>
          <c:showBubbleSize val="0"/>
        </c:dLbls>
        <c:gapWidth val="150"/>
        <c:axId val="337589376"/>
        <c:axId val="337590912"/>
      </c:barChart>
      <c:catAx>
        <c:axId val="337589376"/>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337590912"/>
        <c:crosses val="autoZero"/>
        <c:auto val="1"/>
        <c:lblAlgn val="ctr"/>
        <c:lblOffset val="100"/>
        <c:noMultiLvlLbl val="0"/>
      </c:catAx>
      <c:valAx>
        <c:axId val="337590912"/>
        <c:scaling>
          <c:orientation val="minMax"/>
        </c:scaling>
        <c:delete val="0"/>
        <c:axPos val="b"/>
        <c:majorGridlines/>
        <c:numFmt formatCode="General" sourceLinked="1"/>
        <c:majorTickMark val="out"/>
        <c:minorTickMark val="none"/>
        <c:tickLblPos val="nextTo"/>
        <c:crossAx val="337589376"/>
        <c:crosses val="autoZero"/>
        <c:crossBetween val="between"/>
      </c:valAx>
    </c:plotArea>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invertIfNegative val="0"/>
          <c:dLbls>
            <c:dLbl>
              <c:idx val="0"/>
              <c:tx>
                <c:rich>
                  <a:bodyPr/>
                  <a:lstStyle/>
                  <a:p>
                    <a:r>
                      <a:rPr lang="en-US"/>
                      <a:t>17,2%</a:t>
                    </a:r>
                  </a:p>
                </c:rich>
              </c:tx>
              <c:showLegendKey val="0"/>
              <c:showVal val="1"/>
              <c:showCatName val="0"/>
              <c:showSerName val="0"/>
              <c:showPercent val="0"/>
              <c:showBubbleSize val="0"/>
            </c:dLbl>
            <c:dLbl>
              <c:idx val="1"/>
              <c:tx>
                <c:rich>
                  <a:bodyPr/>
                  <a:lstStyle/>
                  <a:p>
                    <a:r>
                      <a:rPr lang="en-US"/>
                      <a:t>26,5%</a:t>
                    </a:r>
                  </a:p>
                </c:rich>
              </c:tx>
              <c:showLegendKey val="0"/>
              <c:showVal val="1"/>
              <c:showCatName val="0"/>
              <c:showSerName val="0"/>
              <c:showPercent val="0"/>
              <c:showBubbleSize val="0"/>
            </c:dLbl>
            <c:dLbl>
              <c:idx val="2"/>
              <c:tx>
                <c:rich>
                  <a:bodyPr/>
                  <a:lstStyle/>
                  <a:p>
                    <a:r>
                      <a:rPr lang="en-US"/>
                      <a:t>47,1%</a:t>
                    </a:r>
                  </a:p>
                </c:rich>
              </c:tx>
              <c:showLegendKey val="0"/>
              <c:showVal val="1"/>
              <c:showCatName val="0"/>
              <c:showSerName val="0"/>
              <c:showPercent val="0"/>
              <c:showBubbleSize val="0"/>
            </c:dLbl>
            <c:dLbl>
              <c:idx val="3"/>
              <c:tx>
                <c:rich>
                  <a:bodyPr/>
                  <a:lstStyle/>
                  <a:p>
                    <a:r>
                      <a:rPr lang="en-US"/>
                      <a:t>74,0%</a:t>
                    </a:r>
                  </a:p>
                </c:rich>
              </c:tx>
              <c:showLegendKey val="0"/>
              <c:showVal val="1"/>
              <c:showCatName val="0"/>
              <c:showSerName val="0"/>
              <c:showPercent val="0"/>
              <c:showBubbleSize val="0"/>
            </c:dLbl>
            <c:dLbl>
              <c:idx val="4"/>
              <c:tx>
                <c:rich>
                  <a:bodyPr/>
                  <a:lstStyle/>
                  <a:p>
                    <a:r>
                      <a:rPr lang="en-US"/>
                      <a:t>78,5%</a:t>
                    </a:r>
                  </a:p>
                </c:rich>
              </c:tx>
              <c:showLegendKey val="0"/>
              <c:showVal val="1"/>
              <c:showCatName val="0"/>
              <c:showSerName val="0"/>
              <c:showPercent val="0"/>
              <c:showBubbleSize val="0"/>
            </c:dLbl>
            <c:dLbl>
              <c:idx val="5"/>
              <c:tx>
                <c:rich>
                  <a:bodyPr/>
                  <a:lstStyle/>
                  <a:p>
                    <a:r>
                      <a:rPr lang="en-US"/>
                      <a:t>88,7%</a:t>
                    </a:r>
                  </a:p>
                </c:rich>
              </c:tx>
              <c:showLegendKey val="0"/>
              <c:showVal val="1"/>
              <c:showCatName val="0"/>
              <c:showSerName val="0"/>
              <c:showPercent val="0"/>
              <c:showBubbleSize val="0"/>
            </c:dLbl>
            <c:dLbl>
              <c:idx val="6"/>
              <c:tx>
                <c:rich>
                  <a:bodyPr/>
                  <a:lstStyle/>
                  <a:p>
                    <a:r>
                      <a:rPr lang="en-US"/>
                      <a:t>91,6%</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Hoja1!$A$2:$A$8</c:f>
              <c:strCache>
                <c:ptCount val="7"/>
                <c:pt idx="0">
                  <c:v>Hasta 5 empleos</c:v>
                </c:pt>
                <c:pt idx="1">
                  <c:v>De 6 a 15</c:v>
                </c:pt>
                <c:pt idx="2">
                  <c:v>De 16 a 50</c:v>
                </c:pt>
                <c:pt idx="3">
                  <c:v>De 51 a 100</c:v>
                </c:pt>
                <c:pt idx="4">
                  <c:v>De 101 a 200</c:v>
                </c:pt>
                <c:pt idx="5">
                  <c:v>De 201 a 500</c:v>
                </c:pt>
                <c:pt idx="6">
                  <c:v>Más de 500</c:v>
                </c:pt>
              </c:strCache>
            </c:strRef>
          </c:cat>
          <c:val>
            <c:numRef>
              <c:f>Hoja1!$B$2:$B$8</c:f>
              <c:numCache>
                <c:formatCode>General</c:formatCode>
                <c:ptCount val="7"/>
                <c:pt idx="0">
                  <c:v>17.2</c:v>
                </c:pt>
                <c:pt idx="1">
                  <c:v>26.5</c:v>
                </c:pt>
                <c:pt idx="2">
                  <c:v>47.1</c:v>
                </c:pt>
                <c:pt idx="3">
                  <c:v>74</c:v>
                </c:pt>
                <c:pt idx="4">
                  <c:v>78.5</c:v>
                </c:pt>
                <c:pt idx="5">
                  <c:v>88.7</c:v>
                </c:pt>
                <c:pt idx="6">
                  <c:v>91.6</c:v>
                </c:pt>
              </c:numCache>
            </c:numRef>
          </c:val>
        </c:ser>
        <c:dLbls>
          <c:showLegendKey val="0"/>
          <c:showVal val="0"/>
          <c:showCatName val="0"/>
          <c:showSerName val="0"/>
          <c:showPercent val="0"/>
          <c:showBubbleSize val="0"/>
        </c:dLbls>
        <c:gapWidth val="150"/>
        <c:axId val="338348288"/>
        <c:axId val="338571264"/>
      </c:barChart>
      <c:catAx>
        <c:axId val="33834828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338571264"/>
        <c:crosses val="autoZero"/>
        <c:auto val="1"/>
        <c:lblAlgn val="ctr"/>
        <c:lblOffset val="100"/>
        <c:noMultiLvlLbl val="0"/>
      </c:catAx>
      <c:valAx>
        <c:axId val="338571264"/>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8348288"/>
        <c:crosses val="autoZero"/>
        <c:crossBetween val="between"/>
        <c:majorUnit val="20"/>
      </c:valAx>
    </c:plotArea>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tx>
                <c:rich>
                  <a:bodyPr/>
                  <a:lstStyle/>
                  <a:p>
                    <a:r>
                      <a:rPr lang="en-US"/>
                      <a:t>34,3%</a:t>
                    </a:r>
                  </a:p>
                </c:rich>
              </c:tx>
              <c:showLegendKey val="0"/>
              <c:showVal val="1"/>
              <c:showCatName val="0"/>
              <c:showSerName val="0"/>
              <c:showPercent val="0"/>
              <c:showBubbleSize val="0"/>
            </c:dLbl>
            <c:dLbl>
              <c:idx val="1"/>
              <c:tx>
                <c:rich>
                  <a:bodyPr/>
                  <a:lstStyle/>
                  <a:p>
                    <a:r>
                      <a:rPr lang="en-US"/>
                      <a:t>46,5%</a:t>
                    </a:r>
                  </a:p>
                </c:rich>
              </c:tx>
              <c:showLegendKey val="0"/>
              <c:showVal val="1"/>
              <c:showCatName val="0"/>
              <c:showSerName val="0"/>
              <c:showPercent val="0"/>
              <c:showBubbleSize val="0"/>
            </c:dLbl>
            <c:dLbl>
              <c:idx val="2"/>
              <c:tx>
                <c:rich>
                  <a:bodyPr/>
                  <a:lstStyle/>
                  <a:p>
                    <a:r>
                      <a:rPr lang="en-US"/>
                      <a:t>64,4%</a:t>
                    </a:r>
                  </a:p>
                </c:rich>
              </c:tx>
              <c:showLegendKey val="0"/>
              <c:showVal val="1"/>
              <c:showCatName val="0"/>
              <c:showSerName val="0"/>
              <c:showPercent val="0"/>
              <c:showBubbleSize val="0"/>
            </c:dLbl>
            <c:dLbl>
              <c:idx val="3"/>
              <c:tx>
                <c:rich>
                  <a:bodyPr/>
                  <a:lstStyle/>
                  <a:p>
                    <a:r>
                      <a:rPr lang="en-US"/>
                      <a:t>78,4%</a:t>
                    </a:r>
                  </a:p>
                </c:rich>
              </c:tx>
              <c:showLegendKey val="0"/>
              <c:showVal val="1"/>
              <c:showCatName val="0"/>
              <c:showSerName val="0"/>
              <c:showPercent val="0"/>
              <c:showBubbleSize val="0"/>
            </c:dLbl>
            <c:dLbl>
              <c:idx val="4"/>
              <c:tx>
                <c:rich>
                  <a:bodyPr/>
                  <a:lstStyle/>
                  <a:p>
                    <a:r>
                      <a:rPr lang="en-US"/>
                      <a:t>86,8%</a:t>
                    </a:r>
                  </a:p>
                </c:rich>
              </c:tx>
              <c:showLegendKey val="0"/>
              <c:showVal val="1"/>
              <c:showCatName val="0"/>
              <c:showSerName val="0"/>
              <c:showPercent val="0"/>
              <c:showBubbleSize val="0"/>
            </c:dLbl>
            <c:dLbl>
              <c:idx val="5"/>
              <c:tx>
                <c:rich>
                  <a:bodyPr/>
                  <a:lstStyle/>
                  <a:p>
                    <a:r>
                      <a:rPr lang="en-US"/>
                      <a:t>84,9%</a:t>
                    </a:r>
                  </a:p>
                </c:rich>
              </c:tx>
              <c:showLegendKey val="0"/>
              <c:showVal val="1"/>
              <c:showCatName val="0"/>
              <c:showSerName val="0"/>
              <c:showPercent val="0"/>
              <c:showBubbleSize val="0"/>
            </c:dLbl>
            <c:dLbl>
              <c:idx val="6"/>
              <c:tx>
                <c:rich>
                  <a:bodyPr/>
                  <a:lstStyle/>
                  <a:p>
                    <a:r>
                      <a:rPr lang="en-US"/>
                      <a:t>74,7%</a:t>
                    </a:r>
                  </a:p>
                </c:rich>
              </c:tx>
              <c:showLegendKey val="0"/>
              <c:showVal val="1"/>
              <c:showCatName val="0"/>
              <c:showSerName val="0"/>
              <c:showPercent val="0"/>
              <c:showBubbleSize val="0"/>
            </c:dLbl>
            <c:dLbl>
              <c:idx val="7"/>
              <c:tx>
                <c:rich>
                  <a:bodyPr/>
                  <a:lstStyle/>
                  <a:p>
                    <a:r>
                      <a:rPr lang="en-US"/>
                      <a:t>42,9%</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Hoja1!$A$2:$A$9</c:f>
              <c:strCache>
                <c:ptCount val="8"/>
                <c:pt idx="0">
                  <c:v>Menos de 6 empleos</c:v>
                </c:pt>
                <c:pt idx="1">
                  <c:v>De 6 a 15</c:v>
                </c:pt>
                <c:pt idx="2">
                  <c:v>De 16 a 50</c:v>
                </c:pt>
                <c:pt idx="3">
                  <c:v>De 51 a 100</c:v>
                </c:pt>
                <c:pt idx="4">
                  <c:v>De 101 a 200</c:v>
                </c:pt>
                <c:pt idx="5">
                  <c:v>De 201 a 500</c:v>
                </c:pt>
                <c:pt idx="6">
                  <c:v>Más de 500</c:v>
                </c:pt>
                <c:pt idx="7">
                  <c:v>TOTAL</c:v>
                </c:pt>
              </c:strCache>
            </c:strRef>
          </c:cat>
          <c:val>
            <c:numRef>
              <c:f>Hoja1!$B$2:$B$9</c:f>
              <c:numCache>
                <c:formatCode>General</c:formatCode>
                <c:ptCount val="8"/>
                <c:pt idx="0">
                  <c:v>34.300000000000004</c:v>
                </c:pt>
                <c:pt idx="1">
                  <c:v>46.5</c:v>
                </c:pt>
                <c:pt idx="2">
                  <c:v>64.400000000000006</c:v>
                </c:pt>
                <c:pt idx="3">
                  <c:v>78.400000000000006</c:v>
                </c:pt>
                <c:pt idx="4">
                  <c:v>86.8</c:v>
                </c:pt>
                <c:pt idx="5">
                  <c:v>84.9</c:v>
                </c:pt>
                <c:pt idx="6">
                  <c:v>74.7</c:v>
                </c:pt>
                <c:pt idx="7">
                  <c:v>42.9</c:v>
                </c:pt>
              </c:numCache>
            </c:numRef>
          </c:val>
        </c:ser>
        <c:dLbls>
          <c:showLegendKey val="0"/>
          <c:showVal val="0"/>
          <c:showCatName val="0"/>
          <c:showSerName val="0"/>
          <c:showPercent val="0"/>
          <c:showBubbleSize val="0"/>
        </c:dLbls>
        <c:gapWidth val="150"/>
        <c:axId val="338735104"/>
        <c:axId val="338736640"/>
      </c:barChart>
      <c:catAx>
        <c:axId val="338735104"/>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338736640"/>
        <c:crosses val="autoZero"/>
        <c:auto val="1"/>
        <c:lblAlgn val="ctr"/>
        <c:lblOffset val="100"/>
        <c:noMultiLvlLbl val="0"/>
      </c:catAx>
      <c:valAx>
        <c:axId val="338736640"/>
        <c:scaling>
          <c:orientation val="minMax"/>
        </c:scaling>
        <c:delete val="0"/>
        <c:axPos val="b"/>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8735104"/>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814"/>
          <c:y val="0.21407687963055017"/>
          <c:w val="0.41504591205378605"/>
          <c:h val="0.62482047339021485"/>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dLbl>
            <c:dLbl>
              <c:idx val="1"/>
              <c:layout>
                <c:manualLayout>
                  <c:x val="-3.1894456970728353E-2"/>
                  <c:y val="-1.7279931354734893E-3"/>
                </c:manualLayout>
              </c:layout>
              <c:dLblPos val="bestFit"/>
              <c:showLegendKey val="0"/>
              <c:showVal val="0"/>
              <c:showCatName val="1"/>
              <c:showSerName val="0"/>
              <c:showPercent val="1"/>
              <c:showBubbleSize val="0"/>
            </c:dLbl>
            <c:dLbl>
              <c:idx val="2"/>
              <c:layout>
                <c:manualLayout>
                  <c:x val="-2.3377708417078816E-2"/>
                  <c:y val="-1.4395352479674218E-3"/>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0.3900000000000029</c:v>
                </c:pt>
                <c:pt idx="1">
                  <c:v>0.50700000000000001</c:v>
                </c:pt>
                <c:pt idx="2">
                  <c:v>0.10199999999999998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invertIfNegative val="0"/>
          <c:dLbls>
            <c:dLbl>
              <c:idx val="0"/>
              <c:tx>
                <c:rich>
                  <a:bodyPr/>
                  <a:lstStyle/>
                  <a:p>
                    <a:r>
                      <a:rPr lang="en-US"/>
                      <a:t>50,2%</a:t>
                    </a:r>
                  </a:p>
                </c:rich>
              </c:tx>
              <c:showLegendKey val="0"/>
              <c:showVal val="1"/>
              <c:showCatName val="0"/>
              <c:showSerName val="0"/>
              <c:showPercent val="0"/>
              <c:showBubbleSize val="0"/>
            </c:dLbl>
            <c:dLbl>
              <c:idx val="1"/>
              <c:tx>
                <c:rich>
                  <a:bodyPr/>
                  <a:lstStyle/>
                  <a:p>
                    <a:r>
                      <a:rPr lang="en-US"/>
                      <a:t>29,6%</a:t>
                    </a:r>
                  </a:p>
                </c:rich>
              </c:tx>
              <c:showLegendKey val="0"/>
              <c:showVal val="1"/>
              <c:showCatName val="0"/>
              <c:showSerName val="0"/>
              <c:showPercent val="0"/>
              <c:showBubbleSize val="0"/>
            </c:dLbl>
            <c:dLbl>
              <c:idx val="2"/>
              <c:tx>
                <c:rich>
                  <a:bodyPr/>
                  <a:lstStyle/>
                  <a:p>
                    <a:r>
                      <a:rPr lang="en-US"/>
                      <a:t>30,2%</a:t>
                    </a:r>
                  </a:p>
                </c:rich>
              </c:tx>
              <c:showLegendKey val="0"/>
              <c:showVal val="1"/>
              <c:showCatName val="0"/>
              <c:showSerName val="0"/>
              <c:showPercent val="0"/>
              <c:showBubbleSize val="0"/>
            </c:dLbl>
            <c:dLbl>
              <c:idx val="3"/>
              <c:tx>
                <c:rich>
                  <a:bodyPr/>
                  <a:lstStyle/>
                  <a:p>
                    <a:r>
                      <a:rPr lang="en-US"/>
                      <a:t>42,9%</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Hoja1!$A$2:$A$5</c:f>
              <c:strCache>
                <c:ptCount val="4"/>
                <c:pt idx="0">
                  <c:v>S. COOP</c:v>
                </c:pt>
                <c:pt idx="1">
                  <c:v>S.A.L.</c:v>
                </c:pt>
                <c:pt idx="2">
                  <c:v>S.L.L.</c:v>
                </c:pt>
                <c:pt idx="3">
                  <c:v>TOTAL</c:v>
                </c:pt>
              </c:strCache>
            </c:strRef>
          </c:cat>
          <c:val>
            <c:numRef>
              <c:f>Hoja1!$B$2:$B$5</c:f>
              <c:numCache>
                <c:formatCode>General</c:formatCode>
                <c:ptCount val="4"/>
                <c:pt idx="0">
                  <c:v>50.2</c:v>
                </c:pt>
                <c:pt idx="1">
                  <c:v>29.6</c:v>
                </c:pt>
                <c:pt idx="2">
                  <c:v>30.2</c:v>
                </c:pt>
                <c:pt idx="3">
                  <c:v>42.9</c:v>
                </c:pt>
              </c:numCache>
            </c:numRef>
          </c:val>
        </c:ser>
        <c:dLbls>
          <c:showLegendKey val="0"/>
          <c:showVal val="0"/>
          <c:showCatName val="0"/>
          <c:showSerName val="0"/>
          <c:showPercent val="0"/>
          <c:showBubbleSize val="0"/>
        </c:dLbls>
        <c:gapWidth val="150"/>
        <c:axId val="339596416"/>
        <c:axId val="339597952"/>
      </c:barChart>
      <c:catAx>
        <c:axId val="339596416"/>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ES"/>
          </a:p>
        </c:txPr>
        <c:crossAx val="339597952"/>
        <c:crosses val="autoZero"/>
        <c:auto val="1"/>
        <c:lblAlgn val="ctr"/>
        <c:lblOffset val="100"/>
        <c:noMultiLvlLbl val="0"/>
      </c:catAx>
      <c:valAx>
        <c:axId val="339597952"/>
        <c:scaling>
          <c:orientation val="minMax"/>
        </c:scaling>
        <c:delete val="0"/>
        <c:axPos val="b"/>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959641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invertIfNegative val="0"/>
          <c:dLbls>
            <c:dLbl>
              <c:idx val="0"/>
              <c:tx>
                <c:rich>
                  <a:bodyPr/>
                  <a:lstStyle/>
                  <a:p>
                    <a:r>
                      <a:rPr lang="en-US"/>
                      <a:t>21,6%*</a:t>
                    </a:r>
                  </a:p>
                </c:rich>
              </c:tx>
              <c:showLegendKey val="0"/>
              <c:showVal val="1"/>
              <c:showCatName val="0"/>
              <c:showSerName val="0"/>
              <c:showPercent val="0"/>
              <c:showBubbleSize val="0"/>
            </c:dLbl>
            <c:dLbl>
              <c:idx val="1"/>
              <c:tx>
                <c:rich>
                  <a:bodyPr/>
                  <a:lstStyle/>
                  <a:p>
                    <a:r>
                      <a:rPr lang="en-US"/>
                      <a:t>17,0%**</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Hoja1!$A$2:$A$3</c:f>
              <c:strCache>
                <c:ptCount val="2"/>
                <c:pt idx="0">
                  <c:v>Economía Social</c:v>
                </c:pt>
                <c:pt idx="1">
                  <c:v>Economía CAE</c:v>
                </c:pt>
              </c:strCache>
            </c:strRef>
          </c:cat>
          <c:val>
            <c:numRef>
              <c:f>Hoja1!$B$2:$B$3</c:f>
              <c:numCache>
                <c:formatCode>General</c:formatCode>
                <c:ptCount val="2"/>
                <c:pt idx="0">
                  <c:v>21.6</c:v>
                </c:pt>
                <c:pt idx="1">
                  <c:v>17</c:v>
                </c:pt>
              </c:numCache>
            </c:numRef>
          </c:val>
        </c:ser>
        <c:dLbls>
          <c:showLegendKey val="0"/>
          <c:showVal val="0"/>
          <c:showCatName val="0"/>
          <c:showSerName val="0"/>
          <c:showPercent val="0"/>
          <c:showBubbleSize val="0"/>
        </c:dLbls>
        <c:gapWidth val="150"/>
        <c:axId val="339822848"/>
        <c:axId val="339832832"/>
      </c:barChart>
      <c:catAx>
        <c:axId val="33982284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339832832"/>
        <c:crosses val="autoZero"/>
        <c:auto val="1"/>
        <c:lblAlgn val="ctr"/>
        <c:lblOffset val="100"/>
        <c:noMultiLvlLbl val="0"/>
      </c:catAx>
      <c:valAx>
        <c:axId val="339832832"/>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9822848"/>
        <c:crosses val="autoZero"/>
        <c:crossBetween val="between"/>
      </c:valAx>
    </c:plotArea>
    <c:plotVisOnly val="1"/>
    <c:dispBlanksAs val="gap"/>
    <c:showDLblsOverMax val="0"/>
  </c:chart>
  <c:spPr>
    <a:ln>
      <a:noFill/>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Economía Social</c:v>
                </c:pt>
              </c:strCache>
            </c:strRef>
          </c:tx>
          <c:invertIfNegative val="0"/>
          <c:dLbls>
            <c:dLbl>
              <c:idx val="0"/>
              <c:tx>
                <c:rich>
                  <a:bodyPr/>
                  <a:lstStyle/>
                  <a:p>
                    <a:r>
                      <a:rPr lang="en-US"/>
                      <a:t>26,0%</a:t>
                    </a:r>
                  </a:p>
                </c:rich>
              </c:tx>
              <c:showLegendKey val="0"/>
              <c:showVal val="1"/>
              <c:showCatName val="0"/>
              <c:showSerName val="0"/>
              <c:showPercent val="0"/>
              <c:showBubbleSize val="0"/>
            </c:dLbl>
            <c:dLbl>
              <c:idx val="1"/>
              <c:tx>
                <c:rich>
                  <a:bodyPr/>
                  <a:lstStyle/>
                  <a:p>
                    <a:r>
                      <a:rPr lang="en-US"/>
                      <a:t>8,2%</a:t>
                    </a:r>
                  </a:p>
                </c:rich>
              </c:tx>
              <c:showLegendKey val="0"/>
              <c:showVal val="1"/>
              <c:showCatName val="0"/>
              <c:showSerName val="0"/>
              <c:showPercent val="0"/>
              <c:showBubbleSize val="0"/>
            </c:dLbl>
            <c:dLbl>
              <c:idx val="2"/>
              <c:tx>
                <c:rich>
                  <a:bodyPr/>
                  <a:lstStyle/>
                  <a:p>
                    <a:r>
                      <a:rPr lang="en-US"/>
                      <a:t>22,9%</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Hoja1!$A$2:$A$4</c:f>
              <c:strCache>
                <c:ptCount val="3"/>
                <c:pt idx="0">
                  <c:v>Industria</c:v>
                </c:pt>
                <c:pt idx="1">
                  <c:v>Construcción </c:v>
                </c:pt>
                <c:pt idx="2">
                  <c:v>Servicios</c:v>
                </c:pt>
              </c:strCache>
            </c:strRef>
          </c:cat>
          <c:val>
            <c:numRef>
              <c:f>Hoja1!$B$2:$B$4</c:f>
              <c:numCache>
                <c:formatCode>General</c:formatCode>
                <c:ptCount val="3"/>
                <c:pt idx="0">
                  <c:v>26</c:v>
                </c:pt>
                <c:pt idx="1">
                  <c:v>8.2000000000000011</c:v>
                </c:pt>
                <c:pt idx="2">
                  <c:v>22.9</c:v>
                </c:pt>
              </c:numCache>
            </c:numRef>
          </c:val>
        </c:ser>
        <c:ser>
          <c:idx val="1"/>
          <c:order val="1"/>
          <c:tx>
            <c:strRef>
              <c:f>Hoja1!$C$1</c:f>
              <c:strCache>
                <c:ptCount val="1"/>
                <c:pt idx="0">
                  <c:v>CAE</c:v>
                </c:pt>
              </c:strCache>
            </c:strRef>
          </c:tx>
          <c:spPr>
            <a:solidFill>
              <a:schemeClr val="accent1">
                <a:lumMod val="20000"/>
                <a:lumOff val="80000"/>
              </a:schemeClr>
            </a:solidFill>
          </c:spPr>
          <c:invertIfNegative val="0"/>
          <c:dLbls>
            <c:dLbl>
              <c:idx val="0"/>
              <c:tx>
                <c:rich>
                  <a:bodyPr/>
                  <a:lstStyle/>
                  <a:p>
                    <a:r>
                      <a:rPr lang="en-US"/>
                      <a:t>24,0%</a:t>
                    </a:r>
                  </a:p>
                </c:rich>
              </c:tx>
              <c:showLegendKey val="0"/>
              <c:showVal val="1"/>
              <c:showCatName val="0"/>
              <c:showSerName val="0"/>
              <c:showPercent val="0"/>
              <c:showBubbleSize val="0"/>
            </c:dLbl>
            <c:dLbl>
              <c:idx val="1"/>
              <c:tx>
                <c:rich>
                  <a:bodyPr/>
                  <a:lstStyle/>
                  <a:p>
                    <a:r>
                      <a:rPr lang="en-US"/>
                      <a:t>10,5%</a:t>
                    </a:r>
                  </a:p>
                </c:rich>
              </c:tx>
              <c:showLegendKey val="0"/>
              <c:showVal val="1"/>
              <c:showCatName val="0"/>
              <c:showSerName val="0"/>
              <c:showPercent val="0"/>
              <c:showBubbleSize val="0"/>
            </c:dLbl>
            <c:dLbl>
              <c:idx val="2"/>
              <c:tx>
                <c:rich>
                  <a:bodyPr/>
                  <a:lstStyle/>
                  <a:p>
                    <a:r>
                      <a:rPr lang="en-US"/>
                      <a:t>17,4%</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dLbls>
          <c:cat>
            <c:strRef>
              <c:f>Hoja1!$A$2:$A$4</c:f>
              <c:strCache>
                <c:ptCount val="3"/>
                <c:pt idx="0">
                  <c:v>Industria</c:v>
                </c:pt>
                <c:pt idx="1">
                  <c:v>Construcción </c:v>
                </c:pt>
                <c:pt idx="2">
                  <c:v>Servicios</c:v>
                </c:pt>
              </c:strCache>
            </c:strRef>
          </c:cat>
          <c:val>
            <c:numRef>
              <c:f>Hoja1!$C$2:$C$4</c:f>
              <c:numCache>
                <c:formatCode>General</c:formatCode>
                <c:ptCount val="3"/>
                <c:pt idx="0">
                  <c:v>24</c:v>
                </c:pt>
                <c:pt idx="1">
                  <c:v>10.5</c:v>
                </c:pt>
                <c:pt idx="2">
                  <c:v>17.399999999999999</c:v>
                </c:pt>
              </c:numCache>
            </c:numRef>
          </c:val>
        </c:ser>
        <c:dLbls>
          <c:showLegendKey val="0"/>
          <c:showVal val="0"/>
          <c:showCatName val="0"/>
          <c:showSerName val="0"/>
          <c:showPercent val="0"/>
          <c:showBubbleSize val="0"/>
        </c:dLbls>
        <c:gapWidth val="150"/>
        <c:axId val="339845888"/>
        <c:axId val="339847424"/>
      </c:barChart>
      <c:catAx>
        <c:axId val="33984588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339847424"/>
        <c:crosses val="autoZero"/>
        <c:auto val="1"/>
        <c:lblAlgn val="ctr"/>
        <c:lblOffset val="100"/>
        <c:noMultiLvlLbl val="0"/>
      </c:catAx>
      <c:valAx>
        <c:axId val="339847424"/>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984588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Economía Social</c:v>
                </c:pt>
              </c:strCache>
            </c:strRef>
          </c:tx>
          <c:invertIfNegative val="0"/>
          <c:dLbls>
            <c:showLegendKey val="0"/>
            <c:showVal val="1"/>
            <c:showCatName val="0"/>
            <c:showSerName val="0"/>
            <c:showPercent val="0"/>
            <c:showBubbleSize val="0"/>
            <c:showLeaderLines val="0"/>
          </c:dLbls>
          <c:cat>
            <c:strRef>
              <c:f>Hoja1!$A$2</c:f>
              <c:strCache>
                <c:ptCount val="1"/>
                <c:pt idx="0">
                  <c:v>Impacto sobre el empleo</c:v>
                </c:pt>
              </c:strCache>
            </c:strRef>
          </c:cat>
          <c:val>
            <c:numRef>
              <c:f>Hoja1!$B$2</c:f>
              <c:numCache>
                <c:formatCode>General</c:formatCode>
                <c:ptCount val="1"/>
                <c:pt idx="0">
                  <c:v>52.6</c:v>
                </c:pt>
              </c:numCache>
            </c:numRef>
          </c:val>
        </c:ser>
        <c:ser>
          <c:idx val="1"/>
          <c:order val="1"/>
          <c:tx>
            <c:strRef>
              <c:f>Hoja1!$C$1</c:f>
              <c:strCache>
                <c:ptCount val="1"/>
                <c:pt idx="0">
                  <c:v>CAE</c:v>
                </c:pt>
              </c:strCache>
            </c:strRef>
          </c:tx>
          <c:spPr>
            <a:solidFill>
              <a:schemeClr val="accent1">
                <a:lumMod val="20000"/>
                <a:lumOff val="80000"/>
              </a:schemeClr>
            </a:solidFill>
          </c:spPr>
          <c:invertIfNegative val="0"/>
          <c:dLbls>
            <c:showLegendKey val="0"/>
            <c:showVal val="1"/>
            <c:showCatName val="0"/>
            <c:showSerName val="0"/>
            <c:showPercent val="0"/>
            <c:showBubbleSize val="0"/>
            <c:showLeaderLines val="0"/>
          </c:dLbls>
          <c:cat>
            <c:strRef>
              <c:f>Hoja1!$A$2</c:f>
              <c:strCache>
                <c:ptCount val="1"/>
                <c:pt idx="0">
                  <c:v>Impacto sobre el empleo</c:v>
                </c:pt>
              </c:strCache>
            </c:strRef>
          </c:cat>
          <c:val>
            <c:numRef>
              <c:f>Hoja1!$C$2</c:f>
              <c:numCache>
                <c:formatCode>General</c:formatCode>
                <c:ptCount val="1"/>
                <c:pt idx="0">
                  <c:v>53.7</c:v>
                </c:pt>
              </c:numCache>
            </c:numRef>
          </c:val>
        </c:ser>
        <c:dLbls>
          <c:showLegendKey val="0"/>
          <c:showVal val="0"/>
          <c:showCatName val="0"/>
          <c:showSerName val="0"/>
          <c:showPercent val="0"/>
          <c:showBubbleSize val="0"/>
        </c:dLbls>
        <c:gapWidth val="150"/>
        <c:axId val="339942784"/>
        <c:axId val="339997824"/>
      </c:barChart>
      <c:catAx>
        <c:axId val="339942784"/>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es-ES"/>
          </a:p>
        </c:txPr>
        <c:crossAx val="339997824"/>
        <c:crosses val="autoZero"/>
        <c:auto val="1"/>
        <c:lblAlgn val="ctr"/>
        <c:lblOffset val="100"/>
        <c:noMultiLvlLbl val="0"/>
      </c:catAx>
      <c:valAx>
        <c:axId val="339997824"/>
        <c:scaling>
          <c:orientation val="minMax"/>
          <c:min val="0"/>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es-ES"/>
          </a:p>
        </c:txPr>
        <c:crossAx val="3399427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38266204378789E-2"/>
          <c:y val="0.10591306223708342"/>
          <c:w val="0.93156173379562057"/>
          <c:h val="0.58439147161399363"/>
        </c:manualLayout>
      </c:layout>
      <c:barChart>
        <c:barDir val="col"/>
        <c:grouping val="clustered"/>
        <c:varyColors val="0"/>
        <c:ser>
          <c:idx val="0"/>
          <c:order val="0"/>
          <c:tx>
            <c:strRef>
              <c:f>Hoja1!$B$1</c:f>
              <c:strCache>
                <c:ptCount val="1"/>
                <c:pt idx="0">
                  <c:v>Columna2</c:v>
                </c:pt>
              </c:strCache>
            </c:strRef>
          </c:tx>
          <c:invertIfNegative val="0"/>
          <c:dLbls>
            <c:dLbl>
              <c:idx val="0"/>
              <c:tx>
                <c:rich>
                  <a:bodyPr/>
                  <a:lstStyle/>
                  <a:p>
                    <a:r>
                      <a:rPr lang="en-US">
                        <a:solidFill>
                          <a:schemeClr val="accent3">
                            <a:lumMod val="50000"/>
                          </a:schemeClr>
                        </a:solidFill>
                      </a:rPr>
                      <a:t>4</a:t>
                    </a:r>
                  </a:p>
                </c:rich>
              </c:tx>
              <c:showLegendKey val="0"/>
              <c:showVal val="1"/>
              <c:showCatName val="0"/>
              <c:showSerName val="0"/>
              <c:showPercent val="0"/>
              <c:showBubbleSize val="0"/>
            </c:dLbl>
            <c:dLbl>
              <c:idx val="2"/>
              <c:tx>
                <c:rich>
                  <a:bodyPr/>
                  <a:lstStyle/>
                  <a:p>
                    <a:r>
                      <a:rPr lang="en-US">
                        <a:solidFill>
                          <a:srgbClr val="C00000"/>
                        </a:solidFill>
                      </a:rPr>
                      <a:t>-1</a:t>
                    </a:r>
                  </a:p>
                </c:rich>
              </c:tx>
              <c:showLegendKey val="0"/>
              <c:showVal val="1"/>
              <c:showCatName val="0"/>
              <c:showSerName val="0"/>
              <c:showPercent val="0"/>
              <c:showBubbleSize val="0"/>
            </c:dLbl>
            <c:dLbl>
              <c:idx val="3"/>
              <c:tx>
                <c:rich>
                  <a:bodyPr/>
                  <a:lstStyle/>
                  <a:p>
                    <a:r>
                      <a:rPr lang="en-US">
                        <a:solidFill>
                          <a:srgbClr val="C00000"/>
                        </a:solidFill>
                      </a:rPr>
                      <a:t>-2</a:t>
                    </a:r>
                  </a:p>
                </c:rich>
              </c:tx>
              <c:showLegendKey val="0"/>
              <c:showVal val="1"/>
              <c:showCatName val="0"/>
              <c:showSerName val="0"/>
              <c:showPercent val="0"/>
              <c:showBubbleSize val="0"/>
            </c:dLbl>
            <c:dLbl>
              <c:idx val="4"/>
              <c:tx>
                <c:rich>
                  <a:bodyPr/>
                  <a:lstStyle/>
                  <a:p>
                    <a:r>
                      <a:rPr lang="en-US">
                        <a:solidFill>
                          <a:srgbClr val="C00000"/>
                        </a:solidFill>
                      </a:rPr>
                      <a:t>-5</a:t>
                    </a:r>
                  </a:p>
                </c:rich>
              </c:tx>
              <c:showLegendKey val="0"/>
              <c:showVal val="1"/>
              <c:showCatName val="0"/>
              <c:showSerName val="0"/>
              <c:showPercent val="0"/>
              <c:showBubbleSize val="0"/>
            </c:dLbl>
            <c:dLbl>
              <c:idx val="5"/>
              <c:tx>
                <c:rich>
                  <a:bodyPr/>
                  <a:lstStyle/>
                  <a:p>
                    <a:r>
                      <a:rPr lang="en-US">
                        <a:solidFill>
                          <a:srgbClr val="C00000"/>
                        </a:solidFill>
                      </a:rPr>
                      <a:t>-10</a:t>
                    </a:r>
                  </a:p>
                </c:rich>
              </c:tx>
              <c:showLegendKey val="0"/>
              <c:showVal val="1"/>
              <c:showCatName val="0"/>
              <c:showSerName val="0"/>
              <c:showPercent val="0"/>
              <c:showBubbleSize val="0"/>
            </c:dLbl>
            <c:dLbl>
              <c:idx val="6"/>
              <c:tx>
                <c:rich>
                  <a:bodyPr/>
                  <a:lstStyle/>
                  <a:p>
                    <a:r>
                      <a:rPr lang="en-US">
                        <a:solidFill>
                          <a:srgbClr val="C00000"/>
                        </a:solidFill>
                      </a:rPr>
                      <a:t>-10</a:t>
                    </a:r>
                  </a:p>
                </c:rich>
              </c:tx>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Hoja1!$A$2:$A$8</c:f>
              <c:strCache>
                <c:ptCount val="7"/>
                <c:pt idx="0">
                  <c:v>Fundaciones</c:v>
                </c:pt>
                <c:pt idx="1">
                  <c:v>Centros Especiales de Empleo</c:v>
                </c:pt>
                <c:pt idx="2">
                  <c:v>Cofradías de Pescadores</c:v>
                </c:pt>
                <c:pt idx="3">
                  <c:v>Empresas de Inserción</c:v>
                </c:pt>
                <c:pt idx="4">
                  <c:v>Asociaciones Utilidad Pública</c:v>
                </c:pt>
                <c:pt idx="5">
                  <c:v>SATs</c:v>
                </c:pt>
                <c:pt idx="6">
                  <c:v>EPSVs</c:v>
                </c:pt>
              </c:strCache>
            </c:strRef>
          </c:cat>
          <c:val>
            <c:numRef>
              <c:f>Hoja1!$B$2:$B$8</c:f>
              <c:numCache>
                <c:formatCode>#,##0</c:formatCode>
                <c:ptCount val="7"/>
                <c:pt idx="0">
                  <c:v>4</c:v>
                </c:pt>
                <c:pt idx="1">
                  <c:v>0</c:v>
                </c:pt>
                <c:pt idx="2" formatCode="General">
                  <c:v>-1</c:v>
                </c:pt>
                <c:pt idx="3" formatCode="General">
                  <c:v>-2</c:v>
                </c:pt>
                <c:pt idx="4" formatCode="General">
                  <c:v>-5</c:v>
                </c:pt>
                <c:pt idx="5" formatCode="General">
                  <c:v>-10</c:v>
                </c:pt>
                <c:pt idx="6" formatCode="General">
                  <c:v>-10</c:v>
                </c:pt>
              </c:numCache>
            </c:numRef>
          </c:val>
        </c:ser>
        <c:dLbls>
          <c:showLegendKey val="0"/>
          <c:showVal val="0"/>
          <c:showCatName val="0"/>
          <c:showSerName val="0"/>
          <c:showPercent val="0"/>
          <c:showBubbleSize val="0"/>
        </c:dLbls>
        <c:gapWidth val="150"/>
        <c:axId val="340173952"/>
        <c:axId val="340175488"/>
      </c:barChart>
      <c:catAx>
        <c:axId val="340173952"/>
        <c:scaling>
          <c:orientation val="minMax"/>
        </c:scaling>
        <c:delete val="0"/>
        <c:axPos val="b"/>
        <c:majorTickMark val="out"/>
        <c:minorTickMark val="none"/>
        <c:tickLblPos val="low"/>
        <c:crossAx val="340175488"/>
        <c:crosses val="autoZero"/>
        <c:auto val="1"/>
        <c:lblAlgn val="ctr"/>
        <c:lblOffset val="100"/>
        <c:noMultiLvlLbl val="0"/>
      </c:catAx>
      <c:valAx>
        <c:axId val="340175488"/>
        <c:scaling>
          <c:orientation val="minMax"/>
        </c:scaling>
        <c:delete val="0"/>
        <c:axPos val="l"/>
        <c:numFmt formatCode="#,##0" sourceLinked="1"/>
        <c:majorTickMark val="out"/>
        <c:minorTickMark val="none"/>
        <c:tickLblPos val="nextTo"/>
        <c:crossAx val="340173952"/>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Columna2</c:v>
                </c:pt>
              </c:strCache>
            </c:strRef>
          </c:tx>
          <c:invertIfNegative val="0"/>
          <c:dLbls>
            <c:txPr>
              <a:bodyPr/>
              <a:lstStyle/>
              <a:p>
                <a:pPr>
                  <a:defRPr b="1"/>
                </a:pPr>
                <a:endParaRPr lang="es-ES"/>
              </a:p>
            </c:txPr>
            <c:showLegendKey val="0"/>
            <c:showVal val="1"/>
            <c:showCatName val="0"/>
            <c:showSerName val="0"/>
            <c:showPercent val="0"/>
            <c:showBubbleSize val="0"/>
            <c:showLeaderLines val="0"/>
          </c:dLbls>
          <c:cat>
            <c:strRef>
              <c:f>Hoja1!$A$2:$A$3</c:f>
              <c:strCache>
                <c:ptCount val="2"/>
                <c:pt idx="0">
                  <c:v>Empleo voluntario anualizado</c:v>
                </c:pt>
                <c:pt idx="1">
                  <c:v>Empleo voluntario personas</c:v>
                </c:pt>
              </c:strCache>
            </c:strRef>
          </c:cat>
          <c:val>
            <c:numRef>
              <c:f>Hoja1!$B$2:$B$3</c:f>
              <c:numCache>
                <c:formatCode>#,##0</c:formatCode>
                <c:ptCount val="2"/>
                <c:pt idx="0">
                  <c:v>1766</c:v>
                </c:pt>
                <c:pt idx="1">
                  <c:v>18950</c:v>
                </c:pt>
              </c:numCache>
            </c:numRef>
          </c:val>
        </c:ser>
        <c:dLbls>
          <c:showLegendKey val="0"/>
          <c:showVal val="0"/>
          <c:showCatName val="0"/>
          <c:showSerName val="0"/>
          <c:showPercent val="0"/>
          <c:showBubbleSize val="0"/>
        </c:dLbls>
        <c:gapWidth val="150"/>
        <c:axId val="338353536"/>
        <c:axId val="339588224"/>
      </c:barChart>
      <c:catAx>
        <c:axId val="338353536"/>
        <c:scaling>
          <c:orientation val="minMax"/>
        </c:scaling>
        <c:delete val="0"/>
        <c:axPos val="b"/>
        <c:majorTickMark val="out"/>
        <c:minorTickMark val="none"/>
        <c:tickLblPos val="nextTo"/>
        <c:crossAx val="339588224"/>
        <c:crosses val="autoZero"/>
        <c:auto val="1"/>
        <c:lblAlgn val="ctr"/>
        <c:lblOffset val="100"/>
        <c:noMultiLvlLbl val="0"/>
      </c:catAx>
      <c:valAx>
        <c:axId val="339588224"/>
        <c:scaling>
          <c:orientation val="minMax"/>
        </c:scaling>
        <c:delete val="0"/>
        <c:axPos val="l"/>
        <c:numFmt formatCode="#,##0" sourceLinked="1"/>
        <c:majorTickMark val="out"/>
        <c:minorTickMark val="none"/>
        <c:tickLblPos val="nextTo"/>
        <c:crossAx val="338353536"/>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102193647812377"/>
          <c:y val="8.8739068906710322E-2"/>
          <c:w val="0.38057228455751785"/>
          <c:h val="0.57278759509899968"/>
        </c:manualLayout>
      </c:layout>
      <c:pieChart>
        <c:varyColors val="1"/>
        <c:ser>
          <c:idx val="0"/>
          <c:order val="0"/>
          <c:tx>
            <c:strRef>
              <c:f>Sheet1!$A$2</c:f>
              <c:strCache>
                <c:ptCount val="1"/>
              </c:strCache>
            </c:strRef>
          </c:tx>
          <c:dLbls>
            <c:dLbl>
              <c:idx val="0"/>
              <c:layout>
                <c:manualLayout>
                  <c:x val="-1.2895245892428584E-2"/>
                  <c:y val="-0.18369365119682746"/>
                </c:manualLayout>
              </c:layout>
              <c:tx>
                <c:rich>
                  <a:bodyPr/>
                  <a:lstStyle/>
                  <a:p>
                    <a:r>
                      <a:rPr lang="en-US"/>
                      <a:t>Hombres</a:t>
                    </a:r>
                  </a:p>
                  <a:p>
                    <a:r>
                      <a:rPr lang="en-US"/>
                      <a:t>46,9%</a:t>
                    </a:r>
                  </a:p>
                </c:rich>
              </c:tx>
              <c:showLegendKey val="0"/>
              <c:showVal val="1"/>
              <c:showCatName val="0"/>
              <c:showSerName val="0"/>
              <c:showPercent val="0"/>
              <c:showBubbleSize val="0"/>
            </c:dLbl>
            <c:dLbl>
              <c:idx val="1"/>
              <c:layout>
                <c:manualLayout>
                  <c:x val="-3.9373449878398234E-2"/>
                  <c:y val="-8.4573460575493989E-2"/>
                </c:manualLayout>
              </c:layout>
              <c:tx>
                <c:rich>
                  <a:bodyPr/>
                  <a:lstStyle/>
                  <a:p>
                    <a:r>
                      <a:rPr lang="en-US"/>
                      <a:t>Mujeres</a:t>
                    </a:r>
                  </a:p>
                  <a:p>
                    <a:r>
                      <a:rPr lang="en-US"/>
                      <a:t>53,1%</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Sheet1!$B$1:$C$1</c:f>
              <c:strCache>
                <c:ptCount val="2"/>
                <c:pt idx="0">
                  <c:v>Hombre</c:v>
                </c:pt>
                <c:pt idx="1">
                  <c:v>Mujeres</c:v>
                </c:pt>
              </c:strCache>
            </c:strRef>
          </c:cat>
          <c:val>
            <c:numRef>
              <c:f>Sheet1!$B$2:$C$2</c:f>
              <c:numCache>
                <c:formatCode>0.0%</c:formatCode>
                <c:ptCount val="2"/>
                <c:pt idx="0">
                  <c:v>0.46900000000000008</c:v>
                </c:pt>
                <c:pt idx="1">
                  <c:v>0.53100000000000003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102193647812377"/>
          <c:y val="8.8739068906710378E-2"/>
          <c:w val="0.38057228455751796"/>
          <c:h val="0.57278759509899968"/>
        </c:manualLayout>
      </c:layout>
      <c:pieChart>
        <c:varyColors val="1"/>
        <c:ser>
          <c:idx val="0"/>
          <c:order val="0"/>
          <c:tx>
            <c:strRef>
              <c:f>Sheet1!$A$2</c:f>
              <c:strCache>
                <c:ptCount val="1"/>
              </c:strCache>
            </c:strRef>
          </c:tx>
          <c:dLbls>
            <c:dLbl>
              <c:idx val="0"/>
              <c:layout>
                <c:manualLayout>
                  <c:x val="5.8345092184577847E-2"/>
                  <c:y val="-0.22498639282993019"/>
                </c:manualLayout>
              </c:layout>
              <c:tx>
                <c:rich>
                  <a:bodyPr/>
                  <a:lstStyle/>
                  <a:p>
                    <a:r>
                      <a:rPr lang="en-US"/>
                      <a:t>Voluntario</a:t>
                    </a:r>
                  </a:p>
                  <a:p>
                    <a:r>
                      <a:rPr lang="en-US"/>
                      <a:t>Estructural</a:t>
                    </a:r>
                  </a:p>
                  <a:p>
                    <a:r>
                      <a:rPr lang="en-US"/>
                      <a:t>65,5%</a:t>
                    </a:r>
                  </a:p>
                </c:rich>
              </c:tx>
              <c:showLegendKey val="0"/>
              <c:showVal val="1"/>
              <c:showCatName val="0"/>
              <c:showSerName val="0"/>
              <c:showPercent val="0"/>
              <c:showBubbleSize val="0"/>
            </c:dLbl>
            <c:dLbl>
              <c:idx val="1"/>
              <c:layout>
                <c:manualLayout>
                  <c:x val="-8.5550659378587732E-2"/>
                  <c:y val="5.8744269869492119E-3"/>
                </c:manualLayout>
              </c:layout>
              <c:tx>
                <c:rich>
                  <a:bodyPr/>
                  <a:lstStyle/>
                  <a:p>
                    <a:r>
                      <a:rPr lang="en-US"/>
                      <a:t>Voluntario</a:t>
                    </a:r>
                  </a:p>
                  <a:p>
                    <a:r>
                      <a:rPr lang="en-US"/>
                      <a:t>Puntual</a:t>
                    </a:r>
                  </a:p>
                  <a:p>
                    <a:r>
                      <a:rPr lang="en-US"/>
                      <a:t>34,5%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Sheet1!$B$1:$C$1</c:f>
              <c:strCache>
                <c:ptCount val="2"/>
                <c:pt idx="0">
                  <c:v>Estructural</c:v>
                </c:pt>
                <c:pt idx="1">
                  <c:v>Voluntario </c:v>
                </c:pt>
              </c:strCache>
            </c:strRef>
          </c:cat>
          <c:val>
            <c:numRef>
              <c:f>Sheet1!$B$2:$C$2</c:f>
              <c:numCache>
                <c:formatCode>0.0%</c:formatCode>
                <c:ptCount val="2"/>
                <c:pt idx="0">
                  <c:v>0.6550000000000048</c:v>
                </c:pt>
                <c:pt idx="1">
                  <c:v>0.34500000000000008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455"/>
        </c:manualLayout>
      </c:layout>
      <c:barChart>
        <c:barDir val="col"/>
        <c:grouping val="clustered"/>
        <c:varyColors val="0"/>
        <c:ser>
          <c:idx val="0"/>
          <c:order val="0"/>
          <c:tx>
            <c:strRef>
              <c:f>Sheet1!$A$2</c:f>
              <c:strCache>
                <c:ptCount val="1"/>
                <c:pt idx="0">
                  <c:v>EPSV</c:v>
                </c:pt>
              </c:strCache>
            </c:strRef>
          </c:tx>
          <c:invertIfNegative val="0"/>
          <c:dLbls>
            <c:showLegendKey val="0"/>
            <c:showVal val="1"/>
            <c:showCatName val="0"/>
            <c:showSerName val="0"/>
            <c:showPercent val="0"/>
            <c:showBubbleSize val="0"/>
            <c:showLeaderLines val="0"/>
          </c:dLbls>
          <c:cat>
            <c:numRef>
              <c:f>Sheet1!$B$1</c:f>
              <c:numCache>
                <c:formatCode>General</c:formatCode>
                <c:ptCount val="1"/>
              </c:numCache>
            </c:numRef>
          </c:cat>
          <c:val>
            <c:numRef>
              <c:f>Sheet1!$B$2</c:f>
              <c:numCache>
                <c:formatCode>#,##0</c:formatCode>
                <c:ptCount val="1"/>
                <c:pt idx="0">
                  <c:v>1231566703.9200001</c:v>
                </c:pt>
              </c:numCache>
            </c:numRef>
          </c:val>
        </c:ser>
        <c:ser>
          <c:idx val="1"/>
          <c:order val="1"/>
          <c:tx>
            <c:strRef>
              <c:f>Sheet1!$A$3</c:f>
              <c:strCache>
                <c:ptCount val="1"/>
                <c:pt idx="0">
                  <c:v>Fundaciones</c:v>
                </c:pt>
              </c:strCache>
            </c:strRef>
          </c:tx>
          <c:invertIfNegative val="0"/>
          <c:dLbls>
            <c:dLbl>
              <c:idx val="0"/>
              <c:spPr/>
              <c:txPr>
                <a:bodyPr/>
                <a:lstStyle/>
                <a:p>
                  <a:pPr>
                    <a:defRPr sz="800"/>
                  </a:pPr>
                  <a:endParaRPr lang="es-ES"/>
                </a:p>
              </c:txPr>
              <c:showLegendKey val="0"/>
              <c:showVal val="1"/>
              <c:showCatName val="0"/>
              <c:showSerName val="0"/>
              <c:showPercent val="0"/>
              <c:showBubbleSize val="0"/>
            </c:dLbl>
            <c:showLegendKey val="0"/>
            <c:showVal val="1"/>
            <c:showCatName val="0"/>
            <c:showSerName val="0"/>
            <c:showPercent val="0"/>
            <c:showBubbleSize val="0"/>
            <c:showLeaderLines val="0"/>
          </c:dLbls>
          <c:cat>
            <c:numRef>
              <c:f>Sheet1!$B$1</c:f>
              <c:numCache>
                <c:formatCode>General</c:formatCode>
                <c:ptCount val="1"/>
              </c:numCache>
            </c:numRef>
          </c:cat>
          <c:val>
            <c:numRef>
              <c:f>Sheet1!$B$3</c:f>
              <c:numCache>
                <c:formatCode>#,##0</c:formatCode>
                <c:ptCount val="1"/>
                <c:pt idx="0">
                  <c:v>524009095</c:v>
                </c:pt>
              </c:numCache>
            </c:numRef>
          </c:val>
        </c:ser>
        <c:ser>
          <c:idx val="2"/>
          <c:order val="2"/>
          <c:tx>
            <c:strRef>
              <c:f>Sheet1!$A$4</c:f>
              <c:strCache>
                <c:ptCount val="1"/>
                <c:pt idx="0">
                  <c:v>Centros Especiales de Empleo</c:v>
                </c:pt>
              </c:strCache>
            </c:strRef>
          </c:tx>
          <c:invertIfNegative val="0"/>
          <c:dLbls>
            <c:showLegendKey val="0"/>
            <c:showVal val="1"/>
            <c:showCatName val="0"/>
            <c:showSerName val="0"/>
            <c:showPercent val="0"/>
            <c:showBubbleSize val="0"/>
            <c:showLeaderLines val="0"/>
          </c:dLbls>
          <c:cat>
            <c:numRef>
              <c:f>Sheet1!$B$1</c:f>
              <c:numCache>
                <c:formatCode>General</c:formatCode>
                <c:ptCount val="1"/>
              </c:numCache>
            </c:numRef>
          </c:cat>
          <c:val>
            <c:numRef>
              <c:f>Sheet1!$B$4</c:f>
              <c:numCache>
                <c:formatCode>#,##0</c:formatCode>
                <c:ptCount val="1"/>
                <c:pt idx="0">
                  <c:v>229053360</c:v>
                </c:pt>
              </c:numCache>
            </c:numRef>
          </c:val>
        </c:ser>
        <c:ser>
          <c:idx val="3"/>
          <c:order val="3"/>
          <c:tx>
            <c:strRef>
              <c:f>Sheet1!$A$5</c:f>
              <c:strCache>
                <c:ptCount val="1"/>
                <c:pt idx="0">
                  <c:v>Asociaciones de Utilidad Pública</c:v>
                </c:pt>
              </c:strCache>
            </c:strRef>
          </c:tx>
          <c:invertIfNegative val="0"/>
          <c:dLbls>
            <c:showLegendKey val="0"/>
            <c:showVal val="1"/>
            <c:showCatName val="0"/>
            <c:showSerName val="0"/>
            <c:showPercent val="0"/>
            <c:showBubbleSize val="0"/>
            <c:showLeaderLines val="0"/>
          </c:dLbls>
          <c:cat>
            <c:numRef>
              <c:f>Sheet1!$B$1</c:f>
              <c:numCache>
                <c:formatCode>General</c:formatCode>
                <c:ptCount val="1"/>
              </c:numCache>
            </c:numRef>
          </c:cat>
          <c:val>
            <c:numRef>
              <c:f>Sheet1!$B$5</c:f>
              <c:numCache>
                <c:formatCode>#,##0</c:formatCode>
                <c:ptCount val="1"/>
                <c:pt idx="0">
                  <c:v>92434283</c:v>
                </c:pt>
              </c:numCache>
            </c:numRef>
          </c:val>
        </c:ser>
        <c:ser>
          <c:idx val="4"/>
          <c:order val="4"/>
          <c:tx>
            <c:strRef>
              <c:f>Sheet1!$A$6</c:f>
              <c:strCache>
                <c:ptCount val="1"/>
                <c:pt idx="0">
                  <c:v>SATs</c:v>
                </c:pt>
              </c:strCache>
            </c:strRef>
          </c:tx>
          <c:invertIfNegative val="0"/>
          <c:dLbls>
            <c:dLbl>
              <c:idx val="0"/>
              <c:tx>
                <c:rich>
                  <a:bodyPr/>
                  <a:lstStyle/>
                  <a:p>
                    <a:r>
                      <a:rPr lang="en-US" sz="800"/>
                      <a:t>40.498.269</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Sheet1!$B$1</c:f>
              <c:numCache>
                <c:formatCode>General</c:formatCode>
                <c:ptCount val="1"/>
              </c:numCache>
            </c:numRef>
          </c:cat>
          <c:val>
            <c:numRef>
              <c:f>Sheet1!$B$6</c:f>
              <c:numCache>
                <c:formatCode>#,##0</c:formatCode>
                <c:ptCount val="1"/>
                <c:pt idx="0">
                  <c:v>40498269</c:v>
                </c:pt>
              </c:numCache>
            </c:numRef>
          </c:val>
        </c:ser>
        <c:ser>
          <c:idx val="5"/>
          <c:order val="5"/>
          <c:tx>
            <c:strRef>
              <c:f>Sheet1!$A$7</c:f>
              <c:strCache>
                <c:ptCount val="1"/>
                <c:pt idx="0">
                  <c:v>Empresas de Inserción</c:v>
                </c:pt>
              </c:strCache>
            </c:strRef>
          </c:tx>
          <c:invertIfNegative val="0"/>
          <c:dLbls>
            <c:showLegendKey val="0"/>
            <c:showVal val="1"/>
            <c:showCatName val="0"/>
            <c:showSerName val="0"/>
            <c:showPercent val="0"/>
            <c:showBubbleSize val="0"/>
            <c:showLeaderLines val="0"/>
          </c:dLbls>
          <c:cat>
            <c:numRef>
              <c:f>Sheet1!$B$1</c:f>
              <c:numCache>
                <c:formatCode>General</c:formatCode>
                <c:ptCount val="1"/>
              </c:numCache>
            </c:numRef>
          </c:cat>
          <c:val>
            <c:numRef>
              <c:f>Sheet1!$B$7</c:f>
              <c:numCache>
                <c:formatCode>#,##0</c:formatCode>
                <c:ptCount val="1"/>
                <c:pt idx="0">
                  <c:v>33862744</c:v>
                </c:pt>
              </c:numCache>
            </c:numRef>
          </c:val>
        </c:ser>
        <c:ser>
          <c:idx val="6"/>
          <c:order val="6"/>
          <c:tx>
            <c:strRef>
              <c:f>Sheet1!$A$8</c:f>
              <c:strCache>
                <c:ptCount val="1"/>
                <c:pt idx="0">
                  <c:v>Cofradías de Pescadores</c:v>
                </c:pt>
              </c:strCache>
            </c:strRef>
          </c:tx>
          <c:invertIfNegative val="0"/>
          <c:dLbls>
            <c:showLegendKey val="0"/>
            <c:showVal val="1"/>
            <c:showCatName val="0"/>
            <c:showSerName val="0"/>
            <c:showPercent val="0"/>
            <c:showBubbleSize val="0"/>
            <c:showLeaderLines val="0"/>
          </c:dLbls>
          <c:cat>
            <c:numRef>
              <c:f>Sheet1!$B$1</c:f>
              <c:numCache>
                <c:formatCode>General</c:formatCode>
                <c:ptCount val="1"/>
              </c:numCache>
            </c:numRef>
          </c:cat>
          <c:val>
            <c:numRef>
              <c:f>Sheet1!$B$8</c:f>
              <c:numCache>
                <c:formatCode>#,##0</c:formatCode>
                <c:ptCount val="1"/>
                <c:pt idx="0">
                  <c:v>31817185</c:v>
                </c:pt>
              </c:numCache>
            </c:numRef>
          </c:val>
        </c:ser>
        <c:dLbls>
          <c:showLegendKey val="0"/>
          <c:showVal val="0"/>
          <c:showCatName val="0"/>
          <c:showSerName val="0"/>
          <c:showPercent val="0"/>
          <c:showBubbleSize val="0"/>
        </c:dLbls>
        <c:gapWidth val="150"/>
        <c:axId val="340910464"/>
        <c:axId val="340912000"/>
      </c:barChart>
      <c:catAx>
        <c:axId val="340910464"/>
        <c:scaling>
          <c:orientation val="minMax"/>
        </c:scaling>
        <c:delete val="0"/>
        <c:axPos val="b"/>
        <c:numFmt formatCode="General" sourceLinked="1"/>
        <c:majorTickMark val="out"/>
        <c:minorTickMark val="none"/>
        <c:tickLblPos val="low"/>
        <c:txPr>
          <a:bodyPr rot="0" vert="horz"/>
          <a:lstStyle/>
          <a:p>
            <a:pPr>
              <a:defRPr/>
            </a:pPr>
            <a:endParaRPr lang="es-ES"/>
          </a:p>
        </c:txPr>
        <c:crossAx val="340912000"/>
        <c:crosses val="autoZero"/>
        <c:auto val="1"/>
        <c:lblAlgn val="ctr"/>
        <c:lblOffset val="100"/>
        <c:tickLblSkip val="1"/>
        <c:tickMarkSkip val="1"/>
        <c:noMultiLvlLbl val="0"/>
      </c:catAx>
      <c:valAx>
        <c:axId val="340912000"/>
        <c:scaling>
          <c:orientation val="minMax"/>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340910464"/>
        <c:crosses val="autoZero"/>
        <c:crossBetween val="between"/>
      </c:valAx>
    </c:plotArea>
    <c:legend>
      <c:legendPos val="b"/>
      <c:layout>
        <c:manualLayout>
          <c:xMode val="edge"/>
          <c:yMode val="edge"/>
          <c:x val="0.17157025055126174"/>
          <c:y val="0.74172424191656905"/>
          <c:w val="0.72987890088399665"/>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477"/>
        </c:manualLayout>
      </c:layout>
      <c:barChart>
        <c:barDir val="col"/>
        <c:grouping val="clustered"/>
        <c:varyColors val="0"/>
        <c:ser>
          <c:idx val="0"/>
          <c:order val="0"/>
          <c:tx>
            <c:strRef>
              <c:f>Sheet1!$A$2</c:f>
              <c:strCache>
                <c:ptCount val="1"/>
                <c:pt idx="0">
                  <c:v>Asociaciones de Utilidad Pública</c:v>
                </c:pt>
              </c:strCache>
            </c:strRef>
          </c:tx>
          <c:invertIfNegative val="0"/>
          <c:dLbls>
            <c:dLbl>
              <c:idx val="0"/>
              <c:tx>
                <c:rich>
                  <a:bodyPr/>
                  <a:lstStyle/>
                  <a:p>
                    <a:r>
                      <a:rPr lang="en-US"/>
                      <a:t>105,2%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Sheet1!$B$2</c:f>
              <c:numCache>
                <c:formatCode>#,##0.0</c:formatCode>
                <c:ptCount val="1"/>
                <c:pt idx="0">
                  <c:v>105.2</c:v>
                </c:pt>
              </c:numCache>
            </c:numRef>
          </c:val>
        </c:ser>
        <c:ser>
          <c:idx val="1"/>
          <c:order val="1"/>
          <c:tx>
            <c:strRef>
              <c:f>Sheet1!$A$3</c:f>
              <c:strCache>
                <c:ptCount val="1"/>
                <c:pt idx="0">
                  <c:v>Fundaciones</c:v>
                </c:pt>
              </c:strCache>
            </c:strRef>
          </c:tx>
          <c:invertIfNegative val="0"/>
          <c:dLbls>
            <c:dLbl>
              <c:idx val="0"/>
              <c:tx>
                <c:rich>
                  <a:bodyPr/>
                  <a:lstStyle/>
                  <a:p>
                    <a:pPr>
                      <a:defRPr sz="800"/>
                    </a:pPr>
                    <a:r>
                      <a:rPr lang="en-US"/>
                      <a:t>82,4%</a:t>
                    </a:r>
                  </a:p>
                </c:rich>
              </c:tx>
              <c:spPr/>
              <c:showLegendKey val="0"/>
              <c:showVal val="1"/>
              <c:showCatName val="0"/>
              <c:showSerName val="0"/>
              <c:showPercent val="0"/>
              <c:showBubbleSize val="0"/>
            </c:dLbl>
            <c:showLegendKey val="0"/>
            <c:showVal val="1"/>
            <c:showCatName val="0"/>
            <c:showSerName val="0"/>
            <c:showPercent val="0"/>
            <c:showBubbleSize val="0"/>
            <c:showLeaderLines val="0"/>
          </c:dLbls>
          <c:val>
            <c:numRef>
              <c:f>Sheet1!$B$3</c:f>
              <c:numCache>
                <c:formatCode>#,##0.0</c:formatCode>
                <c:ptCount val="1"/>
                <c:pt idx="0">
                  <c:v>82.4</c:v>
                </c:pt>
              </c:numCache>
            </c:numRef>
          </c:val>
        </c:ser>
        <c:ser>
          <c:idx val="2"/>
          <c:order val="2"/>
          <c:tx>
            <c:strRef>
              <c:f>Sheet1!$A$4</c:f>
              <c:strCache>
                <c:ptCount val="1"/>
                <c:pt idx="0">
                  <c:v>Centros Especiales de Empleo</c:v>
                </c:pt>
              </c:strCache>
            </c:strRef>
          </c:tx>
          <c:invertIfNegative val="0"/>
          <c:dLbls>
            <c:dLbl>
              <c:idx val="0"/>
              <c:tx>
                <c:rich>
                  <a:bodyPr/>
                  <a:lstStyle/>
                  <a:p>
                    <a:r>
                      <a:rPr lang="en-US"/>
                      <a:t>24,4%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Sheet1!$B$4</c:f>
              <c:numCache>
                <c:formatCode>#,##0.0</c:formatCode>
                <c:ptCount val="1"/>
                <c:pt idx="0">
                  <c:v>24.4</c:v>
                </c:pt>
              </c:numCache>
            </c:numRef>
          </c:val>
        </c:ser>
        <c:ser>
          <c:idx val="3"/>
          <c:order val="3"/>
          <c:tx>
            <c:strRef>
              <c:f>Sheet1!$A$5</c:f>
              <c:strCache>
                <c:ptCount val="1"/>
                <c:pt idx="0">
                  <c:v>Empresas de Inserción</c:v>
                </c:pt>
              </c:strCache>
            </c:strRef>
          </c:tx>
          <c:invertIfNegative val="0"/>
          <c:dLbls>
            <c:dLbl>
              <c:idx val="0"/>
              <c:tx>
                <c:rich>
                  <a:bodyPr/>
                  <a:lstStyle/>
                  <a:p>
                    <a:r>
                      <a:rPr lang="en-US"/>
                      <a:t>20,6%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Sheet1!$B$5</c:f>
              <c:numCache>
                <c:formatCode>#,##0.0</c:formatCode>
                <c:ptCount val="1"/>
                <c:pt idx="0">
                  <c:v>20.6</c:v>
                </c:pt>
              </c:numCache>
            </c:numRef>
          </c:val>
        </c:ser>
        <c:ser>
          <c:idx val="4"/>
          <c:order val="4"/>
          <c:tx>
            <c:strRef>
              <c:f>Sheet1!$A$6</c:f>
              <c:strCache>
                <c:ptCount val="1"/>
                <c:pt idx="0">
                  <c:v>SATs</c:v>
                </c:pt>
              </c:strCache>
            </c:strRef>
          </c:tx>
          <c:invertIfNegative val="0"/>
          <c:dLbls>
            <c:dLbl>
              <c:idx val="0"/>
              <c:tx>
                <c:rich>
                  <a:bodyPr/>
                  <a:lstStyle/>
                  <a:p>
                    <a:r>
                      <a:rPr lang="en-US"/>
                      <a:t>5,3%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Sheet1!$B$6</c:f>
              <c:numCache>
                <c:formatCode>#,##0.0</c:formatCode>
                <c:ptCount val="1"/>
                <c:pt idx="0">
                  <c:v>5.3</c:v>
                </c:pt>
              </c:numCache>
            </c:numRef>
          </c:val>
        </c:ser>
        <c:ser>
          <c:idx val="5"/>
          <c:order val="5"/>
          <c:tx>
            <c:strRef>
              <c:f>Sheet1!$A$7</c:f>
              <c:strCache>
                <c:ptCount val="1"/>
                <c:pt idx="0">
                  <c:v>Cofradías de Pescadores</c:v>
                </c:pt>
              </c:strCache>
            </c:strRef>
          </c:tx>
          <c:invertIfNegative val="0"/>
          <c:dLbls>
            <c:dLbl>
              <c:idx val="0"/>
              <c:tx>
                <c:rich>
                  <a:bodyPr/>
                  <a:lstStyle/>
                  <a:p>
                    <a:r>
                      <a:rPr lang="en-US"/>
                      <a:t>4,6%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Sheet1!$B$7</c:f>
              <c:numCache>
                <c:formatCode>#,##0.0</c:formatCode>
                <c:ptCount val="1"/>
                <c:pt idx="0">
                  <c:v>4.5999999999999996</c:v>
                </c:pt>
              </c:numCache>
            </c:numRef>
          </c:val>
        </c:ser>
        <c:dLbls>
          <c:showLegendKey val="0"/>
          <c:showVal val="0"/>
          <c:showCatName val="0"/>
          <c:showSerName val="0"/>
          <c:showPercent val="0"/>
          <c:showBubbleSize val="0"/>
        </c:dLbls>
        <c:gapWidth val="150"/>
        <c:axId val="341561728"/>
        <c:axId val="341563264"/>
      </c:barChart>
      <c:catAx>
        <c:axId val="341561728"/>
        <c:scaling>
          <c:orientation val="minMax"/>
        </c:scaling>
        <c:delete val="1"/>
        <c:axPos val="b"/>
        <c:numFmt formatCode="General" sourceLinked="1"/>
        <c:majorTickMark val="out"/>
        <c:minorTickMark val="none"/>
        <c:tickLblPos val="none"/>
        <c:crossAx val="341563264"/>
        <c:crosses val="autoZero"/>
        <c:auto val="1"/>
        <c:lblAlgn val="ctr"/>
        <c:lblOffset val="100"/>
        <c:tickLblSkip val="1"/>
        <c:tickMarkSkip val="1"/>
        <c:noMultiLvlLbl val="0"/>
      </c:catAx>
      <c:valAx>
        <c:axId val="341563264"/>
        <c:scaling>
          <c:orientation val="minMax"/>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341561728"/>
        <c:crosses val="autoZero"/>
        <c:crossBetween val="between"/>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7012760083190291"/>
          <c:y val="2.1977799650043851E-2"/>
        </c:manualLayout>
      </c:layout>
      <c:overlay val="0"/>
    </c:title>
    <c:autoTitleDeleted val="0"/>
    <c:plotArea>
      <c:layout>
        <c:manualLayout>
          <c:layoutTarget val="inner"/>
          <c:xMode val="edge"/>
          <c:yMode val="edge"/>
          <c:x val="0.26402637386590766"/>
          <c:y val="0.18788167104111986"/>
          <c:w val="0.43342578717453922"/>
          <c:h val="0.65239610673665749"/>
        </c:manualLayout>
      </c:layout>
      <c:pieChart>
        <c:varyColors val="1"/>
        <c:ser>
          <c:idx val="0"/>
          <c:order val="0"/>
          <c:tx>
            <c:strRef>
              <c:f>Sheet1!$A$2</c:f>
              <c:strCache>
                <c:ptCount val="1"/>
              </c:strCache>
            </c:strRef>
          </c:tx>
          <c:dLbls>
            <c:dLbl>
              <c:idx val="0"/>
              <c:layout>
                <c:manualLayout>
                  <c:x val="-9.4363413990492764E-2"/>
                  <c:y val="-0.18719381231192544"/>
                </c:manualLayout>
              </c:layout>
              <c:dLblPos val="bestFit"/>
              <c:showLegendKey val="0"/>
              <c:showVal val="0"/>
              <c:showCatName val="1"/>
              <c:showSerName val="0"/>
              <c:showPercent val="1"/>
              <c:showBubbleSize val="0"/>
            </c:dLbl>
            <c:dLbl>
              <c:idx val="1"/>
              <c:layout>
                <c:manualLayout>
                  <c:x val="-2.6895530792215051E-2"/>
                  <c:y val="-3.0523293963254601E-2"/>
                </c:manualLayout>
              </c:layout>
              <c:dLblPos val="bestFit"/>
              <c:showLegendKey val="0"/>
              <c:showVal val="0"/>
              <c:showCatName val="1"/>
              <c:showSerName val="0"/>
              <c:showPercent val="1"/>
              <c:showBubbleSize val="0"/>
            </c:dLbl>
            <c:dLbl>
              <c:idx val="2"/>
              <c:layout>
                <c:manualLayout>
                  <c:x val="-6.340371813384918E-2"/>
                  <c:y val="-1.0538057742782141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0.37800000000000583</c:v>
                </c:pt>
                <c:pt idx="1">
                  <c:v>0.51700000000000002</c:v>
                </c:pt>
                <c:pt idx="2">
                  <c:v>0.10500000000000002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7.8857466760316935E-2"/>
          <c:w val="0.86640471512770134"/>
          <c:h val="0.6834768893324954"/>
        </c:manualLayout>
      </c:layout>
      <c:barChart>
        <c:barDir val="col"/>
        <c:grouping val="clustered"/>
        <c:varyColors val="0"/>
        <c:ser>
          <c:idx val="0"/>
          <c:order val="0"/>
          <c:tx>
            <c:strRef>
              <c:f>Sheet1!$A$2</c:f>
              <c:strCache>
                <c:ptCount val="1"/>
                <c:pt idx="0">
                  <c:v>EPSV</c:v>
                </c:pt>
              </c:strCache>
            </c:strRef>
          </c:tx>
          <c:invertIfNegative val="0"/>
          <c:dLbls>
            <c:dLbl>
              <c:idx val="0"/>
              <c:tx>
                <c:rich>
                  <a:bodyPr/>
                  <a:lstStyle/>
                  <a:p>
                    <a:r>
                      <a:rPr lang="en-US" b="0"/>
                      <a:t>6.875.742</a:t>
                    </a:r>
                    <a:r>
                      <a:rPr lang="en-US" b="1"/>
                      <a:t>*</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Sheet1!$B$2</c:f>
              <c:numCache>
                <c:formatCode>General</c:formatCode>
                <c:ptCount val="1"/>
                <c:pt idx="0">
                  <c:v>6875742</c:v>
                </c:pt>
              </c:numCache>
            </c:numRef>
          </c:val>
        </c:ser>
        <c:ser>
          <c:idx val="1"/>
          <c:order val="1"/>
          <c:tx>
            <c:strRef>
              <c:f>Sheet1!$A$3</c:f>
              <c:strCache>
                <c:ptCount val="1"/>
                <c:pt idx="0">
                  <c:v>Fundaciones</c:v>
                </c:pt>
              </c:strCache>
            </c:strRef>
          </c:tx>
          <c:invertIfNegative val="0"/>
          <c:dLbls>
            <c:dLbl>
              <c:idx val="0"/>
              <c:tx>
                <c:rich>
                  <a:bodyPr/>
                  <a:lstStyle/>
                  <a:p>
                    <a:r>
                      <a:rPr lang="en-US" b="0"/>
                      <a:t>6.417.997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Sheet1!$B$3</c:f>
              <c:numCache>
                <c:formatCode>General</c:formatCode>
                <c:ptCount val="1"/>
                <c:pt idx="0">
                  <c:v>6417997</c:v>
                </c:pt>
              </c:numCache>
            </c:numRef>
          </c:val>
        </c:ser>
        <c:ser>
          <c:idx val="2"/>
          <c:order val="2"/>
          <c:tx>
            <c:strRef>
              <c:f>Sheet1!$A$4</c:f>
              <c:strCache>
                <c:ptCount val="1"/>
                <c:pt idx="0">
                  <c:v>Centros Especiales de Empleo</c:v>
                </c:pt>
              </c:strCache>
            </c:strRef>
          </c:tx>
          <c:invertIfNegative val="0"/>
          <c:dLbls>
            <c:dLbl>
              <c:idx val="0"/>
              <c:tx>
                <c:rich>
                  <a:bodyPr/>
                  <a:lstStyle/>
                  <a:p>
                    <a:r>
                      <a:rPr lang="en-US" b="0"/>
                      <a:t>6.219.029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Sheet1!$B$4</c:f>
              <c:numCache>
                <c:formatCode>General</c:formatCode>
                <c:ptCount val="1"/>
                <c:pt idx="0">
                  <c:v>6219029</c:v>
                </c:pt>
              </c:numCache>
            </c:numRef>
          </c:val>
        </c:ser>
        <c:ser>
          <c:idx val="3"/>
          <c:order val="3"/>
          <c:tx>
            <c:strRef>
              <c:f>Sheet1!$A$5</c:f>
              <c:strCache>
                <c:ptCount val="1"/>
                <c:pt idx="0">
                  <c:v>Empresas de Inserción</c:v>
                </c:pt>
              </c:strCache>
            </c:strRef>
          </c:tx>
          <c:invertIfNegative val="0"/>
          <c:dLbls>
            <c:dLbl>
              <c:idx val="0"/>
              <c:tx>
                <c:rich>
                  <a:bodyPr/>
                  <a:lstStyle/>
                  <a:p>
                    <a:r>
                      <a:rPr lang="en-US" b="0"/>
                      <a:t>2.039.983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Sheet1!$B$5</c:f>
              <c:numCache>
                <c:formatCode>General</c:formatCode>
                <c:ptCount val="1"/>
                <c:pt idx="0">
                  <c:v>2039983</c:v>
                </c:pt>
              </c:numCache>
            </c:numRef>
          </c:val>
        </c:ser>
        <c:ser>
          <c:idx val="4"/>
          <c:order val="4"/>
          <c:tx>
            <c:strRef>
              <c:f>Sheet1!$A$6</c:f>
              <c:strCache>
                <c:ptCount val="1"/>
                <c:pt idx="0">
                  <c:v>Asociaciones de Utilidad Pública</c:v>
                </c:pt>
              </c:strCache>
            </c:strRef>
          </c:tx>
          <c:invertIfNegative val="0"/>
          <c:dLbls>
            <c:dLbl>
              <c:idx val="0"/>
              <c:tx>
                <c:rich>
                  <a:bodyPr/>
                  <a:lstStyle/>
                  <a:p>
                    <a:r>
                      <a:rPr lang="en-US" b="0"/>
                      <a:t>1.447.283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Sheet1!$B$6</c:f>
              <c:numCache>
                <c:formatCode>General</c:formatCode>
                <c:ptCount val="1"/>
                <c:pt idx="0">
                  <c:v>1447283</c:v>
                </c:pt>
              </c:numCache>
            </c:numRef>
          </c:val>
        </c:ser>
        <c:ser>
          <c:idx val="5"/>
          <c:order val="5"/>
          <c:tx>
            <c:strRef>
              <c:f>Sheet1!$A$7</c:f>
              <c:strCache>
                <c:ptCount val="1"/>
                <c:pt idx="0">
                  <c:v>SATs</c:v>
                </c:pt>
              </c:strCache>
            </c:strRef>
          </c:tx>
          <c:invertIfNegative val="0"/>
          <c:dLbls>
            <c:dLbl>
              <c:idx val="0"/>
              <c:tx>
                <c:rich>
                  <a:bodyPr/>
                  <a:lstStyle/>
                  <a:p>
                    <a:r>
                      <a:rPr lang="en-US" b="0"/>
                      <a:t>903.312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Sheet1!$B$7</c:f>
              <c:numCache>
                <c:formatCode>General</c:formatCode>
                <c:ptCount val="1"/>
                <c:pt idx="0">
                  <c:v>903312</c:v>
                </c:pt>
              </c:numCache>
            </c:numRef>
          </c:val>
        </c:ser>
        <c:ser>
          <c:idx val="6"/>
          <c:order val="6"/>
          <c:tx>
            <c:strRef>
              <c:f>Sheet1!$A$8</c:f>
              <c:strCache>
                <c:ptCount val="1"/>
                <c:pt idx="0">
                  <c:v>Cofradías de Pescadores</c:v>
                </c:pt>
              </c:strCache>
            </c:strRef>
          </c:tx>
          <c:invertIfNegative val="0"/>
          <c:dLbls>
            <c:dLbl>
              <c:idx val="0"/>
              <c:tx>
                <c:rich>
                  <a:bodyPr/>
                  <a:lstStyle/>
                  <a:p>
                    <a:r>
                      <a:rPr lang="en-US" b="0"/>
                      <a:t>-717.328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Sheet1!$B$8</c:f>
              <c:numCache>
                <c:formatCode>General</c:formatCode>
                <c:ptCount val="1"/>
                <c:pt idx="0">
                  <c:v>-717328</c:v>
                </c:pt>
              </c:numCache>
            </c:numRef>
          </c:val>
        </c:ser>
        <c:dLbls>
          <c:showLegendKey val="0"/>
          <c:showVal val="0"/>
          <c:showCatName val="0"/>
          <c:showSerName val="0"/>
          <c:showPercent val="0"/>
          <c:showBubbleSize val="0"/>
        </c:dLbls>
        <c:gapWidth val="150"/>
        <c:axId val="342680704"/>
        <c:axId val="342682240"/>
      </c:barChart>
      <c:catAx>
        <c:axId val="342680704"/>
        <c:scaling>
          <c:orientation val="minMax"/>
        </c:scaling>
        <c:delete val="0"/>
        <c:axPos val="b"/>
        <c:numFmt formatCode="General" sourceLinked="1"/>
        <c:majorTickMark val="out"/>
        <c:minorTickMark val="none"/>
        <c:tickLblPos val="none"/>
        <c:txPr>
          <a:bodyPr rot="0" vert="horz"/>
          <a:lstStyle/>
          <a:p>
            <a:pPr>
              <a:defRPr/>
            </a:pPr>
            <a:endParaRPr lang="es-ES"/>
          </a:p>
        </c:txPr>
        <c:crossAx val="342682240"/>
        <c:crosses val="autoZero"/>
        <c:auto val="1"/>
        <c:lblAlgn val="ctr"/>
        <c:lblOffset val="100"/>
        <c:tickMarkSkip val="1"/>
        <c:noMultiLvlLbl val="0"/>
      </c:catAx>
      <c:valAx>
        <c:axId val="342682240"/>
        <c:scaling>
          <c:orientation val="minMax"/>
          <c:max val="7000000"/>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342680704"/>
        <c:crosses val="autoZero"/>
        <c:crossBetween val="between"/>
        <c:majorUnit val="1000000"/>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455"/>
        </c:manualLayout>
      </c:layout>
      <c:barChart>
        <c:barDir val="col"/>
        <c:grouping val="clustered"/>
        <c:varyColors val="0"/>
        <c:ser>
          <c:idx val="0"/>
          <c:order val="0"/>
          <c:tx>
            <c:strRef>
              <c:f>Sheet1!$A$2</c:f>
              <c:strCache>
                <c:ptCount val="1"/>
                <c:pt idx="0">
                  <c:v>Fundaciones</c:v>
                </c:pt>
              </c:strCache>
            </c:strRef>
          </c:tx>
          <c:invertIfNegative val="0"/>
          <c:dLbls>
            <c:dLbl>
              <c:idx val="0"/>
              <c:tx>
                <c:rich>
                  <a:bodyPr/>
                  <a:lstStyle/>
                  <a:p>
                    <a:r>
                      <a:rPr lang="en-US"/>
                      <a:t>266.926.686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Sheet1!$B$2</c:f>
              <c:numCache>
                <c:formatCode>#,##0.00</c:formatCode>
                <c:ptCount val="1"/>
                <c:pt idx="0">
                  <c:v>266926686</c:v>
                </c:pt>
              </c:numCache>
            </c:numRef>
          </c:val>
        </c:ser>
        <c:ser>
          <c:idx val="1"/>
          <c:order val="1"/>
          <c:tx>
            <c:strRef>
              <c:f>Sheet1!$A$3</c:f>
              <c:strCache>
                <c:ptCount val="1"/>
                <c:pt idx="0">
                  <c:v>Centros Especiales de Empleo</c:v>
                </c:pt>
              </c:strCache>
            </c:strRef>
          </c:tx>
          <c:invertIfNegative val="0"/>
          <c:dLbls>
            <c:dLbl>
              <c:idx val="0"/>
              <c:tx>
                <c:rich>
                  <a:bodyPr/>
                  <a:lstStyle/>
                  <a:p>
                    <a:r>
                      <a:rPr lang="en-US"/>
                      <a:t>118.350.755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Sheet1!$B$3</c:f>
              <c:numCache>
                <c:formatCode>#,##0.00</c:formatCode>
                <c:ptCount val="1"/>
                <c:pt idx="0">
                  <c:v>118350755</c:v>
                </c:pt>
              </c:numCache>
            </c:numRef>
          </c:val>
        </c:ser>
        <c:ser>
          <c:idx val="2"/>
          <c:order val="2"/>
          <c:tx>
            <c:strRef>
              <c:f>Sheet1!$A$4</c:f>
              <c:strCache>
                <c:ptCount val="1"/>
                <c:pt idx="0">
                  <c:v>Asociaciones de Utilidad Pública</c:v>
                </c:pt>
              </c:strCache>
            </c:strRef>
          </c:tx>
          <c:invertIfNegative val="0"/>
          <c:dLbls>
            <c:dLbl>
              <c:idx val="0"/>
              <c:tx>
                <c:rich>
                  <a:bodyPr/>
                  <a:lstStyle/>
                  <a:p>
                    <a:r>
                      <a:rPr lang="en-US"/>
                      <a:t>44.587.734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Sheet1!$B$4</c:f>
              <c:numCache>
                <c:formatCode>#,##0.00</c:formatCode>
                <c:ptCount val="1"/>
                <c:pt idx="0">
                  <c:v>44587734</c:v>
                </c:pt>
              </c:numCache>
            </c:numRef>
          </c:val>
        </c:ser>
        <c:ser>
          <c:idx val="3"/>
          <c:order val="3"/>
          <c:tx>
            <c:strRef>
              <c:f>Sheet1!$A$5</c:f>
              <c:strCache>
                <c:ptCount val="1"/>
                <c:pt idx="0">
                  <c:v>Empresas de Inserción</c:v>
                </c:pt>
              </c:strCache>
            </c:strRef>
          </c:tx>
          <c:invertIfNegative val="0"/>
          <c:dLbls>
            <c:dLbl>
              <c:idx val="0"/>
              <c:tx>
                <c:rich>
                  <a:bodyPr/>
                  <a:lstStyle/>
                  <a:p>
                    <a:r>
                      <a:rPr lang="en-US"/>
                      <a:t>16.187.617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Sheet1!$B$5</c:f>
              <c:numCache>
                <c:formatCode>#,##0.00</c:formatCode>
                <c:ptCount val="1"/>
                <c:pt idx="0">
                  <c:v>16187617</c:v>
                </c:pt>
              </c:numCache>
            </c:numRef>
          </c:val>
        </c:ser>
        <c:ser>
          <c:idx val="4"/>
          <c:order val="4"/>
          <c:tx>
            <c:strRef>
              <c:f>Sheet1!$A$6</c:f>
              <c:strCache>
                <c:ptCount val="1"/>
                <c:pt idx="0">
                  <c:v>EPSV</c:v>
                </c:pt>
              </c:strCache>
            </c:strRef>
          </c:tx>
          <c:invertIfNegative val="0"/>
          <c:dLbls>
            <c:dLbl>
              <c:idx val="0"/>
              <c:tx>
                <c:rich>
                  <a:bodyPr/>
                  <a:lstStyle/>
                  <a:p>
                    <a:r>
                      <a:rPr lang="en-US"/>
                      <a:t>10.077.779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Sheet1!$B$6</c:f>
              <c:numCache>
                <c:formatCode>#,##0.00</c:formatCode>
                <c:ptCount val="1"/>
                <c:pt idx="0">
                  <c:v>10077778.75</c:v>
                </c:pt>
              </c:numCache>
            </c:numRef>
          </c:val>
        </c:ser>
        <c:ser>
          <c:idx val="5"/>
          <c:order val="5"/>
          <c:tx>
            <c:strRef>
              <c:f>Sheet1!$A$7</c:f>
              <c:strCache>
                <c:ptCount val="1"/>
                <c:pt idx="0">
                  <c:v>SATs</c:v>
                </c:pt>
              </c:strCache>
            </c:strRef>
          </c:tx>
          <c:invertIfNegative val="0"/>
          <c:dLbls>
            <c:dLbl>
              <c:idx val="0"/>
              <c:layout>
                <c:manualLayout>
                  <c:x val="1.2066365007541479E-2"/>
                  <c:y val="0"/>
                </c:manualLayout>
              </c:layout>
              <c:tx>
                <c:rich>
                  <a:bodyPr/>
                  <a:lstStyle/>
                  <a:p>
                    <a:r>
                      <a:rPr lang="en-US"/>
                      <a:t>8.023.843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Sheet1!$B$7</c:f>
              <c:numCache>
                <c:formatCode>#,##0.00</c:formatCode>
                <c:ptCount val="1"/>
                <c:pt idx="0">
                  <c:v>8023843</c:v>
                </c:pt>
              </c:numCache>
            </c:numRef>
          </c:val>
        </c:ser>
        <c:ser>
          <c:idx val="6"/>
          <c:order val="6"/>
          <c:tx>
            <c:strRef>
              <c:f>Sheet1!$A$8</c:f>
              <c:strCache>
                <c:ptCount val="1"/>
                <c:pt idx="0">
                  <c:v>Cofradías de Pescadores</c:v>
                </c:pt>
              </c:strCache>
            </c:strRef>
          </c:tx>
          <c:invertIfNegative val="0"/>
          <c:dLbls>
            <c:dLbl>
              <c:idx val="0"/>
              <c:layout>
                <c:manualLayout>
                  <c:x val="2.6143790849673429E-2"/>
                  <c:y val="0"/>
                </c:manualLayout>
              </c:layout>
              <c:tx>
                <c:rich>
                  <a:bodyPr/>
                  <a:lstStyle/>
                  <a:p>
                    <a:r>
                      <a:rPr lang="en-US"/>
                      <a:t>2.330.840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Sheet1!$B$8</c:f>
              <c:numCache>
                <c:formatCode>#,##0.00</c:formatCode>
                <c:ptCount val="1"/>
                <c:pt idx="0">
                  <c:v>2330840</c:v>
                </c:pt>
              </c:numCache>
            </c:numRef>
          </c:val>
        </c:ser>
        <c:dLbls>
          <c:showLegendKey val="0"/>
          <c:showVal val="0"/>
          <c:showCatName val="0"/>
          <c:showSerName val="0"/>
          <c:showPercent val="0"/>
          <c:showBubbleSize val="0"/>
        </c:dLbls>
        <c:gapWidth val="150"/>
        <c:axId val="347199360"/>
        <c:axId val="347200896"/>
      </c:barChart>
      <c:catAx>
        <c:axId val="347199360"/>
        <c:scaling>
          <c:orientation val="minMax"/>
        </c:scaling>
        <c:delete val="0"/>
        <c:axPos val="b"/>
        <c:numFmt formatCode="General" sourceLinked="1"/>
        <c:majorTickMark val="out"/>
        <c:minorTickMark val="none"/>
        <c:tickLblPos val="none"/>
        <c:txPr>
          <a:bodyPr rot="0" vert="horz"/>
          <a:lstStyle/>
          <a:p>
            <a:pPr>
              <a:defRPr/>
            </a:pPr>
            <a:endParaRPr lang="es-ES"/>
          </a:p>
        </c:txPr>
        <c:crossAx val="347200896"/>
        <c:crosses val="autoZero"/>
        <c:auto val="1"/>
        <c:lblAlgn val="ctr"/>
        <c:lblOffset val="100"/>
        <c:tickMarkSkip val="1"/>
        <c:noMultiLvlLbl val="0"/>
      </c:catAx>
      <c:valAx>
        <c:axId val="347200896"/>
        <c:scaling>
          <c:orientation val="minMax"/>
        </c:scaling>
        <c:delete val="0"/>
        <c:axPos val="l"/>
        <c:majorGridlines>
          <c:spPr>
            <a:ln>
              <a:solidFill>
                <a:schemeClr val="bg1">
                  <a:lumMod val="95000"/>
                </a:schemeClr>
              </a:solidFill>
            </a:ln>
          </c:spPr>
        </c:majorGridlines>
        <c:numFmt formatCode="#,##0" sourceLinked="0"/>
        <c:majorTickMark val="out"/>
        <c:minorTickMark val="none"/>
        <c:tickLblPos val="nextTo"/>
        <c:txPr>
          <a:bodyPr rot="0" vert="horz"/>
          <a:lstStyle/>
          <a:p>
            <a:pPr>
              <a:defRPr/>
            </a:pPr>
            <a:endParaRPr lang="es-ES"/>
          </a:p>
        </c:txPr>
        <c:crossAx val="347199360"/>
        <c:crosses val="autoZero"/>
        <c:crossBetween val="between"/>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Establecimientos</a:t>
            </a:r>
          </a:p>
        </c:rich>
      </c:tx>
      <c:layout>
        <c:manualLayout>
          <c:xMode val="edge"/>
          <c:yMode val="edge"/>
          <c:x val="0.33633290648357722"/>
          <c:y val="1.1444663167104125E-3"/>
        </c:manualLayout>
      </c:layout>
      <c:overlay val="0"/>
    </c:title>
    <c:autoTitleDeleted val="0"/>
    <c:plotArea>
      <c:layout>
        <c:manualLayout>
          <c:layoutTarget val="inner"/>
          <c:xMode val="edge"/>
          <c:yMode val="edge"/>
          <c:x val="0.31202541123801836"/>
          <c:y val="0.21407687963055017"/>
          <c:w val="0.41504591205378605"/>
          <c:h val="0.62482047339021518"/>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dLbl>
            <c:dLbl>
              <c:idx val="1"/>
              <c:layout>
                <c:manualLayout>
                  <c:x val="-3.1894456970728353E-2"/>
                  <c:y val="-1.7279931354734893E-3"/>
                </c:manualLayout>
              </c:layout>
              <c:dLblPos val="bestFit"/>
              <c:showLegendKey val="0"/>
              <c:showVal val="0"/>
              <c:showCatName val="1"/>
              <c:showSerName val="0"/>
              <c:showPercent val="1"/>
              <c:showBubbleSize val="0"/>
            </c:dLbl>
            <c:dLbl>
              <c:idx val="2"/>
              <c:layout>
                <c:manualLayout>
                  <c:x val="-9.7195324632864066E-2"/>
                  <c:y val="4.7171369203849477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0.45200000000000001</c:v>
                </c:pt>
                <c:pt idx="1">
                  <c:v>0.42500000000000032</c:v>
                </c:pt>
                <c:pt idx="2">
                  <c:v>0.12400000000000012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Empleo</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1847"/>
          <c:y val="0.21407687963055017"/>
          <c:w val="0.41504591205378605"/>
          <c:h val="0.62482047339021562"/>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dLbl>
            <c:dLbl>
              <c:idx val="1"/>
              <c:layout>
                <c:manualLayout>
                  <c:x val="-3.1894456970728353E-2"/>
                  <c:y val="-1.7279931354734893E-3"/>
                </c:manualLayout>
              </c:layout>
              <c:dLblPos val="bestFit"/>
              <c:showLegendKey val="0"/>
              <c:showVal val="0"/>
              <c:showCatName val="1"/>
              <c:showSerName val="0"/>
              <c:showPercent val="1"/>
              <c:showBubbleSize val="0"/>
            </c:dLbl>
            <c:dLbl>
              <c:idx val="2"/>
              <c:layout>
                <c:manualLayout>
                  <c:x val="-9.7195324632864066E-2"/>
                  <c:y val="4.7171369203849477E-2"/>
                </c:manualLayout>
              </c:layout>
              <c:dLblPos val="bestFi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Sheet1!$B$1:$D$1</c:f>
              <c:strCache>
                <c:ptCount val="3"/>
                <c:pt idx="0">
                  <c:v>Bizkaia</c:v>
                </c:pt>
                <c:pt idx="1">
                  <c:v>Gipuzkoa</c:v>
                </c:pt>
                <c:pt idx="2">
                  <c:v>Álava</c:v>
                </c:pt>
              </c:strCache>
            </c:strRef>
          </c:cat>
          <c:val>
            <c:numRef>
              <c:f>Sheet1!$B$2:$D$2</c:f>
              <c:numCache>
                <c:formatCode>0.0%</c:formatCode>
                <c:ptCount val="3"/>
                <c:pt idx="0">
                  <c:v>0.43100000000000038</c:v>
                </c:pt>
                <c:pt idx="1">
                  <c:v>0.47200000000000031</c:v>
                </c:pt>
                <c:pt idx="2">
                  <c:v>9.6000000000000002E-2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77704194260528E-2"/>
          <c:y val="9.5890410958904146E-2"/>
          <c:w val="0.89624724061811445"/>
          <c:h val="0.49315068493150682"/>
        </c:manualLayout>
      </c:layout>
      <c:barChart>
        <c:barDir val="col"/>
        <c:grouping val="clustered"/>
        <c:varyColors val="0"/>
        <c:ser>
          <c:idx val="0"/>
          <c:order val="0"/>
          <c:tx>
            <c:strRef>
              <c:f>Sheet1!$A$2</c:f>
              <c:strCache>
                <c:ptCount val="1"/>
                <c:pt idx="0">
                  <c:v>2012</c:v>
                </c:pt>
              </c:strCache>
            </c:strRef>
          </c:tx>
          <c:spPr>
            <a:solidFill>
              <a:schemeClr val="tx2"/>
            </a:solidFill>
            <a:ln w="12643">
              <a:noFill/>
              <a:prstDash val="solid"/>
            </a:ln>
          </c:spPr>
          <c:invertIfNegative val="0"/>
          <c:dLbls>
            <c:dLbl>
              <c:idx val="0"/>
              <c:layout>
                <c:manualLayout>
                  <c:x val="-1.6483622844324561E-3"/>
                  <c:y val="5.3611406682272785E-3"/>
                </c:manualLayout>
              </c:layout>
              <c:showLegendKey val="0"/>
              <c:showVal val="1"/>
              <c:showCatName val="0"/>
              <c:showSerName val="0"/>
              <c:showPercent val="0"/>
              <c:showBubbleSize val="0"/>
            </c:dLbl>
            <c:dLbl>
              <c:idx val="1"/>
              <c:layout>
                <c:manualLayout>
                  <c:x val="6.7146262210350536E-3"/>
                  <c:y val="-2.4706837883410052E-2"/>
                </c:manualLayout>
              </c:layout>
              <c:showLegendKey val="0"/>
              <c:showVal val="1"/>
              <c:showCatName val="0"/>
              <c:showSerName val="0"/>
              <c:showPercent val="0"/>
              <c:showBubbleSize val="0"/>
            </c:dLbl>
            <c:dLbl>
              <c:idx val="2"/>
              <c:layout>
                <c:manualLayout>
                  <c:x val="-2.5825405229986192E-3"/>
                  <c:y val="-2.3998297510108541E-2"/>
                </c:manualLayout>
              </c:layout>
              <c:showLegendKey val="0"/>
              <c:showVal val="1"/>
              <c:showCatName val="0"/>
              <c:showSerName val="0"/>
              <c:showPercent val="0"/>
              <c:showBubbleSize val="0"/>
            </c:dLbl>
            <c:dLbl>
              <c:idx val="3"/>
              <c:layout>
                <c:manualLayout>
                  <c:x val="-8.4217238571861067E-4"/>
                  <c:y val="-2.3438178335816098E-2"/>
                </c:manualLayout>
              </c:layout>
              <c:showLegendKey val="0"/>
              <c:showVal val="1"/>
              <c:showCatName val="0"/>
              <c:showSerName val="0"/>
              <c:showPercent val="0"/>
              <c:showBubbleSize val="0"/>
            </c:dLbl>
            <c:dLbl>
              <c:idx val="4"/>
              <c:layout>
                <c:manualLayout>
                  <c:xMode val="edge"/>
                  <c:yMode val="edge"/>
                  <c:x val="0.75496688741721851"/>
                  <c:y val="0.54794520547946535"/>
                </c:manualLayout>
              </c:layout>
              <c:showLegendKey val="0"/>
              <c:showVal val="1"/>
              <c:showCatName val="0"/>
              <c:showSerName val="0"/>
              <c:showPercent val="0"/>
              <c:showBubbleSize val="0"/>
            </c:dLbl>
            <c:spPr>
              <a:noFill/>
              <a:ln w="25287">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CAPV</c:v>
                </c:pt>
                <c:pt idx="1">
                  <c:v>Álava</c:v>
                </c:pt>
                <c:pt idx="2">
                  <c:v>Gipuzkoa</c:v>
                </c:pt>
                <c:pt idx="3">
                  <c:v>Bizkaia</c:v>
                </c:pt>
              </c:strCache>
            </c:strRef>
          </c:cat>
          <c:val>
            <c:numRef>
              <c:f>Sheet1!$B$2:$E$2</c:f>
              <c:numCache>
                <c:formatCode>0.0%</c:formatCode>
                <c:ptCount val="4"/>
                <c:pt idx="0">
                  <c:v>6.2000000000000034E-2</c:v>
                </c:pt>
                <c:pt idx="1">
                  <c:v>4.2000000000000023E-2</c:v>
                </c:pt>
                <c:pt idx="2">
                  <c:v>9.7000000000000003E-2</c:v>
                </c:pt>
                <c:pt idx="3">
                  <c:v>4.5000000000000012E-2</c:v>
                </c:pt>
              </c:numCache>
            </c:numRef>
          </c:val>
        </c:ser>
        <c:ser>
          <c:idx val="1"/>
          <c:order val="1"/>
          <c:tx>
            <c:strRef>
              <c:f>Sheet1!$A$3</c:f>
              <c:strCache>
                <c:ptCount val="1"/>
                <c:pt idx="0">
                  <c:v>2014</c:v>
                </c:pt>
              </c:strCache>
            </c:strRef>
          </c:tx>
          <c:spPr>
            <a:solidFill>
              <a:schemeClr val="accent1"/>
            </a:solidFill>
            <a:ln w="12643">
              <a:noFill/>
              <a:prstDash val="solid"/>
            </a:ln>
          </c:spPr>
          <c:invertIfNegative val="0"/>
          <c:dLbls>
            <c:dLbl>
              <c:idx val="0"/>
              <c:layout>
                <c:manualLayout>
                  <c:x val="2.4230788938801304E-2"/>
                  <c:y val="-1.775696956799319E-3"/>
                </c:manualLayout>
              </c:layout>
              <c:showLegendKey val="0"/>
              <c:showVal val="1"/>
              <c:showCatName val="0"/>
              <c:showSerName val="0"/>
              <c:showPercent val="0"/>
              <c:showBubbleSize val="0"/>
            </c:dLbl>
            <c:dLbl>
              <c:idx val="1"/>
              <c:layout>
                <c:manualLayout>
                  <c:x val="8.9034767605843494E-3"/>
                  <c:y val="1.4721936291241335E-2"/>
                </c:manualLayout>
              </c:layout>
              <c:showLegendKey val="0"/>
              <c:showVal val="1"/>
              <c:showCatName val="0"/>
              <c:showSerName val="0"/>
              <c:showPercent val="0"/>
              <c:showBubbleSize val="0"/>
            </c:dLbl>
            <c:dLbl>
              <c:idx val="2"/>
              <c:layout>
                <c:manualLayout>
                  <c:x val="2.0936004081199611E-2"/>
                  <c:y val="-3.2800323036543642E-2"/>
                </c:manualLayout>
              </c:layout>
              <c:showLegendKey val="0"/>
              <c:showVal val="1"/>
              <c:showCatName val="0"/>
              <c:showSerName val="0"/>
              <c:showPercent val="0"/>
              <c:showBubbleSize val="0"/>
            </c:dLbl>
            <c:dLbl>
              <c:idx val="3"/>
              <c:layout>
                <c:manualLayout>
                  <c:x val="1.9783991209341781E-2"/>
                  <c:y val="-2.7906079307654152E-2"/>
                </c:manualLayout>
              </c:layout>
              <c:showLegendKey val="0"/>
              <c:showVal val="1"/>
              <c:showCatName val="0"/>
              <c:showSerName val="0"/>
              <c:showPercent val="0"/>
              <c:showBubbleSize val="0"/>
            </c:dLbl>
            <c:dLbl>
              <c:idx val="4"/>
              <c:layout>
                <c:manualLayout>
                  <c:xMode val="edge"/>
                  <c:yMode val="edge"/>
                  <c:x val="0.8366445916114974"/>
                  <c:y val="0.57534246575342451"/>
                </c:manualLayout>
              </c:layout>
              <c:showLegendKey val="0"/>
              <c:showVal val="1"/>
              <c:showCatName val="0"/>
              <c:showSerName val="0"/>
              <c:showPercent val="0"/>
              <c:showBubbleSize val="0"/>
            </c:dLbl>
            <c:spPr>
              <a:noFill/>
              <a:ln w="25287">
                <a:noFill/>
              </a:ln>
            </c:spPr>
            <c:txPr>
              <a:bodyPr/>
              <a:lstStyle/>
              <a:p>
                <a:pPr>
                  <a:defRPr b="1"/>
                </a:pPr>
                <a:endParaRPr lang="es-ES"/>
              </a:p>
            </c:txPr>
            <c:showLegendKey val="0"/>
            <c:showVal val="1"/>
            <c:showCatName val="0"/>
            <c:showSerName val="0"/>
            <c:showPercent val="0"/>
            <c:showBubbleSize val="0"/>
            <c:showLeaderLines val="0"/>
          </c:dLbls>
          <c:cat>
            <c:strRef>
              <c:f>Sheet1!$B$1:$E$1</c:f>
              <c:strCache>
                <c:ptCount val="4"/>
                <c:pt idx="0">
                  <c:v>CAPV</c:v>
                </c:pt>
                <c:pt idx="1">
                  <c:v>Álava</c:v>
                </c:pt>
                <c:pt idx="2">
                  <c:v>Gipuzkoa</c:v>
                </c:pt>
                <c:pt idx="3">
                  <c:v>Bizkaia</c:v>
                </c:pt>
              </c:strCache>
            </c:strRef>
          </c:cat>
          <c:val>
            <c:numRef>
              <c:f>Sheet1!$B$3:$E$3</c:f>
              <c:numCache>
                <c:formatCode>0.0%</c:formatCode>
                <c:ptCount val="4"/>
                <c:pt idx="0">
                  <c:v>6.1000000000000013E-2</c:v>
                </c:pt>
                <c:pt idx="1">
                  <c:v>4.1000000000000002E-2</c:v>
                </c:pt>
                <c:pt idx="2">
                  <c:v>9.2000000000000026E-2</c:v>
                </c:pt>
                <c:pt idx="3">
                  <c:v>4.7000000000000014E-2</c:v>
                </c:pt>
              </c:numCache>
            </c:numRef>
          </c:val>
        </c:ser>
        <c:dLbls>
          <c:showLegendKey val="0"/>
          <c:showVal val="0"/>
          <c:showCatName val="0"/>
          <c:showSerName val="0"/>
          <c:showPercent val="0"/>
          <c:showBubbleSize val="0"/>
        </c:dLbls>
        <c:gapWidth val="150"/>
        <c:axId val="283634304"/>
        <c:axId val="283865472"/>
      </c:barChart>
      <c:catAx>
        <c:axId val="283634304"/>
        <c:scaling>
          <c:orientation val="minMax"/>
        </c:scaling>
        <c:delete val="0"/>
        <c:axPos val="b"/>
        <c:numFmt formatCode="General" sourceLinked="1"/>
        <c:majorTickMark val="out"/>
        <c:minorTickMark val="none"/>
        <c:tickLblPos val="low"/>
        <c:spPr>
          <a:ln w="3161">
            <a:solidFill>
              <a:srgbClr val="000000"/>
            </a:solidFill>
            <a:prstDash val="solid"/>
          </a:ln>
        </c:spPr>
        <c:txPr>
          <a:bodyPr rot="0" vert="horz"/>
          <a:lstStyle/>
          <a:p>
            <a:pPr>
              <a:defRPr/>
            </a:pPr>
            <a:endParaRPr lang="es-ES"/>
          </a:p>
        </c:txPr>
        <c:crossAx val="283865472"/>
        <c:crosses val="autoZero"/>
        <c:auto val="1"/>
        <c:lblAlgn val="ctr"/>
        <c:lblOffset val="100"/>
        <c:tickLblSkip val="1"/>
        <c:tickMarkSkip val="1"/>
        <c:noMultiLvlLbl val="0"/>
      </c:catAx>
      <c:valAx>
        <c:axId val="283865472"/>
        <c:scaling>
          <c:orientation val="minMax"/>
        </c:scaling>
        <c:delete val="0"/>
        <c:axPos val="l"/>
        <c:majorGridlines>
          <c:spPr>
            <a:ln w="12643">
              <a:solidFill>
                <a:srgbClr val="C0C0C0"/>
              </a:solidFill>
              <a:prstDash val="solid"/>
            </a:ln>
          </c:spPr>
        </c:majorGridlines>
        <c:numFmt formatCode="0%" sourceLinked="0"/>
        <c:majorTickMark val="out"/>
        <c:minorTickMark val="none"/>
        <c:tickLblPos val="nextTo"/>
        <c:spPr>
          <a:ln w="3161">
            <a:solidFill>
              <a:srgbClr val="000000"/>
            </a:solidFill>
            <a:prstDash val="solid"/>
          </a:ln>
        </c:spPr>
        <c:txPr>
          <a:bodyPr rot="0" vert="horz"/>
          <a:lstStyle/>
          <a:p>
            <a:pPr>
              <a:defRPr/>
            </a:pPr>
            <a:endParaRPr lang="es-ES"/>
          </a:p>
        </c:txPr>
        <c:crossAx val="283634304"/>
        <c:crosses val="autoZero"/>
        <c:crossBetween val="between"/>
      </c:valAx>
      <c:spPr>
        <a:noFill/>
        <a:ln w="25400">
          <a:noFill/>
        </a:ln>
      </c:spPr>
    </c:plotArea>
    <c:legend>
      <c:legendPos val="b"/>
      <c:layout>
        <c:manualLayout>
          <c:xMode val="edge"/>
          <c:yMode val="edge"/>
          <c:x val="0.15802605235525774"/>
          <c:y val="0.8048240123831002"/>
          <c:w val="0.81015445097132599"/>
          <c:h val="0.12045494313210849"/>
        </c:manualLayout>
      </c:layout>
      <c:overlay val="0"/>
      <c:spPr>
        <a:noFill/>
        <a:ln w="3161">
          <a:noFill/>
          <a:prstDash val="solid"/>
        </a:ln>
      </c:spPr>
    </c:legend>
    <c:plotVisOnly val="1"/>
    <c:dispBlanksAs val="gap"/>
    <c:showDLblsOverMax val="0"/>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30 de junio de 2014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0F7B53-C3A6-4864-8714-2CF3C6F9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127</Pages>
  <Words>34769</Words>
  <Characters>191230</Characters>
  <Application>Microsoft Office Word</Application>
  <DocSecurity>0</DocSecurity>
  <Lines>1593</Lines>
  <Paragraphs>451</Paragraphs>
  <ScaleCrop>false</ScaleCrop>
  <HeadingPairs>
    <vt:vector size="2" baseType="variant">
      <vt:variant>
        <vt:lpstr>Título</vt:lpstr>
      </vt:variant>
      <vt:variant>
        <vt:i4>1</vt:i4>
      </vt:variant>
    </vt:vector>
  </HeadingPairs>
  <TitlesOfParts>
    <vt:vector size="1" baseType="lpstr">
      <vt:lpstr>ESTADÍSTICA DE LA ECONOMÍA SOCIAL 2012Y AVANCE 2013</vt:lpstr>
    </vt:vector>
  </TitlesOfParts>
  <Company/>
  <LinksUpToDate>false</LinksUpToDate>
  <CharactersWithSpaces>225548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ESTADÍSTICA DE LA ECONOMÍA SOCIAL 2012Y AVANCE 2013</dc:title>
  <dc:subject>30 de junio de 2014</dc:subject>
  <dc:creator>IKERTALDE</dc:creator>
  <cp:lastModifiedBy>Sanzo Gonzalez, Luis</cp:lastModifiedBy>
  <cp:revision>11</cp:revision>
  <cp:lastPrinted>2016-03-10T13:38:00Z</cp:lastPrinted>
  <dcterms:created xsi:type="dcterms:W3CDTF">2016-05-05T11:08:00Z</dcterms:created>
  <dcterms:modified xsi:type="dcterms:W3CDTF">2016-05-05T15:33:00Z</dcterms:modified>
</cp:coreProperties>
</file>