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1F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bCs/>
          <w:sz w:val="22"/>
          <w:szCs w:val="22"/>
        </w:rPr>
        <w:t>ANEXO II B</w:t>
      </w:r>
    </w:p>
    <w:p w:rsidR="00665473" w:rsidRPr="00C7078A" w:rsidRDefault="00665473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7E711F" w:rsidRPr="00C7078A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bCs/>
          <w:sz w:val="22"/>
          <w:szCs w:val="22"/>
        </w:rPr>
        <w:t>CONTENIDO DE LA MEMORIA DESCRIPTIVA DE LA INVERSIÓN PARA LAS ASOCIACIONES</w:t>
      </w:r>
    </w:p>
    <w:p w:rsidR="00665473" w:rsidRDefault="00665473" w:rsidP="00D26A33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711F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1: IDENTIFICACIÓN DEL PROYECTO</w:t>
      </w:r>
    </w:p>
    <w:p w:rsidR="00C7078A" w:rsidRPr="00C7078A" w:rsidRDefault="00C7078A" w:rsidP="00665473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sz w:val="22"/>
          <w:szCs w:val="22"/>
        </w:rPr>
        <w:t>Esta parte tendrá carácter introductorio, y su objetivo es proporcionar información general sobre los proyectos que se plantean en la solicitud de inversión.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1. Proyecto/s financiable/s de los descritos en el artículo 7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Transformación digital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Transformación del punto de venta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Sostenibilidad y economía circular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d)</w:t>
            </w:r>
            <w:r w:rsidR="00A7016C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Cadena de suministro y trazabilidad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e)</w:t>
            </w:r>
            <w:r w:rsidR="00A7016C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Otros gastos financiables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Breve descripción/resumen del proyecto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3D2353">
        <w:trPr>
          <w:trHeight w:val="410"/>
        </w:trPr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Fecha de inicio o fecha prevista</w:t>
            </w:r>
          </w:p>
        </w:tc>
      </w:tr>
      <w:tr w:rsidR="007E711F" w:rsidRPr="00C7078A" w:rsidTr="00C7078A">
        <w:trPr>
          <w:trHeight w:val="281"/>
        </w:trPr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Fecha finalización prevista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Presupuesto de inversión total. 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(Desglosado por cada uno de los proyectos a realizar expresado sin IVA)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rPr>
          <w:trHeight w:val="507"/>
        </w:trPr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Fuentes de financiación.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(Se deberá indicar específicamente si existe cofinanciación y las cantidades y porcentajes)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2F3CDF">
            <w:pPr>
              <w:pStyle w:val="Prrafodelista"/>
              <w:autoSpaceDE w:val="0"/>
              <w:autoSpaceDN w:val="0"/>
              <w:spacing w:after="22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2: JUSTIFICACIÓN DEL PROYECTO</w:t>
      </w:r>
    </w:p>
    <w:p w:rsidR="00C7078A" w:rsidRPr="00C7078A" w:rsidRDefault="00C7078A" w:rsidP="00665473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C7078A">
        <w:rPr>
          <w:rFonts w:ascii="Arial" w:hAnsi="Arial" w:cs="Arial"/>
          <w:sz w:val="22"/>
          <w:szCs w:val="22"/>
        </w:rPr>
        <w:t>El objetivo de esta parte es justificar la idoneidad del proyecto.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rPr>
          <w:trHeight w:val="720"/>
        </w:trPr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Antecedentes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 (Se detallarán aquellas acciones que permitan conocer la situación de partida, pertinencia de los proyectos a realizar, necesidades del sector comercial. Todas ellas deberán conducir a realizar una mejor selección y adaptación de las acciones a emprender por parte del beneficiario.)</w:t>
            </w:r>
          </w:p>
        </w:tc>
      </w:tr>
      <w:tr w:rsidR="007E711F" w:rsidRPr="00C7078A" w:rsidTr="006B0E98">
        <w:trPr>
          <w:trHeight w:val="541"/>
        </w:trPr>
        <w:tc>
          <w:tcPr>
            <w:tcW w:w="9356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rPr>
          <w:trHeight w:val="628"/>
        </w:trPr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2.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Justificación del proyecto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7E711F" w:rsidRPr="00C7078A" w:rsidTr="006B0E98">
        <w:trPr>
          <w:trHeight w:val="449"/>
        </w:trPr>
        <w:tc>
          <w:tcPr>
            <w:tcW w:w="9356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3.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Objetivos en base a los indicadores que se pretendan obtener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4.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Contribución de los proyectos a la mejora de la calidad ambiental, la eficiencia energética y la economía circular. Deberá exponer razonadamente la contribución de cada uno de los proyectos a realizar en relación con los siguientes objetivos: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a)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Reducción del consumo de insumos por parte del comercio y de los consumidores en sus establecimientos, y la sustitución de éstos por otras alternativas más respetuosas con el medio ambiente.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b)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Optimización de las operaciones de distribución comercial, entrega y devolución del producto mediante la adopción de nuevas tecnologías y ecosistemas colaborativos que disminuyan los costes y el impacto medioambiental, prestando especial atención a la última milla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c)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Implantación de proyectos que implementen soluciones tecnológicas para mejorar la eficiencia en el consumo energético y de otros suministros en los establecimientos comerciales, instauración de procesos con base tecnológica, eco-eficientes, de reciclado y reutilización de residuos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d)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Instalación de fuentes de energías renovables, el uso de tecnologías de nulo o bajo potencial de calentamiento atmosférico para la climatización, así como cualquier otra actuación o solución dirigida a incrementar la sostenibilidad y la eficiencia y que impliquen un avance hacia una economía baja en carbono, la reducción en la generación de residuos, la economía circular, el desperdicio cero y la adaptación al cambio climático.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5.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Capacidad del p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 xml:space="preserve">royecto para incorporar tecnologías que mejoren el grado de digitalización, la adaptación a los nuevos hábitos de consumo, la mejora del conocimiento y relación con el cliente, y su fidelización. Deberá exponer razonadamente la contribución de cada uno de los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proyectos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 xml:space="preserve"> a realizar en relación con los siguientes objetivos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sz w:val="22"/>
                <w:szCs w:val="22"/>
              </w:rPr>
              <w:lastRenderedPageBreak/>
              <w:t>a) Mejora del grado de digitalización de la entidad beneficiaria impactando en su gestión interna.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sz w:val="22"/>
                <w:szCs w:val="22"/>
              </w:rPr>
              <w:t>b) Mejora del grado de digitalización de la entidad beneficiaria impactando en su estrategia de negocio.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sz w:val="22"/>
                <w:szCs w:val="22"/>
              </w:rPr>
              <w:t>c) Incorporación de nuevas tecnologías para la mejora del conocimiento y relación del cliente, fomentando la fidelización del mismo.</w:t>
            </w:r>
          </w:p>
          <w:p w:rsidR="007E711F" w:rsidRPr="00C7078A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sz w:val="22"/>
                <w:szCs w:val="22"/>
              </w:rPr>
              <w:t>d) Adaptación a los nuevos hábitos de consumo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6.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Capacidad del para mejorar la experiencia de compra del usuario online y en el establecimiento físico. Deberá exponer, de manera motivada, cuáles de los proyectos a desarrollar contribuyen a mejorar la experiencia de compra online y física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7.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Capacidad del proyecto para crear valor añadido. El solicitante deberá demostrar fehacientemente la novedad que supone su proyecto al igual que sus potencialidades para crear valor añadido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8.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Porcentaje de asociados pertenecientes al sector comercial.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>(Número de asociados, asociados, CNAE de cada asociado, porcentaje asociados sector comercial)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9.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Porcentaje de asociados a los que benefician los proyectos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7E711F">
      <w:pPr>
        <w:spacing w:after="220"/>
        <w:rPr>
          <w:rFonts w:ascii="Arial" w:hAnsi="Arial" w:cs="Arial"/>
          <w:bCs/>
          <w:color w:val="000000"/>
          <w:sz w:val="22"/>
          <w:szCs w:val="22"/>
        </w:rPr>
      </w:pPr>
    </w:p>
    <w:p w:rsidR="007E711F" w:rsidRPr="00C7078A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3: DESCRIPCIÓN DEL PROYECTO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c>
          <w:tcPr>
            <w:tcW w:w="9356" w:type="dxa"/>
          </w:tcPr>
          <w:p w:rsidR="007E711F" w:rsidRPr="00C7078A" w:rsidRDefault="009B6B7B" w:rsidP="00D26A33">
            <w:pPr>
              <w:pStyle w:val="Prrafodelista"/>
              <w:numPr>
                <w:ilvl w:val="0"/>
                <w:numId w:val="10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Descripción completa del proyecto financiable.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7E711F">
      <w:pPr>
        <w:spacing w:after="220"/>
        <w:rPr>
          <w:rFonts w:ascii="Arial" w:hAnsi="Arial" w:cs="Arial"/>
          <w:bCs/>
          <w:color w:val="000000"/>
          <w:sz w:val="22"/>
          <w:szCs w:val="22"/>
        </w:rPr>
      </w:pPr>
    </w:p>
    <w:p w:rsidR="007E711F" w:rsidRPr="00C7078A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7078A">
        <w:rPr>
          <w:rFonts w:ascii="Arial" w:hAnsi="Arial" w:cs="Arial"/>
          <w:bCs/>
          <w:color w:val="000000"/>
          <w:sz w:val="22"/>
          <w:szCs w:val="22"/>
        </w:rPr>
        <w:t>Parte 4. CARACTERÍSTICAS DEL POTENCIAL BENEFICIARIO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6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78A"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 xml:space="preserve">Efecto de las acciones realizadas. Deberá exponerse motivadamente el efecto de los </w:t>
            </w:r>
            <w:r w:rsidR="007E711F" w:rsidRPr="00C7078A">
              <w:rPr>
                <w:rFonts w:ascii="Arial" w:hAnsi="Arial" w:cs="Arial"/>
                <w:color w:val="000000"/>
                <w:sz w:val="22"/>
                <w:szCs w:val="22"/>
              </w:rPr>
              <w:t>proyectos</w:t>
            </w:r>
            <w:r w:rsidR="007E711F" w:rsidRPr="00C7078A">
              <w:rPr>
                <w:rFonts w:ascii="Arial" w:hAnsi="Arial" w:cs="Arial"/>
                <w:sz w:val="22"/>
                <w:szCs w:val="22"/>
              </w:rPr>
              <w:t xml:space="preserve"> a nivel local, autonómico o nacional según el caso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11F" w:rsidRDefault="007E711F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3D2353" w:rsidRDefault="003D2353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F17086" w:rsidRPr="00601C5F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</w:t>
      </w:r>
      <w:proofErr w:type="spellStart"/>
      <w:r w:rsidRPr="00601C5F">
        <w:rPr>
          <w:rFonts w:ascii="Arial" w:hAnsi="Arial" w:cs="Arial"/>
          <w:sz w:val="22"/>
          <w:szCs w:val="22"/>
        </w:rPr>
        <w:t>de_______________de</w:t>
      </w:r>
      <w:proofErr w:type="spellEnd"/>
      <w:r w:rsidRPr="00601C5F">
        <w:rPr>
          <w:rFonts w:ascii="Arial" w:hAnsi="Arial" w:cs="Arial"/>
          <w:sz w:val="22"/>
          <w:szCs w:val="22"/>
        </w:rPr>
        <w:t xml:space="preserve"> 202_</w:t>
      </w:r>
    </w:p>
    <w:p w:rsidR="00F17086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F17086" w:rsidRPr="00601C5F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3D2353" w:rsidRPr="00C7078A" w:rsidRDefault="00F17086" w:rsidP="00F17086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sectPr w:rsidR="003D2353" w:rsidRPr="00C7078A" w:rsidSect="00A9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142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6B" w:rsidRDefault="00BE77D3">
      <w:r>
        <w:separator/>
      </w:r>
    </w:p>
  </w:endnote>
  <w:endnote w:type="continuationSeparator" w:id="0">
    <w:p w:rsidR="00873A6B" w:rsidRDefault="00B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6B" w:rsidRDefault="00BE77D3">
      <w:r>
        <w:separator/>
      </w:r>
    </w:p>
  </w:footnote>
  <w:footnote w:type="continuationSeparator" w:id="0">
    <w:p w:rsidR="00873A6B" w:rsidRDefault="00BE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2CE" w:rsidRDefault="00CA52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B7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411"/>
    <w:multiLevelType w:val="hybridMultilevel"/>
    <w:tmpl w:val="D648FE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8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4CC15236"/>
    <w:multiLevelType w:val="hybridMultilevel"/>
    <w:tmpl w:val="4E1603BA"/>
    <w:lvl w:ilvl="0" w:tplc="4C0E22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E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9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8F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9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C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A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6B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B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31EA0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70371"/>
    <w:multiLevelType w:val="hybridMultilevel"/>
    <w:tmpl w:val="BFB87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B07E7F"/>
    <w:multiLevelType w:val="hybridMultilevel"/>
    <w:tmpl w:val="3E8293A8"/>
    <w:lvl w:ilvl="0" w:tplc="2762635C">
      <w:start w:val="1"/>
      <w:numFmt w:val="decimal"/>
      <w:lvlText w:val="%1."/>
      <w:lvlJc w:val="left"/>
      <w:pPr>
        <w:ind w:left="1145" w:hanging="360"/>
      </w:pPr>
      <w:rPr>
        <w:rFonts w:hint="default"/>
        <w:strike w:val="0"/>
        <w:color w:val="auto"/>
      </w:rPr>
    </w:lvl>
    <w:lvl w:ilvl="1" w:tplc="F0545D0E">
      <w:start w:val="1"/>
      <w:numFmt w:val="lowerLetter"/>
      <w:lvlText w:val="%2."/>
      <w:lvlJc w:val="left"/>
      <w:pPr>
        <w:ind w:left="1865" w:hanging="360"/>
      </w:pPr>
    </w:lvl>
    <w:lvl w:ilvl="2" w:tplc="0C0A0017">
      <w:start w:val="1"/>
      <w:numFmt w:val="lowerLetter"/>
      <w:lvlText w:val="%3)"/>
      <w:lvlJc w:val="left"/>
      <w:pPr>
        <w:ind w:left="2585" w:hanging="180"/>
      </w:pPr>
    </w:lvl>
    <w:lvl w:ilvl="3" w:tplc="0E3A1EB2">
      <w:start w:val="1"/>
      <w:numFmt w:val="decimal"/>
      <w:lvlText w:val="%4."/>
      <w:lvlJc w:val="left"/>
      <w:pPr>
        <w:ind w:left="1210" w:hanging="360"/>
      </w:pPr>
    </w:lvl>
    <w:lvl w:ilvl="4" w:tplc="1BAA9BC8">
      <w:start w:val="1"/>
      <w:numFmt w:val="lowerLetter"/>
      <w:lvlText w:val="%5."/>
      <w:lvlJc w:val="left"/>
      <w:pPr>
        <w:ind w:left="4025" w:hanging="360"/>
      </w:pPr>
    </w:lvl>
    <w:lvl w:ilvl="5" w:tplc="EB2451D4">
      <w:start w:val="1"/>
      <w:numFmt w:val="lowerRoman"/>
      <w:lvlText w:val="%6."/>
      <w:lvlJc w:val="right"/>
      <w:pPr>
        <w:ind w:left="4745" w:hanging="180"/>
      </w:pPr>
    </w:lvl>
    <w:lvl w:ilvl="6" w:tplc="A02C2A56">
      <w:start w:val="1"/>
      <w:numFmt w:val="decimal"/>
      <w:lvlText w:val="%7."/>
      <w:lvlJc w:val="left"/>
      <w:pPr>
        <w:ind w:left="5465" w:hanging="360"/>
      </w:pPr>
    </w:lvl>
    <w:lvl w:ilvl="7" w:tplc="9432A4FE">
      <w:start w:val="1"/>
      <w:numFmt w:val="lowerLetter"/>
      <w:lvlText w:val="%8."/>
      <w:lvlJc w:val="left"/>
      <w:pPr>
        <w:ind w:left="6185" w:hanging="360"/>
      </w:pPr>
    </w:lvl>
    <w:lvl w:ilvl="8" w:tplc="16E24FD8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D97D51"/>
    <w:multiLevelType w:val="hybridMultilevel"/>
    <w:tmpl w:val="D048DFAA"/>
    <w:lvl w:ilvl="0" w:tplc="0BB43478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43A4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27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C9F2C72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3"/>
  </w:num>
  <w:num w:numId="5">
    <w:abstractNumId w:val="25"/>
  </w:num>
  <w:num w:numId="6">
    <w:abstractNumId w:val="6"/>
  </w:num>
  <w:num w:numId="7">
    <w:abstractNumId w:val="2"/>
  </w:num>
  <w:num w:numId="8">
    <w:abstractNumId w:val="8"/>
  </w:num>
  <w:num w:numId="9">
    <w:abstractNumId w:val="14"/>
  </w:num>
  <w:num w:numId="10">
    <w:abstractNumId w:val="19"/>
  </w:num>
  <w:num w:numId="11">
    <w:abstractNumId w:val="15"/>
  </w:num>
  <w:num w:numId="12">
    <w:abstractNumId w:val="11"/>
  </w:num>
  <w:num w:numId="13">
    <w:abstractNumId w:val="16"/>
  </w:num>
  <w:num w:numId="14">
    <w:abstractNumId w:val="20"/>
  </w:num>
  <w:num w:numId="15">
    <w:abstractNumId w:val="13"/>
  </w:num>
  <w:num w:numId="16">
    <w:abstractNumId w:val="1"/>
  </w:num>
  <w:num w:numId="17">
    <w:abstractNumId w:val="22"/>
  </w:num>
  <w:num w:numId="18">
    <w:abstractNumId w:val="0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8"/>
  </w:num>
  <w:num w:numId="24">
    <w:abstractNumId w:val="10"/>
  </w:num>
  <w:num w:numId="25">
    <w:abstractNumId w:val="27"/>
  </w:num>
  <w:num w:numId="26">
    <w:abstractNumId w:val="5"/>
  </w:num>
  <w:num w:numId="27">
    <w:abstractNumId w:val="23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1F"/>
    <w:rsid w:val="00125F1A"/>
    <w:rsid w:val="00145631"/>
    <w:rsid w:val="00181BB1"/>
    <w:rsid w:val="002A0C45"/>
    <w:rsid w:val="003D2353"/>
    <w:rsid w:val="00435FFE"/>
    <w:rsid w:val="004C1B7E"/>
    <w:rsid w:val="00665473"/>
    <w:rsid w:val="006B0E98"/>
    <w:rsid w:val="00700724"/>
    <w:rsid w:val="007E711F"/>
    <w:rsid w:val="008326E6"/>
    <w:rsid w:val="00873A6B"/>
    <w:rsid w:val="009B6B7B"/>
    <w:rsid w:val="00A7016C"/>
    <w:rsid w:val="00A907E0"/>
    <w:rsid w:val="00BE77D3"/>
    <w:rsid w:val="00C7078A"/>
    <w:rsid w:val="00CA52CE"/>
    <w:rsid w:val="00CE215D"/>
    <w:rsid w:val="00D26A33"/>
    <w:rsid w:val="00DF6D5D"/>
    <w:rsid w:val="00F1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8B99-AAD6-47EB-AA39-E5B50F76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E711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7E711F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11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11F"/>
    <w:rPr>
      <w:rFonts w:ascii="Calibri Light" w:eastAsia="Times New Roman" w:hAnsi="Calibri Light" w:cs="Times New Roman"/>
      <w:color w:val="2E74B5"/>
      <w:sz w:val="32"/>
      <w:szCs w:val="32"/>
      <w:lang w:val="es-ES" w:eastAsia="es-ES_tradnl"/>
    </w:rPr>
  </w:style>
  <w:style w:type="character" w:customStyle="1" w:styleId="Ttulo3Car">
    <w:name w:val="Título 3 Car"/>
    <w:basedOn w:val="Fuentedeprrafopredeter"/>
    <w:link w:val="Ttulo3"/>
    <w:rsid w:val="007E711F"/>
    <w:rPr>
      <w:rFonts w:ascii="Arial" w:eastAsia="Times New Roman" w:hAnsi="Arial" w:cs="Arial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11F"/>
    <w:rPr>
      <w:rFonts w:ascii="Calibri Light" w:eastAsia="Times New Roman" w:hAnsi="Calibri Light" w:cs="Times New Roman"/>
      <w:i/>
      <w:iCs/>
      <w:color w:val="2E74B5"/>
      <w:sz w:val="20"/>
      <w:szCs w:val="20"/>
      <w:lang w:val="es-ES" w:eastAsia="es-ES_tradnl"/>
    </w:rPr>
  </w:style>
  <w:style w:type="paragraph" w:customStyle="1" w:styleId="BOPV">
    <w:name w:val="BOPV"/>
    <w:basedOn w:val="Normal"/>
    <w:rsid w:val="007E711F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E711F"/>
  </w:style>
  <w:style w:type="paragraph" w:customStyle="1" w:styleId="BOPVDetalle">
    <w:name w:val="BOPVDetalle"/>
    <w:link w:val="BOPVDetalleCar"/>
    <w:rsid w:val="007E711F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val="es-ES" w:eastAsia="es-ES_tradnl"/>
    </w:rPr>
  </w:style>
  <w:style w:type="character" w:customStyle="1" w:styleId="BOPVDetalleCar">
    <w:name w:val="BOPVDetalle Car"/>
    <w:link w:val="BOPVDetalle"/>
    <w:locked/>
    <w:rsid w:val="007E711F"/>
    <w:rPr>
      <w:rFonts w:ascii="Arial" w:eastAsia="Times New Roman" w:hAnsi="Arial" w:cs="Times New Roman"/>
      <w:lang w:val="es-ES" w:eastAsia="es-ES_tradnl"/>
    </w:rPr>
  </w:style>
  <w:style w:type="paragraph" w:customStyle="1" w:styleId="BOPVAnexoDentroTexto">
    <w:name w:val="BOPVAnexoDentroTexto"/>
    <w:basedOn w:val="BOPVDetalle"/>
    <w:rsid w:val="007E711F"/>
  </w:style>
  <w:style w:type="paragraph" w:customStyle="1" w:styleId="BOPVAnexoFinal">
    <w:name w:val="BOPVAnexoFinal"/>
    <w:basedOn w:val="BOPVDetalle"/>
    <w:rsid w:val="007E711F"/>
  </w:style>
  <w:style w:type="paragraph" w:customStyle="1" w:styleId="BOPVCapitulo">
    <w:name w:val="BOPVCapitulo"/>
    <w:basedOn w:val="BOPVDetalle"/>
    <w:autoRedefine/>
    <w:rsid w:val="007E711F"/>
  </w:style>
  <w:style w:type="paragraph" w:customStyle="1" w:styleId="BOPVClave">
    <w:name w:val="BOPVClave"/>
    <w:basedOn w:val="BOPVDetalle"/>
    <w:rsid w:val="007E711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E711F"/>
    <w:pPr>
      <w:jc w:val="left"/>
    </w:pPr>
  </w:style>
  <w:style w:type="paragraph" w:customStyle="1" w:styleId="BOPVFirmaLugFec">
    <w:name w:val="BOPVFirmaLugFec"/>
    <w:basedOn w:val="BOPVDetalle"/>
    <w:rsid w:val="007E711F"/>
  </w:style>
  <w:style w:type="paragraph" w:customStyle="1" w:styleId="BOPVFirmaNombre">
    <w:name w:val="BOPVFirmaNombre"/>
    <w:basedOn w:val="BOPVDetalle"/>
    <w:rsid w:val="007E711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E711F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E711F"/>
    <w:pPr>
      <w:jc w:val="center"/>
    </w:pPr>
  </w:style>
  <w:style w:type="paragraph" w:customStyle="1" w:styleId="BOPVNombreLehen2">
    <w:name w:val="BOPVNombreLehen2"/>
    <w:basedOn w:val="BOPVFirmaNombre"/>
    <w:rsid w:val="007E711F"/>
    <w:pPr>
      <w:jc w:val="right"/>
    </w:pPr>
  </w:style>
  <w:style w:type="paragraph" w:customStyle="1" w:styleId="BOPVNumeroBoletin">
    <w:name w:val="BOPVNumeroBoletin"/>
    <w:basedOn w:val="BOPVDetalle"/>
    <w:rsid w:val="007E711F"/>
  </w:style>
  <w:style w:type="paragraph" w:customStyle="1" w:styleId="BOPVOrden">
    <w:name w:val="BOPVOrden"/>
    <w:basedOn w:val="BOPVDetalle"/>
    <w:rsid w:val="007E711F"/>
  </w:style>
  <w:style w:type="paragraph" w:customStyle="1" w:styleId="BOPVOrganismo">
    <w:name w:val="BOPVOrganismo"/>
    <w:basedOn w:val="BOPVDetalle"/>
    <w:rsid w:val="007E711F"/>
    <w:rPr>
      <w:caps/>
    </w:rPr>
  </w:style>
  <w:style w:type="paragraph" w:customStyle="1" w:styleId="BOPVPuestoLehen1">
    <w:name w:val="BOPVPuestoLehen1"/>
    <w:basedOn w:val="BOPVFirmaPuesto"/>
    <w:rsid w:val="007E711F"/>
    <w:pPr>
      <w:jc w:val="center"/>
    </w:pPr>
  </w:style>
  <w:style w:type="paragraph" w:customStyle="1" w:styleId="BOPVPuestoLehen2">
    <w:name w:val="BOPVPuestoLehen2"/>
    <w:basedOn w:val="BOPVFirmaPuesto"/>
    <w:rsid w:val="007E711F"/>
    <w:pPr>
      <w:jc w:val="right"/>
    </w:pPr>
  </w:style>
  <w:style w:type="paragraph" w:customStyle="1" w:styleId="BOPVSeccion">
    <w:name w:val="BOPVSeccion"/>
    <w:basedOn w:val="BOPVDetalle"/>
    <w:rsid w:val="007E711F"/>
    <w:rPr>
      <w:caps/>
    </w:rPr>
  </w:style>
  <w:style w:type="paragraph" w:customStyle="1" w:styleId="BOPVSubseccion">
    <w:name w:val="BOPVSubseccion"/>
    <w:basedOn w:val="BOPVDetalle"/>
    <w:rsid w:val="007E711F"/>
  </w:style>
  <w:style w:type="paragraph" w:customStyle="1" w:styleId="BOPVSumarioEuskera">
    <w:name w:val="BOPVSumarioEuskera"/>
    <w:basedOn w:val="BOPV"/>
    <w:rsid w:val="007E711F"/>
  </w:style>
  <w:style w:type="paragraph" w:customStyle="1" w:styleId="BOPVSumarioOrden">
    <w:name w:val="BOPVSumarioOrden"/>
    <w:basedOn w:val="BOPV"/>
    <w:rsid w:val="007E711F"/>
  </w:style>
  <w:style w:type="paragraph" w:customStyle="1" w:styleId="BOPVSumarioOrganismo">
    <w:name w:val="BOPVSumarioOrganismo"/>
    <w:basedOn w:val="BOPV"/>
    <w:rsid w:val="007E711F"/>
  </w:style>
  <w:style w:type="paragraph" w:customStyle="1" w:styleId="BOPVSumarioSeccion">
    <w:name w:val="BOPVSumarioSeccion"/>
    <w:basedOn w:val="BOPV"/>
    <w:rsid w:val="007E711F"/>
  </w:style>
  <w:style w:type="paragraph" w:customStyle="1" w:styleId="BOPVSumarioSubseccion">
    <w:name w:val="BOPVSumarioSubseccion"/>
    <w:basedOn w:val="BOPV"/>
    <w:rsid w:val="007E711F"/>
  </w:style>
  <w:style w:type="paragraph" w:customStyle="1" w:styleId="BOPVSumarioTitulo">
    <w:name w:val="BOPVSumarioTitulo"/>
    <w:basedOn w:val="BOPV"/>
    <w:rsid w:val="007E711F"/>
  </w:style>
  <w:style w:type="paragraph" w:customStyle="1" w:styleId="BOPVTitulo">
    <w:name w:val="BOPVTitulo"/>
    <w:basedOn w:val="BOPVDetalle"/>
    <w:rsid w:val="007E711F"/>
    <w:pPr>
      <w:ind w:left="425" w:hanging="425"/>
    </w:pPr>
  </w:style>
  <w:style w:type="paragraph" w:customStyle="1" w:styleId="BOPVClaveSin">
    <w:name w:val="BOPVClaveSin"/>
    <w:basedOn w:val="BOPVDetalle"/>
    <w:qFormat/>
    <w:rsid w:val="007E711F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E711F"/>
    <w:rPr>
      <w:caps w:val="0"/>
    </w:rPr>
  </w:style>
  <w:style w:type="paragraph" w:customStyle="1" w:styleId="TituloBOPV">
    <w:name w:val="TituloBOPV"/>
    <w:basedOn w:val="BOPVDetalle"/>
    <w:rsid w:val="007E711F"/>
  </w:style>
  <w:style w:type="paragraph" w:customStyle="1" w:styleId="BOPVLista">
    <w:name w:val="BOPVLista"/>
    <w:basedOn w:val="BOPVDetalle"/>
    <w:rsid w:val="007E711F"/>
    <w:pPr>
      <w:contextualSpacing/>
    </w:pPr>
  </w:style>
  <w:style w:type="paragraph" w:customStyle="1" w:styleId="BOPVClaveMinusculas">
    <w:name w:val="BOPVClaveMinusculas"/>
    <w:basedOn w:val="BOPVClave"/>
    <w:rsid w:val="007E711F"/>
    <w:rPr>
      <w:caps w:val="0"/>
    </w:rPr>
  </w:style>
  <w:style w:type="paragraph" w:customStyle="1" w:styleId="BOPVDetalle1">
    <w:name w:val="BOPVDetalle1"/>
    <w:basedOn w:val="BOPVDetalle"/>
    <w:rsid w:val="007E711F"/>
    <w:pPr>
      <w:ind w:left="425"/>
    </w:pPr>
  </w:style>
  <w:style w:type="paragraph" w:customStyle="1" w:styleId="BOPVDetalle2">
    <w:name w:val="BOPVDetalle2"/>
    <w:basedOn w:val="BOPVDetalle1"/>
    <w:rsid w:val="007E711F"/>
    <w:pPr>
      <w:ind w:left="709"/>
    </w:pPr>
  </w:style>
  <w:style w:type="paragraph" w:customStyle="1" w:styleId="BOPVDetalle3">
    <w:name w:val="BOPVDetalle3"/>
    <w:basedOn w:val="BOPVDetalle2"/>
    <w:rsid w:val="007E711F"/>
    <w:pPr>
      <w:ind w:left="992"/>
    </w:pPr>
  </w:style>
  <w:style w:type="paragraph" w:customStyle="1" w:styleId="BOPVDetalle4">
    <w:name w:val="BOPVDetalle4"/>
    <w:basedOn w:val="BOPVDetalle3"/>
    <w:rsid w:val="007E711F"/>
    <w:pPr>
      <w:ind w:left="1276"/>
    </w:pPr>
  </w:style>
  <w:style w:type="paragraph" w:styleId="Encabezado">
    <w:name w:val="header"/>
    <w:basedOn w:val="Normal"/>
    <w:link w:val="Encabezado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7E711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7E711F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comentario">
    <w:name w:val="annotation reference"/>
    <w:uiPriority w:val="99"/>
    <w:unhideWhenUsed/>
    <w:qFormat/>
    <w:rsid w:val="007E71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E711F"/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E711F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E7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E711F"/>
    <w:rPr>
      <w:rFonts w:ascii="Calibri" w:eastAsia="Calibri" w:hAnsi="Calibri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unhideWhenUsed/>
    <w:rsid w:val="007E711F"/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E711F"/>
    <w:rPr>
      <w:rFonts w:ascii="Segoe UI" w:eastAsia="Calibri" w:hAnsi="Segoe UI" w:cs="Segoe UI"/>
      <w:sz w:val="18"/>
      <w:szCs w:val="18"/>
      <w:lang w:val="es-ES" w:eastAsia="es-ES_tradnl"/>
    </w:rPr>
  </w:style>
  <w:style w:type="paragraph" w:customStyle="1" w:styleId="Default">
    <w:name w:val="Default"/>
    <w:rsid w:val="007E7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E711F"/>
    <w:rPr>
      <w:color w:val="0563C1"/>
      <w:u w:val="single"/>
    </w:rPr>
  </w:style>
  <w:style w:type="paragraph" w:customStyle="1" w:styleId="dog-base-sangria">
    <w:name w:val="dog-base-sangria"/>
    <w:basedOn w:val="Normal"/>
    <w:rsid w:val="007E711F"/>
    <w:pPr>
      <w:spacing w:before="100" w:beforeAutospacing="1" w:after="240" w:line="360" w:lineRule="atLeast"/>
      <w:ind w:firstLine="360"/>
      <w:jc w:val="both"/>
    </w:pPr>
    <w:rPr>
      <w:color w:val="000000"/>
      <w:sz w:val="24"/>
      <w:szCs w:val="24"/>
      <w:lang w:eastAsia="es-ES"/>
    </w:rPr>
  </w:style>
  <w:style w:type="character" w:customStyle="1" w:styleId="dog-cursiva1">
    <w:name w:val="dog-cursiva1"/>
    <w:rsid w:val="007E711F"/>
    <w:rPr>
      <w:i/>
      <w:iCs/>
    </w:rPr>
  </w:style>
  <w:style w:type="character" w:customStyle="1" w:styleId="dog-texto-sumario1">
    <w:name w:val="dog-texto-sumario1"/>
    <w:rsid w:val="007E711F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customStyle="1" w:styleId="Pa6">
    <w:name w:val="Pa6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E711F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E711F"/>
    <w:pPr>
      <w:spacing w:after="200" w:line="276" w:lineRule="auto"/>
      <w:ind w:left="720"/>
      <w:contextualSpacing/>
    </w:pPr>
  </w:style>
  <w:style w:type="paragraph" w:customStyle="1" w:styleId="Prrafodelista2">
    <w:name w:val="Párrafo de lista2"/>
    <w:basedOn w:val="Normal"/>
    <w:rsid w:val="007E711F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7E711F"/>
    <w:rPr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711F"/>
    <w:rPr>
      <w:rFonts w:ascii="Times New Roman" w:eastAsia="Times New Roman" w:hAnsi="Times New Roman" w:cs="Times New Roman"/>
      <w:sz w:val="20"/>
      <w:szCs w:val="20"/>
      <w:lang w:val="en-US" w:eastAsia="es-ES_tradnl"/>
    </w:rPr>
  </w:style>
  <w:style w:type="character" w:styleId="Refdenotaalpie">
    <w:name w:val="footnote reference"/>
    <w:uiPriority w:val="99"/>
    <w:unhideWhenUsed/>
    <w:rsid w:val="007E711F"/>
    <w:rPr>
      <w:vertAlign w:val="superscript"/>
    </w:rPr>
  </w:style>
  <w:style w:type="table" w:styleId="Cuadrculadetablaclara">
    <w:name w:val="Grid Table Light"/>
    <w:basedOn w:val="Tablanormal"/>
    <w:uiPriority w:val="40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parrafo">
    <w:name w:val="parrafo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nfasis">
    <w:name w:val="Emphasis"/>
    <w:uiPriority w:val="20"/>
    <w:qFormat/>
    <w:rsid w:val="007E711F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7E711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711F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character" w:styleId="Textoennegrita">
    <w:name w:val="Strong"/>
    <w:uiPriority w:val="22"/>
    <w:qFormat/>
    <w:rsid w:val="007E711F"/>
    <w:rPr>
      <w:b/>
      <w:bCs/>
    </w:rPr>
  </w:style>
  <w:style w:type="paragraph" w:customStyle="1" w:styleId="Pa5">
    <w:name w:val="Pa5"/>
    <w:basedOn w:val="Default"/>
    <w:next w:val="Default"/>
    <w:uiPriority w:val="99"/>
    <w:rsid w:val="007E711F"/>
    <w:pPr>
      <w:spacing w:line="221" w:lineRule="atLeast"/>
    </w:pPr>
    <w:rPr>
      <w:color w:val="auto"/>
    </w:rPr>
  </w:style>
  <w:style w:type="character" w:customStyle="1" w:styleId="hgkelc">
    <w:name w:val="hgkelc"/>
    <w:rsid w:val="007E711F"/>
  </w:style>
  <w:style w:type="character" w:customStyle="1" w:styleId="Fuentedeprrafopredeter1">
    <w:name w:val="Fuente de párrafo predeter.1"/>
    <w:qFormat/>
    <w:rsid w:val="007E711F"/>
  </w:style>
  <w:style w:type="paragraph" w:styleId="Sinespaciado">
    <w:name w:val="No Spacing"/>
    <w:qFormat/>
    <w:rsid w:val="007E711F"/>
    <w:pPr>
      <w:widowControl w:val="0"/>
      <w:suppressAutoHyphens/>
      <w:spacing w:after="0" w:line="240" w:lineRule="auto"/>
      <w:textAlignment w:val="baseline"/>
    </w:pPr>
    <w:rPr>
      <w:rFonts w:ascii="Times New Roman" w:eastAsia="DejaVu Sans;Arial Unicode MS" w:hAnsi="Times New Roman" w:cs="DejaVu Sans;Arial Unicode MS"/>
      <w:sz w:val="24"/>
      <w:szCs w:val="24"/>
      <w:lang w:val="es-ES" w:eastAsia="zh-CN"/>
    </w:rPr>
  </w:style>
  <w:style w:type="character" w:customStyle="1" w:styleId="q4iawc">
    <w:name w:val="q4iawc"/>
    <w:rsid w:val="007E711F"/>
  </w:style>
  <w:style w:type="table" w:customStyle="1" w:styleId="Tablaconcuadrcula1">
    <w:name w:val="Tabla con cuadrícula1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B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4A875-4C74-49A7-B3D6-AE124F4BD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9EEB7-8B25-4E40-913D-C81F4753A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7</cp:revision>
  <dcterms:created xsi:type="dcterms:W3CDTF">2022-12-21T08:58:00Z</dcterms:created>
  <dcterms:modified xsi:type="dcterms:W3CDTF">2023-03-29T11:27:00Z</dcterms:modified>
</cp:coreProperties>
</file>