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CCA20" w14:textId="4533510D" w:rsidR="00F668B3" w:rsidRPr="00F668B3" w:rsidRDefault="00F668B3" w:rsidP="00752762">
      <w:pPr>
        <w:jc w:val="both"/>
        <w:rPr>
          <w:b/>
          <w:bCs/>
        </w:rPr>
      </w:pPr>
      <w:r w:rsidRPr="00F668B3">
        <w:rPr>
          <w:b/>
          <w:bCs/>
        </w:rPr>
        <w:t>MEMORIA DE ANÁLISIS DE IMPACTO NORMATIVO DEL ANTEPROYECTO DE LEY VASCA DE PARTICIPACIÓN INSTITUCIONAL Y DIÁLOGO SOCIAL</w:t>
      </w:r>
    </w:p>
    <w:p w14:paraId="0852FA21" w14:textId="77777777" w:rsidR="00F668B3" w:rsidRPr="00F668B3" w:rsidRDefault="00000000" w:rsidP="00752762">
      <w:pPr>
        <w:jc w:val="both"/>
      </w:pPr>
      <w:r>
        <w:pict w14:anchorId="679BC1A1">
          <v:rect id="_x0000_i1025" style="width:0;height:1.5pt" o:hralign="center" o:hrstd="t" o:hr="t" fillcolor="#a0a0a0" stroked="f"/>
        </w:pict>
      </w:r>
    </w:p>
    <w:p w14:paraId="725288EB" w14:textId="77777777" w:rsidR="00F668B3" w:rsidRPr="00F668B3" w:rsidRDefault="00F668B3" w:rsidP="00752762">
      <w:pPr>
        <w:jc w:val="both"/>
        <w:rPr>
          <w:b/>
          <w:bCs/>
        </w:rPr>
      </w:pPr>
      <w:r w:rsidRPr="00F668B3">
        <w:rPr>
          <w:b/>
          <w:bCs/>
        </w:rPr>
        <w:t>A. Oportunidad de la propuesta y alternativas de regulación estudiadas</w:t>
      </w:r>
    </w:p>
    <w:p w14:paraId="635BA3C4" w14:textId="77777777" w:rsidR="00F668B3" w:rsidRPr="00F668B3" w:rsidRDefault="00F668B3" w:rsidP="00752762">
      <w:pPr>
        <w:jc w:val="both"/>
        <w:rPr>
          <w:b/>
          <w:bCs/>
        </w:rPr>
      </w:pPr>
      <w:r w:rsidRPr="00F668B3">
        <w:rPr>
          <w:b/>
          <w:bCs/>
        </w:rPr>
        <w:t>1. Justificación de la necesidad y oportunidad</w:t>
      </w:r>
    </w:p>
    <w:p w14:paraId="35FE8810" w14:textId="77777777" w:rsidR="0072083E" w:rsidRDefault="00000000">
      <w:pPr>
        <w:jc w:val="both"/>
      </w:pPr>
      <w:r w:rsidRPr="6DC3F95B">
        <w:rPr>
          <w:lang w:val="es-ES"/>
        </w:rPr>
        <w:t xml:space="preserve">La iniciativa </w:t>
      </w:r>
      <w:r w:rsidR="007D491A" w:rsidRPr="007D491A">
        <w:rPr>
          <w:lang w:val="es-ES"/>
        </w:rPr>
        <w:t>establece</w:t>
      </w:r>
      <w:r w:rsidRPr="6DC3F95B">
        <w:rPr>
          <w:lang w:val="es-ES"/>
        </w:rPr>
        <w:t xml:space="preserve"> un marco legal </w:t>
      </w:r>
      <w:r w:rsidR="007D491A" w:rsidRPr="007D491A">
        <w:rPr>
          <w:lang w:val="es-ES"/>
        </w:rPr>
        <w:t>común</w:t>
      </w:r>
      <w:r w:rsidRPr="6DC3F95B">
        <w:rPr>
          <w:lang w:val="es-ES"/>
        </w:rPr>
        <w:t xml:space="preserve"> y estable para la participación institucional de las organizaciones sindicales y empresariales más representativas y para el diálogo social tripartito en la Comunidad Autónoma de Euskadi. </w:t>
      </w:r>
      <w:r w:rsidR="007D491A" w:rsidRPr="007D491A">
        <w:rPr>
          <w:lang w:val="es-ES"/>
        </w:rPr>
        <w:t>No crea</w:t>
      </w:r>
      <w:r w:rsidRPr="6DC3F95B">
        <w:rPr>
          <w:lang w:val="es-ES"/>
        </w:rPr>
        <w:t xml:space="preserve"> una realidad </w:t>
      </w:r>
      <w:r w:rsidR="007D491A" w:rsidRPr="007D491A">
        <w:rPr>
          <w:lang w:val="es-ES"/>
        </w:rPr>
        <w:t xml:space="preserve">nueva: ordena una práctica </w:t>
      </w:r>
      <w:r w:rsidRPr="6DC3F95B">
        <w:rPr>
          <w:lang w:val="es-ES"/>
        </w:rPr>
        <w:t xml:space="preserve">institucional consolidada </w:t>
      </w:r>
      <w:r w:rsidR="007D491A" w:rsidRPr="007D491A">
        <w:rPr>
          <w:lang w:val="es-ES"/>
        </w:rPr>
        <w:t>y fija</w:t>
      </w:r>
      <w:r w:rsidRPr="6DC3F95B">
        <w:rPr>
          <w:lang w:val="es-ES"/>
        </w:rPr>
        <w:t xml:space="preserve"> reglas </w:t>
      </w:r>
      <w:r w:rsidR="007D491A" w:rsidRPr="007D491A">
        <w:rPr>
          <w:lang w:val="es-ES"/>
        </w:rPr>
        <w:t>que aseguren</w:t>
      </w:r>
      <w:r w:rsidRPr="6DC3F95B">
        <w:rPr>
          <w:lang w:val="es-ES"/>
        </w:rPr>
        <w:t xml:space="preserve"> su continuidad, transparencia y </w:t>
      </w:r>
      <w:r w:rsidR="007D491A" w:rsidRPr="007D491A">
        <w:rPr>
          <w:lang w:val="es-ES"/>
        </w:rPr>
        <w:t>correcto</w:t>
      </w:r>
      <w:r w:rsidRPr="6DC3F95B">
        <w:rPr>
          <w:lang w:val="es-ES"/>
        </w:rPr>
        <w:t xml:space="preserve"> encaje en el funcionamiento del sector público.</w:t>
      </w:r>
    </w:p>
    <w:p w14:paraId="3B437D07" w14:textId="77777777" w:rsidR="0072083E" w:rsidRDefault="00000000">
      <w:pPr>
        <w:jc w:val="both"/>
      </w:pPr>
      <w:r w:rsidRPr="009E7D2E">
        <w:t xml:space="preserve">Durante las últimas décadas, la intervención de los agentes sociales en la elaboración, ejecución y evaluación de políticas públicas se ha </w:t>
      </w:r>
      <w:r w:rsidR="000875E0" w:rsidRPr="000875E0">
        <w:t>canalizado</w:t>
      </w:r>
      <w:r w:rsidRPr="009E7D2E">
        <w:t xml:space="preserve"> en Euskadi a través de órganos colegiados, mesas sectoriales y espacios de concertación. </w:t>
      </w:r>
      <w:r w:rsidR="000875E0" w:rsidRPr="000875E0">
        <w:t>A esta</w:t>
      </w:r>
      <w:r w:rsidRPr="009E7D2E">
        <w:t xml:space="preserve"> experiencia </w:t>
      </w:r>
      <w:r w:rsidR="000875E0" w:rsidRPr="000875E0">
        <w:t>se suma</w:t>
      </w:r>
      <w:r w:rsidRPr="009E7D2E">
        <w:t xml:space="preserve"> la Mesa de Diálogo Social, que </w:t>
      </w:r>
      <w:r w:rsidR="000875E0" w:rsidRPr="000875E0">
        <w:t>ofrece</w:t>
      </w:r>
      <w:r w:rsidRPr="009E7D2E">
        <w:t xml:space="preserve"> un cauce permanente de interlocución tripartita en materias laborales, económicas y sociales. </w:t>
      </w:r>
      <w:r w:rsidR="000875E0" w:rsidRPr="000875E0">
        <w:t>La</w:t>
      </w:r>
      <w:r w:rsidRPr="009E7D2E">
        <w:t xml:space="preserve"> práctica </w:t>
      </w:r>
      <w:r w:rsidR="000875E0" w:rsidRPr="000875E0">
        <w:t xml:space="preserve">acumulada muestra que el </w:t>
      </w:r>
      <w:r w:rsidRPr="009E7D2E">
        <w:t xml:space="preserve">diálogo social </w:t>
      </w:r>
      <w:r w:rsidR="000875E0" w:rsidRPr="000875E0">
        <w:t>mejora</w:t>
      </w:r>
      <w:r w:rsidRPr="009E7D2E">
        <w:t xml:space="preserve"> el conocimiento de los problemas, </w:t>
      </w:r>
      <w:r w:rsidR="000875E0" w:rsidRPr="000875E0">
        <w:t xml:space="preserve">permite </w:t>
      </w:r>
      <w:r w:rsidRPr="009E7D2E">
        <w:t xml:space="preserve">anticipar los efectos de las decisiones públicas, </w:t>
      </w:r>
      <w:r w:rsidR="000875E0" w:rsidRPr="000875E0">
        <w:t>facilita</w:t>
      </w:r>
      <w:r w:rsidRPr="009E7D2E">
        <w:t xml:space="preserve"> su aplicación y </w:t>
      </w:r>
      <w:r w:rsidR="000875E0" w:rsidRPr="000875E0">
        <w:t>favorece</w:t>
      </w:r>
      <w:r w:rsidRPr="009E7D2E">
        <w:t xml:space="preserve"> acuerdos </w:t>
      </w:r>
      <w:r w:rsidR="000875E0" w:rsidRPr="000875E0">
        <w:t>más duraderos</w:t>
      </w:r>
      <w:r w:rsidRPr="009E7D2E">
        <w:t>.</w:t>
      </w:r>
    </w:p>
    <w:p w14:paraId="4E109AF2" w14:textId="77777777" w:rsidR="00601B74" w:rsidRDefault="00F5178E">
      <w:pPr>
        <w:jc w:val="both"/>
      </w:pPr>
      <w:r w:rsidRPr="6DC3F95B">
        <w:rPr>
          <w:lang w:val="es-ES"/>
        </w:rPr>
        <w:t>El modelo vigente presenta, sin embargo, una configuración fragmentaria. La participación se encuentra prevista en normas sectoriales de distinto rango y antigüedad, con soluciones no siempre coincidentes respecto de los sujetos llamados a participar, la distribución de puestos, las funciones atribuidas, los deberes de las organizaciones o la forma de acreditar la actividad desarrollada. Paralelamente, el diálogo social descansa fundamentalmente en una regulación reglamentaria y en prácticas de concertación que, aun consolidadas, no ofrecen por sí solas la estabilidad normativa que corresponde a una institución con vocación transversal.</w:t>
      </w:r>
    </w:p>
    <w:p w14:paraId="4D0691D7" w14:textId="77777777" w:rsidR="00F5178E" w:rsidRDefault="00F5178E">
      <w:pPr>
        <w:jc w:val="both"/>
        <w:rPr>
          <w:lang w:eastAsia="es-ES_tradnl"/>
        </w:rPr>
      </w:pPr>
      <w:r>
        <w:t>Esta dispersión dificulta reconocer con claridad qué debe entenderse por participación institucional, cuál es su diferencia respecto de la negociación colectiva, la consulta sectorial o la participación de otros intereses sociales, y qué contenido mínimo debe mantenerse en los órganos comprendidos en la ley. También impide disponer de un sistema homogéneo de financiación, seguimiento y rendición de cuentas, circunstancia especialmente relevante cuando la actividad institucional se sostiene con recursos públicos.</w:t>
      </w:r>
    </w:p>
    <w:p w14:paraId="250C3B7C" w14:textId="77777777" w:rsidR="00F5178E" w:rsidRDefault="00F5178E">
      <w:pPr>
        <w:jc w:val="both"/>
        <w:rPr>
          <w:lang w:eastAsia="es-ES_tradnl"/>
        </w:rPr>
      </w:pPr>
      <w:r>
        <w:t xml:space="preserve">La necesidad de intervenir adquiere mayor intensidad ante transformaciones que exigen respuestas públicas coordinadas y sostenidas en el tiempo, entre ellas los cambios demográficos, la transición energética, la digitalización de la economía y del empleo y la adaptación del sistema productivo. Por su complejidad y alcance, estas materias </w:t>
      </w:r>
      <w:r>
        <w:lastRenderedPageBreak/>
        <w:t>aconsejan contar con cauces estables que permitan incorporar de forma ordenada el conocimiento y la capacidad representativa de las organizaciones sindicales y empresariales.</w:t>
      </w:r>
    </w:p>
    <w:p w14:paraId="1F9C1C50" w14:textId="77777777" w:rsidR="0072083E" w:rsidRDefault="00000000">
      <w:pPr>
        <w:jc w:val="both"/>
      </w:pPr>
      <w:r w:rsidRPr="0095796D">
        <w:t xml:space="preserve">El anteproyecto responde a este diagnóstico </w:t>
      </w:r>
      <w:r w:rsidR="007C1878" w:rsidRPr="007C1878">
        <w:t xml:space="preserve">con </w:t>
      </w:r>
      <w:r w:rsidRPr="0095796D">
        <w:t>una norma de ordenación y consolidación</w:t>
      </w:r>
      <w:r w:rsidR="007C1878" w:rsidRPr="007C1878">
        <w:t>. Sin</w:t>
      </w:r>
      <w:r w:rsidRPr="00C95916">
        <w:t xml:space="preserve"> sustituir</w:t>
      </w:r>
      <w:r w:rsidRPr="0095796D">
        <w:t xml:space="preserve"> la regulación sectorial de cada órgano ni </w:t>
      </w:r>
      <w:r w:rsidRPr="00C95916">
        <w:t>alterar</w:t>
      </w:r>
      <w:r w:rsidRPr="0095796D">
        <w:t xml:space="preserve"> </w:t>
      </w:r>
      <w:r w:rsidR="007C1878" w:rsidRPr="007C1878">
        <w:t>sus</w:t>
      </w:r>
      <w:r w:rsidRPr="0095796D">
        <w:t xml:space="preserve"> competencias sustantivas</w:t>
      </w:r>
      <w:r w:rsidR="007C1878" w:rsidRPr="007C1878">
        <w:t>, fija</w:t>
      </w:r>
      <w:r w:rsidRPr="0095796D">
        <w:t xml:space="preserve"> un régimen común </w:t>
      </w:r>
      <w:r w:rsidRPr="00C95916">
        <w:t xml:space="preserve">para los </w:t>
      </w:r>
      <w:r w:rsidRPr="0095796D">
        <w:t>elementos esenciales del sistema</w:t>
      </w:r>
      <w:r w:rsidR="007C1878" w:rsidRPr="007C1878">
        <w:t>:</w:t>
      </w:r>
      <w:r w:rsidRPr="00C95916">
        <w:t xml:space="preserve"> concepto y ámbito de la participación</w:t>
      </w:r>
      <w:r w:rsidR="007C1878" w:rsidRPr="007C1878">
        <w:t>,</w:t>
      </w:r>
      <w:r w:rsidRPr="00C95916">
        <w:t xml:space="preserve"> sujetos legitimados</w:t>
      </w:r>
      <w:r w:rsidR="007C1878" w:rsidRPr="007C1878">
        <w:t>,</w:t>
      </w:r>
      <w:r w:rsidRPr="00C95916">
        <w:t xml:space="preserve"> designación y actuación de las personas representantes, acceso a la información, asistencia y responsabilidades</w:t>
      </w:r>
      <w:r w:rsidR="007C1878" w:rsidRPr="007C1878">
        <w:t>. También</w:t>
      </w:r>
      <w:r w:rsidRPr="00C95916">
        <w:t xml:space="preserve"> institucionaliza la Mesa de Diálogo Social como cauce permanente de concertación tripartita y ordena la financiación de la actividad sobre bases transparentes</w:t>
      </w:r>
      <w:r w:rsidR="007C1878" w:rsidRPr="007C1878">
        <w:t>,</w:t>
      </w:r>
      <w:r w:rsidRPr="00C95916">
        <w:t xml:space="preserve"> verificables</w:t>
      </w:r>
      <w:r w:rsidR="007C1878" w:rsidRPr="007C1878">
        <w:t xml:space="preserve"> y</w:t>
      </w:r>
      <w:r w:rsidRPr="00C95916">
        <w:t xml:space="preserve"> vinculadas a su realización efectiva. </w:t>
      </w:r>
      <w:r w:rsidR="007C1878" w:rsidRPr="007C1878">
        <w:t>El resultado es un marco más coordinado, seguro y sujeto a rendición de cuentas.</w:t>
      </w:r>
    </w:p>
    <w:p w14:paraId="0AB41C1F" w14:textId="77777777" w:rsidR="0072083E" w:rsidRDefault="00000000">
      <w:pPr>
        <w:jc w:val="both"/>
      </w:pPr>
      <w:r w:rsidRPr="00B21935">
        <w:t xml:space="preserve">La oportunidad de la iniciativa se apoya </w:t>
      </w:r>
      <w:r w:rsidR="00B21935" w:rsidRPr="00B21935">
        <w:t>también</w:t>
      </w:r>
      <w:r w:rsidRPr="00B21935">
        <w:t xml:space="preserve"> en el acuerdo alcanzado en la Mesa de Diálogo Social sobre las bases de la futura ley. </w:t>
      </w:r>
      <w:r w:rsidR="00B21935" w:rsidRPr="00B21935">
        <w:t>El acuerdo</w:t>
      </w:r>
      <w:r w:rsidRPr="00B21935">
        <w:t xml:space="preserve"> no sustituye la decisión del legislador ni predetermina el contenido de la norma, pero </w:t>
      </w:r>
      <w:r w:rsidR="00B21935" w:rsidRPr="00B21935">
        <w:t>refleja</w:t>
      </w:r>
      <w:r w:rsidRPr="00B21935">
        <w:t xml:space="preserve"> un diagnóstico compartido por </w:t>
      </w:r>
      <w:r w:rsidR="00B21935" w:rsidRPr="00B21935">
        <w:t>sus</w:t>
      </w:r>
      <w:r w:rsidRPr="00B21935">
        <w:t xml:space="preserve"> principales destinatarios</w:t>
      </w:r>
      <w:r w:rsidR="00B21935" w:rsidRPr="00B21935">
        <w:t>. Ofrece, además, un punto de partida adecuado</w:t>
      </w:r>
      <w:r w:rsidRPr="00B21935">
        <w:t xml:space="preserve"> para regular una institución cuya efectividad depende de la confianza, la lealtad institucional y </w:t>
      </w:r>
      <w:r w:rsidR="00B21935" w:rsidRPr="00B21935">
        <w:t>una</w:t>
      </w:r>
      <w:r w:rsidRPr="00B21935">
        <w:t xml:space="preserve"> voluntad sostenida de interlocución.</w:t>
      </w:r>
    </w:p>
    <w:p w14:paraId="0A6C0EAA" w14:textId="77777777" w:rsidR="0072083E" w:rsidRDefault="00000000">
      <w:pPr>
        <w:jc w:val="both"/>
      </w:pPr>
      <w:r w:rsidRPr="00552873">
        <w:t xml:space="preserve">La regulación legal específica </w:t>
      </w:r>
      <w:r w:rsidR="000C55A3" w:rsidRPr="000C55A3">
        <w:t>cuenta, además, con precedentes autonómicos.</w:t>
      </w:r>
      <w:r w:rsidRPr="00552873">
        <w:t xml:space="preserve"> Diversas comunidades autónomas han aprobado leyes </w:t>
      </w:r>
      <w:r w:rsidR="000C55A3" w:rsidRPr="000C55A3">
        <w:t>sobre</w:t>
      </w:r>
      <w:r w:rsidRPr="00552873">
        <w:t xml:space="preserve"> la participación institucional de las organizaciones sindicales y empresariales más representativas</w:t>
      </w:r>
      <w:r w:rsidRPr="008F3D90">
        <w:t xml:space="preserve">. </w:t>
      </w:r>
      <w:r w:rsidR="000C55A3" w:rsidRPr="000C55A3">
        <w:t xml:space="preserve">Aunque difieren en su </w:t>
      </w:r>
      <w:r w:rsidRPr="008F3D90">
        <w:t>ámbito</w:t>
      </w:r>
      <w:r w:rsidR="000C55A3" w:rsidRPr="000C55A3">
        <w:t xml:space="preserve">, en el </w:t>
      </w:r>
      <w:r w:rsidRPr="008F3D90">
        <w:t xml:space="preserve">contenido de la participación, </w:t>
      </w:r>
      <w:r w:rsidR="000C55A3" w:rsidRPr="000C55A3">
        <w:t xml:space="preserve">en </w:t>
      </w:r>
      <w:r w:rsidRPr="008F3D90">
        <w:t xml:space="preserve">la configuración del diálogo social y </w:t>
      </w:r>
      <w:r w:rsidR="000C55A3" w:rsidRPr="000C55A3">
        <w:t xml:space="preserve">en su </w:t>
      </w:r>
      <w:r w:rsidRPr="008F3D90">
        <w:t>financiación,</w:t>
      </w:r>
      <w:r w:rsidRPr="00552873">
        <w:t xml:space="preserve"> </w:t>
      </w:r>
      <w:r w:rsidR="000C55A3" w:rsidRPr="000C55A3">
        <w:t>todas ellas atribuyen</w:t>
      </w:r>
      <w:r w:rsidRPr="008F3D90">
        <w:t xml:space="preserve"> rango</w:t>
      </w:r>
      <w:r w:rsidRPr="00552873">
        <w:t xml:space="preserve"> legal a </w:t>
      </w:r>
      <w:r w:rsidRPr="008F3D90">
        <w:t xml:space="preserve">los elementos esenciales de </w:t>
      </w:r>
      <w:r w:rsidRPr="00552873">
        <w:t xml:space="preserve">esta interlocución. </w:t>
      </w:r>
      <w:r w:rsidR="000C55A3" w:rsidRPr="000C55A3">
        <w:t>La experiencia comparada ofrece así soluciones útiles, que deben adaptarse a la organización institucional y a la trayectoria de concertación propias de Euskadi.</w:t>
      </w:r>
    </w:p>
    <w:p w14:paraId="2AF9AB7B" w14:textId="77777777" w:rsidR="00552873" w:rsidRDefault="00552873">
      <w:pPr>
        <w:jc w:val="both"/>
        <w:rPr>
          <w:lang w:eastAsia="es-ES_tradnl"/>
        </w:rPr>
      </w:pPr>
      <w:r>
        <w:rPr>
          <w:b/>
          <w:bCs/>
        </w:rPr>
        <w:t>2. Fines y resultados perseguidos</w:t>
      </w:r>
    </w:p>
    <w:p w14:paraId="08DA3387" w14:textId="77777777" w:rsidR="00552873" w:rsidRDefault="00552873">
      <w:pPr>
        <w:jc w:val="both"/>
        <w:rPr>
          <w:lang w:eastAsia="es-ES_tradnl"/>
        </w:rPr>
      </w:pPr>
      <w:r>
        <w:t>El objetivo general es reforzar la calidad de la acción pública mediante un sistema estable de participación de los interlocutores sociales, sin desplazar la responsabilidad decisoria que corresponde a las instituciones democráticamente legitimadas. La participación y el diálogo se conciben como instrumentos de mejora de las políticas públicas y no como una atribución de potestades normativas o ejecutivas a sujetos privados.</w:t>
      </w:r>
    </w:p>
    <w:p w14:paraId="4656AC8B" w14:textId="77777777" w:rsidR="0072083E" w:rsidRDefault="00000000">
      <w:pPr>
        <w:jc w:val="both"/>
      </w:pPr>
      <w:r>
        <w:t xml:space="preserve">En términos operativos, la norma </w:t>
      </w:r>
      <w:r w:rsidR="00267226" w:rsidRPr="00267226">
        <w:t>debe facilitar</w:t>
      </w:r>
      <w:r>
        <w:t xml:space="preserve"> una aplicación homogénea de los criterios de representatividad, </w:t>
      </w:r>
      <w:r w:rsidR="00267226" w:rsidRPr="00267226">
        <w:t>reducir</w:t>
      </w:r>
      <w:r>
        <w:t xml:space="preserve"> controversias sobre la composición de los órganos, </w:t>
      </w:r>
      <w:r w:rsidR="00267226" w:rsidRPr="00267226">
        <w:t>permitir</w:t>
      </w:r>
      <w:r>
        <w:t xml:space="preserve"> la </w:t>
      </w:r>
      <w:r w:rsidR="00267226" w:rsidRPr="00267226">
        <w:t xml:space="preserve">evaluación de la </w:t>
      </w:r>
      <w:r>
        <w:t xml:space="preserve">actividad efectivamente realizada, </w:t>
      </w:r>
      <w:r w:rsidR="00267226" w:rsidRPr="00267226">
        <w:t>mejorar</w:t>
      </w:r>
      <w:r>
        <w:t xml:space="preserve"> la coordinación </w:t>
      </w:r>
      <w:r w:rsidR="00267226" w:rsidRPr="00267226">
        <w:t>dentro</w:t>
      </w:r>
      <w:r>
        <w:t xml:space="preserve"> del sector público y </w:t>
      </w:r>
      <w:r w:rsidR="00267226" w:rsidRPr="00267226">
        <w:t>dar</w:t>
      </w:r>
      <w:r>
        <w:t xml:space="preserve"> previsibilidad a la financiación. </w:t>
      </w:r>
      <w:r w:rsidR="00267226" w:rsidRPr="00267226">
        <w:t>Su</w:t>
      </w:r>
      <w:r>
        <w:t xml:space="preserve"> adecuación </w:t>
      </w:r>
      <w:r w:rsidR="00267226" w:rsidRPr="00267226">
        <w:t>no se medirá</w:t>
      </w:r>
      <w:r>
        <w:t xml:space="preserve"> por el número de órganos o reuniones, sino por la regularidad </w:t>
      </w:r>
      <w:r>
        <w:lastRenderedPageBreak/>
        <w:t>de su funcionamiento, la calidad de las aportaciones, la trazabilidad de los recursos y su contribución a las políticas públicas.</w:t>
      </w:r>
    </w:p>
    <w:p w14:paraId="7ECB74E9" w14:textId="77777777" w:rsidR="00601B74" w:rsidRDefault="00C04F3B">
      <w:pPr>
        <w:jc w:val="both"/>
      </w:pPr>
      <w:r w:rsidRPr="00C04F3B">
        <w:rPr>
          <w:b/>
          <w:bCs/>
        </w:rPr>
        <w:t>3. Alternativas de regulación examinadas</w:t>
      </w:r>
    </w:p>
    <w:p w14:paraId="24A7CE61" w14:textId="77777777" w:rsidR="00601B74" w:rsidRDefault="003F4E27">
      <w:pPr>
        <w:jc w:val="both"/>
      </w:pPr>
      <w:r w:rsidRPr="003F4E27">
        <w:t>En la preparación de la iniciativa se han considerado la continuidad del marco vigente, la adopción de medidas no normativas, la aprobación de una regulación exclusivamente reglamentaria y la elaboración de una norma con rango de ley.</w:t>
      </w:r>
    </w:p>
    <w:p w14:paraId="27705D95" w14:textId="77777777" w:rsidR="00601B74" w:rsidRDefault="00F517A9">
      <w:pPr>
        <w:jc w:val="both"/>
      </w:pPr>
      <w:r w:rsidRPr="00F517A9">
        <w:rPr>
          <w:b/>
          <w:bCs/>
        </w:rPr>
        <w:t>a) Mantenimiento de la situación vigente</w:t>
      </w:r>
    </w:p>
    <w:p w14:paraId="2E2C538B" w14:textId="77777777" w:rsidR="00601B74" w:rsidRDefault="00AE2517">
      <w:pPr>
        <w:jc w:val="both"/>
      </w:pPr>
      <w:r w:rsidRPr="00AE2517">
        <w:t>La alternativa de no aprobar una regulación general permitiría mantener la flexibilidad actual, pero conservaría las diferencias entre órganos y sectores, la dificultad para identificar un régimen común de derechos y deberes y la dependencia del diálogo social respecto de disposiciones reglamentarias y decisiones organizativas susceptibles de modificación. Tampoco resolvería de forma suficiente la ausencia de criterios transversales sobre financiación, acreditación de la actividad y control. Por ello, esta opción no permite alcanzar los objetivos de estabilidad, seguridad jurídica y transparencia perseguidos.</w:t>
      </w:r>
    </w:p>
    <w:p w14:paraId="375E6E7D" w14:textId="77777777" w:rsidR="00601B74" w:rsidRDefault="006159F2">
      <w:pPr>
        <w:jc w:val="both"/>
      </w:pPr>
      <w:r w:rsidRPr="006159F2">
        <w:rPr>
          <w:b/>
          <w:bCs/>
        </w:rPr>
        <w:t>b) Medidas de carácter convencional u organizativo</w:t>
      </w:r>
    </w:p>
    <w:p w14:paraId="33135D23" w14:textId="77777777" w:rsidR="00601B74" w:rsidRDefault="00AD509D">
      <w:pPr>
        <w:jc w:val="both"/>
      </w:pPr>
      <w:r w:rsidRPr="00AD509D">
        <w:t>También se ha valorado mantener el desarrollo del modelo mediante acuerdos de concertación, protocolos de funcionamiento o instrucciones internas. Estos instrumentos resultan útiles para ordenar aspectos operativos y favorecer compromisos políticos, pero carecen de la fuerza necesaria para establecer un régimen general aplicable a una pluralidad de órganos y entidades, reconocer posiciones jurídicas estables o disciplinar con carácter común la financiación pública. Su utilización aislada dejaría sin resolver el problema de la dispersión y haría depender la continuidad del sistema de la voluntad coyuntural de las partes.</w:t>
      </w:r>
    </w:p>
    <w:p w14:paraId="6B6E2FB3" w14:textId="77777777" w:rsidR="00601B74" w:rsidRDefault="003772E8">
      <w:pPr>
        <w:jc w:val="both"/>
      </w:pPr>
      <w:r w:rsidRPr="003772E8">
        <w:rPr>
          <w:b/>
          <w:bCs/>
        </w:rPr>
        <w:t>c) Regulación exclusivamente reglamentaria</w:t>
      </w:r>
    </w:p>
    <w:p w14:paraId="1509FAC8" w14:textId="77777777" w:rsidR="00601B74" w:rsidRDefault="00C9245B">
      <w:pPr>
        <w:jc w:val="both"/>
      </w:pPr>
      <w:r w:rsidRPr="00C9245B">
        <w:t>La vía reglamentaria permitiría desarrollar con detalle la organización y el funcionamiento de la Mesa de Diálogo Social, como ocurre en el modelo actual. Sin embargo, resulta insuficiente para ordenar con vocación general la posición de las organizaciones más representativas, los elementos esenciales de su participación en el conjunto del sector público, los deberes asociados a esa función y las bases de un sistema estable de financiación. La materia excede así de una decisión puramente interna de organización administrativa y aconseja que sus elementos nucleares sean fijados por el legislador.</w:t>
      </w:r>
    </w:p>
    <w:p w14:paraId="2270A087" w14:textId="77777777" w:rsidR="00C9245B" w:rsidRDefault="00C9245B">
      <w:pPr>
        <w:jc w:val="both"/>
        <w:rPr>
          <w:lang w:eastAsia="es-ES_tradnl"/>
        </w:rPr>
      </w:pPr>
      <w:r>
        <w:rPr>
          <w:b/>
          <w:bCs/>
        </w:rPr>
        <w:t>d) Aprobación de una ley general con desarrollo reglamentario</w:t>
      </w:r>
    </w:p>
    <w:p w14:paraId="5DE447B4" w14:textId="77777777" w:rsidR="00C9245B" w:rsidRDefault="00C9245B">
      <w:pPr>
        <w:jc w:val="both"/>
        <w:rPr>
          <w:lang w:eastAsia="es-ES_tradnl"/>
        </w:rPr>
      </w:pPr>
      <w:r>
        <w:t xml:space="preserve">La alternativa seleccionada combina una ley de principios y garantías comunes con el posterior desarrollo reglamentario de los aspectos organizativos y procedimentales. Esta solución proporciona estabilidad a los elementos esenciales, respeta la regulación </w:t>
      </w:r>
      <w:r>
        <w:lastRenderedPageBreak/>
        <w:t>específica de cada órgano y mantiene la capacidad de adaptación necesaria para concretar la relación de órganos comprendidos, los procedimientos de acreditación, la gestión presupuestaria y otros extremos técnicos. Se considera, por ello, la opción más proporcionada y eficaz.</w:t>
      </w:r>
    </w:p>
    <w:p w14:paraId="0C6EE45E" w14:textId="77777777" w:rsidR="00F668B3" w:rsidRPr="00F668B3" w:rsidRDefault="00F668B3" w:rsidP="00752762">
      <w:pPr>
        <w:jc w:val="both"/>
        <w:rPr>
          <w:b/>
          <w:bCs/>
        </w:rPr>
      </w:pPr>
      <w:r w:rsidRPr="00F668B3">
        <w:rPr>
          <w:b/>
          <w:bCs/>
        </w:rPr>
        <w:t>B. Contenido</w:t>
      </w:r>
    </w:p>
    <w:p w14:paraId="1354C0E8" w14:textId="77777777" w:rsidR="00601B74" w:rsidRDefault="009B64BF">
      <w:pPr>
        <w:jc w:val="both"/>
      </w:pPr>
      <w:r w:rsidRPr="009B64BF">
        <w:rPr>
          <w:b/>
          <w:bCs/>
        </w:rPr>
        <w:t>1. Estructura, objeto y orientación general</w:t>
      </w:r>
    </w:p>
    <w:p w14:paraId="5992EACB" w14:textId="77777777" w:rsidR="00601B74" w:rsidRDefault="00000000">
      <w:pPr>
        <w:jc w:val="both"/>
      </w:pPr>
      <w:r w:rsidRPr="00B05E1D">
        <w:t xml:space="preserve">El anteproyecto articula una regulación transversal de dos realidades relacionadas, pero conceptualmente diferenciadas: la participación institucional de las organizaciones sindicales y empresariales más representativas en órganos del sector público y el diálogo social tripartito desarrollado de forma permanente con el Gobierno Vasco. </w:t>
      </w:r>
      <w:r w:rsidR="00A37A7A" w:rsidRPr="00A37A7A">
        <w:t>Esta doble dimensión aparece formulada en los artículos 1 y 2, que definen el objeto y la finalidad de la ley, y se concreta después en los artículos 3 a 8, relativos a la participación institucional, en los artículos 9 a 12, dedicados a la Mesa de Diálogo Social, y en el artículo 13, que establece su régimen de financiación.</w:t>
      </w:r>
    </w:p>
    <w:p w14:paraId="03188FF9" w14:textId="77777777" w:rsidR="00601B74" w:rsidRDefault="00000000">
      <w:pPr>
        <w:jc w:val="both"/>
      </w:pPr>
      <w:r w:rsidRPr="003D7EF7">
        <w:t xml:space="preserve">La norma no pretende uniformar por completo la pluralidad de órganos actualmente existentes ni sustituir su normativa sectorial. </w:t>
      </w:r>
      <w:r w:rsidR="00F01F31" w:rsidRPr="00F01F31">
        <w:t>El artículo 3 somete la participación a la normativa propia de cada entidad u órgano y delimita expresamente los ámbitos excluidos; la disposición adicional segunda preserva la representación de otras organizaciones o instituciones sectoriales, y la disposición transitoria primera ordena la adaptación de los órganos tripartitos existentes. Sobre esa base, la ley establece un régimen común de ámbito, legitimación, participación, derechos, deberes y financiación.</w:t>
      </w:r>
    </w:p>
    <w:p w14:paraId="1E814C23" w14:textId="77777777" w:rsidR="0072083E" w:rsidRDefault="00000000">
      <w:pPr>
        <w:jc w:val="both"/>
      </w:pPr>
      <w:r>
        <w:t xml:space="preserve">La </w:t>
      </w:r>
      <w:r w:rsidR="00EC60B4" w:rsidRPr="00EC60B4">
        <w:t>estructura sigue</w:t>
      </w:r>
      <w:r>
        <w:t xml:space="preserve"> la pauta </w:t>
      </w:r>
      <w:r w:rsidR="00EC60B4" w:rsidRPr="00EC60B4">
        <w:t>habitual de</w:t>
      </w:r>
      <w:r>
        <w:t xml:space="preserve"> las leyes autonómicas de participación institucional</w:t>
      </w:r>
      <w:r w:rsidR="00EC60B4" w:rsidRPr="00EC60B4">
        <w:t>:</w:t>
      </w:r>
      <w:r>
        <w:t xml:space="preserve"> disposiciones generales sobre objeto, ámbito y representatividad</w:t>
      </w:r>
      <w:r w:rsidR="00EC60B4" w:rsidRPr="00EC60B4">
        <w:t>; regulación del</w:t>
      </w:r>
      <w:r>
        <w:t xml:space="preserve"> contenido de la participación</w:t>
      </w:r>
      <w:r w:rsidR="00EC60B4" w:rsidRPr="00EC60B4">
        <w:t>; y</w:t>
      </w:r>
      <w:r>
        <w:t xml:space="preserve"> un título específico para su sostenimiento económico. El anteproyecto vasco </w:t>
      </w:r>
      <w:r w:rsidR="00EC60B4" w:rsidRPr="00EC60B4">
        <w:t>añade</w:t>
      </w:r>
      <w:r>
        <w:t xml:space="preserve"> una regulación sustantiva de la Mesa de Diálogo Social, </w:t>
      </w:r>
      <w:r w:rsidR="00EC60B4" w:rsidRPr="00EC60B4">
        <w:t>rasgo que lo aproxima</w:t>
      </w:r>
      <w:r>
        <w:t xml:space="preserve"> a los modelos que </w:t>
      </w:r>
      <w:r w:rsidR="00EC60B4" w:rsidRPr="00EC60B4">
        <w:t>reúnen</w:t>
      </w:r>
      <w:r>
        <w:t xml:space="preserve"> en una misma </w:t>
      </w:r>
      <w:r w:rsidR="00EC60B4" w:rsidRPr="00EC60B4">
        <w:t>norma</w:t>
      </w:r>
      <w:r>
        <w:t xml:space="preserve"> la participación institucional</w:t>
      </w:r>
      <w:r w:rsidR="00EC60B4" w:rsidRPr="00EC60B4">
        <w:t xml:space="preserve"> y el diálogo social permanente</w:t>
      </w:r>
      <w:r>
        <w:t>.</w:t>
      </w:r>
    </w:p>
    <w:p w14:paraId="7C80213D" w14:textId="77777777" w:rsidR="00601B74" w:rsidRDefault="005228B0">
      <w:pPr>
        <w:jc w:val="both"/>
      </w:pPr>
      <w:r w:rsidRPr="005228B0">
        <w:rPr>
          <w:b/>
          <w:bCs/>
        </w:rPr>
        <w:t>2. Ámbito de aplicación</w:t>
      </w:r>
    </w:p>
    <w:p w14:paraId="241E64BB" w14:textId="77777777" w:rsidR="00601B74" w:rsidRDefault="00000000">
      <w:pPr>
        <w:jc w:val="both"/>
      </w:pPr>
      <w:r w:rsidRPr="0066142C">
        <w:t xml:space="preserve">El ámbito material </w:t>
      </w:r>
      <w:r w:rsidR="00814707" w:rsidRPr="00814707">
        <w:t>se delimita en los artículos 1 y 3. Comprende</w:t>
      </w:r>
      <w:r w:rsidRPr="0066142C">
        <w:t xml:space="preserve"> la participación desarrollada en </w:t>
      </w:r>
      <w:r w:rsidR="00814707" w:rsidRPr="00814707">
        <w:t xml:space="preserve">comisiones, consejos u otros </w:t>
      </w:r>
      <w:r w:rsidRPr="0066142C">
        <w:t>órganos colegiados</w:t>
      </w:r>
      <w:r w:rsidR="00814707" w:rsidRPr="00814707">
        <w:t xml:space="preserve"> de entidades y entes instrumentales</w:t>
      </w:r>
      <w:r w:rsidRPr="0066142C">
        <w:t xml:space="preserve"> del sector público de la Comunidad Autónoma </w:t>
      </w:r>
      <w:r w:rsidR="00814707" w:rsidRPr="00814707">
        <w:t xml:space="preserve">de Euskadi que tengan atribuidas competencias </w:t>
      </w:r>
      <w:r w:rsidRPr="0066142C">
        <w:t>laborales</w:t>
      </w:r>
      <w:r w:rsidR="00814707" w:rsidRPr="00814707">
        <w:t xml:space="preserve"> o </w:t>
      </w:r>
      <w:r w:rsidRPr="0066142C">
        <w:t>sociales</w:t>
      </w:r>
      <w:r w:rsidR="00814707" w:rsidRPr="00814707">
        <w:t xml:space="preserve">, así como </w:t>
      </w:r>
      <w:r w:rsidRPr="0066142C">
        <w:t xml:space="preserve">en </w:t>
      </w:r>
      <w:r w:rsidR="00814707" w:rsidRPr="00814707">
        <w:t xml:space="preserve">otras materias que </w:t>
      </w:r>
      <w:r w:rsidRPr="0066142C">
        <w:t xml:space="preserve">la </w:t>
      </w:r>
      <w:r w:rsidR="00814707" w:rsidRPr="00814707">
        <w:t>Administración determine atendiendo a su interés</w:t>
      </w:r>
      <w:r w:rsidRPr="0066142C">
        <w:t xml:space="preserve"> y </w:t>
      </w:r>
      <w:r w:rsidR="00814707" w:rsidRPr="00814707">
        <w:t>relevancia socioeconómica.</w:t>
      </w:r>
      <w:r w:rsidRPr="0066142C">
        <w:t xml:space="preserve"> La ley </w:t>
      </w:r>
      <w:r w:rsidR="00814707" w:rsidRPr="00814707">
        <w:t>adopta así un criterio funcional: regula la presencia ejercida en defensa de los intereses generales de las personas trabajadoras y de las empresas, y no cualquier intervención de entidades privadas en órganos administrativos.</w:t>
      </w:r>
    </w:p>
    <w:p w14:paraId="5A14777B" w14:textId="77777777" w:rsidR="00601B74" w:rsidRDefault="00000000">
      <w:pPr>
        <w:jc w:val="both"/>
      </w:pPr>
      <w:r w:rsidRPr="0018500D">
        <w:lastRenderedPageBreak/>
        <w:t xml:space="preserve">El ámbito subjetivo </w:t>
      </w:r>
      <w:r w:rsidR="001B13EB" w:rsidRPr="001B13EB">
        <w:t xml:space="preserve">resulta de los artículos 1, 2 y 5 y </w:t>
      </w:r>
      <w:r w:rsidRPr="0018500D">
        <w:t xml:space="preserve">se circunscribe a las organizaciones sindicales y empresariales más representativas en el </w:t>
      </w:r>
      <w:r w:rsidR="001B13EB" w:rsidRPr="001B13EB">
        <w:t>País Vasco.</w:t>
      </w:r>
      <w:r w:rsidRPr="0018500D">
        <w:t xml:space="preserve"> Esta delimitación </w:t>
      </w:r>
      <w:r w:rsidR="001B13EB" w:rsidRPr="001B13EB">
        <w:t xml:space="preserve">se completa con la disposición adicional segunda, que declara que </w:t>
      </w:r>
      <w:r w:rsidRPr="0018500D">
        <w:t xml:space="preserve">la participación </w:t>
      </w:r>
      <w:r w:rsidR="001B13EB" w:rsidRPr="001B13EB">
        <w:t xml:space="preserve">regulada se ejerce sin menoscabo de la representación correspondiente a </w:t>
      </w:r>
      <w:r w:rsidRPr="0018500D">
        <w:t xml:space="preserve">otras organizaciones o </w:t>
      </w:r>
      <w:r w:rsidR="001B13EB" w:rsidRPr="001B13EB">
        <w:t>instituciones</w:t>
      </w:r>
      <w:r w:rsidRPr="0018500D">
        <w:t xml:space="preserve"> de intereses sectoriales</w:t>
      </w:r>
      <w:r w:rsidR="001B13EB" w:rsidRPr="001B13EB">
        <w:t>. La ley</w:t>
      </w:r>
      <w:r w:rsidRPr="0018500D">
        <w:t xml:space="preserve"> distingue</w:t>
      </w:r>
      <w:r w:rsidR="001B13EB" w:rsidRPr="001B13EB">
        <w:t xml:space="preserve">, por tanto, </w:t>
      </w:r>
      <w:r w:rsidRPr="0018500D">
        <w:t xml:space="preserve">la participación institucional general </w:t>
      </w:r>
      <w:r w:rsidR="001B13EB" w:rsidRPr="001B13EB">
        <w:t>atribuida a los interlocutores sociales de otros cauces sectoriales legítimos.</w:t>
      </w:r>
    </w:p>
    <w:p w14:paraId="358AD5EE" w14:textId="77777777" w:rsidR="00601B74" w:rsidRDefault="00DF7EB3">
      <w:pPr>
        <w:jc w:val="both"/>
      </w:pPr>
      <w:r w:rsidRPr="00DF7EB3">
        <w:t>Las exclusiones se recogen en el artículo 3. Quedan fuera los órganos de participación, representación y negociación colectiva del personal funcionario y laboral sujeto al Estatuto Básico del Empleado Público; los órganos de representación y negociación colectiva del sector privado y los restantes espacios de negociación creados por las organizaciones sindicales y empresariales; y, por su regulación institucional específica, el Consejo Económico y Social Vasco y el Consejo de Relaciones Laborales de Euskadi. La delimitación evita solapamientos con títulos de participación sujetos a sistemas propios de legitimación y funcionamiento.</w:t>
      </w:r>
    </w:p>
    <w:p w14:paraId="646ADB70" w14:textId="77777777" w:rsidR="00601B74" w:rsidRDefault="00712877">
      <w:pPr>
        <w:jc w:val="both"/>
      </w:pPr>
      <w:r w:rsidRPr="00712877">
        <w:t>La delimitación responde a un criterio comparable al utilizado por las leyes de Canarias, Murcia o Andalucía, que vinculan la participación institucional a órganos de la Administración autonómica y de su sector público relacionados con políticas laborales, económicas y sociales. El anteproyecto introduce, no obstante, una cautela relevante: la ley actúa como norma común sin absorber los ámbitos de representación propios de la negociación colectiva, la función pública, la prevención de riesgos laborales u otros sistemas que disponen de reglas específicas de legitimación.</w:t>
      </w:r>
    </w:p>
    <w:p w14:paraId="0DDFC789" w14:textId="77777777" w:rsidR="00712877" w:rsidRDefault="00712877">
      <w:pPr>
        <w:jc w:val="both"/>
        <w:rPr>
          <w:lang w:eastAsia="es-ES_tradnl"/>
        </w:rPr>
      </w:pPr>
      <w:r>
        <w:rPr>
          <w:b/>
          <w:bCs/>
        </w:rPr>
        <w:t>3. Concepto y contenido de la participación institucional</w:t>
      </w:r>
    </w:p>
    <w:p w14:paraId="4FFCE20C" w14:textId="77777777" w:rsidR="00601B74" w:rsidRDefault="0023126E">
      <w:pPr>
        <w:jc w:val="both"/>
      </w:pPr>
      <w:r w:rsidRPr="0023126E">
        <w:t>El artículo 4 define la participación institucional como el ejercicio de tareas y actividades de defensa y promoción de los intereses generales comunes e intersectoriales de las personas trabajadoras y las empresas. Su contenido se desarrolla en el artículo 7, que comprende la representación en órganos de dirección, consulta o asesoramiento; el estudio y los trabajos previos; la propuesta, seguimiento, valoración y evaluación de estrategias, planes, normas e iniciativas; la difusión de acuerdos; la organización y participación en actividades; la información sobre normas y ayudas; y la presencia en el sector público instrumental y en sus comisiones de seguimiento.</w:t>
      </w:r>
    </w:p>
    <w:p w14:paraId="799A512E" w14:textId="77777777" w:rsidR="0072083E" w:rsidRDefault="00000000">
      <w:pPr>
        <w:jc w:val="both"/>
      </w:pPr>
      <w:r>
        <w:t>El anteproyecto adopta, en este punto, un modelo mixto de participación. Junto a la presencia de las organizaciones legitimadas en los órganos correspondientes, reconoce un contenido funcional común —información, propuesta, seguimiento y evaluación— y lo proyecta sobre las materias e instrumentos propios de cada órgano. La combinación de ambos criterios permite asegurar un contenido mínimo efectivo sin imponer una regulación uniforme a estructuras que cumplen funciones diversas ni cerrar la participación a una relación exhaustiva de políticas o actuaciones.</w:t>
      </w:r>
    </w:p>
    <w:p w14:paraId="1BCE7990" w14:textId="77777777" w:rsidR="00712877" w:rsidRDefault="00712877">
      <w:pPr>
        <w:jc w:val="both"/>
        <w:rPr>
          <w:lang w:eastAsia="es-ES_tradnl"/>
        </w:rPr>
      </w:pPr>
      <w:r>
        <w:lastRenderedPageBreak/>
        <w:t>Esta participación es distinta de la negociación colectiva, pues no tiene por objeto establecer condiciones de trabajo mediante convenios o acuerdos; de la audiencia e información pública, abiertas con carácter general a personas y entidades interesadas; y de la participación ciudadana, que responde a una lógica plural más amplia. Tampoco atribuye a los agentes sociales potestades públicas ni capacidad de decisión vinculante sobre materias reservadas al Gobierno, a la Administración o al Parlamento. Su función es enriquecer la decisión pública mediante conocimiento especializado, contraste de intereses y búsqueda de acuerdos.</w:t>
      </w:r>
    </w:p>
    <w:p w14:paraId="0B35A922" w14:textId="77777777" w:rsidR="00C76D34" w:rsidRDefault="00C76D34">
      <w:pPr>
        <w:jc w:val="both"/>
        <w:rPr>
          <w:lang w:eastAsia="es-ES_tradnl"/>
        </w:rPr>
      </w:pPr>
      <w:r>
        <w:t>La jurisprudencia recaída sobre regulaciones autonómicas análogas aconseja mantener una delimitación precisa de este ámbito. La participación institucional debe desarrollarse en los órganos y entidades comprendidos en la ley, dentro de las funciones que les atribuye su normativa y en conexión con las actuaciones que sean objeto de información, consulta, propuesta o seguimiento. No ampara una intervención general de las organizaciones al margen de esos cauces ni permite extender la financiación a iniciativas desvinculadas de la actividad institucional definida por la norma. Esta cautela preserva las competencias de los órganos públicos, evita confundir la participación con la gestión de funciones administrativas y refuerza el carácter finalista de los recursos destinados a sostenerla.</w:t>
      </w:r>
    </w:p>
    <w:p w14:paraId="23C6EE2C" w14:textId="77777777" w:rsidR="00712877" w:rsidRDefault="00712877">
      <w:pPr>
        <w:jc w:val="both"/>
        <w:rPr>
          <w:lang w:eastAsia="es-ES_tradnl"/>
        </w:rPr>
      </w:pPr>
      <w:r>
        <w:rPr>
          <w:b/>
          <w:bCs/>
        </w:rPr>
        <w:t>4. Mayor representatividad y distribución de puestos</w:t>
      </w:r>
    </w:p>
    <w:p w14:paraId="73AE3867" w14:textId="77777777" w:rsidR="00601B74" w:rsidRDefault="005D4863">
      <w:pPr>
        <w:jc w:val="both"/>
      </w:pPr>
      <w:r w:rsidRPr="005D4863">
        <w:t xml:space="preserve">El criterio de acceso se fija en el artículo 5. El anteproyecto no crea una categoría autonómica autónoma, sino que remite, para las organizaciones sindicales, a los artículos 6.2 y 7.1 de la Ley Orgánica 11/1985, de 2 de agosto, de Libertad Sindical, y, para las organizaciones empresariales, a la disposición adicional sexta del texto refundido de la Ley del Estatuto de los Trabajadores. Se </w:t>
      </w:r>
      <w:r>
        <w:t xml:space="preserve">preserva </w:t>
      </w:r>
      <w:r w:rsidRPr="005D4863">
        <w:t xml:space="preserve">así </w:t>
      </w:r>
      <w:r>
        <w:t>la unidad del sistema</w:t>
      </w:r>
      <w:r w:rsidRPr="005D4863">
        <w:t xml:space="preserve"> y se emplea</w:t>
      </w:r>
      <w:r>
        <w:t xml:space="preserve"> un parámetro objetivo, acreditable y conectado con la implantación real de </w:t>
      </w:r>
      <w:r w:rsidRPr="005D4863">
        <w:t>cada organización</w:t>
      </w:r>
      <w:r>
        <w:t>.</w:t>
      </w:r>
    </w:p>
    <w:p w14:paraId="1E8CF8A0" w14:textId="77777777" w:rsidR="00601B74" w:rsidRDefault="00A84CF7">
      <w:pPr>
        <w:jc w:val="both"/>
      </w:pPr>
      <w:r w:rsidRPr="00A84CF7">
        <w:t>La mayor representatividad cumple dos funciones. Conforme al artículo 5, determina las organizaciones legitimadas para ejercer la participación institucional general. Conforme al artículo 6, sirve, además, para distribuir proporcionalmente los puestos dentro de cada representación, sindical y empresarial. El artículo 13.5 utiliza igualmente la representatividad existente el último día del año anterior como criterio de distribución de los recursos económicos.</w:t>
      </w:r>
    </w:p>
    <w:p w14:paraId="2592A48D" w14:textId="77777777" w:rsidR="00712877" w:rsidRDefault="00712877">
      <w:pPr>
        <w:jc w:val="both"/>
        <w:rPr>
          <w:lang w:eastAsia="es-ES_tradnl"/>
        </w:rPr>
      </w:pPr>
      <w:r>
        <w:t>El criterio es coherente con el Derecho comparado. Las leyes de Canarias, Murcia, Aragón y Andalucía identifican igualmente a las organizaciones más representativas conforme a la legislación laboral estatal y utilizan su implantación para ordenar la composición de los órganos. La solución evita una fragmentación excesiva de la interlocución y garantiza que quienes participan dispongan de una presencia suficiente para defender intereses generales, sin impedir que otras organizaciones intervengan por títulos sectoriales específicos.</w:t>
      </w:r>
    </w:p>
    <w:p w14:paraId="5810B95F" w14:textId="77777777" w:rsidR="00601B74" w:rsidRDefault="00EC1920">
      <w:pPr>
        <w:jc w:val="both"/>
      </w:pPr>
      <w:r w:rsidRPr="00EC1920">
        <w:lastRenderedPageBreak/>
        <w:t>Los criterios de composición y designación se detallan en el artículo 6. Su apartado primero impone la paridad entre las representaciones sindical y empresarial; el segundo dispone la distribución proporcional dentro de cada bloque; los apartados tercero, cuarto y sexto regulan la propuesta, nombramiento y cobertura de puestos; y el quinto establece, a falta de previsión específica, una renovación cuatrienal, sin perjuicio de las sustituciones. La designación debe respetar las normas de presencia equilibrada de mujeres y hombres.</w:t>
      </w:r>
    </w:p>
    <w:p w14:paraId="60C9B1E1" w14:textId="77777777" w:rsidR="00712877" w:rsidRDefault="00712877">
      <w:pPr>
        <w:jc w:val="both"/>
        <w:rPr>
          <w:lang w:eastAsia="es-ES_tradnl"/>
        </w:rPr>
      </w:pPr>
      <w:r>
        <w:rPr>
          <w:b/>
          <w:bCs/>
        </w:rPr>
        <w:t>5. Criterios para el ejercicio de la participación</w:t>
      </w:r>
    </w:p>
    <w:p w14:paraId="6BDF3CED" w14:textId="77777777" w:rsidR="00601B74" w:rsidRDefault="006874B2">
      <w:pPr>
        <w:jc w:val="both"/>
      </w:pPr>
      <w:r w:rsidRPr="006874B2">
        <w:t>Los principios y posiciones jurídicas de las organizaciones participantes se contienen en el artículo 8. Su apartado primero exige corresponsabilidad, buena fe negociadora y confianza legítima. El apartado segundo reconoce el derecho a conocer previamente anteproyectos de ley y proyectos reglamentarios, recibir información sobre planes y actuaciones y participar en la elaboración de criterios, directrices y líneas generales. El apartado tercero impone a las personas representantes los deberes de asistencia, custodia documental, confidencialidad y los demás previstos en las normas de funcionamiento de cada órgano.</w:t>
      </w:r>
    </w:p>
    <w:p w14:paraId="085A1CF6" w14:textId="77777777" w:rsidR="00601B74" w:rsidRDefault="00896A3F">
      <w:pPr>
        <w:jc w:val="both"/>
      </w:pPr>
      <w:r w:rsidRPr="00896A3F">
        <w:t>La asistencia ocupa una posición central porque el artículo 8.3.a) la establece expresamente como deber de las personas que ejercen funciones de participación institucional y diálogo social. Además, el artículo 13.5 dispone que la justificación de la financiación se acreditará mediante las certificaciones de asistencia de los miembros designados en los órganos correspondientes, de acuerdo con los criterios del convenio-programa cuatrienal. La ley conecta así el deber institucional con una evidencia objetiva de la actividad financiada.</w:t>
      </w:r>
    </w:p>
    <w:p w14:paraId="2E7E7F48" w14:textId="77777777" w:rsidR="00712877" w:rsidRDefault="00712877">
      <w:pPr>
        <w:jc w:val="both"/>
        <w:rPr>
          <w:lang w:eastAsia="es-ES_tradnl"/>
        </w:rPr>
      </w:pPr>
      <w:r>
        <w:rPr>
          <w:b/>
          <w:bCs/>
        </w:rPr>
        <w:t>6. Funciones de la participación institucional</w:t>
      </w:r>
    </w:p>
    <w:p w14:paraId="47195B9C" w14:textId="77777777" w:rsidR="00601B74" w:rsidRDefault="00D81A0B">
      <w:pPr>
        <w:jc w:val="both"/>
      </w:pPr>
      <w:r w:rsidRPr="00D81A0B">
        <w:t>El contenido funcional se enumera en el artículo 7. Comprende tareas de representación; trabajos preparatorios; propuesta, seguimiento, valoración y evaluación de líneas estratégicas, informes, planes, directrices e iniciativas legislativas; seguimiento y difusión de acuerdos; organización y participación en jornadas y foros; información sobre normas y programas de ayudas; presencia en el sector público instrumental; y cualesquiera funciones análogas propias de la participación institucional y del diálogo social. Su alcance concreto queda conectado con la normativa reguladora o de creación de cada órgano.</w:t>
      </w:r>
    </w:p>
    <w:p w14:paraId="671B03DD" w14:textId="77777777" w:rsidR="00712877" w:rsidRDefault="00712877">
      <w:pPr>
        <w:jc w:val="both"/>
        <w:rPr>
          <w:lang w:eastAsia="es-ES_tradnl"/>
        </w:rPr>
      </w:pPr>
      <w:r>
        <w:t xml:space="preserve">La regulación diferencia los niveles de intensidad de la intervención. En unos casos, la participación se limita a recibir información o emitir parecer; en otros, permite intervenir en el diseño, seguimiento o evaluación de una política. Esta gradación evita atribuir efectos uniformes a órganos de naturaleza diversa y mantiene intactas las competencias decisorias de las instituciones públicas. Las propuestas o acuerdos alcanzados poseen </w:t>
      </w:r>
      <w:r>
        <w:lastRenderedPageBreak/>
        <w:t>relevancia política e institucional, pero solo producirán efectos jurídicos cuando sean asumidos por el órgano competente y tramitados conforme al procedimiento aplicable.</w:t>
      </w:r>
    </w:p>
    <w:p w14:paraId="7D466883" w14:textId="77777777" w:rsidR="00601B74" w:rsidRDefault="00A461C2">
      <w:pPr>
        <w:jc w:val="both"/>
      </w:pPr>
      <w:r w:rsidRPr="00A461C2">
        <w:rPr>
          <w:b/>
          <w:bCs/>
        </w:rPr>
        <w:t>7</w:t>
      </w:r>
      <w:r w:rsidRPr="00F668B3">
        <w:rPr>
          <w:b/>
          <w:bCs/>
        </w:rPr>
        <w:t xml:space="preserve">. Diálogo social y </w:t>
      </w:r>
      <w:r w:rsidRPr="00A461C2">
        <w:rPr>
          <w:b/>
          <w:bCs/>
        </w:rPr>
        <w:t xml:space="preserve">configuración de la </w:t>
      </w:r>
      <w:r w:rsidRPr="00F668B3">
        <w:rPr>
          <w:b/>
          <w:bCs/>
        </w:rPr>
        <w:t>Mesa de Diálogo Social</w:t>
      </w:r>
    </w:p>
    <w:p w14:paraId="20FDE022" w14:textId="77777777" w:rsidR="0072083E" w:rsidRDefault="00000000">
      <w:pPr>
        <w:jc w:val="both"/>
      </w:pPr>
      <w:r w:rsidRPr="005416CD">
        <w:t xml:space="preserve">El diálogo social se </w:t>
      </w:r>
      <w:r w:rsidRPr="009F7E8F">
        <w:t>define en el artículo 4 como la interacción</w:t>
      </w:r>
      <w:r w:rsidRPr="005416CD">
        <w:t xml:space="preserve">, negociación y </w:t>
      </w:r>
      <w:r w:rsidRPr="009F7E8F">
        <w:t>conversación estable dirigida a alcanzar consensos</w:t>
      </w:r>
      <w:r w:rsidRPr="005416CD">
        <w:t xml:space="preserve"> entre </w:t>
      </w:r>
      <w:r w:rsidR="00294192" w:rsidRPr="00294192">
        <w:t>el Gobierno Vasco</w:t>
      </w:r>
      <w:r w:rsidRPr="005416CD">
        <w:t xml:space="preserve"> y las organizaciones sindicales y empresariales más representativas sobre </w:t>
      </w:r>
      <w:r w:rsidRPr="009F7E8F">
        <w:t>la acción social y económica</w:t>
      </w:r>
      <w:r w:rsidRPr="005416CD">
        <w:t xml:space="preserve"> de interés </w:t>
      </w:r>
      <w:r w:rsidRPr="009F7E8F">
        <w:t>general. El artículo 2 lo vincula a la cohesión social, el progreso</w:t>
      </w:r>
      <w:r w:rsidRPr="005416CD">
        <w:t xml:space="preserve"> económico y </w:t>
      </w:r>
      <w:r w:rsidRPr="009F7E8F">
        <w:t>la competitividad, y lo configura, junto con la participación institucional, como un derecho de las organizaciones legitimadas.</w:t>
      </w:r>
    </w:p>
    <w:p w14:paraId="70A9A06A" w14:textId="77777777" w:rsidR="00601B74" w:rsidRDefault="00AD1771">
      <w:pPr>
        <w:jc w:val="both"/>
      </w:pPr>
      <w:r w:rsidRPr="00AD1771">
        <w:t>Los artículos 9 a 12 regulan la Mesa de Diálogo Social. El artículo 9 la crea como órgano institucional permanente de encuentro entre el Gobierno Vasco y las organizaciones sindicales y empresariales más representativas, de carácter permanente y paritario, con plena independencia y sometimiento al ordenamiento jurídico. La disposición transitoria segunda mantiene provisionalmente la aplicación del Decreto 3/2019, de 15 de enero, hasta su adaptación o modificación.</w:t>
      </w:r>
    </w:p>
    <w:p w14:paraId="2549E783" w14:textId="77777777" w:rsidR="00601B74" w:rsidRDefault="00997BCA">
      <w:pPr>
        <w:jc w:val="both"/>
      </w:pPr>
      <w:r w:rsidRPr="00997BCA">
        <w:t>La composición se establece en el artículo 10. La Mesa tiene carácter tripartito y está integrada por el Gobierno Vasco y las organizaciones sindicales y empresariales más representativas que acepten incorporarse y participar activamente. La presidencia corresponde a la persona titular del departamento competente en materia de trabajo; la secretaría, con voz y sin voto, a una persona técnica del mismo departamento; y la designación debe procurar una presencia equilibrada de mujeres y hombres con capacitación adecuada. Los departamentos representados se determinarán mediante decreto.</w:t>
      </w:r>
    </w:p>
    <w:p w14:paraId="25291FB9" w14:textId="77777777" w:rsidR="00601B74" w:rsidRDefault="00374269">
      <w:pPr>
        <w:jc w:val="both"/>
      </w:pPr>
      <w:r w:rsidRPr="00374269">
        <w:t>Las competencias se enumeran en el artículo 12: definición de las materias de diálogo social; aprobación, seguimiento, evaluación y difusión de acuerdos; conocimiento previo y formulación de propuestas sobre iniciativas normativas, planes sectoriales y propuestas presupuestarias de organismos y entidades; propuesta de criterios y líneas de actuación; impulso de iniciativas legislativas y actuaciones concretas; realización de estudios e informes; aprobación de la memoria anual; y creación de comisiones especializadas y negociadoras.</w:t>
      </w:r>
    </w:p>
    <w:p w14:paraId="0C5491DE" w14:textId="77777777" w:rsidR="00601B74" w:rsidRDefault="00EA2E41">
      <w:pPr>
        <w:jc w:val="both"/>
      </w:pPr>
      <w:r w:rsidRPr="6DC3F95B">
        <w:rPr>
          <w:lang w:val="es-ES"/>
        </w:rPr>
        <w:t>El régimen de acuerdos se recoge en el artículo 11. Como regla general, exige unanimidad de las partes y prevé su publicación o difusión. El apartado segundo dispone que los acuerdos aprobados sean asumidos por las partes y trasladados al formato jurídico adecuado; esta previsión debe interpretarse en conexión con el apartado tercero, que afirma expresamente que la falta de acuerdo no impide al Gobierno ejercer sus competencias constitucionales y legales. La concertación no desplaza, por tanto, la titularidad ni los procedimientos propios de la potestad normativa y de la acción de gobierno.</w:t>
      </w:r>
    </w:p>
    <w:p w14:paraId="42865EEE" w14:textId="77777777" w:rsidR="00305B34" w:rsidRDefault="00305B34">
      <w:pPr>
        <w:jc w:val="both"/>
        <w:rPr>
          <w:lang w:eastAsia="es-ES_tradnl"/>
        </w:rPr>
      </w:pPr>
      <w:r>
        <w:lastRenderedPageBreak/>
        <w:t>El modelo presenta afinidades con las leyes de Castilla y León y Aragón, que institucionalizan un órgano tripartito permanente, le atribuyen funciones de impulso, negociación y seguimiento y preservan las competencias del Gobierno. La singularidad vasca reside en integrar dicha estructura con un régimen general de participación institucional y en articular su funcionamiento a partir de la experiencia acumulada por la Mesa actualmente regulada mediante decreto.</w:t>
      </w:r>
    </w:p>
    <w:p w14:paraId="3C19C86C" w14:textId="77777777" w:rsidR="00305B34" w:rsidRDefault="00305B34">
      <w:pPr>
        <w:jc w:val="both"/>
        <w:rPr>
          <w:lang w:eastAsia="es-ES_tradnl"/>
        </w:rPr>
      </w:pPr>
      <w:r>
        <w:rPr>
          <w:b/>
          <w:bCs/>
        </w:rPr>
        <w:t>8. Coordinación, seguimiento y evaluación</w:t>
      </w:r>
    </w:p>
    <w:p w14:paraId="39378433" w14:textId="77777777" w:rsidR="00601B74" w:rsidRDefault="002A3656">
      <w:pPr>
        <w:jc w:val="both"/>
      </w:pPr>
      <w:r w:rsidRPr="002A3656">
        <w:t>La adaptación del sistema se articula mediante la disposición adicional primera, que exige oír a las organizaciones más representativas en los procedimientos de modificación de la normativa de los órganos vigentes, y la disposición transitoria primera, que concede seis meses para adaptar los órganos tripartitos actualmente existentes. En relación con la Mesa, el artículo 12 atribuye funciones de seguimiento y evaluación de los acuerdos y la aprobación de una memoria anual.</w:t>
      </w:r>
    </w:p>
    <w:p w14:paraId="0DB904F0" w14:textId="77777777" w:rsidR="0072083E" w:rsidRDefault="00000000">
      <w:pPr>
        <w:jc w:val="both"/>
      </w:pPr>
      <w:r>
        <w:t xml:space="preserve">La evaluación deberá </w:t>
      </w:r>
      <w:r w:rsidRPr="00EB63F9">
        <w:t xml:space="preserve">apoyarse en la memoria anual prevista en el artículo 12 y </w:t>
      </w:r>
      <w:r>
        <w:t xml:space="preserve">atender tanto a indicadores de actividad —sesiones, asistencia, </w:t>
      </w:r>
      <w:r w:rsidRPr="00EB63F9">
        <w:t xml:space="preserve">estudios, </w:t>
      </w:r>
      <w:r>
        <w:t>informes y propuestas— como a indicadores de resultado —</w:t>
      </w:r>
      <w:r w:rsidRPr="00EB63F9">
        <w:t xml:space="preserve">seguimiento y </w:t>
      </w:r>
      <w:r>
        <w:t xml:space="preserve">grado de cumplimiento de </w:t>
      </w:r>
      <w:r w:rsidRPr="00EB63F9">
        <w:t xml:space="preserve">los </w:t>
      </w:r>
      <w:r>
        <w:t>acuerdos</w:t>
      </w:r>
      <w:r w:rsidRPr="00EB63F9">
        <w:t xml:space="preserve">—. </w:t>
      </w:r>
      <w:r w:rsidRPr="00697178">
        <w:t xml:space="preserve">Para completar la información </w:t>
      </w:r>
      <w:r w:rsidR="008B7B97" w:rsidRPr="008B7B97">
        <w:t>sobre</w:t>
      </w:r>
      <w:r w:rsidRPr="00697178">
        <w:t xml:space="preserve"> los restantes órganos, el desarrollo reglamentario podrá </w:t>
      </w:r>
      <w:r w:rsidR="008B7B97" w:rsidRPr="008B7B97">
        <w:t>prever mecanismos proporcionados de identificación y coordinación</w:t>
      </w:r>
      <w:r w:rsidRPr="00697178">
        <w:t xml:space="preserve"> que </w:t>
      </w:r>
      <w:r w:rsidR="008B7B97" w:rsidRPr="008B7B97">
        <w:t>faciliten</w:t>
      </w:r>
      <w:r w:rsidRPr="00697178">
        <w:t xml:space="preserve"> la adaptación del sistema, la detección de solapamientos y la evaluación conjunta de su funcionamiento.</w:t>
      </w:r>
    </w:p>
    <w:p w14:paraId="081D900E" w14:textId="77777777" w:rsidR="00601B74" w:rsidRDefault="00FA35AE">
      <w:pPr>
        <w:jc w:val="both"/>
      </w:pPr>
      <w:r w:rsidRPr="00FA35AE">
        <w:rPr>
          <w:b/>
          <w:bCs/>
        </w:rPr>
        <w:t>9. Financiación y vinculación a la participación efectiva</w:t>
      </w:r>
    </w:p>
    <w:p w14:paraId="6F8D7182" w14:textId="62393036" w:rsidR="006A63CD" w:rsidRDefault="006A63CD">
      <w:pPr>
        <w:jc w:val="both"/>
      </w:pPr>
      <w:r w:rsidRPr="003860B6">
        <w:t xml:space="preserve">El régimen económico se concentra en el artículo 13. Su apartado primero establece que la presencia de las personas </w:t>
      </w:r>
      <w:r>
        <w:t>que representan a las entidades</w:t>
      </w:r>
      <w:r w:rsidRPr="003860B6">
        <w:t xml:space="preserve"> </w:t>
      </w:r>
      <w:r w:rsidRPr="009D647C">
        <w:t>tiene carácter gratuito</w:t>
      </w:r>
      <w:r w:rsidRPr="003860B6">
        <w:t xml:space="preserve"> y no genera derecho a retribución o indemnización por su actividad. Los apartados segundo y tercero prevén partidas presupuestarias específicas, instrumentadas como subvenciones nominativas en la sección del departamento </w:t>
      </w:r>
      <w:r>
        <w:t xml:space="preserve">al que se adscribe el órgano de participación institucional y en el caso de la Mesa de Diálogo Social en la sección del departamento </w:t>
      </w:r>
      <w:r w:rsidRPr="003860B6">
        <w:t>competente en materia de trabajo y con carácter plurianual</w:t>
      </w:r>
      <w:r w:rsidR="006646FB">
        <w:t>.</w:t>
      </w:r>
      <w:r w:rsidRPr="003860B6">
        <w:t xml:space="preserve"> </w:t>
      </w:r>
      <w:r>
        <w:t>Estas partidas buscan compensar los gastos ocasionados por esta participación efectiva y facilitar de esta manera los recursos necesarios para ello.</w:t>
      </w:r>
    </w:p>
    <w:p w14:paraId="4BC5C6FB" w14:textId="1B67935F" w:rsidR="00601B74" w:rsidRDefault="00A76238">
      <w:pPr>
        <w:jc w:val="both"/>
      </w:pPr>
      <w:r w:rsidRPr="00A76238">
        <w:t>El artículo 13.4 limita expresamente la financiación a las actividades previstas en la ley y declara su compatibilidad con otras fuentes destinadas a actividades diferentes. El artículo 13.5 fija dos reglas complementarias: la distribución inicial se efectúa según la representatividad existente el último día del año anterior, y la justificación se acredita mediante certificaciones de asistencia, conforme a la normativa general de subvenciones y a los criterios del convenio-programa cuatrienal.</w:t>
      </w:r>
    </w:p>
    <w:p w14:paraId="1A079ED2" w14:textId="77777777" w:rsidR="0072083E" w:rsidRDefault="00000000">
      <w:pPr>
        <w:jc w:val="both"/>
      </w:pPr>
      <w:r w:rsidRPr="6DC3F95B">
        <w:rPr>
          <w:lang w:val="es-ES"/>
        </w:rPr>
        <w:t xml:space="preserve">El </w:t>
      </w:r>
      <w:r w:rsidR="00DC0E48" w:rsidRPr="6DC3F95B">
        <w:rPr>
          <w:lang w:val="es-ES"/>
        </w:rPr>
        <w:t xml:space="preserve">examen del </w:t>
      </w:r>
      <w:r w:rsidRPr="6DC3F95B">
        <w:rPr>
          <w:lang w:val="es-ES"/>
        </w:rPr>
        <w:t xml:space="preserve">Derecho autonómico comparado </w:t>
      </w:r>
      <w:r w:rsidR="00DC0E48" w:rsidRPr="6DC3F95B">
        <w:rPr>
          <w:lang w:val="es-ES"/>
        </w:rPr>
        <w:t xml:space="preserve">pone de manifiesto la existencia de </w:t>
      </w:r>
      <w:r w:rsidRPr="6DC3F95B">
        <w:rPr>
          <w:lang w:val="es-ES"/>
        </w:rPr>
        <w:t xml:space="preserve">soluciones técnicas diversas, </w:t>
      </w:r>
      <w:r w:rsidR="00DC0E48" w:rsidRPr="6DC3F95B">
        <w:rPr>
          <w:lang w:val="es-ES"/>
        </w:rPr>
        <w:t>si bien</w:t>
      </w:r>
      <w:r w:rsidRPr="6DC3F95B">
        <w:rPr>
          <w:lang w:val="es-ES"/>
        </w:rPr>
        <w:t xml:space="preserve"> permite </w:t>
      </w:r>
      <w:r w:rsidR="00DC0E48" w:rsidRPr="6DC3F95B">
        <w:rPr>
          <w:lang w:val="es-ES"/>
        </w:rPr>
        <w:t>apreciar</w:t>
      </w:r>
      <w:r w:rsidRPr="6DC3F95B">
        <w:rPr>
          <w:lang w:val="es-ES"/>
        </w:rPr>
        <w:t xml:space="preserve"> una pauta </w:t>
      </w:r>
      <w:r w:rsidR="00DC0E48" w:rsidRPr="6DC3F95B">
        <w:rPr>
          <w:lang w:val="es-ES"/>
        </w:rPr>
        <w:t>general</w:t>
      </w:r>
      <w:r w:rsidRPr="6DC3F95B">
        <w:rPr>
          <w:lang w:val="es-ES"/>
        </w:rPr>
        <w:t xml:space="preserve">: la asistencia de </w:t>
      </w:r>
      <w:r w:rsidRPr="6DC3F95B">
        <w:rPr>
          <w:lang w:val="es-ES"/>
        </w:rPr>
        <w:lastRenderedPageBreak/>
        <w:t>las personas representantes se configura</w:t>
      </w:r>
      <w:r w:rsidR="00DC0E48" w:rsidRPr="6DC3F95B">
        <w:rPr>
          <w:lang w:val="es-ES"/>
        </w:rPr>
        <w:t>, con carácter ordinario,</w:t>
      </w:r>
      <w:r w:rsidRPr="6DC3F95B">
        <w:rPr>
          <w:lang w:val="es-ES"/>
        </w:rPr>
        <w:t xml:space="preserve"> como gratuita, mientras que el apoyo económico se reconoce a las organizaciones </w:t>
      </w:r>
      <w:r w:rsidR="00DC0E48" w:rsidRPr="6DC3F95B">
        <w:rPr>
          <w:lang w:val="es-ES"/>
        </w:rPr>
        <w:t xml:space="preserve">con la finalidad de </w:t>
      </w:r>
      <w:r w:rsidRPr="6DC3F95B">
        <w:rPr>
          <w:lang w:val="es-ES"/>
        </w:rPr>
        <w:t xml:space="preserve">atender los costes </w:t>
      </w:r>
      <w:r w:rsidR="00DC0E48" w:rsidRPr="6DC3F95B">
        <w:rPr>
          <w:lang w:val="es-ES"/>
        </w:rPr>
        <w:t xml:space="preserve">asociados al </w:t>
      </w:r>
      <w:r w:rsidRPr="6DC3F95B">
        <w:rPr>
          <w:lang w:val="es-ES"/>
        </w:rPr>
        <w:t xml:space="preserve">ejercicio </w:t>
      </w:r>
      <w:r w:rsidR="00DC0E48" w:rsidRPr="6DC3F95B">
        <w:rPr>
          <w:lang w:val="es-ES"/>
        </w:rPr>
        <w:t xml:space="preserve">estable y </w:t>
      </w:r>
      <w:r w:rsidRPr="6DC3F95B">
        <w:rPr>
          <w:lang w:val="es-ES"/>
        </w:rPr>
        <w:t xml:space="preserve">continuado de </w:t>
      </w:r>
      <w:r w:rsidR="00DC0E48" w:rsidRPr="6DC3F95B">
        <w:rPr>
          <w:lang w:val="es-ES"/>
        </w:rPr>
        <w:t xml:space="preserve">las funciones de </w:t>
      </w:r>
      <w:r w:rsidRPr="6DC3F95B">
        <w:rPr>
          <w:lang w:val="es-ES"/>
        </w:rPr>
        <w:t xml:space="preserve">participación institucional y diálogo social. </w:t>
      </w:r>
      <w:r w:rsidR="00DC0E48" w:rsidRPr="6DC3F95B">
        <w:rPr>
          <w:lang w:val="es-ES"/>
        </w:rPr>
        <w:t xml:space="preserve">Dicho apoyo se articula, según los distintos ordenamientos, mediante subvenciones nominativas o a través de otras modalidades de compensación o aportación económica, cuya distribución suele atender al grado de representatividad y queda sometida a las correspondientes obligaciones de justificación y control. </w:t>
      </w:r>
      <w:r w:rsidRPr="6DC3F95B">
        <w:rPr>
          <w:lang w:val="es-ES"/>
        </w:rPr>
        <w:t xml:space="preserve">Esta financiación debe </w:t>
      </w:r>
      <w:r w:rsidR="00DC0E48" w:rsidRPr="6DC3F95B">
        <w:rPr>
          <w:lang w:val="es-ES"/>
        </w:rPr>
        <w:t>quedar nítidamente diferenciada,</w:t>
      </w:r>
      <w:r w:rsidRPr="6DC3F95B">
        <w:rPr>
          <w:lang w:val="es-ES"/>
        </w:rPr>
        <w:t xml:space="preserve"> tanto de cualquier retribución o indemnización </w:t>
      </w:r>
      <w:r w:rsidR="00DC0E48" w:rsidRPr="6DC3F95B">
        <w:rPr>
          <w:lang w:val="es-ES"/>
        </w:rPr>
        <w:t xml:space="preserve">de carácter </w:t>
      </w:r>
      <w:r w:rsidRPr="6DC3F95B">
        <w:rPr>
          <w:lang w:val="es-ES"/>
        </w:rPr>
        <w:t xml:space="preserve">individual como de las subvenciones destinadas </w:t>
      </w:r>
      <w:r w:rsidR="00DC0E48" w:rsidRPr="6DC3F95B">
        <w:rPr>
          <w:lang w:val="es-ES"/>
        </w:rPr>
        <w:t>al sostenimiento de</w:t>
      </w:r>
      <w:r w:rsidRPr="6DC3F95B">
        <w:rPr>
          <w:lang w:val="es-ES"/>
        </w:rPr>
        <w:t xml:space="preserve"> la actividad ordinaria </w:t>
      </w:r>
      <w:r w:rsidR="00DC0E48" w:rsidRPr="6DC3F95B">
        <w:rPr>
          <w:lang w:val="es-ES"/>
        </w:rPr>
        <w:t xml:space="preserve">de </w:t>
      </w:r>
      <w:r w:rsidRPr="6DC3F95B">
        <w:rPr>
          <w:lang w:val="es-ES"/>
        </w:rPr>
        <w:t>las organizaciones beneficiarias</w:t>
      </w:r>
      <w:r w:rsidR="00DC0E48" w:rsidRPr="6DC3F95B">
        <w:rPr>
          <w:lang w:val="es-ES"/>
        </w:rPr>
        <w:t xml:space="preserve"> o a la ejecución de programas distintos.</w:t>
      </w:r>
      <w:r w:rsidRPr="6DC3F95B">
        <w:rPr>
          <w:lang w:val="es-ES"/>
        </w:rPr>
        <w:t xml:space="preserve"> La </w:t>
      </w:r>
      <w:r w:rsidR="00DC0E48" w:rsidRPr="6DC3F95B">
        <w:rPr>
          <w:lang w:val="es-ES"/>
        </w:rPr>
        <w:t xml:space="preserve">adecuada delimitación de estos </w:t>
      </w:r>
      <w:r w:rsidRPr="6DC3F95B">
        <w:rPr>
          <w:lang w:val="es-ES"/>
        </w:rPr>
        <w:t xml:space="preserve">conceptos permite </w:t>
      </w:r>
      <w:r w:rsidR="00DC0E48" w:rsidRPr="6DC3F95B">
        <w:rPr>
          <w:lang w:val="es-ES"/>
        </w:rPr>
        <w:t>precisar los gastos susceptibles de financiación, prevenir eventuales</w:t>
      </w:r>
      <w:r w:rsidRPr="6DC3F95B">
        <w:rPr>
          <w:lang w:val="es-ES"/>
        </w:rPr>
        <w:t xml:space="preserve"> duplicidades y </w:t>
      </w:r>
      <w:r w:rsidR="00DC0E48" w:rsidRPr="6DC3F95B">
        <w:rPr>
          <w:lang w:val="es-ES"/>
        </w:rPr>
        <w:t>garantizar</w:t>
      </w:r>
      <w:r w:rsidRPr="6DC3F95B">
        <w:rPr>
          <w:lang w:val="es-ES"/>
        </w:rPr>
        <w:t xml:space="preserve"> una </w:t>
      </w:r>
      <w:r w:rsidR="00DC0E48" w:rsidRPr="6DC3F95B">
        <w:rPr>
          <w:lang w:val="es-ES"/>
        </w:rPr>
        <w:t>vinculación objetiva y</w:t>
      </w:r>
      <w:r w:rsidRPr="6DC3F95B">
        <w:rPr>
          <w:lang w:val="es-ES"/>
        </w:rPr>
        <w:t xml:space="preserve"> verificable entre los fondos públicos </w:t>
      </w:r>
      <w:r w:rsidR="00DC0E48" w:rsidRPr="6DC3F95B">
        <w:rPr>
          <w:lang w:val="es-ES"/>
        </w:rPr>
        <w:t xml:space="preserve">aplicados </w:t>
      </w:r>
      <w:r w:rsidRPr="6DC3F95B">
        <w:rPr>
          <w:lang w:val="es-ES"/>
        </w:rPr>
        <w:t xml:space="preserve">y la actividad institucional efectivamente </w:t>
      </w:r>
      <w:r w:rsidR="00DC0E48" w:rsidRPr="6DC3F95B">
        <w:rPr>
          <w:lang w:val="es-ES"/>
        </w:rPr>
        <w:t>desarrollada</w:t>
      </w:r>
      <w:r w:rsidRPr="6DC3F95B">
        <w:rPr>
          <w:lang w:val="es-ES"/>
        </w:rPr>
        <w:t>.</w:t>
      </w:r>
    </w:p>
    <w:p w14:paraId="08116799" w14:textId="77777777" w:rsidR="00F46651" w:rsidRDefault="00F46651" w:rsidP="00F46651">
      <w:pPr>
        <w:jc w:val="both"/>
      </w:pPr>
      <w:r w:rsidRPr="003E5C73">
        <w:t xml:space="preserve">La </w:t>
      </w:r>
      <w:r w:rsidRPr="004E29F9">
        <w:t>vinculación de la financiación a</w:t>
      </w:r>
      <w:r w:rsidRPr="003E5C73">
        <w:t xml:space="preserve"> la participación efectiva resulta de la lectura conjunta de los artículos 8.3.a) y 13.5</w:t>
      </w:r>
      <w:r>
        <w:t xml:space="preserve">. Si bien </w:t>
      </w:r>
      <w:r w:rsidRPr="003E5C73">
        <w:t xml:space="preserve">la asistencia </w:t>
      </w:r>
      <w:r w:rsidRPr="004E29F9">
        <w:t xml:space="preserve">constituye </w:t>
      </w:r>
      <w:r w:rsidRPr="003E5C73">
        <w:t xml:space="preserve">un </w:t>
      </w:r>
      <w:r>
        <w:t>derecho</w:t>
      </w:r>
      <w:r w:rsidRPr="003E5C73">
        <w:t xml:space="preserve"> de las </w:t>
      </w:r>
      <w:r>
        <w:t xml:space="preserve">organizaciones sindicales y empresariales y su presencia no es obligatoria, es lógico establecer un sistema de financiación y fomento vinculado a la participación efectiva de las </w:t>
      </w:r>
      <w:r w:rsidRPr="003E5C73">
        <w:t>personas</w:t>
      </w:r>
      <w:r>
        <w:t xml:space="preserve"> que las</w:t>
      </w:r>
      <w:r w:rsidRPr="003E5C73">
        <w:t xml:space="preserve"> </w:t>
      </w:r>
      <w:r>
        <w:t>representan</w:t>
      </w:r>
      <w:r w:rsidRPr="003E5C73">
        <w:t xml:space="preserve"> y su certificación </w:t>
      </w:r>
      <w:r w:rsidRPr="004E29F9">
        <w:t xml:space="preserve">acredita la </w:t>
      </w:r>
      <w:r w:rsidRPr="004E3798">
        <w:t xml:space="preserve">actividad institucional </w:t>
      </w:r>
      <w:r w:rsidRPr="004E29F9">
        <w:t>desarrollada por la organización. Corresponderá al desarrollo reglamentario y al convenio-programa cuatrienal concretar las actividades computables, las incidencias admisibles y las reglas de liquidación, sin alterar los elementos esenciales establecidos por la ley.</w:t>
      </w:r>
    </w:p>
    <w:p w14:paraId="2D937467" w14:textId="77777777" w:rsidR="00F668B3" w:rsidRPr="00F668B3" w:rsidRDefault="00F668B3" w:rsidP="00752762">
      <w:pPr>
        <w:jc w:val="both"/>
        <w:rPr>
          <w:b/>
          <w:bCs/>
        </w:rPr>
      </w:pPr>
      <w:r w:rsidRPr="00F668B3">
        <w:rPr>
          <w:b/>
          <w:bCs/>
        </w:rPr>
        <w:t>C. Análisis jurídico</w:t>
      </w:r>
    </w:p>
    <w:p w14:paraId="1614CE59" w14:textId="77777777" w:rsidR="00601B74" w:rsidRDefault="00AA6236">
      <w:pPr>
        <w:jc w:val="both"/>
      </w:pPr>
      <w:r w:rsidRPr="00AA6236">
        <w:rPr>
          <w:b/>
          <w:bCs/>
        </w:rPr>
        <w:t>1. Fundamento constitucional y estatutario de la iniciativa</w:t>
      </w:r>
    </w:p>
    <w:p w14:paraId="600D57FF" w14:textId="77777777" w:rsidR="00601B74" w:rsidRDefault="00073DB7">
      <w:pPr>
        <w:jc w:val="both"/>
      </w:pPr>
      <w:r w:rsidRPr="6DC3F95B">
        <w:rPr>
          <w:lang w:val="es-ES"/>
        </w:rPr>
        <w:t>El anteproyecto se inserta en el marco constitucional que reconoce a los sindicatos de trabajadores y a las asociaciones empresariales una posición singular en la defensa y promoción de los intereses económicos y sociales que les son propios. El artículo 7 de la Constitución no se limita a garantizar su existencia y autonomía, sino que explica su consideración como interlocutores cualificados en los procesos de participación institucional y diálogo social. Esta posición debe ponerse en relación con los artículos 9.2 y 129.1 de la propia Constitución: el primero encomienda a los poderes públicos facilitar la participación en la vida política, económica, cultural y social, y el segundo prevé formas de participación de los interesados en la actividad de organismos públicos cuya función afecte directamente a la calidad de vida o al bienestar general.</w:t>
      </w:r>
    </w:p>
    <w:p w14:paraId="7B091230" w14:textId="77777777" w:rsidR="00601B74" w:rsidRDefault="002953FE">
      <w:pPr>
        <w:jc w:val="both"/>
      </w:pPr>
      <w:r w:rsidRPr="002953FE">
        <w:t xml:space="preserve">En el plano estatutario, el artículo 9.2 del Estatuto de Autonomía para el País Vasco obliga a los poderes públicos vascos a promover las condiciones para que la libertad y la igualdad sean reales y efectivas, remover los obstáculos que impidan su plenitud y facilitar la participación de la ciudadanía en la vida política, económica, cultural y social. </w:t>
      </w:r>
      <w:r w:rsidRPr="002953FE">
        <w:lastRenderedPageBreak/>
        <w:t>Este mandato se combina con las competencias autonómicas de organización de las instituciones de autogobierno y de ordenación de la propia Administración y su sector público, así como con las competencias materiales en cuyo ejercicio se insertan los órganos de participación afectados.</w:t>
      </w:r>
    </w:p>
    <w:p w14:paraId="14786B23" w14:textId="77777777" w:rsidR="002953FE" w:rsidRDefault="002953FE">
      <w:pPr>
        <w:jc w:val="both"/>
        <w:rPr>
          <w:lang w:eastAsia="es-ES_tradnl"/>
        </w:rPr>
      </w:pPr>
      <w:r>
        <w:t>La iniciativa no regula las relaciones laborales ni redefine la capacidad representativa sindical o empresarial. Ordena la forma en que la Comunidad Autónoma integra a los interlocutores sociales en sus órganos y articula un cauce permanente de concertación con el Gobierno. Su fundamento inmediato es, por ello, organizativo e institucional, aunque la actividad desarrollada se proyecte sobre políticas laborales, económicas y sociales.</w:t>
      </w:r>
    </w:p>
    <w:p w14:paraId="5117D1F6" w14:textId="77777777" w:rsidR="00601B74" w:rsidRDefault="00CB0F7F">
      <w:pPr>
        <w:jc w:val="both"/>
      </w:pPr>
      <w:r w:rsidRPr="00CB0F7F">
        <w:rPr>
          <w:b/>
          <w:bCs/>
        </w:rPr>
        <w:t>2. Naturaleza jurídica de la participación institucional y del diálogo social</w:t>
      </w:r>
    </w:p>
    <w:p w14:paraId="528CE7EF" w14:textId="77777777" w:rsidR="00CB0F7F" w:rsidRDefault="00CB0F7F">
      <w:pPr>
        <w:jc w:val="both"/>
        <w:rPr>
          <w:lang w:eastAsia="es-ES_tradnl"/>
        </w:rPr>
      </w:pPr>
      <w:r>
        <w:t>La participación institucional constituye una función representativa de intereses generales comunes e intersectoriales ante los poderes públicos. En el caso de las organizaciones sindicales, forma parte del contenido adicional de la libertad sindical cuando ha sido reconocida por la ley; en el de las organizaciones empresariales, deriva de la posición institucional reconocida por el artículo 7 de la Constitución y por la legislación laboral. No se trata de un derecho de participación ciudadana indiferenciada, sino de una intervención cualificada por la función constitucional de los interlocutores sociales.</w:t>
      </w:r>
    </w:p>
    <w:p w14:paraId="17F510DA" w14:textId="77777777" w:rsidR="00CB0F7F" w:rsidRDefault="00CB0F7F">
      <w:pPr>
        <w:jc w:val="both"/>
        <w:rPr>
          <w:lang w:eastAsia="es-ES_tradnl"/>
        </w:rPr>
      </w:pPr>
      <w:r>
        <w:t>El diálogo social tripartito presenta una naturaleza distinta. Es un cauce institucionalizado de interlocución política y social orientado a alcanzar acuerdos sobre materias laborales, económicas y sociales, pero no constituye un procedimiento alternativo de producción normativa ni atribuye potestades públicas a las organizaciones participantes. La concertación puede preceder y orientar la decisión, sin sustituir la iniciativa legislativa del Gobierno, la potestad reglamentaria, las competencias administrativas ni la función legislativa del Parlamento.</w:t>
      </w:r>
    </w:p>
    <w:p w14:paraId="162AF4AE" w14:textId="77777777" w:rsidR="00CB0F7F" w:rsidRDefault="00CB0F7F">
      <w:pPr>
        <w:jc w:val="both"/>
        <w:rPr>
          <w:lang w:eastAsia="es-ES_tradnl"/>
        </w:rPr>
      </w:pPr>
      <w:r>
        <w:rPr>
          <w:b/>
          <w:bCs/>
        </w:rPr>
        <w:t>3. Mayor representatividad, igualdad y libertad sindical</w:t>
      </w:r>
    </w:p>
    <w:p w14:paraId="652BA48C" w14:textId="77777777" w:rsidR="0072083E" w:rsidRDefault="00000000">
      <w:pPr>
        <w:jc w:val="both"/>
      </w:pPr>
      <w:r w:rsidRPr="6DC3F95B">
        <w:rPr>
          <w:lang w:val="es-ES"/>
        </w:rPr>
        <w:t xml:space="preserve">La remisión del artículo 5 a la mayor representatividad definida por la Ley Orgánica de Libertad Sindical y por el Estatuto de los Trabajadores resulta jurídicamente adecuada. La norma no crea un criterio propio ni modifica los umbrales establecidos por la legislación estatal, pues la Comunidad Autónoma carece de competencia para redefinir la mayor representatividad sindical o empresarial o alterar los efectos generales asociados a dicha condición, materias reservadas, respectivamente, a la legislación orgánica sobre libertad sindical y a la legislación laboral del Estado. </w:t>
      </w:r>
      <w:r w:rsidR="00970CF5" w:rsidRPr="6DC3F95B">
        <w:rPr>
          <w:lang w:val="es-ES"/>
        </w:rPr>
        <w:t>Se limita, por tanto, a utilizar una categoría legal preexistente para identificar, dentro de sus propias estructuras institucionales, a los sujetos llamados a representar intereses generales.</w:t>
      </w:r>
    </w:p>
    <w:p w14:paraId="446C8AAD" w14:textId="77777777" w:rsidR="00CB0F7F" w:rsidRDefault="00CB0F7F">
      <w:pPr>
        <w:jc w:val="both"/>
        <w:rPr>
          <w:lang w:eastAsia="es-ES_tradnl"/>
        </w:rPr>
      </w:pPr>
      <w:r>
        <w:t xml:space="preserve">La doctrina constitucional admite diferencias de trato basadas en la mayor representatividad cuando guarden relación con la naturaleza de la función atribuida y </w:t>
      </w:r>
      <w:r>
        <w:lastRenderedPageBreak/>
        <w:t>sean idóneas, razonables y proporcionadas. La participación institucional constituye precisamente uno de los ámbitos en los que el criterio resulta legítimo, porque permite articular una interlocución eficaz y evita una fragmentación incompatible con el funcionamiento de órganos de composición limitada. Esta justificación debe mantenerse ligada a funciones de representación general y no extenderse de manera automática a actividades de naturaleza distinta.</w:t>
      </w:r>
    </w:p>
    <w:p w14:paraId="1DC358C3" w14:textId="77777777" w:rsidR="00CB0F7F" w:rsidRDefault="00CB0F7F">
      <w:pPr>
        <w:jc w:val="both"/>
        <w:rPr>
          <w:lang w:eastAsia="es-ES_tradnl"/>
        </w:rPr>
      </w:pPr>
      <w:r>
        <w:t>La paridad entre las representaciones sindical y empresarial prevista en el artículo 6 responde a la estructura bilateral de los intereses representados, mientras que la proporcionalidad dentro de cada bloque refleja la implantación de cada organización. Ambas reglas persiguen finalidades diferentes y son compatibles: la primera conserva el equilibrio entre las dos partes sociales y la segunda evita una igualdad aritmética entre organizaciones con niveles de representatividad distintos.</w:t>
      </w:r>
    </w:p>
    <w:p w14:paraId="1C36BAB5" w14:textId="77777777" w:rsidR="00601B74" w:rsidRDefault="00F264AE">
      <w:pPr>
        <w:jc w:val="both"/>
      </w:pPr>
      <w:r w:rsidRPr="00F264AE">
        <w:rPr>
          <w:b/>
          <w:bCs/>
        </w:rPr>
        <w:t>4. Justificación del rango legal y relación con la normativa sectorial</w:t>
      </w:r>
    </w:p>
    <w:p w14:paraId="3A27D0DE" w14:textId="77777777" w:rsidR="00F264AE" w:rsidRDefault="00F264AE">
      <w:pPr>
        <w:jc w:val="both"/>
        <w:rPr>
          <w:lang w:eastAsia="es-ES_tradnl"/>
        </w:rPr>
      </w:pPr>
      <w:r>
        <w:t>El rango de ley se justifica porque la regulación no se limita a crear o reordenar un órgano administrativo. Define los sujetos titulares de la participación institucional, establece criterios comunes para su presencia en una pluralidad de órganos, reconoce derechos, impone deberes, configura la Mesa de Diálogo Social como institución permanente y fija las bases de un sistema de financiación pública. Estos elementos inciden en la posición jurídica de las organizaciones y trascienden la potestad ordinaria de autoorganización reglamentaria.</w:t>
      </w:r>
    </w:p>
    <w:p w14:paraId="1CE30C18" w14:textId="77777777" w:rsidR="00F264AE" w:rsidRDefault="00F264AE">
      <w:pPr>
        <w:jc w:val="both"/>
        <w:rPr>
          <w:lang w:eastAsia="es-ES_tradnl"/>
        </w:rPr>
      </w:pPr>
      <w:r>
        <w:t>La ley se configura como norma común y no como regulación exhaustiva de cada órgano. El artículo 3 preserva la normativa específica; las disposiciones adicionales protegen la audiencia de las organizaciones legitimadas y la participación de intereses sectoriales; y las disposiciones transitorias ordenan la adaptación progresiva. La técnica es adecuada siempre que el desarrollo reglamentario concrete aspectos procedimentales sin alterar los elementos esenciales reservados a la ley.</w:t>
      </w:r>
    </w:p>
    <w:p w14:paraId="1E0877FA" w14:textId="77777777" w:rsidR="0072083E" w:rsidRDefault="00000000">
      <w:pPr>
        <w:jc w:val="both"/>
      </w:pPr>
      <w:r w:rsidRPr="00240CBD">
        <w:t>La relación entre ambos niveles normativos responde a un criterio de especialidad</w:t>
      </w:r>
      <w:r w:rsidR="001E7F1E" w:rsidRPr="001E7F1E">
        <w:t xml:space="preserve">. La </w:t>
      </w:r>
      <w:r w:rsidRPr="00240CBD">
        <w:t>ley</w:t>
      </w:r>
      <w:r w:rsidR="001E7F1E" w:rsidRPr="001E7F1E">
        <w:t xml:space="preserve"> fija las reglas comunes sobre </w:t>
      </w:r>
      <w:r w:rsidRPr="00240CBD">
        <w:t>legitimación, designación, derechos, deberes, financiación y control</w:t>
      </w:r>
      <w:r w:rsidR="001E7F1E" w:rsidRPr="001E7F1E">
        <w:t>;</w:t>
      </w:r>
      <w:r w:rsidRPr="00240CBD">
        <w:t xml:space="preserve"> la normativa sectorial </w:t>
      </w:r>
      <w:r w:rsidR="001E7F1E" w:rsidRPr="001E7F1E">
        <w:t xml:space="preserve">conserva la regulación de la </w:t>
      </w:r>
      <w:r w:rsidRPr="00240CBD">
        <w:t xml:space="preserve">naturaleza, las competencias, </w:t>
      </w:r>
      <w:r w:rsidR="001E7F1E" w:rsidRPr="001E7F1E">
        <w:t xml:space="preserve">el resto de </w:t>
      </w:r>
      <w:r w:rsidRPr="00240CBD">
        <w:t xml:space="preserve">la composición y el funcionamiento de cada órgano. La adaptación no exige </w:t>
      </w:r>
      <w:r w:rsidR="001E7F1E" w:rsidRPr="001E7F1E">
        <w:t>revisar indiscriminadamente</w:t>
      </w:r>
      <w:r w:rsidRPr="00240CBD">
        <w:t xml:space="preserve"> todas </w:t>
      </w:r>
      <w:r w:rsidR="001E7F1E" w:rsidRPr="001E7F1E">
        <w:t>las normas vigentes</w:t>
      </w:r>
      <w:r w:rsidRPr="00240CBD">
        <w:t xml:space="preserve">, sino </w:t>
      </w:r>
      <w:r w:rsidR="001E7F1E" w:rsidRPr="001E7F1E">
        <w:t>solo</w:t>
      </w:r>
      <w:r w:rsidRPr="00240CBD">
        <w:t xml:space="preserve"> aquellas </w:t>
      </w:r>
      <w:r w:rsidR="001E7F1E" w:rsidRPr="001E7F1E">
        <w:t>previsiones</w:t>
      </w:r>
      <w:r w:rsidRPr="00240CBD">
        <w:t xml:space="preserve"> incompatibles con el nuevo marco</w:t>
      </w:r>
      <w:r w:rsidR="001E7F1E" w:rsidRPr="001E7F1E">
        <w:t>. Para ello, la</w:t>
      </w:r>
      <w:r w:rsidRPr="00240CBD">
        <w:t xml:space="preserve"> Administración podrá utilizar la información organizativa disponible y los </w:t>
      </w:r>
      <w:r w:rsidR="001E7F1E" w:rsidRPr="001E7F1E">
        <w:t>instrumentos</w:t>
      </w:r>
      <w:r w:rsidRPr="00240CBD">
        <w:t xml:space="preserve"> de coordinación que resulten necesarios.</w:t>
      </w:r>
    </w:p>
    <w:p w14:paraId="3444675C" w14:textId="77777777" w:rsidR="00F264AE" w:rsidRDefault="00F264AE">
      <w:pPr>
        <w:jc w:val="both"/>
        <w:rPr>
          <w:lang w:eastAsia="es-ES_tradnl"/>
        </w:rPr>
      </w:pPr>
      <w:r>
        <w:rPr>
          <w:b/>
          <w:bCs/>
        </w:rPr>
        <w:t>5. Configuración jurídica de la Mesa y eficacia de sus acuerdos</w:t>
      </w:r>
    </w:p>
    <w:p w14:paraId="6F2AE498" w14:textId="77777777" w:rsidR="00F264AE" w:rsidRDefault="00F264AE">
      <w:pPr>
        <w:jc w:val="both"/>
        <w:rPr>
          <w:lang w:eastAsia="es-ES_tradnl"/>
        </w:rPr>
      </w:pPr>
      <w:r>
        <w:t xml:space="preserve">La Mesa de Diálogo Social se configura en los artículos 9 y 10 como órgano institucional permanente, tripartito y paritario, integrado en el entramado de la Administración autonómica pero dotado de independencia funcional en el ejercicio de sus cometidos. </w:t>
      </w:r>
      <w:r>
        <w:lastRenderedPageBreak/>
        <w:t>Su creación legal no la convierte en una administración independiente ni en una entidad con personalidad jurídica propia; continúa siendo un órgano colegiado de concertación adscrito funcionalmente al departamento competente en materia de trabajo.</w:t>
      </w:r>
    </w:p>
    <w:p w14:paraId="717C66FF" w14:textId="77777777" w:rsidR="00F264AE" w:rsidRDefault="00F264AE">
      <w:pPr>
        <w:jc w:val="both"/>
        <w:rPr>
          <w:lang w:eastAsia="es-ES_tradnl"/>
        </w:rPr>
      </w:pPr>
      <w:r>
        <w:t>La unanimidad prevista en el artículo 11 es coherente con la naturaleza concertada de los acuerdos. No obstante, su eficacia debe interpretarse dentro del sistema de fuentes y de distribución de competencias. La previsión de que los acuerdos sean asumidos y trasladados íntegramente al formato jurídico adecuado expresa un compromiso político e institucional entre las partes, pero no puede excluir los informes, trámites, controles y decisiones exigidos por el ordenamiento ni vincular jurídicamente al Parlamento. El propio artículo 11.3 confirma esta lectura al declarar que la ausencia de acuerdo no impide al Gobierno ejercer sus funciones.</w:t>
      </w:r>
    </w:p>
    <w:p w14:paraId="69D57FC3" w14:textId="77777777" w:rsidR="00F264AE" w:rsidRDefault="00F264AE">
      <w:pPr>
        <w:jc w:val="both"/>
        <w:rPr>
          <w:lang w:eastAsia="es-ES_tradnl"/>
        </w:rPr>
      </w:pPr>
      <w:r>
        <w:t>Por razones de seguridad jurídica, el desarrollo de la norma deberá diferenciar entre acuerdos de orientación política, compromisos programáticos y acuerdos que requieran aprobación normativa o administrativa posterior. En estos últimos, la eficacia quedará condicionada a la actuación del órgano competente y al cumplimiento del procedimiento aplicable.</w:t>
      </w:r>
    </w:p>
    <w:p w14:paraId="02144188" w14:textId="77777777" w:rsidR="00F264AE" w:rsidRDefault="00F264AE">
      <w:pPr>
        <w:jc w:val="both"/>
        <w:rPr>
          <w:lang w:eastAsia="es-ES_tradnl"/>
        </w:rPr>
      </w:pPr>
      <w:r>
        <w:rPr>
          <w:b/>
          <w:bCs/>
        </w:rPr>
        <w:t>6. Régimen jurídico de la financiación</w:t>
      </w:r>
    </w:p>
    <w:p w14:paraId="150E8784" w14:textId="77777777" w:rsidR="00F264AE" w:rsidRDefault="00F264AE">
      <w:pPr>
        <w:jc w:val="both"/>
        <w:rPr>
          <w:lang w:eastAsia="es-ES_tradnl"/>
        </w:rPr>
      </w:pPr>
      <w:r>
        <w:t>El artículo 13 opta expresamente por subvenciones nominativas consignadas en los presupuestos de la Comunidad Autónoma. Esta calificación determina la aplicación de la legislación vasca de subvenciones, de la normativa presupuestaria y de los principios de publicidad, objetividad, transparencia, eficacia, eficiencia, control y rendición de cuentas, con las especialidades que establezca la propia ley. La nominación presupuestaria identifica a las organizaciones beneficiarias, pero no elimina el carácter finalista y condicionado de los fondos ni las obligaciones de justificación y reintegro.</w:t>
      </w:r>
    </w:p>
    <w:p w14:paraId="7B14026F" w14:textId="77777777" w:rsidR="0072083E" w:rsidRDefault="00000000">
      <w:pPr>
        <w:jc w:val="both"/>
      </w:pPr>
      <w:r>
        <w:t>La finalidad subvencionada debe quedar circunscrita a las actividades de participación institucional y diálogo social definidas por la ley. La aportación se dirige a sostener la capacidad organizativa y técnica necesaria para ejercer una función de interés público, manteniendo una relación verificable entre el gasto y la actividad realizada.</w:t>
      </w:r>
    </w:p>
    <w:p w14:paraId="753B7B33" w14:textId="77777777" w:rsidR="00F264AE" w:rsidRDefault="00F264AE">
      <w:pPr>
        <w:jc w:val="both"/>
        <w:rPr>
          <w:lang w:eastAsia="es-ES_tradnl"/>
        </w:rPr>
      </w:pPr>
      <w:r>
        <w:t>La representatividad y la asistencia operan en planos distintos. La primera sirve para identificar a las organizaciones beneficiarias y distribuir inicialmente la dotación. La segunda acredita el cumplimiento efectivo de la actividad respecto de cada sesión. Esta diferenciación permite justificar que no se financie la mera titularidad de un puesto ni la ausencia: cuando falta la certificación exigida por el artículo 13.5, no queda probado el presupuesto material que legitima la imputación del gasto.</w:t>
      </w:r>
    </w:p>
    <w:p w14:paraId="57E9239E" w14:textId="77777777" w:rsidR="00F264AE" w:rsidRDefault="00F264AE">
      <w:pPr>
        <w:jc w:val="both"/>
        <w:rPr>
          <w:lang w:eastAsia="es-ES_tradnl"/>
        </w:rPr>
      </w:pPr>
      <w:r>
        <w:t>La minoración por inasistencia no tiene naturaleza sancionadora si se limita a ajustar la financiación a la actividad acreditada. No declara una infracción, no impone una consecuencia punitiva y no afecta al derecho de la organización a formar parte del órgano. Para preservar esta naturaleza, el desarrollo reglamentario y el convenio-</w:t>
      </w:r>
      <w:r>
        <w:lastRenderedPageBreak/>
        <w:t>programa deben establecer una fórmula previa, objetiva y proporcional, regular las sustituciones y las incidencias no imputables a la organización y evitar reducciones desconectadas del coste o de la actividad financiada.</w:t>
      </w:r>
    </w:p>
    <w:p w14:paraId="3A93F7B5" w14:textId="77777777" w:rsidR="00F264AE" w:rsidRDefault="00F264AE">
      <w:pPr>
        <w:jc w:val="both"/>
        <w:rPr>
          <w:lang w:eastAsia="es-ES_tradnl"/>
        </w:rPr>
      </w:pPr>
      <w:r>
        <w:t>La previsión de carácter plurianual debe conciliarse con el principio de anualidad presupuestaria y con los límites aplicables a los compromisos de gasto de ejercicios futuros. El convenio-programa cuatrienal puede ordenar objetivos, indicadores y reglas de seguimiento, pero la disponibilidad y el pago de las cantidades correspondientes a cada ejercicio quedan sujetos a la existencia de crédito adecuado y suficiente y a la correspondiente consignación presupuestaria.</w:t>
      </w:r>
    </w:p>
    <w:p w14:paraId="0EE66C27" w14:textId="77777777" w:rsidR="00F264AE" w:rsidRDefault="00F264AE">
      <w:pPr>
        <w:jc w:val="both"/>
        <w:rPr>
          <w:lang w:eastAsia="es-ES_tradnl"/>
        </w:rPr>
      </w:pPr>
      <w:r>
        <w:rPr>
          <w:b/>
          <w:bCs/>
        </w:rPr>
        <w:t>7. Procedimiento, protección de datos, transparencia e igualdad</w:t>
      </w:r>
    </w:p>
    <w:p w14:paraId="027D39F1" w14:textId="77777777" w:rsidR="00F264AE" w:rsidRDefault="00F264AE">
      <w:pPr>
        <w:jc w:val="both"/>
        <w:rPr>
          <w:lang w:eastAsia="es-ES_tradnl"/>
        </w:rPr>
      </w:pPr>
      <w:r>
        <w:t>La tramitación del anteproyecto deberá ajustarse a la legislación vasca reguladora del procedimiento de elaboración de disposiciones de carácter general, incorporando los informes, consultas, audiencia y evaluación de impactos exigibles. La especial relación de la norma con las organizaciones sindicales y empresariales aconseja una participación temprana y documentada, sin perjuicio de la intervención de los restantes órganos consultivos y de control.</w:t>
      </w:r>
    </w:p>
    <w:p w14:paraId="66FB1535" w14:textId="77777777" w:rsidR="00F264AE" w:rsidRDefault="00F264AE">
      <w:pPr>
        <w:jc w:val="both"/>
        <w:rPr>
          <w:lang w:eastAsia="es-ES_tradnl"/>
        </w:rPr>
      </w:pPr>
      <w:r>
        <w:t>La gestión de nombramientos, porcentajes de representatividad, asistencias y certificaciones comportará tratamiento de datos personales limitado a la identificación, cargo, organización representada y participación acreditada. El desarrollo reglamentario deberá aplicar los principios de minimización, limitación de la finalidad, exactitud, conservación y seguridad, evitando incorporar datos no necesarios para la gestión y el control de la financiación.</w:t>
      </w:r>
    </w:p>
    <w:p w14:paraId="0747C1E3" w14:textId="77777777" w:rsidR="00F264AE" w:rsidRDefault="00F264AE">
      <w:pPr>
        <w:jc w:val="both"/>
        <w:rPr>
          <w:lang w:eastAsia="es-ES_tradnl"/>
        </w:rPr>
      </w:pPr>
      <w:r>
        <w:t>La transparencia debe conciliar la publicidad de la composición, actividad, acuerdos y financiación con los límites derivados de la confidencialidad de las deliberaciones y de la protección de datos. Asimismo, las reglas de designación de los artículos 6 y 10 deberán aplicarse en coherencia con la legislación vasca de igualdad, procurando una presencia equilibrada de mujeres y hombres sin interferir en la autonomía de propuesta de las organizaciones.</w:t>
      </w:r>
    </w:p>
    <w:p w14:paraId="4EAE4DB2" w14:textId="77777777" w:rsidR="00601B74" w:rsidRDefault="00D07112">
      <w:pPr>
        <w:jc w:val="both"/>
      </w:pPr>
      <w:r w:rsidRPr="00D07112">
        <w:rPr>
          <w:b/>
          <w:bCs/>
        </w:rPr>
        <w:t>8</w:t>
      </w:r>
      <w:r w:rsidRPr="00F668B3">
        <w:rPr>
          <w:b/>
          <w:bCs/>
        </w:rPr>
        <w:t>. Principios de buena regulación</w:t>
      </w:r>
      <w:r w:rsidRPr="00D07112">
        <w:rPr>
          <w:b/>
          <w:bCs/>
        </w:rPr>
        <w:t xml:space="preserve"> y valoración final</w:t>
      </w:r>
    </w:p>
    <w:p w14:paraId="0BA53810" w14:textId="77777777" w:rsidR="00601B74" w:rsidRDefault="00C53624">
      <w:pPr>
        <w:jc w:val="both"/>
      </w:pPr>
      <w:r w:rsidRPr="00C53624">
        <w:t>La iniciativa satisface los principios de necesidad y eficacia porque responde a la dispersión del marco vigente y establece un régimen común capaz de consolidar la participación institucional y el diálogo social. El rango legal resulta proporcionado a la relevancia de los derechos, deberes, reglas de representatividad y mecanismos de financiación regulados. La norma evita una regulación exhaustiva de cada órgano y remite al reglamento los elementos técnicos y procedimentales, con lo que conserva la flexibilidad necesaria.</w:t>
      </w:r>
    </w:p>
    <w:p w14:paraId="0D6929E5" w14:textId="77777777" w:rsidR="0072083E" w:rsidRDefault="00F9097A">
      <w:pPr>
        <w:jc w:val="both"/>
      </w:pPr>
      <w:r w:rsidRPr="00F9097A">
        <w:lastRenderedPageBreak/>
        <w:t>La</w:t>
      </w:r>
      <w:r>
        <w:t xml:space="preserve"> seguridad jurídica </w:t>
      </w:r>
      <w:r w:rsidRPr="00F9097A">
        <w:t xml:space="preserve">aconseja precisar en </w:t>
      </w:r>
      <w:r>
        <w:t xml:space="preserve">la versión final tres </w:t>
      </w:r>
      <w:r w:rsidRPr="00F9097A">
        <w:t>cuestiones</w:t>
      </w:r>
      <w:r>
        <w:t xml:space="preserve">: la relación entre el </w:t>
      </w:r>
      <w:r w:rsidRPr="00F9097A">
        <w:t>régimen</w:t>
      </w:r>
      <w:r>
        <w:t xml:space="preserve"> general y las normas sectoriales; el alcance de la obligación de trasladar los acuerdos de la Mesa; y la fórmula de justificación y minoración de las subvenciones </w:t>
      </w:r>
      <w:r w:rsidRPr="00F9097A">
        <w:t xml:space="preserve">en caso de inasistencia. Son ajustes que </w:t>
      </w:r>
      <w:r>
        <w:t xml:space="preserve">no alteran el modelo, pero reducen </w:t>
      </w:r>
      <w:r w:rsidRPr="00F9097A">
        <w:t>los márgenes de interpretación</w:t>
      </w:r>
      <w:r>
        <w:t xml:space="preserve"> y facilitan una aplicación homogénea.</w:t>
      </w:r>
    </w:p>
    <w:p w14:paraId="06625FEE" w14:textId="77777777" w:rsidR="00F668B3" w:rsidRPr="00F668B3" w:rsidRDefault="00F668B3" w:rsidP="00752762">
      <w:pPr>
        <w:jc w:val="both"/>
        <w:rPr>
          <w:b/>
          <w:bCs/>
        </w:rPr>
      </w:pPr>
      <w:r w:rsidRPr="00F668B3">
        <w:rPr>
          <w:b/>
          <w:bCs/>
        </w:rPr>
        <w:t>D. Adecuación al orden competencial</w:t>
      </w:r>
    </w:p>
    <w:p w14:paraId="5E92026F" w14:textId="77777777" w:rsidR="00601B74" w:rsidRDefault="0015253C">
      <w:pPr>
        <w:jc w:val="both"/>
      </w:pPr>
      <w:r w:rsidRPr="0015253C">
        <w:rPr>
          <w:b/>
          <w:bCs/>
        </w:rPr>
        <w:t>1. Encuadramiento material de la regulación</w:t>
      </w:r>
    </w:p>
    <w:p w14:paraId="7E8F0F50" w14:textId="77777777" w:rsidR="0015253C" w:rsidRDefault="0015253C">
      <w:pPr>
        <w:jc w:val="both"/>
        <w:rPr>
          <w:lang w:eastAsia="es-ES_tradnl"/>
        </w:rPr>
      </w:pPr>
      <w:r>
        <w:t>La determinación del título competencial aplicable debe atender al objeto y finalidad predominantes de la norma. Aunque la participación institucional se proyecta sobre materias laborales, sociales y socioeconómicas, el anteproyecto no disciplina el contrato de trabajo, la negociación colectiva, la acción sindical en la empresa ni el contenido sustantivo de las relaciones laborales. Su objeto principal es ordenar la presencia de organizaciones sindicales y empresariales en órganos de la Administración autonómica y de su sector público, crear un órgano propio de diálogo social y regular los medios públicos destinados a sostener esa actividad.</w:t>
      </w:r>
    </w:p>
    <w:p w14:paraId="6D297FCF" w14:textId="77777777" w:rsidR="00601B74" w:rsidRDefault="00D30FB5">
      <w:pPr>
        <w:jc w:val="both"/>
      </w:pPr>
      <w:r w:rsidRPr="00D30FB5">
        <w:t>El encuadramiento prevalente es, por tanto, institucional y organizativo. Las referencias a materias laborales operan como presupuesto funcional de los órganos y como límite de su ámbito de actuación, pero no transforman la regulación en legislación laboral a los efectos del artículo 149.1.7 de la Constitución.</w:t>
      </w:r>
    </w:p>
    <w:p w14:paraId="7C4D6C14" w14:textId="77777777" w:rsidR="00D30FB5" w:rsidRDefault="00D30FB5">
      <w:pPr>
        <w:jc w:val="both"/>
        <w:rPr>
          <w:lang w:eastAsia="es-ES_tradnl"/>
        </w:rPr>
      </w:pPr>
      <w:r>
        <w:rPr>
          <w:b/>
          <w:bCs/>
        </w:rPr>
        <w:t>2. Títulos competenciales de la Comunidad Autónoma</w:t>
      </w:r>
    </w:p>
    <w:p w14:paraId="0A5D3EF0" w14:textId="77777777" w:rsidR="0072083E" w:rsidRDefault="00901784">
      <w:pPr>
        <w:jc w:val="both"/>
      </w:pPr>
      <w:r w:rsidRPr="00901784">
        <w:t>La competencia autonómica se sustenta, en primer término, en el artículo 10.2 del Estatuto de Autonomía para el País Vasco, que atribuye a la Comunidad Autónoma competencia exclusiva sobre la organización, régimen y funcionamiento de sus instituciones de autogobierno, así como en las facultades de ordenación de su Administración y del sector público autonómico. Este título</w:t>
      </w:r>
      <w:r>
        <w:t xml:space="preserve"> permite crear órganos colegiados, establecer su composición y funcionamiento, determinar los cauces de consulta y participación vinculados al ejercicio de competencias autonómicas y ordenar la actividad de las entidades integrantes del sector público vasco.</w:t>
      </w:r>
    </w:p>
    <w:p w14:paraId="20C8C994" w14:textId="77777777" w:rsidR="00D30FB5" w:rsidRDefault="00D30FB5">
      <w:pPr>
        <w:jc w:val="both"/>
        <w:rPr>
          <w:lang w:eastAsia="es-ES_tradnl"/>
        </w:rPr>
      </w:pPr>
      <w:r>
        <w:t>A este título se añade el mandato del artículo 9.2 del Estatuto, que impone a los poderes públicos vascos facilitar la participación en la vida política, económica, cultural y social. La participación institucional y el diálogo social constituyen técnicas legítimas para hacer efectivo ese mandato en el ámbito de las políticas públicas autonómicas. La ley se apoya también, de forma accesoria, en las competencias sectoriales sobre las materias en las que actúan los órganos incluidos en su ámbito, sin alterar el régimen competencial propio de cada una.</w:t>
      </w:r>
    </w:p>
    <w:p w14:paraId="5996CA7C" w14:textId="77777777" w:rsidR="00D30FB5" w:rsidRDefault="00D30FB5">
      <w:pPr>
        <w:jc w:val="both"/>
        <w:rPr>
          <w:lang w:eastAsia="es-ES_tradnl"/>
        </w:rPr>
      </w:pPr>
      <w:r>
        <w:t xml:space="preserve">La creación de la Mesa de Diálogo Social en los artículos 9 a 12 responde directamente a la potestad autonómica de autoorganización. Se trata de un órgano permanente de </w:t>
      </w:r>
      <w:r>
        <w:lastRenderedPageBreak/>
        <w:t>encuentro y concertación adscrito funcionalmente al departamento competente en materia de trabajo, sin personalidad jurídica propia ni potestades decisorias externas. Sus competencias consisten en conocer, proponer, negociar, efectuar el seguimiento y evaluar, mientras que la adopción de decisiones normativas, presupuestarias o administrativas continúa correspondiendo a los órganos competentes.</w:t>
      </w:r>
    </w:p>
    <w:p w14:paraId="675BCC61" w14:textId="77777777" w:rsidR="00D30FB5" w:rsidRDefault="00D30FB5">
      <w:pPr>
        <w:jc w:val="both"/>
        <w:rPr>
          <w:lang w:eastAsia="es-ES_tradnl"/>
        </w:rPr>
      </w:pPr>
      <w:r>
        <w:rPr>
          <w:b/>
          <w:bCs/>
        </w:rPr>
        <w:t>3. Límites derivados de la competencia estatal sobre legislación laboral</w:t>
      </w:r>
    </w:p>
    <w:p w14:paraId="33162608" w14:textId="77777777" w:rsidR="00D30FB5" w:rsidRDefault="00D30FB5">
      <w:pPr>
        <w:jc w:val="both"/>
        <w:rPr>
          <w:lang w:eastAsia="es-ES_tradnl"/>
        </w:rPr>
      </w:pPr>
      <w:r>
        <w:t>El artículo 149.1.7 de la Constitución reserva al Estado la legislación laboral, sin perjuicio de su ejecución por las comunidades autónomas. En coherencia con este límite, el anteproyecto no define autónomamente quiénes son las organizaciones más representativas ni establece nuevos umbrales de audiencia electoral, afiliación o implantación. El artículo 5 se remite a los artículos 6.2 y 7.1 de la Ley Orgánica de Libertad Sindical y a la disposición adicional sexta del Estatuto de los Trabajadores, de modo que la identificación de los sujetos legitimados queda íntegramente anclada en la legislación estatal.</w:t>
      </w:r>
    </w:p>
    <w:p w14:paraId="5E2867FE" w14:textId="77777777" w:rsidR="00D30FB5" w:rsidRDefault="00D30FB5">
      <w:pPr>
        <w:jc w:val="both"/>
        <w:rPr>
          <w:lang w:eastAsia="es-ES_tradnl"/>
        </w:rPr>
      </w:pPr>
      <w:r>
        <w:t>La ley autonómica se limita a extraer, para su propia organización institucional, las consecuencias asociadas a esa condición legal: acceso a determinados órganos, paridad entre las representaciones sindical y empresarial, distribución proporcional de puestos y reparto de la financiación. Estas reglas no modifican el estatuto jurídico general de sindicatos y asociaciones empresariales ni proyectan efectos fuera de los órganos y recursos de la Comunidad Autónoma.</w:t>
      </w:r>
    </w:p>
    <w:p w14:paraId="3FB43363" w14:textId="77777777" w:rsidR="00D30FB5" w:rsidRDefault="00D30FB5">
      <w:pPr>
        <w:jc w:val="both"/>
        <w:rPr>
          <w:lang w:eastAsia="es-ES_tradnl"/>
        </w:rPr>
      </w:pPr>
      <w:r>
        <w:t>Las exclusiones del artículo 3 refuerzan esta adecuación. Quedan fuera los órganos de representación y negociación colectiva del personal empleado público, los correspondientes al sector privado y los restantes espacios de negociación creados por las organizaciones sindicales y empresariales. La norma evita así incidir en ámbitos sometidos al Estatuto Básico del Empleado Público, al Estatuto de los Trabajadores y a la legislación orgánica de libertad sindical.</w:t>
      </w:r>
    </w:p>
    <w:p w14:paraId="4FC40F09" w14:textId="77777777" w:rsidR="00D30FB5" w:rsidRDefault="00D30FB5">
      <w:pPr>
        <w:jc w:val="both"/>
        <w:rPr>
          <w:lang w:eastAsia="es-ES_tradnl"/>
        </w:rPr>
      </w:pPr>
      <w:r>
        <w:rPr>
          <w:b/>
          <w:bCs/>
        </w:rPr>
        <w:t>4. Participación institucional y libertad sindical</w:t>
      </w:r>
    </w:p>
    <w:p w14:paraId="1EF4262E" w14:textId="77777777" w:rsidR="00D30FB5" w:rsidRDefault="00D30FB5">
      <w:pPr>
        <w:jc w:val="both"/>
        <w:rPr>
          <w:lang w:eastAsia="es-ES_tradnl"/>
        </w:rPr>
      </w:pPr>
      <w:r>
        <w:t>La participación institucional de los sindicatos forma parte del contenido adicional de la libertad sindical cuando así ha sido reconocida por el legislador. Ello no impide a la Comunidad Autónoma configurar la participación en sus propias instituciones, siempre que respete la definición estatal de mayor representatividad, la autonomía de las organizaciones y los principios de igualdad, objetividad y proporcionalidad.</w:t>
      </w:r>
    </w:p>
    <w:p w14:paraId="4D26FF81" w14:textId="77777777" w:rsidR="00D30FB5" w:rsidRDefault="00D30FB5">
      <w:pPr>
        <w:jc w:val="both"/>
        <w:rPr>
          <w:lang w:eastAsia="es-ES_tradnl"/>
        </w:rPr>
      </w:pPr>
      <w:r>
        <w:t>Los artículos 5 y 6 satisfacen esas exigencias. La mayor representatividad determina el acceso a una función de interlocución general; la paridad mantiene el equilibrio entre las dos vertientes sociales; y la proporcionalidad distribuye los puestos dentro de cada bloque según la implantación acreditada. La regulación no impide que otras organizaciones participen por títulos sectoriales propios, como confirma la disposición adicional segunda.</w:t>
      </w:r>
    </w:p>
    <w:p w14:paraId="3C7C836E" w14:textId="77777777" w:rsidR="00D30FB5" w:rsidRDefault="00D30FB5">
      <w:pPr>
        <w:jc w:val="both"/>
        <w:rPr>
          <w:lang w:eastAsia="es-ES_tradnl"/>
        </w:rPr>
      </w:pPr>
      <w:r>
        <w:lastRenderedPageBreak/>
        <w:t>La doctrina constitucional más reciente considera que la participación institucional es un ámbito idóneo para establecer diferencias de trato basadas en la mayor representatividad cuando la selección sea adecuada a la función y evite una interlocución excesivamente atomizada. El anteproyecto se mantiene dentro de ese marco al reservar la participación general a las organizaciones más representativas y preservar, al mismo tiempo, otros cauces sectoriales.</w:t>
      </w:r>
    </w:p>
    <w:p w14:paraId="732D8666" w14:textId="77777777" w:rsidR="00D30FB5" w:rsidRDefault="00D30FB5">
      <w:pPr>
        <w:jc w:val="both"/>
        <w:rPr>
          <w:lang w:eastAsia="es-ES_tradnl"/>
        </w:rPr>
      </w:pPr>
      <w:r>
        <w:rPr>
          <w:b/>
          <w:bCs/>
        </w:rPr>
        <w:t>5. Incidencia sobre las competencias sectoriales</w:t>
      </w:r>
    </w:p>
    <w:p w14:paraId="1511DE44" w14:textId="77777777" w:rsidR="00D30FB5" w:rsidRDefault="00D30FB5">
      <w:pPr>
        <w:jc w:val="both"/>
        <w:rPr>
          <w:lang w:eastAsia="es-ES_tradnl"/>
        </w:rPr>
      </w:pPr>
      <w:r>
        <w:t>El artículo 3 extiende la ley a órganos con competencias laborales o sociales y permite incluir otras materias de relevancia socioeconómica. Esta cláusula debe interpretarse de acuerdo con el principio de vinculación competencial: la participación únicamente podrá proyectarse sobre actuaciones que correspondan a la Comunidad Autónoma y dentro del alcance de sus competencias. La ley no constituye por sí misma un título material para intervenir en sectores atribuidos al Estado o a otras instituciones.</w:t>
      </w:r>
    </w:p>
    <w:p w14:paraId="1DB49C1D" w14:textId="77777777" w:rsidR="00D30FB5" w:rsidRDefault="00D30FB5">
      <w:pPr>
        <w:jc w:val="both"/>
        <w:rPr>
          <w:lang w:eastAsia="es-ES_tradnl"/>
        </w:rPr>
      </w:pPr>
      <w:r>
        <w:t>La remisión a la normativa reguladora de cada órgano permite acomodar la participación a la distribución competencial propia de las políticas de empleo, industria, protección social, formación, igualdad, vivienda u otras materias afectadas. Los informes, propuestas y acuerdos de los interlocutores sociales carecen de eficacia para alterar esa distribución y deberán ser asumidos, en su caso, por el órgano materialmente competente.</w:t>
      </w:r>
    </w:p>
    <w:p w14:paraId="5FD4669C" w14:textId="77777777" w:rsidR="00D30FB5" w:rsidRDefault="00D30FB5" w:rsidP="6DC3F95B">
      <w:pPr>
        <w:jc w:val="both"/>
        <w:rPr>
          <w:lang w:val="es-ES" w:eastAsia="es-ES"/>
        </w:rPr>
      </w:pPr>
      <w:r w:rsidRPr="6DC3F95B">
        <w:rPr>
          <w:b/>
          <w:bCs/>
          <w:lang w:val="es-ES"/>
        </w:rPr>
        <w:t xml:space="preserve">6. Competencia financiera y </w:t>
      </w:r>
      <w:proofErr w:type="spellStart"/>
      <w:r w:rsidRPr="6DC3F95B">
        <w:rPr>
          <w:b/>
          <w:bCs/>
          <w:lang w:val="es-ES"/>
        </w:rPr>
        <w:t>subvencional</w:t>
      </w:r>
      <w:proofErr w:type="spellEnd"/>
    </w:p>
    <w:p w14:paraId="7C05812C" w14:textId="77777777" w:rsidR="0072083E" w:rsidRDefault="00000000">
      <w:pPr>
        <w:jc w:val="both"/>
      </w:pPr>
      <w:r>
        <w:t xml:space="preserve">La financiación prevista en el artículo 13 se </w:t>
      </w:r>
      <w:r w:rsidR="00F263FD" w:rsidRPr="00F263FD">
        <w:t>ampara</w:t>
      </w:r>
      <w:r>
        <w:t xml:space="preserve"> en la autonomía financiera de la Comunidad Autónoma y en la potestad de fomento vinculada </w:t>
      </w:r>
      <w:r w:rsidR="00F263FD" w:rsidRPr="00F263FD">
        <w:t>al ejercicio de</w:t>
      </w:r>
      <w:r>
        <w:t xml:space="preserve"> sus competencias institucionales y materiales. </w:t>
      </w:r>
      <w:r w:rsidR="00F263FD" w:rsidRPr="00F263FD">
        <w:t>Su carácter finalista y su vinculación a actividades desarrolladas en órganos autonómicos excluyen que pueda considerarse una regulación de la financiación general de las organizaciones sindicales y empresariales o una invasión de la competencia estatal sobre legislación laboral.</w:t>
      </w:r>
    </w:p>
    <w:p w14:paraId="7E602012" w14:textId="77777777" w:rsidR="00D30FB5" w:rsidRDefault="00D30FB5">
      <w:pPr>
        <w:jc w:val="both"/>
        <w:rPr>
          <w:lang w:eastAsia="es-ES_tradnl"/>
        </w:rPr>
      </w:pPr>
      <w:r>
        <w:rPr>
          <w:b/>
          <w:bCs/>
        </w:rPr>
        <w:t>7. Respeto a las instituciones y competencias de otros niveles territoriales</w:t>
      </w:r>
    </w:p>
    <w:p w14:paraId="767330C2" w14:textId="77777777" w:rsidR="00D30FB5" w:rsidRDefault="00D30FB5">
      <w:pPr>
        <w:jc w:val="both"/>
        <w:rPr>
          <w:lang w:eastAsia="es-ES_tradnl"/>
        </w:rPr>
      </w:pPr>
      <w:r>
        <w:t>El ámbito de la ley se limita a las entidades y entes instrumentales del sector público de la Comunidad Autónoma de Euskadi. No impone reglas de organización a las diputaciones forales, los municipios ni sus respectivos sectores públicos. Una eventual extensión de principios o mecanismos de colaboración a esos niveles requeriría respetar su autonomía organizativa y las competencias que les reconoce el ordenamiento.</w:t>
      </w:r>
    </w:p>
    <w:p w14:paraId="08266175" w14:textId="77777777" w:rsidR="00D30FB5" w:rsidRDefault="00D30FB5">
      <w:pPr>
        <w:jc w:val="both"/>
        <w:rPr>
          <w:lang w:eastAsia="es-ES_tradnl"/>
        </w:rPr>
      </w:pPr>
      <w:r>
        <w:t>La exclusión expresa del Consejo Económico y Social Vasco y del Consejo de Relaciones Laborales de Euskadi preserva la autonomía y el régimen legal específico de ambas instituciones. Del mismo modo, la disposición adicional segunda garantiza que la posición atribuida a las organizaciones más representativas no menoscabe la representación sectorial prevista en otros órganos.</w:t>
      </w:r>
    </w:p>
    <w:p w14:paraId="236388FF" w14:textId="77777777" w:rsidR="00D30FB5" w:rsidRDefault="00D30FB5">
      <w:pPr>
        <w:jc w:val="both"/>
        <w:rPr>
          <w:lang w:eastAsia="es-ES_tradnl"/>
        </w:rPr>
      </w:pPr>
      <w:r>
        <w:rPr>
          <w:b/>
          <w:bCs/>
        </w:rPr>
        <w:lastRenderedPageBreak/>
        <w:t>8. Adaptación normativa y desarrollo reglamentario</w:t>
      </w:r>
    </w:p>
    <w:p w14:paraId="69F98B18" w14:textId="77777777" w:rsidR="00D30FB5" w:rsidRDefault="00D30FB5">
      <w:pPr>
        <w:jc w:val="both"/>
        <w:rPr>
          <w:lang w:eastAsia="es-ES_tradnl"/>
        </w:rPr>
      </w:pPr>
      <w:r>
        <w:t>La disposición transitoria primera prevé la adaptación de los órganos tripartitos existentes en el plazo de seis meses, manteniendo entretanto sus normas de organización y funcionamiento en lo que no se opongan a la ley. Esta adaptación deberá realizarse por el órgano que ostente la competencia normativa sobre cada estructura, sin que la ley modifique por sí sola normas estatales, forales, locales o institucionales ajenas al ámbito autonómico delimitado.</w:t>
      </w:r>
    </w:p>
    <w:p w14:paraId="5348B13A" w14:textId="77777777" w:rsidR="00D30FB5" w:rsidRDefault="00D30FB5">
      <w:pPr>
        <w:jc w:val="both"/>
        <w:rPr>
          <w:lang w:eastAsia="es-ES_tradnl"/>
        </w:rPr>
      </w:pPr>
      <w:r>
        <w:t>La habilitación reglamentaria de la disposición final primera permite concretar la composición de la Mesa, los procedimientos de designación, la acreditación de asistencias y la gestión de la financiación. El reglamento deberá respetar la legislación estatal sobre representatividad y libertad sindical, la normativa básica aplicable a los órganos colegiados y las competencias sectoriales correspondientes.</w:t>
      </w:r>
    </w:p>
    <w:p w14:paraId="41AB5D29" w14:textId="77777777" w:rsidR="00D30FB5" w:rsidRDefault="00D30FB5">
      <w:pPr>
        <w:jc w:val="both"/>
        <w:rPr>
          <w:lang w:eastAsia="es-ES_tradnl"/>
        </w:rPr>
      </w:pPr>
      <w:r>
        <w:rPr>
          <w:b/>
          <w:bCs/>
        </w:rPr>
        <w:t>9. Conclusión</w:t>
      </w:r>
    </w:p>
    <w:p w14:paraId="0463FD6E" w14:textId="77777777" w:rsidR="00D30FB5" w:rsidRDefault="00D30FB5">
      <w:pPr>
        <w:jc w:val="both"/>
        <w:rPr>
          <w:lang w:eastAsia="es-ES_tradnl"/>
        </w:rPr>
      </w:pPr>
      <w:r>
        <w:t>El anteproyecto se adecua al orden constitucional y estatutario de distribución de competencias. Su contenido principal se ampara en las potestades autonómicas de autoorganización, ordenación del sector público, participación en las políticas propias, ejecución presupuestaria y fomento. La norma respeta la competencia estatal sobre legislación laboral porque asume, sin modificarlos, los criterios estatales de mayor representatividad; excluye la negociación colectiva pública y privada; no regula las relaciones de trabajo; y limita sus efectos a órganos, actuaciones y fondos de la Comunidad Autónoma.</w:t>
      </w:r>
    </w:p>
    <w:p w14:paraId="342DFB9F" w14:textId="77777777" w:rsidR="00F668B3" w:rsidRPr="00F668B3" w:rsidRDefault="00000000" w:rsidP="00752762">
      <w:pPr>
        <w:jc w:val="both"/>
      </w:pPr>
      <w:r>
        <w:pict w14:anchorId="5277F8D7">
          <v:rect id="_x0000_i1026" style="width:0;height:1.5pt" o:hralign="center" o:hrstd="t" o:hr="t" fillcolor="#a0a0a0" stroked="f"/>
        </w:pict>
      </w:r>
    </w:p>
    <w:p w14:paraId="7609BB24" w14:textId="77777777" w:rsidR="00601B74" w:rsidRDefault="00AD79D5">
      <w:pPr>
        <w:jc w:val="both"/>
      </w:pPr>
      <w:r w:rsidRPr="00AD79D5">
        <w:rPr>
          <w:b/>
          <w:bCs/>
        </w:rPr>
        <w:t>E. Memoria económica e impacto presupuestario</w:t>
      </w:r>
    </w:p>
    <w:p w14:paraId="2F0E6FD1" w14:textId="77777777" w:rsidR="00601B74" w:rsidRDefault="00C736D4">
      <w:pPr>
        <w:jc w:val="both"/>
      </w:pPr>
      <w:r w:rsidRPr="00C736D4">
        <w:rPr>
          <w:b/>
          <w:bCs/>
        </w:rPr>
        <w:t>1. Objeto y alcance de la evaluación económica</w:t>
      </w:r>
    </w:p>
    <w:p w14:paraId="74FF598B" w14:textId="77777777" w:rsidR="0072083E" w:rsidRDefault="00000000">
      <w:pPr>
        <w:jc w:val="both"/>
      </w:pPr>
      <w:r w:rsidRPr="00B436C6">
        <w:t xml:space="preserve">La presente memoria tiene por objeto analizar el impacto económico y presupuestario derivado del anteproyecto y determinar, a partir de los créditos consignados en los Presupuestos Generales de la Comunidad Autónoma de Euskadi para 2026, </w:t>
      </w:r>
      <w:r w:rsidR="00180FB2" w:rsidRPr="00180FB2">
        <w:t>qué</w:t>
      </w:r>
      <w:r w:rsidRPr="00B436C6">
        <w:t xml:space="preserve"> gasto </w:t>
      </w:r>
      <w:r w:rsidR="00180FB2" w:rsidRPr="00180FB2">
        <w:t xml:space="preserve">responde ya </w:t>
      </w:r>
      <w:r w:rsidRPr="00B436C6">
        <w:t xml:space="preserve">a las finalidades que la </w:t>
      </w:r>
      <w:r w:rsidR="00180FB2" w:rsidRPr="00180FB2">
        <w:t xml:space="preserve">futura </w:t>
      </w:r>
      <w:r w:rsidRPr="00B436C6">
        <w:t xml:space="preserve">ley </w:t>
      </w:r>
      <w:r w:rsidR="00180FB2" w:rsidRPr="00180FB2">
        <w:t>pretende ordenar. La evaluación no atribuye al anteproyecto el conjunto del coste de los órganos existentes, sino que identifica la financiación directa de la participación institucional, diferencia los medios de apoyo necesarios para su funcionamiento y determina el eventual incremento neto asociado a la nueva regulación.</w:t>
      </w:r>
    </w:p>
    <w:p w14:paraId="54F0A102" w14:textId="77777777" w:rsidR="0072083E" w:rsidRDefault="00AC7BDB">
      <w:pPr>
        <w:jc w:val="both"/>
      </w:pPr>
      <w:r w:rsidRPr="00AC7BDB">
        <w:t xml:space="preserve">A estos efectos, se han examinado los Presupuestos Generales de la Comunidad Autónoma de Euskadi para 2026, comprendiendo las distintas secciones departamentales y las entidades integrantes del sector público autonómico incluidas en la documentación presupuestaria analizada. La mayor parte de los créditos directamente identificados se concentra, por la propia naturaleza laboral y </w:t>
      </w:r>
      <w:r w:rsidRPr="00AC7BDB">
        <w:lastRenderedPageBreak/>
        <w:t xml:space="preserve">socioeconómica de la materia, en el Departamento de Economía, Trabajo y Empleo y en sus entidades vinculadas, singularmente Lanbide y OSALAN. El análisis no se limita, sin embargo, a ese perímetro departamental y </w:t>
      </w:r>
      <w:r w:rsidRPr="00EE1C71">
        <w:t>distingue</w:t>
      </w:r>
      <w:r w:rsidRPr="00CE0977">
        <w:t xml:space="preserve"> el gasto </w:t>
      </w:r>
      <w:r w:rsidRPr="00EE1C71">
        <w:t>existente, su finalidad y forma de gestión</w:t>
      </w:r>
      <w:r w:rsidRPr="00CE0977">
        <w:t xml:space="preserve">, los costes de </w:t>
      </w:r>
      <w:r w:rsidRPr="00EE1C71">
        <w:t>implantación</w:t>
      </w:r>
      <w:r w:rsidRPr="00CE0977">
        <w:t xml:space="preserve"> y coordinación y las eventuales necesidades adicionales</w:t>
      </w:r>
      <w:r w:rsidRPr="00AC7BDB">
        <w:t xml:space="preserve"> en el conjunto del sector público autonómico</w:t>
      </w:r>
      <w:r w:rsidRPr="00EE1C71">
        <w:t>.</w:t>
      </w:r>
    </w:p>
    <w:p w14:paraId="76B80573" w14:textId="77777777" w:rsidR="0072083E" w:rsidRDefault="00000000">
      <w:pPr>
        <w:jc w:val="both"/>
      </w:pPr>
      <w:r w:rsidRPr="00F2626B">
        <w:t xml:space="preserve">La </w:t>
      </w:r>
      <w:r w:rsidR="006D0448" w:rsidRPr="006D0448">
        <w:t>cuantificación sigue</w:t>
      </w:r>
      <w:r w:rsidRPr="00F2626B">
        <w:t xml:space="preserve"> un criterio restrictivo y </w:t>
      </w:r>
      <w:r w:rsidR="006D0448" w:rsidRPr="006D0448">
        <w:t>distingue</w:t>
      </w:r>
      <w:r w:rsidRPr="00F2626B">
        <w:t xml:space="preserve"> cuatro categorías: financiación directa de la participación institucional; financiación vinculada a actuaciones de la Mesa de Diálogo Social; medios personales, materiales y asistencia técnica; y partidas potencialmente vinculadas </w:t>
      </w:r>
      <w:r w:rsidR="006D0448" w:rsidRPr="006D0448">
        <w:t>que requieren</w:t>
      </w:r>
      <w:r w:rsidRPr="00F2626B">
        <w:t xml:space="preserve"> comprobación adicional. Solo las dos primeras </w:t>
      </w:r>
      <w:r w:rsidR="006D0448" w:rsidRPr="006D0448">
        <w:t>forman parte del</w:t>
      </w:r>
      <w:r w:rsidRPr="00F2626B">
        <w:t xml:space="preserve"> cálculo principal.</w:t>
      </w:r>
      <w:r>
        <w:t xml:space="preserve"> </w:t>
      </w:r>
      <w:r w:rsidR="006D0448" w:rsidRPr="006D0448">
        <w:t>Quedan fuera</w:t>
      </w:r>
      <w:r>
        <w:t xml:space="preserve"> la formación, las elecciones sindicales, la financiación general por representatividad, la negociación colectiva ordinaria y las actividades </w:t>
      </w:r>
      <w:r w:rsidR="006D0448" w:rsidRPr="006D0448">
        <w:t>sin conexión directa</w:t>
      </w:r>
      <w:r>
        <w:t xml:space="preserve"> </w:t>
      </w:r>
      <w:r w:rsidRPr="00F2626B">
        <w:t>con las</w:t>
      </w:r>
      <w:r>
        <w:t xml:space="preserve"> funciones </w:t>
      </w:r>
      <w:r w:rsidRPr="00F2626B">
        <w:t>definidas por la ley</w:t>
      </w:r>
      <w:r>
        <w:t>.</w:t>
      </w:r>
    </w:p>
    <w:p w14:paraId="41277CAD" w14:textId="77777777" w:rsidR="0072083E" w:rsidRDefault="00917776">
      <w:pPr>
        <w:jc w:val="both"/>
      </w:pPr>
      <w:r w:rsidRPr="00917776">
        <w:rPr>
          <w:b/>
          <w:bCs/>
        </w:rPr>
        <w:t>2. Situación de partida, metodología y cuantificación del gasto existente</w:t>
      </w:r>
    </w:p>
    <w:p w14:paraId="4AE9BB30" w14:textId="77777777" w:rsidR="0072083E" w:rsidRDefault="00F82627">
      <w:pPr>
        <w:jc w:val="both"/>
      </w:pPr>
      <w:r w:rsidRPr="00F82627">
        <w:t>La iniciativa parte de una realidad institucional y presupuestaria preexistente. La participación institucional y el diálogo social se desarrollan actualmente a través de órganos, consejos, comisiones y mesas con distinta naturaleza y regulación, cuyos costes se encuentran distribuidos entre programas, entidades gestoras y aplicaciones presupuestarias diversas. La ley no crea desde cero este sistema: establece un marco común para ordenarlo, reforzar su estabilidad jurídica y hacer más homogénea la identificación, justificación y evaluación de los recursos aplicados.</w:t>
      </w:r>
    </w:p>
    <w:p w14:paraId="6C4F413F" w14:textId="77777777" w:rsidR="0072083E" w:rsidRDefault="009B1067">
      <w:pPr>
        <w:jc w:val="both"/>
      </w:pPr>
      <w:r w:rsidRPr="009B1067">
        <w:t>En el conjunto del presupuesto analizado</w:t>
      </w:r>
      <w:r w:rsidRPr="00174C94">
        <w:t xml:space="preserve"> se</w:t>
      </w:r>
      <w:r w:rsidRPr="00774A9B">
        <w:t xml:space="preserve"> </w:t>
      </w:r>
      <w:r w:rsidRPr="002B2572">
        <w:t>identifica financiación</w:t>
      </w:r>
      <w:r w:rsidRPr="00774A9B">
        <w:t xml:space="preserve"> directa </w:t>
      </w:r>
      <w:r w:rsidRPr="002B2572">
        <w:t>de</w:t>
      </w:r>
      <w:r w:rsidRPr="00774A9B">
        <w:t xml:space="preserve"> la participación institucional en el Consejo de Administración de Lanbide-Servicio Vasco de Empleo</w:t>
      </w:r>
      <w:r w:rsidRPr="002B2572">
        <w:t xml:space="preserve"> y en su Comisión Asesora para la detección y análisis de necesidades formativas; financiación de</w:t>
      </w:r>
      <w:r w:rsidRPr="00774A9B">
        <w:t xml:space="preserve"> la participación efectiva en el Consejo General y las comisiones de OSALAN-Instituto Vasco de Seguridad y Salud Laborales</w:t>
      </w:r>
      <w:r w:rsidRPr="002B2572">
        <w:t xml:space="preserve">; una subvención vinculada a </w:t>
      </w:r>
      <w:r w:rsidRPr="00774A9B">
        <w:t xml:space="preserve">actuaciones de </w:t>
      </w:r>
      <w:r w:rsidRPr="002B2572">
        <w:t>los miembros de</w:t>
      </w:r>
      <w:r w:rsidRPr="00774A9B">
        <w:t xml:space="preserve"> la Mesa de Diálogo Social</w:t>
      </w:r>
      <w:r w:rsidRPr="002B2572">
        <w:t xml:space="preserve">; y créditos de apoyo técnico </w:t>
      </w:r>
      <w:r w:rsidRPr="00174C94">
        <w:t>relacionados con</w:t>
      </w:r>
      <w:r w:rsidRPr="002B2572">
        <w:t xml:space="preserve"> mecanismos institucionalizados de diálogo y participación</w:t>
      </w:r>
      <w:r w:rsidRPr="00774A9B">
        <w:t>.</w:t>
      </w:r>
      <w:r w:rsidRPr="009B1067">
        <w:t xml:space="preserve"> La concentración cuantitativa de estas partidas en el área de trabajo y empleo responde a la adscripción material de los principales órganos, sin excluir la existencia de créditos potencialmente vinculados en otras secciones o entidades del sector público autonómico.</w:t>
      </w:r>
    </w:p>
    <w:p w14:paraId="2DAF92CA" w14:textId="77777777" w:rsidR="0072083E" w:rsidRDefault="00CD5387">
      <w:pPr>
        <w:jc w:val="both"/>
      </w:pPr>
      <w:r w:rsidRPr="00CD5387">
        <w:t>La revisión</w:t>
      </w:r>
      <w:r>
        <w:t xml:space="preserve"> transversal de los Presupuestos Generales </w:t>
      </w:r>
      <w:r w:rsidRPr="00CD5387">
        <w:t>ha localizado también</w:t>
      </w:r>
      <w:r>
        <w:t xml:space="preserve">, en otros departamentos y organismos del sector público vasco, actuaciones </w:t>
      </w:r>
      <w:r w:rsidRPr="00CD5387">
        <w:t>que podrían guardar relación</w:t>
      </w:r>
      <w:r>
        <w:t xml:space="preserve"> con </w:t>
      </w:r>
      <w:r w:rsidRPr="00CD5387">
        <w:t>la</w:t>
      </w:r>
      <w:r>
        <w:t xml:space="preserve"> participación institucional y </w:t>
      </w:r>
      <w:r w:rsidRPr="00CD5387">
        <w:t xml:space="preserve">el </w:t>
      </w:r>
      <w:r>
        <w:t>diálogo social</w:t>
      </w:r>
      <w:r w:rsidRPr="00CD5387">
        <w:t xml:space="preserve">: </w:t>
      </w:r>
      <w:r>
        <w:t xml:space="preserve">consejos y órganos colegiados, comisiones sectoriales </w:t>
      </w:r>
      <w:r w:rsidRPr="00CD5387">
        <w:t>o</w:t>
      </w:r>
      <w:r>
        <w:t xml:space="preserve"> técnicas, espacios de concertación con los agentes sociales y económicos y </w:t>
      </w:r>
      <w:r w:rsidRPr="00CD5387">
        <w:t>apoyos técnicos a estas estructuras. Dada</w:t>
      </w:r>
      <w:r>
        <w:t xml:space="preserve"> la finalidad </w:t>
      </w:r>
      <w:r w:rsidRPr="00CD5387">
        <w:t>específica de cada actuación</w:t>
      </w:r>
      <w:r>
        <w:t xml:space="preserve">, se mantienen como partidas susceptibles de inclusión y, en su caso, </w:t>
      </w:r>
      <w:r w:rsidRPr="00CD5387">
        <w:t>se valorarán individualmente. No se incorporan, por ahora,</w:t>
      </w:r>
      <w:r>
        <w:t xml:space="preserve"> al cálculo económico </w:t>
      </w:r>
      <w:r w:rsidRPr="00CD5387">
        <w:t xml:space="preserve">de </w:t>
      </w:r>
      <w:r>
        <w:t>esta memoria.</w:t>
      </w:r>
    </w:p>
    <w:p w14:paraId="11835886" w14:textId="77777777" w:rsidR="0072083E" w:rsidRDefault="00D234CC" w:rsidP="00002423">
      <w:r w:rsidRPr="00D234CC">
        <w:rPr>
          <w:b/>
          <w:bCs/>
        </w:rPr>
        <w:lastRenderedPageBreak/>
        <w:t>3. Cuantificación de los costes directos e indirectos identificados</w:t>
      </w:r>
    </w:p>
    <w:p w14:paraId="1FBD6D97" w14:textId="77777777" w:rsidR="0072083E" w:rsidRDefault="00000000">
      <w:pPr>
        <w:jc w:val="both"/>
      </w:pPr>
      <w:r w:rsidRPr="00BE3075">
        <w:t xml:space="preserve">El análisis presupuestario permite identificar para 2026 un total de </w:t>
      </w:r>
      <w:r w:rsidRPr="00BE3075">
        <w:rPr>
          <w:b/>
          <w:bCs/>
        </w:rPr>
        <w:t>2.</w:t>
      </w:r>
      <w:r w:rsidR="00DE6DE8" w:rsidRPr="00DE6DE8">
        <w:rPr>
          <w:b/>
          <w:bCs/>
        </w:rPr>
        <w:t>103.249</w:t>
      </w:r>
      <w:r w:rsidRPr="00BE3075">
        <w:rPr>
          <w:b/>
          <w:bCs/>
        </w:rPr>
        <w:t xml:space="preserve"> euros</w:t>
      </w:r>
      <w:r w:rsidRPr="00BE3075">
        <w:t xml:space="preserve"> de costes </w:t>
      </w:r>
      <w:r w:rsidR="00DE6DE8" w:rsidRPr="00DE6DE8">
        <w:t>directos, correspondientes a subvenciones vinculadas</w:t>
      </w:r>
      <w:r w:rsidRPr="00BE3075">
        <w:t xml:space="preserve"> a la participación efectiva </w:t>
      </w:r>
      <w:r w:rsidR="00DE6DE8" w:rsidRPr="00DE6DE8">
        <w:t xml:space="preserve">de organizaciones o entidades en órganos institucionales y </w:t>
      </w:r>
      <w:r w:rsidRPr="00BE3075">
        <w:t xml:space="preserve">a </w:t>
      </w:r>
      <w:r w:rsidR="00DE6DE8" w:rsidRPr="00DE6DE8">
        <w:t xml:space="preserve">actuaciones de los miembros de la Mesa </w:t>
      </w:r>
      <w:r w:rsidRPr="00BE3075">
        <w:t xml:space="preserve">de </w:t>
      </w:r>
      <w:r w:rsidR="00DE6DE8" w:rsidRPr="00DE6DE8">
        <w:t>Diálogo Social.</w:t>
      </w:r>
      <w:r w:rsidRPr="00BE3075">
        <w:t xml:space="preserve"> A </w:t>
      </w:r>
      <w:r w:rsidR="00DE6DE8" w:rsidRPr="00DE6DE8">
        <w:t xml:space="preserve">esta cantidad se añaden </w:t>
      </w:r>
      <w:r w:rsidR="00DE6DE8" w:rsidRPr="00DE6DE8">
        <w:rPr>
          <w:b/>
          <w:bCs/>
        </w:rPr>
        <w:t>259.705 euros</w:t>
      </w:r>
      <w:r w:rsidR="00DE6DE8" w:rsidRPr="00DE6DE8">
        <w:t xml:space="preserve"> de costes indirectos de apoyo técnico y funcionamiento, por lo que el volumen total identificado del sistema asciende a </w:t>
      </w:r>
      <w:r w:rsidR="00DE6DE8" w:rsidRPr="00DE6DE8">
        <w:rPr>
          <w:b/>
          <w:bCs/>
        </w:rPr>
        <w:t>2.362.954 euros</w:t>
      </w:r>
      <w:r w:rsidR="00DE6DE8" w:rsidRPr="00DE6DE8">
        <w:t xml:space="preserve">. Asimismo, se han localizado </w:t>
      </w:r>
      <w:r w:rsidRPr="00BE3075">
        <w:t xml:space="preserve">50.000 euros de gasto asociado de divulgación, que elevan el coste ampliado a </w:t>
      </w:r>
      <w:r w:rsidRPr="00BE3075">
        <w:rPr>
          <w:b/>
          <w:bCs/>
        </w:rPr>
        <w:t>2.412.954 euros</w:t>
      </w:r>
      <w:r w:rsidRPr="00BE3075">
        <w:t xml:space="preserve">. </w:t>
      </w:r>
      <w:r w:rsidR="00DE6DE8" w:rsidRPr="00DE6DE8">
        <w:t>Estas cifras expresan</w:t>
      </w:r>
      <w:r w:rsidRPr="00BE3075">
        <w:t xml:space="preserve"> gasto ya existente y no el incremento presupuestario derivado de la aprobación de la ley.</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382"/>
        <w:gridCol w:w="3853"/>
        <w:gridCol w:w="1608"/>
        <w:gridCol w:w="1213"/>
      </w:tblGrid>
      <w:tr w:rsidR="00DE6DE8" w14:paraId="61DCC80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A46550" w14:textId="77777777" w:rsidR="00DE6DE8" w:rsidRDefault="00DE6DE8">
            <w:pPr>
              <w:rPr>
                <w:lang w:eastAsia="es-ES_tradnl"/>
              </w:rPr>
            </w:pPr>
            <w:r>
              <w:rPr>
                <w:b/>
                <w:bCs/>
              </w:rPr>
              <w:t>Concepto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F971E" w14:textId="77777777" w:rsidR="00DE6DE8" w:rsidRDefault="00DE6DE8">
            <w:r>
              <w:rPr>
                <w:b/>
                <w:bCs/>
              </w:rPr>
              <w:t>Partida o actuación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5007D" w14:textId="77777777" w:rsidR="00DE6DE8" w:rsidRDefault="00DE6DE8">
            <w:r>
              <w:rPr>
                <w:b/>
                <w:bCs/>
              </w:rPr>
              <w:t>Tratamiento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5083CB" w14:textId="77777777" w:rsidR="00DE6DE8" w:rsidRDefault="00DE6DE8">
            <w:r>
              <w:rPr>
                <w:b/>
                <w:bCs/>
              </w:rPr>
              <w:t>Importe 2026</w:t>
            </w:r>
          </w:p>
        </w:tc>
      </w:tr>
      <w:tr w:rsidR="00DE6DE8" w14:paraId="1D9921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F39B99" w14:textId="77777777" w:rsidR="00DE6DE8" w:rsidRDefault="00DE6DE8">
            <w:r>
              <w:t>Participación institucional en Lanbide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5269B" w14:textId="77777777" w:rsidR="00DE6DE8" w:rsidRDefault="00DE6DE8">
            <w:r>
              <w:t>Subvenciones por participación efectiva de organizaciones sindicales y empresariales en el Consejo de Administración y en la Comisión Asesora de necesidades formativas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6E30D" w14:textId="77777777" w:rsidR="00DE6DE8" w:rsidRDefault="00DE6DE8">
            <w:r>
              <w:t>Coste 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11BED" w14:textId="77777777" w:rsidR="00DE6DE8" w:rsidRDefault="00DE6DE8">
            <w:r>
              <w:t>1.201.705 €</w:t>
            </w:r>
          </w:p>
        </w:tc>
      </w:tr>
      <w:tr w:rsidR="00DE6DE8" w14:paraId="2EC68F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A318C7" w14:textId="77777777" w:rsidR="00DE6DE8" w:rsidRDefault="00DE6DE8">
            <w:r>
              <w:t>Participación institucional en OSALAN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A5227" w14:textId="77777777" w:rsidR="00DE6DE8" w:rsidRDefault="00DE6DE8">
            <w:r>
              <w:t>Subvenciones por participación efectiva de organizaciones sindicales y empresariales en el Consejo General y las comisiones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E5D0F" w14:textId="77777777" w:rsidR="00DE6DE8" w:rsidRDefault="00DE6DE8">
            <w:r>
              <w:t>Coste 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4FFD0" w14:textId="77777777" w:rsidR="00DE6DE8" w:rsidRDefault="00DE6DE8">
            <w:r>
              <w:t>593.538 €</w:t>
            </w:r>
          </w:p>
        </w:tc>
      </w:tr>
      <w:tr w:rsidR="00DE6DE8" w14:paraId="0FBAFE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7FD3E6" w14:textId="77777777" w:rsidR="00DE6DE8" w:rsidRDefault="00DE6DE8">
            <w:r>
              <w:t>Participación de la economía social en OSALAN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0E6EF" w14:textId="77777777" w:rsidR="00DE6DE8" w:rsidRDefault="00DE6DE8">
            <w:r>
              <w:t>Subvención a la Confederación de Cooperativas de Euskadi por su participación efectiva en el Consejo General y las comisiones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84A7F" w14:textId="77777777" w:rsidR="00DE6DE8" w:rsidRDefault="00DE6DE8">
            <w:r>
              <w:t>Coste directo sectorial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EC4A7" w14:textId="77777777" w:rsidR="00DE6DE8" w:rsidRDefault="00DE6DE8">
            <w:r>
              <w:t>58.006 €</w:t>
            </w:r>
          </w:p>
        </w:tc>
      </w:tr>
      <w:tr w:rsidR="00DE6DE8" w14:paraId="0CBC0D2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BBB72F" w14:textId="77777777" w:rsidR="00DE6DE8" w:rsidRDefault="00DE6DE8">
            <w:r>
              <w:t>Mesa de Diálogo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F314F" w14:textId="77777777" w:rsidR="00DE6DE8" w:rsidRDefault="00DE6DE8">
            <w:r>
              <w:t>Subvenciones a sus miembros vinculadas a actuaciones aprobadas por la Comisión de Seguimiento del Observatorio Vasco para la Cultura Preventiva en las PYMES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3761E" w14:textId="77777777" w:rsidR="00DE6DE8" w:rsidRDefault="00DE6DE8">
            <w:r>
              <w:t>Coste 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7559C" w14:textId="77777777" w:rsidR="00DE6DE8" w:rsidRDefault="00DE6DE8">
            <w:r>
              <w:t>250.000 €</w:t>
            </w:r>
          </w:p>
        </w:tc>
      </w:tr>
      <w:tr w:rsidR="00DE6DE8" w14:paraId="750D73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505B18" w14:textId="77777777" w:rsidR="00DE6DE8" w:rsidRDefault="00DE6DE8">
            <w:r>
              <w:rPr>
                <w:b/>
                <w:bCs/>
              </w:rPr>
              <w:t>Total costes directos: subvenciones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372BA"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6314F63A"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3636F2CD" w14:textId="77777777" w:rsidR="00DE6DE8" w:rsidRDefault="00DE6DE8">
            <w:r>
              <w:rPr>
                <w:b/>
                <w:bCs/>
              </w:rPr>
              <w:t>2.103.249 €</w:t>
            </w:r>
          </w:p>
        </w:tc>
      </w:tr>
      <w:tr w:rsidR="00DE6DE8" w14:paraId="3B797B9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0B0A63" w14:textId="77777777" w:rsidR="00DE6DE8" w:rsidRDefault="00DE6DE8">
            <w:r>
              <w:lastRenderedPageBreak/>
              <w:t>Apoyo técnico a la Mesa de Diálogo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A2AFD" w14:textId="77777777" w:rsidR="00DE6DE8" w:rsidRDefault="00DE6DE8">
            <w:r>
              <w:t>Asistencia técnica para su funcionamiento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0207F" w14:textId="77777777" w:rsidR="00DE6DE8" w:rsidRDefault="00DE6DE8">
            <w:r>
              <w:t>Coste indirecto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B9A41" w14:textId="77777777" w:rsidR="00DE6DE8" w:rsidRDefault="00DE6DE8">
            <w:r>
              <w:t>175.000 €</w:t>
            </w:r>
          </w:p>
        </w:tc>
      </w:tr>
      <w:tr w:rsidR="00DE6DE8" w14:paraId="3CC30B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8730BD" w14:textId="77777777" w:rsidR="00DE6DE8" w:rsidRDefault="00DE6DE8">
            <w:r>
              <w:t>Mesa de Diálogo Civil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5972D" w14:textId="77777777" w:rsidR="00DE6DE8" w:rsidRDefault="00DE6DE8">
            <w:r>
              <w:t>Apoyo técnico y evaluación e impulso del diálogo civil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5955B" w14:textId="77777777" w:rsidR="00DE6DE8" w:rsidRDefault="00DE6DE8">
            <w:r>
              <w:t>Coste indirecto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F8F24" w14:textId="77777777" w:rsidR="00DE6DE8" w:rsidRDefault="00DE6DE8">
            <w:r>
              <w:t>33.050 €</w:t>
            </w:r>
          </w:p>
        </w:tc>
      </w:tr>
      <w:tr w:rsidR="00DE6DE8" w14:paraId="53BA75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A4D800" w14:textId="77777777" w:rsidR="00DE6DE8" w:rsidRDefault="00DE6DE8">
            <w:r>
              <w:t>Foro Vasco de Empleo</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F4926" w14:textId="77777777" w:rsidR="00DE6DE8" w:rsidRDefault="00DE6DE8">
            <w:r>
              <w:t>Secretaría técnica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605C8" w14:textId="77777777" w:rsidR="00DE6DE8" w:rsidRDefault="00DE6DE8">
            <w:r>
              <w:t>Coste indirecto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88E5D" w14:textId="77777777" w:rsidR="00DE6DE8" w:rsidRDefault="00DE6DE8">
            <w:r>
              <w:t>18.150 €</w:t>
            </w:r>
          </w:p>
        </w:tc>
      </w:tr>
      <w:tr w:rsidR="00DE6DE8" w14:paraId="195184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32096C" w14:textId="77777777" w:rsidR="00DE6DE8" w:rsidRDefault="00DE6DE8">
            <w:r>
              <w:t>Consejo Vasco de Formación Profesional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04BE7" w14:textId="77777777" w:rsidR="00DE6DE8" w:rsidRDefault="00DE6DE8">
            <w:r>
              <w:t>Gastos de funcionamiento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CA454" w14:textId="77777777" w:rsidR="00DE6DE8" w:rsidRDefault="00DE6DE8">
            <w:r>
              <w:t>Coste indirecto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8E1F7" w14:textId="77777777" w:rsidR="00DE6DE8" w:rsidRDefault="00DE6DE8">
            <w:r>
              <w:t>33.505 €</w:t>
            </w:r>
          </w:p>
        </w:tc>
      </w:tr>
      <w:tr w:rsidR="00DE6DE8" w14:paraId="04D0DE5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454B82" w14:textId="77777777" w:rsidR="00DE6DE8" w:rsidRDefault="00DE6DE8">
            <w:r>
              <w:rPr>
                <w:b/>
                <w:bCs/>
              </w:rPr>
              <w:t>Total costes indirectos: apoyo y funcionamiento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E9C4E"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766F539E"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27E7DB32" w14:textId="77777777" w:rsidR="00DE6DE8" w:rsidRDefault="00DE6DE8">
            <w:r>
              <w:rPr>
                <w:b/>
                <w:bCs/>
              </w:rPr>
              <w:t>259.705 €</w:t>
            </w:r>
          </w:p>
        </w:tc>
      </w:tr>
      <w:tr w:rsidR="00DE6DE8" w14:paraId="31BE3BC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ED7209" w14:textId="77777777" w:rsidR="00DE6DE8" w:rsidRDefault="00DE6DE8">
            <w:r>
              <w:rPr>
                <w:b/>
                <w:bCs/>
              </w:rPr>
              <w:t>Total costes directos e indirectos identificados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CAE58"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15F92F1A"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1390B6B7" w14:textId="77777777" w:rsidR="00DE6DE8" w:rsidRDefault="00DE6DE8">
            <w:r>
              <w:rPr>
                <w:b/>
                <w:bCs/>
              </w:rPr>
              <w:t>2.362.954 €</w:t>
            </w:r>
          </w:p>
        </w:tc>
      </w:tr>
      <w:tr w:rsidR="00DE6DE8" w14:paraId="3DEBA88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08556D" w14:textId="77777777" w:rsidR="00DE6DE8" w:rsidRDefault="00DE6DE8">
            <w:r>
              <w:t>Divulgación de los trabajos de la Mesa de Diálogo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21468" w14:textId="77777777" w:rsidR="00DE6DE8" w:rsidRDefault="00DE6DE8">
            <w:r>
              <w:t>Actuaciones de divulgación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5C382" w14:textId="77777777" w:rsidR="00DE6DE8" w:rsidRDefault="00DE6DE8">
            <w:r>
              <w:t>Gasto asociado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A1104" w14:textId="77777777" w:rsidR="00DE6DE8" w:rsidRDefault="00DE6DE8">
            <w:r>
              <w:t>50.000 €</w:t>
            </w:r>
          </w:p>
        </w:tc>
      </w:tr>
      <w:tr w:rsidR="00DE6DE8" w14:paraId="54212E2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AD60B2" w14:textId="77777777" w:rsidR="00DE6DE8" w:rsidRDefault="00DE6DE8">
            <w:r>
              <w:rPr>
                <w:b/>
                <w:bCs/>
              </w:rPr>
              <w:t>Total ampliado, incluido gasto asociado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346BB"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2D9D6B5F" w14:textId="77777777" w:rsidR="00DE6DE8" w:rsidRDefault="00DE6DE8"/>
        </w:tc>
        <w:tc>
          <w:tcPr>
            <w:tcW w:w="0" w:type="auto"/>
            <w:tcBorders>
              <w:top w:val="outset" w:sz="6" w:space="0" w:color="auto"/>
              <w:left w:val="outset" w:sz="6" w:space="0" w:color="auto"/>
              <w:bottom w:val="outset" w:sz="6" w:space="0" w:color="auto"/>
              <w:right w:val="outset" w:sz="6" w:space="0" w:color="auto"/>
            </w:tcBorders>
            <w:vAlign w:val="center"/>
            <w:hideMark/>
          </w:tcPr>
          <w:p w14:paraId="0B2CE385" w14:textId="77777777" w:rsidR="00DE6DE8" w:rsidRDefault="00DE6DE8">
            <w:r>
              <w:rPr>
                <w:b/>
                <w:bCs/>
              </w:rPr>
              <w:t>2.412.954 €</w:t>
            </w:r>
          </w:p>
        </w:tc>
      </w:tr>
      <w:tr w:rsidR="00DE6DE8" w14:paraId="0D0779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F43090" w14:textId="77777777" w:rsidR="00DE6DE8" w:rsidRDefault="00DE6DE8">
            <w:r>
              <w:t>Partida susceptible de comprobación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7C61A" w14:textId="77777777" w:rsidR="00DE6DE8" w:rsidRDefault="00DE6DE8">
            <w:r>
              <w:t>Actividades del área de empleo vinculadas al Pacto Social por el Empleo</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7995A" w14:textId="77777777" w:rsidR="00DE6DE8" w:rsidRDefault="00DE6DE8">
            <w:r>
              <w:t>Susceptible; no imputada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2FD99" w14:textId="77777777" w:rsidR="00DE6DE8" w:rsidRDefault="00DE6DE8">
            <w:r>
              <w:t>78.743 €</w:t>
            </w:r>
          </w:p>
        </w:tc>
      </w:tr>
    </w:tbl>
    <w:p w14:paraId="0255D0DC" w14:textId="77777777" w:rsidR="008F4991" w:rsidRDefault="008F4991">
      <w:pPr>
        <w:rPr>
          <w:lang w:eastAsia="es-ES_tradnl"/>
        </w:rPr>
      </w:pPr>
    </w:p>
    <w:p w14:paraId="3EEFEC1A" w14:textId="77777777" w:rsidR="0072083E" w:rsidRDefault="00000000">
      <w:pPr>
        <w:jc w:val="both"/>
      </w:pPr>
      <w:r w:rsidRPr="000916C5">
        <w:t xml:space="preserve">El cuadro </w:t>
      </w:r>
      <w:r w:rsidRPr="00C330B9">
        <w:t>reserva</w:t>
      </w:r>
      <w:r w:rsidRPr="000916C5">
        <w:t xml:space="preserve"> la </w:t>
      </w:r>
      <w:r w:rsidRPr="00C330B9">
        <w:t>categoría</w:t>
      </w:r>
      <w:r w:rsidRPr="000916C5">
        <w:t xml:space="preserve"> de </w:t>
      </w:r>
      <w:r w:rsidRPr="00C330B9">
        <w:t xml:space="preserve">costes directos a las subvenciones </w:t>
      </w:r>
      <w:r w:rsidR="00053BD4" w:rsidRPr="00053BD4">
        <w:t>que financian</w:t>
      </w:r>
      <w:r w:rsidRPr="00C330B9">
        <w:t xml:space="preserve"> </w:t>
      </w:r>
      <w:r w:rsidRPr="000916C5">
        <w:t>la participación</w:t>
      </w:r>
      <w:r w:rsidRPr="00C330B9">
        <w:t xml:space="preserve"> efectiva. Los </w:t>
      </w:r>
      <w:r w:rsidRPr="000916C5">
        <w:t>medios técnicos</w:t>
      </w:r>
      <w:r w:rsidRPr="00C330B9">
        <w:t xml:space="preserve">, las secretarías técnicas, la evaluación y los gastos </w:t>
      </w:r>
      <w:r w:rsidRPr="000916C5">
        <w:t>de funcionamiento</w:t>
      </w:r>
      <w:r w:rsidRPr="00C330B9">
        <w:t xml:space="preserve"> se clasifican como costes indirectos</w:t>
      </w:r>
      <w:r w:rsidR="00053BD4" w:rsidRPr="00053BD4">
        <w:t>. Así se distinguen</w:t>
      </w:r>
      <w:r w:rsidRPr="000916C5">
        <w:t xml:space="preserve"> </w:t>
      </w:r>
      <w:r w:rsidRPr="00C330B9">
        <w:t xml:space="preserve">las aportaciones </w:t>
      </w:r>
      <w:r w:rsidRPr="000916C5">
        <w:t xml:space="preserve">a las organizaciones </w:t>
      </w:r>
      <w:r w:rsidRPr="00C330B9">
        <w:t xml:space="preserve">o entidades participantes </w:t>
      </w:r>
      <w:r w:rsidR="00053BD4" w:rsidRPr="00053BD4">
        <w:t>de</w:t>
      </w:r>
      <w:r w:rsidRPr="00C330B9">
        <w:t xml:space="preserve"> los recursos necesarios para sostener los órganos.</w:t>
      </w:r>
      <w:r w:rsidRPr="000916C5">
        <w:t xml:space="preserve"> Los 58.006 euros </w:t>
      </w:r>
      <w:r w:rsidR="00053BD4" w:rsidRPr="00053BD4">
        <w:t>destinados</w:t>
      </w:r>
      <w:r w:rsidRPr="000916C5">
        <w:t xml:space="preserve"> a la Confederación de Cooperativas de Euskadi se </w:t>
      </w:r>
      <w:r w:rsidR="00053BD4" w:rsidRPr="00053BD4">
        <w:t>computan</w:t>
      </w:r>
      <w:r w:rsidRPr="000916C5">
        <w:t xml:space="preserve"> como </w:t>
      </w:r>
      <w:r w:rsidRPr="00C330B9">
        <w:t>coste directo</w:t>
      </w:r>
      <w:r w:rsidRPr="000916C5">
        <w:t xml:space="preserve"> sectorial, </w:t>
      </w:r>
      <w:r w:rsidRPr="00C330B9">
        <w:t xml:space="preserve">sin atribuir a </w:t>
      </w:r>
      <w:r w:rsidR="00053BD4" w:rsidRPr="00053BD4">
        <w:t>esta</w:t>
      </w:r>
      <w:r w:rsidRPr="00C330B9">
        <w:t xml:space="preserve"> entidad la condición de</w:t>
      </w:r>
      <w:r w:rsidRPr="000916C5">
        <w:t xml:space="preserve"> organización sindical o empresarial más representativa.</w:t>
      </w:r>
    </w:p>
    <w:p w14:paraId="38E8E00F" w14:textId="77777777" w:rsidR="000916C5" w:rsidRDefault="000916C5">
      <w:pPr>
        <w:jc w:val="both"/>
        <w:rPr>
          <w:lang w:eastAsia="es-ES_tradnl"/>
        </w:rPr>
      </w:pPr>
      <w:r>
        <w:rPr>
          <w:b/>
          <w:bCs/>
        </w:rPr>
        <w:lastRenderedPageBreak/>
        <w:t>Partidas expresamente excluidas.</w:t>
      </w:r>
      <w:r>
        <w:t xml:space="preserve"> No se incorporan al cálculo los presupuestos del Consejo de Relaciones Laborales y del Consejo Económico y Social Vasco, por disponer de regulación y naturaleza institucional propias y quedar fuera del ámbito de la ley. Se excluyen asimismo la financiación general de la actividad sindical o empresarial, la financiación basada exclusivamente en la representatividad sin vinculación a una función institucional concreta, las elecciones sindicales, los planes de formación, los créditos para liberados sindicales, la prevención de riesgos laborales de carácter general, los convenios y actuaciones sectoriales sin conexión directa acreditada y los eventos o foros locales que no constituyan órganos institucionales comprendidos en la norma.</w:t>
      </w:r>
    </w:p>
    <w:p w14:paraId="2DC9F208" w14:textId="59644B59" w:rsidR="000916C5" w:rsidRDefault="000916C5">
      <w:pPr>
        <w:jc w:val="both"/>
        <w:rPr>
          <w:lang w:eastAsia="es-ES_tradnl"/>
        </w:rPr>
      </w:pPr>
      <w:r>
        <w:t>El análisis transversal ha identificado además actuaciones de otros departamentos y organismos que pueden estar relacionadas con consejos, comisiones, espacios de concertación o apoyo técnico. Cuando su descripción no permita determinar con precisión su encaje jurídico y funcional, se mant</w:t>
      </w:r>
      <w:r w:rsidR="00254DE8">
        <w:t xml:space="preserve">ienen </w:t>
      </w:r>
      <w:r>
        <w:t>como partidas susceptibles de comprobación, sin incorporarlas al total. Este es el tratamiento aplicado provisionalmente a los 78.743 euros vinculados al Pacto Social por el Empleo.</w:t>
      </w:r>
    </w:p>
    <w:p w14:paraId="36DE9DD5" w14:textId="77777777" w:rsidR="0072083E" w:rsidRDefault="00B43E96">
      <w:pPr>
        <w:jc w:val="both"/>
      </w:pPr>
      <w:r w:rsidRPr="00B43E96">
        <w:rPr>
          <w:b/>
          <w:bCs/>
        </w:rPr>
        <w:t>4</w:t>
      </w:r>
      <w:r w:rsidRPr="00CF01DD">
        <w:rPr>
          <w:b/>
          <w:bCs/>
        </w:rPr>
        <w:t>. Naturaleza y clasificación económica del gasto</w:t>
      </w:r>
    </w:p>
    <w:p w14:paraId="00A0CB50" w14:textId="77777777" w:rsidR="0072083E" w:rsidRDefault="000B1ABA">
      <w:pPr>
        <w:jc w:val="both"/>
      </w:pPr>
      <w:r w:rsidRPr="000B1ABA">
        <w:t>El artículo 13 prevé que la financiación que se conceda directamente al amparo de la nueva ley se consigne en los Presupuestos Generales de la Comunidad Autónoma de Euskadi mediante subvenciones nominativas. Desde la perspectiva económica, estas aportaciones tienen naturaleza</w:t>
      </w:r>
      <w:r w:rsidRPr="00F600C2">
        <w:t xml:space="preserve"> de transferencias corrientes destinadas a sufragar costes vinculados al ejercicio de la participación institucional y del diálogo social: preparación y análisis de documentación, asistencia técnica, coordinación interna, elaboración de propuestas, participación en sesiones, seguimiento de acuerdos y evaluación de resultados. </w:t>
      </w:r>
      <w:r w:rsidRPr="000B1ABA">
        <w:t>Esta previsión no convierte automáticamente en subvenciones nominativas todas las partidas sectoriales preexistentes incluidas en la cuantificación económica, cuya naturaleza, régimen de gestión y eventual adaptación al nuevo marco deberán examinarse individualmente.</w:t>
      </w:r>
    </w:p>
    <w:p w14:paraId="5EE0BEF6" w14:textId="77777777" w:rsidR="00601B74" w:rsidRDefault="00CA7872">
      <w:pPr>
        <w:jc w:val="both"/>
      </w:pPr>
      <w:r w:rsidRPr="00CA7872">
        <w:t xml:space="preserve">La </w:t>
      </w:r>
      <w:r w:rsidRPr="00A17E81">
        <w:t xml:space="preserve">financiación se </w:t>
      </w:r>
      <w:r w:rsidRPr="00CA7872">
        <w:t>reconoce</w:t>
      </w:r>
      <w:r w:rsidRPr="00A17E81">
        <w:t xml:space="preserve"> a las organizaciones y no a las personas que </w:t>
      </w:r>
      <w:r w:rsidRPr="00CA7872">
        <w:t xml:space="preserve">las representan. En consecuencia, </w:t>
      </w:r>
      <w:r w:rsidRPr="00A17E81">
        <w:t>no constituye gasto de personal</w:t>
      </w:r>
      <w:r w:rsidRPr="00CA7872">
        <w:t>, indemnización por razón del servicio</w:t>
      </w:r>
      <w:r w:rsidRPr="00A17E81">
        <w:t xml:space="preserve"> ni compensación salarial por </w:t>
      </w:r>
      <w:r w:rsidRPr="00CA7872">
        <w:t>ausentarse de un puesto</w:t>
      </w:r>
      <w:r w:rsidRPr="00A17E81">
        <w:t xml:space="preserve"> de trabajo.</w:t>
      </w:r>
      <w:r w:rsidRPr="00CA7872">
        <w:t xml:space="preserve"> La asistencia individual es gratuita; su relevancia económica consiste en acreditar que la organización ha desarrollado efectivamente la actividad institucional que justifica la subvención.</w:t>
      </w:r>
    </w:p>
    <w:p w14:paraId="00C1F5C6" w14:textId="77777777" w:rsidR="00601B74" w:rsidRDefault="00453FC8">
      <w:pPr>
        <w:jc w:val="both"/>
      </w:pPr>
      <w:r w:rsidRPr="00453FC8">
        <w:t xml:space="preserve">El gasto deberá imputarse al capítulo 4 del programa presupuestario competente en materia de trabajo. No se prevén operaciones de capital, </w:t>
      </w:r>
      <w:r>
        <w:t xml:space="preserve">inversiones reales, gastos financieros ni </w:t>
      </w:r>
      <w:r w:rsidRPr="00453FC8">
        <w:t>ingresos específicos</w:t>
      </w:r>
      <w:r>
        <w:t xml:space="preserve"> asociados a la </w:t>
      </w:r>
      <w:r w:rsidRPr="00453FC8">
        <w:t>entrada en vigor</w:t>
      </w:r>
      <w:r>
        <w:t xml:space="preserve"> de la ley.</w:t>
      </w:r>
      <w:r w:rsidRPr="00453FC8">
        <w:t xml:space="preserve"> Tampoco se contemplan aportaciones de otras administraciones como fuente necesaria de financiación, sin perjuicio de la compatibilidad con recursos destinados a actividades diferentes en los términos del artículo 13.4.</w:t>
      </w:r>
    </w:p>
    <w:p w14:paraId="3A56CBD4" w14:textId="77777777" w:rsidR="0072083E" w:rsidRDefault="006C0D37">
      <w:pPr>
        <w:jc w:val="both"/>
      </w:pPr>
      <w:r w:rsidRPr="006C0D37">
        <w:rPr>
          <w:b/>
          <w:bCs/>
        </w:rPr>
        <w:lastRenderedPageBreak/>
        <w:t>5</w:t>
      </w:r>
      <w:r>
        <w:rPr>
          <w:b/>
          <w:bCs/>
        </w:rPr>
        <w:t>. Metodología de cuantificación</w:t>
      </w:r>
    </w:p>
    <w:p w14:paraId="4E39DF56" w14:textId="77777777" w:rsidR="0072083E" w:rsidRDefault="00463E60">
      <w:pPr>
        <w:jc w:val="both"/>
      </w:pPr>
      <w:r w:rsidRPr="00463E60">
        <w:t>La cuantificación diferencia la financiación destinada directamente a las organizaciones o entidades participantes, los medios técnicos y costes de funcionamiento y los gastos asociados. El total de 2.362.954 euros refleja el volumen directo identificado del sistema presupuestario existente; no significa que todas esas cantidades deban gestionarse mediante las subvenciones nominativas previstas en el artículo 13. La aplicación de la ley deberá determinar qué créditos quedan sometidos al régimen general, cuáles permanecen bajo normativa sectorial y cuáles corresponden a medios administrativos o técnicos.</w:t>
      </w:r>
    </w:p>
    <w:p w14:paraId="1076A9CD" w14:textId="77777777" w:rsidR="0072083E" w:rsidRDefault="00091F1B">
      <w:pPr>
        <w:jc w:val="both"/>
      </w:pPr>
      <w:r w:rsidRPr="00091F1B">
        <w:t>La aplicación del nuevo marco podrá apoyarse en la información presupuestaria y organizativa disponible para identificar los órganos y partidas afectados, comprobar posibles duplicidades y distinguir las actividades efectivamente desarrolladas. La concreción de estos mecanismos de seguimiento se realizará con criterios de proporcionalidad y reutilización de datos, sin imponer con carácter previo una obligación general de inventario exhaustivo.</w:t>
      </w:r>
    </w:p>
    <w:p w14:paraId="3C9E2D9B" w14:textId="77777777" w:rsidR="0072083E" w:rsidRDefault="00144D8A">
      <w:pPr>
        <w:jc w:val="both"/>
      </w:pPr>
      <w:r w:rsidRPr="00144D8A">
        <w:t xml:space="preserve">La financiación directa de Lanbide comprende partidas individualizadas para </w:t>
      </w:r>
      <w:proofErr w:type="spellStart"/>
      <w:r w:rsidRPr="00144D8A">
        <w:t>Confebask</w:t>
      </w:r>
      <w:proofErr w:type="spellEnd"/>
      <w:r w:rsidRPr="00144D8A">
        <w:t>, UGT, CCOO y LAB por su presencia en el Consejo de Administración y en la Comisión Asesora de necesidades formativas. En OSALAN se identifican créditos agregados para organizaciones sindicales y para organizaciones empresariales más representativas por su participación efectiva en el Consejo General y las comisiones. La representatividad puede determinar los destinatarios o el reparto, pero la finalidad material que justifica su inclusión es la participación institucional efectiva.</w:t>
      </w:r>
    </w:p>
    <w:p w14:paraId="0632D929" w14:textId="77777777" w:rsidR="0072083E" w:rsidRDefault="00000000">
      <w:pPr>
        <w:jc w:val="both"/>
      </w:pPr>
      <w:r w:rsidRPr="00BB361F">
        <w:t xml:space="preserve">La proyección plurianual deberá presentar un escenario de continuidad, que refleje </w:t>
      </w:r>
      <w:r w:rsidRPr="004F3FB7">
        <w:t>la financiación directa</w:t>
      </w:r>
      <w:r w:rsidRPr="00BB361F">
        <w:t xml:space="preserve"> existente </w:t>
      </w:r>
      <w:r w:rsidRPr="004F3FB7">
        <w:t>depurada</w:t>
      </w:r>
      <w:r w:rsidRPr="00BB361F">
        <w:t xml:space="preserve">; un escenario de implantación, que </w:t>
      </w:r>
      <w:r w:rsidRPr="004F3FB7">
        <w:t>identifique separadamente</w:t>
      </w:r>
      <w:r w:rsidRPr="00BB361F">
        <w:t xml:space="preserve"> los costes temporales de adaptación, coordinación y sistemas de información; y, solo si se acredita su necesidad, un escenario de ampliación que incorpore nuevas actividades o insuficiencias de financiación. La diferencia entre el escenario de continuidad y los restantes expresará el impacto </w:t>
      </w:r>
      <w:r w:rsidRPr="00532BDC">
        <w:t xml:space="preserve">incremental atribuible a la ley. </w:t>
      </w:r>
      <w:r w:rsidRPr="004F3FB7">
        <w:t>Los créditos de compromiso correspondientes a medios de apoyo técnico se recoge</w:t>
      </w:r>
      <w:r>
        <w:t>n</w:t>
      </w:r>
      <w:r w:rsidRPr="004F3FB7">
        <w:t xml:space="preserve"> en el apartado </w:t>
      </w:r>
      <w:r w:rsidR="00372740" w:rsidRPr="00372740">
        <w:t>8</w:t>
      </w:r>
      <w:r w:rsidRPr="004F3FB7">
        <w:t xml:space="preserve"> y no se sumarán a la financiación directa.</w:t>
      </w:r>
    </w:p>
    <w:p w14:paraId="53CF5379" w14:textId="77777777" w:rsidR="0072083E" w:rsidRDefault="008449BF">
      <w:pPr>
        <w:jc w:val="both"/>
      </w:pPr>
      <w:r w:rsidRPr="008449BF">
        <w:t>Dentro de la dotación autorizada, la distribución inicial entre las organizaciones se efectuará conforme a la representatividad prevista en el artículo 13.5, mientras que la liquidación deberá atender a la actividad efectivamente acreditada mediante certificaciones de asistencia. Si el convenio-programa diferencia una parte destinada a mantener una capacidad técnica mínima y otra variable, ambos componentes deberán vincularse a costes elegibles y quedar sometidos a criterios objetivos de justificación.</w:t>
      </w:r>
    </w:p>
    <w:p w14:paraId="79F48A4E" w14:textId="77777777" w:rsidR="0072083E" w:rsidRDefault="00D76CA7">
      <w:pPr>
        <w:jc w:val="both"/>
      </w:pPr>
      <w:r w:rsidRPr="00D76CA7">
        <w:rPr>
          <w:b/>
          <w:bCs/>
        </w:rPr>
        <w:t>6</w:t>
      </w:r>
      <w:r>
        <w:rPr>
          <w:b/>
          <w:bCs/>
        </w:rPr>
        <w:t>. Ejecución, justificación y control</w:t>
      </w:r>
    </w:p>
    <w:p w14:paraId="3DA87EB4" w14:textId="77777777" w:rsidR="0072083E" w:rsidRDefault="00000000">
      <w:pPr>
        <w:jc w:val="both"/>
      </w:pPr>
      <w:r w:rsidRPr="00ED2CE4">
        <w:lastRenderedPageBreak/>
        <w:t xml:space="preserve">La concesión se instrumentará mediante las </w:t>
      </w:r>
      <w:r w:rsidR="006A1FA0" w:rsidRPr="006A1FA0">
        <w:t>subvenciones</w:t>
      </w:r>
      <w:r w:rsidRPr="00ED2CE4">
        <w:t xml:space="preserve"> nominativas </w:t>
      </w:r>
      <w:r w:rsidR="006A1FA0" w:rsidRPr="006A1FA0">
        <w:t>consignadas en</w:t>
      </w:r>
      <w:r w:rsidRPr="00ED2CE4">
        <w:t xml:space="preserve"> la ley de presupuestos y, en su caso, mediante un convenio-programa cuatrienal con cada organización beneficiaria. Este instrumento </w:t>
      </w:r>
      <w:r w:rsidR="006A1FA0" w:rsidRPr="006A1FA0">
        <w:t>concretará</w:t>
      </w:r>
      <w:r w:rsidRPr="00ED2CE4">
        <w:t xml:space="preserve"> el objeto, las actividades financiables, el periodo de ejecución, los indicadores, el presupuesto, la forma y secuencia de pago, la documentación justificativa, el régimen de compatibilidad, las obligaciones de información y las causas de minoración y reintegro.</w:t>
      </w:r>
    </w:p>
    <w:p w14:paraId="2DCC0566" w14:textId="77777777" w:rsidR="00601B74" w:rsidRDefault="00D97F66">
      <w:pPr>
        <w:jc w:val="both"/>
      </w:pPr>
      <w:r w:rsidRPr="00D97F66">
        <w:t>Las secretarías de los órganos emitirán certificaciones normalizadas que identifiquen la sesión, fecha, organización representada, persona titular o suplente asistente y, en su caso, suspensión o cancelación. La centralización de estos datos por el órgano gestor permitirá practicar una liquidación homogénea, comprobar la realización de la actividad y disponer de información suficiente para el control económico y la evaluación anual.</w:t>
      </w:r>
    </w:p>
    <w:p w14:paraId="469CD49B" w14:textId="77777777" w:rsidR="00D97F66" w:rsidRDefault="00D97F66">
      <w:pPr>
        <w:jc w:val="both"/>
        <w:rPr>
          <w:lang w:eastAsia="es-ES_tradnl"/>
        </w:rPr>
      </w:pPr>
      <w:r>
        <w:t>La falta de asistencia no da lugar a una sanción económica autónoma. Determina únicamente que la parte de actividad asociada a la sesión no quede justificada. Si la subvención se abona previa liquidación, procederá la reducción de la cantidad a reconocer; si se realizan pagos anticipados, la diferencia se regularizará en la liquidación final y, cuando corresponda, mediante reintegro. El convenio-programa deberá regular las sustituciones, los errores de convocatoria, las sesiones canceladas y las demás incidencias no imputables a la organización.</w:t>
      </w:r>
    </w:p>
    <w:p w14:paraId="056DEF15" w14:textId="77777777" w:rsidR="00D97F66" w:rsidRDefault="00D97F66" w:rsidP="6DC3F95B">
      <w:pPr>
        <w:jc w:val="both"/>
        <w:rPr>
          <w:lang w:val="es-ES" w:eastAsia="es-ES"/>
        </w:rPr>
      </w:pPr>
      <w:r w:rsidRPr="6DC3F95B">
        <w:rPr>
          <w:lang w:val="es-ES"/>
        </w:rPr>
        <w:t xml:space="preserve">La compatibilidad con otras ayudas solo será posible cuando financien actividades o costes diferentes. El órgano gestor deberá exigir una relación de otras aportaciones públicas vinculadas a la participación institucional y verificar que un mismo coste o una misma sesión no sean objeto de doble financiación. Las cantidades no aplicadas, no justificadas o indebidamente percibidas quedarán sujetas a minoración o reintegro conforme a la legislación </w:t>
      </w:r>
      <w:proofErr w:type="spellStart"/>
      <w:r w:rsidRPr="6DC3F95B">
        <w:rPr>
          <w:lang w:val="es-ES"/>
        </w:rPr>
        <w:t>subvencional</w:t>
      </w:r>
      <w:proofErr w:type="spellEnd"/>
      <w:r w:rsidRPr="6DC3F95B">
        <w:rPr>
          <w:lang w:val="es-ES"/>
        </w:rPr>
        <w:t>.</w:t>
      </w:r>
    </w:p>
    <w:p w14:paraId="17D05020" w14:textId="77777777" w:rsidR="0072083E" w:rsidRDefault="00E422AE">
      <w:pPr>
        <w:jc w:val="both"/>
      </w:pPr>
      <w:r w:rsidRPr="00E422AE">
        <w:rPr>
          <w:b/>
          <w:bCs/>
        </w:rPr>
        <w:t>7</w:t>
      </w:r>
      <w:r>
        <w:rPr>
          <w:b/>
          <w:bCs/>
        </w:rPr>
        <w:t>. Financiación y cobertura de los gastos</w:t>
      </w:r>
    </w:p>
    <w:p w14:paraId="63FED9A8" w14:textId="77777777" w:rsidR="0072083E" w:rsidRDefault="00000000">
      <w:pPr>
        <w:jc w:val="both"/>
      </w:pPr>
      <w:r>
        <w:t xml:space="preserve">Los gastos se financiarán con cargo a los Presupuestos Generales de la Comunidad Autónoma de Euskadi, </w:t>
      </w:r>
      <w:r w:rsidRPr="009F128D">
        <w:t xml:space="preserve">mediante las aplicaciones </w:t>
      </w:r>
      <w:r w:rsidR="005B748A" w:rsidRPr="005B748A">
        <w:t>de</w:t>
      </w:r>
      <w:r w:rsidRPr="009F128D">
        <w:t xml:space="preserve"> los departamentos, organismos autónomos y entidades </w:t>
      </w:r>
      <w:r w:rsidR="005B748A" w:rsidRPr="005B748A">
        <w:t>que gestionen</w:t>
      </w:r>
      <w:r w:rsidRPr="009F128D">
        <w:t xml:space="preserve"> los órganos afectados. La </w:t>
      </w:r>
      <w:r w:rsidR="005B748A" w:rsidRPr="005B748A">
        <w:t>aplicación</w:t>
      </w:r>
      <w:r w:rsidRPr="009F128D">
        <w:t xml:space="preserve"> de </w:t>
      </w:r>
      <w:r>
        <w:t xml:space="preserve">la </w:t>
      </w:r>
      <w:r w:rsidRPr="009F128D">
        <w:t xml:space="preserve">ley </w:t>
      </w:r>
      <w:r w:rsidR="005B748A" w:rsidRPr="005B748A">
        <w:t>exigirá definir</w:t>
      </w:r>
      <w:r w:rsidRPr="009F128D">
        <w:t xml:space="preserve"> el grado de centralización</w:t>
      </w:r>
      <w:r>
        <w:t xml:space="preserve"> del </w:t>
      </w:r>
      <w:r w:rsidRPr="009F128D">
        <w:t xml:space="preserve">sistema: </w:t>
      </w:r>
      <w:r w:rsidR="005B748A" w:rsidRPr="005B748A">
        <w:t xml:space="preserve">mantener las </w:t>
      </w:r>
      <w:r w:rsidRPr="009F128D">
        <w:t xml:space="preserve">partidas sectoriales </w:t>
      </w:r>
      <w:r w:rsidR="005B748A" w:rsidRPr="005B748A">
        <w:t>bajo</w:t>
      </w:r>
      <w:r w:rsidRPr="009F128D">
        <w:t xml:space="preserve"> reglas comunes, </w:t>
      </w:r>
      <w:r w:rsidR="005B748A" w:rsidRPr="005B748A">
        <w:t>concentrar parcialmente la gestión</w:t>
      </w:r>
      <w:r w:rsidRPr="009F128D">
        <w:t xml:space="preserve"> en el </w:t>
      </w:r>
      <w:r>
        <w:t xml:space="preserve">departamento competente en materia de trabajo o </w:t>
      </w:r>
      <w:r w:rsidR="005B748A" w:rsidRPr="005B748A">
        <w:t>reordenar progresivamente</w:t>
      </w:r>
      <w:r w:rsidRPr="009F128D">
        <w:t xml:space="preserve"> los créditos existentes. </w:t>
      </w:r>
      <w:r w:rsidR="005B748A" w:rsidRPr="005B748A">
        <w:t>Cualquiera que sea la opción,</w:t>
      </w:r>
      <w:r w:rsidRPr="009F128D">
        <w:t xml:space="preserve"> deberá preservarse la </w:t>
      </w:r>
      <w:r w:rsidR="005B748A" w:rsidRPr="005B748A">
        <w:t>identificación del</w:t>
      </w:r>
      <w:r w:rsidRPr="009F128D">
        <w:t xml:space="preserve"> órgano, </w:t>
      </w:r>
      <w:r w:rsidR="005B748A" w:rsidRPr="005B748A">
        <w:t xml:space="preserve">la </w:t>
      </w:r>
      <w:r w:rsidRPr="009F128D">
        <w:t xml:space="preserve">finalidad y </w:t>
      </w:r>
      <w:r w:rsidR="005B748A" w:rsidRPr="005B748A">
        <w:t xml:space="preserve">la </w:t>
      </w:r>
      <w:r w:rsidRPr="009F128D">
        <w:t>organización beneficiaria.</w:t>
      </w:r>
    </w:p>
    <w:p w14:paraId="40332303" w14:textId="77777777" w:rsidR="0072083E" w:rsidRDefault="004832ED">
      <w:pPr>
        <w:jc w:val="both"/>
      </w:pPr>
      <w:r w:rsidRPr="004832ED">
        <w:t xml:space="preserve">La ley no atribuye automáticamente al departamento competente en materia de trabajo la totalidad de los créditos actualmente gestionados por otras entidades ni permite reasignarlos sin la correspondiente cobertura presupuestaria. La dotación anual deberá identificar el gasto continuado, las reasignaciones y, en su caso, los créditos adicionales, respetando las competencias de gestión de Lanbide, OSALAN y los restantes órganos </w:t>
      </w:r>
      <w:r w:rsidRPr="004832ED">
        <w:lastRenderedPageBreak/>
        <w:t>afectados y evitando contabilizar como incremento recursos ya consignados para la misma finalidad.</w:t>
      </w:r>
    </w:p>
    <w:p w14:paraId="3B1039E5" w14:textId="77777777" w:rsidR="0072083E" w:rsidRDefault="009407F2">
      <w:pPr>
        <w:jc w:val="both"/>
      </w:pPr>
      <w:r w:rsidRPr="009407F2">
        <w:rPr>
          <w:b/>
          <w:bCs/>
        </w:rPr>
        <w:t>8</w:t>
      </w:r>
      <w:r>
        <w:rPr>
          <w:b/>
          <w:bCs/>
        </w:rPr>
        <w:t>. Impacto en medios personales</w:t>
      </w:r>
      <w:r w:rsidRPr="004E1680">
        <w:rPr>
          <w:b/>
          <w:bCs/>
        </w:rPr>
        <w:t>, materiales</w:t>
      </w:r>
      <w:r w:rsidRPr="004944BA">
        <w:rPr>
          <w:b/>
          <w:bCs/>
        </w:rPr>
        <w:t>, asistencia técnica</w:t>
      </w:r>
      <w:r w:rsidRPr="004E1680">
        <w:rPr>
          <w:b/>
          <w:bCs/>
        </w:rPr>
        <w:t xml:space="preserve"> y sistemas de información</w:t>
      </w:r>
    </w:p>
    <w:p w14:paraId="1550C43D" w14:textId="77777777" w:rsidR="0072083E" w:rsidRDefault="00000000">
      <w:pPr>
        <w:jc w:val="both"/>
      </w:pPr>
      <w:r w:rsidRPr="008F5146">
        <w:t xml:space="preserve">La aplicación de la ley no exige inicialmente la creación de una unidad administrativa ni el incremento de plantilla. La presidencia y secretaría de la Mesa continuarán siendo atendidas por el departamento competente, y las secretarías de los restantes órganos ya forman parte de sus estructuras ordinarias. La carga adicional se concentra en la </w:t>
      </w:r>
      <w:r w:rsidR="00B751C7" w:rsidRPr="00B751C7">
        <w:t>identificación y coordinación de los órganos afectados</w:t>
      </w:r>
      <w:r w:rsidRPr="008F5146">
        <w:t>, la emisión y consolidación de certificaciones, el cálculo de la distribución, la gestión de las subvenciones y la comprobación de la justificación.</w:t>
      </w:r>
    </w:p>
    <w:p w14:paraId="165250CC" w14:textId="77777777" w:rsidR="0072083E" w:rsidRDefault="00000000">
      <w:pPr>
        <w:jc w:val="both"/>
      </w:pPr>
      <w:r>
        <w:t xml:space="preserve">Como </w:t>
      </w:r>
      <w:r w:rsidR="00424BD2" w:rsidRPr="00424BD2">
        <w:t>coste indirecto</w:t>
      </w:r>
      <w:r>
        <w:t xml:space="preserve"> de apoyo se identifica una partida de 175.000 euros para asistencia técnica a la Mesa de Diálogo Social. Esta cuantía no financia a las organizaciones participantes y</w:t>
      </w:r>
      <w:r w:rsidR="00424BD2" w:rsidRPr="00424BD2">
        <w:t xml:space="preserve"> </w:t>
      </w:r>
      <w:r>
        <w:t xml:space="preserve">se </w:t>
      </w:r>
      <w:r w:rsidR="00424BD2" w:rsidRPr="00424BD2">
        <w:t>integra en el</w:t>
      </w:r>
      <w:r>
        <w:t xml:space="preserve"> total de </w:t>
      </w:r>
      <w:r w:rsidR="00424BD2" w:rsidRPr="00424BD2">
        <w:t>costes indirectos de 259.705</w:t>
      </w:r>
      <w:r>
        <w:t xml:space="preserve"> euros</w:t>
      </w:r>
      <w:r w:rsidR="00424BD2" w:rsidRPr="00424BD2">
        <w:t>, no en los 2.103.249 euros de subvenciones directas.</w:t>
      </w:r>
      <w:r>
        <w:t xml:space="preserve"> El presupuesto prevé además créditos de compromiso de 75.000 euros para cada uno de los ejercicios 2027, 2028 y 2029, por un total de 225.000 euros. Se trata de un coste de soporte preexistente que permite atender funciones técnicas vinculadas al funcionamiento de la Mesa y que deberá mantenerse diferenciado de las subvenciones por participación efectiva.</w:t>
      </w:r>
    </w:p>
    <w:p w14:paraId="68CE9EC7" w14:textId="77777777" w:rsidR="0072083E" w:rsidRDefault="00B41897">
      <w:pPr>
        <w:jc w:val="both"/>
      </w:pPr>
      <w:r w:rsidRPr="00B41897">
        <w:t>Los costes indirectos incluyen también</w:t>
      </w:r>
      <w:r w:rsidRPr="00DB3F62">
        <w:t xml:space="preserve"> 33.050 euros de apoyo y </w:t>
      </w:r>
      <w:r>
        <w:t>evaluación del diálogo civil</w:t>
      </w:r>
      <w:r w:rsidRPr="00DB3F62">
        <w:t>,</w:t>
      </w:r>
      <w:r>
        <w:t xml:space="preserve"> 18.150 euros para la Secretaría Técnica del Foro </w:t>
      </w:r>
      <w:r w:rsidRPr="009F75F8">
        <w:t>Vasco de Empleo</w:t>
      </w:r>
      <w:r w:rsidRPr="00DB3F62">
        <w:t xml:space="preserve"> y</w:t>
      </w:r>
      <w:r w:rsidRPr="009F75F8">
        <w:t xml:space="preserve"> 33.505 euros de gastos de funcionamiento del Consejo Vasco de Formación Profesional.</w:t>
      </w:r>
      <w:r>
        <w:t xml:space="preserve"> </w:t>
      </w:r>
      <w:r w:rsidRPr="00DB3F62">
        <w:t xml:space="preserve">Estas partidas se </w:t>
      </w:r>
      <w:r w:rsidRPr="00B41897">
        <w:t>computan</w:t>
      </w:r>
      <w:r w:rsidRPr="00DB3F62">
        <w:t xml:space="preserve"> para ofrecer una imagen completa </w:t>
      </w:r>
      <w:r w:rsidRPr="00B41897">
        <w:t xml:space="preserve">de los medios y costes de funcionamiento </w:t>
      </w:r>
      <w:r w:rsidRPr="00DB3F62">
        <w:t>identificados, pero su inclusión en el régimen jurídico y financiero de la futura ley deberá precisarse atendiendo a su normativa específica y al ámbito definitivo del anteproyecto.</w:t>
      </w:r>
    </w:p>
    <w:p w14:paraId="77CE45B7" w14:textId="77777777" w:rsidR="0072083E" w:rsidRDefault="00000000">
      <w:pPr>
        <w:jc w:val="both"/>
      </w:pPr>
      <w:r w:rsidRPr="008A4403">
        <w:t>Las restantes</w:t>
      </w:r>
      <w:r>
        <w:t xml:space="preserve"> tareas podrán asumirse con los medios</w:t>
      </w:r>
      <w:r w:rsidRPr="008A4403">
        <w:t xml:space="preserve"> personales</w:t>
      </w:r>
      <w:r>
        <w:t xml:space="preserve"> existentes si se normalizan los modelos y se </w:t>
      </w:r>
      <w:r w:rsidR="00E1095E" w:rsidRPr="00E1095E">
        <w:t>habilitan mecanismos comunes</w:t>
      </w:r>
      <w:r>
        <w:t xml:space="preserve"> de </w:t>
      </w:r>
      <w:r w:rsidR="00E1095E" w:rsidRPr="00E1095E">
        <w:t>intercambio de información sobre</w:t>
      </w:r>
      <w:r>
        <w:t xml:space="preserve"> designaciones y asistencias. El desarrollo reglamentario deberá prever una gestión preferentemente electrónica y la reutilización de datos ya disponibles, evitando solicitar a las organizaciones certificados que obren en poder de la propia Administración. Si la implantación evidencia una carga superior a la prevista, deberá evaluarse antes de proponer refuerzos estructurales</w:t>
      </w:r>
      <w:r w:rsidRPr="008A4403">
        <w:t xml:space="preserve"> o nuevas contrataciones de asistencia técnica.</w:t>
      </w:r>
    </w:p>
    <w:p w14:paraId="0A89AAAB" w14:textId="77777777" w:rsidR="009F75F8" w:rsidRDefault="009F75F8">
      <w:pPr>
        <w:jc w:val="both"/>
        <w:rPr>
          <w:lang w:eastAsia="es-ES_tradnl"/>
        </w:rPr>
      </w:pPr>
      <w:r>
        <w:t xml:space="preserve">La eventual inclusión futura de estos costes no alteraría por sí misma la valoración del impacto incremental, pues se trata de créditos ya existentes. Su incorporación únicamente ampliaría el perímetro del gasto ordenado por la ley y exigiría aclarar qué </w:t>
      </w:r>
      <w:r>
        <w:lastRenderedPageBreak/>
        <w:t>órgano conserva la gestión, qué reglas de justificación resultan aplicables y cómo se evita la doble financiación.</w:t>
      </w:r>
    </w:p>
    <w:p w14:paraId="33442AB0" w14:textId="77777777" w:rsidR="0072083E" w:rsidRDefault="00A26EC9">
      <w:pPr>
        <w:jc w:val="both"/>
      </w:pPr>
      <w:r w:rsidRPr="00A26EC9">
        <w:rPr>
          <w:b/>
          <w:bCs/>
        </w:rPr>
        <w:t>9</w:t>
      </w:r>
      <w:r>
        <w:rPr>
          <w:b/>
          <w:bCs/>
        </w:rPr>
        <w:t>. Incidencia plurianual</w:t>
      </w:r>
      <w:r w:rsidRPr="007E1659">
        <w:rPr>
          <w:b/>
          <w:bCs/>
        </w:rPr>
        <w:t>, estabilidad</w:t>
      </w:r>
      <w:r>
        <w:rPr>
          <w:b/>
          <w:bCs/>
        </w:rPr>
        <w:t xml:space="preserve"> y sostenibilidad</w:t>
      </w:r>
      <w:r w:rsidRPr="007E1659">
        <w:rPr>
          <w:b/>
          <w:bCs/>
        </w:rPr>
        <w:t xml:space="preserve"> financiera</w:t>
      </w:r>
    </w:p>
    <w:p w14:paraId="3F105DF8" w14:textId="77777777" w:rsidR="00601B74" w:rsidRDefault="00BE4961">
      <w:pPr>
        <w:jc w:val="both"/>
      </w:pPr>
      <w:r w:rsidRPr="00BE4961">
        <w:t>El carácter plurianual previsto en el artículo 13.3 permite programar objetivos y actividad durante un horizonte cuatrienal, pero no convierte la totalidad de la estimación en una obligación exigible desde la firma del convenio-programa. Los compromisos de ejercicios futuros deberán respetar los límites presupuestarios aplicables y cada anualidad quedará condicionada a la existencia de crédito adecuado y suficiente.</w:t>
      </w:r>
    </w:p>
    <w:p w14:paraId="286700E7" w14:textId="77777777" w:rsidR="0072083E" w:rsidRDefault="00000000">
      <w:pPr>
        <w:jc w:val="both"/>
      </w:pPr>
      <w:r w:rsidRPr="00236008">
        <w:t xml:space="preserve">El modelo incorpora mecanismos de sostenibilidad: ausencia de una cuantía mínima fijada por la ley; determinación anual del crédito; distribución conforme a representatividad; liquidación vinculada a la actividad acreditada; </w:t>
      </w:r>
      <w:r w:rsidR="00AF4BE7" w:rsidRPr="00AF4BE7">
        <w:t xml:space="preserve">y </w:t>
      </w:r>
      <w:r w:rsidRPr="00236008">
        <w:t>posibilidad de minoración o reintegro</w:t>
      </w:r>
      <w:r w:rsidR="00AF4BE7" w:rsidRPr="00AF4BE7">
        <w:t>.</w:t>
      </w:r>
      <w:r w:rsidRPr="00236008">
        <w:t xml:space="preserve"> La memoria anual de la Mesa y la información de ejecución presupuestaria </w:t>
      </w:r>
      <w:r w:rsidR="00AF4BE7" w:rsidRPr="00AF4BE7">
        <w:t>podrán</w:t>
      </w:r>
      <w:r w:rsidRPr="00236008">
        <w:t xml:space="preserve"> servir para ajustar las dotaciones posteriores y evitar la consolidación de importes no respaldados por actividad efectiva.</w:t>
      </w:r>
    </w:p>
    <w:p w14:paraId="1B10A3D6" w14:textId="77777777" w:rsidR="0072083E" w:rsidRDefault="00220625">
      <w:pPr>
        <w:jc w:val="both"/>
      </w:pPr>
      <w:r w:rsidRPr="00220625">
        <w:rPr>
          <w:b/>
          <w:bCs/>
        </w:rPr>
        <w:t>10</w:t>
      </w:r>
      <w:r>
        <w:rPr>
          <w:b/>
          <w:bCs/>
        </w:rPr>
        <w:t>. Conclusión</w:t>
      </w:r>
    </w:p>
    <w:p w14:paraId="128FC452" w14:textId="77777777" w:rsidR="0072083E" w:rsidRDefault="00000000">
      <w:pPr>
        <w:jc w:val="both"/>
      </w:pPr>
      <w:r w:rsidRPr="0068091A">
        <w:t xml:space="preserve">El </w:t>
      </w:r>
      <w:r w:rsidR="007A5505" w:rsidRPr="007A5505">
        <w:t>examen</w:t>
      </w:r>
      <w:r w:rsidRPr="0068091A">
        <w:t xml:space="preserve"> </w:t>
      </w:r>
      <w:r w:rsidRPr="00894085">
        <w:t>de los Presupuestos Generales de la Comunidad Autónoma de Euskadi para 2026 y de las entidades de su sector público</w:t>
      </w:r>
      <w:r w:rsidRPr="00264E10">
        <w:t xml:space="preserve"> permite </w:t>
      </w:r>
      <w:r w:rsidRPr="00B00DF2">
        <w:t xml:space="preserve">identificar </w:t>
      </w:r>
      <w:r w:rsidRPr="00B00DF2">
        <w:rPr>
          <w:b/>
          <w:bCs/>
        </w:rPr>
        <w:t>2.</w:t>
      </w:r>
      <w:r w:rsidRPr="00DC2CF4">
        <w:rPr>
          <w:b/>
          <w:bCs/>
        </w:rPr>
        <w:t>103.249</w:t>
      </w:r>
      <w:r w:rsidRPr="00B00DF2">
        <w:rPr>
          <w:b/>
          <w:bCs/>
        </w:rPr>
        <w:t xml:space="preserve"> euros de costes directos</w:t>
      </w:r>
      <w:r w:rsidRPr="00DC2CF4">
        <w:t>, correspondientes a subvenciones vinculadas</w:t>
      </w:r>
      <w:r w:rsidRPr="00B00DF2">
        <w:t xml:space="preserve"> a </w:t>
      </w:r>
      <w:r w:rsidRPr="00264E10">
        <w:t>la participación institucional</w:t>
      </w:r>
      <w:r w:rsidRPr="00DC2CF4">
        <w:t xml:space="preserve"> y al </w:t>
      </w:r>
      <w:r w:rsidRPr="00264E10">
        <w:t>diálogo social</w:t>
      </w:r>
      <w:r w:rsidRPr="00DC2CF4">
        <w:t xml:space="preserve">, y </w:t>
      </w:r>
      <w:r w:rsidRPr="00DC2CF4">
        <w:rPr>
          <w:b/>
          <w:bCs/>
        </w:rPr>
        <w:t>259.705 euros de costes indirectos</w:t>
      </w:r>
      <w:r w:rsidRPr="00DC2CF4">
        <w:t xml:space="preserve"> de apoyo técnico y </w:t>
      </w:r>
      <w:r w:rsidRPr="00B00DF2">
        <w:t>funcionamiento</w:t>
      </w:r>
      <w:r w:rsidRPr="00DC2CF4">
        <w:t xml:space="preserve">. El volumen total identificado asciende a </w:t>
      </w:r>
      <w:r w:rsidRPr="00DC2CF4">
        <w:rPr>
          <w:b/>
          <w:bCs/>
        </w:rPr>
        <w:t>2.362.954 euros</w:t>
      </w:r>
      <w:r w:rsidRPr="00DC2CF4">
        <w:t xml:space="preserve">. </w:t>
      </w:r>
      <w:r w:rsidR="007A5505" w:rsidRPr="007A5505">
        <w:t>Si</w:t>
      </w:r>
      <w:r w:rsidRPr="00DC2CF4">
        <w:t xml:space="preserve"> se añaden</w:t>
      </w:r>
      <w:r w:rsidRPr="00B00DF2">
        <w:t xml:space="preserve"> </w:t>
      </w:r>
      <w:r w:rsidR="007A5505" w:rsidRPr="007A5505">
        <w:t xml:space="preserve">los </w:t>
      </w:r>
      <w:r w:rsidRPr="00B00DF2">
        <w:rPr>
          <w:b/>
          <w:bCs/>
        </w:rPr>
        <w:t>50.000 euros</w:t>
      </w:r>
      <w:r w:rsidRPr="007A5505">
        <w:t xml:space="preserve"> </w:t>
      </w:r>
      <w:r w:rsidR="007A5505" w:rsidRPr="007A5505">
        <w:t xml:space="preserve">destinados a </w:t>
      </w:r>
      <w:r w:rsidRPr="00B00DF2">
        <w:t>divulgación</w:t>
      </w:r>
      <w:r w:rsidRPr="00DC2CF4">
        <w:t xml:space="preserve">, el </w:t>
      </w:r>
      <w:r w:rsidRPr="00B00DF2">
        <w:t xml:space="preserve">coste ampliado </w:t>
      </w:r>
      <w:r w:rsidRPr="00DC2CF4">
        <w:t xml:space="preserve">alcanza </w:t>
      </w:r>
      <w:r w:rsidRPr="00DC2CF4">
        <w:rPr>
          <w:b/>
          <w:bCs/>
        </w:rPr>
        <w:t>2.412.954 euros</w:t>
      </w:r>
      <w:r w:rsidRPr="00DC2CF4">
        <w:t>.</w:t>
      </w:r>
      <w:r w:rsidRPr="00B00DF2">
        <w:t xml:space="preserve"> </w:t>
      </w:r>
      <w:r w:rsidR="007A5505" w:rsidRPr="007A5505">
        <w:t xml:space="preserve">Son </w:t>
      </w:r>
      <w:r w:rsidRPr="00B00DF2">
        <w:t xml:space="preserve">créditos ya existentes y no </w:t>
      </w:r>
      <w:r w:rsidR="007A5505" w:rsidRPr="007A5505">
        <w:t>un</w:t>
      </w:r>
      <w:r w:rsidRPr="00B00DF2">
        <w:t xml:space="preserve"> incremento derivado de la aprobación de la ley. La partida de 78.743 euros </w:t>
      </w:r>
      <w:r w:rsidR="007A5505" w:rsidRPr="007A5505">
        <w:t>asociada</w:t>
      </w:r>
      <w:r w:rsidRPr="00B00DF2">
        <w:t xml:space="preserve"> al Pacto Social por el Empleo queda pendiente de comprobación y no se suma. </w:t>
      </w:r>
      <w:r w:rsidR="007A5505" w:rsidRPr="007A5505">
        <w:t>En consecuencia, el</w:t>
      </w:r>
      <w:r w:rsidRPr="00B00DF2">
        <w:t xml:space="preserve"> impacto presupuestario neto inicial</w:t>
      </w:r>
      <w:r w:rsidRPr="00AA0E38">
        <w:t xml:space="preserve"> puede calificarse como no significativo</w:t>
      </w:r>
      <w:r w:rsidRPr="00B00DF2">
        <w:t xml:space="preserve">: la norma </w:t>
      </w:r>
      <w:r w:rsidR="007A5505" w:rsidRPr="007A5505">
        <w:t>ordena</w:t>
      </w:r>
      <w:r w:rsidRPr="00AA0E38">
        <w:t xml:space="preserve"> y </w:t>
      </w:r>
      <w:r w:rsidR="007A5505" w:rsidRPr="007A5505">
        <w:t>da</w:t>
      </w:r>
      <w:r w:rsidRPr="00AA0E38">
        <w:t xml:space="preserve"> mayor trazabilidad y seguridad jurídica a recursos ya </w:t>
      </w:r>
      <w:r w:rsidRPr="00B00DF2">
        <w:t>consignados</w:t>
      </w:r>
      <w:r w:rsidR="007A5505" w:rsidRPr="007A5505">
        <w:t>. Cualquier actuación nueva</w:t>
      </w:r>
      <w:r w:rsidRPr="00AA0E38">
        <w:t xml:space="preserve"> </w:t>
      </w:r>
      <w:r w:rsidRPr="00B00DF2">
        <w:t xml:space="preserve">o </w:t>
      </w:r>
      <w:r w:rsidR="007A5505" w:rsidRPr="007A5505">
        <w:t>ampliación futura deberá</w:t>
      </w:r>
      <w:r w:rsidRPr="00B00DF2">
        <w:t xml:space="preserve"> contar con su </w:t>
      </w:r>
      <w:r w:rsidR="007A5505" w:rsidRPr="007A5505">
        <w:t>propia</w:t>
      </w:r>
      <w:r w:rsidRPr="00B00DF2">
        <w:t xml:space="preserve"> valoración y cobertura presupuestaria</w:t>
      </w:r>
      <w:r w:rsidRPr="00AA0E38">
        <w:t>.</w:t>
      </w:r>
    </w:p>
    <w:p w14:paraId="44F5E9D7" w14:textId="77777777" w:rsidR="00F668B3" w:rsidRPr="00F668B3" w:rsidRDefault="00000000" w:rsidP="00752762">
      <w:pPr>
        <w:jc w:val="both"/>
      </w:pPr>
      <w:r>
        <w:pict w14:anchorId="4C555EED">
          <v:rect id="_x0000_i1027" style="width:0;height:1.5pt" o:hralign="center" o:hrstd="t" o:hr="t" fillcolor="#a0a0a0" stroked="f"/>
        </w:pict>
      </w:r>
    </w:p>
    <w:p w14:paraId="2918C136" w14:textId="77777777" w:rsidR="00F668B3" w:rsidRPr="00F668B3" w:rsidRDefault="00F668B3" w:rsidP="00752762">
      <w:pPr>
        <w:jc w:val="both"/>
        <w:rPr>
          <w:b/>
          <w:bCs/>
        </w:rPr>
      </w:pPr>
      <w:r w:rsidRPr="00F668B3">
        <w:rPr>
          <w:b/>
          <w:bCs/>
        </w:rPr>
        <w:t>F. Cargas administrativas</w:t>
      </w:r>
    </w:p>
    <w:p w14:paraId="3E359F0B" w14:textId="77777777" w:rsidR="00601B74" w:rsidRDefault="00816398">
      <w:pPr>
        <w:jc w:val="both"/>
      </w:pPr>
      <w:r w:rsidRPr="00816398">
        <w:t>La norma no impone obligaciones administrativas a la ciudadanía ni a las empresas por el mero desarrollo de su actividad económica. Sus destinatarios directos son la Administración autonómica, las entidades de su sector público y las organizaciones sindicales y empresariales más representativas que voluntariamente ejercen funciones de participación institucional. No se crean autorizaciones, licencias, registros empresariales, declaraciones responsables, comunicaciones periódicas ni obligaciones documentales aplicables con carácter general al tejido productivo.</w:t>
      </w:r>
    </w:p>
    <w:p w14:paraId="484D8CE5" w14:textId="77777777" w:rsidR="00816398" w:rsidRDefault="00816398">
      <w:pPr>
        <w:jc w:val="both"/>
        <w:rPr>
          <w:lang w:eastAsia="es-ES_tradnl"/>
        </w:rPr>
      </w:pPr>
      <w:r>
        <w:lastRenderedPageBreak/>
        <w:t>Para las organizaciones participantes, las cargas derivan de la designación y sustitución de representantes, la comunicación de los datos necesarios para acreditar la representatividad cuando no obren en poder de la Administración, la asistencia a las sesiones y el cumplimiento de las obligaciones de justificación asociadas a las subvenciones nominativas. Estas actuaciones no son ajenas a su actividad institucional ordinaria, pero deberán diseñarse de forma proporcionada y evitando que la financiación genere una carga documental superior a la necesaria.</w:t>
      </w:r>
    </w:p>
    <w:p w14:paraId="34D23DBA" w14:textId="77777777" w:rsidR="00816398" w:rsidRDefault="00816398">
      <w:pPr>
        <w:jc w:val="both"/>
        <w:rPr>
          <w:lang w:eastAsia="es-ES_tradnl"/>
        </w:rPr>
      </w:pPr>
      <w:r>
        <w:t>La principal medida de simplificación consiste en que las certificaciones de asistencia sean expedidas y remitidas de oficio por las secretarías de los órganos, sin exigir a las organizaciones beneficiarias que reproduzcan documentos ya disponibles en el sector público. La Administración deberá reutilizar los datos de representatividad procedentes de la oficina pública de registro, normalizar los modelos de designación y certificación y habilitar una tramitación electrónica común para el convenio-programa, los pagos, la justificación y la liquidación.</w:t>
      </w:r>
    </w:p>
    <w:p w14:paraId="72709C5B" w14:textId="77777777" w:rsidR="0072083E" w:rsidRDefault="00000000">
      <w:pPr>
        <w:jc w:val="both"/>
      </w:pPr>
      <w:r>
        <w:t xml:space="preserve">Para la Administración, la norma genera una carga inicial de adaptación: identificación de los órganos comprendidos en su ámbito, revisión de su normativa, renovación o adecuación de composiciones, emisión de certificaciones, gestión de las subvenciones y elaboración de la memoria anual. Esta carga se concentra en la fase de implantación y puede reducirse mediante procedimientos normalizados y </w:t>
      </w:r>
      <w:r w:rsidR="007515AF" w:rsidRPr="007515AF">
        <w:t xml:space="preserve">mecanismos proporcionados de </w:t>
      </w:r>
      <w:r>
        <w:t>coordinación entre el departamento competente en materia de trabajo y las secretarías de cada órgano.</w:t>
      </w:r>
    </w:p>
    <w:p w14:paraId="5B3232C8" w14:textId="77777777" w:rsidR="00816398" w:rsidRDefault="00816398">
      <w:pPr>
        <w:jc w:val="both"/>
        <w:rPr>
          <w:lang w:eastAsia="es-ES_tradnl"/>
        </w:rPr>
      </w:pPr>
      <w:r>
        <w:t>No se aprecia un impacto específico sobre las pequeñas y medianas empresas, dado que las obligaciones se imponen a las organizaciones empresariales representativas y no a las empresas asociadas o representadas. El desarrollo reglamentario deberá mantener esta delimitación y evitar trasladar a las empresas requerimientos de información que puedan obtenerse de fuentes administrativas o de las propias organizaciones.</w:t>
      </w:r>
    </w:p>
    <w:p w14:paraId="158985E8" w14:textId="77777777" w:rsidR="00F668B3" w:rsidRPr="00F668B3" w:rsidRDefault="00000000" w:rsidP="00752762">
      <w:pPr>
        <w:jc w:val="both"/>
      </w:pPr>
      <w:r>
        <w:pict w14:anchorId="022778DA">
          <v:rect id="_x0000_i1028" style="width:0;height:1.5pt" o:hralign="center" o:hrstd="t" o:hr="t" fillcolor="#a0a0a0" stroked="f"/>
        </w:pict>
      </w:r>
    </w:p>
    <w:p w14:paraId="57E2CA1B" w14:textId="77777777" w:rsidR="00F668B3" w:rsidRPr="00F668B3" w:rsidRDefault="00F668B3" w:rsidP="00752762">
      <w:pPr>
        <w:jc w:val="both"/>
        <w:rPr>
          <w:b/>
          <w:bCs/>
        </w:rPr>
      </w:pPr>
      <w:r w:rsidRPr="00F668B3">
        <w:rPr>
          <w:b/>
          <w:bCs/>
        </w:rPr>
        <w:t>G. Impacto de género</w:t>
      </w:r>
    </w:p>
    <w:p w14:paraId="327049D2" w14:textId="77777777" w:rsidR="00F668B3" w:rsidRPr="00F668B3" w:rsidRDefault="00F668B3" w:rsidP="00752762">
      <w:pPr>
        <w:jc w:val="both"/>
      </w:pPr>
      <w:r w:rsidRPr="00F668B3">
        <w:t>El impacto de género ha sido objeto de evaluación específica por el órgano competente en materia de igualdad.</w:t>
      </w:r>
    </w:p>
    <w:p w14:paraId="18CCD93B" w14:textId="77777777" w:rsidR="00F668B3" w:rsidRPr="00F668B3" w:rsidRDefault="00F668B3" w:rsidP="00752762">
      <w:pPr>
        <w:jc w:val="both"/>
      </w:pPr>
      <w:r w:rsidRPr="00F668B3">
        <w:t>La presente memoria se remite a dicho informe, sin perjuicio de que la norma incorpora el principio de igualdad en la composición de los órganos y en el desarrollo del diálogo social.</w:t>
      </w:r>
    </w:p>
    <w:p w14:paraId="05B65B0B" w14:textId="77777777" w:rsidR="00F668B3" w:rsidRPr="00F668B3" w:rsidRDefault="00000000" w:rsidP="00752762">
      <w:pPr>
        <w:jc w:val="both"/>
      </w:pPr>
      <w:r>
        <w:pict w14:anchorId="3F53F300">
          <v:rect id="_x0000_i1029" style="width:0;height:1.5pt" o:hralign="center" o:hrstd="t" o:hr="t" fillcolor="#a0a0a0" stroked="f"/>
        </w:pict>
      </w:r>
    </w:p>
    <w:p w14:paraId="3FCF67B9" w14:textId="77777777" w:rsidR="00F668B3" w:rsidRPr="00F668B3" w:rsidRDefault="00F668B3" w:rsidP="00752762">
      <w:pPr>
        <w:jc w:val="both"/>
        <w:rPr>
          <w:b/>
          <w:bCs/>
        </w:rPr>
      </w:pPr>
      <w:r w:rsidRPr="00F668B3">
        <w:rPr>
          <w:b/>
          <w:bCs/>
        </w:rPr>
        <w:t>H. Impacto lingüístico</w:t>
      </w:r>
    </w:p>
    <w:p w14:paraId="1AC7A8EF" w14:textId="77777777" w:rsidR="00601B74" w:rsidRDefault="003636AB">
      <w:pPr>
        <w:jc w:val="both"/>
      </w:pPr>
      <w:r w:rsidRPr="003636AB">
        <w:lastRenderedPageBreak/>
        <w:t>El anteproyecto incide directamente en espacios institucionales de deliberación, negociación, elaboración de propuestas y difusión de acuerdos. Por ello, la perspectiva lingüística no puede limitarse a declarar la adecuación formal del texto a la legislación vigente, sino que debe proyectarse sobre el funcionamiento efectivo de la Mesa de Diálogo Social y de los restantes órganos incluidos en la ley.</w:t>
      </w:r>
    </w:p>
    <w:p w14:paraId="29A43176" w14:textId="77777777" w:rsidR="003636AB" w:rsidRDefault="003636AB">
      <w:pPr>
        <w:jc w:val="both"/>
        <w:rPr>
          <w:lang w:eastAsia="es-ES_tradnl"/>
        </w:rPr>
      </w:pPr>
      <w:r>
        <w:t>La norma deberá garantizar el derecho a utilizar cualquiera de las dos lenguas oficiales en las convocatorias, sesiones, deliberaciones y comunicaciones con los órganos regulados. Las convocatorias, órdenes del día, actas, certificaciones, memorias, acuerdos destinados a publicidad y formularios de designación o justificación deberán estar disponibles en euskera y castellano, preservando la equivalencia jurídica y terminológica de ambas versiones.</w:t>
      </w:r>
    </w:p>
    <w:p w14:paraId="53A907F9" w14:textId="77777777" w:rsidR="003636AB" w:rsidRDefault="003636AB">
      <w:pPr>
        <w:jc w:val="both"/>
        <w:rPr>
          <w:lang w:eastAsia="es-ES_tradnl"/>
        </w:rPr>
      </w:pPr>
      <w:r>
        <w:t>La implantación de estas obligaciones requerirá prever medios de traducción, interpretación y revisión lingüística cuando sean necesarios, integrar criterios de lenguaje administrativo claro y asegurar que las herramientas electrónicas utilizadas admitan la gestión bilingüe. La utilización de una terminología estable para «participación institucional», «diálogo social», «representatividad», «asistencia» y «convenio-programa» contribuirá a evitar divergencias interpretativas.</w:t>
      </w:r>
    </w:p>
    <w:p w14:paraId="725C1D6C" w14:textId="77777777" w:rsidR="003636AB" w:rsidRDefault="003636AB">
      <w:pPr>
        <w:jc w:val="both"/>
        <w:rPr>
          <w:lang w:eastAsia="es-ES_tradnl"/>
        </w:rPr>
      </w:pPr>
      <w:r>
        <w:t>El efecto esperado es positivo, porque la institucionalización de órganos estables amplía los ámbitos de uso del euskera en materias económicas, laborales y sociales. Para que ese efecto se materialice, el desarrollo reglamentario y las normas de funcionamiento deberán incorporar expresamente criterios de normalización lingüística y prever su seguimiento en la memoria anual de la Mesa.</w:t>
      </w:r>
    </w:p>
    <w:p w14:paraId="1055C5F9" w14:textId="77777777" w:rsidR="00F668B3" w:rsidRPr="00F668B3" w:rsidRDefault="00000000" w:rsidP="00752762">
      <w:pPr>
        <w:jc w:val="both"/>
      </w:pPr>
      <w:r>
        <w:pict w14:anchorId="129E1C80">
          <v:rect id="_x0000_i1030" style="width:0;height:1.5pt" o:hralign="center" o:hrstd="t" o:hr="t" fillcolor="#a0a0a0" stroked="f"/>
        </w:pict>
      </w:r>
    </w:p>
    <w:p w14:paraId="4598ABF0" w14:textId="77777777" w:rsidR="00F668B3" w:rsidRPr="00F668B3" w:rsidRDefault="00F668B3" w:rsidP="00752762">
      <w:pPr>
        <w:jc w:val="both"/>
        <w:rPr>
          <w:b/>
          <w:bCs/>
        </w:rPr>
      </w:pPr>
      <w:r w:rsidRPr="00F668B3">
        <w:rPr>
          <w:b/>
          <w:bCs/>
        </w:rPr>
        <w:t>I. Impacto social</w:t>
      </w:r>
    </w:p>
    <w:p w14:paraId="5EBA6AC4" w14:textId="77777777" w:rsidR="00601B74" w:rsidRDefault="007832EC">
      <w:pPr>
        <w:jc w:val="both"/>
      </w:pPr>
      <w:r w:rsidRPr="007832EC">
        <w:t>El anteproyecto presenta un impacto social favorable al consolidar cauces estables de interlocución entre el Gobierno Vasco y las organizaciones que representan con carácter general a las personas trabajadoras y al empresariado. La participación temprana permite incorporar información sobre las consecuencias laborales y sociales de las políticas públicas, anticipar conflictos, mejorar su aplicabilidad y favorecer acuerdos con mayor legitimidad y continuidad.</w:t>
      </w:r>
    </w:p>
    <w:p w14:paraId="4DADA425" w14:textId="77777777" w:rsidR="007832EC" w:rsidRDefault="007832EC">
      <w:pPr>
        <w:jc w:val="both"/>
        <w:rPr>
          <w:lang w:eastAsia="es-ES_tradnl"/>
        </w:rPr>
      </w:pPr>
      <w:r>
        <w:t>La contribución a la cohesión social no deriva exclusivamente de la existencia de la Mesa, sino de la calidad y regularidad de su funcionamiento. El efecto positivo exige convocatorias suficientes, información previa adecuada, capacidad técnica de las partes, seguimiento de los acuerdos y publicidad de sus resultados. La financiación prevista pretende corregir desigualdades de capacidad y permitir una participación cualificada, pero deberá mantenerse vinculada a actividad efectiva y a resultados verificables.</w:t>
      </w:r>
    </w:p>
    <w:p w14:paraId="026D5784" w14:textId="77777777" w:rsidR="007832EC" w:rsidRDefault="007832EC">
      <w:pPr>
        <w:jc w:val="both"/>
        <w:rPr>
          <w:lang w:eastAsia="es-ES_tradnl"/>
        </w:rPr>
      </w:pPr>
      <w:r>
        <w:lastRenderedPageBreak/>
        <w:t>La ley también puede producir efectos favorables sobre la calidad del empleo, la competitividad, la adaptación del tejido productivo y el mantenimiento del Estado social, en la medida en que la Mesa priorice esas materias y alcance acuerdos aplicables. Tales efectos son indirectos y no deben darse por supuestos: deberán evaluarse a partir de los acuerdos adoptados, su grado de ejecución y los cambios observables en las políticas públicas relacionadas.</w:t>
      </w:r>
    </w:p>
    <w:p w14:paraId="58FFF288" w14:textId="77777777" w:rsidR="007832EC" w:rsidRDefault="007832EC">
      <w:pPr>
        <w:jc w:val="both"/>
        <w:rPr>
          <w:lang w:eastAsia="es-ES_tradnl"/>
        </w:rPr>
      </w:pPr>
      <w:r>
        <w:t>La reserva de la participación institucional general a las organizaciones más representativas puede limitar el número de interlocutores presentes en determinados órganos. Este efecto responde a una finalidad legítima de eficacia y representación general, pero debe compensarse mediante la preservación de los cauces sectoriales previstos en la disposición adicional segunda, la transparencia de los criterios de representatividad y la revisión periódica de la composición de los órganos.</w:t>
      </w:r>
    </w:p>
    <w:p w14:paraId="749342D3" w14:textId="77777777" w:rsidR="0072083E" w:rsidRDefault="00000000">
      <w:pPr>
        <w:jc w:val="both"/>
      </w:pPr>
      <w:r>
        <w:t xml:space="preserve">El impacto social </w:t>
      </w:r>
      <w:r w:rsidR="007868E3" w:rsidRPr="007868E3">
        <w:t>se medirá</w:t>
      </w:r>
      <w:r>
        <w:t xml:space="preserve"> mediante indicadores diferenciados: regularidad de las sesiones, asistencia, materias </w:t>
      </w:r>
      <w:r w:rsidR="007868E3" w:rsidRPr="007868E3">
        <w:t>tratadas</w:t>
      </w:r>
      <w:r>
        <w:t xml:space="preserve">, propuestas </w:t>
      </w:r>
      <w:r w:rsidR="007868E3" w:rsidRPr="007868E3">
        <w:t xml:space="preserve">y </w:t>
      </w:r>
      <w:r>
        <w:t xml:space="preserve">acuerdos, grado de ejecución, incorporación de resultados a planes o normas y valoración de las organizaciones participantes. </w:t>
      </w:r>
      <w:r w:rsidR="007868E3" w:rsidRPr="007868E3">
        <w:t>Su</w:t>
      </w:r>
      <w:r>
        <w:t xml:space="preserve"> publicidad permitirá comprobar si </w:t>
      </w:r>
      <w:r w:rsidR="007868E3" w:rsidRPr="007868E3">
        <w:t>el nuevo marco</w:t>
      </w:r>
      <w:r>
        <w:t xml:space="preserve"> mejora la gobernanza o se limita a </w:t>
      </w:r>
      <w:r w:rsidR="007868E3" w:rsidRPr="007868E3">
        <w:t>aumentar</w:t>
      </w:r>
      <w:r>
        <w:t xml:space="preserve"> la actividad formal.</w:t>
      </w:r>
    </w:p>
    <w:p w14:paraId="2857EBF6" w14:textId="77777777" w:rsidR="00F668B3" w:rsidRPr="00F668B3" w:rsidRDefault="00000000" w:rsidP="00752762">
      <w:pPr>
        <w:jc w:val="both"/>
      </w:pPr>
      <w:r>
        <w:pict w14:anchorId="56B80848">
          <v:rect id="_x0000_i1031" style="width:0;height:1.5pt" o:hralign="center" o:hrstd="t" o:hr="t" fillcolor="#a0a0a0" stroked="f"/>
        </w:pict>
      </w:r>
    </w:p>
    <w:p w14:paraId="4A8B4924" w14:textId="77777777" w:rsidR="005840C7" w:rsidRDefault="006613C3">
      <w:pPr>
        <w:jc w:val="both"/>
      </w:pPr>
      <w:r w:rsidRPr="006613C3">
        <w:rPr>
          <w:b/>
          <w:bCs/>
        </w:rPr>
        <w:t>J. Informe de impacto en la empresa</w:t>
      </w:r>
    </w:p>
    <w:p w14:paraId="5C823142" w14:textId="77777777" w:rsidR="005840C7" w:rsidRDefault="00535B63">
      <w:pPr>
        <w:jc w:val="both"/>
      </w:pPr>
      <w:r w:rsidRPr="00535B63">
        <w:t>Este apartado constituye el informe de evaluación del impacto de la norma en la constitución, puesta en marcha y funcionamiento de las empresas previsto en</w:t>
      </w:r>
      <w:r w:rsidRPr="00546A06">
        <w:t xml:space="preserve"> el artículo 6 de la Ley 16/2012, de 28 de junio, de apoyo a las personas emprendedoras y a la pequeña empresa del País Vasco</w:t>
      </w:r>
      <w:r w:rsidRPr="00535B63">
        <w:t>. El análisis se integra en la presente memoria por corresponder su elaboración a los servicios jurídicos responsables de la tramitación del anteproyecto y no requiere la emisión de un documento separado.</w:t>
      </w:r>
    </w:p>
    <w:p w14:paraId="734985D7" w14:textId="77777777" w:rsidR="005840C7" w:rsidRDefault="008102C3">
      <w:pPr>
        <w:jc w:val="both"/>
      </w:pPr>
      <w:r w:rsidRPr="008102C3">
        <w:t>El anteproyecto no establece requisitos para crear empresas o iniciar actividades económicas, no introduce autorizaciones, registros, declaraciones responsables ni obligaciones de información a cargo de las empresas y no modifica sus condiciones de funcionamiento. La participación corresponde a organizaciones empresariales en atención a su representatividad y no a las empresas individualmente consideradas. En consecuencia, no se aprecia impacto directo sobre la constitución, puesta en marcha o funcionamiento de las empresas, ni cargas específicas para las pequeñas y medianas empresas.</w:t>
      </w:r>
    </w:p>
    <w:p w14:paraId="4C385FC4" w14:textId="77777777" w:rsidR="008102C3" w:rsidRDefault="008102C3">
      <w:pPr>
        <w:jc w:val="both"/>
        <w:rPr>
          <w:lang w:eastAsia="es-ES_tradnl"/>
        </w:rPr>
      </w:pPr>
      <w:r>
        <w:t xml:space="preserve">Tampoco se alteran las condiciones de competencia en los mercados ni se conceden ventajas a empresas concretas. Los eventuales efectos favorables sobre la competitividad, derivados de una mejor definición de las políticas de empleo, formación o adaptación productiva, tienen carácter indirecto y dependerán de las decisiones que </w:t>
      </w:r>
      <w:r>
        <w:lastRenderedPageBreak/>
        <w:t>se adopten posteriormente. Cada una de esas decisiones deberá someterse, cuando proceda, a su propio análisis de impacto empresarial y sobre la competencia.</w:t>
      </w:r>
    </w:p>
    <w:p w14:paraId="0ED063B1" w14:textId="77777777" w:rsidR="00535B63" w:rsidRDefault="00535B63">
      <w:pPr>
        <w:jc w:val="both"/>
        <w:rPr>
          <w:lang w:eastAsia="es-ES_tradnl"/>
        </w:rPr>
      </w:pPr>
      <w:r>
        <w:t>En conclusión, el impacto en la empresa es neutro: el anteproyecto no incide de forma directa en la creación, puesta en marcha o funcionamiento de empresas, no introduce cargas empresariales ni altera las condiciones de competencia, sin perjuicio de los efectos indirectos que puedan producir futuras políticas acordadas en el marco del diálogo social.</w:t>
      </w:r>
    </w:p>
    <w:p w14:paraId="14F4A1A7" w14:textId="77777777" w:rsidR="005840C7" w:rsidRDefault="004D6002">
      <w:pPr>
        <w:jc w:val="both"/>
      </w:pPr>
      <w:r w:rsidRPr="004D6002">
        <w:rPr>
          <w:b/>
          <w:bCs/>
        </w:rPr>
        <w:t>K. Impacto sobre el empleo y procedencia del informe del Consejo Vasco de Políticas Públicas de Empleo</w:t>
      </w:r>
    </w:p>
    <w:p w14:paraId="27E0AA0D" w14:textId="77777777" w:rsidR="005840C7" w:rsidRDefault="00000000">
      <w:pPr>
        <w:jc w:val="both"/>
      </w:pPr>
      <w:r w:rsidRPr="6DC3F95B">
        <w:rPr>
          <w:lang w:val="es-ES"/>
        </w:rPr>
        <w:t xml:space="preserve">La Ley 15/2023, de 21 de diciembre, de Empleo, atribuye al Consejo Vasco de Políticas Públicas de Empleo la función de informar los anteproyectos de ley y los proyectos de disposiciones de carácter general que incidan directamente en la política de empleo. </w:t>
      </w:r>
      <w:r w:rsidR="002218CB" w:rsidRPr="6DC3F95B">
        <w:rPr>
          <w:lang w:val="es-ES"/>
        </w:rPr>
        <w:t xml:space="preserve">La </w:t>
      </w:r>
      <w:proofErr w:type="spellStart"/>
      <w:r w:rsidR="002218CB" w:rsidRPr="6DC3F95B">
        <w:rPr>
          <w:lang w:val="es-ES"/>
        </w:rPr>
        <w:t>preceptividad</w:t>
      </w:r>
      <w:proofErr w:type="spellEnd"/>
      <w:r w:rsidR="002218CB" w:rsidRPr="6DC3F95B">
        <w:rPr>
          <w:lang w:val="es-ES"/>
        </w:rPr>
        <w:t xml:space="preserve"> del informe depende, por tanto, de que la iniciativa produzca una incidencia material y directa en dicha política, y no de su mera conexión con materias laborales o socioeconómicas.</w:t>
      </w:r>
    </w:p>
    <w:p w14:paraId="6CBE33FB" w14:textId="77777777" w:rsidR="005840C7" w:rsidRDefault="00000000">
      <w:pPr>
        <w:jc w:val="both"/>
      </w:pPr>
      <w:r>
        <w:t>El anteproyecto tiene naturaleza institucional y organizativa</w:t>
      </w:r>
      <w:r w:rsidR="003F723D" w:rsidRPr="003F723D">
        <w:t xml:space="preserve">. Regula los sujetos, órganos, criterios, derechos, deberes y financiación de la </w:t>
      </w:r>
      <w:r>
        <w:t xml:space="preserve">participación </w:t>
      </w:r>
      <w:r w:rsidR="003F723D" w:rsidRPr="003F723D">
        <w:t>institucional y eleva a rango legal</w:t>
      </w:r>
      <w:r>
        <w:t xml:space="preserve"> la </w:t>
      </w:r>
      <w:r w:rsidR="003F723D" w:rsidRPr="003F723D">
        <w:t xml:space="preserve">configuración de la </w:t>
      </w:r>
      <w:r>
        <w:t>Mesa de Diálogo Social</w:t>
      </w:r>
      <w:r w:rsidR="003F723D" w:rsidRPr="003F723D">
        <w:t>.</w:t>
      </w:r>
      <w:r>
        <w:t xml:space="preserve"> No ordena el Sistema Vasco de Empleo, no </w:t>
      </w:r>
      <w:r w:rsidR="003F723D" w:rsidRPr="003F723D">
        <w:t>regula la planificación de la política pública de empleo, no crea servicios, programas o instrumentos de empleo, no modifica la cartera de servicios ni altera las competencias o relaciones entre los agentes que integran dicho sistema.</w:t>
      </w:r>
    </w:p>
    <w:p w14:paraId="63B3154F" w14:textId="77777777" w:rsidR="005840C7" w:rsidRDefault="00DE4C1A">
      <w:pPr>
        <w:jc w:val="both"/>
      </w:pPr>
      <w:r w:rsidRPr="00DE4C1A">
        <w:t>En consecuencia</w:t>
      </w:r>
      <w:r>
        <w:t xml:space="preserve">, no </w:t>
      </w:r>
      <w:r w:rsidRPr="00DE4C1A">
        <w:t>concurre el presupuesto legal de</w:t>
      </w:r>
      <w:r>
        <w:t xml:space="preserve"> incidencia directa en la política de empleo </w:t>
      </w:r>
      <w:r w:rsidRPr="00DE4C1A">
        <w:t xml:space="preserve">y no resulta </w:t>
      </w:r>
      <w:r>
        <w:t xml:space="preserve">preceptivo </w:t>
      </w:r>
      <w:r w:rsidRPr="00DE4C1A">
        <w:t xml:space="preserve">recabar </w:t>
      </w:r>
      <w:r>
        <w:t>informe del Consejo Vasco de Políticas Públicas de Empleo</w:t>
      </w:r>
      <w:r w:rsidRPr="00DE4C1A">
        <w:t>. La referencia general del anteproyecto a materias laborales, sociales y socioeconómicas delimita el campo posible de la participación y del diálogo social, pero no convierte la norma en un instrumento de ordenación de la política de empleo. Tampoco altera esta conclusión el hecho de que futuras iniciativas sometidas a participación institucional puedan incidir en el empleo, pues serán esas disposiciones o planes los que, atendiendo a su contenido, deberán recabar el informe cuando proceda.</w:t>
      </w:r>
    </w:p>
    <w:p w14:paraId="626FA579" w14:textId="77777777" w:rsidR="005840C7" w:rsidRDefault="00000000">
      <w:pPr>
        <w:jc w:val="both"/>
      </w:pPr>
      <w:r>
        <w:t xml:space="preserve">El impacto material sobre el empleo </w:t>
      </w:r>
      <w:r w:rsidR="00DE6FEF" w:rsidRPr="00DE6FEF">
        <w:t>es neutro.</w:t>
      </w:r>
      <w:r>
        <w:t xml:space="preserve"> La norma no crea </w:t>
      </w:r>
      <w:r w:rsidR="00DE6FEF" w:rsidRPr="00DE6FEF">
        <w:t xml:space="preserve">ni destruye </w:t>
      </w:r>
      <w:r>
        <w:t xml:space="preserve">puestos de trabajo, </w:t>
      </w:r>
      <w:r w:rsidR="00DE6FEF" w:rsidRPr="00DE6FEF">
        <w:t xml:space="preserve">no establece </w:t>
      </w:r>
      <w:r>
        <w:t xml:space="preserve">incentivos a la contratación, </w:t>
      </w:r>
      <w:r w:rsidR="00DE6FEF" w:rsidRPr="00DE6FEF">
        <w:t>no modifica la empleabilidad o la formación profesional para el</w:t>
      </w:r>
      <w:r>
        <w:t xml:space="preserve"> empleo</w:t>
      </w:r>
      <w:r w:rsidR="00DE6FEF" w:rsidRPr="00DE6FEF">
        <w:t xml:space="preserve">, no reconoce prestaciones ni impone </w:t>
      </w:r>
      <w:r>
        <w:t xml:space="preserve">obligaciones </w:t>
      </w:r>
      <w:r w:rsidR="00DE6FEF" w:rsidRPr="00DE6FEF">
        <w:t xml:space="preserve">laborales a </w:t>
      </w:r>
      <w:r>
        <w:t>empresas o personas trabajadoras. Los eventuales efectos sobre la calidad del empleo</w:t>
      </w:r>
      <w:r w:rsidR="00DE6FEF" w:rsidRPr="00DE6FEF">
        <w:t xml:space="preserve"> derivarán de </w:t>
      </w:r>
      <w:r>
        <w:t>acuerdos</w:t>
      </w:r>
      <w:r w:rsidR="00DE6FEF" w:rsidRPr="00DE6FEF">
        <w:t>, planes o normas posteriores</w:t>
      </w:r>
      <w:r>
        <w:t xml:space="preserve"> y deberán evaluarse en cada iniciativa específica.</w:t>
      </w:r>
    </w:p>
    <w:p w14:paraId="35644820" w14:textId="77777777" w:rsidR="00DE6FEF" w:rsidRDefault="00DE6FEF">
      <w:pPr>
        <w:jc w:val="both"/>
        <w:rPr>
          <w:lang w:eastAsia="es-ES_tradnl"/>
        </w:rPr>
      </w:pPr>
      <w:r>
        <w:t xml:space="preserve">La participación de los interlocutores sociales en la elaboración del anteproyecto ya se ha producido en la Mesa de Diálogo Social, donde se acordaron las bases de la futura ley. Esta intervención constituye el antecedente propio del proceso de concertación social </w:t>
      </w:r>
      <w:r>
        <w:lastRenderedPageBreak/>
        <w:t>de la iniciativa, pero es jurídicamente distinta del informe sectorial del Consejo Vasco de Políticas Públicas de Empleo y no determina su exigibilidad.</w:t>
      </w:r>
    </w:p>
    <w:p w14:paraId="28CA0F63" w14:textId="77777777" w:rsidR="005840C7" w:rsidRDefault="005677E9">
      <w:pPr>
        <w:jc w:val="both"/>
      </w:pPr>
      <w:r w:rsidRPr="005677E9">
        <w:rPr>
          <w:b/>
          <w:bCs/>
        </w:rPr>
        <w:t>L</w:t>
      </w:r>
      <w:r>
        <w:rPr>
          <w:b/>
          <w:bCs/>
        </w:rPr>
        <w:t>. Impacto organizativo, digital y sobre los recursos administrativos</w:t>
      </w:r>
    </w:p>
    <w:p w14:paraId="6DC1914E" w14:textId="77777777" w:rsidR="007832EC" w:rsidRDefault="007832EC">
      <w:pPr>
        <w:jc w:val="both"/>
        <w:rPr>
          <w:lang w:eastAsia="es-ES_tradnl"/>
        </w:rPr>
      </w:pPr>
      <w:r>
        <w:t>La ley exige adaptar la normativa y composición de los órganos tripartitos existentes, coordinar sus secretarías y disponer de información común sobre designaciones, representatividad y asistencia. Aunque no se prevé crear una nueva unidad, sí se produce un impacto organizativo que deberá planificarse durante el plazo transitorio de seis meses.</w:t>
      </w:r>
    </w:p>
    <w:p w14:paraId="3DEF1ACE" w14:textId="77777777" w:rsidR="007832EC" w:rsidRDefault="007832EC">
      <w:pPr>
        <w:jc w:val="both"/>
        <w:rPr>
          <w:lang w:eastAsia="es-ES_tradnl"/>
        </w:rPr>
      </w:pPr>
      <w:r>
        <w:t>La gestión electrónica presenta un efecto positivo si permite automatizar convocatorias, certificaciones, liquidaciones y datos para la evaluación. El sistema deberá ser interoperable, accesible, bilingüe y ajustarse al principio de una sola vez, evitando bases de datos paralelas y requerimientos repetidos a las organizaciones.</w:t>
      </w:r>
    </w:p>
    <w:p w14:paraId="248E6B0B" w14:textId="77777777" w:rsidR="005840C7" w:rsidRDefault="00093124">
      <w:pPr>
        <w:jc w:val="both"/>
      </w:pPr>
      <w:r w:rsidRPr="00093124">
        <w:rPr>
          <w:b/>
          <w:bCs/>
        </w:rPr>
        <w:t>M</w:t>
      </w:r>
      <w:r>
        <w:rPr>
          <w:b/>
          <w:bCs/>
        </w:rPr>
        <w:t>. Impacto sobre la protección de datos, la transparencia y la integridad pública</w:t>
      </w:r>
    </w:p>
    <w:p w14:paraId="20655E42" w14:textId="77777777" w:rsidR="007832EC" w:rsidRDefault="007832EC">
      <w:pPr>
        <w:jc w:val="both"/>
        <w:rPr>
          <w:lang w:eastAsia="es-ES_tradnl"/>
        </w:rPr>
      </w:pPr>
      <w:r>
        <w:t>La aplicación de la ley implicará tratar datos identificativos de las personas representantes, su organización, condición de titular o suplente y asistencia a las sesiones. El tratamiento es limitado y necesario para la composición de los órganos, el cumplimiento de sus funciones y la justificación de la financiación. El desarrollo reglamentario deberá concretar responsables, finalidades, plazos de conservación, accesos y medidas de seguridad, aplicando los principios de minimización y limitación de la finalidad.</w:t>
      </w:r>
    </w:p>
    <w:p w14:paraId="5C7C43BF" w14:textId="77777777" w:rsidR="007832EC" w:rsidRDefault="007832EC">
      <w:pPr>
        <w:jc w:val="both"/>
        <w:rPr>
          <w:lang w:eastAsia="es-ES_tradnl"/>
        </w:rPr>
      </w:pPr>
      <w:r>
        <w:t>La transparencia debe comprender la composición de los órganos, sus reglas de funcionamiento, los acuerdos, la memoria anual, las subvenciones concedidas y su grado de ejecución, sin publicar datos personales innecesarios ni información declarada reservada. La trazabilidad de convocatorias, asistencias y pagos refuerza la integridad del sistema y reduce el riesgo de doble financiación o de percepción por actividad no realizada.</w:t>
      </w:r>
    </w:p>
    <w:p w14:paraId="5B894C22" w14:textId="77777777" w:rsidR="005840C7" w:rsidRDefault="00000000">
      <w:pPr>
        <w:jc w:val="both"/>
      </w:pPr>
      <w:r w:rsidRPr="00824BD7">
        <w:rPr>
          <w:b/>
          <w:bCs/>
        </w:rPr>
        <w:t>N</w:t>
      </w:r>
      <w:r>
        <w:rPr>
          <w:b/>
          <w:bCs/>
        </w:rPr>
        <w:t>. Impacto sobre la accesibilidad universal</w:t>
      </w:r>
    </w:p>
    <w:p w14:paraId="7107DE22" w14:textId="77777777" w:rsidR="007832EC" w:rsidRDefault="007832EC">
      <w:pPr>
        <w:jc w:val="both"/>
        <w:rPr>
          <w:lang w:eastAsia="es-ES_tradnl"/>
        </w:rPr>
      </w:pPr>
      <w:r>
        <w:t>Las reuniones presenciales, telemáticas y mixtas, la documentación y las herramientas electrónicas deberán ser accesibles para personas con discapacidad. Esta exigencia comprende la accesibilidad física de las sedes, la comunicación, los documentos digitales, las plataformas de videoconferencia y la provisión de apoyos razonables cuando sean necesarios. La ley no genera por sí misma efectos adversos sobre las personas con discapacidad, pero su ejecución debe impedir que barreras materiales o tecnológicas limiten el ejercicio de la representación institucional.</w:t>
      </w:r>
    </w:p>
    <w:p w14:paraId="60CCFF64" w14:textId="77777777" w:rsidR="005840C7" w:rsidRDefault="00F63442">
      <w:pPr>
        <w:jc w:val="both"/>
      </w:pPr>
      <w:r w:rsidRPr="00F63442">
        <w:rPr>
          <w:b/>
          <w:bCs/>
        </w:rPr>
        <w:t>O</w:t>
      </w:r>
      <w:r>
        <w:rPr>
          <w:b/>
          <w:bCs/>
        </w:rPr>
        <w:t>. Impacto sobre la familia</w:t>
      </w:r>
    </w:p>
    <w:p w14:paraId="31311D1D" w14:textId="77777777" w:rsidR="008102C3" w:rsidRDefault="008102C3">
      <w:pPr>
        <w:jc w:val="both"/>
        <w:rPr>
          <w:lang w:eastAsia="es-ES_tradnl"/>
        </w:rPr>
      </w:pPr>
      <w:r>
        <w:lastRenderedPageBreak/>
        <w:t>No se aprecia un impacto directo o específico sobre la familia. El anteproyecto tiene un contenido institucional y organizativo, no regula relaciones familiares, medidas de conciliación, prestaciones, servicios de apoyo, protección jurídica o condiciones económicas de las unidades familiares. La eventual incidencia de los acuerdos de diálogo social sobre políticas familiares será indirecta y deberá valorarse en cada iniciativa posterior que los desarrolle.</w:t>
      </w:r>
    </w:p>
    <w:p w14:paraId="0836232C" w14:textId="77777777" w:rsidR="005840C7" w:rsidRDefault="009A0875">
      <w:pPr>
        <w:jc w:val="both"/>
      </w:pPr>
      <w:r w:rsidRPr="009A0875">
        <w:rPr>
          <w:b/>
          <w:bCs/>
        </w:rPr>
        <w:t>P</w:t>
      </w:r>
      <w:r>
        <w:rPr>
          <w:b/>
          <w:bCs/>
        </w:rPr>
        <w:t>. Impacto sobre la juventud, la infancia y la adolescencia</w:t>
      </w:r>
    </w:p>
    <w:p w14:paraId="5BE1A219" w14:textId="77777777" w:rsidR="008102C3" w:rsidRDefault="008102C3">
      <w:pPr>
        <w:jc w:val="both"/>
        <w:rPr>
          <w:lang w:eastAsia="es-ES_tradnl"/>
        </w:rPr>
      </w:pPr>
      <w:r>
        <w:t>No se aprecia un impacto directo o específico sobre las personas jóvenes, la infancia o la adolescencia. La norma no reconoce ni restringe derechos de estos colectivos, no regula servicios o prestaciones dirigidos a ellos y no modifica sus cauces propios de participación. La Mesa podrá abordar materias de empleo juvenil, emancipación, formación o protección social, pero los efectos correspondientes derivarán de los planes, acuerdos o normas posteriores y deberán ser objeto de su evaluación específica.</w:t>
      </w:r>
    </w:p>
    <w:p w14:paraId="378970A2" w14:textId="77777777" w:rsidR="005840C7" w:rsidRDefault="00914DF4">
      <w:pPr>
        <w:jc w:val="both"/>
      </w:pPr>
      <w:r w:rsidRPr="00914DF4">
        <w:rPr>
          <w:b/>
          <w:bCs/>
        </w:rPr>
        <w:t>Q</w:t>
      </w:r>
      <w:r w:rsidRPr="009A541D">
        <w:rPr>
          <w:b/>
          <w:bCs/>
        </w:rPr>
        <w:t>. Otros impactos sectoriales</w:t>
      </w:r>
    </w:p>
    <w:p w14:paraId="6C27C761" w14:textId="77777777" w:rsidR="009A541D" w:rsidRDefault="009A541D">
      <w:pPr>
        <w:jc w:val="both"/>
        <w:rPr>
          <w:lang w:eastAsia="es-ES_tradnl"/>
        </w:rPr>
      </w:pPr>
      <w:r>
        <w:t>No se aprecia un impacto directo específico sobre el medio ambiente, el cambio climático, la salud pública o el medio rural, dado el carácter institucional y organizativo de la norma. Cuando la Mesa aborde políticas con incidencia en esos ámbitos, cada plan, acuerdo o iniciativa posterior deberá someterse a su propia evaluación sectorial, sin que la participación institucional sustituya los informes legalmente exigibles.</w:t>
      </w:r>
    </w:p>
    <w:p w14:paraId="3B60A0AC" w14:textId="77777777" w:rsidR="005840C7" w:rsidRDefault="00C42CCA">
      <w:pPr>
        <w:jc w:val="both"/>
      </w:pPr>
      <w:r w:rsidRPr="00C42CCA">
        <w:rPr>
          <w:b/>
          <w:bCs/>
        </w:rPr>
        <w:t>R</w:t>
      </w:r>
      <w:r w:rsidRPr="00F668B3">
        <w:rPr>
          <w:b/>
          <w:bCs/>
        </w:rPr>
        <w:t>. Evaluación ex post</w:t>
      </w:r>
    </w:p>
    <w:p w14:paraId="67450EA6" w14:textId="77777777" w:rsidR="0072083E" w:rsidRDefault="00000000">
      <w:pPr>
        <w:jc w:val="both"/>
      </w:pPr>
      <w:r w:rsidRPr="001A2166">
        <w:t xml:space="preserve">La evaluación ex post </w:t>
      </w:r>
      <w:r w:rsidR="001A2166" w:rsidRPr="001A2166">
        <w:t>es</w:t>
      </w:r>
      <w:r w:rsidRPr="001A2166">
        <w:t xml:space="preserve"> necesaria porque la ley </w:t>
      </w:r>
      <w:r w:rsidR="001A2166" w:rsidRPr="001A2166">
        <w:t>establece</w:t>
      </w:r>
      <w:r w:rsidRPr="001A2166">
        <w:t xml:space="preserve"> un marco estable, exige </w:t>
      </w:r>
      <w:r w:rsidR="001A2166" w:rsidRPr="001A2166">
        <w:t>adaptar varios</w:t>
      </w:r>
      <w:r w:rsidRPr="001A2166">
        <w:t xml:space="preserve"> órganos y vincula recursos públicos a una actividad cuyos resultados deben ser verificables. Se propone una primera evaluación de implantación a los dos años de </w:t>
      </w:r>
      <w:r w:rsidR="001A2166" w:rsidRPr="001A2166">
        <w:t>su</w:t>
      </w:r>
      <w:r w:rsidRPr="001A2166">
        <w:t xml:space="preserve"> entrada en vigor y </w:t>
      </w:r>
      <w:r w:rsidR="001A2166" w:rsidRPr="001A2166">
        <w:t>otra</w:t>
      </w:r>
      <w:r w:rsidRPr="001A2166">
        <w:t xml:space="preserve"> completa al finalizar el primer convenio-programa cuatrienal. La primera </w:t>
      </w:r>
      <w:r w:rsidR="001A2166" w:rsidRPr="001A2166">
        <w:t>examinará</w:t>
      </w:r>
      <w:r w:rsidRPr="001A2166">
        <w:t xml:space="preserve"> la adaptación normativa y organizativa; la segunda</w:t>
      </w:r>
      <w:r w:rsidR="001A2166" w:rsidRPr="001A2166">
        <w:t xml:space="preserve">, la </w:t>
      </w:r>
      <w:r w:rsidRPr="001A2166">
        <w:t xml:space="preserve">eficacia, </w:t>
      </w:r>
      <w:r w:rsidR="001A2166" w:rsidRPr="001A2166">
        <w:t xml:space="preserve">la </w:t>
      </w:r>
      <w:r w:rsidRPr="001A2166">
        <w:t xml:space="preserve">eficiencia, </w:t>
      </w:r>
      <w:r w:rsidR="001A2166" w:rsidRPr="001A2166">
        <w:t xml:space="preserve">la </w:t>
      </w:r>
      <w:r w:rsidRPr="001A2166">
        <w:t xml:space="preserve">sostenibilidad y </w:t>
      </w:r>
      <w:r w:rsidR="001A2166" w:rsidRPr="001A2166">
        <w:t xml:space="preserve">los </w:t>
      </w:r>
      <w:r w:rsidRPr="001A2166">
        <w:t>resultados.</w:t>
      </w:r>
    </w:p>
    <w:p w14:paraId="39D79C1F" w14:textId="77777777" w:rsidR="005840C7" w:rsidRDefault="005840C7">
      <w:pPr>
        <w:jc w:val="both"/>
        <w:rPr>
          <w:lang w:eastAsia="es-ES_tradnl"/>
        </w:rPr>
      </w:pPr>
      <w:r>
        <w:t>La evaluación deberá analizar, al menos, el número de órganos incluidos y adaptados; la regularidad de sus reuniones; la tasa de asistencia por organización y órgano; el número y naturaleza de propuestas y acuerdos; su grado de ejecución; el tiempo medio de tramitación; el coste administrativo; el crédito concedido, pagado, minorado y reintegrado; la existencia de duplicidades; el uso de las lenguas oficiales; la presencia equilibrada de mujeres y hombres; la accesibilidad de las sesiones y herramientas; y la valoración de las partes participantes.</w:t>
      </w:r>
    </w:p>
    <w:p w14:paraId="3ED86BC4" w14:textId="77777777" w:rsidR="0072083E" w:rsidRDefault="00000000">
      <w:pPr>
        <w:jc w:val="both"/>
      </w:pPr>
      <w:r>
        <w:t xml:space="preserve">La unidad responsable del seguimiento será el departamento competente en materia de trabajo, con la colaboración de las secretarías de los órganos y de las organizaciones participantes. La memoria anual de la Mesa constituirá una fuente de información, </w:t>
      </w:r>
      <w:r w:rsidR="007D4186" w:rsidRPr="007D4186">
        <w:t>que podrá</w:t>
      </w:r>
      <w:r>
        <w:t xml:space="preserve"> completarse con </w:t>
      </w:r>
      <w:r w:rsidR="007D4186" w:rsidRPr="007D4186">
        <w:t>los datos disponibles</w:t>
      </w:r>
      <w:r>
        <w:t xml:space="preserve"> de los restantes órganos y con la ejecución </w:t>
      </w:r>
      <w:r>
        <w:lastRenderedPageBreak/>
        <w:t xml:space="preserve">presupuestaria. Las conclusiones se harán públicas y </w:t>
      </w:r>
      <w:r w:rsidR="007D4186" w:rsidRPr="007D4186">
        <w:t>podrán servir</w:t>
      </w:r>
      <w:r>
        <w:t xml:space="preserve"> para revisar los procedimientos, el convenio-programa, los criterios de financiación y, si fuera necesario, el propio marco normativo.</w:t>
      </w:r>
    </w:p>
    <w:p w14:paraId="43AAB579" w14:textId="77777777" w:rsidR="0072083E" w:rsidRDefault="00000000">
      <w:pPr>
        <w:jc w:val="both"/>
      </w:pPr>
      <w:r>
        <w:t xml:space="preserve">La evaluación </w:t>
      </w:r>
      <w:r w:rsidR="00212F48" w:rsidRPr="00212F48">
        <w:t>distinguirá</w:t>
      </w:r>
      <w:r>
        <w:t xml:space="preserve"> actividad y resultado. Un mayor número de reuniones no </w:t>
      </w:r>
      <w:r w:rsidR="00212F48" w:rsidRPr="00212F48">
        <w:t>supone</w:t>
      </w:r>
      <w:r>
        <w:t xml:space="preserve"> por sí solo una mejora del diálogo social. La valoración </w:t>
      </w:r>
      <w:r w:rsidR="00212F48" w:rsidRPr="00212F48">
        <w:t>atenderá</w:t>
      </w:r>
      <w:r>
        <w:t xml:space="preserve"> a la calidad de la información, la utilidad de las propuestas, el cumplimiento de los acuerdos, la reducción de cargas, la proporcionalidad de la financiación y la contribución efectiva de la participación a las políticas públicas.</w:t>
      </w:r>
    </w:p>
    <w:p w14:paraId="22A28B3E" w14:textId="77777777" w:rsidR="0072083E" w:rsidRDefault="00C3575C">
      <w:pPr>
        <w:jc w:val="both"/>
      </w:pPr>
      <w:r w:rsidRPr="00C3575C">
        <w:rPr>
          <w:b/>
          <w:bCs/>
        </w:rPr>
        <w:t>S</w:t>
      </w:r>
      <w:r w:rsidRPr="00EF23D3">
        <w:rPr>
          <w:b/>
          <w:bCs/>
        </w:rPr>
        <w:t>. Descripción de la tramitación</w:t>
      </w:r>
    </w:p>
    <w:p w14:paraId="5976007C" w14:textId="77777777" w:rsidR="0072083E" w:rsidRDefault="00000000">
      <w:pPr>
        <w:jc w:val="both"/>
      </w:pPr>
      <w:r w:rsidRPr="00EF23D3">
        <w:t xml:space="preserve">De conformidad con el artículo 133.1 de la Ley 39/2015, de 1 de octubre, del Procedimiento Administrativo Común de las Administraciones Públicas, </w:t>
      </w:r>
      <w:r w:rsidR="002C175A" w:rsidRPr="002C175A">
        <w:t>y con</w:t>
      </w:r>
      <w:r w:rsidRPr="00EF23D3">
        <w:t xml:space="preserve"> el artículo 11 de la Ley 6/2022, </w:t>
      </w:r>
      <w:r w:rsidR="002C175A" w:rsidRPr="002C175A">
        <w:t xml:space="preserve">de 30 de junio, </w:t>
      </w:r>
      <w:r w:rsidRPr="00EF23D3">
        <w:t xml:space="preserve">antes de </w:t>
      </w:r>
      <w:r w:rsidR="002C175A" w:rsidRPr="002C175A">
        <w:t>elaborar el anteproyecto</w:t>
      </w:r>
      <w:r w:rsidRPr="00EF23D3">
        <w:t xml:space="preserve"> se </w:t>
      </w:r>
      <w:r w:rsidR="002C175A" w:rsidRPr="002C175A">
        <w:t>sustanció</w:t>
      </w:r>
      <w:r w:rsidRPr="00EF23D3">
        <w:t xml:space="preserve"> consulta pública previa</w:t>
      </w:r>
      <w:r w:rsidR="002C175A" w:rsidRPr="002C175A">
        <w:t xml:space="preserve"> a través del</w:t>
      </w:r>
      <w:r w:rsidRPr="00EF23D3">
        <w:t xml:space="preserve"> tablón de anuncios electrónico</w:t>
      </w:r>
      <w:r w:rsidR="002C175A" w:rsidRPr="002C175A">
        <w:t xml:space="preserve"> entre el 26 de mayo y el 26 de junio de 2025, sin que se recibieran aportaciones</w:t>
      </w:r>
      <w:r w:rsidRPr="00EF23D3">
        <w:t>.</w:t>
      </w:r>
    </w:p>
    <w:p w14:paraId="5748B38C" w14:textId="77777777" w:rsidR="0072083E" w:rsidRDefault="00000000">
      <w:pPr>
        <w:jc w:val="both"/>
      </w:pPr>
      <w:r w:rsidRPr="00EF23D3">
        <w:t xml:space="preserve">Asimismo, </w:t>
      </w:r>
      <w:r w:rsidR="008C2F20" w:rsidRPr="008C2F20">
        <w:t>de acuerdo con</w:t>
      </w:r>
      <w:r w:rsidRPr="00EF23D3">
        <w:t xml:space="preserve"> el artículo 13.2 de la Ley 6/2022, la orden de inicio </w:t>
      </w:r>
      <w:r w:rsidR="008C2F20" w:rsidRPr="008C2F20">
        <w:t>fue publicada</w:t>
      </w:r>
      <w:r w:rsidRPr="00EF23D3">
        <w:t xml:space="preserve"> en el tablón de anuncios de la sede electrónica de la Administración Pública de la Comunidad Autónoma de Euskadi</w:t>
      </w:r>
      <w:r w:rsidR="008C2F20" w:rsidRPr="008C2F20">
        <w:t>. El anteproyecto ha sido objeto de concertación previa en la Mesa de Diálogo Social, en cuyo seno se acordaron las bases de la futura ley.</w:t>
      </w:r>
    </w:p>
    <w:p w14:paraId="580862FE" w14:textId="77777777" w:rsidR="0072083E" w:rsidRDefault="00CB3A8D">
      <w:pPr>
        <w:jc w:val="both"/>
      </w:pPr>
      <w:r w:rsidRPr="00CB3A8D">
        <w:t>Tras la aprobación previa del texto bilingüe, se sustanciarán los trámites de audiencia e información pública y se recabarán los informes jurídicos, económicos, lingüísticos, de igualdad y de control que resulten preceptivos. No procede el informe del Consejo Vasco de Políticas Públicas de Empleo, al no incidir directamente la iniciativa en la política de empleo. Tampoco se aprecia, con la delimitación actual del ámbito al sector público autonómico, una afectación de competencias municipales que haga preceptiva la intervención de la Comisión de Gobiernos Locales de Euskadi, sin perjuicio de revisar esta conclusión si el texto definitivo ampliara su ámbito subjetivo o territorial.</w:t>
      </w:r>
    </w:p>
    <w:p w14:paraId="11EF6451" w14:textId="77777777" w:rsidR="0072083E" w:rsidRDefault="00135E77">
      <w:pPr>
        <w:jc w:val="both"/>
      </w:pPr>
      <w:r w:rsidRPr="00135E77">
        <w:t>La planificación detallada del procedimiento consta en la orden de inicio, conforme al artículo 13.1.e) de la Ley 6/2022. La memoria final del procedimiento deberá actualizar esta descripción, identificar los trámites efectivamente realizados y explicar la incidencia de las observaciones e informes en la versión definitiva.</w:t>
      </w:r>
    </w:p>
    <w:sectPr w:rsidR="007208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A2D"/>
    <w:multiLevelType w:val="multilevel"/>
    <w:tmpl w:val="0476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44094"/>
    <w:multiLevelType w:val="multilevel"/>
    <w:tmpl w:val="3F9E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36EB8"/>
    <w:multiLevelType w:val="multilevel"/>
    <w:tmpl w:val="AAC4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C3C89"/>
    <w:multiLevelType w:val="multilevel"/>
    <w:tmpl w:val="42F6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14D8F"/>
    <w:multiLevelType w:val="multilevel"/>
    <w:tmpl w:val="572C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F2BAF"/>
    <w:multiLevelType w:val="multilevel"/>
    <w:tmpl w:val="0A04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20913"/>
    <w:multiLevelType w:val="multilevel"/>
    <w:tmpl w:val="A8D4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935C97"/>
    <w:multiLevelType w:val="multilevel"/>
    <w:tmpl w:val="C9FC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3C719D"/>
    <w:multiLevelType w:val="multilevel"/>
    <w:tmpl w:val="DF5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EA524C"/>
    <w:multiLevelType w:val="multilevel"/>
    <w:tmpl w:val="0B1C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F571E"/>
    <w:multiLevelType w:val="multilevel"/>
    <w:tmpl w:val="D332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FA6CF6"/>
    <w:multiLevelType w:val="multilevel"/>
    <w:tmpl w:val="D070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AD73AE"/>
    <w:multiLevelType w:val="multilevel"/>
    <w:tmpl w:val="385C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D34484"/>
    <w:multiLevelType w:val="multilevel"/>
    <w:tmpl w:val="5BA2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70359E"/>
    <w:multiLevelType w:val="multilevel"/>
    <w:tmpl w:val="37B6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322C8"/>
    <w:multiLevelType w:val="multilevel"/>
    <w:tmpl w:val="2472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1A3C37"/>
    <w:multiLevelType w:val="multilevel"/>
    <w:tmpl w:val="7320101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308588">
    <w:abstractNumId w:val="0"/>
  </w:num>
  <w:num w:numId="2" w16cid:durableId="1962489606">
    <w:abstractNumId w:val="2"/>
  </w:num>
  <w:num w:numId="3" w16cid:durableId="247495599">
    <w:abstractNumId w:val="3"/>
  </w:num>
  <w:num w:numId="4" w16cid:durableId="68776610">
    <w:abstractNumId w:val="9"/>
  </w:num>
  <w:num w:numId="5" w16cid:durableId="1550341009">
    <w:abstractNumId w:val="16"/>
  </w:num>
  <w:num w:numId="6" w16cid:durableId="157506069">
    <w:abstractNumId w:val="6"/>
  </w:num>
  <w:num w:numId="7" w16cid:durableId="348872546">
    <w:abstractNumId w:val="4"/>
  </w:num>
  <w:num w:numId="8" w16cid:durableId="17584212">
    <w:abstractNumId w:val="13"/>
  </w:num>
  <w:num w:numId="9" w16cid:durableId="1502770626">
    <w:abstractNumId w:val="7"/>
  </w:num>
  <w:num w:numId="10" w16cid:durableId="1021320015">
    <w:abstractNumId w:val="1"/>
  </w:num>
  <w:num w:numId="11" w16cid:durableId="2068841826">
    <w:abstractNumId w:val="15"/>
  </w:num>
  <w:num w:numId="12" w16cid:durableId="1678996377">
    <w:abstractNumId w:val="10"/>
  </w:num>
  <w:num w:numId="13" w16cid:durableId="21169482">
    <w:abstractNumId w:val="12"/>
  </w:num>
  <w:num w:numId="14" w16cid:durableId="239022282">
    <w:abstractNumId w:val="5"/>
  </w:num>
  <w:num w:numId="15" w16cid:durableId="398480729">
    <w:abstractNumId w:val="8"/>
  </w:num>
  <w:num w:numId="16" w16cid:durableId="1644626493">
    <w:abstractNumId w:val="14"/>
  </w:num>
  <w:num w:numId="17" w16cid:durableId="1256129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74"/>
    <w:rsid w:val="0000044D"/>
    <w:rsid w:val="0004631E"/>
    <w:rsid w:val="00052093"/>
    <w:rsid w:val="00052B26"/>
    <w:rsid w:val="00053BD4"/>
    <w:rsid w:val="00073DB7"/>
    <w:rsid w:val="00076F13"/>
    <w:rsid w:val="00084176"/>
    <w:rsid w:val="000875E0"/>
    <w:rsid w:val="000916C5"/>
    <w:rsid w:val="00091F1B"/>
    <w:rsid w:val="00093124"/>
    <w:rsid w:val="0009770B"/>
    <w:rsid w:val="000A1895"/>
    <w:rsid w:val="000B1ABA"/>
    <w:rsid w:val="000C1FD2"/>
    <w:rsid w:val="000C55A3"/>
    <w:rsid w:val="000D498E"/>
    <w:rsid w:val="000D62D4"/>
    <w:rsid w:val="000E23B3"/>
    <w:rsid w:val="000F53DD"/>
    <w:rsid w:val="001004D6"/>
    <w:rsid w:val="00126046"/>
    <w:rsid w:val="00135E77"/>
    <w:rsid w:val="00136680"/>
    <w:rsid w:val="00144D8A"/>
    <w:rsid w:val="0015253C"/>
    <w:rsid w:val="00157C80"/>
    <w:rsid w:val="00174ADA"/>
    <w:rsid w:val="00174C94"/>
    <w:rsid w:val="00180FB2"/>
    <w:rsid w:val="00184702"/>
    <w:rsid w:val="0018500D"/>
    <w:rsid w:val="00185368"/>
    <w:rsid w:val="001858AA"/>
    <w:rsid w:val="001A2166"/>
    <w:rsid w:val="001A6A72"/>
    <w:rsid w:val="001B13EB"/>
    <w:rsid w:val="001B1448"/>
    <w:rsid w:val="001B1C35"/>
    <w:rsid w:val="001E3268"/>
    <w:rsid w:val="001E6B70"/>
    <w:rsid w:val="001E7F1E"/>
    <w:rsid w:val="001F0E44"/>
    <w:rsid w:val="00212F48"/>
    <w:rsid w:val="00220625"/>
    <w:rsid w:val="002218CB"/>
    <w:rsid w:val="0022223A"/>
    <w:rsid w:val="0023126E"/>
    <w:rsid w:val="00236008"/>
    <w:rsid w:val="00240CBD"/>
    <w:rsid w:val="00254DE8"/>
    <w:rsid w:val="00264E10"/>
    <w:rsid w:val="00267226"/>
    <w:rsid w:val="002759E9"/>
    <w:rsid w:val="00294192"/>
    <w:rsid w:val="002953FE"/>
    <w:rsid w:val="002A3656"/>
    <w:rsid w:val="002B2572"/>
    <w:rsid w:val="002C175A"/>
    <w:rsid w:val="002E5BE3"/>
    <w:rsid w:val="00305B34"/>
    <w:rsid w:val="00307100"/>
    <w:rsid w:val="003636AB"/>
    <w:rsid w:val="00372740"/>
    <w:rsid w:val="00374269"/>
    <w:rsid w:val="003772E8"/>
    <w:rsid w:val="0038442A"/>
    <w:rsid w:val="003860B6"/>
    <w:rsid w:val="003A1863"/>
    <w:rsid w:val="003C52D0"/>
    <w:rsid w:val="003D7EF7"/>
    <w:rsid w:val="003E5C73"/>
    <w:rsid w:val="003F4E27"/>
    <w:rsid w:val="003F723D"/>
    <w:rsid w:val="00401E00"/>
    <w:rsid w:val="00407209"/>
    <w:rsid w:val="0042455E"/>
    <w:rsid w:val="00424B79"/>
    <w:rsid w:val="00424BD2"/>
    <w:rsid w:val="0043426C"/>
    <w:rsid w:val="00447B78"/>
    <w:rsid w:val="00453FC8"/>
    <w:rsid w:val="004550E0"/>
    <w:rsid w:val="0045523F"/>
    <w:rsid w:val="00463E60"/>
    <w:rsid w:val="004832ED"/>
    <w:rsid w:val="004944BA"/>
    <w:rsid w:val="00495A3C"/>
    <w:rsid w:val="004D6002"/>
    <w:rsid w:val="004E1680"/>
    <w:rsid w:val="004E29F9"/>
    <w:rsid w:val="004E3798"/>
    <w:rsid w:val="004E63C4"/>
    <w:rsid w:val="004F3FB7"/>
    <w:rsid w:val="00501430"/>
    <w:rsid w:val="00506131"/>
    <w:rsid w:val="00514A0C"/>
    <w:rsid w:val="00520BC0"/>
    <w:rsid w:val="005228B0"/>
    <w:rsid w:val="00532BDC"/>
    <w:rsid w:val="00535B63"/>
    <w:rsid w:val="005361EB"/>
    <w:rsid w:val="005416CD"/>
    <w:rsid w:val="00546A06"/>
    <w:rsid w:val="00552873"/>
    <w:rsid w:val="00554B87"/>
    <w:rsid w:val="005677E9"/>
    <w:rsid w:val="005840C7"/>
    <w:rsid w:val="005A3406"/>
    <w:rsid w:val="005A6B2C"/>
    <w:rsid w:val="005B577E"/>
    <w:rsid w:val="005B748A"/>
    <w:rsid w:val="005C6238"/>
    <w:rsid w:val="005D4863"/>
    <w:rsid w:val="00601B74"/>
    <w:rsid w:val="006159F2"/>
    <w:rsid w:val="00630A4C"/>
    <w:rsid w:val="006613C3"/>
    <w:rsid w:val="0066142C"/>
    <w:rsid w:val="006646FB"/>
    <w:rsid w:val="00677744"/>
    <w:rsid w:val="0068091A"/>
    <w:rsid w:val="006822D0"/>
    <w:rsid w:val="006874B2"/>
    <w:rsid w:val="00697178"/>
    <w:rsid w:val="0069795F"/>
    <w:rsid w:val="006A034C"/>
    <w:rsid w:val="006A1FA0"/>
    <w:rsid w:val="006A63CD"/>
    <w:rsid w:val="006B46CF"/>
    <w:rsid w:val="006C0D37"/>
    <w:rsid w:val="006C2A1D"/>
    <w:rsid w:val="006D0448"/>
    <w:rsid w:val="006F3EAC"/>
    <w:rsid w:val="00712877"/>
    <w:rsid w:val="0072083E"/>
    <w:rsid w:val="007515AF"/>
    <w:rsid w:val="00752762"/>
    <w:rsid w:val="007561EB"/>
    <w:rsid w:val="00774A9B"/>
    <w:rsid w:val="007832EC"/>
    <w:rsid w:val="007868E3"/>
    <w:rsid w:val="007A5505"/>
    <w:rsid w:val="007B4A35"/>
    <w:rsid w:val="007B7A1A"/>
    <w:rsid w:val="007C1878"/>
    <w:rsid w:val="007D2F6B"/>
    <w:rsid w:val="007D4186"/>
    <w:rsid w:val="007D491A"/>
    <w:rsid w:val="007D5B72"/>
    <w:rsid w:val="007E1659"/>
    <w:rsid w:val="008102C3"/>
    <w:rsid w:val="00814707"/>
    <w:rsid w:val="00816398"/>
    <w:rsid w:val="00816E77"/>
    <w:rsid w:val="008245A4"/>
    <w:rsid w:val="00824BD7"/>
    <w:rsid w:val="00832D60"/>
    <w:rsid w:val="008449BF"/>
    <w:rsid w:val="00853903"/>
    <w:rsid w:val="00862A8B"/>
    <w:rsid w:val="0088309C"/>
    <w:rsid w:val="00894085"/>
    <w:rsid w:val="00896A3F"/>
    <w:rsid w:val="008A4403"/>
    <w:rsid w:val="008B5BCF"/>
    <w:rsid w:val="008B7B97"/>
    <w:rsid w:val="008C2F20"/>
    <w:rsid w:val="008F3D90"/>
    <w:rsid w:val="008F4991"/>
    <w:rsid w:val="008F5146"/>
    <w:rsid w:val="00901784"/>
    <w:rsid w:val="009075AB"/>
    <w:rsid w:val="00911A56"/>
    <w:rsid w:val="00914DF4"/>
    <w:rsid w:val="00917776"/>
    <w:rsid w:val="009219F2"/>
    <w:rsid w:val="009407F2"/>
    <w:rsid w:val="00946710"/>
    <w:rsid w:val="00947030"/>
    <w:rsid w:val="00947307"/>
    <w:rsid w:val="00947D8C"/>
    <w:rsid w:val="0095796D"/>
    <w:rsid w:val="00970CF5"/>
    <w:rsid w:val="009745EB"/>
    <w:rsid w:val="00976F49"/>
    <w:rsid w:val="0098400F"/>
    <w:rsid w:val="00993B3B"/>
    <w:rsid w:val="00997BCA"/>
    <w:rsid w:val="009A0875"/>
    <w:rsid w:val="009A3D1D"/>
    <w:rsid w:val="009A541D"/>
    <w:rsid w:val="009B1067"/>
    <w:rsid w:val="009B4A51"/>
    <w:rsid w:val="009B64BF"/>
    <w:rsid w:val="009D647C"/>
    <w:rsid w:val="009E0400"/>
    <w:rsid w:val="009E277E"/>
    <w:rsid w:val="009E7D2E"/>
    <w:rsid w:val="009F128D"/>
    <w:rsid w:val="009F75F8"/>
    <w:rsid w:val="009F7E8F"/>
    <w:rsid w:val="00A17E81"/>
    <w:rsid w:val="00A26EC9"/>
    <w:rsid w:val="00A37A7A"/>
    <w:rsid w:val="00A461C2"/>
    <w:rsid w:val="00A52C0F"/>
    <w:rsid w:val="00A61816"/>
    <w:rsid w:val="00A76238"/>
    <w:rsid w:val="00A84CF7"/>
    <w:rsid w:val="00A95CBA"/>
    <w:rsid w:val="00AA0E38"/>
    <w:rsid w:val="00AA6236"/>
    <w:rsid w:val="00AB078A"/>
    <w:rsid w:val="00AC7BDB"/>
    <w:rsid w:val="00AD1771"/>
    <w:rsid w:val="00AD4226"/>
    <w:rsid w:val="00AD509D"/>
    <w:rsid w:val="00AD79D5"/>
    <w:rsid w:val="00AE2517"/>
    <w:rsid w:val="00AF4BE7"/>
    <w:rsid w:val="00AF7556"/>
    <w:rsid w:val="00B00DF2"/>
    <w:rsid w:val="00B05E1D"/>
    <w:rsid w:val="00B06BA1"/>
    <w:rsid w:val="00B21935"/>
    <w:rsid w:val="00B25741"/>
    <w:rsid w:val="00B41897"/>
    <w:rsid w:val="00B436C6"/>
    <w:rsid w:val="00B43E96"/>
    <w:rsid w:val="00B67C52"/>
    <w:rsid w:val="00B751C7"/>
    <w:rsid w:val="00BA1B12"/>
    <w:rsid w:val="00BB361F"/>
    <w:rsid w:val="00BC5CB7"/>
    <w:rsid w:val="00BE3075"/>
    <w:rsid w:val="00BE4961"/>
    <w:rsid w:val="00C04F3B"/>
    <w:rsid w:val="00C127B5"/>
    <w:rsid w:val="00C305B1"/>
    <w:rsid w:val="00C330B9"/>
    <w:rsid w:val="00C3575C"/>
    <w:rsid w:val="00C42CCA"/>
    <w:rsid w:val="00C53624"/>
    <w:rsid w:val="00C555C0"/>
    <w:rsid w:val="00C55DDE"/>
    <w:rsid w:val="00C55F8E"/>
    <w:rsid w:val="00C560C0"/>
    <w:rsid w:val="00C736D4"/>
    <w:rsid w:val="00C76D34"/>
    <w:rsid w:val="00C80806"/>
    <w:rsid w:val="00C85DDA"/>
    <w:rsid w:val="00C86EE1"/>
    <w:rsid w:val="00C9245B"/>
    <w:rsid w:val="00C95916"/>
    <w:rsid w:val="00C97FBD"/>
    <w:rsid w:val="00CA12E1"/>
    <w:rsid w:val="00CA7872"/>
    <w:rsid w:val="00CB0F7F"/>
    <w:rsid w:val="00CB3A8D"/>
    <w:rsid w:val="00CD5387"/>
    <w:rsid w:val="00CE0977"/>
    <w:rsid w:val="00CF01DD"/>
    <w:rsid w:val="00CF3AB5"/>
    <w:rsid w:val="00D069C0"/>
    <w:rsid w:val="00D07112"/>
    <w:rsid w:val="00D109B3"/>
    <w:rsid w:val="00D234CC"/>
    <w:rsid w:val="00D30FB5"/>
    <w:rsid w:val="00D35E6D"/>
    <w:rsid w:val="00D41AAD"/>
    <w:rsid w:val="00D76CA7"/>
    <w:rsid w:val="00D81A0B"/>
    <w:rsid w:val="00D97F66"/>
    <w:rsid w:val="00DA0BD9"/>
    <w:rsid w:val="00DA539F"/>
    <w:rsid w:val="00DA5780"/>
    <w:rsid w:val="00DB0595"/>
    <w:rsid w:val="00DB2148"/>
    <w:rsid w:val="00DB3F62"/>
    <w:rsid w:val="00DC0E48"/>
    <w:rsid w:val="00DC2CF4"/>
    <w:rsid w:val="00DC491D"/>
    <w:rsid w:val="00DE4C1A"/>
    <w:rsid w:val="00DE6DE8"/>
    <w:rsid w:val="00DE6FEF"/>
    <w:rsid w:val="00DF7EB3"/>
    <w:rsid w:val="00E1095E"/>
    <w:rsid w:val="00E422AE"/>
    <w:rsid w:val="00E71E79"/>
    <w:rsid w:val="00E73143"/>
    <w:rsid w:val="00E743FC"/>
    <w:rsid w:val="00E8674A"/>
    <w:rsid w:val="00E97F03"/>
    <w:rsid w:val="00EA28A5"/>
    <w:rsid w:val="00EA2E41"/>
    <w:rsid w:val="00EB63F9"/>
    <w:rsid w:val="00EC1920"/>
    <w:rsid w:val="00EC590E"/>
    <w:rsid w:val="00EC60B4"/>
    <w:rsid w:val="00ED2CE4"/>
    <w:rsid w:val="00EE1C71"/>
    <w:rsid w:val="00EF644C"/>
    <w:rsid w:val="00F01F31"/>
    <w:rsid w:val="00F051BB"/>
    <w:rsid w:val="00F2196F"/>
    <w:rsid w:val="00F2626B"/>
    <w:rsid w:val="00F263FD"/>
    <w:rsid w:val="00F264AE"/>
    <w:rsid w:val="00F46651"/>
    <w:rsid w:val="00F5178E"/>
    <w:rsid w:val="00F517A9"/>
    <w:rsid w:val="00F600C2"/>
    <w:rsid w:val="00F63442"/>
    <w:rsid w:val="00F668B3"/>
    <w:rsid w:val="00F7180A"/>
    <w:rsid w:val="00F82627"/>
    <w:rsid w:val="00F8722B"/>
    <w:rsid w:val="00F9097A"/>
    <w:rsid w:val="00FA35AE"/>
    <w:rsid w:val="00FB73CF"/>
    <w:rsid w:val="00FC6BF6"/>
    <w:rsid w:val="00FF6478"/>
    <w:rsid w:val="00FF6B71"/>
    <w:rsid w:val="6DC3F95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F7056"/>
  <w15:chartTrackingRefBased/>
  <w15:docId w15:val="{54F280AA-0AAA-4ED5-982A-3A7936A8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1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1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1B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1B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1B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1B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1B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1B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1B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1B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1B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1B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1B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1B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1B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1B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1B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1B74"/>
    <w:rPr>
      <w:rFonts w:eastAsiaTheme="majorEastAsia" w:cstheme="majorBidi"/>
      <w:color w:val="272727" w:themeColor="text1" w:themeTint="D8"/>
    </w:rPr>
  </w:style>
  <w:style w:type="paragraph" w:styleId="Ttulo">
    <w:name w:val="Title"/>
    <w:basedOn w:val="Normal"/>
    <w:next w:val="Normal"/>
    <w:link w:val="TtuloCar"/>
    <w:uiPriority w:val="10"/>
    <w:qFormat/>
    <w:rsid w:val="00601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1B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1B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1B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1B74"/>
    <w:pPr>
      <w:spacing w:before="160"/>
      <w:jc w:val="center"/>
    </w:pPr>
    <w:rPr>
      <w:i/>
      <w:iCs/>
      <w:color w:val="404040" w:themeColor="text1" w:themeTint="BF"/>
    </w:rPr>
  </w:style>
  <w:style w:type="character" w:customStyle="1" w:styleId="CitaCar">
    <w:name w:val="Cita Car"/>
    <w:basedOn w:val="Fuentedeprrafopredeter"/>
    <w:link w:val="Cita"/>
    <w:uiPriority w:val="29"/>
    <w:rsid w:val="00601B74"/>
    <w:rPr>
      <w:i/>
      <w:iCs/>
      <w:color w:val="404040" w:themeColor="text1" w:themeTint="BF"/>
    </w:rPr>
  </w:style>
  <w:style w:type="paragraph" w:styleId="Prrafodelista">
    <w:name w:val="List Paragraph"/>
    <w:basedOn w:val="Normal"/>
    <w:uiPriority w:val="34"/>
    <w:qFormat/>
    <w:rsid w:val="00601B74"/>
    <w:pPr>
      <w:ind w:left="720"/>
      <w:contextualSpacing/>
    </w:pPr>
  </w:style>
  <w:style w:type="character" w:styleId="nfasisintenso">
    <w:name w:val="Intense Emphasis"/>
    <w:basedOn w:val="Fuentedeprrafopredeter"/>
    <w:uiPriority w:val="21"/>
    <w:qFormat/>
    <w:rsid w:val="00601B74"/>
    <w:rPr>
      <w:i/>
      <w:iCs/>
      <w:color w:val="0F4761" w:themeColor="accent1" w:themeShade="BF"/>
    </w:rPr>
  </w:style>
  <w:style w:type="paragraph" w:styleId="Citadestacada">
    <w:name w:val="Intense Quote"/>
    <w:basedOn w:val="Normal"/>
    <w:next w:val="Normal"/>
    <w:link w:val="CitadestacadaCar"/>
    <w:uiPriority w:val="30"/>
    <w:qFormat/>
    <w:rsid w:val="00601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1B74"/>
    <w:rPr>
      <w:i/>
      <w:iCs/>
      <w:color w:val="0F4761" w:themeColor="accent1" w:themeShade="BF"/>
    </w:rPr>
  </w:style>
  <w:style w:type="character" w:styleId="Referenciaintensa">
    <w:name w:val="Intense Reference"/>
    <w:basedOn w:val="Fuentedeprrafopredeter"/>
    <w:uiPriority w:val="32"/>
    <w:qFormat/>
    <w:rsid w:val="00601B74"/>
    <w:rPr>
      <w:b/>
      <w:bCs/>
      <w:smallCaps/>
      <w:color w:val="0F4761" w:themeColor="accent1" w:themeShade="BF"/>
      <w:spacing w:val="5"/>
    </w:rPr>
  </w:style>
  <w:style w:type="character" w:styleId="Hipervnculo">
    <w:name w:val="Hyperlink"/>
    <w:basedOn w:val="Fuentedeprrafopredeter"/>
    <w:uiPriority w:val="99"/>
    <w:unhideWhenUsed/>
    <w:rsid w:val="00F668B3"/>
    <w:rPr>
      <w:color w:val="467886" w:themeColor="hyperlink"/>
      <w:u w:val="single"/>
    </w:rPr>
  </w:style>
  <w:style w:type="character" w:styleId="Mencinsinresolver">
    <w:name w:val="Unresolved Mention"/>
    <w:basedOn w:val="Fuentedeprrafopredeter"/>
    <w:uiPriority w:val="99"/>
    <w:semiHidden/>
    <w:unhideWhenUsed/>
    <w:rsid w:val="00F66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b8b8f0-7869-4e13-81ee-70b51a39abd9">
      <Terms xmlns="http://schemas.microsoft.com/office/infopath/2007/PartnerControls"/>
    </lcf76f155ced4ddcb4097134ff3c332f>
    <TaxCatchAll xmlns="78a4aa76-75ec-4950-a40e-c619d8e52b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3875F72647E424286A37D64E0B3A1B2" ma:contentTypeVersion="10" ma:contentTypeDescription="Crear nuevo documento." ma:contentTypeScope="" ma:versionID="7eb9fa0833ef1c28b83685f98aae511e">
  <xsd:schema xmlns:xsd="http://www.w3.org/2001/XMLSchema" xmlns:xs="http://www.w3.org/2001/XMLSchema" xmlns:p="http://schemas.microsoft.com/office/2006/metadata/properties" xmlns:ns2="c2b8b8f0-7869-4e13-81ee-70b51a39abd9" xmlns:ns3="78a4aa76-75ec-4950-a40e-c619d8e52bf8" targetNamespace="http://schemas.microsoft.com/office/2006/metadata/properties" ma:root="true" ma:fieldsID="a5cb249a281c5747b14f68dd1b4154c1" ns2:_="" ns3:_="">
    <xsd:import namespace="c2b8b8f0-7869-4e13-81ee-70b51a39abd9"/>
    <xsd:import namespace="78a4aa76-75ec-4950-a40e-c619d8e52b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8b8f0-7869-4e13-81ee-70b51a39a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a4aa76-75ec-4950-a40e-c619d8e52b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d8eb04-5cbf-49e1-a5c7-9f50571c29c8}" ma:internalName="TaxCatchAll" ma:showField="CatchAllData" ma:web="78a4aa76-75ec-4950-a40e-c619d8e52b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90A0E5-9FA4-4E09-854B-B876511C0969}">
  <ds:schemaRefs>
    <ds:schemaRef ds:uri="http://schemas.microsoft.com/office/2006/metadata/properties"/>
    <ds:schemaRef ds:uri="http://schemas.microsoft.com/office/infopath/2007/PartnerControls"/>
    <ds:schemaRef ds:uri="c2b8b8f0-7869-4e13-81ee-70b51a39abd9"/>
    <ds:schemaRef ds:uri="78a4aa76-75ec-4950-a40e-c619d8e52bf8"/>
  </ds:schemaRefs>
</ds:datastoreItem>
</file>

<file path=customXml/itemProps2.xml><?xml version="1.0" encoding="utf-8"?>
<ds:datastoreItem xmlns:ds="http://schemas.openxmlformats.org/officeDocument/2006/customXml" ds:itemID="{DF24D40B-31B4-4910-A88A-28832BD3BEDD}">
  <ds:schemaRefs>
    <ds:schemaRef ds:uri="http://schemas.microsoft.com/sharepoint/v3/contenttype/forms"/>
  </ds:schemaRefs>
</ds:datastoreItem>
</file>

<file path=customXml/itemProps3.xml><?xml version="1.0" encoding="utf-8"?>
<ds:datastoreItem xmlns:ds="http://schemas.openxmlformats.org/officeDocument/2006/customXml" ds:itemID="{04574CBF-FA5C-492E-A88C-AE4E3AE8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8b8f0-7869-4e13-81ee-70b51a39abd9"/>
    <ds:schemaRef ds:uri="78a4aa76-75ec-4950-a40e-c619d8e52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33</Pages>
  <Words>13049</Words>
  <Characters>78430</Characters>
  <Application>Microsoft Office Word</Application>
  <DocSecurity>0</DocSecurity>
  <Lines>1285</Lines>
  <Paragraphs>324</Paragraphs>
  <ScaleCrop>false</ScaleCrop>
  <Company>ADMIN OROKORRA</Company>
  <LinksUpToDate>false</LinksUpToDate>
  <CharactersWithSpaces>91155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Calonge Crespo, Iñaki</dc:creator>
  <cp:keywords/>
  <dc:description/>
  <cp:lastModifiedBy>Pérez Barredo, Elena</cp:lastModifiedBy>
  <cp:revision>7</cp:revision>
  <dcterms:created xsi:type="dcterms:W3CDTF">2026-09-04T08:15:00Z</dcterms:created>
  <dcterms:modified xsi:type="dcterms:W3CDTF">2026-09-10T07:13:00Z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0x010100B3875F72647E424286A37D64E0B3A1B2</vt:lpwstr>
  </property>
  <property fmtid="{D5CDD505-2E9C-101B-9397-08002B2CF9AE}" pid="3" name="docLang">
    <vt:lpwstr>es</vt:lpwstr>
  </property>
  <property fmtid="{D5CDD505-2E9C-101B-9397-08002B2CF9AE}" pid="4" name="MediaServiceImageTags">
    <vt:lpwstr/>
  </property>
</Properties>
</file>